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4748" w14:textId="0C5AF24C" w:rsidR="000462BA" w:rsidRPr="00C05F22" w:rsidRDefault="00671DDD" w:rsidP="00C05F22">
      <w:pPr>
        <w:pStyle w:val="1MainTitle"/>
        <w:jc w:val="left"/>
      </w:pPr>
      <w:r>
        <w:t xml:space="preserve">5.13 </w:t>
      </w:r>
      <w:r w:rsidRPr="00C05F22">
        <w:t>C</w:t>
      </w:r>
      <w:r w:rsidR="00BE3A4A" w:rsidRPr="00C05F22">
        <w:t>I</w:t>
      </w:r>
      <w:r w:rsidRPr="00C05F22">
        <w:t>CLOSPORIN</w:t>
      </w:r>
      <w:r w:rsidR="00C05F22">
        <w:br/>
      </w:r>
      <w:r w:rsidR="00B836D4" w:rsidRPr="00C05F22">
        <w:t>Eye drop</w:t>
      </w:r>
      <w:r w:rsidR="00B125C5" w:rsidRPr="00C05F22">
        <w:t xml:space="preserve">s </w:t>
      </w:r>
      <w:r w:rsidR="00855BD8" w:rsidRPr="00C05F22">
        <w:t>1 mg per mL</w:t>
      </w:r>
      <w:r w:rsidR="00B836D4" w:rsidRPr="00C05F22">
        <w:t xml:space="preserve">, </w:t>
      </w:r>
      <w:r w:rsidR="003F2472" w:rsidRPr="00C05F22">
        <w:t>2 mL</w:t>
      </w:r>
      <w:r w:rsidR="00C05F22">
        <w:br/>
      </w:r>
      <w:proofErr w:type="spellStart"/>
      <w:r w:rsidR="00B836D4" w:rsidRPr="00C05F22">
        <w:t>V</w:t>
      </w:r>
      <w:r w:rsidR="001C331A" w:rsidRPr="00C05F22">
        <w:t>evye</w:t>
      </w:r>
      <w:proofErr w:type="spellEnd"/>
      <w:r w:rsidR="00A237A6" w:rsidRPr="00C05F22">
        <w:t>®</w:t>
      </w:r>
      <w:r w:rsidRPr="00C05F22">
        <w:t>,</w:t>
      </w:r>
      <w:r w:rsidR="00C05F22">
        <w:br/>
      </w:r>
      <w:r w:rsidR="001C331A" w:rsidRPr="00C05F22">
        <w:t xml:space="preserve">AFT Pharmaceuticals </w:t>
      </w:r>
      <w:r w:rsidR="00CA454F" w:rsidRPr="00C05F22">
        <w:t>(AU) Pty Ltd</w:t>
      </w:r>
    </w:p>
    <w:p w14:paraId="5F4D54C1" w14:textId="0F335C7B" w:rsidR="00E11F44" w:rsidRPr="0087392A" w:rsidRDefault="007E490F" w:rsidP="00CD6257">
      <w:pPr>
        <w:pStyle w:val="2-SectionHeading"/>
        <w:rPr>
          <w:rFonts w:cstheme="minorHAnsi"/>
        </w:rPr>
      </w:pPr>
      <w:r w:rsidRPr="007E1673">
        <w:t xml:space="preserve">Purpose of </w:t>
      </w:r>
      <w:r w:rsidR="00FA0B04" w:rsidRPr="007E1673">
        <w:t>Submission</w:t>
      </w:r>
      <w:r w:rsidRPr="00A6439B">
        <w:t xml:space="preserve"> </w:t>
      </w:r>
    </w:p>
    <w:p w14:paraId="5778C6CD" w14:textId="47CD731A" w:rsidR="0073736F" w:rsidRPr="004B461E" w:rsidRDefault="006C6C10" w:rsidP="003B7772">
      <w:pPr>
        <w:pStyle w:val="3-BodyText"/>
        <w:rPr>
          <w:rFonts w:cstheme="minorHAnsi"/>
        </w:rPr>
      </w:pPr>
      <w:r w:rsidRPr="00A6439B">
        <w:t xml:space="preserve">The </w:t>
      </w:r>
      <w:r w:rsidR="00D47F84">
        <w:t>Category 4</w:t>
      </w:r>
      <w:r w:rsidR="00C96EC0" w:rsidRPr="00A6439B">
        <w:t xml:space="preserve"> </w:t>
      </w:r>
      <w:r w:rsidRPr="00A6439B">
        <w:t xml:space="preserve">submission </w:t>
      </w:r>
      <w:r w:rsidR="00244BEC" w:rsidRPr="00A6439B">
        <w:t>requested</w:t>
      </w:r>
      <w:r w:rsidRPr="00A6439B">
        <w:t xml:space="preserve"> to</w:t>
      </w:r>
      <w:r w:rsidR="007E490F" w:rsidRPr="00A6439B">
        <w:t xml:space="preserve"> </w:t>
      </w:r>
      <w:r w:rsidR="005E3E64">
        <w:t>list</w:t>
      </w:r>
      <w:r w:rsidR="00711E46">
        <w:t xml:space="preserve"> a new form of ciclosporin eye drops</w:t>
      </w:r>
      <w:r w:rsidR="00B27304">
        <w:t xml:space="preserve"> bottle</w:t>
      </w:r>
      <w:r w:rsidR="00711E46">
        <w:t xml:space="preserve"> for the treatment of dry eye disease with keratitis in adult patients whose condition has not been adequately controlled by monotherapy with an artificial tears substitute.</w:t>
      </w:r>
      <w:r w:rsidR="003B7772">
        <w:t xml:space="preserve"> </w:t>
      </w:r>
      <w:r w:rsidR="004B461E">
        <w:rPr>
          <w:rFonts w:cstheme="minorHAnsi"/>
        </w:rPr>
        <w:t xml:space="preserve">The submission proposed </w:t>
      </w:r>
      <w:r w:rsidR="0073736F" w:rsidRPr="004B461E">
        <w:rPr>
          <w:rFonts w:cstheme="minorHAnsi"/>
        </w:rPr>
        <w:t>list</w:t>
      </w:r>
      <w:r w:rsidR="004B461E">
        <w:rPr>
          <w:rFonts w:cstheme="minorHAnsi"/>
        </w:rPr>
        <w:t>ing</w:t>
      </w:r>
      <w:r w:rsidR="0073736F" w:rsidRPr="004B461E">
        <w:rPr>
          <w:rFonts w:cstheme="minorHAnsi"/>
        </w:rPr>
        <w:t xml:space="preserve"> </w:t>
      </w:r>
      <w:r w:rsidR="00167DB9" w:rsidRPr="004B461E">
        <w:rPr>
          <w:rFonts w:cstheme="minorHAnsi"/>
        </w:rPr>
        <w:t xml:space="preserve">ciclosporin </w:t>
      </w:r>
      <w:r w:rsidR="003A2D7A" w:rsidRPr="004B461E">
        <w:rPr>
          <w:rFonts w:cstheme="minorHAnsi"/>
        </w:rPr>
        <w:t>1</w:t>
      </w:r>
      <w:r w:rsidR="004B461E">
        <w:rPr>
          <w:rFonts w:cstheme="minorHAnsi"/>
        </w:rPr>
        <w:t xml:space="preserve"> </w:t>
      </w:r>
      <w:r w:rsidR="003A2D7A" w:rsidRPr="004B461E">
        <w:rPr>
          <w:rFonts w:cstheme="minorHAnsi"/>
        </w:rPr>
        <w:t>mg</w:t>
      </w:r>
      <w:r w:rsidR="00EF4050">
        <w:rPr>
          <w:rFonts w:cstheme="minorHAnsi"/>
        </w:rPr>
        <w:t xml:space="preserve"> per </w:t>
      </w:r>
      <w:r w:rsidR="003A2D7A" w:rsidRPr="004B461E">
        <w:rPr>
          <w:rFonts w:cstheme="minorHAnsi"/>
        </w:rPr>
        <w:t>mL</w:t>
      </w:r>
      <w:r w:rsidR="00CF6A29">
        <w:rPr>
          <w:rFonts w:cstheme="minorHAnsi"/>
        </w:rPr>
        <w:t>, 2 mL</w:t>
      </w:r>
      <w:r w:rsidR="00167DB9" w:rsidRPr="004B461E">
        <w:rPr>
          <w:rFonts w:cstheme="minorHAnsi"/>
        </w:rPr>
        <w:t xml:space="preserve"> </w:t>
      </w:r>
      <w:r w:rsidR="0073736F" w:rsidRPr="004B461E">
        <w:rPr>
          <w:rFonts w:cstheme="minorHAnsi"/>
        </w:rPr>
        <w:t>(</w:t>
      </w:r>
      <w:r w:rsidR="00167DB9" w:rsidRPr="004B461E">
        <w:rPr>
          <w:rFonts w:cstheme="minorHAnsi"/>
        </w:rPr>
        <w:t>Vevye</w:t>
      </w:r>
      <w:r w:rsidR="00AC5E6F" w:rsidRPr="004B461E">
        <w:rPr>
          <w:rFonts w:cstheme="minorHAnsi"/>
        </w:rPr>
        <w:t>)</w:t>
      </w:r>
      <w:r w:rsidR="0073736F" w:rsidRPr="004B461E">
        <w:rPr>
          <w:rFonts w:cstheme="minorHAnsi"/>
        </w:rPr>
        <w:t xml:space="preserve"> under the same circumstances as the</w:t>
      </w:r>
      <w:r w:rsidR="00F465B5" w:rsidRPr="004B461E">
        <w:rPr>
          <w:rFonts w:cstheme="minorHAnsi"/>
        </w:rPr>
        <w:t xml:space="preserve"> currently</w:t>
      </w:r>
      <w:r w:rsidR="0073736F" w:rsidRPr="004B461E">
        <w:rPr>
          <w:rFonts w:cstheme="minorHAnsi"/>
        </w:rPr>
        <w:t xml:space="preserve"> PBS-listed </w:t>
      </w:r>
      <w:r w:rsidR="00A425FA" w:rsidRPr="004B461E">
        <w:rPr>
          <w:rFonts w:cstheme="minorHAnsi"/>
        </w:rPr>
        <w:t>Ikervis and C</w:t>
      </w:r>
      <w:r w:rsidR="00E76B62" w:rsidRPr="004B461E">
        <w:rPr>
          <w:rFonts w:cstheme="minorHAnsi"/>
        </w:rPr>
        <w:t xml:space="preserve">equa </w:t>
      </w:r>
      <w:r w:rsidR="00407562">
        <w:rPr>
          <w:rFonts w:cstheme="minorHAnsi"/>
        </w:rPr>
        <w:t xml:space="preserve">ciclosporin </w:t>
      </w:r>
      <w:r w:rsidR="00E76B62" w:rsidRPr="004B461E">
        <w:rPr>
          <w:rFonts w:cstheme="minorHAnsi"/>
        </w:rPr>
        <w:t>eye drops</w:t>
      </w:r>
      <w:r w:rsidR="0073736F" w:rsidRPr="004B461E">
        <w:rPr>
          <w:rFonts w:cstheme="minorHAnsi"/>
        </w:rPr>
        <w:t xml:space="preserve">. </w:t>
      </w:r>
    </w:p>
    <w:p w14:paraId="428FA80C" w14:textId="1100F528" w:rsidR="0073736F" w:rsidRPr="001F72F8" w:rsidRDefault="00640D16" w:rsidP="00234751">
      <w:pPr>
        <w:pStyle w:val="3-BodyText"/>
        <w:rPr>
          <w:rFonts w:cstheme="minorHAnsi"/>
          <w:szCs w:val="24"/>
        </w:rPr>
      </w:pPr>
      <w:r w:rsidRPr="001F72F8">
        <w:t>Listing</w:t>
      </w:r>
      <w:r w:rsidRPr="001F72F8">
        <w:rPr>
          <w:rFonts w:cstheme="minorHAnsi"/>
          <w:szCs w:val="24"/>
        </w:rPr>
        <w:t xml:space="preserve"> </w:t>
      </w:r>
      <w:r w:rsidR="00DC732A" w:rsidRPr="001F72F8">
        <w:rPr>
          <w:rFonts w:cstheme="minorHAnsi"/>
          <w:szCs w:val="24"/>
        </w:rPr>
        <w:t xml:space="preserve">was requested </w:t>
      </w:r>
      <w:proofErr w:type="gramStart"/>
      <w:r w:rsidR="00DC732A" w:rsidRPr="001F72F8">
        <w:rPr>
          <w:rFonts w:cstheme="minorHAnsi"/>
          <w:szCs w:val="24"/>
        </w:rPr>
        <w:t>on the basis of</w:t>
      </w:r>
      <w:proofErr w:type="gramEnd"/>
      <w:r w:rsidR="00DC732A" w:rsidRPr="001F72F8">
        <w:rPr>
          <w:rFonts w:cstheme="minorHAnsi"/>
          <w:szCs w:val="24"/>
        </w:rPr>
        <w:t xml:space="preserve"> a cost-minimisation </w:t>
      </w:r>
      <w:r w:rsidR="000414C9" w:rsidRPr="001F72F8">
        <w:rPr>
          <w:rFonts w:cstheme="minorHAnsi"/>
          <w:szCs w:val="24"/>
        </w:rPr>
        <w:t>basis</w:t>
      </w:r>
      <w:r w:rsidR="00DC732A" w:rsidRPr="001F72F8">
        <w:rPr>
          <w:rFonts w:cstheme="minorHAnsi"/>
          <w:szCs w:val="24"/>
        </w:rPr>
        <w:t xml:space="preserve"> versus </w:t>
      </w:r>
      <w:r w:rsidR="00234751" w:rsidRPr="001F72F8">
        <w:rPr>
          <w:rFonts w:cstheme="minorHAnsi"/>
          <w:szCs w:val="24"/>
        </w:rPr>
        <w:t>Ikervis</w:t>
      </w:r>
      <w:r w:rsidR="00475D1A">
        <w:rPr>
          <w:rFonts w:cstheme="minorHAnsi"/>
          <w:szCs w:val="24"/>
        </w:rPr>
        <w:t xml:space="preserve"> and Cequa</w:t>
      </w:r>
      <w:r w:rsidR="00234751" w:rsidRPr="001F72F8">
        <w:rPr>
          <w:rFonts w:cstheme="minorHAnsi"/>
          <w:szCs w:val="24"/>
        </w:rPr>
        <w:t>.</w:t>
      </w:r>
      <w:r w:rsidR="00822162" w:rsidRPr="001F72F8">
        <w:rPr>
          <w:rFonts w:cstheme="minorHAnsi"/>
          <w:szCs w:val="24"/>
        </w:rPr>
        <w:t xml:space="preserve"> </w:t>
      </w:r>
    </w:p>
    <w:p w14:paraId="3D1D4320" w14:textId="12140132" w:rsidR="007E490F" w:rsidRPr="001F72F8" w:rsidRDefault="00556D7A" w:rsidP="001F2311">
      <w:pPr>
        <w:pStyle w:val="2-SectionHeading"/>
        <w:numPr>
          <w:ilvl w:val="0"/>
          <w:numId w:val="2"/>
        </w:numPr>
      </w:pPr>
      <w:r w:rsidRPr="001F72F8">
        <w:t>Current Situation</w:t>
      </w:r>
    </w:p>
    <w:p w14:paraId="5C0D6BC3" w14:textId="03A54459" w:rsidR="004B461E" w:rsidRPr="001F72F8" w:rsidRDefault="00247344" w:rsidP="003D4896">
      <w:pPr>
        <w:pStyle w:val="3-BodyText"/>
      </w:pPr>
      <w:r>
        <w:t>The submission state</w:t>
      </w:r>
      <w:r w:rsidR="009468B1">
        <w:t>d</w:t>
      </w:r>
      <w:r>
        <w:t xml:space="preserve"> that there is considerable variation between patients in terms of tolerability to treatment </w:t>
      </w:r>
      <w:r w:rsidR="0073242A">
        <w:t>with the different ciclosporin eye drop formulations. The submissions state</w:t>
      </w:r>
      <w:r w:rsidR="009468B1">
        <w:t>d</w:t>
      </w:r>
      <w:r w:rsidR="0073242A">
        <w:t xml:space="preserve"> that </w:t>
      </w:r>
      <w:r w:rsidR="003400D6">
        <w:t xml:space="preserve">the water-free vehicle in the Vevye product reduces friction, which </w:t>
      </w:r>
      <w:r w:rsidR="003738E1">
        <w:t>reduces instillation site pain</w:t>
      </w:r>
      <w:r w:rsidR="00574E4D">
        <w:t xml:space="preserve"> and </w:t>
      </w:r>
      <w:r w:rsidR="003400D6">
        <w:t>contributes to efficacy and tolerability</w:t>
      </w:r>
      <w:r w:rsidR="00D915AA">
        <w:t xml:space="preserve"> and that V</w:t>
      </w:r>
      <w:r w:rsidR="00574E4D">
        <w:t>evye</w:t>
      </w:r>
      <w:r w:rsidR="006C66B5">
        <w:t xml:space="preserve"> expands treatment options for patients who cannot tolerate existing PBS-listed therapies.</w:t>
      </w:r>
    </w:p>
    <w:p w14:paraId="33C2C319" w14:textId="66DF215F" w:rsidR="007E490F" w:rsidRPr="001F72F8" w:rsidRDefault="007E490F" w:rsidP="00691A2C">
      <w:pPr>
        <w:pStyle w:val="4-SubsectionHeading"/>
      </w:pPr>
      <w:r w:rsidRPr="001F72F8">
        <w:t>Registration status</w:t>
      </w:r>
    </w:p>
    <w:p w14:paraId="056E0FC8" w14:textId="6F229750" w:rsidR="00FA6ED7" w:rsidRPr="001F72F8" w:rsidRDefault="007D3874" w:rsidP="00DA705B">
      <w:pPr>
        <w:pStyle w:val="3-BodyText"/>
      </w:pPr>
      <w:r w:rsidRPr="001F72F8">
        <w:t>Vevye</w:t>
      </w:r>
      <w:r w:rsidR="007E490F" w:rsidRPr="001F72F8">
        <w:t xml:space="preserve"> was TGA registered on </w:t>
      </w:r>
      <w:r w:rsidR="007346C7" w:rsidRPr="001F72F8">
        <w:t xml:space="preserve">21 October </w:t>
      </w:r>
      <w:r w:rsidR="00DA705B" w:rsidRPr="001F72F8">
        <w:t>2025</w:t>
      </w:r>
      <w:r w:rsidR="007E490F" w:rsidRPr="001F72F8">
        <w:t xml:space="preserve"> for</w:t>
      </w:r>
      <w:r w:rsidR="007E490F" w:rsidRPr="001F72F8" w:rsidDel="009A61CA">
        <w:t xml:space="preserve"> </w:t>
      </w:r>
      <w:r w:rsidR="007346C7" w:rsidRPr="001F72F8">
        <w:t>adult patients for the treatment of moderate to severe dry eye disease (keratoconjunctivitis sicca) which has not improved despite treatment with tear substitutes.</w:t>
      </w:r>
    </w:p>
    <w:p w14:paraId="0094486E" w14:textId="77777777" w:rsidR="007E490F" w:rsidRPr="001F72F8" w:rsidRDefault="007E490F" w:rsidP="00691A2C">
      <w:pPr>
        <w:pStyle w:val="4-SubsectionHeading"/>
      </w:pPr>
      <w:r w:rsidRPr="001F72F8">
        <w:t xml:space="preserve">Previous PBAC consideration </w:t>
      </w:r>
    </w:p>
    <w:p w14:paraId="56C938A2" w14:textId="1415E8AA" w:rsidR="007E490F" w:rsidRDefault="008B70D3" w:rsidP="004240FC">
      <w:pPr>
        <w:pStyle w:val="3-BodyText"/>
      </w:pPr>
      <w:r w:rsidRPr="001F72F8">
        <w:t xml:space="preserve">Vevye </w:t>
      </w:r>
      <w:r w:rsidR="007E490F" w:rsidRPr="001F72F8">
        <w:t>has not been considered by the PBAC previously.</w:t>
      </w:r>
    </w:p>
    <w:p w14:paraId="7899639F" w14:textId="3CDECCB5" w:rsidR="00166958" w:rsidRDefault="00AC721D" w:rsidP="00700372">
      <w:pPr>
        <w:pStyle w:val="3-BodyText"/>
      </w:pPr>
      <w:r>
        <w:t xml:space="preserve">Ikervis was considered by the PBAC at its </w:t>
      </w:r>
      <w:r w:rsidR="00077882">
        <w:t xml:space="preserve">March 2021 meeting and was recommended for </w:t>
      </w:r>
      <w:r w:rsidR="00700372">
        <w:t xml:space="preserve">the treatment of severe keratitis with dry eye disease. </w:t>
      </w:r>
    </w:p>
    <w:p w14:paraId="6DDB40B0" w14:textId="45AC8C4E" w:rsidR="00700372" w:rsidRPr="001F72F8" w:rsidRDefault="00700372" w:rsidP="000C3792">
      <w:pPr>
        <w:pStyle w:val="3-BodyText"/>
      </w:pPr>
      <w:r>
        <w:t xml:space="preserve">Cequa was considered by the PBAC at its </w:t>
      </w:r>
      <w:r w:rsidR="006E3FC9">
        <w:t xml:space="preserve">March 2022 and was recommended </w:t>
      </w:r>
      <w:r w:rsidR="000C3792">
        <w:t>for the treatment of chronic severe dry eye disease with keratitis</w:t>
      </w:r>
      <w:r w:rsidR="00321D74">
        <w:t xml:space="preserve"> </w:t>
      </w:r>
      <w:proofErr w:type="gramStart"/>
      <w:r w:rsidR="00321D74">
        <w:t>on the basis of</w:t>
      </w:r>
      <w:proofErr w:type="gramEnd"/>
      <w:r w:rsidR="00321D74">
        <w:t xml:space="preserve"> a CMA versus Ikervis</w:t>
      </w:r>
      <w:r w:rsidR="000C3792">
        <w:t>.</w:t>
      </w:r>
    </w:p>
    <w:p w14:paraId="7067C32D" w14:textId="3C3E489E" w:rsidR="006A792C" w:rsidRPr="00203FFC" w:rsidRDefault="006A792C" w:rsidP="00D91AA9">
      <w:pPr>
        <w:pStyle w:val="3-BodyText"/>
        <w:numPr>
          <w:ilvl w:val="0"/>
          <w:numId w:val="0"/>
        </w:numPr>
        <w:ind w:firstLine="720"/>
        <w:rPr>
          <w:i/>
        </w:rPr>
      </w:pPr>
      <w:r w:rsidRPr="00203FFC">
        <w:rPr>
          <w:i/>
        </w:rPr>
        <w:t xml:space="preserve">For more detail on </w:t>
      </w:r>
      <w:r w:rsidRPr="00203FFC">
        <w:rPr>
          <w:i/>
          <w:iCs/>
        </w:rPr>
        <w:t>PBAC</w:t>
      </w:r>
      <w:r w:rsidR="00203FFC">
        <w:rPr>
          <w:i/>
          <w:iCs/>
        </w:rPr>
        <w:t>’</w:t>
      </w:r>
      <w:r w:rsidRPr="00203FFC">
        <w:rPr>
          <w:i/>
          <w:iCs/>
        </w:rPr>
        <w:t>s</w:t>
      </w:r>
      <w:r w:rsidRPr="00203FFC">
        <w:rPr>
          <w:i/>
        </w:rPr>
        <w:t xml:space="preserve"> view, see Section 6 PBAC outcome.</w:t>
      </w:r>
    </w:p>
    <w:p w14:paraId="1B8790B6" w14:textId="77777777" w:rsidR="00964A9F" w:rsidRPr="00A6439B" w:rsidRDefault="00964A9F" w:rsidP="00964A9F">
      <w:pPr>
        <w:pStyle w:val="2-SectionHeading"/>
      </w:pPr>
      <w:r w:rsidRPr="00A6439B">
        <w:lastRenderedPageBreak/>
        <w:t xml:space="preserve">Requested listing </w:t>
      </w:r>
    </w:p>
    <w:p w14:paraId="754FF25B" w14:textId="25AA8CCC" w:rsidR="00964A9F" w:rsidRDefault="000B156E" w:rsidP="00F8099C">
      <w:pPr>
        <w:pStyle w:val="3-BodyText"/>
      </w:pPr>
      <w:r>
        <w:t xml:space="preserve">The submission proposed </w:t>
      </w:r>
      <w:r w:rsidR="0008198C">
        <w:t xml:space="preserve">for </w:t>
      </w:r>
      <w:r>
        <w:t xml:space="preserve">a </w:t>
      </w:r>
      <w:r w:rsidR="005C0D70" w:rsidRPr="001F72F8">
        <w:t>General Schedule</w:t>
      </w:r>
      <w:r w:rsidR="003B0FB4">
        <w:t xml:space="preserve"> Authority Required (telephone/electronic)</w:t>
      </w:r>
      <w:r>
        <w:t xml:space="preserve"> listing</w:t>
      </w:r>
      <w:r w:rsidR="00D6631B">
        <w:t xml:space="preserve"> that align</w:t>
      </w:r>
      <w:r w:rsidR="00B26106">
        <w:t>s</w:t>
      </w:r>
      <w:r w:rsidR="00D6631B">
        <w:t xml:space="preserve"> with the </w:t>
      </w:r>
      <w:r w:rsidR="00F90444">
        <w:t xml:space="preserve">current </w:t>
      </w:r>
      <w:r w:rsidR="00F8099C">
        <w:t xml:space="preserve">PBS </w:t>
      </w:r>
      <w:r w:rsidR="00F90444">
        <w:t>restriction</w:t>
      </w:r>
      <w:r w:rsidR="00625CEF">
        <w:t xml:space="preserve">s </w:t>
      </w:r>
      <w:r w:rsidR="00F90444">
        <w:t>for Ikervis</w:t>
      </w:r>
      <w:r w:rsidR="00625CEF">
        <w:t xml:space="preserve"> and Cequa</w:t>
      </w:r>
      <w:r w:rsidR="00F90444">
        <w:t xml:space="preserve">. </w:t>
      </w:r>
      <w:r w:rsidR="00E90ABD">
        <w:t>Suggested additions are in italics</w:t>
      </w:r>
      <w:r w:rsidR="00CC1347">
        <w:t xml:space="preserve"> and removal</w:t>
      </w:r>
      <w:r w:rsidR="00BA5727">
        <w:t>s in strikethrough</w:t>
      </w:r>
      <w:r w:rsidR="00FC75A9">
        <w:t>.</w:t>
      </w:r>
      <w:r w:rsidR="00E90ABD">
        <w:t xml:space="preserve"> </w:t>
      </w:r>
    </w:p>
    <w:p w14:paraId="1BEDB444" w14:textId="367FAF4C" w:rsidR="005E0050" w:rsidRPr="00F2060E" w:rsidRDefault="005E0050" w:rsidP="00F2060E">
      <w:pPr>
        <w:jc w:val="left"/>
        <w:rPr>
          <w:rFonts w:ascii="Arial Narrow" w:hAnsi="Arial Narrow" w:cstheme="minorHAnsi"/>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1272"/>
        <w:gridCol w:w="2668"/>
        <w:gridCol w:w="811"/>
        <w:gridCol w:w="811"/>
        <w:gridCol w:w="811"/>
        <w:gridCol w:w="811"/>
        <w:gridCol w:w="1832"/>
      </w:tblGrid>
      <w:tr w:rsidR="00AA24E9" w:rsidRPr="001428E9" w14:paraId="090EC971" w14:textId="77777777" w:rsidTr="00AE698F">
        <w:trPr>
          <w:trHeight w:val="20"/>
        </w:trPr>
        <w:tc>
          <w:tcPr>
            <w:tcW w:w="2184" w:type="pct"/>
            <w:gridSpan w:val="2"/>
            <w:vAlign w:val="center"/>
          </w:tcPr>
          <w:p w14:paraId="6811159C" w14:textId="77777777" w:rsidR="00AA24E9" w:rsidRPr="001428E9" w:rsidRDefault="00AA24E9" w:rsidP="00D91AA9">
            <w:pPr>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rsidP="00D91AA9">
            <w:pPr>
              <w:rPr>
                <w:rFonts w:ascii="Arial Narrow" w:hAnsi="Arial Narrow" w:cs="Arial"/>
                <w:b/>
                <w:sz w:val="20"/>
                <w:szCs w:val="20"/>
              </w:rPr>
            </w:pPr>
            <w:r w:rsidRPr="001428E9">
              <w:rPr>
                <w:rFonts w:ascii="Arial Narrow" w:hAnsi="Arial Narrow" w:cs="Arial"/>
                <w:b/>
                <w:bCs/>
                <w:sz w:val="20"/>
                <w:szCs w:val="20"/>
              </w:rPr>
              <w:t>medicinal product pack</w:t>
            </w:r>
          </w:p>
        </w:tc>
        <w:tc>
          <w:tcPr>
            <w:tcW w:w="450" w:type="pct"/>
            <w:vAlign w:val="center"/>
          </w:tcPr>
          <w:p w14:paraId="5ABDBDFA" w14:textId="13DF0A59" w:rsidR="00AA24E9" w:rsidRPr="001428E9" w:rsidRDefault="005B2138" w:rsidP="00D91AA9">
            <w:pPr>
              <w:jc w:val="center"/>
              <w:rPr>
                <w:rFonts w:ascii="Arial Narrow" w:hAnsi="Arial Narrow" w:cs="Arial"/>
                <w:b/>
                <w:sz w:val="20"/>
                <w:szCs w:val="20"/>
              </w:rPr>
            </w:pPr>
            <w:r>
              <w:rPr>
                <w:rFonts w:ascii="Arial Narrow" w:hAnsi="Arial Narrow" w:cs="Arial"/>
                <w:b/>
                <w:sz w:val="20"/>
                <w:szCs w:val="20"/>
              </w:rPr>
              <w:t>PBS item code</w:t>
            </w:r>
          </w:p>
        </w:tc>
        <w:tc>
          <w:tcPr>
            <w:tcW w:w="450" w:type="pct"/>
            <w:vAlign w:val="center"/>
          </w:tcPr>
          <w:p w14:paraId="3C2E0426" w14:textId="77777777" w:rsidR="00AA24E9" w:rsidRPr="001428E9" w:rsidRDefault="00AA24E9" w:rsidP="00D91AA9">
            <w:pPr>
              <w:jc w:val="center"/>
              <w:rPr>
                <w:rFonts w:ascii="Arial Narrow" w:hAnsi="Arial Narrow" w:cs="Arial"/>
                <w:b/>
                <w:sz w:val="20"/>
                <w:szCs w:val="20"/>
              </w:rPr>
            </w:pPr>
            <w:r w:rsidRPr="001428E9">
              <w:rPr>
                <w:rFonts w:ascii="Arial Narrow" w:hAnsi="Arial Narrow" w:cs="Arial"/>
                <w:b/>
                <w:sz w:val="20"/>
                <w:szCs w:val="20"/>
              </w:rPr>
              <w:t>Max. qty packs</w:t>
            </w:r>
          </w:p>
        </w:tc>
        <w:tc>
          <w:tcPr>
            <w:tcW w:w="450" w:type="pct"/>
            <w:vAlign w:val="center"/>
          </w:tcPr>
          <w:p w14:paraId="4C6207F6" w14:textId="77777777" w:rsidR="00AA24E9" w:rsidRPr="001428E9" w:rsidRDefault="00AA24E9" w:rsidP="00D91AA9">
            <w:pPr>
              <w:jc w:val="center"/>
              <w:rPr>
                <w:rFonts w:ascii="Arial Narrow" w:hAnsi="Arial Narrow" w:cs="Arial"/>
                <w:b/>
                <w:sz w:val="20"/>
                <w:szCs w:val="20"/>
              </w:rPr>
            </w:pPr>
            <w:r w:rsidRPr="001428E9">
              <w:rPr>
                <w:rFonts w:ascii="Arial Narrow" w:hAnsi="Arial Narrow" w:cs="Arial"/>
                <w:b/>
                <w:sz w:val="20"/>
                <w:szCs w:val="20"/>
              </w:rPr>
              <w:t>Max. qty units</w:t>
            </w:r>
          </w:p>
        </w:tc>
        <w:tc>
          <w:tcPr>
            <w:tcW w:w="450" w:type="pct"/>
            <w:vAlign w:val="center"/>
          </w:tcPr>
          <w:p w14:paraId="67D84042" w14:textId="77777777" w:rsidR="00AA24E9" w:rsidRPr="001428E9" w:rsidRDefault="00AA24E9" w:rsidP="00D91AA9">
            <w:pPr>
              <w:jc w:val="center"/>
              <w:rPr>
                <w:rFonts w:ascii="Arial Narrow" w:hAnsi="Arial Narrow" w:cs="Arial"/>
                <w:b/>
                <w:sz w:val="20"/>
                <w:szCs w:val="20"/>
              </w:rPr>
            </w:pPr>
            <w:r w:rsidRPr="001428E9">
              <w:rPr>
                <w:rFonts w:ascii="Arial Narrow" w:hAnsi="Arial Narrow" w:cs="Arial"/>
                <w:b/>
                <w:sz w:val="20"/>
                <w:szCs w:val="20"/>
              </w:rPr>
              <w:t>№.of</w:t>
            </w:r>
          </w:p>
          <w:p w14:paraId="6E260049" w14:textId="77777777" w:rsidR="00AA24E9" w:rsidRPr="001428E9" w:rsidRDefault="00AA24E9" w:rsidP="00D91AA9">
            <w:pPr>
              <w:jc w:val="center"/>
              <w:rPr>
                <w:rFonts w:ascii="Arial Narrow" w:hAnsi="Arial Narrow" w:cs="Arial"/>
                <w:b/>
                <w:sz w:val="20"/>
                <w:szCs w:val="20"/>
              </w:rPr>
            </w:pPr>
            <w:r w:rsidRPr="001428E9">
              <w:rPr>
                <w:rFonts w:ascii="Arial Narrow" w:hAnsi="Arial Narrow" w:cs="Arial"/>
                <w:b/>
                <w:sz w:val="20"/>
                <w:szCs w:val="20"/>
              </w:rPr>
              <w:t>Rpts</w:t>
            </w:r>
          </w:p>
        </w:tc>
        <w:tc>
          <w:tcPr>
            <w:tcW w:w="1015" w:type="pct"/>
            <w:vAlign w:val="center"/>
          </w:tcPr>
          <w:p w14:paraId="42E5E854" w14:textId="77777777" w:rsidR="00AA24E9" w:rsidRPr="001428E9" w:rsidRDefault="00AA24E9" w:rsidP="00D91AA9">
            <w:pPr>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rsidTr="00AE698F">
        <w:trPr>
          <w:trHeight w:val="20"/>
        </w:trPr>
        <w:tc>
          <w:tcPr>
            <w:tcW w:w="5000" w:type="pct"/>
            <w:gridSpan w:val="7"/>
            <w:vAlign w:val="center"/>
          </w:tcPr>
          <w:p w14:paraId="1752AF3F" w14:textId="3EA1915C" w:rsidR="00AA24E9" w:rsidRPr="001428E9" w:rsidRDefault="00C92693" w:rsidP="00D91AA9">
            <w:pPr>
              <w:rPr>
                <w:rFonts w:ascii="Arial Narrow" w:hAnsi="Arial Narrow" w:cs="Arial"/>
                <w:sz w:val="20"/>
                <w:szCs w:val="20"/>
              </w:rPr>
            </w:pPr>
            <w:r>
              <w:rPr>
                <w:rFonts w:ascii="Arial Narrow" w:hAnsi="Arial Narrow" w:cs="Arial"/>
                <w:sz w:val="20"/>
                <w:szCs w:val="20"/>
              </w:rPr>
              <w:t>CICLOSPORIN</w:t>
            </w:r>
          </w:p>
        </w:tc>
      </w:tr>
      <w:tr w:rsidR="00AA24E9" w:rsidRPr="001428E9" w14:paraId="28F8C744" w14:textId="77777777" w:rsidTr="00AE698F">
        <w:trPr>
          <w:trHeight w:val="199"/>
        </w:trPr>
        <w:tc>
          <w:tcPr>
            <w:tcW w:w="2184" w:type="pct"/>
            <w:gridSpan w:val="2"/>
            <w:vAlign w:val="center"/>
          </w:tcPr>
          <w:p w14:paraId="2A765B9C" w14:textId="576B5E97" w:rsidR="00AA24E9" w:rsidRPr="001428E9" w:rsidRDefault="00C92693" w:rsidP="00D91AA9">
            <w:pPr>
              <w:rPr>
                <w:rFonts w:ascii="Arial Narrow" w:hAnsi="Arial Narrow" w:cs="Arial"/>
                <w:sz w:val="20"/>
                <w:szCs w:val="20"/>
              </w:rPr>
            </w:pPr>
            <w:r>
              <w:rPr>
                <w:rFonts w:ascii="Arial Narrow" w:hAnsi="Arial Narrow" w:cs="Arial"/>
                <w:sz w:val="20"/>
                <w:szCs w:val="20"/>
              </w:rPr>
              <w:t xml:space="preserve">ciclosporin </w:t>
            </w:r>
            <w:r w:rsidR="00D72EC5">
              <w:rPr>
                <w:rFonts w:ascii="Arial Narrow" w:hAnsi="Arial Narrow" w:cs="Arial"/>
                <w:sz w:val="20"/>
                <w:szCs w:val="20"/>
              </w:rPr>
              <w:t>0.</w:t>
            </w:r>
            <w:r w:rsidR="00B27304">
              <w:rPr>
                <w:rFonts w:ascii="Arial Narrow" w:hAnsi="Arial Narrow" w:cs="Arial"/>
                <w:sz w:val="20"/>
                <w:szCs w:val="20"/>
              </w:rPr>
              <w:t>1</w:t>
            </w:r>
            <w:r w:rsidR="00D72EC5">
              <w:rPr>
                <w:rFonts w:ascii="Arial Narrow" w:hAnsi="Arial Narrow" w:cs="Arial"/>
                <w:sz w:val="20"/>
                <w:szCs w:val="20"/>
              </w:rPr>
              <w:t>%</w:t>
            </w:r>
            <w:r w:rsidR="008555F0" w:rsidRPr="008555F0">
              <w:rPr>
                <w:rFonts w:ascii="Arial Narrow" w:hAnsi="Arial Narrow" w:cs="Arial"/>
                <w:sz w:val="20"/>
                <w:szCs w:val="20"/>
              </w:rPr>
              <w:t xml:space="preserve"> eye drops</w:t>
            </w:r>
            <w:r w:rsidR="00D72EC5" w:rsidRPr="00EF4050">
              <w:rPr>
                <w:rFonts w:ascii="Arial Narrow" w:hAnsi="Arial Narrow" w:cs="Arial"/>
                <w:i/>
                <w:iCs/>
                <w:sz w:val="20"/>
                <w:szCs w:val="20"/>
              </w:rPr>
              <w:t>,</w:t>
            </w:r>
            <w:r w:rsidR="00D72EC5">
              <w:rPr>
                <w:rFonts w:ascii="Arial Narrow" w:hAnsi="Arial Narrow" w:cs="Arial"/>
                <w:sz w:val="20"/>
                <w:szCs w:val="20"/>
              </w:rPr>
              <w:t xml:space="preserve"> 2 mL</w:t>
            </w:r>
            <w:r w:rsidR="008555F0" w:rsidRPr="008555F0">
              <w:rPr>
                <w:rFonts w:ascii="Arial Narrow" w:hAnsi="Arial Narrow" w:cs="Arial"/>
                <w:sz w:val="20"/>
                <w:szCs w:val="20"/>
              </w:rPr>
              <w:t xml:space="preserve"> </w:t>
            </w:r>
            <w:r w:rsidR="008555F0" w:rsidRPr="00EF4050">
              <w:rPr>
                <w:rFonts w:ascii="Arial Narrow" w:hAnsi="Arial Narrow" w:cs="Arial"/>
                <w:strike/>
                <w:sz w:val="20"/>
                <w:szCs w:val="20"/>
              </w:rPr>
              <w:t>bottle</w:t>
            </w:r>
          </w:p>
        </w:tc>
        <w:tc>
          <w:tcPr>
            <w:tcW w:w="450" w:type="pct"/>
            <w:vAlign w:val="center"/>
          </w:tcPr>
          <w:p w14:paraId="19A53E20" w14:textId="20C2EBF1" w:rsidR="0036397E" w:rsidRPr="00EF4050" w:rsidRDefault="00AD1841" w:rsidP="00D91AA9">
            <w:pPr>
              <w:jc w:val="center"/>
              <w:rPr>
                <w:rFonts w:ascii="Arial Narrow" w:hAnsi="Arial Narrow" w:cs="Arial"/>
                <w:i/>
                <w:iCs/>
                <w:sz w:val="20"/>
                <w:szCs w:val="20"/>
              </w:rPr>
            </w:pPr>
            <w:r>
              <w:rPr>
                <w:rFonts w:ascii="Arial Narrow" w:hAnsi="Arial Narrow" w:cs="Arial"/>
                <w:i/>
                <w:iCs/>
                <w:sz w:val="20"/>
                <w:szCs w:val="20"/>
              </w:rPr>
              <w:t>NEW</w:t>
            </w:r>
          </w:p>
        </w:tc>
        <w:tc>
          <w:tcPr>
            <w:tcW w:w="450" w:type="pct"/>
            <w:vAlign w:val="center"/>
          </w:tcPr>
          <w:p w14:paraId="734D0BEB" w14:textId="77777777" w:rsidR="00AA24E9" w:rsidRPr="001428E9" w:rsidRDefault="00AA24E9" w:rsidP="00D91AA9">
            <w:pPr>
              <w:jc w:val="center"/>
              <w:rPr>
                <w:rFonts w:ascii="Arial Narrow" w:hAnsi="Arial Narrow" w:cs="Arial"/>
                <w:sz w:val="20"/>
                <w:szCs w:val="20"/>
              </w:rPr>
            </w:pPr>
            <w:r w:rsidRPr="001428E9">
              <w:rPr>
                <w:rFonts w:ascii="Arial Narrow" w:hAnsi="Arial Narrow" w:cs="Arial"/>
                <w:sz w:val="20"/>
                <w:szCs w:val="20"/>
              </w:rPr>
              <w:t>1</w:t>
            </w:r>
          </w:p>
        </w:tc>
        <w:tc>
          <w:tcPr>
            <w:tcW w:w="450" w:type="pct"/>
            <w:vAlign w:val="center"/>
          </w:tcPr>
          <w:p w14:paraId="6DCF1C59" w14:textId="676F5F66" w:rsidR="00AA24E9" w:rsidRPr="001428E9" w:rsidRDefault="00AF1FE6" w:rsidP="00D91AA9">
            <w:pPr>
              <w:jc w:val="center"/>
              <w:rPr>
                <w:rFonts w:ascii="Arial Narrow" w:hAnsi="Arial Narrow" w:cs="Arial"/>
                <w:sz w:val="20"/>
                <w:szCs w:val="20"/>
              </w:rPr>
            </w:pPr>
            <w:r>
              <w:rPr>
                <w:rFonts w:ascii="Arial Narrow" w:hAnsi="Arial Narrow" w:cs="Arial"/>
                <w:sz w:val="20"/>
                <w:szCs w:val="20"/>
              </w:rPr>
              <w:t>1</w:t>
            </w:r>
          </w:p>
        </w:tc>
        <w:tc>
          <w:tcPr>
            <w:tcW w:w="450" w:type="pct"/>
            <w:vAlign w:val="center"/>
          </w:tcPr>
          <w:p w14:paraId="3D7F646A" w14:textId="77777777" w:rsidR="00AA24E9" w:rsidRPr="001428E9" w:rsidRDefault="00AA24E9" w:rsidP="00D91AA9">
            <w:pPr>
              <w:jc w:val="center"/>
              <w:rPr>
                <w:rFonts w:ascii="Arial Narrow" w:hAnsi="Arial Narrow" w:cs="Arial"/>
                <w:sz w:val="20"/>
                <w:szCs w:val="20"/>
              </w:rPr>
            </w:pPr>
            <w:r w:rsidRPr="001428E9">
              <w:rPr>
                <w:rFonts w:ascii="Arial Narrow" w:hAnsi="Arial Narrow" w:cs="Arial"/>
                <w:sz w:val="20"/>
                <w:szCs w:val="20"/>
              </w:rPr>
              <w:t>5</w:t>
            </w:r>
          </w:p>
        </w:tc>
        <w:tc>
          <w:tcPr>
            <w:tcW w:w="1015" w:type="pct"/>
            <w:vAlign w:val="center"/>
          </w:tcPr>
          <w:p w14:paraId="5B3C0781" w14:textId="6747115B" w:rsidR="00AA24E9" w:rsidRPr="001428E9" w:rsidRDefault="00AF1FE6" w:rsidP="00D91AA9">
            <w:pPr>
              <w:rPr>
                <w:rFonts w:ascii="Arial Narrow" w:hAnsi="Arial Narrow" w:cs="Arial"/>
                <w:sz w:val="20"/>
                <w:szCs w:val="20"/>
              </w:rPr>
            </w:pPr>
            <w:r>
              <w:rPr>
                <w:rFonts w:ascii="Arial Narrow" w:hAnsi="Arial Narrow" w:cs="Arial"/>
                <w:sz w:val="20"/>
                <w:szCs w:val="20"/>
              </w:rPr>
              <w:t>Vevye</w:t>
            </w:r>
          </w:p>
        </w:tc>
      </w:tr>
      <w:tr w:rsidR="00AA24E9" w:rsidRPr="001428E9" w14:paraId="1CA3A3BB" w14:textId="77777777" w:rsidTr="00AE698F">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1E1C087" w14:textId="1FE4518F" w:rsidR="00AA24E9" w:rsidRPr="001428E9" w:rsidRDefault="00AA24E9" w:rsidP="00192106">
            <w:pPr>
              <w:rPr>
                <w:rFonts w:ascii="Arial Narrow" w:hAnsi="Arial Narrow" w:cs="Arial"/>
                <w:sz w:val="20"/>
                <w:szCs w:val="20"/>
              </w:rPr>
            </w:pPr>
          </w:p>
        </w:tc>
      </w:tr>
      <w:tr w:rsidR="00AA24E9" w:rsidRPr="001428E9" w14:paraId="351E5687" w14:textId="77777777" w:rsidTr="00AE698F">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7E696EFF" w14:textId="77777777" w:rsidR="00AA24E9" w:rsidRPr="00A260AF" w:rsidRDefault="00AA24E9" w:rsidP="00192106">
            <w:pPr>
              <w:jc w:val="center"/>
              <w:rPr>
                <w:rFonts w:ascii="Arial Narrow" w:hAnsi="Arial Narrow" w:cs="Arial"/>
                <w:bCs/>
                <w:sz w:val="20"/>
                <w:szCs w:val="20"/>
              </w:rPr>
            </w:pPr>
            <w:r w:rsidRPr="00A260AF">
              <w:rPr>
                <w:rFonts w:ascii="Arial Narrow" w:hAnsi="Arial Narrow" w:cs="Arial"/>
                <w:bCs/>
                <w:sz w:val="20"/>
                <w:szCs w:val="20"/>
              </w:rPr>
              <w:t>Concept ID (for internal Dept. use)</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283CB63" w14:textId="1A81D1A6" w:rsidR="00AA24E9" w:rsidRPr="00A260AF" w:rsidRDefault="00AA24E9" w:rsidP="00D91AA9">
            <w:pPr>
              <w:rPr>
                <w:rFonts w:ascii="Arial Narrow" w:hAnsi="Arial Narrow" w:cs="Arial"/>
                <w:bCs/>
                <w:sz w:val="20"/>
                <w:szCs w:val="20"/>
              </w:rPr>
            </w:pPr>
            <w:r w:rsidRPr="00810A02">
              <w:rPr>
                <w:rFonts w:ascii="Arial Narrow" w:hAnsi="Arial Narrow" w:cs="Arial"/>
                <w:b/>
                <w:sz w:val="20"/>
                <w:szCs w:val="20"/>
              </w:rPr>
              <w:t>Category / Program:</w:t>
            </w:r>
            <w:r w:rsidRPr="00A260AF">
              <w:rPr>
                <w:rFonts w:ascii="Arial Narrow" w:hAnsi="Arial Narrow" w:cs="Arial"/>
                <w:bCs/>
                <w:sz w:val="20"/>
                <w:szCs w:val="20"/>
              </w:rPr>
              <w:t xml:space="preserve"> </w:t>
            </w:r>
            <w:r w:rsidR="005C3138" w:rsidRPr="00A260AF">
              <w:rPr>
                <w:rFonts w:ascii="Arial Narrow" w:eastAsia="Calibri" w:hAnsi="Arial Narrow" w:cs="Arial"/>
                <w:bCs/>
                <w:sz w:val="20"/>
                <w:szCs w:val="20"/>
              </w:rPr>
              <w:fldChar w:fldCharType="begin">
                <w:ffData>
                  <w:name w:val="Check1"/>
                  <w:enabled/>
                  <w:calcOnExit w:val="0"/>
                  <w:checkBox>
                    <w:sizeAuto/>
                    <w:default w:val="1"/>
                  </w:checkBox>
                </w:ffData>
              </w:fldChar>
            </w:r>
            <w:bookmarkStart w:id="0" w:name="Check1"/>
            <w:r w:rsidR="005C3138" w:rsidRPr="00A260AF">
              <w:rPr>
                <w:rFonts w:ascii="Arial Narrow" w:eastAsia="Calibri" w:hAnsi="Arial Narrow" w:cs="Arial"/>
                <w:bCs/>
                <w:sz w:val="20"/>
                <w:szCs w:val="20"/>
              </w:rPr>
              <w:instrText xml:space="preserve"> FORMCHECKBOX </w:instrText>
            </w:r>
            <w:r w:rsidR="005C3138" w:rsidRPr="00A260AF">
              <w:rPr>
                <w:rFonts w:ascii="Arial Narrow" w:eastAsia="Calibri" w:hAnsi="Arial Narrow" w:cs="Arial"/>
                <w:bCs/>
                <w:sz w:val="20"/>
                <w:szCs w:val="20"/>
              </w:rPr>
            </w:r>
            <w:r w:rsidR="005C3138" w:rsidRPr="00A260AF">
              <w:rPr>
                <w:rFonts w:ascii="Arial Narrow" w:eastAsia="Calibri" w:hAnsi="Arial Narrow" w:cs="Arial"/>
                <w:bCs/>
                <w:sz w:val="20"/>
                <w:szCs w:val="20"/>
              </w:rPr>
              <w:fldChar w:fldCharType="separate"/>
            </w:r>
            <w:r w:rsidR="005C3138" w:rsidRPr="00A260AF">
              <w:rPr>
                <w:rFonts w:ascii="Arial Narrow" w:eastAsia="Calibri" w:hAnsi="Arial Narrow" w:cs="Arial"/>
                <w:bCs/>
                <w:sz w:val="20"/>
                <w:szCs w:val="20"/>
              </w:rPr>
              <w:fldChar w:fldCharType="end"/>
            </w:r>
            <w:bookmarkEnd w:id="0"/>
            <w:r w:rsidRPr="00A260AF">
              <w:rPr>
                <w:rFonts w:ascii="Arial Narrow" w:eastAsia="Calibri" w:hAnsi="Arial Narrow" w:cs="Arial"/>
                <w:bCs/>
                <w:sz w:val="20"/>
                <w:szCs w:val="20"/>
              </w:rPr>
              <w:t xml:space="preserve"> GENERAL - General Schedule (Code GE)</w:t>
            </w:r>
          </w:p>
        </w:tc>
      </w:tr>
      <w:tr w:rsidR="00AA24E9" w:rsidRPr="001428E9" w14:paraId="69F11352" w14:textId="77777777" w:rsidTr="00AE698F">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67EA5068" w14:textId="77777777" w:rsidR="00AA24E9" w:rsidRPr="00A260AF" w:rsidRDefault="00AA24E9" w:rsidP="00192106">
            <w:pPr>
              <w:rPr>
                <w:rFonts w:ascii="Arial Narrow" w:hAnsi="Arial Narrow" w:cs="Arial"/>
                <w:bCs/>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758AD3ED" w14:textId="1575BF64" w:rsidR="00AA24E9" w:rsidRPr="00A260AF" w:rsidRDefault="00AA24E9" w:rsidP="00D91AA9">
            <w:pPr>
              <w:rPr>
                <w:bCs/>
              </w:rPr>
            </w:pPr>
            <w:r w:rsidRPr="00810A02">
              <w:rPr>
                <w:rFonts w:ascii="Arial Narrow" w:hAnsi="Arial Narrow" w:cs="Arial"/>
                <w:b/>
                <w:sz w:val="20"/>
                <w:szCs w:val="20"/>
              </w:rPr>
              <w:t>Prescriber type:</w:t>
            </w:r>
            <w:r w:rsidR="00323148" w:rsidRPr="00A260AF">
              <w:rPr>
                <w:bCs/>
              </w:rPr>
              <w:t xml:space="preserve"> </w:t>
            </w:r>
            <w:r w:rsidR="00323148" w:rsidRPr="00A260AF">
              <w:rPr>
                <w:rFonts w:ascii="Arial Narrow" w:hAnsi="Arial Narrow" w:cs="Arial"/>
                <w:bCs/>
                <w:sz w:val="20"/>
                <w:szCs w:val="20"/>
              </w:rPr>
              <w:fldChar w:fldCharType="begin">
                <w:ffData>
                  <w:name w:val=""/>
                  <w:enabled/>
                  <w:calcOnExit w:val="0"/>
                  <w:checkBox>
                    <w:sizeAuto/>
                    <w:default w:val="1"/>
                  </w:checkBox>
                </w:ffData>
              </w:fldChar>
            </w:r>
            <w:r w:rsidR="00323148" w:rsidRPr="00A260AF">
              <w:rPr>
                <w:rFonts w:ascii="Arial Narrow" w:hAnsi="Arial Narrow" w:cs="Arial"/>
                <w:bCs/>
                <w:sz w:val="20"/>
                <w:szCs w:val="20"/>
              </w:rPr>
              <w:instrText xml:space="preserve"> FORMCHECKBOX </w:instrText>
            </w:r>
            <w:r w:rsidR="00323148" w:rsidRPr="00A260AF">
              <w:rPr>
                <w:rFonts w:ascii="Arial Narrow" w:hAnsi="Arial Narrow" w:cs="Arial"/>
                <w:bCs/>
                <w:sz w:val="20"/>
                <w:szCs w:val="20"/>
              </w:rPr>
            </w:r>
            <w:r w:rsidR="00323148" w:rsidRPr="00A260AF">
              <w:rPr>
                <w:rFonts w:ascii="Arial Narrow" w:hAnsi="Arial Narrow" w:cs="Arial"/>
                <w:bCs/>
                <w:sz w:val="20"/>
                <w:szCs w:val="20"/>
              </w:rPr>
              <w:fldChar w:fldCharType="separate"/>
            </w:r>
            <w:r w:rsidR="00323148" w:rsidRPr="00A260AF">
              <w:rPr>
                <w:rFonts w:ascii="Arial Narrow" w:hAnsi="Arial Narrow" w:cs="Arial"/>
                <w:bCs/>
                <w:sz w:val="20"/>
                <w:szCs w:val="20"/>
              </w:rPr>
              <w:fldChar w:fldCharType="end"/>
            </w:r>
            <w:r w:rsidRPr="00A260AF">
              <w:rPr>
                <w:rFonts w:ascii="Arial Narrow" w:hAnsi="Arial Narrow" w:cs="Arial"/>
                <w:bCs/>
                <w:sz w:val="20"/>
                <w:szCs w:val="20"/>
              </w:rPr>
              <w:t xml:space="preserve">Medical Practitioners </w:t>
            </w:r>
            <w:r w:rsidR="00323148" w:rsidRPr="00A260AF">
              <w:rPr>
                <w:rFonts w:ascii="Arial Narrow" w:hAnsi="Arial Narrow" w:cs="Arial"/>
                <w:bCs/>
                <w:sz w:val="20"/>
                <w:szCs w:val="20"/>
              </w:rPr>
              <w:fldChar w:fldCharType="begin">
                <w:ffData>
                  <w:name w:val=""/>
                  <w:enabled/>
                  <w:calcOnExit w:val="0"/>
                  <w:checkBox>
                    <w:sizeAuto/>
                    <w:default w:val="1"/>
                  </w:checkBox>
                </w:ffData>
              </w:fldChar>
            </w:r>
            <w:r w:rsidR="00323148" w:rsidRPr="00A260AF">
              <w:rPr>
                <w:rFonts w:ascii="Arial Narrow" w:hAnsi="Arial Narrow" w:cs="Arial"/>
                <w:bCs/>
                <w:sz w:val="20"/>
                <w:szCs w:val="20"/>
              </w:rPr>
              <w:instrText xml:space="preserve"> FORMCHECKBOX </w:instrText>
            </w:r>
            <w:r w:rsidR="00323148" w:rsidRPr="00A260AF">
              <w:rPr>
                <w:rFonts w:ascii="Arial Narrow" w:hAnsi="Arial Narrow" w:cs="Arial"/>
                <w:bCs/>
                <w:sz w:val="20"/>
                <w:szCs w:val="20"/>
              </w:rPr>
            </w:r>
            <w:r w:rsidR="00323148" w:rsidRPr="00A260AF">
              <w:rPr>
                <w:rFonts w:ascii="Arial Narrow" w:hAnsi="Arial Narrow" w:cs="Arial"/>
                <w:bCs/>
                <w:sz w:val="20"/>
                <w:szCs w:val="20"/>
              </w:rPr>
              <w:fldChar w:fldCharType="separate"/>
            </w:r>
            <w:r w:rsidR="00323148" w:rsidRPr="00A260AF">
              <w:rPr>
                <w:rFonts w:ascii="Arial Narrow" w:hAnsi="Arial Narrow" w:cs="Arial"/>
                <w:bCs/>
                <w:sz w:val="20"/>
                <w:szCs w:val="20"/>
              </w:rPr>
              <w:fldChar w:fldCharType="end"/>
            </w:r>
            <w:r w:rsidRPr="00A260AF">
              <w:rPr>
                <w:rFonts w:ascii="Arial Narrow" w:hAnsi="Arial Narrow" w:cs="Arial"/>
                <w:bCs/>
                <w:sz w:val="20"/>
                <w:szCs w:val="20"/>
              </w:rPr>
              <w:t xml:space="preserve">Optometrists </w:t>
            </w:r>
          </w:p>
        </w:tc>
      </w:tr>
      <w:tr w:rsidR="00AA24E9" w:rsidRPr="00D56F94" w14:paraId="2903BDB0" w14:textId="77777777" w:rsidTr="00AE698F">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607F241A" w14:textId="77777777" w:rsidR="00AA24E9" w:rsidRPr="00A260AF" w:rsidRDefault="00AA24E9" w:rsidP="00192106">
            <w:pPr>
              <w:rPr>
                <w:rFonts w:ascii="Arial Narrow" w:hAnsi="Arial Narrow" w:cs="Arial"/>
                <w:bCs/>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D10651B" w14:textId="34A79731" w:rsidR="00AA24E9" w:rsidRPr="00A260AF" w:rsidRDefault="00AA24E9" w:rsidP="00D91AA9">
            <w:pPr>
              <w:rPr>
                <w:rFonts w:ascii="Arial Narrow" w:eastAsia="Calibri" w:hAnsi="Arial Narrow" w:cs="Arial"/>
                <w:bCs/>
                <w:sz w:val="20"/>
                <w:szCs w:val="20"/>
              </w:rPr>
            </w:pPr>
            <w:r w:rsidRPr="00810A02">
              <w:rPr>
                <w:rFonts w:ascii="Arial Narrow" w:hAnsi="Arial Narrow" w:cs="Arial"/>
                <w:b/>
                <w:sz w:val="20"/>
                <w:szCs w:val="20"/>
              </w:rPr>
              <w:t>Restriction type:</w:t>
            </w:r>
            <w:r w:rsidRPr="00A260AF">
              <w:rPr>
                <w:rFonts w:ascii="Arial Narrow" w:hAnsi="Arial Narrow" w:cs="Arial"/>
                <w:bCs/>
                <w:sz w:val="20"/>
                <w:szCs w:val="20"/>
              </w:rPr>
              <w:t xml:space="preserve"> </w:t>
            </w:r>
            <w:r w:rsidR="00591813" w:rsidRPr="00A260AF">
              <w:rPr>
                <w:rFonts w:ascii="Arial Narrow" w:eastAsia="Calibri" w:hAnsi="Arial Narrow" w:cs="Arial"/>
                <w:bCs/>
                <w:sz w:val="20"/>
                <w:szCs w:val="20"/>
              </w:rPr>
              <w:fldChar w:fldCharType="begin">
                <w:ffData>
                  <w:name w:val="Check3"/>
                  <w:enabled/>
                  <w:calcOnExit w:val="0"/>
                  <w:checkBox>
                    <w:sizeAuto/>
                    <w:default w:val="1"/>
                  </w:checkBox>
                </w:ffData>
              </w:fldChar>
            </w:r>
            <w:bookmarkStart w:id="1" w:name="Check3"/>
            <w:r w:rsidR="00591813" w:rsidRPr="00A260AF">
              <w:rPr>
                <w:rFonts w:ascii="Arial Narrow" w:eastAsia="Calibri" w:hAnsi="Arial Narrow" w:cs="Arial"/>
                <w:bCs/>
                <w:sz w:val="20"/>
                <w:szCs w:val="20"/>
              </w:rPr>
              <w:instrText xml:space="preserve"> FORMCHECKBOX </w:instrText>
            </w:r>
            <w:r w:rsidR="00591813" w:rsidRPr="00A260AF">
              <w:rPr>
                <w:rFonts w:ascii="Arial Narrow" w:eastAsia="Calibri" w:hAnsi="Arial Narrow" w:cs="Arial"/>
                <w:bCs/>
                <w:sz w:val="20"/>
                <w:szCs w:val="20"/>
              </w:rPr>
            </w:r>
            <w:r w:rsidR="00591813" w:rsidRPr="00A260AF">
              <w:rPr>
                <w:rFonts w:ascii="Arial Narrow" w:eastAsia="Calibri" w:hAnsi="Arial Narrow" w:cs="Arial"/>
                <w:bCs/>
                <w:sz w:val="20"/>
                <w:szCs w:val="20"/>
              </w:rPr>
              <w:fldChar w:fldCharType="separate"/>
            </w:r>
            <w:r w:rsidR="00591813" w:rsidRPr="00A260AF">
              <w:rPr>
                <w:rFonts w:ascii="Arial Narrow" w:eastAsia="Calibri" w:hAnsi="Arial Narrow" w:cs="Arial"/>
                <w:bCs/>
                <w:sz w:val="20"/>
                <w:szCs w:val="20"/>
              </w:rPr>
              <w:fldChar w:fldCharType="end"/>
            </w:r>
            <w:bookmarkEnd w:id="1"/>
            <w:r w:rsidRPr="00A260AF">
              <w:rPr>
                <w:rFonts w:ascii="Arial Narrow" w:eastAsia="Calibri" w:hAnsi="Arial Narrow" w:cs="Arial"/>
                <w:bCs/>
                <w:sz w:val="20"/>
                <w:szCs w:val="20"/>
              </w:rPr>
              <w:t>Authority Required (telephone/online PBS Authorities system</w:t>
            </w:r>
            <w:r w:rsidR="00037F11">
              <w:rPr>
                <w:rFonts w:ascii="Arial Narrow" w:eastAsia="Calibri" w:hAnsi="Arial Narrow" w:cs="Arial"/>
                <w:bCs/>
                <w:sz w:val="20"/>
                <w:szCs w:val="20"/>
              </w:rPr>
              <w:t>)</w:t>
            </w:r>
          </w:p>
        </w:tc>
      </w:tr>
      <w:tr w:rsidR="00AA7BCC" w:rsidRPr="00D56F94" w14:paraId="39D8DF04" w14:textId="77777777" w:rsidTr="00AE698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47DD28EE" w14:textId="114B4554" w:rsidR="00AA7BCC" w:rsidRPr="00A260AF" w:rsidRDefault="00AA7BCC" w:rsidP="00192106">
            <w:pPr>
              <w:rPr>
                <w:rFonts w:ascii="Arial Narrow" w:hAnsi="Arial Narrow" w:cs="Arial"/>
                <w:bCs/>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A780808" w14:textId="545417AC" w:rsidR="00AA7BCC" w:rsidRPr="00CA50B2" w:rsidRDefault="00CA50B2" w:rsidP="00D91AA9">
            <w:pPr>
              <w:rPr>
                <w:rFonts w:ascii="Arial Narrow" w:hAnsi="Arial Narrow" w:cs="Arial"/>
                <w:b/>
                <w:sz w:val="20"/>
                <w:szCs w:val="20"/>
              </w:rPr>
            </w:pPr>
            <w:r>
              <w:rPr>
                <w:rFonts w:ascii="Arial Narrow" w:hAnsi="Arial Narrow" w:cs="Arial"/>
                <w:b/>
                <w:sz w:val="20"/>
                <w:szCs w:val="20"/>
              </w:rPr>
              <w:t>Prescribing rule</w:t>
            </w:r>
          </w:p>
        </w:tc>
      </w:tr>
      <w:tr w:rsidR="002C7467" w:rsidRPr="00D56F94" w14:paraId="604AB1B3" w14:textId="77777777" w:rsidTr="00AE698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7954B498" w14:textId="2A9B238D" w:rsidR="002C7467" w:rsidRPr="00EF4050" w:rsidRDefault="002C7467" w:rsidP="00EF4050">
            <w:pPr>
              <w:jc w:val="center"/>
              <w:rPr>
                <w:rFonts w:ascii="Arial Narrow" w:hAnsi="Arial Narrow" w:cs="Arial"/>
                <w:bCs/>
                <w:i/>
                <w:iCs/>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96C5720" w14:textId="77777777" w:rsidR="002C7467" w:rsidRPr="00EF4050" w:rsidRDefault="0076273E" w:rsidP="00D91AA9">
            <w:pPr>
              <w:rPr>
                <w:rFonts w:ascii="Arial Narrow" w:hAnsi="Arial Narrow" w:cs="Arial"/>
                <w:b/>
                <w:i/>
                <w:iCs/>
                <w:sz w:val="20"/>
                <w:szCs w:val="20"/>
              </w:rPr>
            </w:pPr>
            <w:r w:rsidRPr="00EF4050">
              <w:rPr>
                <w:rFonts w:ascii="Arial Narrow" w:hAnsi="Arial Narrow" w:cs="Arial"/>
                <w:b/>
                <w:i/>
                <w:iCs/>
                <w:sz w:val="20"/>
                <w:szCs w:val="20"/>
              </w:rPr>
              <w:t>Caution:</w:t>
            </w:r>
          </w:p>
          <w:p w14:paraId="41A133BD" w14:textId="58208F40" w:rsidR="0076273E" w:rsidRPr="00EF4050" w:rsidRDefault="00595AA6" w:rsidP="00D91AA9">
            <w:pPr>
              <w:rPr>
                <w:rFonts w:ascii="Arial Narrow" w:hAnsi="Arial Narrow" w:cs="Arial"/>
                <w:bCs/>
                <w:i/>
                <w:iCs/>
                <w:sz w:val="20"/>
                <w:szCs w:val="20"/>
              </w:rPr>
            </w:pPr>
            <w:r w:rsidRPr="00EF4050">
              <w:rPr>
                <w:rFonts w:ascii="Arial Narrow" w:hAnsi="Arial Narrow" w:cs="Arial"/>
                <w:bCs/>
                <w:i/>
                <w:iCs/>
                <w:sz w:val="20"/>
                <w:szCs w:val="20"/>
              </w:rPr>
              <w:t>It is recommended that the potential for immunosuppression with long term use of this drug be clinically reviewed after at least 24 months of treatment, if not already reviewed.</w:t>
            </w:r>
          </w:p>
        </w:tc>
      </w:tr>
      <w:tr w:rsidR="00CA50B2" w:rsidRPr="00D56F94" w14:paraId="1F2FA6FC" w14:textId="77777777" w:rsidTr="00AE698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306B5131" w14:textId="1CAFA494" w:rsidR="00CA50B2" w:rsidRPr="00EF4050" w:rsidRDefault="00CA50B2" w:rsidP="00EF4050">
            <w:pPr>
              <w:jc w:val="center"/>
              <w:rPr>
                <w:rFonts w:ascii="Arial Narrow" w:hAnsi="Arial Narrow" w:cs="Arial"/>
                <w:bCs/>
                <w:i/>
                <w:iCs/>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314D3C5" w14:textId="77777777" w:rsidR="00CA50B2" w:rsidRPr="00EF4050" w:rsidRDefault="00595AA6" w:rsidP="00D91AA9">
            <w:pPr>
              <w:rPr>
                <w:rFonts w:ascii="Arial Narrow" w:hAnsi="Arial Narrow" w:cs="Arial"/>
                <w:b/>
                <w:i/>
                <w:iCs/>
                <w:sz w:val="20"/>
                <w:szCs w:val="20"/>
              </w:rPr>
            </w:pPr>
            <w:r w:rsidRPr="00EF4050">
              <w:rPr>
                <w:rFonts w:ascii="Arial Narrow" w:hAnsi="Arial Narrow" w:cs="Arial"/>
                <w:b/>
                <w:i/>
                <w:iCs/>
                <w:sz w:val="20"/>
                <w:szCs w:val="20"/>
              </w:rPr>
              <w:t>Administrative Advice:</w:t>
            </w:r>
          </w:p>
          <w:p w14:paraId="2016A11D" w14:textId="7BC6A4DA" w:rsidR="00595AA6" w:rsidRPr="00EF4050" w:rsidRDefault="00391D11" w:rsidP="00D91AA9">
            <w:pPr>
              <w:rPr>
                <w:rFonts w:ascii="Arial Narrow" w:hAnsi="Arial Narrow" w:cs="Arial"/>
                <w:bCs/>
                <w:i/>
                <w:iCs/>
                <w:sz w:val="20"/>
                <w:szCs w:val="20"/>
              </w:rPr>
            </w:pPr>
            <w:r w:rsidRPr="00EF4050">
              <w:rPr>
                <w:rFonts w:ascii="Arial Narrow" w:hAnsi="Arial Narrow" w:cs="Arial"/>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CA50B2" w:rsidRPr="00D56F94" w14:paraId="2D52716D" w14:textId="77777777" w:rsidTr="00AE698F">
        <w:tblPrEx>
          <w:tblCellMar>
            <w:top w:w="15" w:type="dxa"/>
            <w:bottom w:w="15" w:type="dxa"/>
          </w:tblCellMar>
        </w:tblPrEx>
        <w:trPr>
          <w:trHeight w:val="20"/>
        </w:trPr>
        <w:tc>
          <w:tcPr>
            <w:tcW w:w="5000" w:type="pct"/>
            <w:gridSpan w:val="7"/>
            <w:tcBorders>
              <w:left w:val="single" w:sz="4" w:space="0" w:color="auto"/>
              <w:right w:val="single" w:sz="4" w:space="0" w:color="auto"/>
            </w:tcBorders>
            <w:vAlign w:val="center"/>
          </w:tcPr>
          <w:p w14:paraId="5540ADA5" w14:textId="194978C4" w:rsidR="00CA50B2" w:rsidRPr="002C7467" w:rsidRDefault="00CA50B2" w:rsidP="00D91AA9">
            <w:pPr>
              <w:rPr>
                <w:rFonts w:ascii="Arial Narrow" w:hAnsi="Arial Narrow" w:cs="Arial"/>
                <w:bCs/>
                <w:sz w:val="20"/>
                <w:szCs w:val="20"/>
              </w:rPr>
            </w:pPr>
          </w:p>
        </w:tc>
      </w:tr>
      <w:tr w:rsidR="00AA24E9" w:rsidRPr="001428E9" w14:paraId="5838240A" w14:textId="77777777" w:rsidTr="005A241E">
        <w:tblPrEx>
          <w:tblCellMar>
            <w:top w:w="15" w:type="dxa"/>
            <w:bottom w:w="15" w:type="dxa"/>
          </w:tblCellMar>
        </w:tblPrEx>
        <w:trPr>
          <w:trHeight w:val="45"/>
        </w:trPr>
        <w:tc>
          <w:tcPr>
            <w:tcW w:w="705" w:type="pct"/>
            <w:vAlign w:val="center"/>
          </w:tcPr>
          <w:p w14:paraId="4D5B5EE7" w14:textId="32AAB71E" w:rsidR="00AA24E9" w:rsidRPr="00A260AF" w:rsidRDefault="00AA24E9" w:rsidP="00D91AA9">
            <w:pPr>
              <w:jc w:val="center"/>
              <w:rPr>
                <w:rFonts w:ascii="Arial Narrow" w:hAnsi="Arial Narrow"/>
                <w:bCs/>
                <w:sz w:val="20"/>
                <w:szCs w:val="20"/>
              </w:rPr>
            </w:pPr>
          </w:p>
        </w:tc>
        <w:tc>
          <w:tcPr>
            <w:tcW w:w="4295" w:type="pct"/>
            <w:gridSpan w:val="6"/>
            <w:vAlign w:val="center"/>
            <w:hideMark/>
          </w:tcPr>
          <w:p w14:paraId="4554907F" w14:textId="10E66238" w:rsidR="00AA24E9" w:rsidRPr="001C1AE4" w:rsidRDefault="00AA24E9" w:rsidP="00D91AA9">
            <w:pPr>
              <w:rPr>
                <w:rFonts w:ascii="Arial Narrow" w:hAnsi="Arial Narrow"/>
                <w:bCs/>
                <w:sz w:val="20"/>
                <w:szCs w:val="20"/>
              </w:rPr>
            </w:pPr>
            <w:r w:rsidRPr="00810A02">
              <w:rPr>
                <w:rFonts w:ascii="Arial Narrow" w:hAnsi="Arial Narrow"/>
                <w:b/>
                <w:sz w:val="20"/>
                <w:szCs w:val="20"/>
              </w:rPr>
              <w:t>Indication:</w:t>
            </w:r>
            <w:r w:rsidR="00950E4E" w:rsidRPr="00A260AF">
              <w:rPr>
                <w:rFonts w:ascii="Arial Narrow" w:hAnsi="Arial Narrow"/>
                <w:bCs/>
                <w:sz w:val="20"/>
                <w:szCs w:val="20"/>
              </w:rPr>
              <w:t xml:space="preserve"> </w:t>
            </w:r>
            <w:r w:rsidR="003C3013" w:rsidRPr="00B26106">
              <w:rPr>
                <w:rFonts w:ascii="Arial Narrow" w:hAnsi="Arial Narrow"/>
                <w:bCs/>
                <w:sz w:val="20"/>
                <w:szCs w:val="20"/>
              </w:rPr>
              <w:t>Chro</w:t>
            </w:r>
            <w:r w:rsidR="002839C8" w:rsidRPr="00B26106">
              <w:rPr>
                <w:rFonts w:ascii="Arial Narrow" w:hAnsi="Arial Narrow"/>
                <w:bCs/>
                <w:sz w:val="20"/>
                <w:szCs w:val="20"/>
              </w:rPr>
              <w:t xml:space="preserve">nic </w:t>
            </w:r>
            <w:r w:rsidR="00786C22" w:rsidRPr="00B26106">
              <w:rPr>
                <w:rFonts w:ascii="Arial Narrow" w:hAnsi="Arial Narrow"/>
                <w:bCs/>
                <w:sz w:val="20"/>
                <w:szCs w:val="20"/>
              </w:rPr>
              <w:t>severe dry eye disease with keratitis</w:t>
            </w:r>
          </w:p>
        </w:tc>
      </w:tr>
      <w:tr w:rsidR="00AA24E9" w:rsidRPr="001428E9" w14:paraId="79ED3FD7" w14:textId="77777777" w:rsidTr="005A241E">
        <w:tblPrEx>
          <w:tblCellMar>
            <w:top w:w="15" w:type="dxa"/>
            <w:bottom w:w="15" w:type="dxa"/>
          </w:tblCellMar>
          <w:tblLook w:val="04A0" w:firstRow="1" w:lastRow="0" w:firstColumn="1" w:lastColumn="0" w:noHBand="0" w:noVBand="1"/>
        </w:tblPrEx>
        <w:trPr>
          <w:trHeight w:val="229"/>
        </w:trPr>
        <w:tc>
          <w:tcPr>
            <w:tcW w:w="705" w:type="pct"/>
            <w:vAlign w:val="center"/>
          </w:tcPr>
          <w:p w14:paraId="7CCB6D8B" w14:textId="77777777" w:rsidR="00AA24E9" w:rsidRPr="00A260AF" w:rsidRDefault="00AA24E9" w:rsidP="00192106">
            <w:pPr>
              <w:jc w:val="center"/>
              <w:rPr>
                <w:rFonts w:ascii="Arial Narrow" w:hAnsi="Arial Narrow"/>
                <w:bCs/>
                <w:sz w:val="20"/>
                <w:szCs w:val="20"/>
              </w:rPr>
            </w:pPr>
          </w:p>
        </w:tc>
        <w:tc>
          <w:tcPr>
            <w:tcW w:w="4295" w:type="pct"/>
            <w:gridSpan w:val="6"/>
            <w:vAlign w:val="center"/>
            <w:hideMark/>
          </w:tcPr>
          <w:p w14:paraId="23366C80" w14:textId="7A8CFA49" w:rsidR="00AA24E9" w:rsidRPr="00A260AF" w:rsidRDefault="00AA24E9" w:rsidP="00192106">
            <w:pPr>
              <w:rPr>
                <w:rFonts w:ascii="Arial Narrow" w:hAnsi="Arial Narrow"/>
                <w:bCs/>
                <w:sz w:val="20"/>
                <w:szCs w:val="20"/>
              </w:rPr>
            </w:pPr>
            <w:r w:rsidRPr="00810A02">
              <w:rPr>
                <w:rFonts w:ascii="Arial Narrow" w:hAnsi="Arial Narrow"/>
                <w:b/>
                <w:sz w:val="20"/>
                <w:szCs w:val="20"/>
              </w:rPr>
              <w:t>Treatment Phase</w:t>
            </w:r>
            <w:r w:rsidRPr="00A260AF">
              <w:rPr>
                <w:rFonts w:ascii="Arial Narrow" w:hAnsi="Arial Narrow"/>
                <w:bCs/>
                <w:sz w:val="20"/>
                <w:szCs w:val="20"/>
              </w:rPr>
              <w:t xml:space="preserve">: </w:t>
            </w:r>
            <w:r w:rsidR="00C04EDB" w:rsidRPr="00A260AF">
              <w:rPr>
                <w:rFonts w:ascii="Arial Narrow" w:hAnsi="Arial Narrow"/>
                <w:bCs/>
                <w:sz w:val="20"/>
                <w:szCs w:val="20"/>
              </w:rPr>
              <w:t>Initial treatment for up to the first 180 days of treatment</w:t>
            </w:r>
          </w:p>
        </w:tc>
      </w:tr>
      <w:tr w:rsidR="00AA24E9" w:rsidRPr="001428E9" w14:paraId="4EC2745E" w14:textId="77777777" w:rsidTr="005A241E">
        <w:tblPrEx>
          <w:tblCellMar>
            <w:top w:w="15" w:type="dxa"/>
            <w:bottom w:w="15" w:type="dxa"/>
          </w:tblCellMar>
          <w:tblLook w:val="04A0" w:firstRow="1" w:lastRow="0" w:firstColumn="1" w:lastColumn="0" w:noHBand="0" w:noVBand="1"/>
        </w:tblPrEx>
        <w:trPr>
          <w:trHeight w:val="230"/>
        </w:trPr>
        <w:tc>
          <w:tcPr>
            <w:tcW w:w="705" w:type="pct"/>
            <w:vAlign w:val="center"/>
          </w:tcPr>
          <w:p w14:paraId="13FB9EE5" w14:textId="5A3FD16A" w:rsidR="00AA24E9" w:rsidRPr="00A260AF" w:rsidRDefault="00AA24E9" w:rsidP="00244103">
            <w:pPr>
              <w:jc w:val="center"/>
              <w:rPr>
                <w:rFonts w:ascii="Arial Narrow" w:hAnsi="Arial Narrow"/>
                <w:bCs/>
                <w:sz w:val="20"/>
                <w:szCs w:val="20"/>
              </w:rPr>
            </w:pPr>
          </w:p>
        </w:tc>
        <w:tc>
          <w:tcPr>
            <w:tcW w:w="4295" w:type="pct"/>
            <w:gridSpan w:val="6"/>
            <w:vAlign w:val="center"/>
            <w:hideMark/>
          </w:tcPr>
          <w:p w14:paraId="370B7CE0" w14:textId="56120601" w:rsidR="00AA24E9" w:rsidRPr="00810A02" w:rsidRDefault="00AA24E9" w:rsidP="00192106">
            <w:pPr>
              <w:rPr>
                <w:rFonts w:ascii="Arial Narrow" w:hAnsi="Arial Narrow"/>
                <w:b/>
                <w:sz w:val="20"/>
                <w:szCs w:val="20"/>
              </w:rPr>
            </w:pPr>
            <w:r w:rsidRPr="00810A02">
              <w:rPr>
                <w:rFonts w:ascii="Arial Narrow" w:hAnsi="Arial Narrow"/>
                <w:b/>
                <w:sz w:val="20"/>
                <w:szCs w:val="20"/>
              </w:rPr>
              <w:t xml:space="preserve">Clinical criteria: </w:t>
            </w:r>
          </w:p>
        </w:tc>
      </w:tr>
      <w:tr w:rsidR="00AA24E9" w:rsidRPr="001428E9" w14:paraId="5624C87A" w14:textId="77777777" w:rsidTr="005A241E">
        <w:tblPrEx>
          <w:tblCellMar>
            <w:top w:w="15" w:type="dxa"/>
            <w:bottom w:w="15" w:type="dxa"/>
          </w:tblCellMar>
          <w:tblLook w:val="04A0" w:firstRow="1" w:lastRow="0" w:firstColumn="1" w:lastColumn="0" w:noHBand="0" w:noVBand="1"/>
        </w:tblPrEx>
        <w:trPr>
          <w:trHeight w:val="20"/>
        </w:trPr>
        <w:tc>
          <w:tcPr>
            <w:tcW w:w="705" w:type="pct"/>
            <w:vAlign w:val="center"/>
          </w:tcPr>
          <w:p w14:paraId="651D0A36" w14:textId="5D51AF57" w:rsidR="00AA24E9" w:rsidRPr="00A260AF" w:rsidRDefault="00AA24E9" w:rsidP="00192106">
            <w:pPr>
              <w:jc w:val="center"/>
              <w:rPr>
                <w:rFonts w:ascii="Arial Narrow" w:hAnsi="Arial Narrow"/>
                <w:bCs/>
                <w:sz w:val="20"/>
                <w:szCs w:val="20"/>
              </w:rPr>
            </w:pPr>
          </w:p>
        </w:tc>
        <w:tc>
          <w:tcPr>
            <w:tcW w:w="4295" w:type="pct"/>
            <w:gridSpan w:val="6"/>
            <w:vAlign w:val="center"/>
            <w:hideMark/>
          </w:tcPr>
          <w:p w14:paraId="2AB8C63A" w14:textId="6E8DEEE0" w:rsidR="00244103" w:rsidRPr="00A260AF" w:rsidRDefault="00244103" w:rsidP="00244103">
            <w:pPr>
              <w:rPr>
                <w:rFonts w:ascii="Arial Narrow" w:hAnsi="Arial Narrow"/>
                <w:bCs/>
                <w:sz w:val="20"/>
                <w:szCs w:val="20"/>
              </w:rPr>
            </w:pPr>
            <w:r w:rsidRPr="00A260AF">
              <w:rPr>
                <w:rFonts w:ascii="Arial Narrow" w:hAnsi="Arial Narrow"/>
                <w:bCs/>
                <w:sz w:val="20"/>
                <w:szCs w:val="20"/>
              </w:rPr>
              <w:t xml:space="preserve">Patient must have a corneal fluorescein staining (CFS) grade of 4 at treatment initiation, using at least one of: (i) the Oxford scale, (ii) the modified Oxford scale, (iii) an equivalent scale to the Oxford scale as </w:t>
            </w:r>
          </w:p>
          <w:p w14:paraId="598ECB94" w14:textId="0D9979BD" w:rsidR="00AA24E9" w:rsidRPr="00A260AF" w:rsidRDefault="00244103" w:rsidP="00244103">
            <w:pPr>
              <w:jc w:val="left"/>
              <w:rPr>
                <w:rFonts w:ascii="Arial Narrow" w:hAnsi="Arial Narrow"/>
                <w:bCs/>
                <w:sz w:val="20"/>
                <w:szCs w:val="20"/>
              </w:rPr>
            </w:pPr>
            <w:r w:rsidRPr="00A260AF">
              <w:rPr>
                <w:rFonts w:ascii="Arial Narrow" w:hAnsi="Arial Narrow"/>
                <w:bCs/>
                <w:sz w:val="20"/>
                <w:szCs w:val="20"/>
              </w:rPr>
              <w:t>determined by the prescriber</w:t>
            </w:r>
          </w:p>
        </w:tc>
      </w:tr>
      <w:tr w:rsidR="00AA24E9" w:rsidRPr="001428E9" w14:paraId="084309B3" w14:textId="77777777" w:rsidTr="005A241E">
        <w:tblPrEx>
          <w:tblCellMar>
            <w:top w:w="15" w:type="dxa"/>
            <w:bottom w:w="15" w:type="dxa"/>
          </w:tblCellMar>
          <w:tblLook w:val="04A0" w:firstRow="1" w:lastRow="0" w:firstColumn="1" w:lastColumn="0" w:noHBand="0" w:noVBand="1"/>
        </w:tblPrEx>
        <w:trPr>
          <w:trHeight w:val="20"/>
        </w:trPr>
        <w:tc>
          <w:tcPr>
            <w:tcW w:w="705" w:type="pct"/>
            <w:vAlign w:val="center"/>
          </w:tcPr>
          <w:p w14:paraId="5C2BD6BF" w14:textId="77777777" w:rsidR="00AA24E9" w:rsidRPr="00A260AF" w:rsidRDefault="00AA24E9" w:rsidP="00192106">
            <w:pPr>
              <w:jc w:val="center"/>
              <w:rPr>
                <w:rFonts w:ascii="Arial Narrow" w:hAnsi="Arial Narrow"/>
                <w:bCs/>
                <w:sz w:val="20"/>
                <w:szCs w:val="20"/>
              </w:rPr>
            </w:pPr>
          </w:p>
        </w:tc>
        <w:tc>
          <w:tcPr>
            <w:tcW w:w="4295" w:type="pct"/>
            <w:gridSpan w:val="6"/>
            <w:vAlign w:val="center"/>
            <w:hideMark/>
          </w:tcPr>
          <w:p w14:paraId="18DA42D8" w14:textId="77777777" w:rsidR="00AA24E9" w:rsidRPr="00810A02" w:rsidRDefault="00AA24E9" w:rsidP="00432EBF">
            <w:pPr>
              <w:jc w:val="left"/>
              <w:rPr>
                <w:rFonts w:ascii="Arial Narrow" w:hAnsi="Arial Narrow"/>
                <w:b/>
                <w:sz w:val="20"/>
                <w:szCs w:val="20"/>
              </w:rPr>
            </w:pPr>
            <w:r w:rsidRPr="00810A02">
              <w:rPr>
                <w:rFonts w:ascii="Arial Narrow" w:hAnsi="Arial Narrow"/>
                <w:b/>
                <w:sz w:val="20"/>
                <w:szCs w:val="20"/>
              </w:rPr>
              <w:t>AND</w:t>
            </w:r>
          </w:p>
        </w:tc>
      </w:tr>
      <w:tr w:rsidR="00AA24E9" w:rsidRPr="001428E9" w14:paraId="2E56213F"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0ED7D878" w14:textId="21C082A9" w:rsidR="00AA24E9" w:rsidRPr="00A260AF" w:rsidRDefault="00AA24E9" w:rsidP="00192106">
            <w:pPr>
              <w:jc w:val="center"/>
              <w:rPr>
                <w:rFonts w:ascii="Arial Narrow" w:hAnsi="Arial Narrow"/>
                <w:bCs/>
                <w:sz w:val="20"/>
                <w:szCs w:val="20"/>
              </w:rPr>
            </w:pPr>
          </w:p>
        </w:tc>
        <w:tc>
          <w:tcPr>
            <w:tcW w:w="4295" w:type="pct"/>
            <w:gridSpan w:val="6"/>
            <w:vAlign w:val="center"/>
            <w:hideMark/>
          </w:tcPr>
          <w:p w14:paraId="09982F2A" w14:textId="77777777" w:rsidR="00AA24E9" w:rsidRPr="00810A02" w:rsidRDefault="00AA24E9" w:rsidP="00432EBF">
            <w:pPr>
              <w:jc w:val="left"/>
              <w:rPr>
                <w:rFonts w:ascii="Arial Narrow" w:hAnsi="Arial Narrow"/>
                <w:b/>
                <w:sz w:val="20"/>
                <w:szCs w:val="20"/>
              </w:rPr>
            </w:pPr>
            <w:r w:rsidRPr="00810A02">
              <w:rPr>
                <w:rFonts w:ascii="Arial Narrow" w:hAnsi="Arial Narrow"/>
                <w:b/>
                <w:sz w:val="20"/>
                <w:szCs w:val="20"/>
              </w:rPr>
              <w:t>Clinical criteria:</w:t>
            </w:r>
          </w:p>
        </w:tc>
      </w:tr>
      <w:tr w:rsidR="00AA24E9" w:rsidRPr="001428E9" w14:paraId="145F4E3F"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39463033" w14:textId="71615001" w:rsidR="00AA24E9" w:rsidRPr="00A260AF" w:rsidRDefault="00AA24E9" w:rsidP="00192106">
            <w:pPr>
              <w:jc w:val="center"/>
              <w:rPr>
                <w:rFonts w:ascii="Arial Narrow" w:hAnsi="Arial Narrow"/>
                <w:bCs/>
                <w:sz w:val="20"/>
                <w:szCs w:val="20"/>
              </w:rPr>
            </w:pPr>
          </w:p>
        </w:tc>
        <w:tc>
          <w:tcPr>
            <w:tcW w:w="4295" w:type="pct"/>
            <w:gridSpan w:val="6"/>
            <w:vAlign w:val="center"/>
            <w:hideMark/>
          </w:tcPr>
          <w:p w14:paraId="54B3E4D9" w14:textId="19920F31" w:rsidR="00AA24E9" w:rsidRPr="00A260AF" w:rsidRDefault="00AE418B" w:rsidP="00AE418B">
            <w:pPr>
              <w:rPr>
                <w:rFonts w:ascii="Arial Narrow" w:hAnsi="Arial Narrow"/>
                <w:bCs/>
                <w:sz w:val="20"/>
                <w:szCs w:val="20"/>
              </w:rPr>
            </w:pPr>
            <w:r w:rsidRPr="00A260AF">
              <w:rPr>
                <w:rFonts w:ascii="Arial Narrow" w:hAnsi="Arial Narrow"/>
                <w:bCs/>
                <w:sz w:val="20"/>
                <w:szCs w:val="20"/>
              </w:rPr>
              <w:t>Patient must have an ocular surface disease index (OSDI) score of at least 23 at treatment initiation</w:t>
            </w:r>
          </w:p>
        </w:tc>
      </w:tr>
      <w:tr w:rsidR="00AA24E9" w:rsidRPr="001428E9" w14:paraId="2D16E394"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27499291" w14:textId="77777777" w:rsidR="00AA24E9" w:rsidRPr="00A260AF" w:rsidRDefault="00AA24E9" w:rsidP="00192106">
            <w:pPr>
              <w:jc w:val="center"/>
              <w:rPr>
                <w:rFonts w:ascii="Arial Narrow" w:hAnsi="Arial Narrow"/>
                <w:bCs/>
                <w:sz w:val="20"/>
                <w:szCs w:val="20"/>
              </w:rPr>
            </w:pPr>
          </w:p>
        </w:tc>
        <w:tc>
          <w:tcPr>
            <w:tcW w:w="4295" w:type="pct"/>
            <w:gridSpan w:val="6"/>
            <w:vAlign w:val="center"/>
            <w:hideMark/>
          </w:tcPr>
          <w:p w14:paraId="4C8889AF" w14:textId="77777777" w:rsidR="00AA24E9" w:rsidRPr="00810A02" w:rsidRDefault="00AA24E9" w:rsidP="00192106">
            <w:pPr>
              <w:rPr>
                <w:rFonts w:ascii="Arial Narrow" w:hAnsi="Arial Narrow"/>
                <w:b/>
                <w:sz w:val="20"/>
                <w:szCs w:val="20"/>
              </w:rPr>
            </w:pPr>
            <w:r w:rsidRPr="00810A02">
              <w:rPr>
                <w:rFonts w:ascii="Arial Narrow" w:hAnsi="Arial Narrow"/>
                <w:b/>
                <w:sz w:val="20"/>
                <w:szCs w:val="20"/>
              </w:rPr>
              <w:t>AND</w:t>
            </w:r>
          </w:p>
        </w:tc>
      </w:tr>
      <w:tr w:rsidR="00AA24E9" w:rsidRPr="001428E9" w14:paraId="537AF3E2"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622578E9" w14:textId="3D47228F" w:rsidR="00AA24E9" w:rsidRPr="00A260AF" w:rsidRDefault="00AA24E9" w:rsidP="00192106">
            <w:pPr>
              <w:jc w:val="center"/>
              <w:rPr>
                <w:rFonts w:ascii="Arial Narrow" w:hAnsi="Arial Narrow"/>
                <w:bCs/>
                <w:sz w:val="20"/>
                <w:szCs w:val="20"/>
              </w:rPr>
            </w:pPr>
          </w:p>
        </w:tc>
        <w:tc>
          <w:tcPr>
            <w:tcW w:w="4295" w:type="pct"/>
            <w:gridSpan w:val="6"/>
            <w:vAlign w:val="center"/>
            <w:hideMark/>
          </w:tcPr>
          <w:p w14:paraId="529C5BCF" w14:textId="77777777" w:rsidR="00AA24E9" w:rsidRPr="00810A02" w:rsidRDefault="00AA24E9" w:rsidP="00192106">
            <w:pPr>
              <w:rPr>
                <w:rFonts w:ascii="Arial Narrow" w:hAnsi="Arial Narrow"/>
                <w:b/>
                <w:sz w:val="20"/>
                <w:szCs w:val="20"/>
              </w:rPr>
            </w:pPr>
            <w:r w:rsidRPr="00810A02">
              <w:rPr>
                <w:rFonts w:ascii="Arial Narrow" w:hAnsi="Arial Narrow"/>
                <w:b/>
                <w:sz w:val="20"/>
                <w:szCs w:val="20"/>
              </w:rPr>
              <w:t>Clinical criteria:</w:t>
            </w:r>
          </w:p>
        </w:tc>
      </w:tr>
      <w:tr w:rsidR="00AA24E9" w:rsidRPr="001428E9" w14:paraId="78B849A4"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08011833" w14:textId="6D05ACE0" w:rsidR="00AA24E9" w:rsidRPr="00A260AF" w:rsidRDefault="00AA24E9" w:rsidP="00192106">
            <w:pPr>
              <w:jc w:val="center"/>
              <w:rPr>
                <w:rFonts w:ascii="Arial Narrow" w:hAnsi="Arial Narrow"/>
                <w:bCs/>
                <w:sz w:val="20"/>
                <w:szCs w:val="20"/>
              </w:rPr>
            </w:pPr>
          </w:p>
        </w:tc>
        <w:tc>
          <w:tcPr>
            <w:tcW w:w="4295" w:type="pct"/>
            <w:gridSpan w:val="6"/>
            <w:vAlign w:val="center"/>
            <w:hideMark/>
          </w:tcPr>
          <w:p w14:paraId="2D0A219D" w14:textId="09ADF449" w:rsidR="00AA24E9" w:rsidRPr="00A260AF" w:rsidRDefault="00632F3B" w:rsidP="00632F3B">
            <w:pPr>
              <w:rPr>
                <w:rFonts w:ascii="Arial Narrow" w:hAnsi="Arial Narrow"/>
                <w:bCs/>
                <w:sz w:val="20"/>
                <w:szCs w:val="20"/>
              </w:rPr>
            </w:pPr>
            <w:r w:rsidRPr="00A260AF">
              <w:rPr>
                <w:rFonts w:ascii="Arial Narrow" w:hAnsi="Arial Narrow"/>
                <w:bCs/>
                <w:sz w:val="20"/>
                <w:szCs w:val="20"/>
              </w:rPr>
              <w:t>The condition must be inadequately controlled by monotherapy with a preservative free artificial tears substitute</w:t>
            </w:r>
          </w:p>
        </w:tc>
      </w:tr>
      <w:tr w:rsidR="0010048D" w:rsidRPr="001428E9" w14:paraId="7103FF6F"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742AA45B" w14:textId="77777777" w:rsidR="0010048D" w:rsidRPr="00A260AF" w:rsidRDefault="0010048D" w:rsidP="00192106">
            <w:pPr>
              <w:jc w:val="center"/>
              <w:rPr>
                <w:rFonts w:ascii="Arial Narrow" w:hAnsi="Arial Narrow"/>
                <w:bCs/>
                <w:sz w:val="20"/>
                <w:szCs w:val="20"/>
              </w:rPr>
            </w:pPr>
          </w:p>
        </w:tc>
        <w:tc>
          <w:tcPr>
            <w:tcW w:w="4295" w:type="pct"/>
            <w:gridSpan w:val="6"/>
            <w:vAlign w:val="center"/>
          </w:tcPr>
          <w:p w14:paraId="22F01FE3" w14:textId="59B7905B" w:rsidR="0010048D" w:rsidRPr="00810A02" w:rsidRDefault="0010048D" w:rsidP="00632F3B">
            <w:pPr>
              <w:rPr>
                <w:rFonts w:ascii="Arial Narrow" w:hAnsi="Arial Narrow"/>
                <w:b/>
                <w:sz w:val="20"/>
                <w:szCs w:val="20"/>
              </w:rPr>
            </w:pPr>
            <w:r w:rsidRPr="00810A02">
              <w:rPr>
                <w:rFonts w:ascii="Arial Narrow" w:hAnsi="Arial Narrow"/>
                <w:b/>
                <w:sz w:val="20"/>
                <w:szCs w:val="20"/>
              </w:rPr>
              <w:t>AND</w:t>
            </w:r>
          </w:p>
        </w:tc>
      </w:tr>
      <w:tr w:rsidR="00632F3B" w:rsidRPr="001428E9" w14:paraId="339899B0"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3143B03E" w14:textId="0DC600EB" w:rsidR="00632F3B" w:rsidRPr="00A260AF" w:rsidRDefault="00632F3B" w:rsidP="00632F3B">
            <w:pPr>
              <w:jc w:val="center"/>
              <w:rPr>
                <w:rFonts w:ascii="Arial Narrow" w:hAnsi="Arial Narrow"/>
                <w:bCs/>
                <w:sz w:val="20"/>
                <w:szCs w:val="20"/>
              </w:rPr>
            </w:pPr>
          </w:p>
        </w:tc>
        <w:tc>
          <w:tcPr>
            <w:tcW w:w="4295" w:type="pct"/>
            <w:gridSpan w:val="6"/>
            <w:vAlign w:val="center"/>
          </w:tcPr>
          <w:p w14:paraId="0CCD1B2F" w14:textId="1D539F03" w:rsidR="00632F3B" w:rsidRPr="00810A02" w:rsidRDefault="00632F3B" w:rsidP="00632F3B">
            <w:pPr>
              <w:rPr>
                <w:rFonts w:ascii="Arial Narrow" w:hAnsi="Arial Narrow"/>
                <w:b/>
                <w:sz w:val="20"/>
                <w:szCs w:val="20"/>
              </w:rPr>
            </w:pPr>
            <w:r w:rsidRPr="00810A02">
              <w:rPr>
                <w:rFonts w:ascii="Arial Narrow" w:hAnsi="Arial Narrow"/>
                <w:b/>
                <w:sz w:val="20"/>
                <w:szCs w:val="20"/>
              </w:rPr>
              <w:t xml:space="preserve">Clinical criteria: </w:t>
            </w:r>
          </w:p>
        </w:tc>
      </w:tr>
      <w:tr w:rsidR="00632F3B" w:rsidRPr="001428E9" w14:paraId="7F3ECA8D"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643FE834" w14:textId="001DEE73" w:rsidR="00632F3B" w:rsidRPr="00A260AF" w:rsidRDefault="00632F3B" w:rsidP="00632F3B">
            <w:pPr>
              <w:jc w:val="center"/>
              <w:rPr>
                <w:rFonts w:ascii="Arial Narrow" w:hAnsi="Arial Narrow"/>
                <w:bCs/>
                <w:sz w:val="20"/>
                <w:szCs w:val="20"/>
              </w:rPr>
            </w:pPr>
          </w:p>
        </w:tc>
        <w:tc>
          <w:tcPr>
            <w:tcW w:w="4295" w:type="pct"/>
            <w:gridSpan w:val="6"/>
            <w:vAlign w:val="center"/>
          </w:tcPr>
          <w:p w14:paraId="02BBF1FB" w14:textId="7950625B" w:rsidR="00632F3B" w:rsidRPr="00A260AF" w:rsidRDefault="00643F24" w:rsidP="00643F24">
            <w:pPr>
              <w:rPr>
                <w:rFonts w:ascii="Arial Narrow" w:hAnsi="Arial Narrow"/>
                <w:bCs/>
                <w:sz w:val="20"/>
                <w:szCs w:val="20"/>
              </w:rPr>
            </w:pPr>
            <w:r w:rsidRPr="00A260AF">
              <w:rPr>
                <w:rFonts w:ascii="Arial Narrow" w:hAnsi="Arial Narrow"/>
                <w:bCs/>
                <w:sz w:val="20"/>
                <w:szCs w:val="20"/>
              </w:rPr>
              <w:t>The treatment must be the sole PBS-subsidised therapy for this condition.</w:t>
            </w:r>
          </w:p>
        </w:tc>
      </w:tr>
      <w:tr w:rsidR="00AA24E9" w:rsidRPr="001428E9" w14:paraId="20417A3B"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50EE0EF7" w14:textId="1751524D" w:rsidR="00AA24E9" w:rsidRPr="00A260AF" w:rsidRDefault="00AA24E9" w:rsidP="00D91AA9">
            <w:pPr>
              <w:jc w:val="center"/>
              <w:rPr>
                <w:rFonts w:ascii="Arial Narrow" w:hAnsi="Arial Narrow"/>
                <w:bCs/>
                <w:sz w:val="20"/>
                <w:szCs w:val="20"/>
              </w:rPr>
            </w:pPr>
          </w:p>
        </w:tc>
        <w:tc>
          <w:tcPr>
            <w:tcW w:w="4295" w:type="pct"/>
            <w:gridSpan w:val="6"/>
            <w:vAlign w:val="center"/>
            <w:hideMark/>
          </w:tcPr>
          <w:p w14:paraId="57C0F345" w14:textId="77777777" w:rsidR="00AA24E9" w:rsidRPr="00810A02" w:rsidRDefault="00AA24E9" w:rsidP="00D91AA9">
            <w:pPr>
              <w:rPr>
                <w:rFonts w:ascii="Arial Narrow" w:hAnsi="Arial Narrow"/>
                <w:b/>
                <w:sz w:val="20"/>
                <w:szCs w:val="20"/>
              </w:rPr>
            </w:pPr>
            <w:r w:rsidRPr="00810A02">
              <w:rPr>
                <w:rFonts w:ascii="Arial Narrow" w:hAnsi="Arial Narrow"/>
                <w:b/>
                <w:sz w:val="20"/>
                <w:szCs w:val="20"/>
              </w:rPr>
              <w:t>Treatment criteria:</w:t>
            </w:r>
          </w:p>
        </w:tc>
      </w:tr>
      <w:tr w:rsidR="00AA24E9" w:rsidRPr="001428E9" w14:paraId="7A1870E2"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5760CCA4" w14:textId="25CF0102" w:rsidR="00AA24E9" w:rsidRPr="00A260AF" w:rsidRDefault="00AA24E9" w:rsidP="00192106">
            <w:pPr>
              <w:jc w:val="center"/>
              <w:rPr>
                <w:rFonts w:ascii="Arial Narrow" w:hAnsi="Arial Narrow"/>
                <w:bCs/>
                <w:sz w:val="20"/>
                <w:szCs w:val="20"/>
              </w:rPr>
            </w:pPr>
          </w:p>
        </w:tc>
        <w:tc>
          <w:tcPr>
            <w:tcW w:w="4295" w:type="pct"/>
            <w:gridSpan w:val="6"/>
            <w:vAlign w:val="center"/>
            <w:hideMark/>
          </w:tcPr>
          <w:p w14:paraId="4B7F9F8B" w14:textId="64DE72FA" w:rsidR="00AA24E9" w:rsidRPr="00A260AF" w:rsidRDefault="00643F24" w:rsidP="00643F24">
            <w:pPr>
              <w:autoSpaceDE w:val="0"/>
              <w:autoSpaceDN w:val="0"/>
              <w:adjustRightInd w:val="0"/>
              <w:rPr>
                <w:rFonts w:ascii="Arial Narrow" w:hAnsi="Arial Narrow" w:cs="Arial Narrow"/>
                <w:bCs/>
                <w:iCs/>
                <w:sz w:val="20"/>
                <w:szCs w:val="20"/>
              </w:rPr>
            </w:pPr>
            <w:r w:rsidRPr="00A260AF">
              <w:rPr>
                <w:rFonts w:ascii="Arial Narrow" w:hAnsi="Arial Narrow" w:cs="Arial Narrow"/>
                <w:bCs/>
                <w:iCs/>
                <w:sz w:val="20"/>
                <w:szCs w:val="20"/>
              </w:rPr>
              <w:t>Patient must be undergoing simultaneous treatment with a preservative free artificial tears substitute</w:t>
            </w:r>
          </w:p>
        </w:tc>
      </w:tr>
      <w:tr w:rsidR="00AA24E9" w:rsidRPr="001428E9" w14:paraId="2F4AC111"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16AF82B1" w14:textId="77777777" w:rsidR="00AA24E9" w:rsidRPr="00432EBF" w:rsidRDefault="00AA24E9" w:rsidP="00192106">
            <w:pPr>
              <w:jc w:val="center"/>
              <w:rPr>
                <w:rFonts w:ascii="Arial Narrow" w:hAnsi="Arial Narrow"/>
                <w:sz w:val="20"/>
                <w:szCs w:val="20"/>
              </w:rPr>
            </w:pPr>
          </w:p>
        </w:tc>
        <w:tc>
          <w:tcPr>
            <w:tcW w:w="4295" w:type="pct"/>
            <w:gridSpan w:val="6"/>
            <w:vAlign w:val="center"/>
          </w:tcPr>
          <w:p w14:paraId="66358C0D" w14:textId="35C9F933" w:rsidR="00AA24E9" w:rsidRPr="00643F24" w:rsidRDefault="00643F24" w:rsidP="00192106">
            <w:pPr>
              <w:autoSpaceDE w:val="0"/>
              <w:autoSpaceDN w:val="0"/>
              <w:adjustRightInd w:val="0"/>
              <w:rPr>
                <w:rFonts w:ascii="Arial Narrow" w:hAnsi="Arial Narrow" w:cs="Arial Narrow"/>
                <w:b/>
                <w:iCs/>
                <w:sz w:val="20"/>
                <w:szCs w:val="20"/>
              </w:rPr>
            </w:pPr>
            <w:r>
              <w:rPr>
                <w:rFonts w:ascii="Arial Narrow" w:hAnsi="Arial Narrow" w:cs="Arial Narrow"/>
                <w:b/>
                <w:iCs/>
                <w:sz w:val="20"/>
                <w:szCs w:val="20"/>
              </w:rPr>
              <w:t xml:space="preserve">AND </w:t>
            </w:r>
          </w:p>
        </w:tc>
      </w:tr>
      <w:tr w:rsidR="0080250B" w:rsidRPr="001428E9" w14:paraId="7B7D78B7"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61DD63B1" w14:textId="116671F1" w:rsidR="0080250B" w:rsidRPr="00432EBF" w:rsidRDefault="0080250B" w:rsidP="0080250B">
            <w:pPr>
              <w:jc w:val="center"/>
              <w:rPr>
                <w:rFonts w:ascii="Arial Narrow" w:hAnsi="Arial Narrow"/>
                <w:sz w:val="20"/>
                <w:szCs w:val="20"/>
              </w:rPr>
            </w:pPr>
          </w:p>
        </w:tc>
        <w:tc>
          <w:tcPr>
            <w:tcW w:w="4295" w:type="pct"/>
            <w:gridSpan w:val="6"/>
            <w:vAlign w:val="center"/>
          </w:tcPr>
          <w:p w14:paraId="05467830" w14:textId="08E4B960" w:rsidR="0080250B" w:rsidRPr="00432EBF" w:rsidRDefault="0080250B" w:rsidP="0080250B">
            <w:pPr>
              <w:rPr>
                <w:rFonts w:ascii="Arial Narrow" w:hAnsi="Arial Narrow"/>
                <w:b/>
                <w:bCs/>
                <w:sz w:val="20"/>
                <w:szCs w:val="20"/>
              </w:rPr>
            </w:pPr>
            <w:r>
              <w:rPr>
                <w:rFonts w:ascii="Arial Narrow" w:hAnsi="Arial Narrow"/>
                <w:b/>
                <w:bCs/>
                <w:sz w:val="20"/>
                <w:szCs w:val="20"/>
              </w:rPr>
              <w:t xml:space="preserve">Treatment criteria: </w:t>
            </w:r>
          </w:p>
        </w:tc>
      </w:tr>
      <w:tr w:rsidR="0080250B" w:rsidRPr="001428E9" w14:paraId="7D69B08E" w14:textId="77777777" w:rsidTr="00AE698F">
        <w:tblPrEx>
          <w:tblCellMar>
            <w:top w:w="15" w:type="dxa"/>
            <w:bottom w:w="15" w:type="dxa"/>
          </w:tblCellMar>
          <w:tblLook w:val="04A0" w:firstRow="1" w:lastRow="0" w:firstColumn="1" w:lastColumn="0" w:noHBand="0" w:noVBand="1"/>
        </w:tblPrEx>
        <w:trPr>
          <w:trHeight w:val="362"/>
        </w:trPr>
        <w:tc>
          <w:tcPr>
            <w:tcW w:w="705" w:type="pct"/>
            <w:vAlign w:val="center"/>
          </w:tcPr>
          <w:p w14:paraId="178CF5ED" w14:textId="222DE9CB" w:rsidR="0080250B" w:rsidRPr="00432EBF" w:rsidRDefault="0080250B" w:rsidP="0080250B">
            <w:pPr>
              <w:jc w:val="center"/>
              <w:rPr>
                <w:rFonts w:ascii="Arial Narrow" w:hAnsi="Arial Narrow"/>
                <w:sz w:val="20"/>
                <w:szCs w:val="20"/>
              </w:rPr>
            </w:pPr>
          </w:p>
        </w:tc>
        <w:tc>
          <w:tcPr>
            <w:tcW w:w="4295" w:type="pct"/>
            <w:gridSpan w:val="6"/>
            <w:vAlign w:val="center"/>
          </w:tcPr>
          <w:p w14:paraId="15C338E0" w14:textId="35E505A7" w:rsidR="0080250B" w:rsidRPr="000550C5" w:rsidRDefault="0080250B" w:rsidP="0080250B">
            <w:pPr>
              <w:rPr>
                <w:rFonts w:ascii="Arial Narrow" w:hAnsi="Arial Narrow"/>
                <w:sz w:val="20"/>
                <w:szCs w:val="20"/>
              </w:rPr>
            </w:pPr>
            <w:r w:rsidRPr="000550C5">
              <w:rPr>
                <w:rFonts w:ascii="Arial Narrow" w:hAnsi="Arial Narrow"/>
                <w:sz w:val="20"/>
                <w:szCs w:val="20"/>
              </w:rPr>
              <w:t>Must be treated by an ophthalmologist or by an accredited ophthalmology registrar in consultation with an ophthalmologist</w:t>
            </w:r>
            <w:r w:rsidR="00350D48">
              <w:rPr>
                <w:rFonts w:ascii="Arial Narrow" w:hAnsi="Arial Narrow"/>
                <w:sz w:val="20"/>
                <w:szCs w:val="20"/>
              </w:rPr>
              <w:t>; OR</w:t>
            </w:r>
          </w:p>
        </w:tc>
      </w:tr>
      <w:tr w:rsidR="0080250B" w:rsidRPr="001428E9" w14:paraId="0E9F0106" w14:textId="77777777" w:rsidTr="00AE698F">
        <w:tblPrEx>
          <w:tblCellMar>
            <w:top w:w="15" w:type="dxa"/>
            <w:bottom w:w="15" w:type="dxa"/>
          </w:tblCellMar>
          <w:tblLook w:val="04A0" w:firstRow="1" w:lastRow="0" w:firstColumn="1" w:lastColumn="0" w:noHBand="0" w:noVBand="1"/>
        </w:tblPrEx>
        <w:trPr>
          <w:trHeight w:val="32"/>
        </w:trPr>
        <w:tc>
          <w:tcPr>
            <w:tcW w:w="705" w:type="pct"/>
            <w:vAlign w:val="center"/>
          </w:tcPr>
          <w:p w14:paraId="1D59C28D" w14:textId="566ECFE9" w:rsidR="0080250B" w:rsidRPr="00432EBF" w:rsidRDefault="0080250B" w:rsidP="0080250B">
            <w:pPr>
              <w:jc w:val="center"/>
              <w:rPr>
                <w:rFonts w:ascii="Arial Narrow" w:hAnsi="Arial Narrow"/>
                <w:sz w:val="20"/>
                <w:szCs w:val="20"/>
              </w:rPr>
            </w:pPr>
          </w:p>
        </w:tc>
        <w:tc>
          <w:tcPr>
            <w:tcW w:w="4295" w:type="pct"/>
            <w:gridSpan w:val="6"/>
            <w:vAlign w:val="center"/>
          </w:tcPr>
          <w:p w14:paraId="1789701F" w14:textId="113603C2" w:rsidR="0080250B" w:rsidRPr="000550C5" w:rsidRDefault="0080250B" w:rsidP="0080250B">
            <w:pPr>
              <w:rPr>
                <w:rFonts w:ascii="Arial Narrow" w:hAnsi="Arial Narrow"/>
                <w:sz w:val="20"/>
                <w:szCs w:val="20"/>
              </w:rPr>
            </w:pPr>
            <w:r w:rsidRPr="000550C5">
              <w:rPr>
                <w:rFonts w:ascii="Arial Narrow" w:hAnsi="Arial Narrow"/>
                <w:sz w:val="20"/>
                <w:szCs w:val="20"/>
              </w:rPr>
              <w:t>Must be treated by an optometrist in accordance with Optometry Board of Australia guidelines</w:t>
            </w:r>
          </w:p>
        </w:tc>
      </w:tr>
      <w:tr w:rsidR="0033458E" w:rsidRPr="001428E9" w14:paraId="49CCF5F3" w14:textId="77777777" w:rsidTr="00AE698F">
        <w:tblPrEx>
          <w:tblCellMar>
            <w:top w:w="15" w:type="dxa"/>
            <w:bottom w:w="15" w:type="dxa"/>
          </w:tblCellMar>
          <w:tblLook w:val="04A0" w:firstRow="1" w:lastRow="0" w:firstColumn="1" w:lastColumn="0" w:noHBand="0" w:noVBand="1"/>
        </w:tblPrEx>
        <w:trPr>
          <w:trHeight w:val="32"/>
        </w:trPr>
        <w:tc>
          <w:tcPr>
            <w:tcW w:w="705" w:type="pct"/>
            <w:vAlign w:val="center"/>
          </w:tcPr>
          <w:p w14:paraId="7E35C1E5" w14:textId="77777777" w:rsidR="0033458E" w:rsidRPr="00432EBF" w:rsidRDefault="0033458E" w:rsidP="0033458E">
            <w:pPr>
              <w:jc w:val="center"/>
              <w:rPr>
                <w:rFonts w:ascii="Arial Narrow" w:hAnsi="Arial Narrow"/>
                <w:sz w:val="20"/>
                <w:szCs w:val="20"/>
              </w:rPr>
            </w:pPr>
          </w:p>
        </w:tc>
        <w:tc>
          <w:tcPr>
            <w:tcW w:w="4295" w:type="pct"/>
            <w:gridSpan w:val="6"/>
            <w:vAlign w:val="center"/>
          </w:tcPr>
          <w:p w14:paraId="6F5C7A4E" w14:textId="3EBC0D8B" w:rsidR="0033458E" w:rsidRPr="000550C5" w:rsidRDefault="0033458E" w:rsidP="0033458E">
            <w:pPr>
              <w:rPr>
                <w:rFonts w:ascii="Arial Narrow" w:hAnsi="Arial Narrow"/>
                <w:sz w:val="20"/>
                <w:szCs w:val="20"/>
              </w:rPr>
            </w:pPr>
            <w:r>
              <w:rPr>
                <w:rFonts w:ascii="Arial Narrow" w:hAnsi="Arial Narrow" w:cs="Arial Narrow"/>
                <w:b/>
                <w:iCs/>
                <w:sz w:val="20"/>
                <w:szCs w:val="20"/>
              </w:rPr>
              <w:t xml:space="preserve">AND </w:t>
            </w:r>
          </w:p>
        </w:tc>
      </w:tr>
      <w:tr w:rsidR="0080250B" w:rsidRPr="001428E9" w14:paraId="055595DA" w14:textId="77777777" w:rsidTr="00AE698F">
        <w:tblPrEx>
          <w:tblCellMar>
            <w:top w:w="15" w:type="dxa"/>
            <w:bottom w:w="15" w:type="dxa"/>
          </w:tblCellMar>
          <w:tblLook w:val="04A0" w:firstRow="1" w:lastRow="0" w:firstColumn="1" w:lastColumn="0" w:noHBand="0" w:noVBand="1"/>
        </w:tblPrEx>
        <w:trPr>
          <w:trHeight w:val="32"/>
        </w:trPr>
        <w:tc>
          <w:tcPr>
            <w:tcW w:w="705" w:type="pct"/>
            <w:vAlign w:val="center"/>
          </w:tcPr>
          <w:p w14:paraId="4519E01F" w14:textId="742AFC34" w:rsidR="0080250B" w:rsidRPr="00432EBF" w:rsidRDefault="0080250B" w:rsidP="0080250B">
            <w:pPr>
              <w:jc w:val="center"/>
              <w:rPr>
                <w:rFonts w:ascii="Arial Narrow" w:hAnsi="Arial Narrow"/>
                <w:sz w:val="20"/>
                <w:szCs w:val="20"/>
              </w:rPr>
            </w:pPr>
          </w:p>
        </w:tc>
        <w:tc>
          <w:tcPr>
            <w:tcW w:w="4295" w:type="pct"/>
            <w:gridSpan w:val="6"/>
            <w:vAlign w:val="center"/>
          </w:tcPr>
          <w:p w14:paraId="0CB7E194" w14:textId="4F60683C" w:rsidR="0080250B" w:rsidRPr="000550C5" w:rsidRDefault="0080250B" w:rsidP="0080250B">
            <w:pPr>
              <w:rPr>
                <w:rFonts w:ascii="Arial Narrow" w:hAnsi="Arial Narrow"/>
                <w:sz w:val="20"/>
                <w:szCs w:val="20"/>
              </w:rPr>
            </w:pPr>
            <w:r>
              <w:rPr>
                <w:rFonts w:ascii="Arial Narrow" w:hAnsi="Arial Narrow"/>
                <w:b/>
                <w:bCs/>
                <w:sz w:val="20"/>
                <w:szCs w:val="20"/>
              </w:rPr>
              <w:t xml:space="preserve">Treatment criteria: </w:t>
            </w:r>
          </w:p>
        </w:tc>
      </w:tr>
      <w:tr w:rsidR="0080250B" w:rsidRPr="001428E9" w14:paraId="4D3BB6E2" w14:textId="77777777" w:rsidTr="00AE698F">
        <w:tblPrEx>
          <w:tblCellMar>
            <w:top w:w="15" w:type="dxa"/>
            <w:bottom w:w="15" w:type="dxa"/>
          </w:tblCellMar>
          <w:tblLook w:val="04A0" w:firstRow="1" w:lastRow="0" w:firstColumn="1" w:lastColumn="0" w:noHBand="0" w:noVBand="1"/>
        </w:tblPrEx>
        <w:trPr>
          <w:trHeight w:val="32"/>
        </w:trPr>
        <w:tc>
          <w:tcPr>
            <w:tcW w:w="705" w:type="pct"/>
            <w:vAlign w:val="center"/>
          </w:tcPr>
          <w:p w14:paraId="3830AC1A" w14:textId="301A3993" w:rsidR="0080250B" w:rsidRPr="00432EBF" w:rsidRDefault="0080250B" w:rsidP="0080250B">
            <w:pPr>
              <w:jc w:val="center"/>
              <w:rPr>
                <w:rFonts w:ascii="Arial Narrow" w:hAnsi="Arial Narrow"/>
                <w:sz w:val="20"/>
                <w:szCs w:val="20"/>
              </w:rPr>
            </w:pPr>
          </w:p>
        </w:tc>
        <w:tc>
          <w:tcPr>
            <w:tcW w:w="4295" w:type="pct"/>
            <w:gridSpan w:val="6"/>
            <w:vAlign w:val="center"/>
          </w:tcPr>
          <w:p w14:paraId="3E4737FD" w14:textId="04BB2F7C" w:rsidR="0080250B" w:rsidRPr="000550C5" w:rsidRDefault="0080250B" w:rsidP="0080250B">
            <w:pPr>
              <w:rPr>
                <w:rFonts w:ascii="Arial Narrow" w:hAnsi="Arial Narrow"/>
                <w:sz w:val="20"/>
                <w:szCs w:val="20"/>
              </w:rPr>
            </w:pPr>
            <w:r w:rsidRPr="0080250B">
              <w:rPr>
                <w:rFonts w:ascii="Arial Narrow" w:hAnsi="Arial Narrow"/>
                <w:sz w:val="20"/>
                <w:szCs w:val="20"/>
              </w:rPr>
              <w:t>Patient must not be undergoing treatment with this drug under this treatment phase beyond day 180 of treatment</w:t>
            </w:r>
          </w:p>
        </w:tc>
      </w:tr>
      <w:tr w:rsidR="00AA24E9" w:rsidRPr="001428E9" w14:paraId="2EDEE10F"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5AA726DA" w14:textId="791F786B" w:rsidR="00AA24E9" w:rsidRPr="00432EBF" w:rsidRDefault="00AA24E9" w:rsidP="00192106">
            <w:pPr>
              <w:jc w:val="center"/>
              <w:rPr>
                <w:rFonts w:ascii="Arial Narrow" w:hAnsi="Arial Narrow"/>
                <w:sz w:val="20"/>
                <w:szCs w:val="20"/>
              </w:rPr>
            </w:pPr>
          </w:p>
        </w:tc>
        <w:tc>
          <w:tcPr>
            <w:tcW w:w="4295" w:type="pct"/>
            <w:gridSpan w:val="6"/>
            <w:vAlign w:val="center"/>
            <w:hideMark/>
          </w:tcPr>
          <w:p w14:paraId="598A6F5B" w14:textId="643836BC" w:rsidR="00D537F5" w:rsidRPr="00D537F5" w:rsidRDefault="00AA24E9" w:rsidP="00192106">
            <w:pPr>
              <w:rPr>
                <w:rFonts w:ascii="Arial Narrow" w:hAnsi="Arial Narrow"/>
                <w:b/>
                <w:bCs/>
                <w:sz w:val="20"/>
                <w:szCs w:val="20"/>
              </w:rPr>
            </w:pPr>
            <w:r w:rsidRPr="00432EBF">
              <w:rPr>
                <w:rFonts w:ascii="Arial Narrow" w:hAnsi="Arial Narrow"/>
                <w:b/>
                <w:bCs/>
                <w:sz w:val="20"/>
                <w:szCs w:val="20"/>
              </w:rPr>
              <w:t>Population criteria:</w:t>
            </w:r>
          </w:p>
        </w:tc>
      </w:tr>
      <w:tr w:rsidR="00AA24E9" w:rsidRPr="001428E9" w14:paraId="5A1D2E82" w14:textId="77777777" w:rsidTr="005A241E">
        <w:tblPrEx>
          <w:tblCellMar>
            <w:top w:w="15" w:type="dxa"/>
            <w:bottom w:w="15" w:type="dxa"/>
          </w:tblCellMar>
          <w:tblLook w:val="04A0" w:firstRow="1" w:lastRow="0" w:firstColumn="1" w:lastColumn="0" w:noHBand="0" w:noVBand="1"/>
        </w:tblPrEx>
        <w:trPr>
          <w:trHeight w:val="45"/>
        </w:trPr>
        <w:tc>
          <w:tcPr>
            <w:tcW w:w="705" w:type="pct"/>
            <w:vAlign w:val="center"/>
          </w:tcPr>
          <w:p w14:paraId="61D94F6B" w14:textId="475B8DAB" w:rsidR="00AA24E9" w:rsidRPr="00432EBF" w:rsidRDefault="00AA24E9" w:rsidP="00D537F5">
            <w:pPr>
              <w:jc w:val="center"/>
              <w:rPr>
                <w:rFonts w:ascii="Arial Narrow" w:hAnsi="Arial Narrow"/>
                <w:sz w:val="20"/>
                <w:szCs w:val="20"/>
              </w:rPr>
            </w:pPr>
          </w:p>
        </w:tc>
        <w:tc>
          <w:tcPr>
            <w:tcW w:w="4295" w:type="pct"/>
            <w:gridSpan w:val="6"/>
            <w:vAlign w:val="center"/>
            <w:hideMark/>
          </w:tcPr>
          <w:p w14:paraId="77823AF8" w14:textId="0F4DC334" w:rsidR="00AA24E9" w:rsidRPr="00856848" w:rsidRDefault="00856848" w:rsidP="00432EBF">
            <w:pPr>
              <w:jc w:val="left"/>
              <w:rPr>
                <w:rFonts w:ascii="Arial Narrow" w:hAnsi="Arial Narrow"/>
                <w:sz w:val="20"/>
                <w:szCs w:val="20"/>
              </w:rPr>
            </w:pPr>
            <w:r w:rsidRPr="00856848">
              <w:rPr>
                <w:rFonts w:ascii="Arial Narrow" w:hAnsi="Arial Narrow"/>
                <w:sz w:val="20"/>
                <w:szCs w:val="20"/>
              </w:rPr>
              <w:t>Patient must be at least 18 years of age</w:t>
            </w:r>
          </w:p>
        </w:tc>
      </w:tr>
      <w:tr w:rsidR="00415B45" w:rsidRPr="001428E9" w14:paraId="262F5F35"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0384EB8A" w14:textId="1E56A912" w:rsidR="00415B45" w:rsidRPr="00C01F55" w:rsidRDefault="00415B45" w:rsidP="00192106">
            <w:pPr>
              <w:jc w:val="center"/>
              <w:rPr>
                <w:rFonts w:ascii="Arial Narrow" w:hAnsi="Arial Narrow"/>
                <w:i/>
                <w:iCs/>
                <w:sz w:val="20"/>
                <w:szCs w:val="20"/>
              </w:rPr>
            </w:pPr>
          </w:p>
        </w:tc>
        <w:tc>
          <w:tcPr>
            <w:tcW w:w="4295" w:type="pct"/>
            <w:gridSpan w:val="6"/>
            <w:vAlign w:val="center"/>
          </w:tcPr>
          <w:p w14:paraId="40167F5C" w14:textId="1943FA75" w:rsidR="00555A82" w:rsidRDefault="00555A82" w:rsidP="00F74567">
            <w:pPr>
              <w:rPr>
                <w:rFonts w:ascii="Arial Narrow" w:hAnsi="Arial Narrow"/>
                <w:b/>
                <w:bCs/>
                <w:i/>
                <w:iCs/>
                <w:sz w:val="20"/>
                <w:szCs w:val="20"/>
              </w:rPr>
            </w:pPr>
            <w:r w:rsidRPr="00810A02">
              <w:rPr>
                <w:rFonts w:ascii="Arial Narrow" w:hAnsi="Arial Narrow"/>
                <w:b/>
                <w:bCs/>
                <w:i/>
                <w:iCs/>
                <w:sz w:val="20"/>
                <w:szCs w:val="20"/>
              </w:rPr>
              <w:t>Prescribing instruction</w:t>
            </w:r>
            <w:r>
              <w:rPr>
                <w:rFonts w:ascii="Arial Narrow" w:hAnsi="Arial Narrow"/>
                <w:b/>
                <w:bCs/>
                <w:i/>
                <w:iCs/>
                <w:sz w:val="20"/>
                <w:szCs w:val="20"/>
              </w:rPr>
              <w:t>s</w:t>
            </w:r>
            <w:r w:rsidRPr="00810A02">
              <w:rPr>
                <w:rFonts w:ascii="Arial Narrow" w:hAnsi="Arial Narrow"/>
                <w:b/>
                <w:bCs/>
                <w:i/>
                <w:iCs/>
                <w:sz w:val="20"/>
                <w:szCs w:val="20"/>
              </w:rPr>
              <w:t>:</w:t>
            </w:r>
          </w:p>
          <w:p w14:paraId="508F51EA" w14:textId="6F7716FD" w:rsidR="00563E8F" w:rsidRPr="00563E8F" w:rsidRDefault="00563E8F" w:rsidP="00F74567">
            <w:pPr>
              <w:rPr>
                <w:rFonts w:ascii="Arial Narrow" w:hAnsi="Arial Narrow"/>
                <w:bCs/>
                <w:i/>
                <w:iCs/>
                <w:sz w:val="20"/>
                <w:szCs w:val="20"/>
              </w:rPr>
            </w:pPr>
            <w:r w:rsidRPr="00C01F55">
              <w:rPr>
                <w:rFonts w:ascii="Arial Narrow" w:hAnsi="Arial Narrow"/>
                <w:bCs/>
                <w:i/>
                <w:iCs/>
                <w:sz w:val="20"/>
                <w:szCs w:val="20"/>
              </w:rPr>
              <w:t>Prescribing instruction:</w:t>
            </w:r>
          </w:p>
          <w:p w14:paraId="1D4CCBB3" w14:textId="60758407" w:rsidR="00415B45" w:rsidRPr="00810A02" w:rsidRDefault="0023050F" w:rsidP="00F74567">
            <w:pPr>
              <w:rPr>
                <w:rFonts w:ascii="Arial Narrow" w:hAnsi="Arial Narrow"/>
                <w:i/>
                <w:iCs/>
                <w:sz w:val="20"/>
                <w:szCs w:val="20"/>
              </w:rPr>
            </w:pPr>
            <w:r w:rsidRPr="00810A02">
              <w:rPr>
                <w:rFonts w:ascii="Arial Narrow" w:hAnsi="Arial Narrow"/>
                <w:i/>
                <w:iCs/>
                <w:sz w:val="20"/>
                <w:szCs w:val="20"/>
              </w:rPr>
              <w:t>State in the first authority application for this drug, for the purpose of having a baseline measurement to assess response to treatment under the Continuing treatment listing, each of: (i) the qualifying corneal fluorescein staining grade (a numerical value no less than 4), (ii) the qualifying ocular surface disease index score (a numerical value no less than 23).</w:t>
            </w:r>
          </w:p>
        </w:tc>
      </w:tr>
      <w:tr w:rsidR="0023050F" w:rsidRPr="001428E9" w14:paraId="50664018"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277DD3E6" w14:textId="7DA0EA1B" w:rsidR="0023050F" w:rsidRPr="00C01F55" w:rsidRDefault="0023050F" w:rsidP="00192106">
            <w:pPr>
              <w:jc w:val="center"/>
              <w:rPr>
                <w:rFonts w:ascii="Arial Narrow" w:hAnsi="Arial Narrow"/>
                <w:i/>
                <w:iCs/>
                <w:sz w:val="20"/>
                <w:szCs w:val="20"/>
              </w:rPr>
            </w:pPr>
          </w:p>
        </w:tc>
        <w:tc>
          <w:tcPr>
            <w:tcW w:w="4295" w:type="pct"/>
            <w:gridSpan w:val="6"/>
            <w:vAlign w:val="center"/>
          </w:tcPr>
          <w:p w14:paraId="0EC700AC" w14:textId="20FB656D" w:rsidR="00701C11" w:rsidRDefault="00701C11" w:rsidP="00F74567">
            <w:pPr>
              <w:rPr>
                <w:rFonts w:ascii="Arial Narrow" w:hAnsi="Arial Narrow"/>
                <w:i/>
                <w:iCs/>
                <w:sz w:val="20"/>
                <w:szCs w:val="20"/>
              </w:rPr>
            </w:pPr>
            <w:r w:rsidRPr="00701C11">
              <w:rPr>
                <w:rFonts w:ascii="Arial Narrow" w:hAnsi="Arial Narrow"/>
                <w:b/>
                <w:bCs/>
                <w:i/>
                <w:iCs/>
                <w:sz w:val="20"/>
                <w:szCs w:val="20"/>
              </w:rPr>
              <w:t>Administrative Advice:</w:t>
            </w:r>
          </w:p>
          <w:p w14:paraId="791FBBD4"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The Oxford scale, modified Oxford scale and Ocular Surface Disease Index (OSDI) were relied upon in the submission supporting initial PBS listing.</w:t>
            </w:r>
          </w:p>
          <w:p w14:paraId="077027F4"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The Oxford scale uses a chart system consisting of a series of panels, labelled A to E in order of increasing severity. In each chart, staining is represented by dots. To grade staining, comparisons are made between the panels and the appearance of staining on the exposed interpalpebral conjunctiva and cornea of the patient. The details of the chart are presented in Figure 1 and, in a simplified form in Figure 4 (where the criteria, dot count and log columns are not displayed), in the following literature article: Bron A, Evans V, Smith, J. Grading of corneal and conjunctival staining in the context of other dry eye tests. Cornea. 2003;22(7):640-650.</w:t>
            </w:r>
          </w:p>
          <w:p w14:paraId="29003794"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The modified Oxford scale is as above, but with the first grade depiction (Grade 0), termed 'Grade 0.5'.</w:t>
            </w:r>
          </w:p>
          <w:p w14:paraId="0860F5A5"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A list of equivalent scales to the Oxford scale is not provided. Prescribers should be satisfied that a scale other than the Oxford scale, if used, is equivalent to the Oxford scale.</w:t>
            </w:r>
          </w:p>
          <w:p w14:paraId="0ABC7C5B"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The Ocular Surface Disease Index (OSDI) is a 12-item questionnaire created by the Outcomes Research Group at Allergan Inc, Irvine, CA, USA, to assess dry eye symptoms and the effects on vision-related function.</w:t>
            </w:r>
          </w:p>
          <w:p w14:paraId="74B9722F"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The questionnaire has 3 subscales: ocular symptoms, vision-related function, and environmental triggers. Patients rate their responses on a 0 to 4 scale with 0 corresponding to 'none of the time' and 4 corresponding to 'all of the time'. A final score is calculated which ranges from 0 to 100 with scores 0 to 12 representing normal, 13 to 22 representing mild dry eye disease, 23 to 32 representing moderate dry eye disease, and greater than 33 representing severe dry eye disease.</w:t>
            </w:r>
          </w:p>
          <w:p w14:paraId="794A2D8C"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The OSDI questionnaire asks the following:</w:t>
            </w:r>
          </w:p>
          <w:p w14:paraId="2DC2417B"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Presence of ocular symptoms - Have you experienced any of the following during the last week?</w:t>
            </w:r>
          </w:p>
          <w:p w14:paraId="1056DBA3"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1. Eyes that are sensitive to light</w:t>
            </w:r>
          </w:p>
          <w:p w14:paraId="6F34A86C"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2. Eyes that feel gritty</w:t>
            </w:r>
          </w:p>
          <w:p w14:paraId="522E1784"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3. Painful or sore eyes</w:t>
            </w:r>
          </w:p>
          <w:p w14:paraId="4D490C87"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4. Blurred vision</w:t>
            </w:r>
          </w:p>
          <w:p w14:paraId="06726E43"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5. Poor vision</w:t>
            </w:r>
          </w:p>
          <w:p w14:paraId="6EFCC44C"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Impact on daily activities - Have you had problems with your eyes limited you in performing any of the following during the last week?</w:t>
            </w:r>
          </w:p>
          <w:p w14:paraId="72038E25"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1. Reading</w:t>
            </w:r>
          </w:p>
          <w:p w14:paraId="0D710912"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2. Driving at night</w:t>
            </w:r>
          </w:p>
          <w:p w14:paraId="4475B31B" w14:textId="77777777" w:rsidR="00243A11" w:rsidRPr="00243A11" w:rsidRDefault="00243A11" w:rsidP="00F74567">
            <w:pPr>
              <w:rPr>
                <w:rFonts w:ascii="Arial Narrow" w:hAnsi="Arial Narrow"/>
                <w:i/>
                <w:iCs/>
                <w:sz w:val="20"/>
                <w:szCs w:val="20"/>
              </w:rPr>
            </w:pPr>
            <w:r w:rsidRPr="00243A11">
              <w:rPr>
                <w:rFonts w:ascii="Arial Narrow" w:hAnsi="Arial Narrow"/>
                <w:i/>
                <w:iCs/>
                <w:sz w:val="20"/>
                <w:szCs w:val="20"/>
              </w:rPr>
              <w:t>3. Working with a computer or bank machine (ATM)</w:t>
            </w:r>
          </w:p>
          <w:p w14:paraId="7264FC28" w14:textId="77777777" w:rsidR="00243A11" w:rsidRPr="00243A11" w:rsidRDefault="00243A11" w:rsidP="005E3A5C">
            <w:pPr>
              <w:rPr>
                <w:rFonts w:ascii="Arial Narrow" w:hAnsi="Arial Narrow"/>
                <w:i/>
                <w:iCs/>
                <w:sz w:val="20"/>
                <w:szCs w:val="20"/>
              </w:rPr>
            </w:pPr>
            <w:r w:rsidRPr="00243A11">
              <w:rPr>
                <w:rFonts w:ascii="Arial Narrow" w:hAnsi="Arial Narrow"/>
                <w:i/>
                <w:iCs/>
                <w:sz w:val="20"/>
                <w:szCs w:val="20"/>
              </w:rPr>
              <w:t>4. Watching TV</w:t>
            </w:r>
          </w:p>
          <w:p w14:paraId="272A7335" w14:textId="77777777" w:rsidR="00243A11" w:rsidRPr="00243A11" w:rsidRDefault="00243A11" w:rsidP="005E3A5C">
            <w:pPr>
              <w:rPr>
                <w:rFonts w:ascii="Arial Narrow" w:hAnsi="Arial Narrow"/>
                <w:i/>
                <w:iCs/>
                <w:sz w:val="20"/>
                <w:szCs w:val="20"/>
              </w:rPr>
            </w:pPr>
            <w:r w:rsidRPr="00243A11">
              <w:rPr>
                <w:rFonts w:ascii="Arial Narrow" w:hAnsi="Arial Narrow"/>
                <w:i/>
                <w:iCs/>
                <w:sz w:val="20"/>
                <w:szCs w:val="20"/>
              </w:rPr>
              <w:t>Environmental factors - Have your eyes felt uncomfortable in any of the following situations during the last week?</w:t>
            </w:r>
          </w:p>
          <w:p w14:paraId="229288A7" w14:textId="77777777" w:rsidR="00243A11" w:rsidRPr="00243A11" w:rsidRDefault="00243A11" w:rsidP="005E3A5C">
            <w:pPr>
              <w:rPr>
                <w:rFonts w:ascii="Arial Narrow" w:hAnsi="Arial Narrow"/>
                <w:i/>
                <w:iCs/>
                <w:sz w:val="20"/>
                <w:szCs w:val="20"/>
              </w:rPr>
            </w:pPr>
            <w:r w:rsidRPr="00243A11">
              <w:rPr>
                <w:rFonts w:ascii="Arial Narrow" w:hAnsi="Arial Narrow"/>
                <w:i/>
                <w:iCs/>
                <w:sz w:val="20"/>
                <w:szCs w:val="20"/>
              </w:rPr>
              <w:t>1. Windy conditions</w:t>
            </w:r>
          </w:p>
          <w:p w14:paraId="6A9144AF" w14:textId="77777777" w:rsidR="00243A11" w:rsidRPr="00243A11" w:rsidRDefault="00243A11" w:rsidP="005E3A5C">
            <w:pPr>
              <w:rPr>
                <w:rFonts w:ascii="Arial Narrow" w:hAnsi="Arial Narrow"/>
                <w:i/>
                <w:iCs/>
                <w:sz w:val="20"/>
                <w:szCs w:val="20"/>
              </w:rPr>
            </w:pPr>
            <w:r w:rsidRPr="00243A11">
              <w:rPr>
                <w:rFonts w:ascii="Arial Narrow" w:hAnsi="Arial Narrow"/>
                <w:i/>
                <w:iCs/>
                <w:sz w:val="20"/>
                <w:szCs w:val="20"/>
              </w:rPr>
              <w:t>2. Places or areas with low humidity (very dry)</w:t>
            </w:r>
          </w:p>
          <w:p w14:paraId="6204DB7E" w14:textId="77777777" w:rsidR="00243A11" w:rsidRPr="00243A11" w:rsidRDefault="00243A11" w:rsidP="005E3A5C">
            <w:pPr>
              <w:rPr>
                <w:rFonts w:ascii="Arial Narrow" w:hAnsi="Arial Narrow"/>
                <w:i/>
                <w:iCs/>
                <w:sz w:val="20"/>
                <w:szCs w:val="20"/>
              </w:rPr>
            </w:pPr>
            <w:r w:rsidRPr="00243A11">
              <w:rPr>
                <w:rFonts w:ascii="Arial Narrow" w:hAnsi="Arial Narrow"/>
                <w:i/>
                <w:iCs/>
                <w:sz w:val="20"/>
                <w:szCs w:val="20"/>
              </w:rPr>
              <w:t>3. Areas that are airconditioned</w:t>
            </w:r>
          </w:p>
          <w:p w14:paraId="6F655C85" w14:textId="77777777" w:rsidR="00243A11" w:rsidRPr="00243A11" w:rsidRDefault="00243A11" w:rsidP="005E3A5C">
            <w:pPr>
              <w:rPr>
                <w:rFonts w:ascii="Arial Narrow" w:hAnsi="Arial Narrow"/>
                <w:i/>
                <w:iCs/>
                <w:sz w:val="20"/>
                <w:szCs w:val="20"/>
              </w:rPr>
            </w:pPr>
            <w:r w:rsidRPr="00243A11">
              <w:rPr>
                <w:rFonts w:ascii="Arial Narrow" w:hAnsi="Arial Narrow"/>
                <w:i/>
                <w:iCs/>
                <w:sz w:val="20"/>
                <w:szCs w:val="20"/>
              </w:rPr>
              <w:t xml:space="preserve">Rate responses on a scale of 0 to 4; 0 = none of the time, 1 = some of the time, 2 = half of the time, 3 = most of the time, and 4 = </w:t>
            </w:r>
            <w:proofErr w:type="gramStart"/>
            <w:r w:rsidRPr="00243A11">
              <w:rPr>
                <w:rFonts w:ascii="Arial Narrow" w:hAnsi="Arial Narrow"/>
                <w:i/>
                <w:iCs/>
                <w:sz w:val="20"/>
                <w:szCs w:val="20"/>
              </w:rPr>
              <w:t>all of</w:t>
            </w:r>
            <w:proofErr w:type="gramEnd"/>
            <w:r w:rsidRPr="00243A11">
              <w:rPr>
                <w:rFonts w:ascii="Arial Narrow" w:hAnsi="Arial Narrow"/>
                <w:i/>
                <w:iCs/>
                <w:sz w:val="20"/>
                <w:szCs w:val="20"/>
              </w:rPr>
              <w:t xml:space="preserve"> the time.</w:t>
            </w:r>
          </w:p>
          <w:p w14:paraId="1E9B3BCD" w14:textId="77777777" w:rsidR="00243A11" w:rsidRPr="00243A11" w:rsidRDefault="00243A11" w:rsidP="005E3A5C">
            <w:pPr>
              <w:rPr>
                <w:rFonts w:ascii="Arial Narrow" w:hAnsi="Arial Narrow"/>
                <w:i/>
                <w:iCs/>
                <w:sz w:val="20"/>
                <w:szCs w:val="20"/>
              </w:rPr>
            </w:pPr>
            <w:r w:rsidRPr="00243A11">
              <w:rPr>
                <w:rFonts w:ascii="Arial Narrow" w:hAnsi="Arial Narrow"/>
                <w:i/>
                <w:iCs/>
                <w:sz w:val="20"/>
                <w:szCs w:val="20"/>
              </w:rPr>
              <w:t>Further information on this index is in the following literature article: Walt J, Rowe M, Stern K. Evaluating the functional impact of dry eye: the Ocular Surface Disease Index. Drug Information Journal. 1997;31:1436</w:t>
            </w:r>
          </w:p>
          <w:p w14:paraId="2136DA6D" w14:textId="2C25C225" w:rsidR="0023050F" w:rsidRPr="00810A02" w:rsidRDefault="00243A11" w:rsidP="005E3A5C">
            <w:pPr>
              <w:rPr>
                <w:rFonts w:ascii="Arial Narrow" w:hAnsi="Arial Narrow"/>
                <w:i/>
                <w:iCs/>
                <w:sz w:val="20"/>
                <w:szCs w:val="20"/>
              </w:rPr>
            </w:pPr>
            <w:r w:rsidRPr="00243A11">
              <w:rPr>
                <w:rFonts w:ascii="Arial Narrow" w:hAnsi="Arial Narrow"/>
                <w:i/>
                <w:iCs/>
                <w:sz w:val="20"/>
                <w:szCs w:val="20"/>
              </w:rPr>
              <w:lastRenderedPageBreak/>
              <w:t>The 'Dry Eye OSDI 'Questionnaire' app developed by Allergan Inc is available to download for iPhone.</w:t>
            </w:r>
          </w:p>
        </w:tc>
      </w:tr>
      <w:tr w:rsidR="0014560F" w:rsidRPr="001428E9" w14:paraId="17257ED8"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31D97C18" w14:textId="21421475" w:rsidR="0014560F" w:rsidRPr="00C01F55" w:rsidRDefault="0014560F" w:rsidP="00192106">
            <w:pPr>
              <w:jc w:val="center"/>
              <w:rPr>
                <w:rFonts w:ascii="Arial Narrow" w:hAnsi="Arial Narrow"/>
                <w:i/>
                <w:iCs/>
                <w:sz w:val="20"/>
                <w:szCs w:val="20"/>
              </w:rPr>
            </w:pPr>
          </w:p>
        </w:tc>
        <w:tc>
          <w:tcPr>
            <w:tcW w:w="4295" w:type="pct"/>
            <w:gridSpan w:val="6"/>
            <w:vAlign w:val="center"/>
          </w:tcPr>
          <w:p w14:paraId="33064FF8" w14:textId="731293E5" w:rsidR="00243A11" w:rsidRDefault="00243A11" w:rsidP="00F74567">
            <w:pPr>
              <w:rPr>
                <w:rFonts w:ascii="Arial Narrow" w:hAnsi="Arial Narrow"/>
                <w:i/>
                <w:iCs/>
                <w:sz w:val="20"/>
                <w:szCs w:val="20"/>
              </w:rPr>
            </w:pPr>
            <w:r w:rsidRPr="00701C11">
              <w:rPr>
                <w:rFonts w:ascii="Arial Narrow" w:hAnsi="Arial Narrow"/>
                <w:b/>
                <w:bCs/>
                <w:i/>
                <w:iCs/>
                <w:sz w:val="20"/>
                <w:szCs w:val="20"/>
              </w:rPr>
              <w:t>Administrative Advice:</w:t>
            </w:r>
          </w:p>
          <w:p w14:paraId="7F7A6FF1" w14:textId="1896DD5E" w:rsidR="0014560F" w:rsidRPr="00810A02" w:rsidRDefault="00800B56" w:rsidP="00F74567">
            <w:pPr>
              <w:rPr>
                <w:rFonts w:ascii="Arial Narrow" w:hAnsi="Arial Narrow"/>
                <w:i/>
                <w:iCs/>
                <w:sz w:val="20"/>
                <w:szCs w:val="20"/>
              </w:rPr>
            </w:pPr>
            <w:r w:rsidRPr="00800B56">
              <w:rPr>
                <w:rFonts w:ascii="Arial Narrow" w:hAnsi="Arial Narrow"/>
                <w:i/>
                <w:iCs/>
                <w:sz w:val="20"/>
                <w:szCs w:val="20"/>
              </w:rPr>
              <w:t>If the maximum number of repeats stated in this listing is not requested in this application, further supplies can be obtained through this treatment phase listing to continue treatment for up to the first 180 days of treatment, but the OSDI score and CFS grade need not be re-stated. Alternatively, treatment may be continued under the 'Continuing treatment' phase listing, provided the patient meets all eligibility criteria specified in that treatment phase listing.</w:t>
            </w:r>
          </w:p>
        </w:tc>
      </w:tr>
      <w:tr w:rsidR="00243A11" w:rsidRPr="001428E9" w14:paraId="19DB0A36" w14:textId="77777777" w:rsidTr="00AE698F">
        <w:tblPrEx>
          <w:tblCellMar>
            <w:top w:w="15" w:type="dxa"/>
            <w:bottom w:w="15" w:type="dxa"/>
          </w:tblCellMar>
          <w:tblLook w:val="04A0" w:firstRow="1" w:lastRow="0" w:firstColumn="1" w:lastColumn="0" w:noHBand="0" w:noVBand="1"/>
        </w:tblPrEx>
        <w:trPr>
          <w:trHeight w:val="358"/>
        </w:trPr>
        <w:tc>
          <w:tcPr>
            <w:tcW w:w="5000" w:type="pct"/>
            <w:gridSpan w:val="7"/>
            <w:vAlign w:val="center"/>
          </w:tcPr>
          <w:p w14:paraId="00320449" w14:textId="77777777" w:rsidR="00243A11" w:rsidRPr="00810A02" w:rsidRDefault="00243A11" w:rsidP="0014560F">
            <w:pPr>
              <w:jc w:val="left"/>
              <w:rPr>
                <w:rFonts w:ascii="Arial Narrow" w:hAnsi="Arial Narrow"/>
                <w:i/>
                <w:iCs/>
                <w:sz w:val="20"/>
                <w:szCs w:val="20"/>
              </w:rPr>
            </w:pPr>
          </w:p>
        </w:tc>
      </w:tr>
      <w:tr w:rsidR="00E551B7" w:rsidRPr="001428E9" w14:paraId="77C186F4" w14:textId="77777777" w:rsidTr="00AE698F">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43E61D65" w14:textId="77777777" w:rsidR="00E551B7" w:rsidRPr="00A260AF" w:rsidRDefault="00E551B7" w:rsidP="00E551B7">
            <w:pPr>
              <w:jc w:val="center"/>
              <w:rPr>
                <w:rFonts w:ascii="Arial Narrow" w:hAnsi="Arial Narrow" w:cs="Arial"/>
                <w:b/>
                <w:sz w:val="20"/>
                <w:szCs w:val="20"/>
              </w:rPr>
            </w:pPr>
            <w:r w:rsidRPr="00A260AF">
              <w:rPr>
                <w:rFonts w:ascii="Arial Narrow" w:hAnsi="Arial Narrow" w:cs="Arial"/>
                <w:b/>
                <w:sz w:val="20"/>
                <w:szCs w:val="20"/>
              </w:rPr>
              <w:t>Concept ID</w:t>
            </w:r>
            <w:r w:rsidRPr="00A260AF">
              <w:rPr>
                <w:rFonts w:ascii="Arial Narrow" w:hAnsi="Arial Narrow" w:cs="Arial"/>
                <w:b/>
                <w:sz w:val="20"/>
                <w:szCs w:val="20"/>
              </w:rPr>
              <w:br/>
            </w:r>
            <w:r w:rsidRPr="00A260AF">
              <w:rPr>
                <w:rFonts w:ascii="Arial Narrow" w:hAnsi="Arial Narrow" w:cs="Arial"/>
                <w:sz w:val="20"/>
                <w:szCs w:val="20"/>
              </w:rPr>
              <w:t>(for internal Dept. use)</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7757A0D2" w14:textId="25E0338D" w:rsidR="00E551B7" w:rsidRPr="00A260AF" w:rsidRDefault="00E551B7" w:rsidP="00D91AA9">
            <w:pPr>
              <w:rPr>
                <w:rFonts w:ascii="Arial Narrow" w:hAnsi="Arial Narrow" w:cs="Arial"/>
                <w:sz w:val="20"/>
                <w:szCs w:val="20"/>
              </w:rPr>
            </w:pPr>
            <w:r w:rsidRPr="00A260AF">
              <w:rPr>
                <w:rFonts w:ascii="Arial Narrow" w:hAnsi="Arial Narrow" w:cs="Arial"/>
                <w:b/>
                <w:sz w:val="20"/>
                <w:szCs w:val="20"/>
              </w:rPr>
              <w:t>Category / Program:</w:t>
            </w:r>
            <w:r w:rsidRPr="00A260AF">
              <w:rPr>
                <w:rFonts w:ascii="Arial Narrow" w:hAnsi="Arial Narrow" w:cs="Arial"/>
                <w:sz w:val="20"/>
                <w:szCs w:val="20"/>
              </w:rPr>
              <w:t xml:space="preserve"> </w:t>
            </w:r>
            <w:r w:rsidRPr="00A260AF">
              <w:rPr>
                <w:rFonts w:ascii="Arial Narrow" w:eastAsia="Calibri" w:hAnsi="Arial Narrow" w:cs="Arial"/>
                <w:sz w:val="20"/>
                <w:szCs w:val="20"/>
              </w:rPr>
              <w:fldChar w:fldCharType="begin">
                <w:ffData>
                  <w:name w:val="Check1"/>
                  <w:enabled/>
                  <w:calcOnExit w:val="0"/>
                  <w:checkBox>
                    <w:sizeAuto/>
                    <w:default w:val="1"/>
                  </w:checkBox>
                </w:ffData>
              </w:fldChar>
            </w:r>
            <w:r w:rsidRPr="00A260AF">
              <w:rPr>
                <w:rFonts w:ascii="Arial Narrow" w:eastAsia="Calibri" w:hAnsi="Arial Narrow" w:cs="Arial"/>
                <w:sz w:val="20"/>
                <w:szCs w:val="20"/>
              </w:rPr>
              <w:instrText xml:space="preserve"> FORMCHECKBOX </w:instrText>
            </w:r>
            <w:r w:rsidRPr="00A260AF">
              <w:rPr>
                <w:rFonts w:ascii="Arial Narrow" w:eastAsia="Calibri" w:hAnsi="Arial Narrow" w:cs="Arial"/>
                <w:sz w:val="20"/>
                <w:szCs w:val="20"/>
              </w:rPr>
            </w:r>
            <w:r w:rsidRPr="00A260AF">
              <w:rPr>
                <w:rFonts w:ascii="Arial Narrow" w:eastAsia="Calibri" w:hAnsi="Arial Narrow" w:cs="Arial"/>
                <w:sz w:val="20"/>
                <w:szCs w:val="20"/>
              </w:rPr>
              <w:fldChar w:fldCharType="separate"/>
            </w:r>
            <w:r w:rsidRPr="00A260AF">
              <w:rPr>
                <w:rFonts w:ascii="Arial Narrow" w:eastAsia="Calibri" w:hAnsi="Arial Narrow" w:cs="Arial"/>
                <w:sz w:val="20"/>
                <w:szCs w:val="20"/>
              </w:rPr>
              <w:fldChar w:fldCharType="end"/>
            </w:r>
            <w:r w:rsidRPr="00A260AF">
              <w:rPr>
                <w:rFonts w:ascii="Arial Narrow" w:eastAsia="Calibri" w:hAnsi="Arial Narrow" w:cs="Arial"/>
                <w:sz w:val="20"/>
                <w:szCs w:val="20"/>
              </w:rPr>
              <w:t xml:space="preserve"> GENERAL - General Schedule (Code GE)</w:t>
            </w:r>
          </w:p>
        </w:tc>
      </w:tr>
      <w:tr w:rsidR="00E551B7" w:rsidRPr="001428E9" w14:paraId="4B0A5D50" w14:textId="77777777" w:rsidTr="00AE698F">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566349C8" w14:textId="77777777" w:rsidR="00E551B7" w:rsidRPr="00A260AF" w:rsidRDefault="00E551B7" w:rsidP="00E551B7">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E79A05F" w14:textId="4DAC7BC6" w:rsidR="00E551B7" w:rsidRPr="00A260AF" w:rsidRDefault="00E551B7" w:rsidP="00D91AA9">
            <w:pPr>
              <w:rPr>
                <w:rFonts w:ascii="Arial Narrow" w:hAnsi="Arial Narrow" w:cs="Arial"/>
                <w:b/>
                <w:sz w:val="20"/>
                <w:szCs w:val="20"/>
              </w:rPr>
            </w:pPr>
            <w:r w:rsidRPr="00A260AF">
              <w:rPr>
                <w:rFonts w:ascii="Arial Narrow" w:hAnsi="Arial Narrow" w:cs="Arial"/>
                <w:b/>
                <w:sz w:val="20"/>
                <w:szCs w:val="20"/>
              </w:rPr>
              <w:t>Prescriber type:</w:t>
            </w:r>
            <w:r w:rsidRPr="00A260AF">
              <w:t xml:space="preserve"> </w:t>
            </w:r>
            <w:r w:rsidRPr="00A260AF">
              <w:rPr>
                <w:rFonts w:ascii="Arial Narrow" w:hAnsi="Arial Narrow" w:cs="Arial"/>
                <w:sz w:val="20"/>
                <w:szCs w:val="20"/>
              </w:rPr>
              <w:fldChar w:fldCharType="begin">
                <w:ffData>
                  <w:name w:val=""/>
                  <w:enabled/>
                  <w:calcOnExit w:val="0"/>
                  <w:checkBox>
                    <w:sizeAuto/>
                    <w:default w:val="1"/>
                  </w:checkBox>
                </w:ffData>
              </w:fldChar>
            </w:r>
            <w:r w:rsidRPr="00A260AF">
              <w:rPr>
                <w:rFonts w:ascii="Arial Narrow" w:hAnsi="Arial Narrow" w:cs="Arial"/>
                <w:sz w:val="20"/>
                <w:szCs w:val="20"/>
              </w:rPr>
              <w:instrText xml:space="preserve"> FORMCHECKBOX </w:instrText>
            </w:r>
            <w:r w:rsidRPr="00A260AF">
              <w:rPr>
                <w:rFonts w:ascii="Arial Narrow" w:hAnsi="Arial Narrow" w:cs="Arial"/>
                <w:sz w:val="20"/>
                <w:szCs w:val="20"/>
              </w:rPr>
            </w:r>
            <w:r w:rsidRPr="00A260AF">
              <w:rPr>
                <w:rFonts w:ascii="Arial Narrow" w:hAnsi="Arial Narrow" w:cs="Arial"/>
                <w:sz w:val="20"/>
                <w:szCs w:val="20"/>
              </w:rPr>
              <w:fldChar w:fldCharType="separate"/>
            </w:r>
            <w:r w:rsidRPr="00A260AF">
              <w:rPr>
                <w:rFonts w:ascii="Arial Narrow" w:hAnsi="Arial Narrow" w:cs="Arial"/>
                <w:sz w:val="20"/>
                <w:szCs w:val="20"/>
              </w:rPr>
              <w:fldChar w:fldCharType="end"/>
            </w:r>
            <w:r w:rsidRPr="00A260AF">
              <w:rPr>
                <w:rFonts w:ascii="Arial Narrow" w:hAnsi="Arial Narrow" w:cs="Arial"/>
                <w:sz w:val="20"/>
                <w:szCs w:val="20"/>
              </w:rPr>
              <w:t xml:space="preserve">Medical Practitioners </w:t>
            </w:r>
            <w:r w:rsidRPr="00A260AF">
              <w:rPr>
                <w:rFonts w:ascii="Arial Narrow" w:hAnsi="Arial Narrow" w:cs="Arial"/>
                <w:sz w:val="20"/>
                <w:szCs w:val="20"/>
              </w:rPr>
              <w:fldChar w:fldCharType="begin">
                <w:ffData>
                  <w:name w:val=""/>
                  <w:enabled/>
                  <w:calcOnExit w:val="0"/>
                  <w:checkBox>
                    <w:sizeAuto/>
                    <w:default w:val="1"/>
                  </w:checkBox>
                </w:ffData>
              </w:fldChar>
            </w:r>
            <w:r w:rsidRPr="00A260AF">
              <w:rPr>
                <w:rFonts w:ascii="Arial Narrow" w:hAnsi="Arial Narrow" w:cs="Arial"/>
                <w:sz w:val="20"/>
                <w:szCs w:val="20"/>
              </w:rPr>
              <w:instrText xml:space="preserve"> FORMCHECKBOX </w:instrText>
            </w:r>
            <w:r w:rsidRPr="00A260AF">
              <w:rPr>
                <w:rFonts w:ascii="Arial Narrow" w:hAnsi="Arial Narrow" w:cs="Arial"/>
                <w:sz w:val="20"/>
                <w:szCs w:val="20"/>
              </w:rPr>
            </w:r>
            <w:r w:rsidRPr="00A260AF">
              <w:rPr>
                <w:rFonts w:ascii="Arial Narrow" w:hAnsi="Arial Narrow" w:cs="Arial"/>
                <w:sz w:val="20"/>
                <w:szCs w:val="20"/>
              </w:rPr>
              <w:fldChar w:fldCharType="separate"/>
            </w:r>
            <w:r w:rsidRPr="00A260AF">
              <w:rPr>
                <w:rFonts w:ascii="Arial Narrow" w:hAnsi="Arial Narrow" w:cs="Arial"/>
                <w:sz w:val="20"/>
                <w:szCs w:val="20"/>
              </w:rPr>
              <w:fldChar w:fldCharType="end"/>
            </w:r>
            <w:r w:rsidRPr="00A260AF">
              <w:rPr>
                <w:rFonts w:ascii="Arial Narrow" w:hAnsi="Arial Narrow" w:cs="Arial"/>
                <w:sz w:val="20"/>
                <w:szCs w:val="20"/>
              </w:rPr>
              <w:t xml:space="preserve">Optometrists </w:t>
            </w:r>
          </w:p>
        </w:tc>
      </w:tr>
      <w:tr w:rsidR="00E551B7" w:rsidRPr="00C02D56" w14:paraId="61CAAC41" w14:textId="77777777" w:rsidTr="00AE698F">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bottom w:val="single" w:sz="4" w:space="0" w:color="auto"/>
              <w:right w:val="single" w:sz="4" w:space="0" w:color="auto"/>
            </w:tcBorders>
          </w:tcPr>
          <w:p w14:paraId="67AAA931" w14:textId="77777777" w:rsidR="00E551B7" w:rsidRPr="00A260AF" w:rsidRDefault="00E551B7" w:rsidP="00E551B7">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D4DEEAF" w14:textId="29A81A5D" w:rsidR="00E551B7" w:rsidRPr="00A260AF" w:rsidRDefault="00E551B7" w:rsidP="00D91AA9">
            <w:pPr>
              <w:jc w:val="left"/>
              <w:rPr>
                <w:rFonts w:ascii="Arial Narrow" w:eastAsia="Calibri" w:hAnsi="Arial Narrow" w:cs="Arial"/>
                <w:sz w:val="20"/>
                <w:szCs w:val="20"/>
              </w:rPr>
            </w:pPr>
            <w:r w:rsidRPr="00A260AF">
              <w:rPr>
                <w:rFonts w:ascii="Arial Narrow" w:hAnsi="Arial Narrow" w:cs="Arial"/>
                <w:b/>
                <w:sz w:val="20"/>
                <w:szCs w:val="20"/>
              </w:rPr>
              <w:t xml:space="preserve">Restriction type: </w:t>
            </w:r>
            <w:r w:rsidRPr="00A260AF">
              <w:rPr>
                <w:rFonts w:ascii="Arial Narrow" w:eastAsia="Calibri" w:hAnsi="Arial Narrow" w:cs="Arial"/>
                <w:sz w:val="20"/>
                <w:szCs w:val="20"/>
              </w:rPr>
              <w:fldChar w:fldCharType="begin">
                <w:ffData>
                  <w:name w:val="Check3"/>
                  <w:enabled/>
                  <w:calcOnExit w:val="0"/>
                  <w:checkBox>
                    <w:sizeAuto/>
                    <w:default w:val="1"/>
                  </w:checkBox>
                </w:ffData>
              </w:fldChar>
            </w:r>
            <w:r w:rsidRPr="00A260AF">
              <w:rPr>
                <w:rFonts w:ascii="Arial Narrow" w:eastAsia="Calibri" w:hAnsi="Arial Narrow" w:cs="Arial"/>
                <w:sz w:val="20"/>
                <w:szCs w:val="20"/>
              </w:rPr>
              <w:instrText xml:space="preserve"> FORMCHECKBOX </w:instrText>
            </w:r>
            <w:r w:rsidRPr="00A260AF">
              <w:rPr>
                <w:rFonts w:ascii="Arial Narrow" w:eastAsia="Calibri" w:hAnsi="Arial Narrow" w:cs="Arial"/>
                <w:sz w:val="20"/>
                <w:szCs w:val="20"/>
              </w:rPr>
            </w:r>
            <w:r w:rsidRPr="00A260AF">
              <w:rPr>
                <w:rFonts w:ascii="Arial Narrow" w:eastAsia="Calibri" w:hAnsi="Arial Narrow" w:cs="Arial"/>
                <w:sz w:val="20"/>
                <w:szCs w:val="20"/>
              </w:rPr>
              <w:fldChar w:fldCharType="separate"/>
            </w:r>
            <w:r w:rsidRPr="00A260AF">
              <w:rPr>
                <w:rFonts w:ascii="Arial Narrow" w:eastAsia="Calibri" w:hAnsi="Arial Narrow" w:cs="Arial"/>
                <w:sz w:val="20"/>
                <w:szCs w:val="20"/>
              </w:rPr>
              <w:fldChar w:fldCharType="end"/>
            </w:r>
            <w:r w:rsidRPr="00A260AF">
              <w:rPr>
                <w:rFonts w:ascii="Arial Narrow" w:eastAsia="Calibri" w:hAnsi="Arial Narrow" w:cs="Arial"/>
                <w:sz w:val="20"/>
                <w:szCs w:val="20"/>
              </w:rPr>
              <w:t>Authority Required (telephone/online PBS Authorities system</w:t>
            </w:r>
            <w:r w:rsidR="007644BB">
              <w:rPr>
                <w:rFonts w:ascii="Arial Narrow" w:eastAsia="Calibri" w:hAnsi="Arial Narrow" w:cs="Arial"/>
                <w:sz w:val="20"/>
                <w:szCs w:val="20"/>
              </w:rPr>
              <w:t>)</w:t>
            </w:r>
          </w:p>
        </w:tc>
      </w:tr>
      <w:tr w:rsidR="00800B56" w:rsidRPr="001428E9" w14:paraId="0E7ACC04" w14:textId="77777777" w:rsidTr="00AE698F">
        <w:tblPrEx>
          <w:tblCellMar>
            <w:top w:w="15" w:type="dxa"/>
            <w:bottom w:w="15" w:type="dxa"/>
          </w:tblCellMar>
          <w:tblLook w:val="04A0" w:firstRow="1" w:lastRow="0" w:firstColumn="1" w:lastColumn="0" w:noHBand="0" w:noVBand="1"/>
        </w:tblPrEx>
        <w:trPr>
          <w:trHeight w:val="20"/>
        </w:trPr>
        <w:tc>
          <w:tcPr>
            <w:tcW w:w="5000" w:type="pct"/>
            <w:gridSpan w:val="7"/>
            <w:vAlign w:val="center"/>
          </w:tcPr>
          <w:p w14:paraId="4F230B71" w14:textId="7F178FB6" w:rsidR="00800B56" w:rsidRPr="00A260AF" w:rsidRDefault="00800B56" w:rsidP="00800B56">
            <w:pPr>
              <w:rPr>
                <w:rFonts w:ascii="Arial Narrow" w:hAnsi="Arial Narrow"/>
                <w:b/>
                <w:bCs/>
                <w:sz w:val="20"/>
                <w:szCs w:val="20"/>
              </w:rPr>
            </w:pPr>
          </w:p>
        </w:tc>
      </w:tr>
      <w:tr w:rsidR="00800B56" w:rsidRPr="001428E9" w14:paraId="2EF9C7D2" w14:textId="77777777" w:rsidTr="005A241E">
        <w:tblPrEx>
          <w:tblCellMar>
            <w:top w:w="15" w:type="dxa"/>
            <w:bottom w:w="15" w:type="dxa"/>
          </w:tblCellMar>
          <w:tblLook w:val="04A0" w:firstRow="1" w:lastRow="0" w:firstColumn="1" w:lastColumn="0" w:noHBand="0" w:noVBand="1"/>
        </w:tblPrEx>
        <w:trPr>
          <w:trHeight w:val="20"/>
        </w:trPr>
        <w:tc>
          <w:tcPr>
            <w:tcW w:w="705" w:type="pct"/>
            <w:vAlign w:val="center"/>
          </w:tcPr>
          <w:p w14:paraId="35039B6C" w14:textId="45F136B2" w:rsidR="00800B56" w:rsidRPr="00A260AF" w:rsidRDefault="00800B56" w:rsidP="00800B56">
            <w:pPr>
              <w:jc w:val="center"/>
              <w:rPr>
                <w:rFonts w:ascii="Arial Narrow" w:hAnsi="Arial Narrow"/>
                <w:sz w:val="20"/>
                <w:szCs w:val="20"/>
              </w:rPr>
            </w:pPr>
          </w:p>
        </w:tc>
        <w:tc>
          <w:tcPr>
            <w:tcW w:w="4295" w:type="pct"/>
            <w:gridSpan w:val="6"/>
            <w:vAlign w:val="center"/>
            <w:hideMark/>
          </w:tcPr>
          <w:p w14:paraId="666E427E" w14:textId="3021A820" w:rsidR="00800B56" w:rsidRPr="00A260AF" w:rsidRDefault="00800B56" w:rsidP="00800B56">
            <w:pPr>
              <w:rPr>
                <w:rFonts w:ascii="Arial Narrow" w:hAnsi="Arial Narrow"/>
                <w:sz w:val="20"/>
                <w:szCs w:val="20"/>
              </w:rPr>
            </w:pPr>
            <w:r w:rsidRPr="00A260AF">
              <w:rPr>
                <w:rFonts w:ascii="Arial Narrow" w:hAnsi="Arial Narrow"/>
                <w:b/>
                <w:bCs/>
                <w:sz w:val="20"/>
                <w:szCs w:val="20"/>
              </w:rPr>
              <w:t>Indication:</w:t>
            </w:r>
            <w:r w:rsidRPr="00A260AF">
              <w:rPr>
                <w:rFonts w:ascii="Arial Narrow" w:hAnsi="Arial Narrow"/>
                <w:sz w:val="20"/>
                <w:szCs w:val="20"/>
              </w:rPr>
              <w:t xml:space="preserve"> Chronic severe dry eye disease with keratitis</w:t>
            </w:r>
          </w:p>
        </w:tc>
      </w:tr>
      <w:tr w:rsidR="00800B56" w:rsidRPr="00C02D56" w14:paraId="04C790F1" w14:textId="77777777" w:rsidTr="005A241E">
        <w:tblPrEx>
          <w:tblCellMar>
            <w:top w:w="15" w:type="dxa"/>
            <w:bottom w:w="15" w:type="dxa"/>
          </w:tblCellMar>
          <w:tblLook w:val="04A0" w:firstRow="1" w:lastRow="0" w:firstColumn="1" w:lastColumn="0" w:noHBand="0" w:noVBand="1"/>
        </w:tblPrEx>
        <w:trPr>
          <w:trHeight w:val="20"/>
        </w:trPr>
        <w:tc>
          <w:tcPr>
            <w:tcW w:w="705" w:type="pct"/>
            <w:vAlign w:val="center"/>
          </w:tcPr>
          <w:p w14:paraId="3F739A48" w14:textId="77777777" w:rsidR="00800B56" w:rsidRPr="00A260AF" w:rsidRDefault="00800B56" w:rsidP="00800B56">
            <w:pPr>
              <w:jc w:val="center"/>
              <w:rPr>
                <w:rFonts w:ascii="Arial Narrow" w:hAnsi="Arial Narrow"/>
                <w:sz w:val="20"/>
                <w:szCs w:val="20"/>
              </w:rPr>
            </w:pPr>
          </w:p>
        </w:tc>
        <w:tc>
          <w:tcPr>
            <w:tcW w:w="4295" w:type="pct"/>
            <w:gridSpan w:val="6"/>
            <w:vAlign w:val="center"/>
            <w:hideMark/>
          </w:tcPr>
          <w:p w14:paraId="50F29193" w14:textId="2F234A4A" w:rsidR="00800B56" w:rsidRPr="00A260AF" w:rsidRDefault="00800B56" w:rsidP="00800B56">
            <w:pPr>
              <w:rPr>
                <w:rFonts w:ascii="Arial Narrow" w:hAnsi="Arial Narrow"/>
                <w:sz w:val="20"/>
                <w:szCs w:val="20"/>
              </w:rPr>
            </w:pPr>
            <w:r w:rsidRPr="00A260AF">
              <w:rPr>
                <w:rFonts w:ascii="Arial Narrow" w:hAnsi="Arial Narrow"/>
                <w:b/>
                <w:bCs/>
                <w:sz w:val="20"/>
                <w:szCs w:val="20"/>
              </w:rPr>
              <w:t>Treatment Phase:</w:t>
            </w:r>
            <w:r w:rsidRPr="00A260AF">
              <w:rPr>
                <w:rFonts w:ascii="Arial Narrow" w:hAnsi="Arial Narrow"/>
                <w:sz w:val="20"/>
                <w:szCs w:val="20"/>
              </w:rPr>
              <w:t xml:space="preserve"> Continuing treatment</w:t>
            </w:r>
          </w:p>
        </w:tc>
      </w:tr>
      <w:tr w:rsidR="00800B56" w:rsidRPr="00C02D56" w14:paraId="64751AA9"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691E1775" w14:textId="51CC34FD" w:rsidR="00800B56" w:rsidRPr="00432EBF" w:rsidRDefault="00800B56" w:rsidP="00800B56">
            <w:pPr>
              <w:jc w:val="center"/>
              <w:rPr>
                <w:rFonts w:ascii="Arial Narrow" w:hAnsi="Arial Narrow"/>
                <w:sz w:val="20"/>
                <w:szCs w:val="20"/>
              </w:rPr>
            </w:pPr>
          </w:p>
        </w:tc>
        <w:tc>
          <w:tcPr>
            <w:tcW w:w="4295" w:type="pct"/>
            <w:gridSpan w:val="6"/>
            <w:vAlign w:val="center"/>
          </w:tcPr>
          <w:p w14:paraId="4276D924" w14:textId="7B3D4059" w:rsidR="00800B56" w:rsidRPr="00432EBF" w:rsidRDefault="00800B56" w:rsidP="00800B56">
            <w:pPr>
              <w:rPr>
                <w:rFonts w:ascii="Arial Narrow" w:hAnsi="Arial Narrow"/>
                <w:b/>
                <w:bCs/>
                <w:sz w:val="20"/>
                <w:szCs w:val="20"/>
              </w:rPr>
            </w:pPr>
            <w:r>
              <w:rPr>
                <w:rFonts w:ascii="Arial Narrow" w:hAnsi="Arial Narrow"/>
                <w:b/>
                <w:bCs/>
                <w:sz w:val="20"/>
                <w:szCs w:val="20"/>
              </w:rPr>
              <w:t>Clinical criteria:</w:t>
            </w:r>
          </w:p>
        </w:tc>
      </w:tr>
      <w:tr w:rsidR="00800B56" w:rsidRPr="00C02D56" w14:paraId="468B6EDB" w14:textId="77777777" w:rsidTr="00AE698F">
        <w:tblPrEx>
          <w:tblCellMar>
            <w:top w:w="15" w:type="dxa"/>
            <w:bottom w:w="15" w:type="dxa"/>
          </w:tblCellMar>
          <w:tblLook w:val="04A0" w:firstRow="1" w:lastRow="0" w:firstColumn="1" w:lastColumn="0" w:noHBand="0" w:noVBand="1"/>
        </w:tblPrEx>
        <w:trPr>
          <w:trHeight w:val="168"/>
        </w:trPr>
        <w:tc>
          <w:tcPr>
            <w:tcW w:w="705" w:type="pct"/>
            <w:vAlign w:val="center"/>
          </w:tcPr>
          <w:p w14:paraId="355D7FEA" w14:textId="22199E16" w:rsidR="00800B56" w:rsidRPr="00432EBF" w:rsidRDefault="00800B56" w:rsidP="00800B56">
            <w:pPr>
              <w:jc w:val="center"/>
              <w:rPr>
                <w:rFonts w:ascii="Arial Narrow" w:hAnsi="Arial Narrow"/>
                <w:sz w:val="20"/>
                <w:szCs w:val="20"/>
              </w:rPr>
            </w:pPr>
          </w:p>
        </w:tc>
        <w:tc>
          <w:tcPr>
            <w:tcW w:w="4295" w:type="pct"/>
            <w:gridSpan w:val="6"/>
            <w:vAlign w:val="center"/>
          </w:tcPr>
          <w:p w14:paraId="5F010E38" w14:textId="2F0273DF" w:rsidR="00800B56" w:rsidRPr="00247FE4" w:rsidRDefault="00800B56" w:rsidP="00800B56">
            <w:pPr>
              <w:rPr>
                <w:rFonts w:ascii="Arial Narrow" w:hAnsi="Arial Narrow"/>
                <w:sz w:val="20"/>
                <w:szCs w:val="20"/>
              </w:rPr>
            </w:pPr>
            <w:r w:rsidRPr="00247FE4">
              <w:rPr>
                <w:rFonts w:ascii="Arial Narrow" w:hAnsi="Arial Narrow"/>
                <w:sz w:val="20"/>
                <w:szCs w:val="20"/>
              </w:rPr>
              <w:t>Patient must have received PBS-subsidised treatment with this drug for this condition</w:t>
            </w:r>
          </w:p>
        </w:tc>
      </w:tr>
      <w:tr w:rsidR="00800B56" w:rsidRPr="00C02D56" w14:paraId="4198DD1A"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3D8720C7" w14:textId="77777777" w:rsidR="00800B56" w:rsidRPr="00432EBF" w:rsidRDefault="00800B56" w:rsidP="00800B56">
            <w:pPr>
              <w:jc w:val="center"/>
              <w:rPr>
                <w:rFonts w:ascii="Arial Narrow" w:hAnsi="Arial Narrow"/>
                <w:sz w:val="20"/>
                <w:szCs w:val="20"/>
              </w:rPr>
            </w:pPr>
          </w:p>
        </w:tc>
        <w:tc>
          <w:tcPr>
            <w:tcW w:w="4295" w:type="pct"/>
            <w:gridSpan w:val="6"/>
            <w:vAlign w:val="center"/>
          </w:tcPr>
          <w:p w14:paraId="0401514E" w14:textId="799F30EA" w:rsidR="00800B56" w:rsidRDefault="00800B56" w:rsidP="00800B56">
            <w:pPr>
              <w:rPr>
                <w:rFonts w:ascii="Arial Narrow" w:hAnsi="Arial Narrow"/>
                <w:b/>
                <w:bCs/>
                <w:sz w:val="20"/>
                <w:szCs w:val="20"/>
              </w:rPr>
            </w:pPr>
            <w:r>
              <w:rPr>
                <w:rFonts w:ascii="Arial Narrow" w:hAnsi="Arial Narrow"/>
                <w:b/>
                <w:bCs/>
                <w:sz w:val="20"/>
                <w:szCs w:val="20"/>
              </w:rPr>
              <w:t>AND</w:t>
            </w:r>
          </w:p>
        </w:tc>
      </w:tr>
      <w:tr w:rsidR="00800B56" w:rsidRPr="00C02D56" w14:paraId="74BE680B"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52C665D5" w14:textId="4BD2731B" w:rsidR="00800B56" w:rsidRPr="00432EBF" w:rsidRDefault="00800B56" w:rsidP="00800B56">
            <w:pPr>
              <w:jc w:val="center"/>
              <w:rPr>
                <w:rFonts w:ascii="Arial Narrow" w:hAnsi="Arial Narrow"/>
                <w:sz w:val="20"/>
                <w:szCs w:val="20"/>
              </w:rPr>
            </w:pPr>
          </w:p>
        </w:tc>
        <w:tc>
          <w:tcPr>
            <w:tcW w:w="4295" w:type="pct"/>
            <w:gridSpan w:val="6"/>
            <w:vAlign w:val="center"/>
          </w:tcPr>
          <w:p w14:paraId="203D8FB2" w14:textId="02F0EAE2" w:rsidR="00800B56" w:rsidRDefault="00800B56" w:rsidP="00800B56">
            <w:pPr>
              <w:rPr>
                <w:rFonts w:ascii="Arial Narrow" w:hAnsi="Arial Narrow"/>
                <w:b/>
                <w:bCs/>
                <w:sz w:val="20"/>
                <w:szCs w:val="20"/>
              </w:rPr>
            </w:pPr>
            <w:r>
              <w:rPr>
                <w:rFonts w:ascii="Arial Narrow" w:hAnsi="Arial Narrow"/>
                <w:b/>
                <w:bCs/>
                <w:sz w:val="20"/>
                <w:szCs w:val="20"/>
              </w:rPr>
              <w:t xml:space="preserve">Clinical criteria: </w:t>
            </w:r>
          </w:p>
        </w:tc>
      </w:tr>
      <w:tr w:rsidR="00800B56" w:rsidRPr="00C02D56" w14:paraId="1DA4F53D"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57621068" w14:textId="6396A6BA" w:rsidR="00800B56" w:rsidRPr="00432EBF" w:rsidRDefault="00800B56" w:rsidP="00800B56">
            <w:pPr>
              <w:jc w:val="center"/>
              <w:rPr>
                <w:rFonts w:ascii="Arial Narrow" w:hAnsi="Arial Narrow"/>
                <w:sz w:val="20"/>
                <w:szCs w:val="20"/>
              </w:rPr>
            </w:pPr>
          </w:p>
        </w:tc>
        <w:tc>
          <w:tcPr>
            <w:tcW w:w="4295" w:type="pct"/>
            <w:gridSpan w:val="6"/>
            <w:vAlign w:val="center"/>
          </w:tcPr>
          <w:p w14:paraId="681C3833" w14:textId="34BE22E2" w:rsidR="00800B56" w:rsidRPr="001524A3" w:rsidRDefault="00376E4B" w:rsidP="00800B56">
            <w:pPr>
              <w:rPr>
                <w:rFonts w:ascii="Arial Narrow" w:hAnsi="Arial Narrow"/>
                <w:sz w:val="20"/>
                <w:szCs w:val="20"/>
              </w:rPr>
            </w:pPr>
            <w:r w:rsidRPr="00376E4B">
              <w:rPr>
                <w:rFonts w:ascii="Arial Narrow" w:hAnsi="Arial Narrow"/>
                <w:sz w:val="20"/>
                <w:szCs w:val="20"/>
              </w:rPr>
              <w:t>The condition must have improved to an extent that corneal fluorescein staining, using the same scale used at the time of the first authority application, shows an improvement (reduction) by at least 3 grades from baseline (the grade stated in the first authority application) - the improvement need only be demonstrated by staining once only with the first Continuing treatment authority application</w:t>
            </w:r>
          </w:p>
        </w:tc>
      </w:tr>
      <w:tr w:rsidR="00800B56" w:rsidRPr="00C02D56" w14:paraId="72DB1F7B"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1829EEFB" w14:textId="77777777" w:rsidR="00800B56" w:rsidRPr="00432EBF" w:rsidRDefault="00800B56" w:rsidP="00800B56">
            <w:pPr>
              <w:jc w:val="center"/>
              <w:rPr>
                <w:rFonts w:ascii="Arial Narrow" w:hAnsi="Arial Narrow"/>
                <w:sz w:val="20"/>
                <w:szCs w:val="20"/>
              </w:rPr>
            </w:pPr>
          </w:p>
        </w:tc>
        <w:tc>
          <w:tcPr>
            <w:tcW w:w="4295" w:type="pct"/>
            <w:gridSpan w:val="6"/>
            <w:vAlign w:val="center"/>
          </w:tcPr>
          <w:p w14:paraId="1BC1BF78" w14:textId="79ACCDF5" w:rsidR="00800B56" w:rsidRDefault="00800B56" w:rsidP="00800B56">
            <w:pPr>
              <w:rPr>
                <w:rFonts w:ascii="Arial Narrow" w:hAnsi="Arial Narrow"/>
                <w:b/>
                <w:bCs/>
                <w:sz w:val="20"/>
                <w:szCs w:val="20"/>
              </w:rPr>
            </w:pPr>
            <w:r>
              <w:rPr>
                <w:rFonts w:ascii="Arial Narrow" w:hAnsi="Arial Narrow"/>
                <w:b/>
                <w:bCs/>
                <w:sz w:val="20"/>
                <w:szCs w:val="20"/>
              </w:rPr>
              <w:t xml:space="preserve">AND </w:t>
            </w:r>
          </w:p>
        </w:tc>
      </w:tr>
      <w:tr w:rsidR="00800B56" w:rsidRPr="00C02D56" w14:paraId="107A0021"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45C79A1E" w14:textId="25871832" w:rsidR="00800B56" w:rsidRPr="00432EBF" w:rsidRDefault="00800B56" w:rsidP="00800B56">
            <w:pPr>
              <w:jc w:val="center"/>
              <w:rPr>
                <w:rFonts w:ascii="Arial Narrow" w:hAnsi="Arial Narrow"/>
                <w:sz w:val="20"/>
                <w:szCs w:val="20"/>
              </w:rPr>
            </w:pPr>
          </w:p>
        </w:tc>
        <w:tc>
          <w:tcPr>
            <w:tcW w:w="4295" w:type="pct"/>
            <w:gridSpan w:val="6"/>
            <w:vAlign w:val="center"/>
          </w:tcPr>
          <w:p w14:paraId="15704E56" w14:textId="4AC86725" w:rsidR="00800B56" w:rsidRDefault="00800B56" w:rsidP="00800B56">
            <w:pPr>
              <w:rPr>
                <w:rFonts w:ascii="Arial Narrow" w:hAnsi="Arial Narrow"/>
                <w:b/>
                <w:bCs/>
                <w:sz w:val="20"/>
                <w:szCs w:val="20"/>
              </w:rPr>
            </w:pPr>
            <w:r>
              <w:rPr>
                <w:rFonts w:ascii="Arial Narrow" w:hAnsi="Arial Narrow"/>
                <w:b/>
                <w:bCs/>
                <w:sz w:val="20"/>
                <w:szCs w:val="20"/>
              </w:rPr>
              <w:t xml:space="preserve">Clinical criteria: </w:t>
            </w:r>
          </w:p>
        </w:tc>
      </w:tr>
      <w:tr w:rsidR="00800B56" w:rsidRPr="00C02D56" w14:paraId="3DDAF082"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4CEE8FFD" w14:textId="4AB7FBD9" w:rsidR="00800B56" w:rsidRPr="00432EBF" w:rsidRDefault="00800B56" w:rsidP="00800B56">
            <w:pPr>
              <w:jc w:val="center"/>
              <w:rPr>
                <w:rFonts w:ascii="Arial Narrow" w:hAnsi="Arial Narrow"/>
                <w:sz w:val="20"/>
                <w:szCs w:val="20"/>
              </w:rPr>
            </w:pPr>
          </w:p>
        </w:tc>
        <w:tc>
          <w:tcPr>
            <w:tcW w:w="4295" w:type="pct"/>
            <w:gridSpan w:val="6"/>
            <w:vAlign w:val="center"/>
          </w:tcPr>
          <w:p w14:paraId="7716B998" w14:textId="6354762C" w:rsidR="00800B56" w:rsidRPr="004705F0" w:rsidRDefault="00800B56" w:rsidP="00800B56">
            <w:pPr>
              <w:rPr>
                <w:rFonts w:ascii="Arial Narrow" w:hAnsi="Arial Narrow"/>
                <w:sz w:val="20"/>
                <w:szCs w:val="20"/>
              </w:rPr>
            </w:pPr>
            <w:r w:rsidRPr="004705F0">
              <w:rPr>
                <w:rFonts w:ascii="Arial Narrow" w:hAnsi="Arial Narrow"/>
                <w:sz w:val="20"/>
                <w:szCs w:val="20"/>
              </w:rPr>
              <w:t>The condition must have improved to an extent that the patient's ocular surface disease index score at the time of this authority application, has improved (reduced) by at least 30% compared to the value stated in the first authority application (i.e. baseline)</w:t>
            </w:r>
          </w:p>
        </w:tc>
      </w:tr>
      <w:tr w:rsidR="00800B56" w:rsidRPr="00C02D56" w14:paraId="012EE6EF"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6C5F6CCA" w14:textId="39D889BF" w:rsidR="00800B56" w:rsidRPr="00432EBF" w:rsidRDefault="00800B56" w:rsidP="00800B56">
            <w:pPr>
              <w:jc w:val="center"/>
              <w:rPr>
                <w:rFonts w:ascii="Arial Narrow" w:hAnsi="Arial Narrow"/>
                <w:sz w:val="20"/>
                <w:szCs w:val="20"/>
              </w:rPr>
            </w:pPr>
          </w:p>
        </w:tc>
        <w:tc>
          <w:tcPr>
            <w:tcW w:w="4295" w:type="pct"/>
            <w:gridSpan w:val="6"/>
            <w:vAlign w:val="center"/>
          </w:tcPr>
          <w:p w14:paraId="23DD706E" w14:textId="16A49A63" w:rsidR="00800B56" w:rsidRDefault="00800B56" w:rsidP="00800B56">
            <w:pPr>
              <w:rPr>
                <w:rFonts w:ascii="Arial Narrow" w:hAnsi="Arial Narrow"/>
                <w:b/>
                <w:bCs/>
                <w:sz w:val="20"/>
                <w:szCs w:val="20"/>
              </w:rPr>
            </w:pPr>
            <w:r>
              <w:rPr>
                <w:rFonts w:ascii="Arial Narrow" w:hAnsi="Arial Narrow"/>
                <w:b/>
                <w:bCs/>
                <w:sz w:val="20"/>
                <w:szCs w:val="20"/>
              </w:rPr>
              <w:t>AND</w:t>
            </w:r>
          </w:p>
        </w:tc>
      </w:tr>
      <w:tr w:rsidR="00800B56" w:rsidRPr="00C02D56" w14:paraId="500E3BB1"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51502EB7" w14:textId="0F458AD4" w:rsidR="00800B56" w:rsidRPr="00432EBF" w:rsidRDefault="00800B56" w:rsidP="00800B56">
            <w:pPr>
              <w:jc w:val="center"/>
              <w:rPr>
                <w:rFonts w:ascii="Arial Narrow" w:hAnsi="Arial Narrow"/>
                <w:sz w:val="20"/>
                <w:szCs w:val="20"/>
              </w:rPr>
            </w:pPr>
          </w:p>
        </w:tc>
        <w:tc>
          <w:tcPr>
            <w:tcW w:w="4295" w:type="pct"/>
            <w:gridSpan w:val="6"/>
            <w:vAlign w:val="center"/>
          </w:tcPr>
          <w:p w14:paraId="0C1D0324" w14:textId="005F20B3" w:rsidR="00800B56" w:rsidRDefault="00800B56" w:rsidP="00800B56">
            <w:pPr>
              <w:rPr>
                <w:rFonts w:ascii="Arial Narrow" w:hAnsi="Arial Narrow"/>
                <w:b/>
                <w:bCs/>
                <w:sz w:val="20"/>
                <w:szCs w:val="20"/>
              </w:rPr>
            </w:pPr>
            <w:r>
              <w:rPr>
                <w:rFonts w:ascii="Arial Narrow" w:hAnsi="Arial Narrow"/>
                <w:b/>
                <w:bCs/>
                <w:sz w:val="20"/>
                <w:szCs w:val="20"/>
              </w:rPr>
              <w:t xml:space="preserve">Clinical criteria: </w:t>
            </w:r>
          </w:p>
        </w:tc>
      </w:tr>
      <w:tr w:rsidR="00800B56" w:rsidRPr="00C02D56" w14:paraId="4771790F"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321075FE" w14:textId="79EB9611" w:rsidR="00800B56" w:rsidRPr="00432EBF" w:rsidRDefault="00800B56" w:rsidP="00800B56">
            <w:pPr>
              <w:jc w:val="center"/>
              <w:rPr>
                <w:rFonts w:ascii="Arial Narrow" w:hAnsi="Arial Narrow"/>
                <w:sz w:val="20"/>
                <w:szCs w:val="20"/>
              </w:rPr>
            </w:pPr>
          </w:p>
        </w:tc>
        <w:tc>
          <w:tcPr>
            <w:tcW w:w="4295" w:type="pct"/>
            <w:gridSpan w:val="6"/>
            <w:vAlign w:val="center"/>
          </w:tcPr>
          <w:p w14:paraId="3C8B4F64" w14:textId="2095A8CA" w:rsidR="00800B56" w:rsidRPr="004705F0" w:rsidRDefault="00800B56" w:rsidP="00800B56">
            <w:pPr>
              <w:rPr>
                <w:rFonts w:ascii="Arial Narrow" w:hAnsi="Arial Narrow"/>
                <w:sz w:val="20"/>
                <w:szCs w:val="20"/>
              </w:rPr>
            </w:pPr>
            <w:r w:rsidRPr="004705F0">
              <w:rPr>
                <w:rFonts w:ascii="Arial Narrow" w:hAnsi="Arial Narrow"/>
                <w:sz w:val="20"/>
                <w:szCs w:val="20"/>
              </w:rPr>
              <w:t>The treatment must be the sole PBS-subsidised therapy for this condition.</w:t>
            </w:r>
          </w:p>
        </w:tc>
      </w:tr>
      <w:tr w:rsidR="00800B56" w:rsidRPr="00C02D56" w14:paraId="1703B33B"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7B0EFB66" w14:textId="5DE90D13" w:rsidR="00800B56" w:rsidRPr="00432EBF" w:rsidRDefault="00800B56" w:rsidP="00800B56">
            <w:pPr>
              <w:jc w:val="center"/>
              <w:rPr>
                <w:rFonts w:ascii="Arial Narrow" w:hAnsi="Arial Narrow"/>
                <w:sz w:val="20"/>
                <w:szCs w:val="20"/>
              </w:rPr>
            </w:pPr>
          </w:p>
        </w:tc>
        <w:tc>
          <w:tcPr>
            <w:tcW w:w="4295" w:type="pct"/>
            <w:gridSpan w:val="6"/>
            <w:vAlign w:val="center"/>
          </w:tcPr>
          <w:p w14:paraId="08CF6288" w14:textId="7DA17B70" w:rsidR="00800B56" w:rsidRPr="004705F0" w:rsidRDefault="00800B56" w:rsidP="00800B56">
            <w:pPr>
              <w:rPr>
                <w:rFonts w:ascii="Arial Narrow" w:hAnsi="Arial Narrow"/>
                <w:b/>
                <w:bCs/>
                <w:sz w:val="20"/>
                <w:szCs w:val="20"/>
              </w:rPr>
            </w:pPr>
            <w:r>
              <w:rPr>
                <w:rFonts w:ascii="Arial Narrow" w:hAnsi="Arial Narrow"/>
                <w:b/>
                <w:bCs/>
                <w:sz w:val="20"/>
                <w:szCs w:val="20"/>
              </w:rPr>
              <w:t xml:space="preserve">Treatment criteria: </w:t>
            </w:r>
          </w:p>
        </w:tc>
      </w:tr>
      <w:tr w:rsidR="00800B56" w:rsidRPr="00C02D56" w14:paraId="0514D5A9"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319B1A94" w14:textId="50A77854" w:rsidR="00800B56" w:rsidRPr="00432EBF" w:rsidRDefault="00800B56" w:rsidP="00800B56">
            <w:pPr>
              <w:jc w:val="center"/>
              <w:rPr>
                <w:rFonts w:ascii="Arial Narrow" w:hAnsi="Arial Narrow"/>
                <w:sz w:val="20"/>
                <w:szCs w:val="20"/>
              </w:rPr>
            </w:pPr>
          </w:p>
        </w:tc>
        <w:tc>
          <w:tcPr>
            <w:tcW w:w="4295" w:type="pct"/>
            <w:gridSpan w:val="6"/>
            <w:vAlign w:val="center"/>
          </w:tcPr>
          <w:p w14:paraId="26577AF5" w14:textId="3256AD4E" w:rsidR="00800B56" w:rsidRPr="004E1D7E" w:rsidRDefault="0024158B" w:rsidP="00800B56">
            <w:pPr>
              <w:rPr>
                <w:rFonts w:ascii="Arial Narrow" w:hAnsi="Arial Narrow"/>
                <w:sz w:val="20"/>
                <w:szCs w:val="20"/>
              </w:rPr>
            </w:pPr>
            <w:r w:rsidRPr="0024158B">
              <w:rPr>
                <w:rFonts w:ascii="Arial Narrow" w:hAnsi="Arial Narrow"/>
                <w:sz w:val="20"/>
                <w:szCs w:val="20"/>
              </w:rPr>
              <w:t>Must be treated by an ophthalmologist or by an accredited ophthalmology registrar in consultation with an ophthalmologist</w:t>
            </w:r>
            <w:r w:rsidR="00177047">
              <w:rPr>
                <w:rFonts w:ascii="Arial Narrow" w:hAnsi="Arial Narrow"/>
                <w:sz w:val="20"/>
                <w:szCs w:val="20"/>
              </w:rPr>
              <w:t>; OR</w:t>
            </w:r>
          </w:p>
        </w:tc>
      </w:tr>
      <w:tr w:rsidR="00800B56" w:rsidRPr="00C02D56" w14:paraId="7DDCC459"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15B1E01F" w14:textId="43C013F8" w:rsidR="00800B56" w:rsidRPr="00432EBF" w:rsidRDefault="00800B56" w:rsidP="00800B56">
            <w:pPr>
              <w:jc w:val="center"/>
              <w:rPr>
                <w:rFonts w:ascii="Arial Narrow" w:hAnsi="Arial Narrow"/>
                <w:sz w:val="20"/>
                <w:szCs w:val="20"/>
              </w:rPr>
            </w:pPr>
          </w:p>
        </w:tc>
        <w:tc>
          <w:tcPr>
            <w:tcW w:w="4295" w:type="pct"/>
            <w:gridSpan w:val="6"/>
            <w:vAlign w:val="center"/>
          </w:tcPr>
          <w:p w14:paraId="63EFB417" w14:textId="1861A044" w:rsidR="00800B56" w:rsidRPr="004E1D7E" w:rsidRDefault="00800B56" w:rsidP="00800B56">
            <w:pPr>
              <w:rPr>
                <w:rFonts w:ascii="Arial Narrow" w:hAnsi="Arial Narrow"/>
                <w:sz w:val="20"/>
                <w:szCs w:val="20"/>
              </w:rPr>
            </w:pPr>
            <w:r w:rsidRPr="004E1D7E">
              <w:rPr>
                <w:rFonts w:ascii="Arial Narrow" w:hAnsi="Arial Narrow"/>
                <w:sz w:val="20"/>
                <w:szCs w:val="20"/>
              </w:rPr>
              <w:t>Must be treated by an optometrist in accordance with Optometry Board of Australia guidelines</w:t>
            </w:r>
          </w:p>
        </w:tc>
      </w:tr>
      <w:tr w:rsidR="00800B56" w:rsidRPr="00C02D56" w14:paraId="58892E3C" w14:textId="77777777" w:rsidTr="00AE698F">
        <w:tblPrEx>
          <w:tblCellMar>
            <w:top w:w="15" w:type="dxa"/>
            <w:bottom w:w="15" w:type="dxa"/>
          </w:tblCellMar>
          <w:tblLook w:val="04A0" w:firstRow="1" w:lastRow="0" w:firstColumn="1" w:lastColumn="0" w:noHBand="0" w:noVBand="1"/>
        </w:tblPrEx>
        <w:trPr>
          <w:trHeight w:val="20"/>
        </w:trPr>
        <w:tc>
          <w:tcPr>
            <w:tcW w:w="705" w:type="pct"/>
            <w:vAlign w:val="center"/>
          </w:tcPr>
          <w:p w14:paraId="751E2F1E" w14:textId="3ACAE8B0" w:rsidR="00800B56" w:rsidRPr="00C01F55" w:rsidRDefault="00800B56" w:rsidP="00800B56">
            <w:pPr>
              <w:jc w:val="center"/>
              <w:rPr>
                <w:rFonts w:ascii="Arial Narrow" w:hAnsi="Arial Narrow"/>
                <w:i/>
                <w:iCs/>
                <w:sz w:val="20"/>
                <w:szCs w:val="20"/>
              </w:rPr>
            </w:pPr>
          </w:p>
        </w:tc>
        <w:tc>
          <w:tcPr>
            <w:tcW w:w="4295" w:type="pct"/>
            <w:gridSpan w:val="6"/>
            <w:vAlign w:val="center"/>
          </w:tcPr>
          <w:p w14:paraId="1B4FD22E" w14:textId="77777777" w:rsidR="00681B28" w:rsidRDefault="00681B28" w:rsidP="00681B28">
            <w:pPr>
              <w:jc w:val="left"/>
              <w:rPr>
                <w:rFonts w:ascii="Arial Narrow" w:hAnsi="Arial Narrow"/>
                <w:b/>
                <w:bCs/>
                <w:i/>
                <w:iCs/>
                <w:sz w:val="20"/>
                <w:szCs w:val="20"/>
              </w:rPr>
            </w:pPr>
            <w:r w:rsidRPr="00810A02">
              <w:rPr>
                <w:rFonts w:ascii="Arial Narrow" w:hAnsi="Arial Narrow"/>
                <w:b/>
                <w:bCs/>
                <w:i/>
                <w:iCs/>
                <w:sz w:val="20"/>
                <w:szCs w:val="20"/>
              </w:rPr>
              <w:t>Prescribing instruction</w:t>
            </w:r>
            <w:r>
              <w:rPr>
                <w:rFonts w:ascii="Arial Narrow" w:hAnsi="Arial Narrow"/>
                <w:b/>
                <w:bCs/>
                <w:i/>
                <w:iCs/>
                <w:sz w:val="20"/>
                <w:szCs w:val="20"/>
              </w:rPr>
              <w:t>s</w:t>
            </w:r>
            <w:r w:rsidRPr="00810A02">
              <w:rPr>
                <w:rFonts w:ascii="Arial Narrow" w:hAnsi="Arial Narrow"/>
                <w:b/>
                <w:bCs/>
                <w:i/>
                <w:iCs/>
                <w:sz w:val="20"/>
                <w:szCs w:val="20"/>
              </w:rPr>
              <w:t>:</w:t>
            </w:r>
          </w:p>
          <w:p w14:paraId="7BE119A3" w14:textId="5F71FFAD" w:rsidR="00681B28" w:rsidRPr="00681B28" w:rsidRDefault="00681B28" w:rsidP="00C01F55">
            <w:pPr>
              <w:jc w:val="left"/>
              <w:rPr>
                <w:rFonts w:ascii="Arial Narrow" w:hAnsi="Arial Narrow"/>
                <w:bCs/>
                <w:i/>
                <w:iCs/>
                <w:sz w:val="20"/>
                <w:szCs w:val="20"/>
              </w:rPr>
            </w:pPr>
            <w:r w:rsidRPr="000A0767">
              <w:rPr>
                <w:rFonts w:ascii="Arial Narrow" w:hAnsi="Arial Narrow"/>
                <w:bCs/>
                <w:i/>
                <w:iCs/>
                <w:sz w:val="20"/>
                <w:szCs w:val="20"/>
              </w:rPr>
              <w:t>Prescribing instruction:</w:t>
            </w:r>
          </w:p>
          <w:p w14:paraId="79902501" w14:textId="7A25169A" w:rsidR="00800B56" w:rsidRPr="00810A02" w:rsidRDefault="00800B56" w:rsidP="00800B56">
            <w:pPr>
              <w:rPr>
                <w:rFonts w:ascii="Arial Narrow" w:hAnsi="Arial Narrow"/>
                <w:i/>
                <w:iCs/>
                <w:sz w:val="20"/>
                <w:szCs w:val="20"/>
              </w:rPr>
            </w:pPr>
            <w:r w:rsidRPr="00810A02">
              <w:rPr>
                <w:rFonts w:ascii="Arial Narrow" w:hAnsi="Arial Narrow"/>
                <w:i/>
                <w:iCs/>
                <w:sz w:val="20"/>
                <w:szCs w:val="20"/>
              </w:rPr>
              <w:t>State in the first continuing treatment authority application for this drug:</w:t>
            </w:r>
          </w:p>
          <w:p w14:paraId="29E87FBD" w14:textId="77777777" w:rsidR="00800B56" w:rsidRPr="00810A02" w:rsidRDefault="00800B56" w:rsidP="00800B56">
            <w:pPr>
              <w:rPr>
                <w:rFonts w:ascii="Arial Narrow" w:hAnsi="Arial Narrow"/>
                <w:i/>
                <w:iCs/>
                <w:sz w:val="20"/>
                <w:szCs w:val="20"/>
              </w:rPr>
            </w:pPr>
          </w:p>
          <w:p w14:paraId="5779508C" w14:textId="77777777" w:rsidR="00800B56" w:rsidRPr="00810A02" w:rsidRDefault="00800B56" w:rsidP="00800B56">
            <w:pPr>
              <w:rPr>
                <w:rFonts w:ascii="Arial Narrow" w:hAnsi="Arial Narrow"/>
                <w:i/>
                <w:iCs/>
                <w:sz w:val="20"/>
                <w:szCs w:val="20"/>
              </w:rPr>
            </w:pPr>
            <w:r w:rsidRPr="00810A02">
              <w:rPr>
                <w:rFonts w:ascii="Arial Narrow" w:hAnsi="Arial Narrow"/>
                <w:i/>
                <w:iCs/>
                <w:sz w:val="20"/>
                <w:szCs w:val="20"/>
              </w:rPr>
              <w:t>(i) an improved corneal fluorescein staining grade (a numerical value that has improved by 3 grades from that provided in the first Initial 1 treatment authority application).</w:t>
            </w:r>
          </w:p>
          <w:p w14:paraId="6413F15C" w14:textId="77777777" w:rsidR="00800B56" w:rsidRPr="00810A02" w:rsidRDefault="00800B56" w:rsidP="00800B56">
            <w:pPr>
              <w:rPr>
                <w:rFonts w:ascii="Arial Narrow" w:hAnsi="Arial Narrow"/>
                <w:i/>
                <w:iCs/>
                <w:sz w:val="20"/>
                <w:szCs w:val="20"/>
              </w:rPr>
            </w:pPr>
          </w:p>
          <w:p w14:paraId="6C1F42D7" w14:textId="77777777" w:rsidR="00800B56" w:rsidRPr="00810A02" w:rsidRDefault="00800B56" w:rsidP="00800B56">
            <w:pPr>
              <w:rPr>
                <w:rFonts w:ascii="Arial Narrow" w:hAnsi="Arial Narrow"/>
                <w:i/>
                <w:iCs/>
                <w:sz w:val="20"/>
                <w:szCs w:val="20"/>
              </w:rPr>
            </w:pPr>
            <w:r w:rsidRPr="00810A02">
              <w:rPr>
                <w:rFonts w:ascii="Arial Narrow" w:hAnsi="Arial Narrow"/>
                <w:i/>
                <w:iCs/>
                <w:sz w:val="20"/>
                <w:szCs w:val="20"/>
              </w:rPr>
              <w:t>State in all continuing treatment authority applications:</w:t>
            </w:r>
          </w:p>
          <w:p w14:paraId="06542BF1" w14:textId="77777777" w:rsidR="00800B56" w:rsidRPr="00810A02" w:rsidRDefault="00800B56" w:rsidP="00800B56">
            <w:pPr>
              <w:rPr>
                <w:rFonts w:ascii="Arial Narrow" w:hAnsi="Arial Narrow"/>
                <w:i/>
                <w:iCs/>
                <w:sz w:val="20"/>
                <w:szCs w:val="20"/>
              </w:rPr>
            </w:pPr>
          </w:p>
          <w:p w14:paraId="220297E0" w14:textId="66267D83" w:rsidR="00800B56" w:rsidRPr="00810A02" w:rsidRDefault="00800B56" w:rsidP="00800B56">
            <w:pPr>
              <w:rPr>
                <w:rFonts w:ascii="Arial Narrow" w:hAnsi="Arial Narrow"/>
                <w:b/>
                <w:bCs/>
                <w:i/>
                <w:iCs/>
                <w:sz w:val="20"/>
                <w:szCs w:val="20"/>
              </w:rPr>
            </w:pPr>
            <w:r w:rsidRPr="00810A02">
              <w:rPr>
                <w:rFonts w:ascii="Arial Narrow" w:hAnsi="Arial Narrow"/>
                <w:i/>
                <w:iCs/>
                <w:sz w:val="20"/>
                <w:szCs w:val="20"/>
              </w:rPr>
              <w:t>(ii) the ocular surface disease index score at the time of this authority application (a numerical value that is at least 30% lower than that stated in the first Initial 1 treatment authority application).</w:t>
            </w:r>
          </w:p>
        </w:tc>
      </w:tr>
    </w:tbl>
    <w:p w14:paraId="4CCE4C17" w14:textId="77777777" w:rsidR="001A0D53" w:rsidRDefault="001A0D53" w:rsidP="00D91AA9"/>
    <w:p w14:paraId="5B899616" w14:textId="3152B3F3" w:rsidR="006A792C" w:rsidRPr="00D91AA9" w:rsidRDefault="006A792C" w:rsidP="00D91AA9">
      <w:pPr>
        <w:rPr>
          <w:i/>
        </w:rPr>
      </w:pPr>
      <w:r w:rsidRPr="00D91AA9">
        <w:rPr>
          <w:i/>
        </w:rPr>
        <w:t>For more detail on PBAC’s view, see section 6 PBAC outcome.</w:t>
      </w:r>
    </w:p>
    <w:p w14:paraId="29A96004" w14:textId="77777777" w:rsidR="00C27C1C" w:rsidRPr="00A6439B" w:rsidRDefault="00C27C1C" w:rsidP="00303CFE">
      <w:pPr>
        <w:pStyle w:val="2-SectionHeading"/>
        <w:rPr>
          <w:color w:val="FF0000"/>
        </w:rPr>
      </w:pPr>
      <w:r w:rsidRPr="002E3FD4">
        <w:lastRenderedPageBreak/>
        <w:t>Comparator</w:t>
      </w:r>
      <w:r w:rsidRPr="00A6439B">
        <w:t xml:space="preserve"> </w:t>
      </w:r>
    </w:p>
    <w:p w14:paraId="62272874" w14:textId="7A2FE88D" w:rsidR="00E64A37" w:rsidRPr="00E64A37" w:rsidRDefault="00C27C1C" w:rsidP="00942465">
      <w:pPr>
        <w:pStyle w:val="3-BodyText"/>
        <w:rPr>
          <w:i/>
        </w:rPr>
      </w:pPr>
      <w:r w:rsidRPr="00A260AF">
        <w:t xml:space="preserve">The submission nominated </w:t>
      </w:r>
      <w:r w:rsidR="00204D44" w:rsidRPr="00A260AF">
        <w:t>Ike</w:t>
      </w:r>
      <w:r w:rsidR="00942465" w:rsidRPr="00A260AF">
        <w:t>rvis</w:t>
      </w:r>
      <w:r w:rsidR="00EB7210" w:rsidRPr="00A260AF">
        <w:rPr>
          <w:i/>
        </w:rPr>
        <w:t xml:space="preserve"> </w:t>
      </w:r>
      <w:r w:rsidR="006559BB" w:rsidRPr="00810A02">
        <w:rPr>
          <w:iCs/>
        </w:rPr>
        <w:t xml:space="preserve">and </w:t>
      </w:r>
      <w:proofErr w:type="spellStart"/>
      <w:r w:rsidR="006559BB" w:rsidRPr="00810A02">
        <w:rPr>
          <w:iCs/>
        </w:rPr>
        <w:t>Cequa</w:t>
      </w:r>
      <w:proofErr w:type="spellEnd"/>
      <w:r w:rsidR="00635A2B">
        <w:rPr>
          <w:i/>
        </w:rPr>
        <w:t xml:space="preserve"> </w:t>
      </w:r>
      <w:r w:rsidRPr="00A260AF">
        <w:t>as the comparator</w:t>
      </w:r>
      <w:r w:rsidR="00635A2B">
        <w:t>s</w:t>
      </w:r>
      <w:r w:rsidRPr="00A260AF">
        <w:t>.</w:t>
      </w:r>
    </w:p>
    <w:p w14:paraId="5A35AD53" w14:textId="0C30C322" w:rsidR="00C27C1C" w:rsidRPr="00C31DAD" w:rsidRDefault="002225D0" w:rsidP="00942465">
      <w:pPr>
        <w:pStyle w:val="3-BodyText"/>
      </w:pPr>
      <w:r w:rsidRPr="00C31DAD">
        <w:t>T</w:t>
      </w:r>
      <w:r w:rsidR="008A41AC" w:rsidRPr="00C31DAD">
        <w:t xml:space="preserve">he submission presented comparative </w:t>
      </w:r>
      <w:r w:rsidR="00AB3FDF" w:rsidRPr="00C31DAD">
        <w:t xml:space="preserve">efficacy </w:t>
      </w:r>
      <w:r w:rsidR="008A41AC" w:rsidRPr="00C31DAD">
        <w:t xml:space="preserve">information comparing </w:t>
      </w:r>
      <w:r w:rsidR="001F6597" w:rsidRPr="00C31DAD">
        <w:t xml:space="preserve">with </w:t>
      </w:r>
      <w:r w:rsidR="00C41D38" w:rsidRPr="00C31DAD">
        <w:t xml:space="preserve">Vevye </w:t>
      </w:r>
      <w:r w:rsidR="00DA58C8" w:rsidRPr="00C31DAD">
        <w:t xml:space="preserve">with </w:t>
      </w:r>
      <w:r w:rsidR="00913EF8" w:rsidRPr="00C31DAD">
        <w:t>a vehicle (placebo</w:t>
      </w:r>
      <w:r w:rsidR="00480E9A" w:rsidRPr="00C31DAD">
        <w:t>)</w:t>
      </w:r>
      <w:r w:rsidR="00BC06A4" w:rsidRPr="00C31DAD">
        <w:t xml:space="preserve"> only. </w:t>
      </w:r>
      <w:r w:rsidR="004910C3" w:rsidRPr="00C31DAD">
        <w:t xml:space="preserve">Comparative safety </w:t>
      </w:r>
      <w:r w:rsidR="00686418" w:rsidRPr="00C31DAD">
        <w:t>versus Ikervis</w:t>
      </w:r>
      <w:r w:rsidR="00F62339" w:rsidRPr="00C31DAD">
        <w:t xml:space="preserve"> and Cequa</w:t>
      </w:r>
      <w:r w:rsidR="00686418" w:rsidRPr="00C31DAD">
        <w:t xml:space="preserve"> </w:t>
      </w:r>
      <w:r w:rsidR="004910C3" w:rsidRPr="00C31DAD">
        <w:t>was</w:t>
      </w:r>
      <w:r w:rsidR="00D85E64" w:rsidRPr="00C31DAD">
        <w:t xml:space="preserve"> assessed using the </w:t>
      </w:r>
      <w:r w:rsidR="00686418" w:rsidRPr="00C31DAD">
        <w:t>approved TGA Product Information</w:t>
      </w:r>
      <w:r w:rsidR="00F62339" w:rsidRPr="00C31DAD">
        <w:t xml:space="preserve"> leaflets</w:t>
      </w:r>
      <w:r w:rsidR="00686418" w:rsidRPr="00C31DAD">
        <w:t>.</w:t>
      </w:r>
      <w:r w:rsidR="004910C3" w:rsidRPr="00C31DAD">
        <w:t xml:space="preserve"> </w:t>
      </w:r>
      <w:r w:rsidR="005A1479" w:rsidRPr="00C31DAD">
        <w:t xml:space="preserve">The submission </w:t>
      </w:r>
      <w:r w:rsidR="00966182" w:rsidRPr="00C31DAD">
        <w:t>presented a cost minimisation approach (CMA) versus Ikervis</w:t>
      </w:r>
      <w:r w:rsidR="00603072" w:rsidRPr="00C31DAD">
        <w:t xml:space="preserve"> and Cequa.</w:t>
      </w:r>
      <w:r w:rsidR="00A65622" w:rsidRPr="00C31DAD">
        <w:t xml:space="preserve"> </w:t>
      </w:r>
    </w:p>
    <w:p w14:paraId="096DCD14" w14:textId="5E12168E" w:rsidR="006A792C" w:rsidRPr="00203FFC" w:rsidRDefault="006A792C" w:rsidP="00D91AA9">
      <w:pPr>
        <w:pStyle w:val="3-BodyText"/>
        <w:numPr>
          <w:ilvl w:val="0"/>
          <w:numId w:val="0"/>
        </w:numPr>
        <w:ind w:firstLine="709"/>
        <w:rPr>
          <w:i/>
        </w:rPr>
      </w:pPr>
      <w:r w:rsidRPr="00203FFC">
        <w:rPr>
          <w:i/>
        </w:rPr>
        <w:t>For more detail on PBAC’s view, see section 6 PBAC outcome.</w:t>
      </w:r>
    </w:p>
    <w:p w14:paraId="0436B7D8" w14:textId="77777777" w:rsidR="00C27C1C" w:rsidRPr="00A6439B"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1097B1AA" w14:textId="2A002602" w:rsidR="00F27277" w:rsidRPr="006E1229" w:rsidRDefault="00F27277" w:rsidP="00F27277">
      <w:pPr>
        <w:pStyle w:val="4-SubsectionHeading"/>
      </w:pPr>
      <w:bookmarkStart w:id="2" w:name="_Hlk76375935"/>
      <w:r w:rsidRPr="006E1229">
        <w:t>Sponsor hearing</w:t>
      </w:r>
    </w:p>
    <w:p w14:paraId="1184F72E" w14:textId="573358E1" w:rsidR="00F27277" w:rsidRPr="00F91542" w:rsidRDefault="00F27277" w:rsidP="00F27277">
      <w:pPr>
        <w:widowControl w:val="0"/>
        <w:numPr>
          <w:ilvl w:val="1"/>
          <w:numId w:val="2"/>
        </w:numPr>
        <w:spacing w:after="120"/>
        <w:rPr>
          <w:rFonts w:cs="Calibri"/>
          <w:bCs/>
          <w:snapToGrid w:val="0"/>
        </w:rPr>
      </w:pPr>
      <w:r w:rsidRPr="00F91542">
        <w:rPr>
          <w:rFonts w:cs="Calibri"/>
          <w:bCs/>
          <w:snapToGrid w:val="0"/>
        </w:rPr>
        <w:t>There was no hearing for this item.</w:t>
      </w:r>
    </w:p>
    <w:p w14:paraId="350B61A6" w14:textId="77777777" w:rsidR="00F27277" w:rsidRPr="006E1229" w:rsidRDefault="00F27277" w:rsidP="00F27277">
      <w:pPr>
        <w:pStyle w:val="4-SubsectionHeading"/>
      </w:pPr>
      <w:r w:rsidRPr="006E1229">
        <w:t xml:space="preserve">Consumer </w:t>
      </w:r>
      <w:r>
        <w:t>input</w:t>
      </w:r>
      <w:r w:rsidRPr="006E1229">
        <w:t>s</w:t>
      </w:r>
    </w:p>
    <w:p w14:paraId="3D503389" w14:textId="2ECBCC63" w:rsidR="00E816E8" w:rsidRDefault="00F27277" w:rsidP="00F27277">
      <w:pPr>
        <w:widowControl w:val="0"/>
        <w:numPr>
          <w:ilvl w:val="1"/>
          <w:numId w:val="2"/>
        </w:numPr>
        <w:spacing w:after="120"/>
        <w:rPr>
          <w:rFonts w:cs="Arial"/>
          <w:bCs/>
          <w:snapToGrid w:val="0"/>
        </w:rPr>
      </w:pPr>
      <w:bookmarkStart w:id="3" w:name="_Hlk76382618"/>
      <w:r w:rsidRPr="00836F75">
        <w:rPr>
          <w:rFonts w:cs="Arial"/>
          <w:bCs/>
          <w:snapToGrid w:val="0"/>
        </w:rPr>
        <w:t xml:space="preserve">The PBAC noted and welcomed the input from </w:t>
      </w:r>
      <w:r w:rsidR="008F0ABC">
        <w:rPr>
          <w:rFonts w:cs="Arial"/>
          <w:bCs/>
          <w:snapToGrid w:val="0"/>
        </w:rPr>
        <w:t xml:space="preserve">one </w:t>
      </w:r>
      <w:r w:rsidRPr="00836F75">
        <w:rPr>
          <w:rFonts w:cs="Arial"/>
          <w:bCs/>
          <w:snapToGrid w:val="0"/>
        </w:rPr>
        <w:t xml:space="preserve">organisation via the </w:t>
      </w:r>
      <w:r w:rsidRPr="00A46D6F">
        <w:rPr>
          <w:rFonts w:cs="Arial"/>
          <w:bCs/>
          <w:snapToGrid w:val="0"/>
        </w:rPr>
        <w:t>Office of Health Technology Assessment Consultation Hub</w:t>
      </w:r>
      <w:r w:rsidRPr="00836F75">
        <w:rPr>
          <w:rFonts w:cs="Arial"/>
          <w:bCs/>
          <w:snapToGrid w:val="0"/>
        </w:rPr>
        <w:t xml:space="preserve">. The </w:t>
      </w:r>
      <w:r>
        <w:rPr>
          <w:rFonts w:cs="Arial"/>
          <w:bCs/>
          <w:snapToGrid w:val="0"/>
        </w:rPr>
        <w:t>input</w:t>
      </w:r>
      <w:r w:rsidRPr="00836F75">
        <w:rPr>
          <w:rFonts w:cs="Arial"/>
          <w:bCs/>
          <w:snapToGrid w:val="0"/>
        </w:rPr>
        <w:t xml:space="preserve"> </w:t>
      </w:r>
      <w:r w:rsidR="008F0ABC">
        <w:rPr>
          <w:rFonts w:cs="Arial"/>
          <w:bCs/>
          <w:snapToGrid w:val="0"/>
        </w:rPr>
        <w:t>from the National Paediatric Medicin</w:t>
      </w:r>
      <w:r w:rsidR="002838CB">
        <w:rPr>
          <w:rFonts w:cs="Arial"/>
          <w:bCs/>
          <w:snapToGrid w:val="0"/>
        </w:rPr>
        <w:t>e</w:t>
      </w:r>
      <w:r w:rsidR="008F0ABC">
        <w:rPr>
          <w:rFonts w:cs="Arial"/>
          <w:bCs/>
          <w:snapToGrid w:val="0"/>
        </w:rPr>
        <w:t xml:space="preserve">s Forum </w:t>
      </w:r>
      <w:r w:rsidR="00377604">
        <w:rPr>
          <w:rFonts w:cs="Arial"/>
          <w:bCs/>
          <w:snapToGrid w:val="0"/>
        </w:rPr>
        <w:t>supported the</w:t>
      </w:r>
      <w:r w:rsidR="00B67021">
        <w:rPr>
          <w:rFonts w:cs="Arial"/>
          <w:bCs/>
          <w:snapToGrid w:val="0"/>
        </w:rPr>
        <w:t xml:space="preserve"> submission</w:t>
      </w:r>
      <w:r w:rsidR="00E46FB3">
        <w:rPr>
          <w:rFonts w:cs="Arial"/>
          <w:bCs/>
          <w:snapToGrid w:val="0"/>
        </w:rPr>
        <w:t xml:space="preserve"> </w:t>
      </w:r>
      <w:r w:rsidR="00DD5940">
        <w:rPr>
          <w:rFonts w:cs="Arial"/>
          <w:bCs/>
          <w:snapToGrid w:val="0"/>
        </w:rPr>
        <w:t xml:space="preserve">and requested </w:t>
      </w:r>
      <w:r w:rsidR="0093496D">
        <w:rPr>
          <w:rFonts w:cs="Arial"/>
          <w:bCs/>
          <w:snapToGrid w:val="0"/>
        </w:rPr>
        <w:t>an age agnostic listing</w:t>
      </w:r>
      <w:r w:rsidR="00E816E8">
        <w:rPr>
          <w:rFonts w:cs="Arial"/>
          <w:bCs/>
          <w:snapToGrid w:val="0"/>
        </w:rPr>
        <w:t xml:space="preserve">, </w:t>
      </w:r>
      <w:r w:rsidR="00E46FB3">
        <w:rPr>
          <w:rFonts w:cs="Arial"/>
          <w:bCs/>
          <w:snapToGrid w:val="0"/>
        </w:rPr>
        <w:t>noting that</w:t>
      </w:r>
      <w:r w:rsidR="00B20BA7">
        <w:rPr>
          <w:rFonts w:cs="Arial"/>
          <w:bCs/>
          <w:snapToGrid w:val="0"/>
        </w:rPr>
        <w:t xml:space="preserve"> children and adolescents </w:t>
      </w:r>
      <w:r w:rsidR="002B49E4">
        <w:rPr>
          <w:rFonts w:cs="Arial"/>
          <w:bCs/>
          <w:snapToGrid w:val="0"/>
        </w:rPr>
        <w:t xml:space="preserve">are often refractory to </w:t>
      </w:r>
      <w:r w:rsidR="00B06158">
        <w:rPr>
          <w:rFonts w:cs="Arial"/>
          <w:bCs/>
          <w:snapToGrid w:val="0"/>
        </w:rPr>
        <w:t xml:space="preserve">the </w:t>
      </w:r>
      <w:r w:rsidR="00E816E8">
        <w:rPr>
          <w:rFonts w:cs="Arial"/>
          <w:bCs/>
          <w:snapToGrid w:val="0"/>
        </w:rPr>
        <w:t xml:space="preserve">currently available </w:t>
      </w:r>
      <w:r w:rsidR="00B06158">
        <w:rPr>
          <w:rFonts w:cs="Arial"/>
          <w:bCs/>
          <w:snapToGrid w:val="0"/>
        </w:rPr>
        <w:t>ciclosporin treatments</w:t>
      </w:r>
      <w:r w:rsidR="00E816E8">
        <w:rPr>
          <w:rFonts w:cs="Arial"/>
          <w:bCs/>
          <w:snapToGrid w:val="0"/>
        </w:rPr>
        <w:t xml:space="preserve">. </w:t>
      </w:r>
    </w:p>
    <w:bookmarkEnd w:id="2"/>
    <w:bookmarkEnd w:id="3"/>
    <w:p w14:paraId="3F679FE9" w14:textId="58F9AC58" w:rsidR="00C27C1C" w:rsidRPr="00A6439B" w:rsidRDefault="00C27C1C" w:rsidP="00C27C1C">
      <w:pPr>
        <w:pStyle w:val="4-SubsectionHeading"/>
        <w:keepNext w:val="0"/>
        <w:rPr>
          <w:lang w:eastAsia="en-US"/>
        </w:rPr>
      </w:pPr>
      <w:r w:rsidRPr="00A6439B">
        <w:rPr>
          <w:lang w:eastAsia="en-US"/>
        </w:rPr>
        <w:t xml:space="preserve">Clinical trials </w:t>
      </w:r>
    </w:p>
    <w:p w14:paraId="12A4E667" w14:textId="053C453E" w:rsidR="00C952C9" w:rsidRDefault="00C952C9" w:rsidP="00C952C9">
      <w:pPr>
        <w:pStyle w:val="3-BodyText"/>
      </w:pPr>
      <w:bookmarkStart w:id="4" w:name="_Hlk86163265"/>
      <w:r w:rsidRPr="00C952C9">
        <w:t>The submission note</w:t>
      </w:r>
      <w:r w:rsidR="00717CB7">
        <w:t>d</w:t>
      </w:r>
      <w:r w:rsidRPr="00C952C9">
        <w:t xml:space="preserve"> there </w:t>
      </w:r>
      <w:r w:rsidR="00717CB7">
        <w:t>we</w:t>
      </w:r>
      <w:r w:rsidR="00717CB7" w:rsidRPr="00C952C9">
        <w:t xml:space="preserve">re </w:t>
      </w:r>
      <w:r w:rsidRPr="00C952C9">
        <w:t xml:space="preserve">no head-to-head randomised trials </w:t>
      </w:r>
      <w:r w:rsidR="00717CB7">
        <w:t>between</w:t>
      </w:r>
      <w:r w:rsidR="00717CB7" w:rsidRPr="00C952C9">
        <w:t xml:space="preserve"> </w:t>
      </w:r>
      <w:r w:rsidRPr="00C952C9">
        <w:t xml:space="preserve">Vevye </w:t>
      </w:r>
      <w:r w:rsidR="00717CB7">
        <w:t>and the</w:t>
      </w:r>
      <w:r w:rsidR="00717CB7" w:rsidRPr="00C952C9">
        <w:t xml:space="preserve"> </w:t>
      </w:r>
      <w:r w:rsidRPr="00C952C9">
        <w:t>PBS-listed comparators</w:t>
      </w:r>
      <w:r w:rsidR="00717CB7">
        <w:t>,</w:t>
      </w:r>
      <w:r w:rsidR="00FF0CB9">
        <w:t xml:space="preserve"> Ikervis and</w:t>
      </w:r>
      <w:r w:rsidRPr="00C952C9">
        <w:t xml:space="preserve"> Cequa</w:t>
      </w:r>
      <w:r w:rsidR="00FF0CB9">
        <w:t>.</w:t>
      </w:r>
      <w:r w:rsidRPr="00C952C9">
        <w:t xml:space="preserve"> </w:t>
      </w:r>
    </w:p>
    <w:p w14:paraId="2743287E" w14:textId="13085821" w:rsidR="006A21E5" w:rsidRDefault="00C27C1C" w:rsidP="000F7C60">
      <w:pPr>
        <w:pStyle w:val="3-BodyText"/>
      </w:pPr>
      <w:r w:rsidRPr="00A6439B">
        <w:t>The submission</w:t>
      </w:r>
      <w:r w:rsidR="000F7CCC">
        <w:t xml:space="preserve"> was based on 2 randomised controlled trials, ESSENCE-1 and ESSENCE-2, and a long-term open-label extension (ESSENCE-2-OLE) </w:t>
      </w:r>
      <w:r w:rsidR="00C370D1">
        <w:t xml:space="preserve">that </w:t>
      </w:r>
      <w:r w:rsidR="000F7CCC">
        <w:t xml:space="preserve">evaluated </w:t>
      </w:r>
      <w:r w:rsidR="00C41D38">
        <w:t>Vevye</w:t>
      </w:r>
      <w:r w:rsidR="000F7CCC">
        <w:t xml:space="preserve"> ophthalmic solution for moderate to severe dry eye disease</w:t>
      </w:r>
      <w:r w:rsidR="004A6214">
        <w:t xml:space="preserve"> compared to a vehicle. </w:t>
      </w:r>
    </w:p>
    <w:p w14:paraId="4A3CE3BB" w14:textId="45776D8A" w:rsidR="00B6533B" w:rsidRDefault="00812A20" w:rsidP="000F7C60">
      <w:pPr>
        <w:pStyle w:val="3-BodyText"/>
      </w:pPr>
      <w:r>
        <w:t xml:space="preserve">The ESSENCE-1 </w:t>
      </w:r>
      <w:r w:rsidR="006475B8">
        <w:t xml:space="preserve">Phase 2b/3 </w:t>
      </w:r>
      <w:r>
        <w:t xml:space="preserve">trial </w:t>
      </w:r>
      <w:r w:rsidR="009E5B31">
        <w:t xml:space="preserve">involved </w:t>
      </w:r>
      <w:r w:rsidR="000F7C60">
        <w:t xml:space="preserve">328 </w:t>
      </w:r>
      <w:r w:rsidR="0032799F">
        <w:t>patients</w:t>
      </w:r>
      <w:r w:rsidR="000F7C60">
        <w:t xml:space="preserve"> in a</w:t>
      </w:r>
      <w:r>
        <w:t xml:space="preserve"> </w:t>
      </w:r>
      <w:r w:rsidR="000849D3">
        <w:t>prospective</w:t>
      </w:r>
      <w:r w:rsidR="006475B8">
        <w:t>, 12-week</w:t>
      </w:r>
      <w:r>
        <w:t xml:space="preserve">, </w:t>
      </w:r>
      <w:r w:rsidR="0032799F">
        <w:t>multicentre</w:t>
      </w:r>
      <w:r>
        <w:t>, randomi</w:t>
      </w:r>
      <w:r w:rsidR="0032799F">
        <w:t>s</w:t>
      </w:r>
      <w:r>
        <w:t xml:space="preserve">ed, double-masked, vehicle-controlled clinical study </w:t>
      </w:r>
      <w:r w:rsidR="00EC4BF4">
        <w:t xml:space="preserve">and </w:t>
      </w:r>
      <w:r>
        <w:t>assess</w:t>
      </w:r>
      <w:r w:rsidR="00EC4BF4">
        <w:t>ed</w:t>
      </w:r>
      <w:r>
        <w:t xml:space="preserve"> the efficacy and safety of </w:t>
      </w:r>
      <w:r w:rsidR="00EC4BF4">
        <w:t>Vevye</w:t>
      </w:r>
      <w:r w:rsidR="00496FCF">
        <w:t xml:space="preserve"> applied</w:t>
      </w:r>
      <w:r w:rsidR="006475B8">
        <w:t xml:space="preserve"> twice daily compared to a </w:t>
      </w:r>
      <w:r w:rsidR="000522AD">
        <w:t xml:space="preserve">vehicle </w:t>
      </w:r>
      <w:r>
        <w:t xml:space="preserve">for the treatment of signs and symptoms of </w:t>
      </w:r>
      <w:r w:rsidR="009A03F2" w:rsidRPr="009A03F2">
        <w:t>dry eye disease</w:t>
      </w:r>
      <w:r>
        <w:t>.</w:t>
      </w:r>
      <w:r w:rsidR="00225FD5">
        <w:t xml:space="preserve"> </w:t>
      </w:r>
    </w:p>
    <w:p w14:paraId="4197ADD1" w14:textId="42EBCCB0" w:rsidR="00AF6A03" w:rsidRDefault="00AF6A03" w:rsidP="000F7C60">
      <w:pPr>
        <w:pStyle w:val="3-BodyText"/>
      </w:pPr>
      <w:r>
        <w:t xml:space="preserve">The ESSENCE-2 Phase 3 trial involved </w:t>
      </w:r>
      <w:r w:rsidR="000522AD">
        <w:t xml:space="preserve">834 patients in a </w:t>
      </w:r>
      <w:r w:rsidR="00800A0A">
        <w:t xml:space="preserve">29-day </w:t>
      </w:r>
      <w:r w:rsidR="00800A0A" w:rsidRPr="00800A0A">
        <w:t>multicentre, randomi</w:t>
      </w:r>
      <w:r w:rsidR="00800A0A">
        <w:t>s</w:t>
      </w:r>
      <w:r w:rsidR="00800A0A" w:rsidRPr="00800A0A">
        <w:t>ed, double-masked, vehicle-controlled clinical study</w:t>
      </w:r>
      <w:r w:rsidR="00040B44">
        <w:t xml:space="preserve"> to assess the efficacy, safety and tolerability of </w:t>
      </w:r>
      <w:r w:rsidR="00FA0EFC">
        <w:t>Vevye</w:t>
      </w:r>
      <w:r w:rsidR="00305835">
        <w:t xml:space="preserve"> </w:t>
      </w:r>
      <w:r w:rsidR="00496FCF">
        <w:t xml:space="preserve">applied twice daily compared to a vehicle for the </w:t>
      </w:r>
      <w:r w:rsidR="006C666F" w:rsidRPr="006C666F">
        <w:t xml:space="preserve">treatment of signs and symptoms </w:t>
      </w:r>
      <w:r w:rsidR="009A03F2" w:rsidRPr="009A03F2">
        <w:t>of dry eye disease.</w:t>
      </w:r>
    </w:p>
    <w:p w14:paraId="0E5DA765" w14:textId="130FF5F3" w:rsidR="006C666F" w:rsidRDefault="006C666F" w:rsidP="000F7C60">
      <w:pPr>
        <w:pStyle w:val="3-BodyText"/>
      </w:pPr>
      <w:r>
        <w:t xml:space="preserve">The ESSENCE-2-OLE Phase 3 open label extension study involved </w:t>
      </w:r>
      <w:r w:rsidR="00EC51B8">
        <w:t>175 patients in a 52</w:t>
      </w:r>
      <w:r w:rsidR="00EC51B8">
        <w:noBreakHyphen/>
        <w:t xml:space="preserve">week </w:t>
      </w:r>
      <w:r w:rsidR="007277F1" w:rsidRPr="007277F1">
        <w:t>prospective, multicentre, open-label, clinical study</w:t>
      </w:r>
      <w:r w:rsidR="007277F1">
        <w:t xml:space="preserve"> to demonstrate the long</w:t>
      </w:r>
      <w:r w:rsidR="00203FFC">
        <w:t>-</w:t>
      </w:r>
      <w:r w:rsidR="007277F1">
        <w:t>term safet</w:t>
      </w:r>
      <w:r w:rsidR="009A03F2">
        <w:t xml:space="preserve">y, </w:t>
      </w:r>
      <w:r w:rsidR="009A03F2" w:rsidRPr="009A03F2">
        <w:t xml:space="preserve">tolerability, and efficacy </w:t>
      </w:r>
      <w:r w:rsidR="009A03F2">
        <w:t>Vevye</w:t>
      </w:r>
      <w:r w:rsidR="009A03F2" w:rsidRPr="009A03F2">
        <w:t xml:space="preserve"> </w:t>
      </w:r>
      <w:r w:rsidR="00FA0EFC">
        <w:t>in</w:t>
      </w:r>
      <w:r w:rsidR="00FA0EFC" w:rsidRPr="009A03F2">
        <w:t xml:space="preserve"> </w:t>
      </w:r>
      <w:r w:rsidR="009A03F2" w:rsidRPr="009A03F2">
        <w:t>patients with dry eye disease</w:t>
      </w:r>
      <w:r w:rsidR="009A03F2">
        <w:t xml:space="preserve">. </w:t>
      </w:r>
    </w:p>
    <w:p w14:paraId="13177966" w14:textId="0841E9DC" w:rsidR="00B6533B" w:rsidRPr="00A6439B" w:rsidRDefault="00502990" w:rsidP="001A0D53">
      <w:pPr>
        <w:pStyle w:val="Caption"/>
        <w:keepNext/>
        <w:rPr>
          <w:rStyle w:val="CommentReference"/>
          <w:b w:val="0"/>
          <w:sz w:val="20"/>
          <w:szCs w:val="20"/>
        </w:rPr>
      </w:pPr>
      <w:r>
        <w:lastRenderedPageBreak/>
        <w:t xml:space="preserve">Table </w:t>
      </w:r>
      <w:fldSimple w:instr=" SEQ Table \* ARABIC ">
        <w:r>
          <w:rPr>
            <w:noProof/>
          </w:rPr>
          <w:t>1</w:t>
        </w:r>
      </w:fldSimple>
      <w:r>
        <w:t xml:space="preserve">: </w:t>
      </w:r>
      <w:r w:rsidRPr="009624E8">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and associated reports presented in the submission"/>
      </w:tblPr>
      <w:tblGrid>
        <w:gridCol w:w="1542"/>
        <w:gridCol w:w="5000"/>
        <w:gridCol w:w="2474"/>
      </w:tblGrid>
      <w:tr w:rsidR="00B6533B" w:rsidRPr="00A6439B" w14:paraId="77468B9B" w14:textId="77777777" w:rsidTr="00AE698F">
        <w:trPr>
          <w:cantSplit/>
          <w:tblHeader/>
        </w:trPr>
        <w:tc>
          <w:tcPr>
            <w:tcW w:w="855" w:type="pct"/>
            <w:vAlign w:val="center"/>
          </w:tcPr>
          <w:p w14:paraId="06990072" w14:textId="77777777" w:rsidR="00B6533B" w:rsidRPr="00A6439B" w:rsidRDefault="00B6533B" w:rsidP="001A0D53">
            <w:pPr>
              <w:pStyle w:val="In-tableHeading"/>
              <w:keepLines/>
              <w:widowControl w:val="0"/>
              <w:jc w:val="center"/>
              <w:rPr>
                <w:lang w:val="en-AU"/>
              </w:rPr>
            </w:pPr>
            <w:r w:rsidRPr="00A6439B">
              <w:rPr>
                <w:lang w:val="en-AU"/>
              </w:rPr>
              <w:t>Trial ID</w:t>
            </w:r>
          </w:p>
        </w:tc>
        <w:tc>
          <w:tcPr>
            <w:tcW w:w="2773" w:type="pct"/>
            <w:vAlign w:val="center"/>
          </w:tcPr>
          <w:p w14:paraId="36B2C658" w14:textId="77777777" w:rsidR="00B6533B" w:rsidRPr="00A6439B" w:rsidRDefault="00B6533B" w:rsidP="001A0D53">
            <w:pPr>
              <w:pStyle w:val="In-tableHeading"/>
              <w:keepLines/>
              <w:widowControl w:val="0"/>
              <w:rPr>
                <w:lang w:val="en-AU"/>
              </w:rPr>
            </w:pPr>
            <w:r w:rsidRPr="00A6439B">
              <w:rPr>
                <w:lang w:val="en-AU"/>
              </w:rPr>
              <w:t>Protocol title/ Publication title</w:t>
            </w:r>
          </w:p>
        </w:tc>
        <w:tc>
          <w:tcPr>
            <w:tcW w:w="1372" w:type="pct"/>
            <w:vAlign w:val="center"/>
          </w:tcPr>
          <w:p w14:paraId="036FE8E7" w14:textId="77777777" w:rsidR="00B6533B" w:rsidRPr="00A6439B" w:rsidRDefault="00B6533B" w:rsidP="001A0D53">
            <w:pPr>
              <w:pStyle w:val="In-tableHeading"/>
              <w:keepLines/>
              <w:widowControl w:val="0"/>
              <w:rPr>
                <w:lang w:val="en-AU"/>
              </w:rPr>
            </w:pPr>
            <w:r w:rsidRPr="00A6439B">
              <w:rPr>
                <w:lang w:val="en-AU"/>
              </w:rPr>
              <w:t>Publication citation</w:t>
            </w:r>
          </w:p>
        </w:tc>
      </w:tr>
      <w:tr w:rsidR="00B6533B" w:rsidRPr="00A6439B" w14:paraId="071CAD22" w14:textId="77777777" w:rsidTr="00AE698F">
        <w:trPr>
          <w:cantSplit/>
        </w:trPr>
        <w:tc>
          <w:tcPr>
            <w:tcW w:w="855" w:type="pct"/>
            <w:vAlign w:val="center"/>
          </w:tcPr>
          <w:p w14:paraId="550AEAE9" w14:textId="77777777" w:rsidR="00B6533B" w:rsidRPr="0010474D" w:rsidRDefault="00A32C34" w:rsidP="001A0D53">
            <w:pPr>
              <w:pStyle w:val="TableText0"/>
              <w:keepLines/>
              <w:widowControl w:val="0"/>
            </w:pPr>
            <w:r w:rsidRPr="0010474D">
              <w:t>ESSENCE-1</w:t>
            </w:r>
          </w:p>
          <w:p w14:paraId="44417271" w14:textId="3B0E1F37" w:rsidR="00F376A1" w:rsidRPr="0010474D" w:rsidRDefault="00F376A1" w:rsidP="001A0D53">
            <w:pPr>
              <w:pStyle w:val="TableText0"/>
              <w:keepLines/>
              <w:widowControl w:val="0"/>
              <w:rPr>
                <w:szCs w:val="20"/>
              </w:rPr>
            </w:pPr>
            <w:r w:rsidRPr="0010474D">
              <w:rPr>
                <w:szCs w:val="20"/>
              </w:rPr>
              <w:t>NCT03292809</w:t>
            </w:r>
          </w:p>
        </w:tc>
        <w:tc>
          <w:tcPr>
            <w:tcW w:w="2773" w:type="pct"/>
            <w:tcBorders>
              <w:bottom w:val="nil"/>
            </w:tcBorders>
            <w:vAlign w:val="center"/>
          </w:tcPr>
          <w:p w14:paraId="613C6EE1" w14:textId="77B57B74" w:rsidR="00E16052" w:rsidRDefault="00E16052" w:rsidP="001A0D53">
            <w:pPr>
              <w:pStyle w:val="TableText0"/>
              <w:keepLines/>
              <w:widowControl w:val="0"/>
            </w:pPr>
            <w:r>
              <w:t>ESSENCE-1</w:t>
            </w:r>
          </w:p>
          <w:p w14:paraId="1DD03D02" w14:textId="663B05F4" w:rsidR="00B6533B" w:rsidRPr="00A6439B" w:rsidRDefault="00B36776" w:rsidP="001A0D53">
            <w:pPr>
              <w:pStyle w:val="TableText0"/>
              <w:keepLines/>
              <w:widowControl w:val="0"/>
            </w:pPr>
            <w:r>
              <w:t>Sheppard et al</w:t>
            </w:r>
            <w:r w:rsidR="00806277">
              <w:t>.</w:t>
            </w:r>
            <w:r>
              <w:t xml:space="preserve"> </w:t>
            </w:r>
            <w:r w:rsidR="00D30EDE" w:rsidRPr="00D30EDE">
              <w:t>A Water-free 0.1% Cyclosporine A Solution for Treatment of Dry Eye Disease: Results of the Randomized Phase 2B/3 ESSENCE Study</w:t>
            </w:r>
          </w:p>
        </w:tc>
        <w:tc>
          <w:tcPr>
            <w:tcW w:w="1372" w:type="pct"/>
            <w:tcBorders>
              <w:bottom w:val="nil"/>
            </w:tcBorders>
            <w:vAlign w:val="center"/>
          </w:tcPr>
          <w:p w14:paraId="71DCF0D6" w14:textId="77777777" w:rsidR="00B6533B" w:rsidRDefault="00502D84" w:rsidP="001A0D53">
            <w:pPr>
              <w:pStyle w:val="TableText0"/>
              <w:keepLines/>
              <w:widowControl w:val="0"/>
            </w:pPr>
            <w:r w:rsidRPr="00502D84">
              <w:t>January 2021</w:t>
            </w:r>
          </w:p>
          <w:p w14:paraId="3AB3E138" w14:textId="77777777" w:rsidR="00502D84" w:rsidRDefault="00502D84" w:rsidP="001A0D53">
            <w:pPr>
              <w:pStyle w:val="TableText0"/>
              <w:keepLines/>
              <w:widowControl w:val="0"/>
            </w:pPr>
          </w:p>
          <w:p w14:paraId="58C1350A" w14:textId="6E5A58B4" w:rsidR="00502D84" w:rsidRPr="00502D84" w:rsidRDefault="00B55274" w:rsidP="001A0D53">
            <w:pPr>
              <w:pStyle w:val="TableText0"/>
              <w:keepLines/>
              <w:widowControl w:val="0"/>
            </w:pPr>
            <w:r w:rsidRPr="00B55274">
              <w:rPr>
                <w:i/>
                <w:iCs/>
              </w:rPr>
              <w:t>Cornea</w:t>
            </w:r>
            <w:r w:rsidRPr="00B55274">
              <w:t>. 2021</w:t>
            </w:r>
            <w:r w:rsidR="00F24A19">
              <w:t xml:space="preserve">; </w:t>
            </w:r>
            <w:r w:rsidRPr="00B55274">
              <w:t>1;40(10):1290-1297</w:t>
            </w:r>
          </w:p>
        </w:tc>
      </w:tr>
      <w:tr w:rsidR="00B6533B" w:rsidRPr="00A6439B" w14:paraId="4837E5E3" w14:textId="77777777" w:rsidTr="00AE698F">
        <w:trPr>
          <w:cantSplit/>
        </w:trPr>
        <w:tc>
          <w:tcPr>
            <w:tcW w:w="855" w:type="pct"/>
            <w:vMerge w:val="restart"/>
            <w:vAlign w:val="center"/>
          </w:tcPr>
          <w:p w14:paraId="1D3265D2" w14:textId="77777777" w:rsidR="00F376A1" w:rsidRPr="0010474D" w:rsidRDefault="00A32C34" w:rsidP="001A0D53">
            <w:pPr>
              <w:pStyle w:val="TableText0"/>
              <w:keepLines/>
              <w:widowControl w:val="0"/>
            </w:pPr>
            <w:r w:rsidRPr="0010474D">
              <w:t>ESSENCE-2</w:t>
            </w:r>
          </w:p>
          <w:p w14:paraId="68B3FC97" w14:textId="4118A4A9" w:rsidR="00E12D20" w:rsidRPr="0010474D" w:rsidRDefault="00BF5F21" w:rsidP="001A0D53">
            <w:pPr>
              <w:pStyle w:val="TableText0"/>
              <w:keepLines/>
              <w:widowControl w:val="0"/>
            </w:pPr>
            <w:r w:rsidRPr="0010474D">
              <w:t>NCT04523129</w:t>
            </w:r>
          </w:p>
        </w:tc>
        <w:tc>
          <w:tcPr>
            <w:tcW w:w="2773" w:type="pct"/>
            <w:tcBorders>
              <w:bottom w:val="nil"/>
            </w:tcBorders>
            <w:vAlign w:val="center"/>
          </w:tcPr>
          <w:p w14:paraId="5BEE2D95" w14:textId="41866630" w:rsidR="00B6533B" w:rsidRPr="00A6439B" w:rsidRDefault="00820380" w:rsidP="001A0D53">
            <w:pPr>
              <w:pStyle w:val="TableText0"/>
              <w:keepLines/>
              <w:widowControl w:val="0"/>
              <w:rPr>
                <w:rFonts w:ascii="Times" w:hAnsi="Times"/>
              </w:rPr>
            </w:pPr>
            <w:r>
              <w:t>ESSENCE-2</w:t>
            </w:r>
          </w:p>
        </w:tc>
        <w:tc>
          <w:tcPr>
            <w:tcW w:w="1372" w:type="pct"/>
            <w:tcBorders>
              <w:bottom w:val="nil"/>
            </w:tcBorders>
            <w:vAlign w:val="center"/>
          </w:tcPr>
          <w:p w14:paraId="5B578937" w14:textId="34E893E6" w:rsidR="00B6533B" w:rsidRPr="00A6439B" w:rsidRDefault="004150A8" w:rsidP="001A0D53">
            <w:pPr>
              <w:pStyle w:val="TableText0"/>
              <w:keepLines/>
              <w:widowControl w:val="0"/>
            </w:pPr>
            <w:r>
              <w:t>May 2023</w:t>
            </w:r>
          </w:p>
        </w:tc>
      </w:tr>
      <w:tr w:rsidR="00B6533B" w:rsidRPr="00A6439B" w14:paraId="650DDFCA" w14:textId="77777777" w:rsidTr="00AE698F">
        <w:trPr>
          <w:cantSplit/>
        </w:trPr>
        <w:tc>
          <w:tcPr>
            <w:tcW w:w="855" w:type="pct"/>
            <w:vMerge/>
            <w:vAlign w:val="center"/>
          </w:tcPr>
          <w:p w14:paraId="237B0651" w14:textId="77777777" w:rsidR="00B6533B" w:rsidRPr="0010474D" w:rsidRDefault="00B6533B" w:rsidP="001A0D53">
            <w:pPr>
              <w:pStyle w:val="TableText0"/>
              <w:keepLines/>
              <w:widowControl w:val="0"/>
            </w:pPr>
          </w:p>
        </w:tc>
        <w:tc>
          <w:tcPr>
            <w:tcW w:w="2773" w:type="pct"/>
            <w:tcBorders>
              <w:top w:val="nil"/>
              <w:bottom w:val="nil"/>
            </w:tcBorders>
            <w:vAlign w:val="center"/>
          </w:tcPr>
          <w:p w14:paraId="41AE0487" w14:textId="3243986B" w:rsidR="00B6533B" w:rsidRPr="00A6439B" w:rsidRDefault="00820380" w:rsidP="001A0D53">
            <w:pPr>
              <w:pStyle w:val="TableText0"/>
              <w:keepLines/>
              <w:widowControl w:val="0"/>
            </w:pPr>
            <w:r>
              <w:t>Akpek et al</w:t>
            </w:r>
            <w:r w:rsidR="00806277">
              <w:t>.</w:t>
            </w:r>
            <w:r>
              <w:t xml:space="preserve"> </w:t>
            </w:r>
            <w:r w:rsidRPr="00820380">
              <w:t>Efficacy and Safety of a Water-Free Topical Cyclosporine, 0.1%, Solution for the Treatment of Moderate to Severe Dry Eye Disease: The ESSENCE-2 Randomized Clinical Trial</w:t>
            </w:r>
            <w:r>
              <w:t xml:space="preserve"> </w:t>
            </w:r>
          </w:p>
        </w:tc>
        <w:tc>
          <w:tcPr>
            <w:tcW w:w="1372" w:type="pct"/>
            <w:tcBorders>
              <w:top w:val="nil"/>
              <w:bottom w:val="nil"/>
            </w:tcBorders>
            <w:vAlign w:val="center"/>
          </w:tcPr>
          <w:p w14:paraId="4BF0843C" w14:textId="436BE3D8" w:rsidR="00B6533B" w:rsidRPr="00A6439B" w:rsidRDefault="00F24A19" w:rsidP="001A0D53">
            <w:pPr>
              <w:pStyle w:val="TableText0"/>
              <w:keepLines/>
              <w:widowControl w:val="0"/>
              <w:rPr>
                <w:i/>
              </w:rPr>
            </w:pPr>
            <w:r w:rsidRPr="00F24A19">
              <w:rPr>
                <w:i/>
              </w:rPr>
              <w:t xml:space="preserve">JAMA Ophthalmol. </w:t>
            </w:r>
            <w:r w:rsidRPr="00F24A19">
              <w:rPr>
                <w:iCs/>
              </w:rPr>
              <w:t>2023</w:t>
            </w:r>
            <w:r w:rsidR="00644C8F">
              <w:rPr>
                <w:iCs/>
              </w:rPr>
              <w:t>;</w:t>
            </w:r>
            <w:r w:rsidRPr="00F24A19">
              <w:rPr>
                <w:iCs/>
              </w:rPr>
              <w:t xml:space="preserve"> May 1;141(5):459-466.</w:t>
            </w:r>
          </w:p>
        </w:tc>
      </w:tr>
      <w:tr w:rsidR="00B6533B" w:rsidRPr="00A6439B" w14:paraId="41D7954B" w14:textId="77777777" w:rsidTr="00AE698F">
        <w:trPr>
          <w:cantSplit/>
        </w:trPr>
        <w:tc>
          <w:tcPr>
            <w:tcW w:w="855" w:type="pct"/>
            <w:vMerge w:val="restart"/>
            <w:vAlign w:val="center"/>
          </w:tcPr>
          <w:p w14:paraId="14597870" w14:textId="77777777" w:rsidR="00B6533B" w:rsidRPr="0010474D" w:rsidRDefault="00A32C34" w:rsidP="001A0D53">
            <w:pPr>
              <w:pStyle w:val="TableText0"/>
              <w:keepLines/>
              <w:widowControl w:val="0"/>
            </w:pPr>
            <w:r w:rsidRPr="0010474D">
              <w:t>ESSENCE-2-OLE</w:t>
            </w:r>
          </w:p>
          <w:p w14:paraId="6BEB7CBD" w14:textId="6CC313F7" w:rsidR="00E948DB" w:rsidRPr="0010474D" w:rsidRDefault="00E12D20" w:rsidP="001A0D53">
            <w:pPr>
              <w:pStyle w:val="TableText0"/>
              <w:keepLines/>
              <w:widowControl w:val="0"/>
            </w:pPr>
            <w:r w:rsidRPr="0010474D">
              <w:t>NCT04523142</w:t>
            </w:r>
          </w:p>
        </w:tc>
        <w:tc>
          <w:tcPr>
            <w:tcW w:w="2773" w:type="pct"/>
            <w:tcBorders>
              <w:bottom w:val="nil"/>
            </w:tcBorders>
            <w:vAlign w:val="center"/>
          </w:tcPr>
          <w:p w14:paraId="441D44B6" w14:textId="2D975C6F" w:rsidR="00B6533B" w:rsidRPr="00A6439B" w:rsidRDefault="0096732B" w:rsidP="001A0D53">
            <w:pPr>
              <w:pStyle w:val="TableText0"/>
              <w:keepLines/>
              <w:widowControl w:val="0"/>
              <w:rPr>
                <w:rFonts w:ascii="Times" w:hAnsi="Times"/>
              </w:rPr>
            </w:pPr>
            <w:r>
              <w:t>ESSENCE-2-OLE</w:t>
            </w:r>
          </w:p>
        </w:tc>
        <w:tc>
          <w:tcPr>
            <w:tcW w:w="1372" w:type="pct"/>
            <w:tcBorders>
              <w:bottom w:val="nil"/>
            </w:tcBorders>
            <w:vAlign w:val="center"/>
          </w:tcPr>
          <w:p w14:paraId="31E1E33E" w14:textId="04A9E1EB" w:rsidR="00B6533B" w:rsidRPr="00A6439B" w:rsidRDefault="00806277" w:rsidP="001A0D53">
            <w:pPr>
              <w:pStyle w:val="TableText0"/>
              <w:keepLines/>
              <w:widowControl w:val="0"/>
              <w:rPr>
                <w:rFonts w:ascii="Times" w:hAnsi="Times"/>
              </w:rPr>
            </w:pPr>
            <w:r>
              <w:t>May 2024</w:t>
            </w:r>
          </w:p>
        </w:tc>
      </w:tr>
      <w:tr w:rsidR="00B6533B" w:rsidRPr="00A6439B" w14:paraId="5A186BBC" w14:textId="77777777" w:rsidTr="00AE698F">
        <w:trPr>
          <w:cantSplit/>
        </w:trPr>
        <w:tc>
          <w:tcPr>
            <w:tcW w:w="855" w:type="pct"/>
            <w:vMerge/>
            <w:tcBorders>
              <w:bottom w:val="single" w:sz="4" w:space="0" w:color="auto"/>
            </w:tcBorders>
            <w:vAlign w:val="center"/>
          </w:tcPr>
          <w:p w14:paraId="06873AF0" w14:textId="77777777" w:rsidR="00B6533B" w:rsidRPr="00A6439B" w:rsidRDefault="00B6533B" w:rsidP="001A0D53">
            <w:pPr>
              <w:pStyle w:val="Tabletext"/>
              <w:keepNext/>
              <w:keepLines/>
              <w:widowControl w:val="0"/>
            </w:pPr>
          </w:p>
        </w:tc>
        <w:tc>
          <w:tcPr>
            <w:tcW w:w="2773" w:type="pct"/>
            <w:tcBorders>
              <w:top w:val="nil"/>
              <w:bottom w:val="single" w:sz="4" w:space="0" w:color="auto"/>
            </w:tcBorders>
            <w:vAlign w:val="center"/>
          </w:tcPr>
          <w:p w14:paraId="0CECB0C1" w14:textId="20102D39" w:rsidR="00B6533B" w:rsidRPr="00A6439B" w:rsidRDefault="00806277" w:rsidP="001A0D53">
            <w:pPr>
              <w:pStyle w:val="TableText0"/>
              <w:keepLines/>
              <w:widowControl w:val="0"/>
            </w:pPr>
            <w:r>
              <w:t xml:space="preserve">Wirta et al. </w:t>
            </w:r>
            <w:r w:rsidRPr="00806277">
              <w:t>Long-Term Safety and Efficacy of a Water-Free Cyclosporine 0.1% Ophthalmic Solution for Treatment of Dry Eye Disease: ESSENCE-2 OLE</w:t>
            </w:r>
          </w:p>
        </w:tc>
        <w:tc>
          <w:tcPr>
            <w:tcW w:w="1372" w:type="pct"/>
            <w:tcBorders>
              <w:top w:val="nil"/>
              <w:bottom w:val="single" w:sz="4" w:space="0" w:color="auto"/>
            </w:tcBorders>
            <w:vAlign w:val="center"/>
          </w:tcPr>
          <w:p w14:paraId="6F458BFD" w14:textId="4D0AA07E" w:rsidR="00B6533B" w:rsidRPr="00A6439B" w:rsidRDefault="00806277" w:rsidP="001A0D53">
            <w:pPr>
              <w:pStyle w:val="TableText0"/>
              <w:keepLines/>
              <w:widowControl w:val="0"/>
            </w:pPr>
            <w:r w:rsidRPr="00806277">
              <w:rPr>
                <w:i/>
              </w:rPr>
              <w:t>Cornea</w:t>
            </w:r>
            <w:r w:rsidR="00C840B2">
              <w:rPr>
                <w:i/>
              </w:rPr>
              <w:t xml:space="preserve"> </w:t>
            </w:r>
            <w:r w:rsidRPr="00806277">
              <w:rPr>
                <w:iCs/>
              </w:rPr>
              <w:t>2024</w:t>
            </w:r>
            <w:r w:rsidR="00C840B2">
              <w:rPr>
                <w:iCs/>
              </w:rPr>
              <w:t>;</w:t>
            </w:r>
            <w:r w:rsidRPr="00806277">
              <w:rPr>
                <w:iCs/>
              </w:rPr>
              <w:t xml:space="preserve"> 21;44(6):692-700.</w:t>
            </w:r>
          </w:p>
        </w:tc>
      </w:tr>
    </w:tbl>
    <w:p w14:paraId="0D78E536" w14:textId="11B6AE57" w:rsidR="00B6533B" w:rsidRPr="00A6439B" w:rsidRDefault="00B6533B" w:rsidP="001A0D53">
      <w:pPr>
        <w:pStyle w:val="FooterTableFigure"/>
        <w:keepNext/>
        <w:keepLines/>
        <w:widowControl w:val="0"/>
        <w:rPr>
          <w:sz w:val="20"/>
        </w:rPr>
      </w:pPr>
      <w:r w:rsidRPr="00A6439B">
        <w:t xml:space="preserve">Source: </w:t>
      </w:r>
      <w:r w:rsidR="00B552A7">
        <w:t>pp</w:t>
      </w:r>
      <w:r w:rsidR="001F7F41">
        <w:t>7-9</w:t>
      </w:r>
      <w:r w:rsidRPr="00A6439B">
        <w:t xml:space="preserve"> of the submission.</w:t>
      </w:r>
    </w:p>
    <w:bookmarkEnd w:id="4"/>
    <w:p w14:paraId="7265A2FB" w14:textId="648DB752" w:rsidR="00C27C1C" w:rsidRPr="0010474D" w:rsidRDefault="00535133" w:rsidP="00192106">
      <w:pPr>
        <w:pStyle w:val="3-BodyText"/>
      </w:pPr>
      <w:r w:rsidRPr="00845E49">
        <w:t>T</w:t>
      </w:r>
      <w:r w:rsidR="00C27C1C" w:rsidRPr="00845E49">
        <w:t>he submission</w:t>
      </w:r>
      <w:r w:rsidR="003E658D" w:rsidRPr="00845E49">
        <w:t>’s</w:t>
      </w:r>
      <w:r w:rsidR="00C27C1C" w:rsidRPr="00845E49">
        <w:t xml:space="preserve"> request was </w:t>
      </w:r>
      <w:r w:rsidRPr="00845E49">
        <w:t xml:space="preserve">based on </w:t>
      </w:r>
      <w:r w:rsidR="00BB6792" w:rsidRPr="00845E49">
        <w:t xml:space="preserve">the </w:t>
      </w:r>
      <w:r w:rsidR="00FC497E" w:rsidRPr="00845E49">
        <w:t xml:space="preserve">outcomes of the ESSENCE-1, ESSENCE-2, and ESSENCE-2-OLE </w:t>
      </w:r>
      <w:r w:rsidR="00845E49" w:rsidRPr="00845E49">
        <w:t>trials</w:t>
      </w:r>
      <w:r w:rsidR="00307567">
        <w:t xml:space="preserve"> only</w:t>
      </w:r>
      <w:r w:rsidR="00845E49" w:rsidRPr="00845E49">
        <w:t>.</w:t>
      </w:r>
      <w:r w:rsidR="00B17DA0">
        <w:t xml:space="preserve"> </w:t>
      </w:r>
      <w:r w:rsidR="00B17DA0" w:rsidRPr="0010474D">
        <w:t>No comparisons were presented comparing Ve</w:t>
      </w:r>
      <w:r w:rsidR="00AE377D" w:rsidRPr="0010474D">
        <w:t xml:space="preserve">vye </w:t>
      </w:r>
      <w:r w:rsidR="00307567" w:rsidRPr="0010474D">
        <w:t xml:space="preserve">with </w:t>
      </w:r>
      <w:r w:rsidR="00EE25BB" w:rsidRPr="0010474D">
        <w:t xml:space="preserve">the nominated comparators, </w:t>
      </w:r>
      <w:r w:rsidR="00307567" w:rsidRPr="0010474D">
        <w:t>Ikeris or Cequa.</w:t>
      </w:r>
    </w:p>
    <w:p w14:paraId="402A7776" w14:textId="4BC03BCE" w:rsidR="00C27C1C" w:rsidRDefault="00C27C1C" w:rsidP="00C27C1C">
      <w:pPr>
        <w:pStyle w:val="4-SubsectionHeading"/>
        <w:rPr>
          <w:lang w:eastAsia="en-US"/>
        </w:rPr>
      </w:pPr>
      <w:r w:rsidRPr="00A6439B">
        <w:rPr>
          <w:lang w:eastAsia="en-US"/>
        </w:rPr>
        <w:t>Comparative effectiveness</w:t>
      </w:r>
    </w:p>
    <w:p w14:paraId="2E5A5610" w14:textId="03AFF71B" w:rsidR="006D7DBF" w:rsidRDefault="00C72839" w:rsidP="008E4707">
      <w:pPr>
        <w:pStyle w:val="3-BodyText"/>
        <w:rPr>
          <w:lang w:eastAsia="en-US"/>
        </w:rPr>
      </w:pPr>
      <w:r>
        <w:t xml:space="preserve">The primary endpoint in both ESSENCE-1 and ESSENCE-2 was the change from baseline in total corneal fluorescein staining (tCFS) score at Day 29 (see </w:t>
      </w:r>
      <w:r w:rsidR="001E57EE">
        <w:fldChar w:fldCharType="begin"/>
      </w:r>
      <w:r w:rsidR="001E57EE">
        <w:instrText xml:space="preserve"> REF _Ref219988912 \h </w:instrText>
      </w:r>
      <w:r w:rsidR="001E57EE">
        <w:fldChar w:fldCharType="separate"/>
      </w:r>
      <w:r w:rsidR="00881686">
        <w:t xml:space="preserve">Table </w:t>
      </w:r>
      <w:r w:rsidR="00881686">
        <w:rPr>
          <w:noProof/>
        </w:rPr>
        <w:t>2</w:t>
      </w:r>
      <w:r w:rsidR="001E57EE">
        <w:fldChar w:fldCharType="end"/>
      </w:r>
      <w:r>
        <w:t>).</w:t>
      </w:r>
    </w:p>
    <w:p w14:paraId="475CEE4A" w14:textId="18A81783" w:rsidR="001E57EE" w:rsidRDefault="00502990" w:rsidP="00502990">
      <w:pPr>
        <w:pStyle w:val="Caption"/>
      </w:pPr>
      <w:r>
        <w:t xml:space="preserve">Table </w:t>
      </w:r>
      <w:fldSimple w:instr=" SEQ Table \* ARABIC ">
        <w:r>
          <w:rPr>
            <w:noProof/>
          </w:rPr>
          <w:t>2</w:t>
        </w:r>
      </w:fldSimple>
      <w:r>
        <w:t xml:space="preserve">: </w:t>
      </w:r>
      <w:r w:rsidRPr="000B36D7">
        <w:t xml:space="preserve">Mean </w:t>
      </w:r>
      <w:r>
        <w:t xml:space="preserve">least square </w:t>
      </w:r>
      <w:r w:rsidRPr="000B36D7">
        <w:t xml:space="preserve">change from baseline in </w:t>
      </w:r>
      <w:r>
        <w:t>total corneal fluorescein straining</w:t>
      </w:r>
      <w:r w:rsidRPr="000B36D7">
        <w:t xml:space="preserve"> at Day 29</w:t>
      </w:r>
    </w:p>
    <w:tbl>
      <w:tblPr>
        <w:tblStyle w:val="TableGrid"/>
        <w:tblW w:w="5000" w:type="pct"/>
        <w:tblLook w:val="04A0" w:firstRow="1" w:lastRow="0" w:firstColumn="1" w:lastColumn="0" w:noHBand="0" w:noVBand="1"/>
        <w:tblCaption w:val="Table 2: Mean least square change from baseline in total corneal fluorescein straining at Day 29"/>
      </w:tblPr>
      <w:tblGrid>
        <w:gridCol w:w="1417"/>
        <w:gridCol w:w="2833"/>
        <w:gridCol w:w="992"/>
        <w:gridCol w:w="1275"/>
        <w:gridCol w:w="2499"/>
      </w:tblGrid>
      <w:tr w:rsidR="009E7A3A" w:rsidRPr="007C5CB2" w14:paraId="053B74F7" w14:textId="77777777" w:rsidTr="00AE698F">
        <w:trPr>
          <w:trHeight w:val="42"/>
        </w:trPr>
        <w:tc>
          <w:tcPr>
            <w:tcW w:w="2357" w:type="pct"/>
            <w:gridSpan w:val="2"/>
          </w:tcPr>
          <w:p w14:paraId="34B78B96" w14:textId="77777777" w:rsidR="009E7A3A" w:rsidRPr="005A2AF8" w:rsidRDefault="009E7A3A" w:rsidP="009E7A3A">
            <w:pPr>
              <w:pStyle w:val="3-BodyText"/>
              <w:numPr>
                <w:ilvl w:val="0"/>
                <w:numId w:val="0"/>
              </w:numPr>
              <w:spacing w:before="0" w:after="0"/>
              <w:rPr>
                <w:rFonts w:ascii="Arial Narrow" w:hAnsi="Arial Narrow"/>
                <w:sz w:val="20"/>
                <w:szCs w:val="20"/>
                <w:lang w:eastAsia="en-US"/>
              </w:rPr>
            </w:pPr>
          </w:p>
        </w:tc>
        <w:tc>
          <w:tcPr>
            <w:tcW w:w="550" w:type="pct"/>
          </w:tcPr>
          <w:p w14:paraId="0072C972" w14:textId="77777777" w:rsidR="009E7A3A" w:rsidRPr="007C5CB2" w:rsidRDefault="009E7A3A" w:rsidP="009E7A3A">
            <w:pPr>
              <w:pStyle w:val="3-BodyText"/>
              <w:numPr>
                <w:ilvl w:val="0"/>
                <w:numId w:val="0"/>
              </w:numPr>
              <w:spacing w:before="0" w:after="0"/>
              <w:jc w:val="center"/>
              <w:rPr>
                <w:rFonts w:ascii="Arial Narrow" w:hAnsi="Arial Narrow"/>
                <w:b/>
                <w:bCs/>
                <w:sz w:val="20"/>
                <w:szCs w:val="20"/>
                <w:lang w:eastAsia="en-US"/>
              </w:rPr>
            </w:pPr>
            <w:r w:rsidRPr="007C5CB2">
              <w:rPr>
                <w:rFonts w:ascii="Arial Narrow" w:hAnsi="Arial Narrow"/>
                <w:b/>
                <w:bCs/>
                <w:sz w:val="20"/>
                <w:szCs w:val="20"/>
                <w:lang w:eastAsia="en-US"/>
              </w:rPr>
              <w:t>Vevye</w:t>
            </w:r>
          </w:p>
        </w:tc>
        <w:tc>
          <w:tcPr>
            <w:tcW w:w="707" w:type="pct"/>
          </w:tcPr>
          <w:p w14:paraId="4EA6C69F" w14:textId="77777777" w:rsidR="009E7A3A" w:rsidRPr="007C5CB2" w:rsidRDefault="009E7A3A" w:rsidP="009E7A3A">
            <w:pPr>
              <w:pStyle w:val="3-BodyText"/>
              <w:numPr>
                <w:ilvl w:val="0"/>
                <w:numId w:val="0"/>
              </w:numPr>
              <w:spacing w:before="0" w:after="0"/>
              <w:jc w:val="center"/>
              <w:rPr>
                <w:rFonts w:ascii="Arial Narrow" w:hAnsi="Arial Narrow"/>
                <w:b/>
                <w:bCs/>
                <w:sz w:val="20"/>
                <w:szCs w:val="20"/>
                <w:lang w:eastAsia="en-US"/>
              </w:rPr>
            </w:pPr>
            <w:r w:rsidRPr="007C5CB2">
              <w:rPr>
                <w:rFonts w:ascii="Arial Narrow" w:hAnsi="Arial Narrow"/>
                <w:b/>
                <w:bCs/>
                <w:sz w:val="20"/>
                <w:szCs w:val="20"/>
                <w:lang w:eastAsia="en-US"/>
              </w:rPr>
              <w:t>Vehicle</w:t>
            </w:r>
          </w:p>
        </w:tc>
        <w:tc>
          <w:tcPr>
            <w:tcW w:w="1386" w:type="pct"/>
          </w:tcPr>
          <w:p w14:paraId="6F1EA20B" w14:textId="77777777" w:rsidR="009E7A3A" w:rsidRPr="007C5CB2" w:rsidRDefault="009E7A3A" w:rsidP="009E7A3A">
            <w:pPr>
              <w:pStyle w:val="3-BodyText"/>
              <w:numPr>
                <w:ilvl w:val="0"/>
                <w:numId w:val="0"/>
              </w:numPr>
              <w:spacing w:before="0" w:after="0"/>
              <w:jc w:val="center"/>
              <w:rPr>
                <w:rFonts w:ascii="Arial Narrow" w:hAnsi="Arial Narrow"/>
                <w:b/>
                <w:bCs/>
                <w:sz w:val="20"/>
                <w:szCs w:val="20"/>
                <w:lang w:eastAsia="en-US"/>
              </w:rPr>
            </w:pPr>
            <w:r w:rsidRPr="007C5CB2">
              <w:rPr>
                <w:rFonts w:ascii="Arial Narrow" w:hAnsi="Arial Narrow"/>
                <w:b/>
                <w:bCs/>
                <w:sz w:val="20"/>
                <w:szCs w:val="20"/>
                <w:lang w:eastAsia="en-US"/>
              </w:rPr>
              <w:t>Difference (95% CI); p-value</w:t>
            </w:r>
          </w:p>
        </w:tc>
      </w:tr>
      <w:tr w:rsidR="008E4707" w:rsidRPr="005A2AF8" w14:paraId="6F8E68B4" w14:textId="77777777" w:rsidTr="00AE698F">
        <w:trPr>
          <w:trHeight w:val="42"/>
        </w:trPr>
        <w:tc>
          <w:tcPr>
            <w:tcW w:w="786" w:type="pct"/>
            <w:vMerge w:val="restart"/>
          </w:tcPr>
          <w:p w14:paraId="5502C9AC" w14:textId="77777777" w:rsidR="008E4707" w:rsidRDefault="008E4707" w:rsidP="00FC09F8">
            <w:pPr>
              <w:pStyle w:val="3-BodyText"/>
              <w:numPr>
                <w:ilvl w:val="0"/>
                <w:numId w:val="0"/>
              </w:numPr>
              <w:spacing w:before="0" w:after="0"/>
              <w:rPr>
                <w:rFonts w:ascii="Arial Narrow" w:hAnsi="Arial Narrow"/>
                <w:sz w:val="20"/>
                <w:szCs w:val="20"/>
                <w:lang w:eastAsia="en-US"/>
              </w:rPr>
            </w:pPr>
            <w:r>
              <w:rPr>
                <w:rFonts w:ascii="Arial Narrow" w:hAnsi="Arial Narrow"/>
                <w:sz w:val="20"/>
                <w:szCs w:val="20"/>
                <w:lang w:eastAsia="en-US"/>
              </w:rPr>
              <w:t>ESSENCE-1</w:t>
            </w:r>
          </w:p>
        </w:tc>
        <w:tc>
          <w:tcPr>
            <w:tcW w:w="1571" w:type="pct"/>
          </w:tcPr>
          <w:p w14:paraId="66FFB030" w14:textId="77777777" w:rsidR="008E4707" w:rsidRPr="005A2AF8" w:rsidRDefault="008E4707" w:rsidP="00FC09F8">
            <w:pPr>
              <w:pStyle w:val="3-BodyText"/>
              <w:numPr>
                <w:ilvl w:val="0"/>
                <w:numId w:val="0"/>
              </w:numPr>
              <w:spacing w:before="0" w:after="0"/>
              <w:rPr>
                <w:rFonts w:ascii="Arial Narrow" w:hAnsi="Arial Narrow"/>
                <w:sz w:val="20"/>
                <w:szCs w:val="20"/>
                <w:lang w:eastAsia="en-US"/>
              </w:rPr>
            </w:pPr>
            <w:r>
              <w:rPr>
                <w:rFonts w:ascii="Arial Narrow" w:hAnsi="Arial Narrow"/>
                <w:sz w:val="20"/>
                <w:szCs w:val="20"/>
                <w:lang w:eastAsia="en-US"/>
              </w:rPr>
              <w:t>Baseline</w:t>
            </w:r>
          </w:p>
        </w:tc>
        <w:tc>
          <w:tcPr>
            <w:tcW w:w="550" w:type="pct"/>
          </w:tcPr>
          <w:p w14:paraId="7A170012"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11.5</w:t>
            </w:r>
          </w:p>
        </w:tc>
        <w:tc>
          <w:tcPr>
            <w:tcW w:w="707" w:type="pct"/>
          </w:tcPr>
          <w:p w14:paraId="5F6A9C30"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11.5</w:t>
            </w:r>
          </w:p>
        </w:tc>
        <w:tc>
          <w:tcPr>
            <w:tcW w:w="1386" w:type="pct"/>
          </w:tcPr>
          <w:p w14:paraId="17F6BBC6"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p>
        </w:tc>
      </w:tr>
      <w:tr w:rsidR="008E4707" w:rsidRPr="005A2AF8" w14:paraId="14897DFD" w14:textId="77777777" w:rsidTr="00AE698F">
        <w:trPr>
          <w:trHeight w:val="42"/>
        </w:trPr>
        <w:tc>
          <w:tcPr>
            <w:tcW w:w="786" w:type="pct"/>
            <w:vMerge/>
          </w:tcPr>
          <w:p w14:paraId="4553B00F" w14:textId="77777777" w:rsidR="008E4707" w:rsidRDefault="008E4707" w:rsidP="00FC09F8">
            <w:pPr>
              <w:pStyle w:val="3-BodyText"/>
              <w:numPr>
                <w:ilvl w:val="0"/>
                <w:numId w:val="0"/>
              </w:numPr>
              <w:spacing w:before="0" w:after="0"/>
              <w:rPr>
                <w:rFonts w:ascii="Arial Narrow" w:hAnsi="Arial Narrow"/>
                <w:sz w:val="20"/>
                <w:szCs w:val="20"/>
                <w:lang w:eastAsia="en-US"/>
              </w:rPr>
            </w:pPr>
          </w:p>
        </w:tc>
        <w:tc>
          <w:tcPr>
            <w:tcW w:w="1571" w:type="pct"/>
          </w:tcPr>
          <w:p w14:paraId="3696143B" w14:textId="77777777" w:rsidR="008E4707" w:rsidRPr="005A2AF8" w:rsidRDefault="008E4707" w:rsidP="00FC09F8">
            <w:pPr>
              <w:pStyle w:val="3-BodyText"/>
              <w:numPr>
                <w:ilvl w:val="0"/>
                <w:numId w:val="0"/>
              </w:numPr>
              <w:spacing w:before="0" w:after="0"/>
              <w:rPr>
                <w:rFonts w:ascii="Arial Narrow" w:hAnsi="Arial Narrow"/>
                <w:sz w:val="20"/>
                <w:szCs w:val="20"/>
                <w:lang w:eastAsia="en-US"/>
              </w:rPr>
            </w:pPr>
            <w:r>
              <w:rPr>
                <w:rFonts w:ascii="Arial Narrow" w:hAnsi="Arial Narrow"/>
                <w:sz w:val="20"/>
                <w:szCs w:val="20"/>
                <w:lang w:eastAsia="en-US"/>
              </w:rPr>
              <w:t>Mean LS change at Day 29</w:t>
            </w:r>
          </w:p>
        </w:tc>
        <w:tc>
          <w:tcPr>
            <w:tcW w:w="550" w:type="pct"/>
          </w:tcPr>
          <w:p w14:paraId="3692DAAD"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-3.5</w:t>
            </w:r>
          </w:p>
        </w:tc>
        <w:tc>
          <w:tcPr>
            <w:tcW w:w="707" w:type="pct"/>
          </w:tcPr>
          <w:p w14:paraId="3ADBDE03"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-2.6</w:t>
            </w:r>
          </w:p>
        </w:tc>
        <w:tc>
          <w:tcPr>
            <w:tcW w:w="1386" w:type="pct"/>
          </w:tcPr>
          <w:p w14:paraId="1FE0F7A7"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-0.8 (-1.3, -0.4); 0.0002</w:t>
            </w:r>
          </w:p>
        </w:tc>
      </w:tr>
      <w:tr w:rsidR="008E4707" w:rsidRPr="005A2AF8" w14:paraId="73892B1A" w14:textId="77777777" w:rsidTr="00AE698F">
        <w:trPr>
          <w:trHeight w:val="42"/>
        </w:trPr>
        <w:tc>
          <w:tcPr>
            <w:tcW w:w="786" w:type="pct"/>
            <w:vMerge w:val="restart"/>
          </w:tcPr>
          <w:p w14:paraId="79B30ED9" w14:textId="77777777" w:rsidR="008E4707" w:rsidRPr="005A2AF8" w:rsidRDefault="008E4707" w:rsidP="00FC09F8">
            <w:pPr>
              <w:pStyle w:val="3-BodyText"/>
              <w:numPr>
                <w:ilvl w:val="0"/>
                <w:numId w:val="0"/>
              </w:numPr>
              <w:spacing w:before="0" w:after="0"/>
              <w:rPr>
                <w:rFonts w:ascii="Arial Narrow" w:hAnsi="Arial Narrow"/>
                <w:sz w:val="20"/>
                <w:szCs w:val="20"/>
                <w:lang w:eastAsia="en-US"/>
              </w:rPr>
            </w:pPr>
            <w:r>
              <w:rPr>
                <w:rFonts w:ascii="Arial Narrow" w:hAnsi="Arial Narrow"/>
                <w:sz w:val="20"/>
                <w:szCs w:val="20"/>
                <w:lang w:eastAsia="en-US"/>
              </w:rPr>
              <w:t>ESSENCE-2</w:t>
            </w:r>
          </w:p>
        </w:tc>
        <w:tc>
          <w:tcPr>
            <w:tcW w:w="1571" w:type="pct"/>
          </w:tcPr>
          <w:p w14:paraId="654DA705" w14:textId="77777777" w:rsidR="008E4707" w:rsidRPr="005A2AF8" w:rsidRDefault="008E4707" w:rsidP="00FC09F8">
            <w:pPr>
              <w:pStyle w:val="3-BodyText"/>
              <w:numPr>
                <w:ilvl w:val="0"/>
                <w:numId w:val="0"/>
              </w:numPr>
              <w:spacing w:before="0" w:after="0"/>
              <w:rPr>
                <w:rFonts w:ascii="Arial Narrow" w:hAnsi="Arial Narrow"/>
                <w:sz w:val="20"/>
                <w:szCs w:val="20"/>
                <w:lang w:eastAsia="en-US"/>
              </w:rPr>
            </w:pPr>
            <w:r>
              <w:rPr>
                <w:rFonts w:ascii="Arial Narrow" w:hAnsi="Arial Narrow"/>
                <w:sz w:val="20"/>
                <w:szCs w:val="20"/>
                <w:lang w:eastAsia="en-US"/>
              </w:rPr>
              <w:t>Baseline</w:t>
            </w:r>
          </w:p>
        </w:tc>
        <w:tc>
          <w:tcPr>
            <w:tcW w:w="550" w:type="pct"/>
          </w:tcPr>
          <w:p w14:paraId="6F0D6552"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11.5</w:t>
            </w:r>
          </w:p>
        </w:tc>
        <w:tc>
          <w:tcPr>
            <w:tcW w:w="707" w:type="pct"/>
          </w:tcPr>
          <w:p w14:paraId="6FF4FA50"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11.5</w:t>
            </w:r>
          </w:p>
        </w:tc>
        <w:tc>
          <w:tcPr>
            <w:tcW w:w="1386" w:type="pct"/>
          </w:tcPr>
          <w:p w14:paraId="2433D543"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p>
        </w:tc>
      </w:tr>
      <w:tr w:rsidR="008E4707" w:rsidRPr="005A2AF8" w14:paraId="57D67E1F" w14:textId="77777777" w:rsidTr="00AE698F">
        <w:trPr>
          <w:trHeight w:val="42"/>
        </w:trPr>
        <w:tc>
          <w:tcPr>
            <w:tcW w:w="786" w:type="pct"/>
            <w:vMerge/>
          </w:tcPr>
          <w:p w14:paraId="70477463" w14:textId="77777777" w:rsidR="008E4707" w:rsidRDefault="008E4707" w:rsidP="00FC09F8">
            <w:pPr>
              <w:pStyle w:val="3-BodyText"/>
              <w:numPr>
                <w:ilvl w:val="0"/>
                <w:numId w:val="0"/>
              </w:numPr>
              <w:spacing w:before="0" w:after="0"/>
              <w:rPr>
                <w:rFonts w:ascii="Arial Narrow" w:hAnsi="Arial Narrow"/>
                <w:sz w:val="20"/>
                <w:szCs w:val="20"/>
                <w:lang w:eastAsia="en-US"/>
              </w:rPr>
            </w:pPr>
          </w:p>
        </w:tc>
        <w:tc>
          <w:tcPr>
            <w:tcW w:w="1571" w:type="pct"/>
          </w:tcPr>
          <w:p w14:paraId="0048E232" w14:textId="574790BA" w:rsidR="008E4707" w:rsidRPr="005A2AF8" w:rsidRDefault="008E4707" w:rsidP="009E7A3A">
            <w:pPr>
              <w:pStyle w:val="3-BodyText"/>
              <w:numPr>
                <w:ilvl w:val="0"/>
                <w:numId w:val="0"/>
              </w:numPr>
              <w:spacing w:before="0" w:after="0"/>
              <w:rPr>
                <w:rFonts w:ascii="Arial Narrow" w:hAnsi="Arial Narrow"/>
                <w:sz w:val="20"/>
                <w:szCs w:val="20"/>
                <w:lang w:eastAsia="en-US"/>
              </w:rPr>
            </w:pPr>
            <w:r w:rsidRPr="0F278906">
              <w:rPr>
                <w:rFonts w:ascii="Arial Narrow" w:hAnsi="Arial Narrow"/>
                <w:sz w:val="20"/>
                <w:szCs w:val="20"/>
                <w:lang w:eastAsia="en-US"/>
              </w:rPr>
              <w:t>Mean LS change at Day 29</w:t>
            </w:r>
          </w:p>
        </w:tc>
        <w:tc>
          <w:tcPr>
            <w:tcW w:w="550" w:type="pct"/>
          </w:tcPr>
          <w:p w14:paraId="071A3EC2"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-3.5</w:t>
            </w:r>
          </w:p>
        </w:tc>
        <w:tc>
          <w:tcPr>
            <w:tcW w:w="707" w:type="pct"/>
          </w:tcPr>
          <w:p w14:paraId="14E63A80"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-3.6</w:t>
            </w:r>
          </w:p>
        </w:tc>
        <w:tc>
          <w:tcPr>
            <w:tcW w:w="1386" w:type="pct"/>
          </w:tcPr>
          <w:p w14:paraId="5F5EEDD2" w14:textId="77777777" w:rsidR="008E4707" w:rsidRPr="005A2AF8" w:rsidRDefault="008E4707" w:rsidP="009E7A3A">
            <w:pPr>
              <w:pStyle w:val="3-BodyText"/>
              <w:numPr>
                <w:ilvl w:val="0"/>
                <w:numId w:val="0"/>
              </w:numPr>
              <w:spacing w:before="0" w:after="0"/>
              <w:jc w:val="center"/>
              <w:rPr>
                <w:rFonts w:ascii="Arial Narrow" w:hAnsi="Arial Narrow"/>
                <w:sz w:val="20"/>
                <w:szCs w:val="20"/>
                <w:lang w:eastAsia="en-US"/>
              </w:rPr>
            </w:pPr>
            <w:r>
              <w:rPr>
                <w:rFonts w:ascii="Arial Narrow" w:hAnsi="Arial Narrow"/>
                <w:sz w:val="20"/>
                <w:szCs w:val="20"/>
                <w:lang w:eastAsia="en-US"/>
              </w:rPr>
              <w:t>-0.4 (-0.8, -0.0); 0.0278</w:t>
            </w:r>
          </w:p>
        </w:tc>
      </w:tr>
    </w:tbl>
    <w:p w14:paraId="4748C731" w14:textId="77777777" w:rsidR="009E7A3A" w:rsidRDefault="009E7A3A" w:rsidP="009E7A3A">
      <w:pPr>
        <w:pStyle w:val="3-BodyText"/>
        <w:numPr>
          <w:ilvl w:val="0"/>
          <w:numId w:val="0"/>
        </w:numPr>
        <w:spacing w:before="0" w:after="0"/>
        <w:ind w:left="720" w:hanging="720"/>
        <w:rPr>
          <w:rFonts w:ascii="Arial Narrow" w:hAnsi="Arial Narrow"/>
          <w:sz w:val="18"/>
          <w:szCs w:val="16"/>
          <w:lang w:eastAsia="en-US"/>
        </w:rPr>
      </w:pPr>
      <w:r w:rsidRPr="000645FE">
        <w:rPr>
          <w:rFonts w:ascii="Arial Narrow" w:hAnsi="Arial Narrow"/>
          <w:sz w:val="18"/>
          <w:szCs w:val="16"/>
          <w:lang w:eastAsia="en-US"/>
        </w:rPr>
        <w:t>Source: p9 of the Submission</w:t>
      </w:r>
    </w:p>
    <w:p w14:paraId="6BD5A2B5" w14:textId="20F289B9" w:rsidR="00881686" w:rsidRPr="000645FE" w:rsidRDefault="00881686" w:rsidP="009E7A3A">
      <w:pPr>
        <w:pStyle w:val="3-BodyText"/>
        <w:numPr>
          <w:ilvl w:val="0"/>
          <w:numId w:val="0"/>
        </w:numPr>
        <w:spacing w:before="0" w:after="0"/>
        <w:ind w:left="720" w:hanging="720"/>
        <w:rPr>
          <w:rFonts w:ascii="Arial Narrow" w:hAnsi="Arial Narrow"/>
          <w:sz w:val="18"/>
          <w:szCs w:val="16"/>
          <w:lang w:eastAsia="en-US"/>
        </w:rPr>
      </w:pPr>
      <w:r>
        <w:rPr>
          <w:rFonts w:ascii="Arial Narrow" w:hAnsi="Arial Narrow"/>
          <w:sz w:val="18"/>
          <w:szCs w:val="16"/>
          <w:lang w:eastAsia="en-US"/>
        </w:rPr>
        <w:t>Abbreviations: LS: least squares, CI: confidence interval</w:t>
      </w:r>
    </w:p>
    <w:p w14:paraId="2ED35D7B" w14:textId="55EDBE5D" w:rsidR="005A009C" w:rsidRDefault="00B2431F" w:rsidP="001F51B0">
      <w:pPr>
        <w:pStyle w:val="3-BodyText"/>
        <w:rPr>
          <w:lang w:eastAsia="en-US"/>
        </w:rPr>
      </w:pPr>
      <w:r w:rsidRPr="0F278906">
        <w:rPr>
          <w:lang w:eastAsia="en-US"/>
        </w:rPr>
        <w:t>Both trials reported a statistically significant reduction in tCFS</w:t>
      </w:r>
      <w:r w:rsidR="004059DA" w:rsidRPr="0F278906">
        <w:rPr>
          <w:lang w:eastAsia="en-US"/>
        </w:rPr>
        <w:t xml:space="preserve"> at Day 29 in favour o</w:t>
      </w:r>
      <w:r w:rsidR="00EE25BB" w:rsidRPr="0F278906">
        <w:rPr>
          <w:lang w:eastAsia="en-US"/>
        </w:rPr>
        <w:t>f</w:t>
      </w:r>
      <w:r w:rsidR="004059DA" w:rsidRPr="0F278906">
        <w:rPr>
          <w:lang w:eastAsia="en-US"/>
        </w:rPr>
        <w:t xml:space="preserve"> Vevye, with a l</w:t>
      </w:r>
      <w:r w:rsidR="00C72839" w:rsidRPr="0F278906">
        <w:rPr>
          <w:lang w:eastAsia="en-US"/>
        </w:rPr>
        <w:t xml:space="preserve">east square (LS) mean change from baseline </w:t>
      </w:r>
      <w:r w:rsidR="004059DA" w:rsidRPr="0F278906">
        <w:rPr>
          <w:lang w:eastAsia="en-US"/>
        </w:rPr>
        <w:t xml:space="preserve">of </w:t>
      </w:r>
      <w:r w:rsidR="00C72839" w:rsidRPr="0F278906">
        <w:rPr>
          <w:lang w:eastAsia="en-US"/>
        </w:rPr>
        <w:t>-0.8 (95% CI: -1.3, -0.4) in the ESSENCE-1 trial and -0.4 (95% CI -0.</w:t>
      </w:r>
      <w:r w:rsidR="00894394">
        <w:rPr>
          <w:lang w:eastAsia="en-US"/>
        </w:rPr>
        <w:t>8</w:t>
      </w:r>
      <w:r w:rsidR="00C72839" w:rsidRPr="0F278906">
        <w:rPr>
          <w:lang w:eastAsia="en-US"/>
        </w:rPr>
        <w:t>, -0.0) in the ESSENCE-2 trial</w:t>
      </w:r>
      <w:r w:rsidR="004059DA" w:rsidRPr="0F278906">
        <w:rPr>
          <w:lang w:eastAsia="en-US"/>
        </w:rPr>
        <w:t>.</w:t>
      </w:r>
    </w:p>
    <w:p w14:paraId="1AD2311A" w14:textId="14120151" w:rsidR="00F21350" w:rsidRDefault="00F21350" w:rsidP="001A09AD">
      <w:pPr>
        <w:pStyle w:val="3-BodyText"/>
        <w:rPr>
          <w:lang w:eastAsia="en-US"/>
        </w:rPr>
      </w:pPr>
      <w:r>
        <w:rPr>
          <w:lang w:eastAsia="en-US"/>
        </w:rPr>
        <w:t xml:space="preserve">The clinical </w:t>
      </w:r>
      <w:r w:rsidR="00F377BF">
        <w:rPr>
          <w:lang w:eastAsia="en-US"/>
        </w:rPr>
        <w:t xml:space="preserve">efficacy of </w:t>
      </w:r>
      <w:r w:rsidR="003926A4">
        <w:rPr>
          <w:lang w:eastAsia="en-US"/>
        </w:rPr>
        <w:t xml:space="preserve">Vevye </w:t>
      </w:r>
      <w:r w:rsidR="00F377BF">
        <w:rPr>
          <w:lang w:eastAsia="en-US"/>
        </w:rPr>
        <w:t xml:space="preserve">was </w:t>
      </w:r>
      <w:r w:rsidR="00F05FC0">
        <w:rPr>
          <w:lang w:eastAsia="en-US"/>
        </w:rPr>
        <w:t xml:space="preserve">also </w:t>
      </w:r>
      <w:r w:rsidR="00F377BF">
        <w:rPr>
          <w:lang w:eastAsia="en-US"/>
        </w:rPr>
        <w:t>assessed</w:t>
      </w:r>
      <w:r w:rsidR="001A09AD">
        <w:rPr>
          <w:lang w:eastAsia="en-US"/>
        </w:rPr>
        <w:t xml:space="preserve"> </w:t>
      </w:r>
      <w:r w:rsidR="001F51B0" w:rsidRPr="001F51B0">
        <w:rPr>
          <w:lang w:eastAsia="en-US"/>
        </w:rPr>
        <w:t xml:space="preserve">using </w:t>
      </w:r>
      <w:r w:rsidR="001A09AD" w:rsidRPr="001A09AD">
        <w:rPr>
          <w:lang w:eastAsia="en-US"/>
        </w:rPr>
        <w:t>primary symptom endpoints</w:t>
      </w:r>
      <w:r w:rsidR="001F51B0" w:rsidRPr="001F51B0">
        <w:rPr>
          <w:lang w:eastAsia="en-US"/>
        </w:rPr>
        <w:t xml:space="preserve">, including </w:t>
      </w:r>
      <w:r w:rsidR="001A09AD">
        <w:rPr>
          <w:lang w:eastAsia="en-US"/>
        </w:rPr>
        <w:t>ocular surface disease index (OSDI, range 0-100) in ESSENCE-1 and dryness score (visual analogue scale, range 0-100)</w:t>
      </w:r>
      <w:r w:rsidR="002F599C">
        <w:rPr>
          <w:lang w:eastAsia="en-US"/>
        </w:rPr>
        <w:t xml:space="preserve"> </w:t>
      </w:r>
      <w:r w:rsidR="002F599C" w:rsidRPr="002F599C">
        <w:rPr>
          <w:lang w:eastAsia="en-US"/>
        </w:rPr>
        <w:t>in ESSENCE- 2</w:t>
      </w:r>
      <w:r w:rsidR="001A09AD">
        <w:rPr>
          <w:lang w:eastAsia="en-US"/>
        </w:rPr>
        <w:t xml:space="preserve">. </w:t>
      </w:r>
      <w:r w:rsidR="00674717">
        <w:rPr>
          <w:lang w:eastAsia="en-US"/>
        </w:rPr>
        <w:t xml:space="preserve">Vevye showed non-statistically significant </w:t>
      </w:r>
      <w:r w:rsidR="00797F8C">
        <w:rPr>
          <w:lang w:eastAsia="en-US"/>
        </w:rPr>
        <w:t xml:space="preserve">improvements </w:t>
      </w:r>
      <w:r w:rsidR="00197243">
        <w:rPr>
          <w:lang w:eastAsia="en-US"/>
        </w:rPr>
        <w:t xml:space="preserve">in </w:t>
      </w:r>
      <w:r w:rsidR="002F599C">
        <w:rPr>
          <w:lang w:eastAsia="en-US"/>
        </w:rPr>
        <w:t xml:space="preserve">both endpoints compared to vehicle. </w:t>
      </w:r>
    </w:p>
    <w:p w14:paraId="577D5374" w14:textId="7FE5A672" w:rsidR="001F32EA" w:rsidRDefault="001F32EA" w:rsidP="001A09AD">
      <w:pPr>
        <w:pStyle w:val="3-BodyText"/>
        <w:rPr>
          <w:lang w:eastAsia="en-US"/>
        </w:rPr>
      </w:pPr>
      <w:r>
        <w:rPr>
          <w:lang w:eastAsia="en-US"/>
        </w:rPr>
        <w:t xml:space="preserve">ESSENCE-2-OLE did not have primary </w:t>
      </w:r>
      <w:r w:rsidR="00DA6E05">
        <w:rPr>
          <w:lang w:eastAsia="en-US"/>
        </w:rPr>
        <w:t xml:space="preserve">efficacy endpoints or a control group. </w:t>
      </w:r>
    </w:p>
    <w:p w14:paraId="0126F816" w14:textId="4CDAFF3F" w:rsidR="00D02463" w:rsidRPr="00881686" w:rsidRDefault="00D02463" w:rsidP="001A09AD">
      <w:pPr>
        <w:pStyle w:val="3-BodyText"/>
        <w:rPr>
          <w:i/>
          <w:iCs/>
          <w:lang w:eastAsia="en-US"/>
        </w:rPr>
      </w:pPr>
      <w:r w:rsidRPr="00881686">
        <w:rPr>
          <w:lang w:eastAsia="en-US"/>
        </w:rPr>
        <w:t xml:space="preserve">The submission </w:t>
      </w:r>
      <w:r w:rsidR="00F1431B" w:rsidRPr="00881686">
        <w:rPr>
          <w:lang w:eastAsia="en-US"/>
        </w:rPr>
        <w:t>stat</w:t>
      </w:r>
      <w:r w:rsidR="003A3E4C" w:rsidRPr="00881686">
        <w:rPr>
          <w:lang w:eastAsia="en-US"/>
        </w:rPr>
        <w:t>ed</w:t>
      </w:r>
      <w:r w:rsidRPr="00881686">
        <w:rPr>
          <w:lang w:eastAsia="en-US"/>
        </w:rPr>
        <w:t xml:space="preserve"> </w:t>
      </w:r>
      <w:r w:rsidR="004C357A" w:rsidRPr="00881686">
        <w:rPr>
          <w:lang w:eastAsia="en-US"/>
        </w:rPr>
        <w:t xml:space="preserve">that after 6 months, </w:t>
      </w:r>
      <w:r w:rsidR="00051DEC" w:rsidRPr="00881686">
        <w:rPr>
          <w:lang w:eastAsia="en-US"/>
        </w:rPr>
        <w:t>86.4% of patients using Vevye experienced a clinically meaningful</w:t>
      </w:r>
      <w:r w:rsidR="009B1DA9" w:rsidRPr="00881686">
        <w:rPr>
          <w:lang w:eastAsia="en-US"/>
        </w:rPr>
        <w:t xml:space="preserve"> corneal staining</w:t>
      </w:r>
      <w:r w:rsidR="00051DEC" w:rsidRPr="00881686">
        <w:rPr>
          <w:lang w:eastAsia="en-US"/>
        </w:rPr>
        <w:t xml:space="preserve"> improvement</w:t>
      </w:r>
      <w:r w:rsidR="00325001" w:rsidRPr="00881686">
        <w:rPr>
          <w:lang w:eastAsia="en-US"/>
        </w:rPr>
        <w:t xml:space="preserve"> (≥3 grades in tCFS)</w:t>
      </w:r>
      <w:r w:rsidR="00051DEC" w:rsidRPr="00881686">
        <w:rPr>
          <w:lang w:eastAsia="en-US"/>
        </w:rPr>
        <w:t xml:space="preserve"> and a 1% discontinuation rate, compared to </w:t>
      </w:r>
      <w:r w:rsidR="00325001" w:rsidRPr="00881686">
        <w:rPr>
          <w:lang w:eastAsia="en-US"/>
        </w:rPr>
        <w:t xml:space="preserve">28.6% of patients </w:t>
      </w:r>
      <w:r w:rsidR="00A075C8" w:rsidRPr="00881686">
        <w:rPr>
          <w:lang w:eastAsia="en-US"/>
        </w:rPr>
        <w:t xml:space="preserve">using Ikervis </w:t>
      </w:r>
      <w:r w:rsidR="00A80D51" w:rsidRPr="00881686">
        <w:rPr>
          <w:lang w:eastAsia="en-US"/>
        </w:rPr>
        <w:t xml:space="preserve">experiencing a </w:t>
      </w:r>
      <w:r w:rsidR="00A80D51" w:rsidRPr="00881686">
        <w:rPr>
          <w:lang w:eastAsia="en-US"/>
        </w:rPr>
        <w:lastRenderedPageBreak/>
        <w:t xml:space="preserve">clinically meaningful improvement </w:t>
      </w:r>
      <w:r w:rsidR="00171355" w:rsidRPr="00881686">
        <w:rPr>
          <w:lang w:eastAsia="en-US"/>
        </w:rPr>
        <w:t>(≥2 grades in CFS) and a 10-15% discontinuation rate using Ikervis</w:t>
      </w:r>
      <w:r w:rsidR="007A6576" w:rsidRPr="00881686">
        <w:rPr>
          <w:lang w:eastAsia="en-US"/>
        </w:rPr>
        <w:t xml:space="preserve"> (based on the SANSIKA </w:t>
      </w:r>
      <w:r w:rsidR="00FE772B" w:rsidRPr="00881686">
        <w:rPr>
          <w:lang w:eastAsia="en-US"/>
        </w:rPr>
        <w:t>trial</w:t>
      </w:r>
      <w:r w:rsidR="007A6576" w:rsidRPr="00881686">
        <w:rPr>
          <w:rStyle w:val="FootnoteReference"/>
          <w:lang w:eastAsia="en-US"/>
        </w:rPr>
        <w:footnoteReference w:id="2"/>
      </w:r>
      <w:r w:rsidR="007A6576" w:rsidRPr="00881686">
        <w:rPr>
          <w:lang w:eastAsia="en-US"/>
        </w:rPr>
        <w:t>)</w:t>
      </w:r>
      <w:r w:rsidR="00171355" w:rsidRPr="00881686">
        <w:rPr>
          <w:lang w:eastAsia="en-US"/>
        </w:rPr>
        <w:t>.</w:t>
      </w:r>
      <w:r w:rsidR="00344FCA" w:rsidRPr="00881686">
        <w:rPr>
          <w:i/>
          <w:iCs/>
          <w:lang w:eastAsia="en-US"/>
        </w:rPr>
        <w:t xml:space="preserve"> </w:t>
      </w:r>
    </w:p>
    <w:p w14:paraId="058972E5" w14:textId="77777777" w:rsidR="00C27C1C" w:rsidRDefault="00C27C1C" w:rsidP="00C27C1C">
      <w:pPr>
        <w:pStyle w:val="4-SubsectionHeading"/>
        <w:rPr>
          <w:lang w:eastAsia="en-US"/>
        </w:rPr>
      </w:pPr>
      <w:r w:rsidRPr="00A6439B">
        <w:rPr>
          <w:lang w:eastAsia="en-US"/>
        </w:rPr>
        <w:t>Comparative harms</w:t>
      </w:r>
    </w:p>
    <w:p w14:paraId="315C9269" w14:textId="77C97BF8" w:rsidR="009B36CB" w:rsidRDefault="000D2957" w:rsidP="009B36CB">
      <w:pPr>
        <w:pStyle w:val="3-BodyText"/>
        <w:keepNext/>
        <w:keepLines/>
        <w:rPr>
          <w:lang w:eastAsia="en-US"/>
        </w:rPr>
      </w:pPr>
      <w:r>
        <w:rPr>
          <w:lang w:eastAsia="en-US"/>
        </w:rPr>
        <w:t>Instillation</w:t>
      </w:r>
      <w:r w:rsidR="00F1431B">
        <w:rPr>
          <w:lang w:eastAsia="en-US"/>
        </w:rPr>
        <w:t>-</w:t>
      </w:r>
      <w:r>
        <w:rPr>
          <w:lang w:eastAsia="en-US"/>
        </w:rPr>
        <w:t xml:space="preserve">site pain (7.9%) and blurred vision (0.7%) were the most common ocular-related adverse events (AEs) in ESSENCE-1 and ESSENCE-2. </w:t>
      </w:r>
      <w:r w:rsidR="003A3E4C">
        <w:rPr>
          <w:lang w:eastAsia="en-US"/>
        </w:rPr>
        <w:t>The most common non</w:t>
      </w:r>
      <w:r w:rsidR="003A3E4C">
        <w:rPr>
          <w:lang w:eastAsia="en-US"/>
        </w:rPr>
        <w:noBreakHyphen/>
        <w:t>ocular AEs were seasonal infections (1.4% nasopharyngitis and 1.4% upper respiratory tract infection). AEs contributed to a discontinuation rate of 1%</w:t>
      </w:r>
      <w:r w:rsidR="00401B0B">
        <w:rPr>
          <w:lang w:eastAsia="en-US"/>
        </w:rPr>
        <w:t xml:space="preserve"> across the ESSENCE 1 and 2 studies.</w:t>
      </w:r>
    </w:p>
    <w:p w14:paraId="57A26110" w14:textId="402A360E" w:rsidR="00824CE5" w:rsidRDefault="00F1431B" w:rsidP="00824CE5">
      <w:pPr>
        <w:pStyle w:val="3-BodyText"/>
        <w:keepNext/>
        <w:keepLines/>
        <w:rPr>
          <w:lang w:eastAsia="en-US"/>
        </w:rPr>
      </w:pPr>
      <w:r>
        <w:rPr>
          <w:lang w:eastAsia="en-US"/>
        </w:rPr>
        <w:t>The submission compared rates of i</w:t>
      </w:r>
      <w:r w:rsidR="009B36CB">
        <w:rPr>
          <w:lang w:eastAsia="en-US"/>
        </w:rPr>
        <w:t>nstillation</w:t>
      </w:r>
      <w:r>
        <w:rPr>
          <w:lang w:eastAsia="en-US"/>
        </w:rPr>
        <w:t>-</w:t>
      </w:r>
      <w:r w:rsidR="009B36CB">
        <w:rPr>
          <w:lang w:eastAsia="en-US"/>
        </w:rPr>
        <w:t xml:space="preserve">site pain and </w:t>
      </w:r>
      <w:r w:rsidR="00E056D1">
        <w:rPr>
          <w:lang w:eastAsia="en-US"/>
        </w:rPr>
        <w:t>discontinuation due to AEs for Vevye, Iker</w:t>
      </w:r>
      <w:r w:rsidR="0021247E">
        <w:rPr>
          <w:lang w:eastAsia="en-US"/>
        </w:rPr>
        <w:t>v</w:t>
      </w:r>
      <w:r w:rsidR="00E056D1">
        <w:rPr>
          <w:lang w:eastAsia="en-US"/>
        </w:rPr>
        <w:t xml:space="preserve">is and Cequa from the </w:t>
      </w:r>
      <w:r w:rsidR="00824CE5">
        <w:rPr>
          <w:lang w:eastAsia="en-US"/>
        </w:rPr>
        <w:t xml:space="preserve">relevant Product Information leaflets (see </w:t>
      </w:r>
      <w:r w:rsidR="004B58C8">
        <w:rPr>
          <w:lang w:eastAsia="en-US"/>
        </w:rPr>
        <w:fldChar w:fldCharType="begin"/>
      </w:r>
      <w:r w:rsidR="004B58C8">
        <w:rPr>
          <w:lang w:eastAsia="en-US"/>
        </w:rPr>
        <w:instrText xml:space="preserve"> REF _Ref219989110 \h </w:instrText>
      </w:r>
      <w:r w:rsidR="004B58C8">
        <w:rPr>
          <w:lang w:eastAsia="en-US"/>
        </w:rPr>
      </w:r>
      <w:r w:rsidR="004B58C8">
        <w:rPr>
          <w:lang w:eastAsia="en-US"/>
        </w:rPr>
        <w:fldChar w:fldCharType="separate"/>
      </w:r>
      <w:r w:rsidR="00881686">
        <w:t xml:space="preserve">Table </w:t>
      </w:r>
      <w:r w:rsidR="00881686">
        <w:rPr>
          <w:noProof/>
        </w:rPr>
        <w:t>3</w:t>
      </w:r>
      <w:r w:rsidR="004B58C8">
        <w:rPr>
          <w:lang w:eastAsia="en-US"/>
        </w:rPr>
        <w:fldChar w:fldCharType="end"/>
      </w:r>
      <w:r w:rsidR="00824CE5">
        <w:rPr>
          <w:lang w:eastAsia="en-US"/>
        </w:rPr>
        <w:t>).</w:t>
      </w:r>
    </w:p>
    <w:p w14:paraId="7F7B34B2" w14:textId="38C8FC15" w:rsidR="004B58C8" w:rsidRDefault="00502990" w:rsidP="00502990">
      <w:pPr>
        <w:pStyle w:val="Caption"/>
      </w:pPr>
      <w:r>
        <w:t xml:space="preserve">Table </w:t>
      </w:r>
      <w:fldSimple w:instr=" SEQ Table \* ARABIC ">
        <w:r>
          <w:rPr>
            <w:noProof/>
          </w:rPr>
          <w:t>3</w:t>
        </w:r>
      </w:fldSimple>
      <w:r>
        <w:t xml:space="preserve">: Rates of instillation-site pain and discontinuation rate due to adverse events of </w:t>
      </w:r>
      <w:proofErr w:type="spellStart"/>
      <w:r>
        <w:t>Vevye</w:t>
      </w:r>
      <w:proofErr w:type="spellEnd"/>
      <w:r>
        <w:t xml:space="preserve">, </w:t>
      </w:r>
      <w:proofErr w:type="spellStart"/>
      <w:r>
        <w:t>Ikervis</w:t>
      </w:r>
      <w:proofErr w:type="spellEnd"/>
      <w:r>
        <w:t xml:space="preserve"> and </w:t>
      </w:r>
      <w:proofErr w:type="spellStart"/>
      <w:r>
        <w:t>Cequa</w:t>
      </w:r>
      <w:proofErr w:type="spellEnd"/>
    </w:p>
    <w:tbl>
      <w:tblPr>
        <w:tblStyle w:val="TableGrid"/>
        <w:tblW w:w="5000" w:type="pct"/>
        <w:tblLook w:val="04A0" w:firstRow="1" w:lastRow="0" w:firstColumn="1" w:lastColumn="0" w:noHBand="0" w:noVBand="1"/>
        <w:tblCaption w:val="Table 3: Rates of instillation-site pain and discontinuation rate due to adverse events of Vevye, Ikervis and Cequa"/>
      </w:tblPr>
      <w:tblGrid>
        <w:gridCol w:w="3541"/>
        <w:gridCol w:w="1843"/>
        <w:gridCol w:w="1843"/>
        <w:gridCol w:w="1789"/>
      </w:tblGrid>
      <w:tr w:rsidR="00177B23" w14:paraId="7258D5C4" w14:textId="77777777" w:rsidTr="00AE698F">
        <w:tc>
          <w:tcPr>
            <w:tcW w:w="1964" w:type="pct"/>
          </w:tcPr>
          <w:p w14:paraId="4CDA8E2F" w14:textId="77777777" w:rsidR="00824CE5" w:rsidRDefault="00824CE5" w:rsidP="004B58C8">
            <w:pPr>
              <w:pStyle w:val="TableText0"/>
              <w:rPr>
                <w:lang w:eastAsia="en-US"/>
              </w:rPr>
            </w:pPr>
          </w:p>
        </w:tc>
        <w:tc>
          <w:tcPr>
            <w:tcW w:w="1022" w:type="pct"/>
          </w:tcPr>
          <w:p w14:paraId="778D7571" w14:textId="3860152C" w:rsidR="00824CE5" w:rsidRPr="006C4118" w:rsidRDefault="00824CE5" w:rsidP="00894394">
            <w:pPr>
              <w:pStyle w:val="TableText0"/>
              <w:jc w:val="center"/>
              <w:rPr>
                <w:b/>
                <w:bCs w:val="0"/>
                <w:lang w:eastAsia="en-US"/>
              </w:rPr>
            </w:pPr>
            <w:r w:rsidRPr="006C4118">
              <w:rPr>
                <w:b/>
                <w:bCs w:val="0"/>
                <w:lang w:eastAsia="en-US"/>
              </w:rPr>
              <w:t>Vevy</w:t>
            </w:r>
            <w:r w:rsidR="006C4118" w:rsidRPr="006C4118">
              <w:rPr>
                <w:b/>
                <w:bCs w:val="0"/>
                <w:lang w:eastAsia="en-US"/>
              </w:rPr>
              <w:t>e</w:t>
            </w:r>
          </w:p>
        </w:tc>
        <w:tc>
          <w:tcPr>
            <w:tcW w:w="1022" w:type="pct"/>
          </w:tcPr>
          <w:p w14:paraId="08DF5E20" w14:textId="2597718E" w:rsidR="00824CE5" w:rsidRPr="006C4118" w:rsidRDefault="00824CE5" w:rsidP="00894394">
            <w:pPr>
              <w:pStyle w:val="TableText0"/>
              <w:jc w:val="center"/>
              <w:rPr>
                <w:b/>
                <w:bCs w:val="0"/>
                <w:lang w:eastAsia="en-US"/>
              </w:rPr>
            </w:pPr>
            <w:r w:rsidRPr="006C4118">
              <w:rPr>
                <w:b/>
                <w:bCs w:val="0"/>
                <w:lang w:eastAsia="en-US"/>
              </w:rPr>
              <w:t>Iker</w:t>
            </w:r>
            <w:r w:rsidR="0021247E" w:rsidRPr="006C4118">
              <w:rPr>
                <w:b/>
                <w:bCs w:val="0"/>
                <w:lang w:eastAsia="en-US"/>
              </w:rPr>
              <w:t>v</w:t>
            </w:r>
            <w:r w:rsidRPr="006C4118">
              <w:rPr>
                <w:b/>
                <w:bCs w:val="0"/>
                <w:lang w:eastAsia="en-US"/>
              </w:rPr>
              <w:t>is</w:t>
            </w:r>
          </w:p>
        </w:tc>
        <w:tc>
          <w:tcPr>
            <w:tcW w:w="993" w:type="pct"/>
          </w:tcPr>
          <w:p w14:paraId="7C2A9EA7" w14:textId="1137A0BA" w:rsidR="00824CE5" w:rsidRPr="006C4118" w:rsidRDefault="0021247E" w:rsidP="00894394">
            <w:pPr>
              <w:pStyle w:val="TableText0"/>
              <w:jc w:val="center"/>
              <w:rPr>
                <w:b/>
                <w:bCs w:val="0"/>
                <w:lang w:eastAsia="en-US"/>
              </w:rPr>
            </w:pPr>
            <w:r w:rsidRPr="006C4118">
              <w:rPr>
                <w:b/>
                <w:bCs w:val="0"/>
                <w:lang w:eastAsia="en-US"/>
              </w:rPr>
              <w:t>Cequa</w:t>
            </w:r>
          </w:p>
        </w:tc>
      </w:tr>
      <w:tr w:rsidR="00177B23" w14:paraId="7A1052F8" w14:textId="77777777" w:rsidTr="00AE698F">
        <w:tc>
          <w:tcPr>
            <w:tcW w:w="1964" w:type="pct"/>
          </w:tcPr>
          <w:p w14:paraId="73F2CDB0" w14:textId="33E55B9E" w:rsidR="00824CE5" w:rsidRPr="006C4118" w:rsidRDefault="0021247E" w:rsidP="004B58C8">
            <w:pPr>
              <w:pStyle w:val="TableText0"/>
              <w:rPr>
                <w:b/>
                <w:bCs w:val="0"/>
                <w:lang w:eastAsia="en-US"/>
              </w:rPr>
            </w:pPr>
            <w:r w:rsidRPr="006C4118">
              <w:rPr>
                <w:b/>
                <w:bCs w:val="0"/>
                <w:lang w:eastAsia="en-US"/>
              </w:rPr>
              <w:t>Instillation site pain, %</w:t>
            </w:r>
          </w:p>
        </w:tc>
        <w:tc>
          <w:tcPr>
            <w:tcW w:w="1022" w:type="pct"/>
          </w:tcPr>
          <w:p w14:paraId="44C9D3AC" w14:textId="609A287E" w:rsidR="00824CE5" w:rsidRDefault="007D1F55" w:rsidP="00894394">
            <w:pPr>
              <w:pStyle w:val="TableText0"/>
              <w:jc w:val="center"/>
              <w:rPr>
                <w:lang w:eastAsia="en-US"/>
              </w:rPr>
            </w:pPr>
            <w:r>
              <w:rPr>
                <w:lang w:eastAsia="en-US"/>
              </w:rPr>
              <w:t>7.9%</w:t>
            </w:r>
          </w:p>
        </w:tc>
        <w:tc>
          <w:tcPr>
            <w:tcW w:w="1022" w:type="pct"/>
          </w:tcPr>
          <w:p w14:paraId="0DCA3558" w14:textId="04F8F6AE" w:rsidR="00824CE5" w:rsidRDefault="007D1F55" w:rsidP="00894394">
            <w:pPr>
              <w:pStyle w:val="TableText0"/>
              <w:jc w:val="center"/>
              <w:rPr>
                <w:lang w:eastAsia="en-US"/>
              </w:rPr>
            </w:pPr>
            <w:r>
              <w:rPr>
                <w:lang w:eastAsia="en-US"/>
              </w:rPr>
              <w:t>19%</w:t>
            </w:r>
          </w:p>
        </w:tc>
        <w:tc>
          <w:tcPr>
            <w:tcW w:w="993" w:type="pct"/>
          </w:tcPr>
          <w:p w14:paraId="216D2BDD" w14:textId="1CB97DDC" w:rsidR="00824CE5" w:rsidRDefault="007D1F55" w:rsidP="00894394">
            <w:pPr>
              <w:pStyle w:val="TableText0"/>
              <w:jc w:val="center"/>
              <w:rPr>
                <w:lang w:eastAsia="en-US"/>
              </w:rPr>
            </w:pPr>
            <w:r>
              <w:rPr>
                <w:lang w:eastAsia="en-US"/>
              </w:rPr>
              <w:t>21.8%</w:t>
            </w:r>
          </w:p>
        </w:tc>
      </w:tr>
      <w:tr w:rsidR="00177B23" w14:paraId="2C3979C5" w14:textId="77777777" w:rsidTr="00AE698F">
        <w:tc>
          <w:tcPr>
            <w:tcW w:w="1964" w:type="pct"/>
          </w:tcPr>
          <w:p w14:paraId="38B7478F" w14:textId="060FDAE7" w:rsidR="00824CE5" w:rsidRPr="006C4118" w:rsidRDefault="0021247E" w:rsidP="004B58C8">
            <w:pPr>
              <w:pStyle w:val="TableText0"/>
              <w:rPr>
                <w:b/>
                <w:bCs w:val="0"/>
                <w:lang w:eastAsia="en-US"/>
              </w:rPr>
            </w:pPr>
            <w:r w:rsidRPr="006C4118">
              <w:rPr>
                <w:b/>
                <w:bCs w:val="0"/>
                <w:lang w:eastAsia="en-US"/>
              </w:rPr>
              <w:t>Discontinuation rate</w:t>
            </w:r>
            <w:r w:rsidR="007D1F55" w:rsidRPr="006C4118">
              <w:rPr>
                <w:b/>
                <w:bCs w:val="0"/>
                <w:lang w:eastAsia="en-US"/>
              </w:rPr>
              <w:t xml:space="preserve"> due to AEs, %</w:t>
            </w:r>
          </w:p>
        </w:tc>
        <w:tc>
          <w:tcPr>
            <w:tcW w:w="1022" w:type="pct"/>
          </w:tcPr>
          <w:p w14:paraId="6A4105E6" w14:textId="5E5BB91B" w:rsidR="00824CE5" w:rsidRDefault="007D1F55" w:rsidP="00894394">
            <w:pPr>
              <w:pStyle w:val="TableText0"/>
              <w:jc w:val="center"/>
              <w:rPr>
                <w:lang w:eastAsia="en-US"/>
              </w:rPr>
            </w:pPr>
            <w:r>
              <w:rPr>
                <w:lang w:eastAsia="en-US"/>
              </w:rPr>
              <w:t>1%</w:t>
            </w:r>
          </w:p>
        </w:tc>
        <w:tc>
          <w:tcPr>
            <w:tcW w:w="1022" w:type="pct"/>
          </w:tcPr>
          <w:p w14:paraId="5B8C374C" w14:textId="3B318909" w:rsidR="00824CE5" w:rsidRDefault="009948C2" w:rsidP="00894394">
            <w:pPr>
              <w:pStyle w:val="TableText0"/>
              <w:jc w:val="center"/>
              <w:rPr>
                <w:lang w:eastAsia="en-US"/>
              </w:rPr>
            </w:pPr>
            <w:r>
              <w:rPr>
                <w:lang w:eastAsia="en-US"/>
              </w:rPr>
              <w:t>10-15%</w:t>
            </w:r>
          </w:p>
        </w:tc>
        <w:tc>
          <w:tcPr>
            <w:tcW w:w="993" w:type="pct"/>
          </w:tcPr>
          <w:p w14:paraId="2D324A48" w14:textId="5C2B4F80" w:rsidR="00824CE5" w:rsidRDefault="009948C2" w:rsidP="00894394">
            <w:pPr>
              <w:pStyle w:val="TableText0"/>
              <w:jc w:val="center"/>
              <w:rPr>
                <w:lang w:eastAsia="en-US"/>
              </w:rPr>
            </w:pPr>
            <w:r>
              <w:rPr>
                <w:lang w:eastAsia="en-US"/>
              </w:rPr>
              <w:t>4.2%</w:t>
            </w:r>
          </w:p>
        </w:tc>
      </w:tr>
    </w:tbl>
    <w:p w14:paraId="49F50D6B" w14:textId="3B4C4CB8" w:rsidR="00824CE5" w:rsidRDefault="004B58C8" w:rsidP="00894394">
      <w:pPr>
        <w:pStyle w:val="3-BodyText"/>
        <w:keepNext/>
        <w:keepLines/>
        <w:numPr>
          <w:ilvl w:val="0"/>
          <w:numId w:val="0"/>
        </w:numPr>
        <w:spacing w:before="0" w:after="0"/>
        <w:rPr>
          <w:rFonts w:ascii="Arial Narrow" w:hAnsi="Arial Narrow"/>
          <w:sz w:val="18"/>
          <w:szCs w:val="18"/>
          <w:lang w:eastAsia="en-US"/>
        </w:rPr>
      </w:pPr>
      <w:r w:rsidRPr="004B58C8">
        <w:rPr>
          <w:rFonts w:ascii="Arial Narrow" w:hAnsi="Arial Narrow"/>
          <w:sz w:val="18"/>
          <w:szCs w:val="18"/>
          <w:lang w:eastAsia="en-US"/>
        </w:rPr>
        <w:t>Source: p10 of the Submission</w:t>
      </w:r>
    </w:p>
    <w:p w14:paraId="7D9D2EB9" w14:textId="3BDB7C32" w:rsidR="00894394" w:rsidRPr="004B58C8" w:rsidRDefault="00894394" w:rsidP="00894394">
      <w:pPr>
        <w:pStyle w:val="3-BodyText"/>
        <w:keepNext/>
        <w:keepLines/>
        <w:numPr>
          <w:ilvl w:val="0"/>
          <w:numId w:val="0"/>
        </w:numPr>
        <w:spacing w:before="0" w:after="0"/>
        <w:rPr>
          <w:rFonts w:ascii="Arial Narrow" w:hAnsi="Arial Narrow"/>
          <w:sz w:val="18"/>
          <w:szCs w:val="18"/>
          <w:lang w:eastAsia="en-US"/>
        </w:rPr>
      </w:pPr>
      <w:r>
        <w:rPr>
          <w:rFonts w:ascii="Arial Narrow" w:hAnsi="Arial Narrow"/>
          <w:sz w:val="18"/>
          <w:szCs w:val="18"/>
          <w:lang w:eastAsia="en-US"/>
        </w:rPr>
        <w:t>Abbreviations: AE = adverse event</w:t>
      </w:r>
    </w:p>
    <w:p w14:paraId="495E5ACC" w14:textId="6197D814" w:rsidR="005A009C" w:rsidRDefault="001D00A1" w:rsidP="00344FCA">
      <w:pPr>
        <w:pStyle w:val="3-BodyText"/>
        <w:keepNext/>
        <w:keepLines/>
        <w:rPr>
          <w:lang w:eastAsia="en-US"/>
        </w:rPr>
      </w:pPr>
      <w:r>
        <w:rPr>
          <w:lang w:eastAsia="en-US"/>
        </w:rPr>
        <w:t>S</w:t>
      </w:r>
      <w:r w:rsidDel="000D2957">
        <w:rPr>
          <w:lang w:eastAsia="en-US"/>
        </w:rPr>
        <w:t xml:space="preserve">ite </w:t>
      </w:r>
      <w:r w:rsidR="0091319A" w:rsidDel="000D2957">
        <w:rPr>
          <w:lang w:eastAsia="en-US"/>
        </w:rPr>
        <w:t>pain and b</w:t>
      </w:r>
      <w:r>
        <w:rPr>
          <w:lang w:eastAsia="en-US"/>
        </w:rPr>
        <w:t>l</w:t>
      </w:r>
      <w:r w:rsidR="0091319A" w:rsidDel="000D2957">
        <w:rPr>
          <w:lang w:eastAsia="en-US"/>
        </w:rPr>
        <w:t xml:space="preserve">urred vision were the most common </w:t>
      </w:r>
      <w:r w:rsidR="00CF2E7B" w:rsidDel="000D2957">
        <w:rPr>
          <w:lang w:eastAsia="en-US"/>
        </w:rPr>
        <w:t xml:space="preserve">ocular-related </w:t>
      </w:r>
      <w:r w:rsidR="0091319A" w:rsidDel="000D2957">
        <w:rPr>
          <w:lang w:eastAsia="en-US"/>
        </w:rPr>
        <w:t>adverse events</w:t>
      </w:r>
      <w:r w:rsidR="000207D3" w:rsidDel="000D2957">
        <w:rPr>
          <w:lang w:eastAsia="en-US"/>
        </w:rPr>
        <w:t xml:space="preserve"> (AEs)</w:t>
      </w:r>
      <w:r w:rsidR="0091319A" w:rsidDel="000D2957">
        <w:rPr>
          <w:lang w:eastAsia="en-US"/>
        </w:rPr>
        <w:t xml:space="preserve"> in ESSENCE-1 and ESSENCE-2</w:t>
      </w:r>
      <w:r w:rsidR="00CF2E7B" w:rsidDel="000D2957">
        <w:rPr>
          <w:lang w:eastAsia="en-US"/>
        </w:rPr>
        <w:t xml:space="preserve">. </w:t>
      </w:r>
      <w:r w:rsidR="00C81446">
        <w:rPr>
          <w:lang w:eastAsia="en-US"/>
        </w:rPr>
        <w:t xml:space="preserve">The submission stated that </w:t>
      </w:r>
      <w:r w:rsidR="000564C3">
        <w:rPr>
          <w:lang w:eastAsia="en-US"/>
        </w:rPr>
        <w:t>Vevye appears to offer a more favourable tolerability profile, which may translate into better patient compliance.</w:t>
      </w:r>
    </w:p>
    <w:p w14:paraId="2CDF3682" w14:textId="6034C93E" w:rsidR="00C27C1C" w:rsidRPr="00A6439B" w:rsidRDefault="00C27C1C" w:rsidP="00C27C1C">
      <w:pPr>
        <w:pStyle w:val="4-SubsectionHeading"/>
        <w:rPr>
          <w:lang w:eastAsia="en-US"/>
        </w:rPr>
      </w:pPr>
      <w:r w:rsidRPr="00A6439B">
        <w:rPr>
          <w:lang w:eastAsia="en-US"/>
        </w:rPr>
        <w:t>Clinical claim</w:t>
      </w:r>
      <w:r w:rsidR="00BC0E42">
        <w:rPr>
          <w:lang w:eastAsia="en-US"/>
        </w:rPr>
        <w:t>s</w:t>
      </w:r>
    </w:p>
    <w:p w14:paraId="0436CFE0" w14:textId="202E18EF" w:rsidR="00C27C1C" w:rsidRPr="00C952C9" w:rsidRDefault="008732CF" w:rsidP="00192106">
      <w:pPr>
        <w:pStyle w:val="3-BodyText"/>
      </w:pPr>
      <w:r>
        <w:t>T</w:t>
      </w:r>
      <w:r w:rsidR="00C27C1C" w:rsidRPr="00C952C9">
        <w:t>he submission claim</w:t>
      </w:r>
      <w:r w:rsidR="004E22C7">
        <w:t>ed</w:t>
      </w:r>
      <w:r w:rsidR="00C27C1C" w:rsidRPr="00C952C9">
        <w:t xml:space="preserve"> </w:t>
      </w:r>
      <w:r w:rsidR="005C7998">
        <w:t>that</w:t>
      </w:r>
      <w:r w:rsidR="004E22C7">
        <w:t xml:space="preserve"> </w:t>
      </w:r>
      <w:r w:rsidR="00CF49F4">
        <w:t xml:space="preserve">compared to Ikervis and Cequa, </w:t>
      </w:r>
      <w:r w:rsidR="004E22C7">
        <w:t>Vevye</w:t>
      </w:r>
      <w:r w:rsidR="00460388">
        <w:t xml:space="preserve"> offers comparable efficacy in </w:t>
      </w:r>
      <w:r w:rsidR="009D76DA">
        <w:t xml:space="preserve">the treatment of </w:t>
      </w:r>
      <w:r w:rsidR="003F392A">
        <w:t xml:space="preserve">the </w:t>
      </w:r>
      <w:r w:rsidR="00460388">
        <w:t>clinical signs of dry eye disease an</w:t>
      </w:r>
      <w:r w:rsidR="00894394">
        <w:t>d</w:t>
      </w:r>
      <w:r w:rsidR="00460388">
        <w:t xml:space="preserve"> may provide improved tolerability, with lower rates of instillation-site pain and treatment discontinuation</w:t>
      </w:r>
      <w:r w:rsidR="008675DD" w:rsidRPr="00C952C9">
        <w:t xml:space="preserve">. </w:t>
      </w:r>
    </w:p>
    <w:p w14:paraId="3CA5D3BA" w14:textId="77777777" w:rsidR="00E17DD8" w:rsidRDefault="00655657" w:rsidP="00562212">
      <w:pPr>
        <w:pStyle w:val="3-BodyText"/>
        <w:keepLines/>
      </w:pPr>
      <w:r w:rsidRPr="00203FFC">
        <w:t>Noting that n</w:t>
      </w:r>
      <w:r w:rsidR="008732CF" w:rsidRPr="00203FFC">
        <w:t>o comparative evidence was provided</w:t>
      </w:r>
      <w:r w:rsidR="00B32E6C" w:rsidRPr="00203FFC">
        <w:t xml:space="preserve"> in</w:t>
      </w:r>
      <w:r w:rsidR="008732CF" w:rsidRPr="00203FFC">
        <w:t xml:space="preserve"> t</w:t>
      </w:r>
      <w:r w:rsidR="00AB3A44" w:rsidRPr="00203FFC">
        <w:t>he submission</w:t>
      </w:r>
      <w:r w:rsidR="00AB3A44" w:rsidRPr="00203FFC" w:rsidDel="009A2D96">
        <w:t xml:space="preserve"> </w:t>
      </w:r>
      <w:r w:rsidR="00B32E6C" w:rsidRPr="00203FFC" w:rsidDel="009A2D96">
        <w:t xml:space="preserve">to support </w:t>
      </w:r>
      <w:r w:rsidR="00F51CE7" w:rsidRPr="00203FFC" w:rsidDel="009A2D96">
        <w:t xml:space="preserve">the clinical </w:t>
      </w:r>
      <w:r w:rsidR="00AB3A44" w:rsidRPr="00203FFC" w:rsidDel="009A2D96">
        <w:t>claim</w:t>
      </w:r>
      <w:r w:rsidRPr="00203FFC">
        <w:t>, the PBAC</w:t>
      </w:r>
      <w:r w:rsidR="00C05D20">
        <w:t xml:space="preserve"> </w:t>
      </w:r>
      <w:r w:rsidRPr="00203FFC">
        <w:t>considered that</w:t>
      </w:r>
      <w:r w:rsidR="009E0253">
        <w:t xml:space="preserve">, based on the </w:t>
      </w:r>
      <w:r w:rsidR="004B6727">
        <w:t xml:space="preserve">previous decision </w:t>
      </w:r>
      <w:r w:rsidR="00D8676E">
        <w:t xml:space="preserve">that </w:t>
      </w:r>
      <w:r w:rsidR="00D55086">
        <w:t xml:space="preserve">Ikervis was </w:t>
      </w:r>
      <w:r w:rsidR="00211720">
        <w:t>non-inferior to Cequa,</w:t>
      </w:r>
      <w:r w:rsidRPr="00203FFC">
        <w:t xml:space="preserve"> </w:t>
      </w:r>
      <w:r w:rsidR="00F86755" w:rsidRPr="00203FFC">
        <w:t>it was likely</w:t>
      </w:r>
      <w:r w:rsidR="00C85D87" w:rsidRPr="00203FFC">
        <w:t xml:space="preserve"> that Vevye was comparable to Ikervis and Cequa in terms of </w:t>
      </w:r>
      <w:r w:rsidR="009A2D96" w:rsidRPr="00203FFC">
        <w:t>efficacy and safety</w:t>
      </w:r>
      <w:r w:rsidR="00F51CE7" w:rsidRPr="00203FFC">
        <w:t>.</w:t>
      </w:r>
      <w:r w:rsidR="00AB3A44" w:rsidRPr="00203FFC">
        <w:t xml:space="preserve"> </w:t>
      </w:r>
    </w:p>
    <w:p w14:paraId="45D181E4" w14:textId="47F5D2D3" w:rsidR="00C27C1C" w:rsidRPr="00A6439B" w:rsidRDefault="00C27C1C" w:rsidP="00E17DD8">
      <w:pPr>
        <w:pStyle w:val="4-SubsectionHeading"/>
      </w:pPr>
      <w:r w:rsidRPr="00A6439B">
        <w:rPr>
          <w:lang w:eastAsia="en-US"/>
        </w:rPr>
        <w:t xml:space="preserve">Economic analysis </w:t>
      </w:r>
    </w:p>
    <w:p w14:paraId="0DDDB01D" w14:textId="0E11F92F" w:rsidR="00D537F5" w:rsidRPr="00D91AA9" w:rsidRDefault="00C27C1C" w:rsidP="0020465D">
      <w:pPr>
        <w:pStyle w:val="3-BodyText"/>
      </w:pPr>
      <w:r w:rsidRPr="00881686">
        <w:t xml:space="preserve">The submission presented a </w:t>
      </w:r>
      <w:r w:rsidR="00177B23" w:rsidRPr="00881686">
        <w:t xml:space="preserve">simple </w:t>
      </w:r>
      <w:r w:rsidRPr="00881686">
        <w:t>cost-minimisation a</w:t>
      </w:r>
      <w:r w:rsidR="00600A18" w:rsidRPr="00881686">
        <w:t>pproach</w:t>
      </w:r>
      <w:r w:rsidRPr="00881686">
        <w:t xml:space="preserve"> </w:t>
      </w:r>
      <w:r w:rsidR="00012EDE" w:rsidRPr="00881686">
        <w:t>b</w:t>
      </w:r>
      <w:r w:rsidR="00177B23" w:rsidRPr="00881686">
        <w:t xml:space="preserve">ased on the ex-manufacturer price of </w:t>
      </w:r>
      <w:r w:rsidR="00B0478C" w:rsidRPr="00881686">
        <w:t xml:space="preserve">Ikervis and Cequa to determine the price of </w:t>
      </w:r>
      <w:proofErr w:type="spellStart"/>
      <w:r w:rsidR="00517A55" w:rsidRPr="00881686">
        <w:t>Vevye</w:t>
      </w:r>
      <w:proofErr w:type="spellEnd"/>
      <w:r w:rsidRPr="00881686">
        <w:t xml:space="preserve"> </w:t>
      </w:r>
      <w:r w:rsidR="00ED394D" w:rsidRPr="00881686">
        <w:t>(</w:t>
      </w:r>
      <w:r w:rsidR="00881686">
        <w:fldChar w:fldCharType="begin"/>
      </w:r>
      <w:r w:rsidR="00881686">
        <w:instrText xml:space="preserve"> REF _Ref220417254 \h </w:instrText>
      </w:r>
      <w:r w:rsidR="00881686">
        <w:fldChar w:fldCharType="separate"/>
      </w:r>
      <w:r w:rsidR="00881686">
        <w:t xml:space="preserve">Table </w:t>
      </w:r>
      <w:r w:rsidR="00881686">
        <w:rPr>
          <w:noProof/>
        </w:rPr>
        <w:t>4</w:t>
      </w:r>
      <w:r w:rsidR="00881686">
        <w:fldChar w:fldCharType="end"/>
      </w:r>
      <w:r w:rsidR="00ED394D" w:rsidRPr="00881686">
        <w:t>)</w:t>
      </w:r>
      <w:r w:rsidR="00517A55" w:rsidRPr="00881686">
        <w:t>.</w:t>
      </w:r>
      <w:r w:rsidRPr="00881686">
        <w:t xml:space="preserve"> </w:t>
      </w:r>
      <w:r w:rsidR="008878DC" w:rsidRPr="00D91AA9">
        <w:t xml:space="preserve">The submission did not present equi-effective doses but assumed that </w:t>
      </w:r>
      <w:r w:rsidR="008E2804" w:rsidRPr="00D91AA9">
        <w:t xml:space="preserve">the </w:t>
      </w:r>
      <w:r w:rsidR="00A4114A" w:rsidRPr="00D91AA9">
        <w:t>daily dose of Vevye was equivalent to the daily dose of Ikervis or Cequa.</w:t>
      </w:r>
      <w:r w:rsidR="00D673FC" w:rsidRPr="00D91AA9">
        <w:t xml:space="preserve"> The </w:t>
      </w:r>
      <w:r w:rsidR="00D537F5" w:rsidRPr="00D91AA9">
        <w:t xml:space="preserve">assumed equi-effective doses </w:t>
      </w:r>
      <w:r w:rsidR="00402B8F" w:rsidRPr="00D91AA9">
        <w:t>were</w:t>
      </w:r>
      <w:r w:rsidR="00D537F5" w:rsidRPr="00D91AA9">
        <w:t>:</w:t>
      </w:r>
    </w:p>
    <w:p w14:paraId="04C115DC" w14:textId="0961EDA8" w:rsidR="00D537F5" w:rsidRPr="00683DE5" w:rsidRDefault="006665AB" w:rsidP="00E91529">
      <w:pPr>
        <w:pStyle w:val="3-BodyText"/>
        <w:numPr>
          <w:ilvl w:val="0"/>
          <w:numId w:val="0"/>
        </w:numPr>
        <w:spacing w:before="0" w:after="60"/>
        <w:ind w:left="720"/>
      </w:pPr>
      <w:r w:rsidRPr="00D91AA9">
        <w:lastRenderedPageBreak/>
        <w:t>1 mg per mL</w:t>
      </w:r>
      <w:r w:rsidR="0020465D" w:rsidRPr="00D91AA9">
        <w:t xml:space="preserve"> ciclosporin one drop twice daily (Ve</w:t>
      </w:r>
      <w:r w:rsidR="00F8115F">
        <w:rPr>
          <w:iCs/>
        </w:rPr>
        <w:t>v</w:t>
      </w:r>
      <w:r w:rsidR="0020465D" w:rsidRPr="00D91AA9">
        <w:t>ye</w:t>
      </w:r>
      <w:r w:rsidR="0020465D" w:rsidRPr="00683DE5">
        <w:t>)</w:t>
      </w:r>
      <w:r w:rsidR="00683DE5">
        <w:rPr>
          <w:iCs/>
        </w:rPr>
        <w:t xml:space="preserve"> =</w:t>
      </w:r>
    </w:p>
    <w:p w14:paraId="0C072DFD" w14:textId="4D1E5E1A" w:rsidR="00D537F5" w:rsidRPr="00683DE5" w:rsidRDefault="00D537F5" w:rsidP="00E91529">
      <w:pPr>
        <w:pStyle w:val="3-BodyText"/>
        <w:numPr>
          <w:ilvl w:val="0"/>
          <w:numId w:val="0"/>
        </w:numPr>
        <w:spacing w:before="0" w:after="60"/>
        <w:ind w:left="720"/>
      </w:pPr>
      <w:r w:rsidRPr="00683DE5">
        <w:t xml:space="preserve">1 mg per mL ciclosporin one 0.3 mL ampoule </w:t>
      </w:r>
      <w:r w:rsidR="0034565E" w:rsidRPr="00683DE5">
        <w:t>(i.e. one drop)</w:t>
      </w:r>
      <w:r w:rsidRPr="00683DE5">
        <w:t xml:space="preserve"> once daily (Ikervis)</w:t>
      </w:r>
      <w:r w:rsidR="00683DE5">
        <w:rPr>
          <w:iCs/>
        </w:rPr>
        <w:t xml:space="preserve"> =</w:t>
      </w:r>
    </w:p>
    <w:p w14:paraId="45A3696F" w14:textId="6CA793D8" w:rsidR="00D537F5" w:rsidRPr="00D91AA9" w:rsidRDefault="006665AB" w:rsidP="00E91529">
      <w:pPr>
        <w:pStyle w:val="3-BodyText"/>
        <w:numPr>
          <w:ilvl w:val="0"/>
          <w:numId w:val="0"/>
        </w:numPr>
        <w:spacing w:before="0" w:after="60"/>
        <w:ind w:left="720"/>
      </w:pPr>
      <w:r w:rsidRPr="00683DE5">
        <w:t xml:space="preserve">900 </w:t>
      </w:r>
      <w:r w:rsidR="00683DE5">
        <w:rPr>
          <w:iCs/>
        </w:rPr>
        <w:t>mcg</w:t>
      </w:r>
      <w:r w:rsidRPr="00683DE5">
        <w:t xml:space="preserve"> per mL</w:t>
      </w:r>
      <w:r w:rsidR="0020465D" w:rsidRPr="00683DE5">
        <w:t xml:space="preserve"> ciclosporin one </w:t>
      </w:r>
      <w:r w:rsidR="00D537F5" w:rsidRPr="00683DE5">
        <w:t xml:space="preserve">0.25 mL ampoule </w:t>
      </w:r>
      <w:r w:rsidR="0034565E" w:rsidRPr="00D91AA9">
        <w:t>(i.e. one drop)</w:t>
      </w:r>
      <w:r w:rsidR="00D537F5" w:rsidRPr="00D91AA9">
        <w:t xml:space="preserve"> </w:t>
      </w:r>
      <w:r w:rsidR="0020465D" w:rsidRPr="00D91AA9">
        <w:t>twice daily (</w:t>
      </w:r>
      <w:r w:rsidR="0075219C" w:rsidRPr="00D91AA9">
        <w:t>Cequa)</w:t>
      </w:r>
    </w:p>
    <w:p w14:paraId="1635F7A5" w14:textId="31959C93" w:rsidR="00881686" w:rsidRDefault="00502990" w:rsidP="00502990">
      <w:pPr>
        <w:pStyle w:val="Caption"/>
      </w:pPr>
      <w:r>
        <w:t xml:space="preserve">Table </w:t>
      </w:r>
      <w:fldSimple w:instr=" SEQ Table \* ARABIC ">
        <w:r>
          <w:rPr>
            <w:noProof/>
          </w:rPr>
          <w:t>4</w:t>
        </w:r>
      </w:fldSimple>
      <w:r>
        <w:t>:</w:t>
      </w:r>
      <w:r w:rsidRPr="007232A1">
        <w:t xml:space="preserve"> Cost-minimisation approach of </w:t>
      </w:r>
      <w:proofErr w:type="spellStart"/>
      <w:r w:rsidRPr="007232A1">
        <w:t>Vevye</w:t>
      </w:r>
      <w:proofErr w:type="spellEnd"/>
      <w:r w:rsidRPr="007232A1">
        <w:t xml:space="preserve"> vs. </w:t>
      </w:r>
      <w:proofErr w:type="spellStart"/>
      <w:r w:rsidRPr="007232A1">
        <w:t>Ikervis</w:t>
      </w:r>
      <w:proofErr w:type="spellEnd"/>
      <w:r w:rsidRPr="007232A1">
        <w:t xml:space="preserve"> and </w:t>
      </w:r>
      <w:proofErr w:type="spellStart"/>
      <w:r w:rsidRPr="007232A1">
        <w:t>Cequa</w:t>
      </w:r>
      <w:proofErr w:type="spellEnd"/>
    </w:p>
    <w:tbl>
      <w:tblPr>
        <w:tblStyle w:val="TableGrid"/>
        <w:tblW w:w="5000" w:type="pct"/>
        <w:tblLook w:val="04A0" w:firstRow="1" w:lastRow="0" w:firstColumn="1" w:lastColumn="0" w:noHBand="0" w:noVBand="1"/>
        <w:tblCaption w:val="Table 4: Cost-minimisation approach of Vevye vs. Ikervis and Cequa"/>
      </w:tblPr>
      <w:tblGrid>
        <w:gridCol w:w="2829"/>
        <w:gridCol w:w="1700"/>
        <w:gridCol w:w="2128"/>
        <w:gridCol w:w="2359"/>
      </w:tblGrid>
      <w:tr w:rsidR="009174E9" w14:paraId="26C7E407" w14:textId="2DA7EBA6" w:rsidTr="00AE698F">
        <w:tc>
          <w:tcPr>
            <w:tcW w:w="1569" w:type="pct"/>
          </w:tcPr>
          <w:p w14:paraId="5BC4258C" w14:textId="77777777" w:rsidR="009174E9" w:rsidRPr="007A467F" w:rsidRDefault="009174E9" w:rsidP="009174E9">
            <w:pPr>
              <w:keepNext/>
              <w:keepLines/>
              <w:widowControl w:val="0"/>
              <w:rPr>
                <w:rFonts w:ascii="Arial Narrow" w:hAnsi="Arial Narrow"/>
                <w:sz w:val="20"/>
                <w:szCs w:val="20"/>
              </w:rPr>
            </w:pPr>
          </w:p>
        </w:tc>
        <w:tc>
          <w:tcPr>
            <w:tcW w:w="943" w:type="pct"/>
          </w:tcPr>
          <w:p w14:paraId="0EE15F54" w14:textId="77777777" w:rsidR="009174E9" w:rsidRPr="007A467F" w:rsidRDefault="009174E9" w:rsidP="009174E9">
            <w:pPr>
              <w:keepNext/>
              <w:keepLines/>
              <w:widowControl w:val="0"/>
              <w:rPr>
                <w:rFonts w:ascii="Arial Narrow" w:hAnsi="Arial Narrow"/>
                <w:b/>
                <w:bCs/>
                <w:sz w:val="20"/>
                <w:szCs w:val="20"/>
              </w:rPr>
            </w:pPr>
            <w:r w:rsidRPr="007A467F">
              <w:rPr>
                <w:rFonts w:ascii="Arial Narrow" w:hAnsi="Arial Narrow"/>
                <w:b/>
                <w:bCs/>
                <w:sz w:val="20"/>
                <w:szCs w:val="20"/>
              </w:rPr>
              <w:t>Vevye</w:t>
            </w:r>
          </w:p>
        </w:tc>
        <w:tc>
          <w:tcPr>
            <w:tcW w:w="1180" w:type="pct"/>
          </w:tcPr>
          <w:p w14:paraId="7712C977" w14:textId="7BD04087" w:rsidR="009174E9" w:rsidRPr="007A467F" w:rsidRDefault="009174E9" w:rsidP="009174E9">
            <w:pPr>
              <w:keepNext/>
              <w:keepLines/>
              <w:widowControl w:val="0"/>
              <w:rPr>
                <w:rFonts w:ascii="Arial Narrow" w:hAnsi="Arial Narrow"/>
                <w:b/>
                <w:bCs/>
                <w:sz w:val="20"/>
                <w:szCs w:val="20"/>
              </w:rPr>
            </w:pPr>
            <w:r w:rsidRPr="007A467F">
              <w:rPr>
                <w:rFonts w:ascii="Arial Narrow" w:hAnsi="Arial Narrow"/>
                <w:b/>
                <w:bCs/>
                <w:sz w:val="20"/>
                <w:szCs w:val="20"/>
              </w:rPr>
              <w:t>Ikervis</w:t>
            </w:r>
            <w:r w:rsidR="00061A1F" w:rsidRPr="007A467F">
              <w:rPr>
                <w:rFonts w:ascii="Arial Narrow" w:hAnsi="Arial Narrow"/>
                <w:b/>
                <w:bCs/>
                <w:sz w:val="20"/>
                <w:szCs w:val="20"/>
              </w:rPr>
              <w:t xml:space="preserve"> </w:t>
            </w:r>
          </w:p>
        </w:tc>
        <w:tc>
          <w:tcPr>
            <w:tcW w:w="1308" w:type="pct"/>
          </w:tcPr>
          <w:p w14:paraId="0AD35B11" w14:textId="5443B40A" w:rsidR="00352A29" w:rsidRPr="007A467F" w:rsidRDefault="00352A29" w:rsidP="009174E9">
            <w:pPr>
              <w:keepNext/>
              <w:keepLines/>
              <w:widowControl w:val="0"/>
              <w:rPr>
                <w:rFonts w:ascii="Arial Narrow" w:hAnsi="Arial Narrow"/>
                <w:b/>
                <w:bCs/>
                <w:sz w:val="20"/>
                <w:szCs w:val="20"/>
              </w:rPr>
            </w:pPr>
            <w:r w:rsidRPr="007A467F">
              <w:rPr>
                <w:rFonts w:ascii="Arial Narrow" w:hAnsi="Arial Narrow"/>
                <w:b/>
                <w:bCs/>
                <w:sz w:val="20"/>
                <w:szCs w:val="20"/>
              </w:rPr>
              <w:t>Cequa</w:t>
            </w:r>
          </w:p>
        </w:tc>
      </w:tr>
      <w:tr w:rsidR="00061A1F" w14:paraId="277AF714" w14:textId="28100E53" w:rsidTr="00AE698F">
        <w:tc>
          <w:tcPr>
            <w:tcW w:w="1569" w:type="pct"/>
          </w:tcPr>
          <w:p w14:paraId="0F3F13D1" w14:textId="025C12FF" w:rsidR="00061A1F" w:rsidRPr="007A467F" w:rsidDel="00061A1F" w:rsidRDefault="00061A1F" w:rsidP="009174E9">
            <w:pPr>
              <w:keepNext/>
              <w:keepLines/>
              <w:widowControl w:val="0"/>
              <w:jc w:val="left"/>
              <w:rPr>
                <w:rFonts w:ascii="Arial Narrow" w:hAnsi="Arial Narrow"/>
                <w:b/>
                <w:bCs/>
                <w:sz w:val="20"/>
                <w:szCs w:val="20"/>
              </w:rPr>
            </w:pPr>
            <w:r w:rsidRPr="007A467F">
              <w:rPr>
                <w:rFonts w:ascii="Arial Narrow" w:hAnsi="Arial Narrow"/>
                <w:b/>
                <w:bCs/>
                <w:sz w:val="20"/>
                <w:szCs w:val="20"/>
              </w:rPr>
              <w:t>EMP</w:t>
            </w:r>
          </w:p>
        </w:tc>
        <w:tc>
          <w:tcPr>
            <w:tcW w:w="943" w:type="pct"/>
          </w:tcPr>
          <w:p w14:paraId="01E7EC2E" w14:textId="7DF8CB18" w:rsidR="00061A1F" w:rsidRPr="007A467F" w:rsidDel="00061A1F" w:rsidRDefault="00A6252A" w:rsidP="009174E9">
            <w:pPr>
              <w:keepNext/>
              <w:keepLines/>
              <w:widowControl w:val="0"/>
              <w:jc w:val="left"/>
              <w:rPr>
                <w:rFonts w:ascii="Arial Narrow" w:hAnsi="Arial Narrow"/>
                <w:sz w:val="20"/>
                <w:szCs w:val="20"/>
              </w:rPr>
            </w:pPr>
            <w:r w:rsidRPr="007A467F">
              <w:rPr>
                <w:rFonts w:ascii="Arial Narrow" w:hAnsi="Arial Narrow"/>
                <w:sz w:val="20"/>
                <w:szCs w:val="20"/>
              </w:rPr>
              <w:t>$61.00</w:t>
            </w:r>
            <w:r w:rsidR="00352A29" w:rsidRPr="007A467F">
              <w:rPr>
                <w:rFonts w:ascii="Arial Narrow" w:hAnsi="Arial Narrow"/>
                <w:sz w:val="20"/>
                <w:szCs w:val="20"/>
              </w:rPr>
              <w:t xml:space="preserve"> </w:t>
            </w:r>
            <w:r w:rsidR="00352A29" w:rsidRPr="00D91AA9">
              <w:rPr>
                <w:rFonts w:ascii="Arial Narrow" w:hAnsi="Arial Narrow"/>
                <w:sz w:val="20"/>
                <w:szCs w:val="20"/>
              </w:rPr>
              <w:t>($60.76)</w:t>
            </w:r>
          </w:p>
        </w:tc>
        <w:tc>
          <w:tcPr>
            <w:tcW w:w="1180" w:type="pct"/>
          </w:tcPr>
          <w:p w14:paraId="395C5D7B" w14:textId="0B2BA956" w:rsidR="00061A1F" w:rsidRPr="007A467F" w:rsidDel="00061A1F" w:rsidRDefault="00A6252A" w:rsidP="009174E9">
            <w:pPr>
              <w:keepNext/>
              <w:keepLines/>
              <w:widowControl w:val="0"/>
              <w:jc w:val="left"/>
              <w:rPr>
                <w:rFonts w:ascii="Arial Narrow" w:hAnsi="Arial Narrow"/>
                <w:sz w:val="20"/>
                <w:szCs w:val="20"/>
              </w:rPr>
            </w:pPr>
            <w:r w:rsidRPr="007A467F">
              <w:rPr>
                <w:rFonts w:ascii="Arial Narrow" w:hAnsi="Arial Narrow"/>
                <w:sz w:val="20"/>
                <w:szCs w:val="20"/>
              </w:rPr>
              <w:t>$65.00</w:t>
            </w:r>
          </w:p>
        </w:tc>
        <w:tc>
          <w:tcPr>
            <w:tcW w:w="1308" w:type="pct"/>
          </w:tcPr>
          <w:p w14:paraId="6A92F7A0" w14:textId="7408882A" w:rsidR="00352A29" w:rsidRPr="007A467F" w:rsidRDefault="00352A29" w:rsidP="009174E9">
            <w:pPr>
              <w:keepNext/>
              <w:keepLines/>
              <w:widowControl w:val="0"/>
              <w:jc w:val="left"/>
              <w:rPr>
                <w:rFonts w:ascii="Arial Narrow" w:hAnsi="Arial Narrow"/>
                <w:sz w:val="20"/>
                <w:szCs w:val="20"/>
              </w:rPr>
            </w:pPr>
            <w:r w:rsidRPr="007A467F">
              <w:rPr>
                <w:rFonts w:ascii="Arial Narrow" w:hAnsi="Arial Narrow"/>
                <w:sz w:val="20"/>
                <w:szCs w:val="20"/>
              </w:rPr>
              <w:t>$65.00</w:t>
            </w:r>
          </w:p>
        </w:tc>
      </w:tr>
      <w:tr w:rsidR="003B550E" w14:paraId="7DE2C0EF" w14:textId="77777777" w:rsidTr="00AE698F">
        <w:tc>
          <w:tcPr>
            <w:tcW w:w="1569" w:type="pct"/>
          </w:tcPr>
          <w:p w14:paraId="418C8D9C" w14:textId="796CAA35" w:rsidR="003B550E" w:rsidRPr="007A467F" w:rsidRDefault="003B550E" w:rsidP="009174E9">
            <w:pPr>
              <w:keepNext/>
              <w:keepLines/>
              <w:widowControl w:val="0"/>
              <w:jc w:val="left"/>
              <w:rPr>
                <w:rFonts w:ascii="Arial Narrow" w:hAnsi="Arial Narrow"/>
                <w:b/>
                <w:bCs/>
                <w:sz w:val="20"/>
                <w:szCs w:val="20"/>
              </w:rPr>
            </w:pPr>
            <w:r w:rsidRPr="007A467F">
              <w:rPr>
                <w:rFonts w:ascii="Arial Narrow" w:hAnsi="Arial Narrow"/>
                <w:b/>
                <w:bCs/>
                <w:sz w:val="20"/>
                <w:szCs w:val="20"/>
              </w:rPr>
              <w:t>Pack size</w:t>
            </w:r>
          </w:p>
        </w:tc>
        <w:tc>
          <w:tcPr>
            <w:tcW w:w="943" w:type="pct"/>
          </w:tcPr>
          <w:p w14:paraId="48217DC7" w14:textId="741E2F93" w:rsidR="003B550E" w:rsidRPr="007A467F" w:rsidRDefault="003B550E" w:rsidP="009174E9">
            <w:pPr>
              <w:keepNext/>
              <w:keepLines/>
              <w:widowControl w:val="0"/>
              <w:jc w:val="left"/>
              <w:rPr>
                <w:rFonts w:ascii="Arial Narrow" w:hAnsi="Arial Narrow"/>
                <w:sz w:val="20"/>
                <w:szCs w:val="20"/>
              </w:rPr>
            </w:pPr>
            <w:r w:rsidRPr="007A467F">
              <w:rPr>
                <w:rFonts w:ascii="Arial Narrow" w:hAnsi="Arial Narrow"/>
                <w:sz w:val="20"/>
                <w:szCs w:val="20"/>
              </w:rPr>
              <w:t>2 mL</w:t>
            </w:r>
          </w:p>
        </w:tc>
        <w:tc>
          <w:tcPr>
            <w:tcW w:w="1180" w:type="pct"/>
          </w:tcPr>
          <w:p w14:paraId="47E3088B" w14:textId="766E6E44" w:rsidR="003B550E" w:rsidRPr="007A467F" w:rsidRDefault="00645714" w:rsidP="009174E9">
            <w:pPr>
              <w:keepNext/>
              <w:keepLines/>
              <w:widowControl w:val="0"/>
              <w:jc w:val="left"/>
              <w:rPr>
                <w:rFonts w:ascii="Arial Narrow" w:hAnsi="Arial Narrow"/>
                <w:sz w:val="20"/>
                <w:szCs w:val="20"/>
              </w:rPr>
            </w:pPr>
            <w:r w:rsidRPr="007A467F">
              <w:rPr>
                <w:rFonts w:ascii="Arial Narrow" w:hAnsi="Arial Narrow"/>
                <w:sz w:val="20"/>
                <w:szCs w:val="20"/>
              </w:rPr>
              <w:t>30 x 0.3 mL ampoules</w:t>
            </w:r>
          </w:p>
        </w:tc>
        <w:tc>
          <w:tcPr>
            <w:tcW w:w="1308" w:type="pct"/>
          </w:tcPr>
          <w:p w14:paraId="6BCBA0BF" w14:textId="25D26E9C" w:rsidR="003B550E" w:rsidRPr="007A467F" w:rsidRDefault="00645714" w:rsidP="009174E9">
            <w:pPr>
              <w:keepNext/>
              <w:keepLines/>
              <w:widowControl w:val="0"/>
              <w:jc w:val="left"/>
              <w:rPr>
                <w:rFonts w:ascii="Arial Narrow" w:hAnsi="Arial Narrow"/>
                <w:sz w:val="20"/>
                <w:szCs w:val="20"/>
              </w:rPr>
            </w:pPr>
            <w:r w:rsidRPr="007A467F">
              <w:rPr>
                <w:rFonts w:ascii="Arial Narrow" w:hAnsi="Arial Narrow"/>
                <w:sz w:val="20"/>
                <w:szCs w:val="20"/>
              </w:rPr>
              <w:t xml:space="preserve">60 x </w:t>
            </w:r>
            <w:r w:rsidR="00C5673B" w:rsidRPr="007A467F">
              <w:rPr>
                <w:rFonts w:ascii="Arial Narrow" w:hAnsi="Arial Narrow"/>
                <w:sz w:val="20"/>
                <w:szCs w:val="20"/>
              </w:rPr>
              <w:t>0.25 mL ampoules</w:t>
            </w:r>
          </w:p>
        </w:tc>
      </w:tr>
      <w:tr w:rsidR="0056749C" w14:paraId="0E2205BD" w14:textId="77777777" w:rsidTr="00AE698F">
        <w:tc>
          <w:tcPr>
            <w:tcW w:w="1569" w:type="pct"/>
          </w:tcPr>
          <w:p w14:paraId="16C84A6D" w14:textId="7C75EAAC" w:rsidR="0056749C" w:rsidRPr="007A467F" w:rsidRDefault="0056749C" w:rsidP="009174E9">
            <w:pPr>
              <w:keepNext/>
              <w:keepLines/>
              <w:widowControl w:val="0"/>
              <w:jc w:val="left"/>
              <w:rPr>
                <w:rFonts w:ascii="Arial Narrow" w:hAnsi="Arial Narrow"/>
                <w:b/>
                <w:bCs/>
                <w:sz w:val="20"/>
                <w:szCs w:val="20"/>
              </w:rPr>
            </w:pPr>
            <w:r w:rsidRPr="007A467F">
              <w:rPr>
                <w:rFonts w:ascii="Arial Narrow" w:hAnsi="Arial Narrow"/>
                <w:b/>
                <w:bCs/>
                <w:sz w:val="20"/>
                <w:szCs w:val="20"/>
              </w:rPr>
              <w:t>Strength</w:t>
            </w:r>
          </w:p>
        </w:tc>
        <w:tc>
          <w:tcPr>
            <w:tcW w:w="943" w:type="pct"/>
          </w:tcPr>
          <w:p w14:paraId="1CDBF4F7" w14:textId="34012682" w:rsidR="0056749C" w:rsidRPr="007A467F" w:rsidRDefault="003F1484" w:rsidP="009174E9">
            <w:pPr>
              <w:keepNext/>
              <w:keepLines/>
              <w:widowControl w:val="0"/>
              <w:jc w:val="left"/>
              <w:rPr>
                <w:rFonts w:ascii="Arial Narrow" w:hAnsi="Arial Narrow"/>
                <w:sz w:val="20"/>
                <w:szCs w:val="20"/>
              </w:rPr>
            </w:pPr>
            <w:r w:rsidRPr="007A467F">
              <w:rPr>
                <w:rFonts w:ascii="Arial Narrow" w:hAnsi="Arial Narrow"/>
                <w:sz w:val="20"/>
                <w:szCs w:val="20"/>
              </w:rPr>
              <w:t>0.1%</w:t>
            </w:r>
          </w:p>
        </w:tc>
        <w:tc>
          <w:tcPr>
            <w:tcW w:w="1180" w:type="pct"/>
          </w:tcPr>
          <w:p w14:paraId="3D517881" w14:textId="4700F248" w:rsidR="0056749C" w:rsidRPr="007A467F" w:rsidRDefault="00E46E34" w:rsidP="009174E9">
            <w:pPr>
              <w:keepNext/>
              <w:keepLines/>
              <w:widowControl w:val="0"/>
              <w:jc w:val="left"/>
              <w:rPr>
                <w:rFonts w:ascii="Arial Narrow" w:hAnsi="Arial Narrow"/>
                <w:sz w:val="20"/>
                <w:szCs w:val="20"/>
              </w:rPr>
            </w:pPr>
            <w:r w:rsidRPr="007A467F">
              <w:rPr>
                <w:rFonts w:ascii="Arial Narrow" w:hAnsi="Arial Narrow"/>
                <w:sz w:val="20"/>
                <w:szCs w:val="20"/>
              </w:rPr>
              <w:t>0.1%</w:t>
            </w:r>
          </w:p>
        </w:tc>
        <w:tc>
          <w:tcPr>
            <w:tcW w:w="1308" w:type="pct"/>
          </w:tcPr>
          <w:p w14:paraId="7988BF5B" w14:textId="629AE8F8" w:rsidR="0056749C" w:rsidRPr="007A467F" w:rsidRDefault="00E46E34" w:rsidP="009174E9">
            <w:pPr>
              <w:keepNext/>
              <w:keepLines/>
              <w:widowControl w:val="0"/>
              <w:jc w:val="left"/>
              <w:rPr>
                <w:rFonts w:ascii="Arial Narrow" w:hAnsi="Arial Narrow"/>
                <w:sz w:val="20"/>
                <w:szCs w:val="20"/>
              </w:rPr>
            </w:pPr>
            <w:r w:rsidRPr="007A467F">
              <w:rPr>
                <w:rFonts w:ascii="Arial Narrow" w:hAnsi="Arial Narrow"/>
                <w:sz w:val="20"/>
                <w:szCs w:val="20"/>
              </w:rPr>
              <w:t>0.09%</w:t>
            </w:r>
          </w:p>
        </w:tc>
      </w:tr>
      <w:tr w:rsidR="00352A29" w14:paraId="2F2BDA85" w14:textId="7A1F9078" w:rsidTr="00AE698F">
        <w:tc>
          <w:tcPr>
            <w:tcW w:w="1569" w:type="pct"/>
          </w:tcPr>
          <w:p w14:paraId="19ACBB4A" w14:textId="12D2F9EE" w:rsidR="00352A29" w:rsidRPr="007A467F" w:rsidRDefault="00352A29" w:rsidP="009174E9">
            <w:pPr>
              <w:keepNext/>
              <w:keepLines/>
              <w:widowControl w:val="0"/>
              <w:jc w:val="left"/>
              <w:rPr>
                <w:rFonts w:ascii="Arial Narrow" w:hAnsi="Arial Narrow"/>
                <w:b/>
                <w:bCs/>
                <w:sz w:val="20"/>
                <w:szCs w:val="20"/>
              </w:rPr>
            </w:pPr>
            <w:r w:rsidRPr="007A467F">
              <w:rPr>
                <w:rFonts w:ascii="Arial Narrow" w:hAnsi="Arial Narrow"/>
                <w:b/>
                <w:bCs/>
                <w:sz w:val="20"/>
                <w:szCs w:val="20"/>
              </w:rPr>
              <w:t>Daily dose</w:t>
            </w:r>
          </w:p>
        </w:tc>
        <w:tc>
          <w:tcPr>
            <w:tcW w:w="943" w:type="pct"/>
          </w:tcPr>
          <w:p w14:paraId="1299C14E" w14:textId="13BE2551" w:rsidR="00352A29" w:rsidRPr="007A467F" w:rsidRDefault="003B550E" w:rsidP="009174E9">
            <w:pPr>
              <w:keepNext/>
              <w:keepLines/>
              <w:widowControl w:val="0"/>
              <w:jc w:val="left"/>
              <w:rPr>
                <w:rFonts w:ascii="Arial Narrow" w:hAnsi="Arial Narrow"/>
                <w:sz w:val="20"/>
                <w:szCs w:val="20"/>
              </w:rPr>
            </w:pPr>
            <w:r w:rsidRPr="007A467F">
              <w:rPr>
                <w:rFonts w:ascii="Arial Narrow" w:hAnsi="Arial Narrow"/>
                <w:sz w:val="20"/>
                <w:szCs w:val="20"/>
              </w:rPr>
              <w:t>1</w:t>
            </w:r>
            <w:r w:rsidR="00352A29" w:rsidRPr="007A467F">
              <w:rPr>
                <w:rFonts w:ascii="Arial Narrow" w:hAnsi="Arial Narrow"/>
                <w:sz w:val="20"/>
                <w:szCs w:val="20"/>
              </w:rPr>
              <w:t xml:space="preserve"> drop twice daily</w:t>
            </w:r>
          </w:p>
        </w:tc>
        <w:tc>
          <w:tcPr>
            <w:tcW w:w="1180" w:type="pct"/>
          </w:tcPr>
          <w:p w14:paraId="2F998263" w14:textId="297D4F97" w:rsidR="00352A29" w:rsidRPr="007A467F" w:rsidRDefault="003B550E" w:rsidP="009174E9">
            <w:pPr>
              <w:keepNext/>
              <w:keepLines/>
              <w:widowControl w:val="0"/>
              <w:jc w:val="left"/>
              <w:rPr>
                <w:rFonts w:ascii="Arial Narrow" w:hAnsi="Arial Narrow"/>
                <w:sz w:val="20"/>
                <w:szCs w:val="20"/>
              </w:rPr>
            </w:pPr>
            <w:r w:rsidRPr="007A467F">
              <w:rPr>
                <w:rFonts w:ascii="Arial Narrow" w:hAnsi="Arial Narrow"/>
                <w:sz w:val="20"/>
                <w:szCs w:val="20"/>
              </w:rPr>
              <w:t>1</w:t>
            </w:r>
            <w:r w:rsidR="00352A29" w:rsidRPr="007A467F">
              <w:rPr>
                <w:rFonts w:ascii="Arial Narrow" w:hAnsi="Arial Narrow"/>
                <w:sz w:val="20"/>
                <w:szCs w:val="20"/>
              </w:rPr>
              <w:t xml:space="preserve"> ampoule</w:t>
            </w:r>
            <w:r w:rsidR="0034565E" w:rsidRPr="007A467F">
              <w:rPr>
                <w:rFonts w:ascii="Arial Narrow" w:hAnsi="Arial Narrow"/>
                <w:sz w:val="20"/>
                <w:szCs w:val="20"/>
              </w:rPr>
              <w:t>/drop</w:t>
            </w:r>
            <w:r w:rsidR="00352A29" w:rsidRPr="007A467F">
              <w:rPr>
                <w:rFonts w:ascii="Arial Narrow" w:hAnsi="Arial Narrow"/>
                <w:sz w:val="20"/>
                <w:szCs w:val="20"/>
              </w:rPr>
              <w:t xml:space="preserve"> daily</w:t>
            </w:r>
          </w:p>
        </w:tc>
        <w:tc>
          <w:tcPr>
            <w:tcW w:w="1308" w:type="pct"/>
          </w:tcPr>
          <w:p w14:paraId="27F6511E" w14:textId="27E7A53D" w:rsidR="00352A29" w:rsidRPr="007A467F" w:rsidRDefault="003B550E" w:rsidP="009174E9">
            <w:pPr>
              <w:keepNext/>
              <w:keepLines/>
              <w:widowControl w:val="0"/>
              <w:jc w:val="left"/>
              <w:rPr>
                <w:rFonts w:ascii="Arial Narrow" w:hAnsi="Arial Narrow"/>
                <w:sz w:val="20"/>
                <w:szCs w:val="20"/>
              </w:rPr>
            </w:pPr>
            <w:r w:rsidRPr="007A467F">
              <w:rPr>
                <w:rFonts w:ascii="Arial Narrow" w:hAnsi="Arial Narrow"/>
                <w:sz w:val="20"/>
                <w:szCs w:val="20"/>
              </w:rPr>
              <w:t>1</w:t>
            </w:r>
            <w:r w:rsidR="00352A29" w:rsidRPr="007A467F">
              <w:rPr>
                <w:rFonts w:ascii="Arial Narrow" w:hAnsi="Arial Narrow"/>
                <w:sz w:val="20"/>
                <w:szCs w:val="20"/>
              </w:rPr>
              <w:t xml:space="preserve"> ampoule</w:t>
            </w:r>
            <w:r w:rsidR="0034565E" w:rsidRPr="007A467F">
              <w:rPr>
                <w:rFonts w:ascii="Arial Narrow" w:hAnsi="Arial Narrow"/>
                <w:sz w:val="20"/>
                <w:szCs w:val="20"/>
              </w:rPr>
              <w:t>/drop</w:t>
            </w:r>
            <w:r w:rsidR="00352A29" w:rsidRPr="007A467F">
              <w:rPr>
                <w:rFonts w:ascii="Arial Narrow" w:hAnsi="Arial Narrow"/>
                <w:sz w:val="20"/>
                <w:szCs w:val="20"/>
              </w:rPr>
              <w:t xml:space="preserve"> twice daily</w:t>
            </w:r>
          </w:p>
        </w:tc>
      </w:tr>
      <w:tr w:rsidR="00061A1F" w14:paraId="1F9229B6" w14:textId="6B1302E8" w:rsidTr="00AE698F">
        <w:tc>
          <w:tcPr>
            <w:tcW w:w="1569" w:type="pct"/>
          </w:tcPr>
          <w:p w14:paraId="0D6C675D" w14:textId="38AD21DC" w:rsidR="00061A1F" w:rsidRPr="007A467F" w:rsidDel="00061A1F" w:rsidRDefault="00A6252A" w:rsidP="009174E9">
            <w:pPr>
              <w:keepNext/>
              <w:keepLines/>
              <w:widowControl w:val="0"/>
              <w:jc w:val="left"/>
              <w:rPr>
                <w:rFonts w:ascii="Arial Narrow" w:hAnsi="Arial Narrow"/>
                <w:b/>
                <w:bCs/>
                <w:sz w:val="20"/>
                <w:szCs w:val="20"/>
              </w:rPr>
            </w:pPr>
            <w:r w:rsidRPr="007A467F">
              <w:rPr>
                <w:rFonts w:ascii="Arial Narrow" w:hAnsi="Arial Narrow"/>
                <w:b/>
                <w:bCs/>
                <w:sz w:val="20"/>
                <w:szCs w:val="20"/>
              </w:rPr>
              <w:t xml:space="preserve">Number of </w:t>
            </w:r>
            <w:r w:rsidR="00E95599" w:rsidRPr="007A467F">
              <w:rPr>
                <w:rFonts w:ascii="Arial Narrow" w:hAnsi="Arial Narrow"/>
                <w:b/>
                <w:bCs/>
                <w:sz w:val="20"/>
                <w:szCs w:val="20"/>
              </w:rPr>
              <w:t>days treatment</w:t>
            </w:r>
            <w:r w:rsidRPr="007A467F">
              <w:rPr>
                <w:rFonts w:ascii="Arial Narrow" w:hAnsi="Arial Narrow"/>
                <w:b/>
                <w:bCs/>
                <w:sz w:val="20"/>
                <w:szCs w:val="20"/>
              </w:rPr>
              <w:t xml:space="preserve"> per </w:t>
            </w:r>
            <w:r w:rsidR="00E95599" w:rsidRPr="007A467F">
              <w:rPr>
                <w:rFonts w:ascii="Arial Narrow" w:hAnsi="Arial Narrow"/>
                <w:b/>
                <w:bCs/>
                <w:sz w:val="20"/>
                <w:szCs w:val="20"/>
              </w:rPr>
              <w:t>supply</w:t>
            </w:r>
          </w:p>
        </w:tc>
        <w:tc>
          <w:tcPr>
            <w:tcW w:w="943" w:type="pct"/>
          </w:tcPr>
          <w:p w14:paraId="12C60533" w14:textId="48EEB771" w:rsidR="00061A1F" w:rsidRPr="007A467F" w:rsidDel="00061A1F" w:rsidRDefault="00E95599" w:rsidP="009174E9">
            <w:pPr>
              <w:keepNext/>
              <w:keepLines/>
              <w:widowControl w:val="0"/>
              <w:jc w:val="left"/>
              <w:rPr>
                <w:rFonts w:ascii="Arial Narrow" w:hAnsi="Arial Narrow"/>
                <w:sz w:val="20"/>
                <w:szCs w:val="20"/>
              </w:rPr>
            </w:pPr>
            <w:r w:rsidRPr="007A467F">
              <w:rPr>
                <w:rFonts w:ascii="Arial Narrow" w:hAnsi="Arial Narrow"/>
                <w:sz w:val="20"/>
                <w:szCs w:val="20"/>
              </w:rPr>
              <w:t>28</w:t>
            </w:r>
          </w:p>
        </w:tc>
        <w:tc>
          <w:tcPr>
            <w:tcW w:w="1180" w:type="pct"/>
          </w:tcPr>
          <w:p w14:paraId="51C221A9" w14:textId="6908157D" w:rsidR="00061A1F" w:rsidRPr="007A467F" w:rsidDel="00061A1F" w:rsidRDefault="00E95599" w:rsidP="009174E9">
            <w:pPr>
              <w:keepNext/>
              <w:keepLines/>
              <w:widowControl w:val="0"/>
              <w:jc w:val="left"/>
              <w:rPr>
                <w:rFonts w:ascii="Arial Narrow" w:hAnsi="Arial Narrow"/>
                <w:sz w:val="20"/>
                <w:szCs w:val="20"/>
              </w:rPr>
            </w:pPr>
            <w:r w:rsidRPr="007A467F">
              <w:rPr>
                <w:rFonts w:ascii="Arial Narrow" w:hAnsi="Arial Narrow"/>
                <w:sz w:val="20"/>
                <w:szCs w:val="20"/>
              </w:rPr>
              <w:t>30</w:t>
            </w:r>
          </w:p>
        </w:tc>
        <w:tc>
          <w:tcPr>
            <w:tcW w:w="1308" w:type="pct"/>
          </w:tcPr>
          <w:p w14:paraId="359B9FDA" w14:textId="4B3837D3" w:rsidR="003B550E" w:rsidRPr="007A467F" w:rsidRDefault="003B550E" w:rsidP="009174E9">
            <w:pPr>
              <w:keepNext/>
              <w:keepLines/>
              <w:widowControl w:val="0"/>
              <w:jc w:val="left"/>
              <w:rPr>
                <w:rFonts w:ascii="Arial Narrow" w:hAnsi="Arial Narrow"/>
                <w:sz w:val="20"/>
                <w:szCs w:val="20"/>
              </w:rPr>
            </w:pPr>
            <w:r w:rsidRPr="007A467F">
              <w:rPr>
                <w:rFonts w:ascii="Arial Narrow" w:hAnsi="Arial Narrow"/>
                <w:sz w:val="20"/>
                <w:szCs w:val="20"/>
              </w:rPr>
              <w:t>30</w:t>
            </w:r>
          </w:p>
        </w:tc>
      </w:tr>
      <w:tr w:rsidR="00061A1F" w14:paraId="105C7187" w14:textId="764FA007" w:rsidTr="00AE698F">
        <w:tc>
          <w:tcPr>
            <w:tcW w:w="1569" w:type="pct"/>
          </w:tcPr>
          <w:p w14:paraId="4C4596BA" w14:textId="5DA4BDEF" w:rsidR="00061A1F" w:rsidRPr="007A467F" w:rsidDel="00061A1F" w:rsidRDefault="00E95599" w:rsidP="009174E9">
            <w:pPr>
              <w:keepNext/>
              <w:keepLines/>
              <w:widowControl w:val="0"/>
              <w:jc w:val="left"/>
              <w:rPr>
                <w:rFonts w:ascii="Arial Narrow" w:hAnsi="Arial Narrow"/>
                <w:b/>
                <w:bCs/>
                <w:sz w:val="20"/>
                <w:szCs w:val="20"/>
              </w:rPr>
            </w:pPr>
            <w:r w:rsidRPr="007A467F">
              <w:rPr>
                <w:rFonts w:ascii="Arial Narrow" w:hAnsi="Arial Narrow"/>
                <w:b/>
                <w:bCs/>
                <w:sz w:val="20"/>
                <w:szCs w:val="20"/>
              </w:rPr>
              <w:t>Cost per day</w:t>
            </w:r>
          </w:p>
        </w:tc>
        <w:tc>
          <w:tcPr>
            <w:tcW w:w="943" w:type="pct"/>
          </w:tcPr>
          <w:p w14:paraId="24B444F9" w14:textId="5309CFB4" w:rsidR="00061A1F" w:rsidRPr="007A467F" w:rsidDel="00061A1F" w:rsidRDefault="00E95599" w:rsidP="009174E9">
            <w:pPr>
              <w:keepNext/>
              <w:keepLines/>
              <w:widowControl w:val="0"/>
              <w:jc w:val="left"/>
              <w:rPr>
                <w:rFonts w:ascii="Arial Narrow" w:hAnsi="Arial Narrow"/>
                <w:sz w:val="20"/>
                <w:szCs w:val="20"/>
              </w:rPr>
            </w:pPr>
            <w:r w:rsidRPr="007A467F">
              <w:rPr>
                <w:rFonts w:ascii="Arial Narrow" w:hAnsi="Arial Narrow"/>
                <w:sz w:val="20"/>
                <w:szCs w:val="20"/>
              </w:rPr>
              <w:t>$2.18</w:t>
            </w:r>
            <w:r w:rsidR="00352A29" w:rsidRPr="007A467F">
              <w:rPr>
                <w:rFonts w:ascii="Arial Narrow" w:hAnsi="Arial Narrow"/>
                <w:sz w:val="20"/>
                <w:szCs w:val="20"/>
              </w:rPr>
              <w:t xml:space="preserve"> </w:t>
            </w:r>
            <w:r w:rsidR="00352A29" w:rsidRPr="00D91AA9">
              <w:rPr>
                <w:rFonts w:ascii="Arial Narrow" w:hAnsi="Arial Narrow"/>
                <w:sz w:val="20"/>
                <w:szCs w:val="20"/>
              </w:rPr>
              <w:t>($2.17)</w:t>
            </w:r>
          </w:p>
        </w:tc>
        <w:tc>
          <w:tcPr>
            <w:tcW w:w="1180" w:type="pct"/>
          </w:tcPr>
          <w:p w14:paraId="32C6D169" w14:textId="4C3523ED" w:rsidR="00061A1F" w:rsidRPr="007A467F" w:rsidDel="00061A1F" w:rsidRDefault="00B55425" w:rsidP="009174E9">
            <w:pPr>
              <w:keepNext/>
              <w:keepLines/>
              <w:widowControl w:val="0"/>
              <w:jc w:val="left"/>
              <w:rPr>
                <w:rFonts w:ascii="Arial Narrow" w:hAnsi="Arial Narrow"/>
                <w:sz w:val="20"/>
                <w:szCs w:val="20"/>
              </w:rPr>
            </w:pPr>
            <w:r w:rsidRPr="007A467F">
              <w:rPr>
                <w:rFonts w:ascii="Arial Narrow" w:hAnsi="Arial Narrow"/>
                <w:sz w:val="20"/>
                <w:szCs w:val="20"/>
              </w:rPr>
              <w:t>$2.17</w:t>
            </w:r>
          </w:p>
        </w:tc>
        <w:tc>
          <w:tcPr>
            <w:tcW w:w="1308" w:type="pct"/>
          </w:tcPr>
          <w:p w14:paraId="45B3A537" w14:textId="23DF19AD" w:rsidR="003B550E" w:rsidRPr="007A467F" w:rsidRDefault="003B550E" w:rsidP="009174E9">
            <w:pPr>
              <w:keepNext/>
              <w:keepLines/>
              <w:widowControl w:val="0"/>
              <w:jc w:val="left"/>
              <w:rPr>
                <w:rFonts w:ascii="Arial Narrow" w:hAnsi="Arial Narrow"/>
                <w:sz w:val="20"/>
                <w:szCs w:val="20"/>
              </w:rPr>
            </w:pPr>
            <w:r w:rsidRPr="007A467F">
              <w:rPr>
                <w:rFonts w:ascii="Arial Narrow" w:hAnsi="Arial Narrow"/>
                <w:sz w:val="20"/>
                <w:szCs w:val="20"/>
              </w:rPr>
              <w:t>$2.17</w:t>
            </w:r>
          </w:p>
        </w:tc>
      </w:tr>
    </w:tbl>
    <w:p w14:paraId="260F886D" w14:textId="74074AE3" w:rsidR="009174E9" w:rsidRDefault="009174E9" w:rsidP="00C53D8F">
      <w:pPr>
        <w:pStyle w:val="TableFigureFooter"/>
      </w:pPr>
      <w:r>
        <w:t>Source: p</w:t>
      </w:r>
      <w:r w:rsidR="00803951">
        <w:t>3</w:t>
      </w:r>
      <w:r>
        <w:t xml:space="preserve"> of the submission</w:t>
      </w:r>
    </w:p>
    <w:p w14:paraId="6503F215" w14:textId="5BDE4907" w:rsidR="00C53D8F" w:rsidRPr="00C53D8F" w:rsidRDefault="00C53D8F" w:rsidP="00C53D8F">
      <w:pPr>
        <w:pStyle w:val="TableFigureFooter"/>
      </w:pPr>
      <w:r>
        <w:t>Abbreviations: EMP = ex-manufacturer price</w:t>
      </w:r>
    </w:p>
    <w:p w14:paraId="21B3A39A" w14:textId="6B02248A" w:rsidR="00E843E9" w:rsidRPr="00D91AA9" w:rsidRDefault="007B3A83" w:rsidP="00D54AFF">
      <w:pPr>
        <w:pStyle w:val="3-BodyText"/>
        <w:rPr>
          <w:rFonts w:cstheme="minorHAnsi"/>
          <w:szCs w:val="24"/>
        </w:rPr>
      </w:pPr>
      <w:r w:rsidRPr="00D91AA9">
        <w:rPr>
          <w:rFonts w:cstheme="minorHAnsi"/>
          <w:szCs w:val="24"/>
        </w:rPr>
        <w:t xml:space="preserve">Based on the daily cost of Ikervis and Cequa ($2.17) the </w:t>
      </w:r>
      <w:r w:rsidR="008A773D" w:rsidRPr="00D91AA9">
        <w:rPr>
          <w:rFonts w:cstheme="minorHAnsi"/>
          <w:szCs w:val="24"/>
        </w:rPr>
        <w:t xml:space="preserve">EMP of </w:t>
      </w:r>
      <w:r w:rsidR="000A0C98" w:rsidRPr="00D91AA9">
        <w:rPr>
          <w:rFonts w:cstheme="minorHAnsi"/>
          <w:szCs w:val="24"/>
        </w:rPr>
        <w:t>Vevye should be $60.76</w:t>
      </w:r>
      <w:r w:rsidR="003448D4" w:rsidRPr="00D91AA9">
        <w:rPr>
          <w:rFonts w:cstheme="minorHAnsi"/>
          <w:szCs w:val="24"/>
        </w:rPr>
        <w:t>, rather than the $61.00 proposed in the submission.</w:t>
      </w:r>
    </w:p>
    <w:p w14:paraId="23F77C6C" w14:textId="4FE8BEB6" w:rsidR="00F85206" w:rsidRPr="00A6439B" w:rsidRDefault="00F85206" w:rsidP="0079250E">
      <w:pPr>
        <w:pStyle w:val="4-SubsectionHeading"/>
        <w:rPr>
          <w:lang w:eastAsia="en-US"/>
        </w:rPr>
      </w:pPr>
      <w:r w:rsidRPr="00A6439B">
        <w:rPr>
          <w:lang w:eastAsia="en-US"/>
        </w:rPr>
        <w:t>Drug cost/patient</w:t>
      </w:r>
      <w:r w:rsidR="004576C4">
        <w:rPr>
          <w:lang w:eastAsia="en-US"/>
        </w:rPr>
        <w:t>/</w:t>
      </w:r>
      <w:r w:rsidRPr="00A6439B">
        <w:rPr>
          <w:lang w:eastAsia="en-US"/>
        </w:rPr>
        <w:t>year: $</w:t>
      </w:r>
      <w:r w:rsidR="00BD1498">
        <w:rPr>
          <w:lang w:eastAsia="en-US"/>
        </w:rPr>
        <w:t>1</w:t>
      </w:r>
      <w:r w:rsidR="008A154B">
        <w:rPr>
          <w:lang w:eastAsia="en-US"/>
        </w:rPr>
        <w:t>,</w:t>
      </w:r>
      <w:r w:rsidR="00BD1498">
        <w:rPr>
          <w:lang w:eastAsia="en-US"/>
        </w:rPr>
        <w:t>035.48</w:t>
      </w:r>
    </w:p>
    <w:p w14:paraId="0B60C770" w14:textId="77CC6056" w:rsidR="00F85206" w:rsidRPr="00174432" w:rsidRDefault="00F85206" w:rsidP="00153009">
      <w:pPr>
        <w:pStyle w:val="3-BodyText"/>
        <w:rPr>
          <w:rFonts w:cs="Calibri"/>
        </w:rPr>
      </w:pPr>
      <w:r w:rsidRPr="00A6439B">
        <w:t>The estimated cost</w:t>
      </w:r>
      <w:r w:rsidR="00174432">
        <w:t xml:space="preserve"> per </w:t>
      </w:r>
      <w:r w:rsidRPr="00A6439B">
        <w:t xml:space="preserve">patient per year </w:t>
      </w:r>
      <w:r w:rsidR="00174432">
        <w:t>of Vevye is</w:t>
      </w:r>
      <w:r w:rsidRPr="00A6439B">
        <w:t xml:space="preserve"> </w:t>
      </w:r>
      <w:r w:rsidR="00EE5733" w:rsidRPr="00716695">
        <w:t>$</w:t>
      </w:r>
      <w:r w:rsidR="00E9218F">
        <w:t>1</w:t>
      </w:r>
      <w:r w:rsidR="00174432">
        <w:t>,</w:t>
      </w:r>
      <w:r w:rsidR="00E9218F">
        <w:t>035.48</w:t>
      </w:r>
      <w:r w:rsidRPr="00716695">
        <w:t xml:space="preserve"> </w:t>
      </w:r>
      <w:r w:rsidRPr="00A6439B">
        <w:t xml:space="preserve">based on </w:t>
      </w:r>
      <w:r w:rsidR="00174432">
        <w:t xml:space="preserve">a </w:t>
      </w:r>
      <w:r w:rsidR="00957AEE">
        <w:t>submission</w:t>
      </w:r>
      <w:r w:rsidR="00820B20">
        <w:t>’</w:t>
      </w:r>
      <w:r w:rsidR="00957AEE">
        <w:t xml:space="preserve">s proposed </w:t>
      </w:r>
      <w:r w:rsidR="00C527D6">
        <w:t xml:space="preserve">DPMQ of </w:t>
      </w:r>
      <w:r w:rsidR="00BC7E5C">
        <w:t>$</w:t>
      </w:r>
      <w:r w:rsidR="00C527D6">
        <w:t>79.38</w:t>
      </w:r>
      <w:r w:rsidR="00B3325D">
        <w:t xml:space="preserve"> and the claim</w:t>
      </w:r>
      <w:r w:rsidR="00304D42">
        <w:t xml:space="preserve"> that </w:t>
      </w:r>
      <w:r w:rsidR="00A55FBE">
        <w:t xml:space="preserve">a </w:t>
      </w:r>
      <w:r w:rsidR="00304D42">
        <w:t xml:space="preserve">patient uses </w:t>
      </w:r>
      <w:r w:rsidR="004C6512">
        <w:t xml:space="preserve">one </w:t>
      </w:r>
      <w:r w:rsidR="00A55FBE">
        <w:t xml:space="preserve">bottle </w:t>
      </w:r>
      <w:r w:rsidR="004C6512">
        <w:t>every 28 days</w:t>
      </w:r>
      <w:r w:rsidR="00304D42">
        <w:t xml:space="preserve"> </w:t>
      </w:r>
      <w:r w:rsidR="00C527D6">
        <w:t xml:space="preserve">(i.e. </w:t>
      </w:r>
      <w:r w:rsidR="00BC7E5C">
        <w:t>$79.38</w:t>
      </w:r>
      <w:r w:rsidR="00E9218F">
        <w:t>/</w:t>
      </w:r>
      <w:r w:rsidR="00860771">
        <w:t>28</w:t>
      </w:r>
      <w:r w:rsidR="00C53D8F">
        <w:t xml:space="preserve"> </w:t>
      </w:r>
      <w:r w:rsidR="00860771">
        <w:t>*</w:t>
      </w:r>
      <w:r w:rsidR="00C53D8F">
        <w:t xml:space="preserve"> </w:t>
      </w:r>
      <w:r w:rsidR="00860771">
        <w:t>365.25</w:t>
      </w:r>
      <w:r w:rsidR="00BC7E5C">
        <w:t>)</w:t>
      </w:r>
      <w:r w:rsidR="00D420EA">
        <w:t>.</w:t>
      </w:r>
    </w:p>
    <w:p w14:paraId="41575840" w14:textId="17FE6E00" w:rsidR="00174432" w:rsidRPr="00A6439B" w:rsidRDefault="00174432" w:rsidP="00153009">
      <w:pPr>
        <w:pStyle w:val="3-BodyText"/>
        <w:rPr>
          <w:rFonts w:cs="Calibri"/>
        </w:rPr>
      </w:pPr>
      <w:r>
        <w:t xml:space="preserve">The estimated cost per patient per year of Ikervis and Cequa is </w:t>
      </w:r>
      <w:r w:rsidR="00856ADC">
        <w:t>$1</w:t>
      </w:r>
      <w:r w:rsidR="00CA263D">
        <w:t>,</w:t>
      </w:r>
      <w:r w:rsidR="00856ADC">
        <w:t>018.80 (DPMQ of $83.68/30</w:t>
      </w:r>
      <w:r w:rsidR="00C53D8F">
        <w:t xml:space="preserve"> </w:t>
      </w:r>
      <w:r w:rsidR="00856ADC">
        <w:t>*</w:t>
      </w:r>
      <w:r w:rsidR="00C53D8F">
        <w:t xml:space="preserve"> </w:t>
      </w:r>
      <w:r w:rsidR="00856ADC">
        <w:t>365.25).</w:t>
      </w:r>
    </w:p>
    <w:p w14:paraId="5EB16602" w14:textId="26A67E45" w:rsidR="00D70349" w:rsidRPr="00A6439B" w:rsidRDefault="00D70349" w:rsidP="00D70349">
      <w:pPr>
        <w:pStyle w:val="4-SubsectionHeading"/>
        <w:rPr>
          <w:lang w:eastAsia="en-US"/>
        </w:rPr>
      </w:pPr>
      <w:r w:rsidRPr="00881686">
        <w:rPr>
          <w:lang w:eastAsia="en-US"/>
        </w:rPr>
        <w:t xml:space="preserve">Estimated PBS </w:t>
      </w:r>
      <w:r w:rsidR="00276BE3" w:rsidRPr="00881686">
        <w:rPr>
          <w:lang w:eastAsia="en-US"/>
        </w:rPr>
        <w:t>usage</w:t>
      </w:r>
      <w:r w:rsidRPr="00881686">
        <w:rPr>
          <w:lang w:eastAsia="en-US"/>
        </w:rPr>
        <w:t xml:space="preserve"> and financial implications</w:t>
      </w:r>
    </w:p>
    <w:p w14:paraId="3FB24B0A" w14:textId="34C4105E" w:rsidR="00A127ED" w:rsidRDefault="003F011D" w:rsidP="0079250E">
      <w:pPr>
        <w:pStyle w:val="3-BodyText"/>
        <w:numPr>
          <w:ilvl w:val="1"/>
          <w:numId w:val="2"/>
        </w:numPr>
      </w:pPr>
      <w:r>
        <w:t>As the price of Vevye was based on a cost minimisation approach</w:t>
      </w:r>
      <w:r w:rsidR="00557ED9">
        <w:t xml:space="preserve"> </w:t>
      </w:r>
      <w:r w:rsidR="00E748DC">
        <w:t>to Ikervis and Cequa</w:t>
      </w:r>
      <w:r>
        <w:t xml:space="preserve">, the cost </w:t>
      </w:r>
      <w:r w:rsidR="00F45D53">
        <w:t xml:space="preserve">to the PBS/RPBS of listing Vevye </w:t>
      </w:r>
      <w:r w:rsidR="00E748DC">
        <w:t>was expected to</w:t>
      </w:r>
      <w:r w:rsidR="00A127ED">
        <w:t xml:space="preserve"> be</w:t>
      </w:r>
      <w:r w:rsidR="00F45D53">
        <w:t xml:space="preserve"> </w:t>
      </w:r>
      <w:r w:rsidR="000B3D92">
        <w:t xml:space="preserve">approximately </w:t>
      </w:r>
      <w:r w:rsidR="00F45D53">
        <w:t>cost-</w:t>
      </w:r>
      <w:r w:rsidR="00507CA6">
        <w:t>neutral</w:t>
      </w:r>
      <w:r w:rsidR="000B3D92">
        <w:t xml:space="preserve"> </w:t>
      </w:r>
      <w:r w:rsidR="00A127ED">
        <w:t>(</w:t>
      </w:r>
      <w:r w:rsidR="00881686">
        <w:fldChar w:fldCharType="begin"/>
      </w:r>
      <w:r w:rsidR="00881686">
        <w:instrText xml:space="preserve"> REF _Ref220417296 \h </w:instrText>
      </w:r>
      <w:r w:rsidR="00881686">
        <w:fldChar w:fldCharType="separate"/>
      </w:r>
      <w:r w:rsidR="00881686">
        <w:t xml:space="preserve">Table </w:t>
      </w:r>
      <w:r w:rsidR="00881686">
        <w:rPr>
          <w:noProof/>
        </w:rPr>
        <w:t>5</w:t>
      </w:r>
      <w:r w:rsidR="00881686">
        <w:fldChar w:fldCharType="end"/>
      </w:r>
      <w:r w:rsidR="00A127ED">
        <w:t>)</w:t>
      </w:r>
      <w:r w:rsidR="00F45D53">
        <w:t>.</w:t>
      </w:r>
    </w:p>
    <w:p w14:paraId="25B5CEF5" w14:textId="21F7584A" w:rsidR="00F26D80" w:rsidRPr="00D91AA9" w:rsidRDefault="003B3F55" w:rsidP="00D56055">
      <w:pPr>
        <w:pStyle w:val="3-BodyText"/>
        <w:keepLines/>
        <w:numPr>
          <w:ilvl w:val="1"/>
          <w:numId w:val="2"/>
        </w:numPr>
      </w:pPr>
      <w:r>
        <w:t xml:space="preserve">Utilisation of Ikervis </w:t>
      </w:r>
      <w:r w:rsidR="00F8692C">
        <w:t>(October 2021 to August 2025) and Cequa (June 2023 to August 2025) was</w:t>
      </w:r>
      <w:r w:rsidR="00551CE2">
        <w:t xml:space="preserve"> obtained from PBS statistics report and demonstrated sustained and growing demand of </w:t>
      </w:r>
      <w:r w:rsidR="000B3D92">
        <w:t>ciclosporin</w:t>
      </w:r>
      <w:r w:rsidR="00551CE2">
        <w:t xml:space="preserve"> eye drops</w:t>
      </w:r>
      <w:r w:rsidR="00EA1A42">
        <w:t xml:space="preserve">. </w:t>
      </w:r>
      <w:r w:rsidR="00A127ED">
        <w:t xml:space="preserve">The submission assumed </w:t>
      </w:r>
      <w:r w:rsidR="00844BC4">
        <w:t xml:space="preserve">that Vevye will have a market share of </w:t>
      </w:r>
      <w:r w:rsidR="009F0A50" w:rsidRPr="009F0A50">
        <w:rPr>
          <w:sz w:val="2"/>
          <w:highlight w:val="black"/>
        </w:rPr>
        <w:t>redacted content</w:t>
      </w:r>
      <w:r w:rsidR="00844BC4">
        <w:t xml:space="preserve">% in Year 1, increasing to </w:t>
      </w:r>
      <w:r w:rsidR="009F0A50" w:rsidRPr="009F0A50">
        <w:rPr>
          <w:sz w:val="2"/>
          <w:highlight w:val="black"/>
        </w:rPr>
        <w:t>redacted content</w:t>
      </w:r>
      <w:r w:rsidR="00844BC4">
        <w:t>% in Year 6.</w:t>
      </w:r>
      <w:r w:rsidR="00F45D53">
        <w:t xml:space="preserve"> </w:t>
      </w:r>
      <w:r w:rsidR="000F1468" w:rsidRPr="00D91AA9">
        <w:t>No further information was provided on the market share approach utilised.</w:t>
      </w:r>
    </w:p>
    <w:p w14:paraId="5776D7DB" w14:textId="2A90855F" w:rsidR="00272DE5" w:rsidRPr="00696BA9" w:rsidRDefault="00D70349" w:rsidP="008C4823">
      <w:pPr>
        <w:pStyle w:val="ListParagraph"/>
        <w:numPr>
          <w:ilvl w:val="0"/>
          <w:numId w:val="0"/>
        </w:numPr>
        <w:ind w:left="1077"/>
      </w:pPr>
      <w:r w:rsidRPr="00A6439B">
        <w:t xml:space="preserve"> </w:t>
      </w:r>
    </w:p>
    <w:p w14:paraId="6272A1E7" w14:textId="60AF7E1B" w:rsidR="00881686" w:rsidRPr="00881686" w:rsidRDefault="00502990" w:rsidP="00502990">
      <w:pPr>
        <w:pStyle w:val="Caption"/>
        <w:keepNext/>
        <w:keepLines/>
        <w:rPr>
          <w:color w:val="auto"/>
        </w:rPr>
      </w:pPr>
      <w:r>
        <w:lastRenderedPageBreak/>
        <w:t xml:space="preserve">Table </w:t>
      </w:r>
      <w:fldSimple w:instr=" SEQ Table \* ARABIC ">
        <w:r>
          <w:rPr>
            <w:noProof/>
          </w:rPr>
          <w:t>5</w:t>
        </w:r>
      </w:fldSimple>
      <w:r w:rsidRPr="00881686">
        <w:rPr>
          <w:color w:val="auto"/>
        </w:rPr>
        <w:t>: 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Estimated use and financial implications"/>
      </w:tblPr>
      <w:tblGrid>
        <w:gridCol w:w="2015"/>
        <w:gridCol w:w="1166"/>
        <w:gridCol w:w="1167"/>
        <w:gridCol w:w="1167"/>
        <w:gridCol w:w="1167"/>
        <w:gridCol w:w="1167"/>
        <w:gridCol w:w="1167"/>
      </w:tblGrid>
      <w:tr w:rsidR="00881686" w:rsidRPr="00881686" w14:paraId="50517F09" w14:textId="77777777" w:rsidTr="00AE698F">
        <w:trPr>
          <w:cantSplit/>
          <w:tblHeader/>
          <w:jc w:val="center"/>
        </w:trPr>
        <w:tc>
          <w:tcPr>
            <w:tcW w:w="1118" w:type="pct"/>
            <w:vAlign w:val="center"/>
          </w:tcPr>
          <w:p w14:paraId="146FDDC6" w14:textId="77777777" w:rsidR="00D70349" w:rsidRPr="00881686" w:rsidRDefault="00D70349" w:rsidP="00502990">
            <w:pPr>
              <w:pStyle w:val="TableText0"/>
              <w:keepLines/>
              <w:widowControl w:val="0"/>
            </w:pPr>
          </w:p>
        </w:tc>
        <w:tc>
          <w:tcPr>
            <w:tcW w:w="647" w:type="pct"/>
            <w:vAlign w:val="center"/>
          </w:tcPr>
          <w:p w14:paraId="229BAAA8" w14:textId="77777777" w:rsidR="00D70349" w:rsidRPr="00881686" w:rsidRDefault="00D70349" w:rsidP="00502990">
            <w:pPr>
              <w:pStyle w:val="TableText0"/>
              <w:keepLines/>
              <w:widowControl w:val="0"/>
              <w:rPr>
                <w:b/>
              </w:rPr>
            </w:pPr>
            <w:r w:rsidRPr="00881686">
              <w:rPr>
                <w:b/>
              </w:rPr>
              <w:t>Year 1</w:t>
            </w:r>
          </w:p>
        </w:tc>
        <w:tc>
          <w:tcPr>
            <w:tcW w:w="647" w:type="pct"/>
            <w:vAlign w:val="center"/>
          </w:tcPr>
          <w:p w14:paraId="48EEAB93" w14:textId="77777777" w:rsidR="00D70349" w:rsidRPr="00881686" w:rsidRDefault="00D70349" w:rsidP="00502990">
            <w:pPr>
              <w:pStyle w:val="TableText0"/>
              <w:keepLines/>
              <w:widowControl w:val="0"/>
              <w:rPr>
                <w:b/>
              </w:rPr>
            </w:pPr>
            <w:r w:rsidRPr="00881686">
              <w:rPr>
                <w:b/>
              </w:rPr>
              <w:t>Year 2</w:t>
            </w:r>
          </w:p>
        </w:tc>
        <w:tc>
          <w:tcPr>
            <w:tcW w:w="647" w:type="pct"/>
            <w:vAlign w:val="center"/>
          </w:tcPr>
          <w:p w14:paraId="0738F741" w14:textId="77777777" w:rsidR="00D70349" w:rsidRPr="00881686" w:rsidRDefault="00D70349" w:rsidP="00502990">
            <w:pPr>
              <w:pStyle w:val="TableText0"/>
              <w:keepLines/>
              <w:widowControl w:val="0"/>
              <w:rPr>
                <w:b/>
              </w:rPr>
            </w:pPr>
            <w:r w:rsidRPr="00881686">
              <w:rPr>
                <w:b/>
              </w:rPr>
              <w:t>Year 3</w:t>
            </w:r>
          </w:p>
        </w:tc>
        <w:tc>
          <w:tcPr>
            <w:tcW w:w="647" w:type="pct"/>
            <w:vAlign w:val="center"/>
          </w:tcPr>
          <w:p w14:paraId="2F722BB7" w14:textId="77777777" w:rsidR="00D70349" w:rsidRPr="00881686" w:rsidRDefault="00D70349" w:rsidP="00502990">
            <w:pPr>
              <w:pStyle w:val="TableText0"/>
              <w:keepLines/>
              <w:widowControl w:val="0"/>
              <w:rPr>
                <w:b/>
              </w:rPr>
            </w:pPr>
            <w:r w:rsidRPr="00881686">
              <w:rPr>
                <w:b/>
              </w:rPr>
              <w:t>Year 4</w:t>
            </w:r>
          </w:p>
        </w:tc>
        <w:tc>
          <w:tcPr>
            <w:tcW w:w="647" w:type="pct"/>
            <w:vAlign w:val="center"/>
          </w:tcPr>
          <w:p w14:paraId="4A03E0AC" w14:textId="77777777" w:rsidR="00D70349" w:rsidRPr="00881686" w:rsidRDefault="00D70349" w:rsidP="00502990">
            <w:pPr>
              <w:pStyle w:val="TableText0"/>
              <w:keepLines/>
              <w:widowControl w:val="0"/>
              <w:rPr>
                <w:b/>
              </w:rPr>
            </w:pPr>
            <w:r w:rsidRPr="00881686">
              <w:rPr>
                <w:b/>
              </w:rPr>
              <w:t>Year 5</w:t>
            </w:r>
          </w:p>
        </w:tc>
        <w:tc>
          <w:tcPr>
            <w:tcW w:w="647" w:type="pct"/>
          </w:tcPr>
          <w:p w14:paraId="11CF147B" w14:textId="77777777" w:rsidR="00D70349" w:rsidRPr="00881686" w:rsidRDefault="00D70349" w:rsidP="00502990">
            <w:pPr>
              <w:pStyle w:val="TableText0"/>
              <w:keepLines/>
              <w:widowControl w:val="0"/>
              <w:rPr>
                <w:b/>
              </w:rPr>
            </w:pPr>
            <w:r w:rsidRPr="00881686">
              <w:rPr>
                <w:b/>
              </w:rPr>
              <w:t>Year 6</w:t>
            </w:r>
          </w:p>
        </w:tc>
      </w:tr>
      <w:tr w:rsidR="00881686" w:rsidRPr="00881686" w14:paraId="07125BC5" w14:textId="77777777" w:rsidTr="00AE698F">
        <w:trPr>
          <w:cantSplit/>
          <w:jc w:val="center"/>
        </w:trPr>
        <w:tc>
          <w:tcPr>
            <w:tcW w:w="5000" w:type="pct"/>
            <w:gridSpan w:val="7"/>
            <w:vAlign w:val="center"/>
          </w:tcPr>
          <w:p w14:paraId="618359A1" w14:textId="77777777" w:rsidR="00D70349" w:rsidRPr="00881686" w:rsidRDefault="00D70349" w:rsidP="00502990">
            <w:pPr>
              <w:pStyle w:val="TableText0"/>
              <w:keepLines/>
              <w:widowControl w:val="0"/>
              <w:rPr>
                <w:b/>
              </w:rPr>
            </w:pPr>
            <w:r w:rsidRPr="00881686">
              <w:rPr>
                <w:b/>
              </w:rPr>
              <w:t>Estimated extent of use</w:t>
            </w:r>
          </w:p>
        </w:tc>
      </w:tr>
      <w:tr w:rsidR="00881686" w:rsidRPr="00881686" w14:paraId="5D4B879C" w14:textId="77777777" w:rsidTr="00AE698F">
        <w:trPr>
          <w:cantSplit/>
          <w:jc w:val="center"/>
        </w:trPr>
        <w:tc>
          <w:tcPr>
            <w:tcW w:w="1118" w:type="pct"/>
            <w:vAlign w:val="center"/>
          </w:tcPr>
          <w:p w14:paraId="3D1A83AD" w14:textId="1DFCC80F" w:rsidR="0055662E" w:rsidRPr="00881686" w:rsidRDefault="00EA1A42" w:rsidP="00502990">
            <w:pPr>
              <w:pStyle w:val="TableText0"/>
              <w:keepLines/>
              <w:widowControl w:val="0"/>
            </w:pPr>
            <w:r w:rsidRPr="00881686">
              <w:t>Total ciclosporin s</w:t>
            </w:r>
            <w:r w:rsidR="0055662E" w:rsidRPr="00881686">
              <w:t>cripts dispensed</w:t>
            </w:r>
          </w:p>
        </w:tc>
        <w:tc>
          <w:tcPr>
            <w:tcW w:w="647" w:type="pct"/>
          </w:tcPr>
          <w:p w14:paraId="3D3A69E7" w14:textId="6C511949"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856E5B">
              <w:rPr>
                <w:vertAlign w:val="superscript"/>
              </w:rPr>
              <w:t>1</w:t>
            </w:r>
            <w:r w:rsidRPr="00881686">
              <w:t xml:space="preserve"> </w:t>
            </w:r>
          </w:p>
        </w:tc>
        <w:tc>
          <w:tcPr>
            <w:tcW w:w="647" w:type="pct"/>
          </w:tcPr>
          <w:p w14:paraId="04FD8588" w14:textId="11FE42FF"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856E5B">
              <w:rPr>
                <w:vertAlign w:val="superscript"/>
              </w:rPr>
              <w:t>2</w:t>
            </w:r>
            <w:r w:rsidRPr="00881686">
              <w:t xml:space="preserve"> </w:t>
            </w:r>
          </w:p>
        </w:tc>
        <w:tc>
          <w:tcPr>
            <w:tcW w:w="647" w:type="pct"/>
          </w:tcPr>
          <w:p w14:paraId="0CF8783E" w14:textId="201284EF"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856E5B">
              <w:rPr>
                <w:vertAlign w:val="superscript"/>
              </w:rPr>
              <w:t>2</w:t>
            </w:r>
            <w:r w:rsidRPr="00881686">
              <w:t xml:space="preserve"> </w:t>
            </w:r>
          </w:p>
        </w:tc>
        <w:tc>
          <w:tcPr>
            <w:tcW w:w="647" w:type="pct"/>
          </w:tcPr>
          <w:p w14:paraId="3329A117" w14:textId="089B0DA0"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856E5B">
              <w:rPr>
                <w:vertAlign w:val="superscript"/>
              </w:rPr>
              <w:t>2</w:t>
            </w:r>
            <w:r w:rsidRPr="00881686">
              <w:t xml:space="preserve"> </w:t>
            </w:r>
          </w:p>
        </w:tc>
        <w:tc>
          <w:tcPr>
            <w:tcW w:w="647" w:type="pct"/>
          </w:tcPr>
          <w:p w14:paraId="5F15BC88" w14:textId="58D0E438"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856E5B">
              <w:rPr>
                <w:vertAlign w:val="superscript"/>
              </w:rPr>
              <w:t>2</w:t>
            </w:r>
            <w:r w:rsidRPr="00881686">
              <w:t xml:space="preserve"> </w:t>
            </w:r>
          </w:p>
        </w:tc>
        <w:tc>
          <w:tcPr>
            <w:tcW w:w="647" w:type="pct"/>
          </w:tcPr>
          <w:p w14:paraId="5FEE8AB1" w14:textId="297BC511"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856E5B">
              <w:rPr>
                <w:vertAlign w:val="superscript"/>
              </w:rPr>
              <w:t>2</w:t>
            </w:r>
            <w:r w:rsidRPr="00881686">
              <w:t xml:space="preserve"> </w:t>
            </w:r>
          </w:p>
        </w:tc>
      </w:tr>
      <w:tr w:rsidR="00881686" w:rsidRPr="00881686" w14:paraId="5D5D440C" w14:textId="77777777" w:rsidTr="00AE698F">
        <w:trPr>
          <w:cantSplit/>
          <w:jc w:val="center"/>
        </w:trPr>
        <w:tc>
          <w:tcPr>
            <w:tcW w:w="1118" w:type="pct"/>
            <w:vAlign w:val="center"/>
          </w:tcPr>
          <w:p w14:paraId="359E474F" w14:textId="7E18D873" w:rsidR="0055662E" w:rsidRPr="00881686" w:rsidRDefault="0055662E" w:rsidP="00502990">
            <w:pPr>
              <w:pStyle w:val="TableText0"/>
              <w:keepLines/>
              <w:widowControl w:val="0"/>
              <w:rPr>
                <w:vertAlign w:val="superscript"/>
              </w:rPr>
            </w:pPr>
            <w:r w:rsidRPr="00881686">
              <w:t>Vevye scripts</w:t>
            </w:r>
          </w:p>
        </w:tc>
        <w:tc>
          <w:tcPr>
            <w:tcW w:w="647" w:type="pct"/>
          </w:tcPr>
          <w:p w14:paraId="14228129" w14:textId="240F6128"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9D73C1">
              <w:rPr>
                <w:vertAlign w:val="superscript"/>
              </w:rPr>
              <w:t>3</w:t>
            </w:r>
            <w:r w:rsidRPr="00881686">
              <w:t xml:space="preserve"> </w:t>
            </w:r>
          </w:p>
        </w:tc>
        <w:tc>
          <w:tcPr>
            <w:tcW w:w="647" w:type="pct"/>
          </w:tcPr>
          <w:p w14:paraId="0AC1C51C" w14:textId="437AB44D"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9D73C1">
              <w:rPr>
                <w:vertAlign w:val="superscript"/>
              </w:rPr>
              <w:t>3</w:t>
            </w:r>
            <w:r w:rsidRPr="00881686">
              <w:t xml:space="preserve"> </w:t>
            </w:r>
          </w:p>
        </w:tc>
        <w:tc>
          <w:tcPr>
            <w:tcW w:w="647" w:type="pct"/>
          </w:tcPr>
          <w:p w14:paraId="46B37406" w14:textId="6EECD421"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9D73C1">
              <w:rPr>
                <w:vertAlign w:val="superscript"/>
              </w:rPr>
              <w:t>3</w:t>
            </w:r>
            <w:r w:rsidRPr="00881686">
              <w:t xml:space="preserve"> </w:t>
            </w:r>
          </w:p>
        </w:tc>
        <w:tc>
          <w:tcPr>
            <w:tcW w:w="647" w:type="pct"/>
          </w:tcPr>
          <w:p w14:paraId="6D76F480" w14:textId="363DD015"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9D73C1">
              <w:rPr>
                <w:vertAlign w:val="superscript"/>
              </w:rPr>
              <w:t>4</w:t>
            </w:r>
            <w:r w:rsidRPr="00881686">
              <w:t xml:space="preserve"> </w:t>
            </w:r>
          </w:p>
        </w:tc>
        <w:tc>
          <w:tcPr>
            <w:tcW w:w="647" w:type="pct"/>
          </w:tcPr>
          <w:p w14:paraId="078EC90A" w14:textId="3A5F0F11"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9D73C1">
              <w:rPr>
                <w:vertAlign w:val="superscript"/>
              </w:rPr>
              <w:t>4</w:t>
            </w:r>
            <w:r w:rsidRPr="00881686">
              <w:t xml:space="preserve"> </w:t>
            </w:r>
          </w:p>
        </w:tc>
        <w:tc>
          <w:tcPr>
            <w:tcW w:w="647" w:type="pct"/>
          </w:tcPr>
          <w:p w14:paraId="0BC345E6" w14:textId="6ACA53C8" w:rsidR="0055662E" w:rsidRPr="00881686" w:rsidRDefault="0055662E" w:rsidP="00502990">
            <w:pPr>
              <w:pStyle w:val="TableText0"/>
              <w:keepLines/>
              <w:widowControl w:val="0"/>
              <w:jc w:val="right"/>
            </w:pPr>
            <w:r w:rsidRPr="00881686">
              <w:t xml:space="preserve"> </w:t>
            </w:r>
            <w:r w:rsidR="009F0A50" w:rsidRPr="009F0A50">
              <w:rPr>
                <w:sz w:val="2"/>
                <w:highlight w:val="black"/>
              </w:rPr>
              <w:t>redacted content</w:t>
            </w:r>
            <w:r w:rsidR="009D73C1">
              <w:rPr>
                <w:vertAlign w:val="superscript"/>
              </w:rPr>
              <w:t>4</w:t>
            </w:r>
          </w:p>
        </w:tc>
      </w:tr>
      <w:tr w:rsidR="00881686" w:rsidRPr="00881686" w14:paraId="046AEB1E" w14:textId="77777777" w:rsidTr="00AE698F">
        <w:trPr>
          <w:cantSplit/>
          <w:jc w:val="center"/>
        </w:trPr>
        <w:tc>
          <w:tcPr>
            <w:tcW w:w="5000" w:type="pct"/>
            <w:gridSpan w:val="7"/>
            <w:vAlign w:val="center"/>
          </w:tcPr>
          <w:p w14:paraId="750CBAE5" w14:textId="72D1CB83" w:rsidR="000C1AFF" w:rsidRPr="00881686" w:rsidRDefault="000C1AFF" w:rsidP="00502990">
            <w:pPr>
              <w:pStyle w:val="TableText0"/>
              <w:keepLines/>
              <w:widowControl w:val="0"/>
              <w:rPr>
                <w:b/>
              </w:rPr>
            </w:pPr>
            <w:r w:rsidRPr="00881686">
              <w:rPr>
                <w:b/>
              </w:rPr>
              <w:t xml:space="preserve">Estimated financial implications of </w:t>
            </w:r>
            <w:r w:rsidR="001B2326" w:rsidRPr="00881686">
              <w:rPr>
                <w:b/>
              </w:rPr>
              <w:t xml:space="preserve">Vevye </w:t>
            </w:r>
          </w:p>
        </w:tc>
      </w:tr>
      <w:tr w:rsidR="00881686" w:rsidRPr="00881686" w14:paraId="3993658E" w14:textId="77777777" w:rsidTr="00AE698F">
        <w:trPr>
          <w:cantSplit/>
          <w:jc w:val="center"/>
        </w:trPr>
        <w:tc>
          <w:tcPr>
            <w:tcW w:w="1118" w:type="pct"/>
            <w:vAlign w:val="center"/>
          </w:tcPr>
          <w:p w14:paraId="375802A8" w14:textId="66CD9F01" w:rsidR="004C1A67" w:rsidRPr="00881686" w:rsidRDefault="00285C97" w:rsidP="00502990">
            <w:pPr>
              <w:pStyle w:val="TableText0"/>
              <w:keepLines/>
              <w:widowControl w:val="0"/>
            </w:pPr>
            <w:r w:rsidRPr="00881686">
              <w:t>C</w:t>
            </w:r>
            <w:r w:rsidR="004C1A67" w:rsidRPr="00881686">
              <w:t xml:space="preserve">ost to PBS/RPBS </w:t>
            </w:r>
            <w:r w:rsidR="00BD377B">
              <w:t>less co-payments</w:t>
            </w:r>
          </w:p>
        </w:tc>
        <w:tc>
          <w:tcPr>
            <w:tcW w:w="647" w:type="pct"/>
          </w:tcPr>
          <w:p w14:paraId="466AAD3D" w14:textId="7BD3B9AC" w:rsidR="004C1A67" w:rsidRPr="00881686" w:rsidRDefault="004C1A67" w:rsidP="00502990">
            <w:pPr>
              <w:pStyle w:val="TableText0"/>
              <w:keepLines/>
              <w:widowControl w:val="0"/>
              <w:jc w:val="right"/>
            </w:pPr>
            <w:r w:rsidRPr="00881686">
              <w:t xml:space="preserve"> $</w:t>
            </w:r>
            <w:r w:rsidR="009F0A50" w:rsidRPr="009F0A50">
              <w:rPr>
                <w:sz w:val="2"/>
                <w:highlight w:val="black"/>
              </w:rPr>
              <w:t>redacted content</w:t>
            </w:r>
            <w:r w:rsidR="00265EF7">
              <w:rPr>
                <w:vertAlign w:val="superscript"/>
              </w:rPr>
              <w:t>5</w:t>
            </w:r>
            <w:r w:rsidRPr="00881686">
              <w:t xml:space="preserve"> </w:t>
            </w:r>
          </w:p>
        </w:tc>
        <w:tc>
          <w:tcPr>
            <w:tcW w:w="647" w:type="pct"/>
          </w:tcPr>
          <w:p w14:paraId="0584DE92" w14:textId="46E2FE2C" w:rsidR="004C1A67" w:rsidRPr="00881686" w:rsidRDefault="004C1A67" w:rsidP="00502990">
            <w:pPr>
              <w:pStyle w:val="TableText0"/>
              <w:keepLines/>
              <w:widowControl w:val="0"/>
              <w:jc w:val="right"/>
            </w:pPr>
            <w:r w:rsidRPr="00881686">
              <w:t xml:space="preserve"> $</w:t>
            </w:r>
            <w:r w:rsidR="009F0A50" w:rsidRPr="009F0A50">
              <w:rPr>
                <w:sz w:val="2"/>
                <w:highlight w:val="black"/>
              </w:rPr>
              <w:t>redacted content</w:t>
            </w:r>
            <w:r w:rsidR="00265EF7">
              <w:rPr>
                <w:vertAlign w:val="superscript"/>
              </w:rPr>
              <w:t>5</w:t>
            </w:r>
            <w:r w:rsidRPr="00881686">
              <w:t xml:space="preserve"> </w:t>
            </w:r>
          </w:p>
        </w:tc>
        <w:tc>
          <w:tcPr>
            <w:tcW w:w="647" w:type="pct"/>
          </w:tcPr>
          <w:p w14:paraId="555B3F9C" w14:textId="11D0A1B3" w:rsidR="004C1A67" w:rsidRPr="00881686" w:rsidRDefault="004C1A67" w:rsidP="00502990">
            <w:pPr>
              <w:pStyle w:val="TableText0"/>
              <w:keepLines/>
              <w:widowControl w:val="0"/>
              <w:jc w:val="right"/>
            </w:pPr>
            <w:r w:rsidRPr="00881686">
              <w:t xml:space="preserve"> $</w:t>
            </w:r>
            <w:r w:rsidR="009F0A50" w:rsidRPr="009F0A50">
              <w:rPr>
                <w:sz w:val="2"/>
                <w:highlight w:val="black"/>
              </w:rPr>
              <w:t>redacted content</w:t>
            </w:r>
            <w:r w:rsidR="00265EF7">
              <w:rPr>
                <w:vertAlign w:val="superscript"/>
              </w:rPr>
              <w:t>5</w:t>
            </w:r>
            <w:r w:rsidRPr="00881686">
              <w:t xml:space="preserve"> </w:t>
            </w:r>
          </w:p>
        </w:tc>
        <w:tc>
          <w:tcPr>
            <w:tcW w:w="647" w:type="pct"/>
          </w:tcPr>
          <w:p w14:paraId="28A422D5" w14:textId="7C5577A4" w:rsidR="004C1A67" w:rsidRPr="00881686" w:rsidRDefault="004C1A67" w:rsidP="00502990">
            <w:pPr>
              <w:pStyle w:val="TableText0"/>
              <w:keepLines/>
              <w:widowControl w:val="0"/>
              <w:jc w:val="right"/>
            </w:pPr>
            <w:r w:rsidRPr="00881686">
              <w:t xml:space="preserve"> $</w:t>
            </w:r>
            <w:r w:rsidR="009F0A50" w:rsidRPr="009F0A50">
              <w:rPr>
                <w:sz w:val="2"/>
                <w:highlight w:val="black"/>
              </w:rPr>
              <w:t>redacted content</w:t>
            </w:r>
            <w:r w:rsidR="00265EF7">
              <w:rPr>
                <w:vertAlign w:val="superscript"/>
              </w:rPr>
              <w:t>5</w:t>
            </w:r>
            <w:r w:rsidRPr="00881686">
              <w:t xml:space="preserve"> </w:t>
            </w:r>
          </w:p>
        </w:tc>
        <w:tc>
          <w:tcPr>
            <w:tcW w:w="647" w:type="pct"/>
          </w:tcPr>
          <w:p w14:paraId="3BD91315" w14:textId="09CCE0AF" w:rsidR="004C1A67" w:rsidRPr="00881686" w:rsidRDefault="004C1A67" w:rsidP="00265EF7">
            <w:pPr>
              <w:pStyle w:val="TableText0"/>
              <w:keepLines/>
              <w:widowControl w:val="0"/>
              <w:jc w:val="right"/>
            </w:pPr>
            <w:r w:rsidRPr="00881686">
              <w:t>$</w:t>
            </w:r>
            <w:r w:rsidR="009F0A50" w:rsidRPr="009F0A50">
              <w:rPr>
                <w:sz w:val="2"/>
                <w:highlight w:val="black"/>
              </w:rPr>
              <w:t>redacted content</w:t>
            </w:r>
            <w:r w:rsidR="00265EF7">
              <w:rPr>
                <w:vertAlign w:val="superscript"/>
              </w:rPr>
              <w:t>5</w:t>
            </w:r>
          </w:p>
        </w:tc>
        <w:tc>
          <w:tcPr>
            <w:tcW w:w="647" w:type="pct"/>
          </w:tcPr>
          <w:p w14:paraId="11BDCDF8" w14:textId="533236AB" w:rsidR="004C1A67" w:rsidRPr="00881686" w:rsidRDefault="004C1A67" w:rsidP="00502990">
            <w:pPr>
              <w:pStyle w:val="TableText0"/>
              <w:keepLines/>
              <w:widowControl w:val="0"/>
              <w:jc w:val="right"/>
            </w:pPr>
            <w:r w:rsidRPr="00881686">
              <w:t xml:space="preserve"> $</w:t>
            </w:r>
            <w:r w:rsidR="009F0A50" w:rsidRPr="009F0A50">
              <w:rPr>
                <w:sz w:val="2"/>
                <w:highlight w:val="black"/>
              </w:rPr>
              <w:t>redacted content</w:t>
            </w:r>
            <w:r w:rsidR="00265EF7">
              <w:rPr>
                <w:vertAlign w:val="superscript"/>
              </w:rPr>
              <w:t>5</w:t>
            </w:r>
            <w:r w:rsidRPr="00881686">
              <w:t xml:space="preserve"> </w:t>
            </w:r>
          </w:p>
        </w:tc>
      </w:tr>
      <w:tr w:rsidR="00881686" w:rsidRPr="00881686" w14:paraId="39B4F20E" w14:textId="77777777" w:rsidTr="00AE698F">
        <w:trPr>
          <w:cantSplit/>
          <w:jc w:val="center"/>
        </w:trPr>
        <w:tc>
          <w:tcPr>
            <w:tcW w:w="5000" w:type="pct"/>
            <w:gridSpan w:val="7"/>
            <w:vAlign w:val="center"/>
          </w:tcPr>
          <w:p w14:paraId="726221BB" w14:textId="48903945" w:rsidR="00D70349" w:rsidRPr="00881686" w:rsidRDefault="001B2326" w:rsidP="00502990">
            <w:pPr>
              <w:pStyle w:val="TableText0"/>
              <w:keepLines/>
              <w:widowControl w:val="0"/>
              <w:rPr>
                <w:b/>
              </w:rPr>
            </w:pPr>
            <w:bookmarkStart w:id="5" w:name="_Hlk88815214"/>
            <w:r w:rsidRPr="00881686">
              <w:rPr>
                <w:b/>
              </w:rPr>
              <w:t xml:space="preserve">Estimated </w:t>
            </w:r>
            <w:r w:rsidR="00FF75D3" w:rsidRPr="00881686">
              <w:rPr>
                <w:b/>
              </w:rPr>
              <w:t>treatment replaced</w:t>
            </w:r>
          </w:p>
        </w:tc>
      </w:tr>
      <w:tr w:rsidR="00881686" w:rsidRPr="00881686" w14:paraId="0FD2440D" w14:textId="77777777" w:rsidTr="00AE698F">
        <w:trPr>
          <w:cantSplit/>
          <w:jc w:val="center"/>
        </w:trPr>
        <w:tc>
          <w:tcPr>
            <w:tcW w:w="1118" w:type="pct"/>
            <w:vAlign w:val="center"/>
          </w:tcPr>
          <w:p w14:paraId="62429C1D" w14:textId="0A2CCD77" w:rsidR="00FA7CCA" w:rsidRPr="00881686" w:rsidRDefault="00FA7CCA" w:rsidP="00502990">
            <w:pPr>
              <w:pStyle w:val="TableText0"/>
              <w:keepLines/>
              <w:widowControl w:val="0"/>
            </w:pPr>
            <w:r w:rsidRPr="00881686">
              <w:t>Cequa</w:t>
            </w:r>
          </w:p>
        </w:tc>
        <w:tc>
          <w:tcPr>
            <w:tcW w:w="647" w:type="pct"/>
          </w:tcPr>
          <w:p w14:paraId="306BFF92" w14:textId="5EBC2F65"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6</w:t>
            </w:r>
            <w:r w:rsidRPr="00881686">
              <w:t xml:space="preserve"> </w:t>
            </w:r>
          </w:p>
        </w:tc>
        <w:tc>
          <w:tcPr>
            <w:tcW w:w="647" w:type="pct"/>
          </w:tcPr>
          <w:p w14:paraId="3A384142" w14:textId="02186D2E"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3</w:t>
            </w:r>
            <w:r w:rsidRPr="00881686">
              <w:t xml:space="preserve"> </w:t>
            </w:r>
          </w:p>
        </w:tc>
        <w:tc>
          <w:tcPr>
            <w:tcW w:w="647" w:type="pct"/>
          </w:tcPr>
          <w:p w14:paraId="1B2C43D1" w14:textId="58D66237"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3</w:t>
            </w:r>
            <w:r w:rsidRPr="00881686">
              <w:t xml:space="preserve"> </w:t>
            </w:r>
          </w:p>
        </w:tc>
        <w:tc>
          <w:tcPr>
            <w:tcW w:w="647" w:type="pct"/>
          </w:tcPr>
          <w:p w14:paraId="0C325D4E" w14:textId="3B8A2D52"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3</w:t>
            </w:r>
            <w:r w:rsidRPr="00881686">
              <w:t xml:space="preserve"> </w:t>
            </w:r>
          </w:p>
        </w:tc>
        <w:tc>
          <w:tcPr>
            <w:tcW w:w="647" w:type="pct"/>
          </w:tcPr>
          <w:p w14:paraId="03322B8B" w14:textId="00B9A5FF"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3</w:t>
            </w:r>
            <w:r w:rsidRPr="00881686">
              <w:t xml:space="preserve"> </w:t>
            </w:r>
          </w:p>
        </w:tc>
        <w:tc>
          <w:tcPr>
            <w:tcW w:w="647" w:type="pct"/>
          </w:tcPr>
          <w:p w14:paraId="36BD1B6F" w14:textId="474CF44B"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3</w:t>
            </w:r>
          </w:p>
        </w:tc>
      </w:tr>
      <w:tr w:rsidR="00881686" w:rsidRPr="00881686" w14:paraId="7AEFA471" w14:textId="77777777" w:rsidTr="00AE698F">
        <w:trPr>
          <w:cantSplit/>
          <w:jc w:val="center"/>
        </w:trPr>
        <w:tc>
          <w:tcPr>
            <w:tcW w:w="1118" w:type="pct"/>
            <w:vAlign w:val="center"/>
          </w:tcPr>
          <w:p w14:paraId="4B79BE09" w14:textId="7F51A14E" w:rsidR="00FA7CCA" w:rsidRPr="00881686" w:rsidRDefault="00FA7CCA" w:rsidP="00502990">
            <w:pPr>
              <w:pStyle w:val="TableText0"/>
              <w:keepLines/>
              <w:widowControl w:val="0"/>
            </w:pPr>
            <w:r w:rsidRPr="00881686">
              <w:t>Ikervis</w:t>
            </w:r>
          </w:p>
        </w:tc>
        <w:tc>
          <w:tcPr>
            <w:tcW w:w="647" w:type="pct"/>
          </w:tcPr>
          <w:p w14:paraId="187C2D7F" w14:textId="5EFABEF4"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3</w:t>
            </w:r>
            <w:r w:rsidRPr="00881686">
              <w:t xml:space="preserve"> </w:t>
            </w:r>
          </w:p>
        </w:tc>
        <w:tc>
          <w:tcPr>
            <w:tcW w:w="647" w:type="pct"/>
          </w:tcPr>
          <w:p w14:paraId="6EEA2CE3" w14:textId="48694886"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3</w:t>
            </w:r>
            <w:r w:rsidRPr="00881686">
              <w:t xml:space="preserve"> </w:t>
            </w:r>
          </w:p>
        </w:tc>
        <w:tc>
          <w:tcPr>
            <w:tcW w:w="647" w:type="pct"/>
          </w:tcPr>
          <w:p w14:paraId="28C8F2CF" w14:textId="25AD0475"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3</w:t>
            </w:r>
            <w:r w:rsidRPr="00881686">
              <w:t xml:space="preserve"> </w:t>
            </w:r>
          </w:p>
        </w:tc>
        <w:tc>
          <w:tcPr>
            <w:tcW w:w="647" w:type="pct"/>
          </w:tcPr>
          <w:p w14:paraId="4017A9DE" w14:textId="40CCEA0F"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Pr="00881686">
              <w:t xml:space="preserve"> </w:t>
            </w:r>
            <w:r w:rsidR="00D60CFE">
              <w:rPr>
                <w:vertAlign w:val="superscript"/>
              </w:rPr>
              <w:t>3</w:t>
            </w:r>
          </w:p>
        </w:tc>
        <w:tc>
          <w:tcPr>
            <w:tcW w:w="647" w:type="pct"/>
          </w:tcPr>
          <w:p w14:paraId="66DC8C1A" w14:textId="6E3D288D"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D60CFE">
              <w:rPr>
                <w:vertAlign w:val="superscript"/>
              </w:rPr>
              <w:t>3</w:t>
            </w:r>
            <w:r w:rsidRPr="00881686">
              <w:t xml:space="preserve"> </w:t>
            </w:r>
          </w:p>
        </w:tc>
        <w:tc>
          <w:tcPr>
            <w:tcW w:w="647" w:type="pct"/>
          </w:tcPr>
          <w:p w14:paraId="35F7B536" w14:textId="113DEBA5"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2D01FE">
              <w:rPr>
                <w:vertAlign w:val="superscript"/>
              </w:rPr>
              <w:t>4</w:t>
            </w:r>
            <w:r w:rsidRPr="00881686">
              <w:t xml:space="preserve"> </w:t>
            </w:r>
          </w:p>
        </w:tc>
      </w:tr>
      <w:tr w:rsidR="00881686" w:rsidRPr="00881686" w14:paraId="6C9EC32D" w14:textId="77777777" w:rsidTr="00AE698F">
        <w:trPr>
          <w:cantSplit/>
          <w:jc w:val="center"/>
        </w:trPr>
        <w:tc>
          <w:tcPr>
            <w:tcW w:w="1118" w:type="pct"/>
            <w:vAlign w:val="center"/>
          </w:tcPr>
          <w:p w14:paraId="2DD42E3B" w14:textId="5198492B" w:rsidR="00FA7CCA" w:rsidRPr="00881686" w:rsidRDefault="00FA7CCA" w:rsidP="00502990">
            <w:pPr>
              <w:pStyle w:val="TableText0"/>
              <w:keepLines/>
              <w:widowControl w:val="0"/>
            </w:pPr>
            <w:r w:rsidRPr="00881686">
              <w:t>Total</w:t>
            </w:r>
            <w:r w:rsidR="00D920CD" w:rsidRPr="00881686">
              <w:t xml:space="preserve"> scripts</w:t>
            </w:r>
          </w:p>
        </w:tc>
        <w:tc>
          <w:tcPr>
            <w:tcW w:w="647" w:type="pct"/>
          </w:tcPr>
          <w:p w14:paraId="3FFE69BF" w14:textId="1BF44B8E"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2D01FE">
              <w:rPr>
                <w:vertAlign w:val="superscript"/>
              </w:rPr>
              <w:t>3</w:t>
            </w:r>
            <w:r w:rsidRPr="00881686">
              <w:t xml:space="preserve"> </w:t>
            </w:r>
          </w:p>
        </w:tc>
        <w:tc>
          <w:tcPr>
            <w:tcW w:w="647" w:type="pct"/>
          </w:tcPr>
          <w:p w14:paraId="1E2B95D6" w14:textId="440572ED"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2D01FE">
              <w:rPr>
                <w:vertAlign w:val="superscript"/>
              </w:rPr>
              <w:t>3</w:t>
            </w:r>
            <w:r w:rsidRPr="00881686">
              <w:t xml:space="preserve"> </w:t>
            </w:r>
          </w:p>
        </w:tc>
        <w:tc>
          <w:tcPr>
            <w:tcW w:w="647" w:type="pct"/>
          </w:tcPr>
          <w:p w14:paraId="091FF73B" w14:textId="2406FF1D"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2D01FE">
              <w:rPr>
                <w:vertAlign w:val="superscript"/>
              </w:rPr>
              <w:t>3</w:t>
            </w:r>
            <w:r w:rsidRPr="00881686">
              <w:t xml:space="preserve"> </w:t>
            </w:r>
          </w:p>
        </w:tc>
        <w:tc>
          <w:tcPr>
            <w:tcW w:w="647" w:type="pct"/>
          </w:tcPr>
          <w:p w14:paraId="2A5C46A9" w14:textId="2EB361A6"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2D01FE">
              <w:rPr>
                <w:vertAlign w:val="superscript"/>
              </w:rPr>
              <w:t>4</w:t>
            </w:r>
            <w:r w:rsidRPr="00881686">
              <w:t xml:space="preserve"> </w:t>
            </w:r>
          </w:p>
        </w:tc>
        <w:tc>
          <w:tcPr>
            <w:tcW w:w="647" w:type="pct"/>
          </w:tcPr>
          <w:p w14:paraId="310F8C06" w14:textId="07A69156"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2D01FE">
              <w:rPr>
                <w:vertAlign w:val="superscript"/>
              </w:rPr>
              <w:t>4</w:t>
            </w:r>
            <w:r w:rsidRPr="00881686">
              <w:t xml:space="preserve"> </w:t>
            </w:r>
          </w:p>
        </w:tc>
        <w:tc>
          <w:tcPr>
            <w:tcW w:w="647" w:type="pct"/>
          </w:tcPr>
          <w:p w14:paraId="3C7B98B9" w14:textId="692DDFC8" w:rsidR="00FA7CCA" w:rsidRPr="00881686" w:rsidRDefault="00FA7CCA" w:rsidP="00502990">
            <w:pPr>
              <w:pStyle w:val="TableText0"/>
              <w:keepLines/>
              <w:widowControl w:val="0"/>
              <w:jc w:val="right"/>
            </w:pPr>
            <w:r w:rsidRPr="00881686">
              <w:t>-</w:t>
            </w:r>
            <w:r w:rsidR="009F0A50" w:rsidRPr="009F0A50">
              <w:rPr>
                <w:sz w:val="2"/>
                <w:highlight w:val="black"/>
              </w:rPr>
              <w:t>redacted content</w:t>
            </w:r>
            <w:r w:rsidR="002D01FE">
              <w:rPr>
                <w:vertAlign w:val="superscript"/>
              </w:rPr>
              <w:t>4</w:t>
            </w:r>
            <w:r w:rsidRPr="00881686">
              <w:t xml:space="preserve"> </w:t>
            </w:r>
          </w:p>
        </w:tc>
      </w:tr>
      <w:tr w:rsidR="00881686" w:rsidRPr="00881686" w14:paraId="173E3739" w14:textId="77777777" w:rsidTr="00AE698F">
        <w:trPr>
          <w:cantSplit/>
          <w:jc w:val="center"/>
        </w:trPr>
        <w:tc>
          <w:tcPr>
            <w:tcW w:w="5000" w:type="pct"/>
            <w:gridSpan w:val="7"/>
            <w:vAlign w:val="center"/>
          </w:tcPr>
          <w:p w14:paraId="3BD937CB" w14:textId="5C0E5AE1" w:rsidR="00FF75D3" w:rsidRPr="00881686" w:rsidRDefault="00FF75D3" w:rsidP="00502990">
            <w:pPr>
              <w:pStyle w:val="TableText0"/>
              <w:keepLines/>
              <w:widowControl w:val="0"/>
              <w:rPr>
                <w:b/>
                <w:bCs w:val="0"/>
              </w:rPr>
            </w:pPr>
            <w:r w:rsidRPr="00881686">
              <w:rPr>
                <w:b/>
                <w:bCs w:val="0"/>
              </w:rPr>
              <w:t xml:space="preserve">Estimated financial implications of treatment replaced </w:t>
            </w:r>
          </w:p>
        </w:tc>
      </w:tr>
      <w:tr w:rsidR="00881686" w:rsidRPr="00881686" w14:paraId="5F183828" w14:textId="77777777" w:rsidTr="00AE698F">
        <w:trPr>
          <w:cantSplit/>
          <w:jc w:val="center"/>
        </w:trPr>
        <w:tc>
          <w:tcPr>
            <w:tcW w:w="1118" w:type="pct"/>
          </w:tcPr>
          <w:p w14:paraId="6DB6C4F2" w14:textId="754AEE9A" w:rsidR="00770A5A" w:rsidRPr="00881686" w:rsidRDefault="00770A5A" w:rsidP="00502990">
            <w:pPr>
              <w:pStyle w:val="TableText0"/>
              <w:keepLines/>
              <w:widowControl w:val="0"/>
            </w:pPr>
            <w:r w:rsidRPr="00881686">
              <w:t>Cequa</w:t>
            </w:r>
          </w:p>
        </w:tc>
        <w:tc>
          <w:tcPr>
            <w:tcW w:w="647" w:type="pct"/>
          </w:tcPr>
          <w:p w14:paraId="17AE6B28" w14:textId="2B91F781"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19519F19" w14:textId="7CB1266F"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6B513315" w14:textId="62A03909"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2521A4E4" w14:textId="4EA149D5"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16BF86D6" w14:textId="649A0979"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4CA48892" w14:textId="7E162351" w:rsidR="00770A5A" w:rsidRPr="00881686" w:rsidRDefault="00E02845" w:rsidP="00502990">
            <w:pPr>
              <w:pStyle w:val="TableText0"/>
              <w:keepLines/>
              <w:widowControl w:val="0"/>
              <w:jc w:val="right"/>
            </w:pPr>
            <w:r w:rsidRPr="00881686">
              <w:t>-</w:t>
            </w:r>
            <w:r w:rsidR="00770A5A" w:rsidRPr="00881686">
              <w:t>$</w:t>
            </w:r>
            <w:r w:rsidR="009F0A50" w:rsidRPr="009F0A50">
              <w:rPr>
                <w:sz w:val="2"/>
                <w:highlight w:val="black"/>
              </w:rPr>
              <w:t>redacted content</w:t>
            </w:r>
            <w:r w:rsidR="00CA68D0">
              <w:rPr>
                <w:vertAlign w:val="superscript"/>
              </w:rPr>
              <w:t>7</w:t>
            </w:r>
            <w:r w:rsidR="00770A5A" w:rsidRPr="00881686">
              <w:t xml:space="preserve"> </w:t>
            </w:r>
          </w:p>
        </w:tc>
      </w:tr>
      <w:tr w:rsidR="00881686" w:rsidRPr="00881686" w14:paraId="24C54EF3" w14:textId="77777777" w:rsidTr="00AE698F">
        <w:trPr>
          <w:cantSplit/>
          <w:jc w:val="center"/>
        </w:trPr>
        <w:tc>
          <w:tcPr>
            <w:tcW w:w="1118" w:type="pct"/>
          </w:tcPr>
          <w:p w14:paraId="08101132" w14:textId="4B9A4656" w:rsidR="00770A5A" w:rsidRPr="00881686" w:rsidRDefault="00770A5A" w:rsidP="00502990">
            <w:pPr>
              <w:pStyle w:val="TableText0"/>
              <w:keepLines/>
              <w:widowControl w:val="0"/>
            </w:pPr>
            <w:r w:rsidRPr="00881686">
              <w:t>Ikervis</w:t>
            </w:r>
          </w:p>
        </w:tc>
        <w:tc>
          <w:tcPr>
            <w:tcW w:w="647" w:type="pct"/>
          </w:tcPr>
          <w:p w14:paraId="6B706B3A" w14:textId="22D6827B"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52CE7586" w14:textId="4E3B5B61"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557F6D6B" w14:textId="2B04FDD7"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1495969D" w14:textId="62BE939D"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49BFB85C" w14:textId="44B0EF57"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5B108B85" w14:textId="2BF200F3"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r>
      <w:tr w:rsidR="00881686" w:rsidRPr="00881686" w14:paraId="06678161" w14:textId="77777777" w:rsidTr="00AE698F">
        <w:trPr>
          <w:cantSplit/>
          <w:jc w:val="center"/>
        </w:trPr>
        <w:tc>
          <w:tcPr>
            <w:tcW w:w="1118" w:type="pct"/>
          </w:tcPr>
          <w:p w14:paraId="727CF1E5" w14:textId="7E8E7181" w:rsidR="00770A5A" w:rsidRPr="00881686" w:rsidRDefault="00440B33" w:rsidP="00502990">
            <w:pPr>
              <w:pStyle w:val="TableText0"/>
              <w:keepLines/>
              <w:widowControl w:val="0"/>
            </w:pPr>
            <w:r w:rsidRPr="00881686">
              <w:t xml:space="preserve">Cost </w:t>
            </w:r>
            <w:r w:rsidR="00E02845" w:rsidRPr="00881686">
              <w:t>to PBS/RPBS</w:t>
            </w:r>
            <w:r w:rsidR="00BD377B">
              <w:t xml:space="preserve"> less co-payments</w:t>
            </w:r>
          </w:p>
        </w:tc>
        <w:tc>
          <w:tcPr>
            <w:tcW w:w="647" w:type="pct"/>
          </w:tcPr>
          <w:p w14:paraId="3E58C61E" w14:textId="747BE250"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6EB54456" w14:textId="3016F1A0"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3B0B9679" w14:textId="6F6A5A2F"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469863EB" w14:textId="0FC060DF"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c>
          <w:tcPr>
            <w:tcW w:w="647" w:type="pct"/>
          </w:tcPr>
          <w:p w14:paraId="5F3DFE8B" w14:textId="58D82C3A"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4915AD">
              <w:rPr>
                <w:vertAlign w:val="superscript"/>
              </w:rPr>
              <w:t>5</w:t>
            </w:r>
            <w:r w:rsidRPr="00881686">
              <w:t xml:space="preserve"> </w:t>
            </w:r>
          </w:p>
        </w:tc>
        <w:tc>
          <w:tcPr>
            <w:tcW w:w="647" w:type="pct"/>
          </w:tcPr>
          <w:p w14:paraId="685B01F8" w14:textId="546776CA" w:rsidR="00770A5A" w:rsidRPr="00881686" w:rsidRDefault="00770A5A" w:rsidP="00502990">
            <w:pPr>
              <w:pStyle w:val="TableText0"/>
              <w:keepLines/>
              <w:widowControl w:val="0"/>
              <w:jc w:val="right"/>
            </w:pPr>
            <w:r w:rsidRPr="00881686">
              <w:t xml:space="preserve"> </w:t>
            </w:r>
            <w:r w:rsidR="00E02845" w:rsidRPr="00881686">
              <w:t>-</w:t>
            </w:r>
            <w:r w:rsidRPr="00881686">
              <w:t>$</w:t>
            </w:r>
            <w:r w:rsidR="009F0A50" w:rsidRPr="009F0A50">
              <w:rPr>
                <w:sz w:val="2"/>
                <w:highlight w:val="black"/>
              </w:rPr>
              <w:t>redacted content</w:t>
            </w:r>
            <w:r w:rsidR="00CA68D0">
              <w:rPr>
                <w:vertAlign w:val="superscript"/>
              </w:rPr>
              <w:t>7</w:t>
            </w:r>
            <w:r w:rsidRPr="00881686">
              <w:t xml:space="preserve"> </w:t>
            </w:r>
          </w:p>
        </w:tc>
      </w:tr>
      <w:bookmarkEnd w:id="5"/>
      <w:tr w:rsidR="00881686" w:rsidRPr="00881686" w14:paraId="3CD835A0" w14:textId="77777777" w:rsidTr="00AE698F">
        <w:trPr>
          <w:cantSplit/>
          <w:jc w:val="center"/>
        </w:trPr>
        <w:tc>
          <w:tcPr>
            <w:tcW w:w="5000" w:type="pct"/>
            <w:gridSpan w:val="7"/>
            <w:vAlign w:val="center"/>
          </w:tcPr>
          <w:p w14:paraId="0717F32A" w14:textId="599CB1D7" w:rsidR="000C1AFF" w:rsidRPr="00881686" w:rsidRDefault="000C1AFF" w:rsidP="00502990">
            <w:pPr>
              <w:pStyle w:val="TableText0"/>
              <w:keepLines/>
              <w:widowControl w:val="0"/>
              <w:rPr>
                <w:b/>
                <w:bCs w:val="0"/>
              </w:rPr>
            </w:pPr>
            <w:r w:rsidRPr="00881686">
              <w:rPr>
                <w:b/>
                <w:bCs w:val="0"/>
              </w:rPr>
              <w:t>Net financial implications</w:t>
            </w:r>
          </w:p>
        </w:tc>
      </w:tr>
      <w:tr w:rsidR="00881686" w:rsidRPr="00881686" w14:paraId="6DC7AAF7" w14:textId="77777777" w:rsidTr="00AE698F">
        <w:trPr>
          <w:cantSplit/>
          <w:jc w:val="center"/>
        </w:trPr>
        <w:tc>
          <w:tcPr>
            <w:tcW w:w="1118" w:type="pct"/>
            <w:vAlign w:val="center"/>
          </w:tcPr>
          <w:p w14:paraId="41FA959D" w14:textId="6A62CDCD" w:rsidR="009534C7" w:rsidRPr="00881686" w:rsidRDefault="000C1AFF" w:rsidP="00502990">
            <w:pPr>
              <w:pStyle w:val="TableText0"/>
              <w:keepLines/>
              <w:widowControl w:val="0"/>
            </w:pPr>
            <w:r w:rsidRPr="00881686">
              <w:t>Net cost to PBS/RPBS</w:t>
            </w:r>
          </w:p>
        </w:tc>
        <w:tc>
          <w:tcPr>
            <w:tcW w:w="647" w:type="pct"/>
            <w:vAlign w:val="center"/>
          </w:tcPr>
          <w:p w14:paraId="454A7C1B" w14:textId="6E03D527" w:rsidR="00062E88" w:rsidRPr="00881686" w:rsidRDefault="000D3B2E" w:rsidP="00502990">
            <w:pPr>
              <w:pStyle w:val="TableText0"/>
              <w:keepLines/>
              <w:widowControl w:val="0"/>
              <w:jc w:val="right"/>
            </w:pPr>
            <w:r w:rsidRPr="00881686">
              <w:t>-$</w:t>
            </w:r>
            <w:r w:rsidR="009F0A50" w:rsidRPr="009F0A50">
              <w:rPr>
                <w:sz w:val="2"/>
                <w:highlight w:val="black"/>
              </w:rPr>
              <w:t>redacted content</w:t>
            </w:r>
            <w:r w:rsidR="00CA68D0">
              <w:rPr>
                <w:vertAlign w:val="superscript"/>
              </w:rPr>
              <w:t>7</w:t>
            </w:r>
          </w:p>
        </w:tc>
        <w:tc>
          <w:tcPr>
            <w:tcW w:w="647" w:type="pct"/>
            <w:vAlign w:val="center"/>
          </w:tcPr>
          <w:p w14:paraId="5587EA01" w14:textId="5C0A917C" w:rsidR="00062E88" w:rsidRPr="00881686" w:rsidRDefault="000D3B2E" w:rsidP="00502990">
            <w:pPr>
              <w:pStyle w:val="TableText0"/>
              <w:keepLines/>
              <w:widowControl w:val="0"/>
              <w:jc w:val="right"/>
            </w:pPr>
            <w:r w:rsidRPr="00881686">
              <w:t>-$</w:t>
            </w:r>
            <w:r w:rsidR="009F0A50" w:rsidRPr="009F0A50">
              <w:rPr>
                <w:sz w:val="2"/>
                <w:highlight w:val="black"/>
              </w:rPr>
              <w:t>redacted content</w:t>
            </w:r>
            <w:r w:rsidR="00CA68D0">
              <w:rPr>
                <w:vertAlign w:val="superscript"/>
              </w:rPr>
              <w:t>7</w:t>
            </w:r>
          </w:p>
        </w:tc>
        <w:tc>
          <w:tcPr>
            <w:tcW w:w="647" w:type="pct"/>
            <w:vAlign w:val="center"/>
          </w:tcPr>
          <w:p w14:paraId="5A290C2B" w14:textId="6032860A" w:rsidR="00062E88" w:rsidRPr="00881686" w:rsidRDefault="000D3B2E" w:rsidP="00502990">
            <w:pPr>
              <w:pStyle w:val="TableText0"/>
              <w:keepLines/>
              <w:widowControl w:val="0"/>
              <w:jc w:val="right"/>
            </w:pPr>
            <w:r w:rsidRPr="00881686">
              <w:t>-$</w:t>
            </w:r>
            <w:r w:rsidR="009F0A50" w:rsidRPr="009F0A50">
              <w:rPr>
                <w:sz w:val="2"/>
                <w:highlight w:val="black"/>
              </w:rPr>
              <w:t>redacted content</w:t>
            </w:r>
            <w:r w:rsidR="00CA68D0">
              <w:rPr>
                <w:vertAlign w:val="superscript"/>
              </w:rPr>
              <w:t>7</w:t>
            </w:r>
          </w:p>
        </w:tc>
        <w:tc>
          <w:tcPr>
            <w:tcW w:w="647" w:type="pct"/>
            <w:vAlign w:val="center"/>
          </w:tcPr>
          <w:p w14:paraId="73C4A55C" w14:textId="6365ED9D" w:rsidR="00062E88" w:rsidRPr="00881686" w:rsidRDefault="000D3B2E" w:rsidP="00502990">
            <w:pPr>
              <w:pStyle w:val="TableText0"/>
              <w:keepLines/>
              <w:widowControl w:val="0"/>
              <w:jc w:val="right"/>
            </w:pPr>
            <w:r w:rsidRPr="00881686">
              <w:t>-$</w:t>
            </w:r>
            <w:r w:rsidR="009F0A50" w:rsidRPr="009F0A50">
              <w:rPr>
                <w:sz w:val="2"/>
                <w:highlight w:val="black"/>
              </w:rPr>
              <w:t>redacted content</w:t>
            </w:r>
            <w:r w:rsidR="00CA68D0">
              <w:rPr>
                <w:vertAlign w:val="superscript"/>
              </w:rPr>
              <w:t>7</w:t>
            </w:r>
          </w:p>
        </w:tc>
        <w:tc>
          <w:tcPr>
            <w:tcW w:w="647" w:type="pct"/>
            <w:vAlign w:val="center"/>
          </w:tcPr>
          <w:p w14:paraId="5A08AF29" w14:textId="7D3AA5CF" w:rsidR="00062E88" w:rsidRPr="00881686" w:rsidRDefault="00651D52" w:rsidP="00502990">
            <w:pPr>
              <w:pStyle w:val="TableText0"/>
              <w:keepLines/>
              <w:widowControl w:val="0"/>
              <w:jc w:val="right"/>
            </w:pPr>
            <w:r w:rsidRPr="00881686">
              <w:t>-$</w:t>
            </w:r>
            <w:r w:rsidR="009F0A50" w:rsidRPr="009F0A50">
              <w:rPr>
                <w:sz w:val="2"/>
                <w:highlight w:val="black"/>
              </w:rPr>
              <w:t>redacted content</w:t>
            </w:r>
            <w:r w:rsidR="00CA68D0">
              <w:rPr>
                <w:vertAlign w:val="superscript"/>
              </w:rPr>
              <w:t>7</w:t>
            </w:r>
          </w:p>
        </w:tc>
        <w:tc>
          <w:tcPr>
            <w:tcW w:w="647" w:type="pct"/>
          </w:tcPr>
          <w:p w14:paraId="1A3491BC" w14:textId="3BCBC9B7" w:rsidR="00062E88" w:rsidRPr="00881686" w:rsidRDefault="00651D52" w:rsidP="00502990">
            <w:pPr>
              <w:pStyle w:val="TableText0"/>
              <w:keepLines/>
              <w:widowControl w:val="0"/>
              <w:jc w:val="right"/>
            </w:pPr>
            <w:r w:rsidRPr="00881686">
              <w:t>-$</w:t>
            </w:r>
            <w:r w:rsidR="009F0A50" w:rsidRPr="009F0A50">
              <w:rPr>
                <w:sz w:val="2"/>
                <w:highlight w:val="black"/>
              </w:rPr>
              <w:t>redacted content</w:t>
            </w:r>
            <w:r w:rsidR="00CA68D0">
              <w:rPr>
                <w:vertAlign w:val="superscript"/>
              </w:rPr>
              <w:t>7</w:t>
            </w:r>
          </w:p>
        </w:tc>
      </w:tr>
    </w:tbl>
    <w:p w14:paraId="42320224" w14:textId="489B63F4" w:rsidR="00D70349" w:rsidRPr="00881686" w:rsidRDefault="00AB4684" w:rsidP="00502990">
      <w:pPr>
        <w:pStyle w:val="TableFigureFooter"/>
        <w:keepNext/>
        <w:keepLines/>
        <w:widowControl w:val="0"/>
        <w:jc w:val="left"/>
      </w:pPr>
      <w:r w:rsidRPr="00881686">
        <w:t>Abbreviations: MBS = Medical Benefits Scheme; PBS = Pharmaceutical Benefits Scheme; RPBS = Repatriation Pharmaceutical Benefits Scheme.</w:t>
      </w:r>
    </w:p>
    <w:p w14:paraId="18B6FAE4" w14:textId="673CB0DB" w:rsidR="00856E5B" w:rsidRPr="00F9534F" w:rsidRDefault="00D70349" w:rsidP="00856E5B">
      <w:pPr>
        <w:pStyle w:val="TableFigureFooter"/>
        <w:keepNext/>
        <w:keepLines/>
        <w:widowControl w:val="0"/>
        <w:jc w:val="left"/>
      </w:pPr>
      <w:r w:rsidRPr="00881686">
        <w:t xml:space="preserve">Source: </w:t>
      </w:r>
      <w:r w:rsidR="00B65CE4" w:rsidRPr="00881686">
        <w:t>Table 6, p13 of the submission</w:t>
      </w:r>
      <w:r w:rsidR="00D45535">
        <w:br/>
      </w:r>
      <w:r w:rsidR="00D45535" w:rsidRPr="00F9534F">
        <w:rPr>
          <w:i/>
          <w:iCs/>
        </w:rPr>
        <w:t xml:space="preserve">The redacted values </w:t>
      </w:r>
      <w:r w:rsidR="00856E5B" w:rsidRPr="00F9534F">
        <w:rPr>
          <w:i/>
          <w:iCs/>
        </w:rPr>
        <w:t>correspond to the following ranges:</w:t>
      </w:r>
      <w:r w:rsidR="00856E5B" w:rsidRPr="00F9534F">
        <w:rPr>
          <w:i/>
          <w:iCs/>
        </w:rPr>
        <w:br/>
      </w:r>
      <w:r w:rsidR="00856E5B" w:rsidRPr="00F9534F">
        <w:rPr>
          <w:i/>
          <w:iCs/>
          <w:vertAlign w:val="superscript"/>
        </w:rPr>
        <w:t>1</w:t>
      </w:r>
      <w:r w:rsidR="00856E5B" w:rsidRPr="00F9534F">
        <w:rPr>
          <w:i/>
          <w:iCs/>
        </w:rPr>
        <w:t xml:space="preserve"> 20,000 to &lt; 30,000</w:t>
      </w:r>
      <w:r w:rsidR="00856E5B" w:rsidRPr="00F9534F">
        <w:rPr>
          <w:i/>
          <w:iCs/>
        </w:rPr>
        <w:br/>
      </w:r>
      <w:r w:rsidR="00856E5B" w:rsidRPr="00F9534F">
        <w:rPr>
          <w:i/>
          <w:iCs/>
          <w:vertAlign w:val="superscript"/>
        </w:rPr>
        <w:t xml:space="preserve">2 </w:t>
      </w:r>
      <w:r w:rsidR="00856E5B" w:rsidRPr="00F9534F">
        <w:rPr>
          <w:i/>
          <w:iCs/>
        </w:rPr>
        <w:t>30,000 to &lt; 40,000</w:t>
      </w:r>
      <w:r w:rsidR="00856E5B" w:rsidRPr="00F9534F">
        <w:rPr>
          <w:i/>
          <w:iCs/>
        </w:rPr>
        <w:br/>
      </w:r>
      <w:r w:rsidR="00856E5B" w:rsidRPr="00F9534F">
        <w:rPr>
          <w:i/>
          <w:iCs/>
          <w:vertAlign w:val="superscript"/>
        </w:rPr>
        <w:t>3</w:t>
      </w:r>
      <w:r w:rsidR="00856E5B" w:rsidRPr="00F9534F">
        <w:rPr>
          <w:i/>
          <w:iCs/>
        </w:rPr>
        <w:t xml:space="preserve"> </w:t>
      </w:r>
      <w:r w:rsidR="009D73C1" w:rsidRPr="00F9534F">
        <w:rPr>
          <w:i/>
          <w:iCs/>
        </w:rPr>
        <w:t>500 to &lt; 5,000</w:t>
      </w:r>
      <w:r w:rsidR="009D73C1" w:rsidRPr="00F9534F">
        <w:rPr>
          <w:i/>
          <w:iCs/>
        </w:rPr>
        <w:br/>
      </w:r>
      <w:r w:rsidR="009D73C1" w:rsidRPr="00F9534F">
        <w:rPr>
          <w:i/>
          <w:iCs/>
          <w:vertAlign w:val="superscript"/>
        </w:rPr>
        <w:t>4</w:t>
      </w:r>
      <w:r w:rsidR="009D73C1" w:rsidRPr="00F9534F">
        <w:rPr>
          <w:i/>
          <w:iCs/>
        </w:rPr>
        <w:t xml:space="preserve"> 5,000 to &lt; 10,000</w:t>
      </w:r>
      <w:r w:rsidR="009D73C1" w:rsidRPr="00F9534F">
        <w:rPr>
          <w:i/>
          <w:iCs/>
        </w:rPr>
        <w:br/>
      </w:r>
      <w:r w:rsidR="00265EF7" w:rsidRPr="00F9534F">
        <w:rPr>
          <w:i/>
          <w:iCs/>
          <w:vertAlign w:val="superscript"/>
        </w:rPr>
        <w:t xml:space="preserve">5 </w:t>
      </w:r>
      <w:r w:rsidR="00265EF7" w:rsidRPr="00F9534F">
        <w:rPr>
          <w:i/>
          <w:iCs/>
        </w:rPr>
        <w:t>$0 to &lt; $10 million</w:t>
      </w:r>
      <w:r w:rsidR="00D60CFE" w:rsidRPr="00F9534F">
        <w:rPr>
          <w:i/>
          <w:iCs/>
        </w:rPr>
        <w:br/>
      </w:r>
      <w:r w:rsidR="00D60CFE" w:rsidRPr="00F9534F">
        <w:rPr>
          <w:i/>
          <w:iCs/>
          <w:vertAlign w:val="superscript"/>
        </w:rPr>
        <w:t>6</w:t>
      </w:r>
      <w:r w:rsidR="00D60CFE" w:rsidRPr="00F9534F">
        <w:rPr>
          <w:i/>
          <w:iCs/>
        </w:rPr>
        <w:t xml:space="preserve"> &lt; 500</w:t>
      </w:r>
      <w:r w:rsidR="00F9534F" w:rsidRPr="00F9534F">
        <w:rPr>
          <w:i/>
          <w:iCs/>
        </w:rPr>
        <w:br/>
      </w:r>
      <w:r w:rsidR="00F9534F" w:rsidRPr="00F9534F">
        <w:rPr>
          <w:i/>
          <w:iCs/>
          <w:vertAlign w:val="superscript"/>
        </w:rPr>
        <w:t>7</w:t>
      </w:r>
      <w:r w:rsidR="001A0D53">
        <w:rPr>
          <w:i/>
          <w:iCs/>
          <w:vertAlign w:val="superscript"/>
        </w:rPr>
        <w:t xml:space="preserve"> </w:t>
      </w:r>
      <w:r w:rsidR="00F9534F" w:rsidRPr="00F9534F">
        <w:rPr>
          <w:i/>
          <w:iCs/>
        </w:rPr>
        <w:t>net cost saving</w:t>
      </w:r>
    </w:p>
    <w:p w14:paraId="53AE5A14" w14:textId="68C6ED19" w:rsidR="00F26D80" w:rsidRDefault="00831B88" w:rsidP="00F26D80">
      <w:pPr>
        <w:pStyle w:val="4-SubsectionHeading"/>
        <w:rPr>
          <w:b w:val="0"/>
          <w:bCs/>
          <w:i w:val="0"/>
          <w:iCs/>
          <w:color w:val="FF0000"/>
          <w:lang w:eastAsia="en-US"/>
        </w:rPr>
      </w:pPr>
      <w:r>
        <w:rPr>
          <w:lang w:eastAsia="en-US"/>
        </w:rPr>
        <w:t xml:space="preserve">Quality use of </w:t>
      </w:r>
      <w:r w:rsidR="00B65CE4">
        <w:rPr>
          <w:lang w:eastAsia="en-US"/>
        </w:rPr>
        <w:t>medicines</w:t>
      </w:r>
    </w:p>
    <w:p w14:paraId="0807FD0D" w14:textId="518FBEE8" w:rsidR="00831B88" w:rsidRDefault="00B65CE4" w:rsidP="00B65CE4">
      <w:pPr>
        <w:pStyle w:val="3-BodyText"/>
      </w:pPr>
      <w:r>
        <w:t>The submission stated that quality use of medicines will by promoting the safe, effective, and appropriate use of its products through clear, evidence-based information and education for healthcare professionals.</w:t>
      </w:r>
    </w:p>
    <w:p w14:paraId="5169AF24" w14:textId="77777777" w:rsidR="00B65CE4" w:rsidRDefault="00B65CE4" w:rsidP="00B65CE4">
      <w:pPr>
        <w:pStyle w:val="3-BodyText"/>
      </w:pPr>
      <w:r>
        <w:t xml:space="preserve">The submission stated that robust pharmacovigilance systems to monitor adverse events and real-world outcomes, using this data to inform risk management and update product information as needed. </w:t>
      </w:r>
    </w:p>
    <w:p w14:paraId="7AA8CBC3" w14:textId="7AA167C7" w:rsidR="00B65CE4" w:rsidRPr="00B65CE4" w:rsidRDefault="00B65CE4" w:rsidP="00B65CE4">
      <w:pPr>
        <w:pStyle w:val="3-BodyText"/>
      </w:pPr>
      <w:r>
        <w:t>The submission stated that ongoing collaboration with healthcare providers, regulators, and consumers, will ensure continuous improvement in medicine safety and patient outcomes.</w:t>
      </w:r>
    </w:p>
    <w:p w14:paraId="220F439D" w14:textId="7302E5CF" w:rsidR="00D537F5" w:rsidRDefault="00D537F5" w:rsidP="00D537F5">
      <w:pPr>
        <w:pStyle w:val="4-SubsectionHeading"/>
        <w:rPr>
          <w:lang w:eastAsia="en-US"/>
        </w:rPr>
      </w:pPr>
      <w:r>
        <w:rPr>
          <w:lang w:eastAsia="en-US"/>
        </w:rPr>
        <w:t xml:space="preserve">Financial Management – Risk Sharing Arrangements </w:t>
      </w:r>
    </w:p>
    <w:p w14:paraId="5F3A609F" w14:textId="255C5EFF" w:rsidR="008E7454" w:rsidRPr="000E7367" w:rsidRDefault="00D537F5" w:rsidP="008E7454">
      <w:pPr>
        <w:pStyle w:val="3-BodyText"/>
        <w:rPr>
          <w:lang w:eastAsia="en-US"/>
        </w:rPr>
      </w:pPr>
      <w:r>
        <w:rPr>
          <w:lang w:eastAsia="en-US"/>
        </w:rPr>
        <w:t xml:space="preserve">There is currently a Risk Sharing Arrangement (RSA) in place for </w:t>
      </w:r>
      <w:proofErr w:type="spellStart"/>
      <w:r>
        <w:rPr>
          <w:lang w:eastAsia="en-US"/>
        </w:rPr>
        <w:t>Ikervis</w:t>
      </w:r>
      <w:proofErr w:type="spellEnd"/>
      <w:r>
        <w:rPr>
          <w:lang w:eastAsia="en-US"/>
        </w:rPr>
        <w:t xml:space="preserve"> and </w:t>
      </w:r>
      <w:proofErr w:type="spellStart"/>
      <w:r>
        <w:rPr>
          <w:lang w:eastAsia="en-US"/>
        </w:rPr>
        <w:t>Cequa</w:t>
      </w:r>
      <w:proofErr w:type="spellEnd"/>
      <w:r>
        <w:rPr>
          <w:lang w:eastAsia="en-US"/>
        </w:rPr>
        <w:t xml:space="preserve">. </w:t>
      </w:r>
    </w:p>
    <w:p w14:paraId="798D1F83" w14:textId="6886685C" w:rsidR="006A792C" w:rsidRPr="00F31CBB" w:rsidRDefault="006A792C" w:rsidP="00D91AA9">
      <w:pPr>
        <w:pStyle w:val="3-BodyText"/>
        <w:numPr>
          <w:ilvl w:val="0"/>
          <w:numId w:val="0"/>
        </w:numPr>
        <w:ind w:firstLine="720"/>
        <w:rPr>
          <w:i/>
          <w:lang w:eastAsia="en-US"/>
        </w:rPr>
      </w:pPr>
      <w:r w:rsidRPr="00F31CBB">
        <w:rPr>
          <w:i/>
          <w:lang w:eastAsia="en-US"/>
        </w:rPr>
        <w:t xml:space="preserve">For more detail on PBAC’s view, see section </w:t>
      </w:r>
      <w:r w:rsidR="00435F26" w:rsidRPr="00F31CBB">
        <w:rPr>
          <w:i/>
          <w:lang w:eastAsia="en-US"/>
        </w:rPr>
        <w:t xml:space="preserve">6 </w:t>
      </w:r>
      <w:r w:rsidR="00203FFC" w:rsidRPr="00F31CBB">
        <w:rPr>
          <w:i/>
          <w:lang w:eastAsia="en-US"/>
        </w:rPr>
        <w:t>PBAC outcome.</w:t>
      </w:r>
    </w:p>
    <w:p w14:paraId="6501C1A6" w14:textId="41D38CC1" w:rsidR="000E7367" w:rsidRDefault="00A44B18" w:rsidP="00A44B18">
      <w:pPr>
        <w:pStyle w:val="2-SectionHeading"/>
        <w:rPr>
          <w:lang w:eastAsia="en-US"/>
        </w:rPr>
      </w:pPr>
      <w:r>
        <w:rPr>
          <w:lang w:eastAsia="en-US"/>
        </w:rPr>
        <w:lastRenderedPageBreak/>
        <w:t>PBAC Outcome</w:t>
      </w:r>
    </w:p>
    <w:p w14:paraId="3F45D4A2" w14:textId="31EA0455" w:rsidR="00A2003B" w:rsidRDefault="00A2003B" w:rsidP="00FB221A">
      <w:pPr>
        <w:pStyle w:val="3-BodyText"/>
        <w:keepLines/>
        <w:rPr>
          <w:lang w:eastAsia="en-US"/>
        </w:rPr>
      </w:pPr>
      <w:r w:rsidRPr="2CEEB0A7">
        <w:rPr>
          <w:lang w:eastAsia="en-US"/>
        </w:rPr>
        <w:t xml:space="preserve">The PBAC recommended the listing of ciclosporin </w:t>
      </w:r>
      <w:r w:rsidR="00C45F3F" w:rsidRPr="2CEEB0A7">
        <w:rPr>
          <w:lang w:eastAsia="en-US"/>
        </w:rPr>
        <w:t xml:space="preserve">eye drops </w:t>
      </w:r>
      <w:r w:rsidR="00D053E3" w:rsidRPr="2CEEB0A7">
        <w:rPr>
          <w:lang w:eastAsia="en-US"/>
        </w:rPr>
        <w:t>(Vev</w:t>
      </w:r>
      <w:r w:rsidR="00F02DD5" w:rsidRPr="2CEEB0A7">
        <w:rPr>
          <w:lang w:eastAsia="en-US"/>
        </w:rPr>
        <w:t xml:space="preserve">ye) </w:t>
      </w:r>
      <w:r w:rsidRPr="2CEEB0A7">
        <w:rPr>
          <w:lang w:eastAsia="en-US"/>
        </w:rPr>
        <w:t>for the treatment of chronic severe dry eye disease with keratitis</w:t>
      </w:r>
      <w:r w:rsidR="008A279E" w:rsidRPr="2CEEB0A7">
        <w:rPr>
          <w:lang w:eastAsia="en-US"/>
        </w:rPr>
        <w:t xml:space="preserve"> in adult patients whose condition has not been adequately controlled by monotherapy with an artificial tears su</w:t>
      </w:r>
      <w:r w:rsidR="00D053E3" w:rsidRPr="2CEEB0A7">
        <w:rPr>
          <w:lang w:eastAsia="en-US"/>
        </w:rPr>
        <w:t>bstitute</w:t>
      </w:r>
      <w:r w:rsidRPr="2CEEB0A7">
        <w:rPr>
          <w:lang w:eastAsia="en-US"/>
        </w:rPr>
        <w:t xml:space="preserve">. The PBAC’s recommendation for listing was based on, among other matters, its assessment that the cost-effectiveness of </w:t>
      </w:r>
      <w:r w:rsidR="00F02DD5" w:rsidRPr="2CEEB0A7">
        <w:rPr>
          <w:lang w:eastAsia="en-US"/>
        </w:rPr>
        <w:t xml:space="preserve">Vevye </w:t>
      </w:r>
      <w:r w:rsidRPr="2CEEB0A7">
        <w:rPr>
          <w:lang w:eastAsia="en-US"/>
        </w:rPr>
        <w:t xml:space="preserve">would be acceptable if it were cost-minimised against </w:t>
      </w:r>
      <w:r w:rsidR="00F02DD5" w:rsidRPr="2CEEB0A7">
        <w:rPr>
          <w:lang w:eastAsia="en-US"/>
        </w:rPr>
        <w:t xml:space="preserve">the ciclosporin </w:t>
      </w:r>
      <w:r w:rsidR="0035173E" w:rsidRPr="2CEEB0A7">
        <w:rPr>
          <w:lang w:eastAsia="en-US"/>
        </w:rPr>
        <w:t xml:space="preserve">eye </w:t>
      </w:r>
      <w:r w:rsidR="00A64B9D" w:rsidRPr="2CEEB0A7">
        <w:rPr>
          <w:lang w:eastAsia="en-US"/>
        </w:rPr>
        <w:t>drops</w:t>
      </w:r>
      <w:r w:rsidR="00F02DD5" w:rsidRPr="2CEEB0A7">
        <w:rPr>
          <w:lang w:eastAsia="en-US"/>
        </w:rPr>
        <w:t xml:space="preserve"> that are currently listed on the PBS </w:t>
      </w:r>
      <w:r w:rsidR="004A7B21" w:rsidRPr="2CEEB0A7">
        <w:rPr>
          <w:lang w:eastAsia="en-US"/>
        </w:rPr>
        <w:t xml:space="preserve">for the same indication </w:t>
      </w:r>
      <w:r w:rsidR="00F02DD5" w:rsidRPr="2CEEB0A7">
        <w:rPr>
          <w:lang w:eastAsia="en-US"/>
        </w:rPr>
        <w:t>(</w:t>
      </w:r>
      <w:r w:rsidR="004A7B21" w:rsidRPr="2CEEB0A7">
        <w:rPr>
          <w:lang w:eastAsia="en-US"/>
        </w:rPr>
        <w:t>Ikervis and Cequa).</w:t>
      </w:r>
      <w:r w:rsidRPr="2CEEB0A7">
        <w:rPr>
          <w:lang w:eastAsia="en-US"/>
        </w:rPr>
        <w:t xml:space="preserve"> </w:t>
      </w:r>
      <w:r w:rsidR="00FF49F1" w:rsidRPr="2CEEB0A7">
        <w:rPr>
          <w:lang w:eastAsia="en-US"/>
        </w:rPr>
        <w:t xml:space="preserve">The PBAC advised that </w:t>
      </w:r>
      <w:r w:rsidR="003D5A3C" w:rsidRPr="2CEEB0A7">
        <w:rPr>
          <w:lang w:eastAsia="en-US"/>
        </w:rPr>
        <w:t xml:space="preserve">Vevye should join the </w:t>
      </w:r>
      <w:r w:rsidR="00760686" w:rsidRPr="2CEEB0A7">
        <w:rPr>
          <w:lang w:eastAsia="en-US"/>
        </w:rPr>
        <w:t xml:space="preserve">existing </w:t>
      </w:r>
      <w:r w:rsidR="003D5A3C" w:rsidRPr="2CEEB0A7">
        <w:rPr>
          <w:lang w:eastAsia="en-US"/>
        </w:rPr>
        <w:t xml:space="preserve">risk sharing arrangement (RSA) </w:t>
      </w:r>
      <w:r w:rsidR="00760686" w:rsidRPr="2CEEB0A7">
        <w:rPr>
          <w:lang w:eastAsia="en-US"/>
        </w:rPr>
        <w:t>for ciclosporin eye drop</w:t>
      </w:r>
      <w:r w:rsidR="00A64B9D" w:rsidRPr="2CEEB0A7">
        <w:rPr>
          <w:lang w:eastAsia="en-US"/>
        </w:rPr>
        <w:t>s</w:t>
      </w:r>
      <w:r w:rsidR="00760686" w:rsidRPr="2CEEB0A7">
        <w:rPr>
          <w:lang w:eastAsia="en-US"/>
        </w:rPr>
        <w:t xml:space="preserve"> and that there should be no increase to the expenditure caps.</w:t>
      </w:r>
    </w:p>
    <w:p w14:paraId="56FA6A45" w14:textId="77114FF8" w:rsidR="00BD0086" w:rsidRPr="00D91AA9" w:rsidRDefault="00C2578A" w:rsidP="00A2003B">
      <w:pPr>
        <w:pStyle w:val="3-BodyText"/>
        <w:rPr>
          <w:lang w:eastAsia="en-US"/>
        </w:rPr>
      </w:pPr>
      <w:r w:rsidRPr="00D91AA9">
        <w:rPr>
          <w:lang w:eastAsia="en-US"/>
        </w:rPr>
        <w:t xml:space="preserve">The PBAC </w:t>
      </w:r>
      <w:r w:rsidR="00F7138E" w:rsidRPr="00D91AA9">
        <w:rPr>
          <w:lang w:eastAsia="en-US"/>
        </w:rPr>
        <w:t xml:space="preserve">noted the </w:t>
      </w:r>
      <w:r w:rsidR="00730D8A" w:rsidRPr="00D91AA9">
        <w:rPr>
          <w:lang w:eastAsia="en-US"/>
        </w:rPr>
        <w:t>consumer input from the National Paediatric Medicines Forum</w:t>
      </w:r>
      <w:r w:rsidR="00283FEB" w:rsidRPr="00D91AA9">
        <w:rPr>
          <w:lang w:eastAsia="en-US"/>
        </w:rPr>
        <w:t xml:space="preserve"> which requested an age agnostic restriction. </w:t>
      </w:r>
      <w:r w:rsidR="00633D7D" w:rsidRPr="00D91AA9">
        <w:rPr>
          <w:lang w:eastAsia="en-US"/>
        </w:rPr>
        <w:t>However, the PBAC not</w:t>
      </w:r>
      <w:r w:rsidR="003548E1" w:rsidRPr="00D91AA9">
        <w:rPr>
          <w:lang w:eastAsia="en-US"/>
        </w:rPr>
        <w:t>ed</w:t>
      </w:r>
      <w:r w:rsidR="006D306A" w:rsidRPr="00D91AA9">
        <w:rPr>
          <w:lang w:eastAsia="en-US"/>
        </w:rPr>
        <w:t xml:space="preserve"> that </w:t>
      </w:r>
      <w:r w:rsidR="003548E1" w:rsidRPr="00D91AA9">
        <w:rPr>
          <w:lang w:eastAsia="en-US"/>
        </w:rPr>
        <w:t xml:space="preserve">neither the submission nor </w:t>
      </w:r>
      <w:r w:rsidR="006D306A" w:rsidRPr="00D91AA9">
        <w:rPr>
          <w:lang w:eastAsia="en-US"/>
        </w:rPr>
        <w:t>the TGA</w:t>
      </w:r>
      <w:r w:rsidR="007D7B97" w:rsidRPr="00D91AA9">
        <w:rPr>
          <w:lang w:eastAsia="en-US"/>
        </w:rPr>
        <w:t xml:space="preserve"> Clinical Evaluation Report </w:t>
      </w:r>
      <w:r w:rsidR="003548E1" w:rsidRPr="00D91AA9">
        <w:rPr>
          <w:lang w:eastAsia="en-US"/>
        </w:rPr>
        <w:t>presented</w:t>
      </w:r>
      <w:r w:rsidR="00C0632D" w:rsidRPr="00D91AA9">
        <w:rPr>
          <w:lang w:eastAsia="en-US"/>
        </w:rPr>
        <w:t xml:space="preserve"> data on the use of Vevye in paediatrics</w:t>
      </w:r>
      <w:r w:rsidR="003548E1" w:rsidRPr="00D91AA9">
        <w:rPr>
          <w:lang w:eastAsia="en-US"/>
        </w:rPr>
        <w:t xml:space="preserve">. Further, the PBAC noted that the restrictions for </w:t>
      </w:r>
      <w:r w:rsidR="00880E78" w:rsidRPr="00D91AA9">
        <w:rPr>
          <w:lang w:eastAsia="en-US"/>
        </w:rPr>
        <w:t>Ikervis and Cequa</w:t>
      </w:r>
      <w:r w:rsidR="00633D7D" w:rsidRPr="00D91AA9">
        <w:rPr>
          <w:lang w:eastAsia="en-US"/>
        </w:rPr>
        <w:t xml:space="preserve"> </w:t>
      </w:r>
      <w:r w:rsidR="00357CE8" w:rsidRPr="00D91AA9">
        <w:rPr>
          <w:lang w:eastAsia="en-US"/>
        </w:rPr>
        <w:t xml:space="preserve">include a clinical criterion stating that </w:t>
      </w:r>
      <w:r w:rsidR="006B7365" w:rsidRPr="00D91AA9">
        <w:rPr>
          <w:lang w:eastAsia="en-US"/>
        </w:rPr>
        <w:t xml:space="preserve">“Patient must be at least 18 years of age”. </w:t>
      </w:r>
      <w:r w:rsidR="005C1C13" w:rsidRPr="00D91AA9">
        <w:rPr>
          <w:lang w:eastAsia="en-US"/>
        </w:rPr>
        <w:t xml:space="preserve">Thus, the PBAC recommended that the restriction should remain limited to adult patients. </w:t>
      </w:r>
    </w:p>
    <w:p w14:paraId="3D099B6B" w14:textId="4E12EDB1" w:rsidR="006D1D76" w:rsidRPr="00D91AA9" w:rsidRDefault="00BD0086" w:rsidP="00A2003B">
      <w:pPr>
        <w:pStyle w:val="3-BodyText"/>
        <w:rPr>
          <w:lang w:eastAsia="en-US"/>
        </w:rPr>
      </w:pPr>
      <w:r w:rsidRPr="00D91AA9">
        <w:rPr>
          <w:lang w:eastAsia="en-US"/>
        </w:rPr>
        <w:t xml:space="preserve">In addition, the PBAC recommended that the </w:t>
      </w:r>
      <w:r w:rsidR="002B0747" w:rsidRPr="001F72F8">
        <w:t>General Schedule</w:t>
      </w:r>
      <w:r w:rsidR="002B0747">
        <w:t xml:space="preserve"> Authority Required (telephone/electronic) </w:t>
      </w:r>
      <w:r w:rsidRPr="00D91AA9">
        <w:rPr>
          <w:lang w:eastAsia="en-US"/>
        </w:rPr>
        <w:t xml:space="preserve">restriction should include the </w:t>
      </w:r>
      <w:r w:rsidR="000F38AB" w:rsidRPr="00D91AA9">
        <w:rPr>
          <w:lang w:eastAsia="en-US"/>
        </w:rPr>
        <w:t xml:space="preserve">Secretariat suggested changes outlined in Section 3 above. </w:t>
      </w:r>
    </w:p>
    <w:p w14:paraId="6F9284A6" w14:textId="46370B8B" w:rsidR="00E453A8" w:rsidRDefault="00E453A8" w:rsidP="00E453A8">
      <w:pPr>
        <w:pStyle w:val="3-BodyText"/>
        <w:rPr>
          <w:lang w:eastAsia="en-US"/>
        </w:rPr>
      </w:pPr>
      <w:r>
        <w:rPr>
          <w:lang w:eastAsia="en-US"/>
        </w:rPr>
        <w:t xml:space="preserve">The PBAC </w:t>
      </w:r>
      <w:r w:rsidR="00CF5F96">
        <w:rPr>
          <w:lang w:eastAsia="en-US"/>
        </w:rPr>
        <w:t>noted</w:t>
      </w:r>
      <w:r>
        <w:rPr>
          <w:lang w:eastAsia="en-US"/>
        </w:rPr>
        <w:t xml:space="preserve"> the </w:t>
      </w:r>
      <w:r w:rsidR="00640A03">
        <w:rPr>
          <w:lang w:eastAsia="en-US"/>
        </w:rPr>
        <w:t xml:space="preserve">statement </w:t>
      </w:r>
      <w:r w:rsidR="00A64B9D">
        <w:rPr>
          <w:lang w:eastAsia="en-US"/>
        </w:rPr>
        <w:t>in the submission</w:t>
      </w:r>
      <w:r w:rsidR="00640A03">
        <w:rPr>
          <w:lang w:eastAsia="en-US"/>
        </w:rPr>
        <w:t xml:space="preserve"> that there was a</w:t>
      </w:r>
      <w:r>
        <w:rPr>
          <w:lang w:eastAsia="en-US"/>
        </w:rPr>
        <w:t xml:space="preserve"> clinical need for better tolerated treatments </w:t>
      </w:r>
      <w:r w:rsidR="001551D7">
        <w:rPr>
          <w:lang w:eastAsia="en-US"/>
        </w:rPr>
        <w:t>and</w:t>
      </w:r>
      <w:r>
        <w:rPr>
          <w:lang w:eastAsia="en-US"/>
        </w:rPr>
        <w:t xml:space="preserve"> considered the rationale of enhanced tolerability with the water-free formulation of </w:t>
      </w:r>
      <w:r w:rsidR="00C90B4E">
        <w:rPr>
          <w:lang w:eastAsia="en-US"/>
        </w:rPr>
        <w:t>Vevye</w:t>
      </w:r>
      <w:r w:rsidR="0042776B">
        <w:rPr>
          <w:lang w:eastAsia="en-US"/>
        </w:rPr>
        <w:t xml:space="preserve"> </w:t>
      </w:r>
      <w:r>
        <w:rPr>
          <w:lang w:eastAsia="en-US"/>
        </w:rPr>
        <w:t>to be appropriate</w:t>
      </w:r>
      <w:r w:rsidR="00350B9E">
        <w:rPr>
          <w:lang w:eastAsia="en-US"/>
        </w:rPr>
        <w:t xml:space="preserve">. The PBAC considered that the addition of Vevye to the PBS would expand the treatment options </w:t>
      </w:r>
      <w:r w:rsidR="00F75549">
        <w:rPr>
          <w:lang w:eastAsia="en-US"/>
        </w:rPr>
        <w:t>for patients who cannot tolerate the existing PBS-listed therapies</w:t>
      </w:r>
      <w:r>
        <w:rPr>
          <w:lang w:eastAsia="en-US"/>
        </w:rPr>
        <w:t xml:space="preserve">. </w:t>
      </w:r>
    </w:p>
    <w:p w14:paraId="75F899D6" w14:textId="5DFD9CE7" w:rsidR="00741A02" w:rsidRDefault="0033121F" w:rsidP="00741A02">
      <w:pPr>
        <w:pStyle w:val="3-BodyText"/>
        <w:rPr>
          <w:lang w:eastAsia="en-US"/>
        </w:rPr>
      </w:pPr>
      <w:r>
        <w:rPr>
          <w:lang w:eastAsia="en-US"/>
        </w:rPr>
        <w:t xml:space="preserve">The PBAC considered that the nominated comparators, </w:t>
      </w:r>
      <w:r w:rsidR="00BA11E7">
        <w:rPr>
          <w:lang w:eastAsia="en-US"/>
        </w:rPr>
        <w:t xml:space="preserve">Ikervis and Cequa </w:t>
      </w:r>
      <w:r w:rsidR="006E3CD8">
        <w:rPr>
          <w:lang w:eastAsia="en-US"/>
        </w:rPr>
        <w:t>to be appropriate</w:t>
      </w:r>
      <w:r w:rsidR="002C1708">
        <w:rPr>
          <w:lang w:eastAsia="en-US"/>
        </w:rPr>
        <w:t xml:space="preserve">. </w:t>
      </w:r>
      <w:r w:rsidR="00741A02">
        <w:rPr>
          <w:lang w:eastAsia="en-US"/>
        </w:rPr>
        <w:t xml:space="preserve">The PBAC noted the current PBS listed comparators are in the form of single dose ampoules compared to the multi-dose form of Vevye (bottle). The PBAC considered the multi-dose form to be more sustainable than the comparators. </w:t>
      </w:r>
    </w:p>
    <w:p w14:paraId="4D7DCB2B" w14:textId="361C2EB2" w:rsidR="00640A03" w:rsidRDefault="00640A03" w:rsidP="00640A03">
      <w:pPr>
        <w:pStyle w:val="3-BodyText"/>
        <w:rPr>
          <w:lang w:eastAsia="en-US"/>
        </w:rPr>
      </w:pPr>
      <w:r>
        <w:rPr>
          <w:lang w:eastAsia="en-US"/>
        </w:rPr>
        <w:t xml:space="preserve">The PBAC noted that the submission was based on two </w:t>
      </w:r>
      <w:r w:rsidRPr="00664B67">
        <w:rPr>
          <w:lang w:eastAsia="en-US"/>
        </w:rPr>
        <w:t>randomised controlled trials, ESSENCE-1 and ESSENCE-2, and a long-term open-label extension (ESSENCE-2-OLE)</w:t>
      </w:r>
      <w:r w:rsidR="00A64B9D">
        <w:rPr>
          <w:lang w:eastAsia="en-US"/>
        </w:rPr>
        <w:t>,</w:t>
      </w:r>
      <w:r w:rsidRPr="00664B67">
        <w:rPr>
          <w:lang w:eastAsia="en-US"/>
        </w:rPr>
        <w:t xml:space="preserve"> that evaluated Vevye ophthalmic solution for moderate to severe dry eye disease compared to a vehicle</w:t>
      </w:r>
      <w:r>
        <w:rPr>
          <w:lang w:eastAsia="en-US"/>
        </w:rPr>
        <w:t>. The PBAC noted that the submission did not present a treatment comparison versus the</w:t>
      </w:r>
      <w:r w:rsidR="00330CF5">
        <w:rPr>
          <w:lang w:eastAsia="en-US"/>
        </w:rPr>
        <w:t xml:space="preserve"> nominated comparators, Iker</w:t>
      </w:r>
      <w:r w:rsidR="00026BFD">
        <w:rPr>
          <w:lang w:eastAsia="en-US"/>
        </w:rPr>
        <w:t xml:space="preserve">vis </w:t>
      </w:r>
      <w:r w:rsidR="00B60836">
        <w:rPr>
          <w:lang w:eastAsia="en-US"/>
        </w:rPr>
        <w:t>and Cequa</w:t>
      </w:r>
      <w:r>
        <w:rPr>
          <w:lang w:eastAsia="en-US"/>
        </w:rPr>
        <w:t xml:space="preserve">. </w:t>
      </w:r>
    </w:p>
    <w:p w14:paraId="085D7B25" w14:textId="2475F711" w:rsidR="00640A03" w:rsidRDefault="00F951E7" w:rsidP="00A2003B">
      <w:pPr>
        <w:pStyle w:val="3-BodyText"/>
        <w:rPr>
          <w:lang w:eastAsia="en-US"/>
        </w:rPr>
      </w:pPr>
      <w:r>
        <w:rPr>
          <w:lang w:eastAsia="en-US"/>
        </w:rPr>
        <w:t xml:space="preserve">Although no comparative evidence was presented in the submission, the PBAC considered that, based on the previous decision that </w:t>
      </w:r>
      <w:r w:rsidR="005F40D9">
        <w:rPr>
          <w:lang w:eastAsia="en-US"/>
        </w:rPr>
        <w:t xml:space="preserve">Ikervis </w:t>
      </w:r>
      <w:r w:rsidR="005F40D9">
        <w:t>was non-inferior to Cequa,</w:t>
      </w:r>
      <w:r w:rsidR="005F40D9" w:rsidRPr="007F1814">
        <w:t xml:space="preserve"> it was likely that Vevye was comparable to Ikervis and Cequa in terms of efficacy and safety.</w:t>
      </w:r>
    </w:p>
    <w:p w14:paraId="7EDC932D" w14:textId="5C161113" w:rsidR="00F8115F" w:rsidRDefault="00C15827" w:rsidP="00D56055">
      <w:pPr>
        <w:pStyle w:val="3-BodyText"/>
        <w:keepNext/>
        <w:keepLines/>
        <w:rPr>
          <w:lang w:eastAsia="en-US"/>
        </w:rPr>
      </w:pPr>
      <w:r>
        <w:rPr>
          <w:lang w:eastAsia="en-US"/>
        </w:rPr>
        <w:lastRenderedPageBreak/>
        <w:t xml:space="preserve">The PBAC </w:t>
      </w:r>
      <w:r w:rsidR="00EC1B27">
        <w:rPr>
          <w:lang w:eastAsia="en-US"/>
        </w:rPr>
        <w:t xml:space="preserve">accepted the cost minimisation </w:t>
      </w:r>
      <w:r w:rsidR="00683DE5">
        <w:rPr>
          <w:lang w:eastAsia="en-US"/>
        </w:rPr>
        <w:t xml:space="preserve">approach </w:t>
      </w:r>
      <w:r w:rsidR="00F8115F">
        <w:rPr>
          <w:lang w:eastAsia="en-US"/>
        </w:rPr>
        <w:t>presented in the submission and considered that the equi-effective doses were:</w:t>
      </w:r>
    </w:p>
    <w:p w14:paraId="4F036325" w14:textId="77777777" w:rsidR="00F8115F" w:rsidRDefault="00F8115F" w:rsidP="00562212">
      <w:pPr>
        <w:pStyle w:val="3-BodyText"/>
        <w:keepNext/>
        <w:keepLines/>
        <w:numPr>
          <w:ilvl w:val="0"/>
          <w:numId w:val="0"/>
        </w:numPr>
        <w:ind w:firstLine="720"/>
        <w:rPr>
          <w:lang w:eastAsia="en-US"/>
        </w:rPr>
      </w:pPr>
      <w:r>
        <w:rPr>
          <w:lang w:eastAsia="en-US"/>
        </w:rPr>
        <w:t>1 mg per mL ciclosporin one drop twice daily (Vevye) =</w:t>
      </w:r>
    </w:p>
    <w:p w14:paraId="3D83D6A4" w14:textId="326B074A" w:rsidR="00F8115F" w:rsidRDefault="00195657" w:rsidP="00D56055">
      <w:pPr>
        <w:pStyle w:val="3-BodyText"/>
        <w:keepNext/>
        <w:keepLines/>
        <w:numPr>
          <w:ilvl w:val="0"/>
          <w:numId w:val="0"/>
        </w:numPr>
        <w:ind w:left="720"/>
        <w:rPr>
          <w:lang w:eastAsia="en-US"/>
        </w:rPr>
      </w:pPr>
      <w:r>
        <w:rPr>
          <w:lang w:eastAsia="en-US"/>
        </w:rPr>
        <w:t xml:space="preserve">1 mg per mL ciclosporin </w:t>
      </w:r>
      <w:r w:rsidR="00F20747">
        <w:rPr>
          <w:lang w:eastAsia="en-US"/>
        </w:rPr>
        <w:t>one 0.3 mL ampoule (i.e. one drop) once daily (Ikervis) =</w:t>
      </w:r>
    </w:p>
    <w:p w14:paraId="5C8279C8" w14:textId="0C819FE9" w:rsidR="00F20747" w:rsidRDefault="00522501" w:rsidP="00A64B9D">
      <w:pPr>
        <w:pStyle w:val="3-BodyText"/>
        <w:numPr>
          <w:ilvl w:val="0"/>
          <w:numId w:val="0"/>
        </w:numPr>
        <w:ind w:left="720"/>
        <w:rPr>
          <w:lang w:eastAsia="en-US"/>
        </w:rPr>
      </w:pPr>
      <w:r>
        <w:rPr>
          <w:lang w:eastAsia="en-US"/>
        </w:rPr>
        <w:t xml:space="preserve">900 </w:t>
      </w:r>
      <w:r w:rsidR="000F7B7C" w:rsidRPr="000F7B7C">
        <w:rPr>
          <w:lang w:eastAsia="en-US"/>
        </w:rPr>
        <w:t>μg</w:t>
      </w:r>
      <w:r>
        <w:rPr>
          <w:lang w:eastAsia="en-US"/>
        </w:rPr>
        <w:t xml:space="preserve"> per mL ciclosporin one 0.25 mL ampoule (i.e. on drop) tw</w:t>
      </w:r>
      <w:r w:rsidR="00683DE5">
        <w:rPr>
          <w:lang w:eastAsia="en-US"/>
        </w:rPr>
        <w:t>ice daily (Cequa)</w:t>
      </w:r>
    </w:p>
    <w:p w14:paraId="147A41C7" w14:textId="687DEE08" w:rsidR="00611D0C" w:rsidRDefault="00D4135E" w:rsidP="00A2003B">
      <w:pPr>
        <w:pStyle w:val="3-BodyText"/>
        <w:rPr>
          <w:lang w:eastAsia="en-US"/>
        </w:rPr>
      </w:pPr>
      <w:r>
        <w:rPr>
          <w:lang w:eastAsia="en-US"/>
        </w:rPr>
        <w:t xml:space="preserve">In terms of </w:t>
      </w:r>
      <w:r w:rsidR="00A2003B">
        <w:rPr>
          <w:lang w:eastAsia="en-US"/>
        </w:rPr>
        <w:t xml:space="preserve">the </w:t>
      </w:r>
      <w:r w:rsidR="008C1374">
        <w:rPr>
          <w:lang w:eastAsia="en-US"/>
        </w:rPr>
        <w:t xml:space="preserve">financial </w:t>
      </w:r>
      <w:r>
        <w:rPr>
          <w:lang w:eastAsia="en-US"/>
        </w:rPr>
        <w:t>impact of listing Vevye on the PBS, t</w:t>
      </w:r>
      <w:r w:rsidR="00A2003B">
        <w:rPr>
          <w:lang w:eastAsia="en-US"/>
        </w:rPr>
        <w:t>he PBAC</w:t>
      </w:r>
      <w:r w:rsidR="008C1374">
        <w:rPr>
          <w:lang w:eastAsia="en-US"/>
        </w:rPr>
        <w:t xml:space="preserve"> agreed with the submission </w:t>
      </w:r>
      <w:r w:rsidR="00A64B9D">
        <w:rPr>
          <w:lang w:eastAsia="en-US"/>
        </w:rPr>
        <w:t>and considered</w:t>
      </w:r>
      <w:r w:rsidR="008C1374">
        <w:rPr>
          <w:lang w:eastAsia="en-US"/>
        </w:rPr>
        <w:t xml:space="preserve"> that the listing of Vevye should be approximately cost neutral. </w:t>
      </w:r>
    </w:p>
    <w:p w14:paraId="62A50C2F" w14:textId="69345769" w:rsidR="00A2003B" w:rsidRDefault="005A5413" w:rsidP="00A2003B">
      <w:pPr>
        <w:pStyle w:val="3-BodyText"/>
        <w:rPr>
          <w:lang w:eastAsia="en-US"/>
        </w:rPr>
      </w:pPr>
      <w:r w:rsidRPr="2CEEB0A7">
        <w:rPr>
          <w:lang w:eastAsia="en-US"/>
        </w:rPr>
        <w:t xml:space="preserve">The PBAC </w:t>
      </w:r>
      <w:r w:rsidR="001D7995" w:rsidRPr="2CEEB0A7">
        <w:rPr>
          <w:lang w:eastAsia="en-US"/>
        </w:rPr>
        <w:t xml:space="preserve">advised that </w:t>
      </w:r>
      <w:r w:rsidR="00AC2F56" w:rsidRPr="2CEEB0A7">
        <w:rPr>
          <w:lang w:eastAsia="en-US"/>
        </w:rPr>
        <w:t>Vevye</w:t>
      </w:r>
      <w:r w:rsidR="001D7995" w:rsidRPr="2CEEB0A7">
        <w:rPr>
          <w:lang w:eastAsia="en-US"/>
        </w:rPr>
        <w:t xml:space="preserve"> should join the existing R</w:t>
      </w:r>
      <w:r w:rsidR="2C878E70" w:rsidRPr="2CEEB0A7">
        <w:rPr>
          <w:lang w:eastAsia="en-US"/>
        </w:rPr>
        <w:t>isk Sharing Arrangement (</w:t>
      </w:r>
      <w:r w:rsidR="0CB27F2C" w:rsidRPr="2CEEB0A7">
        <w:rPr>
          <w:lang w:eastAsia="en-US"/>
        </w:rPr>
        <w:t>RSA</w:t>
      </w:r>
      <w:r w:rsidR="4B363284" w:rsidRPr="2CEEB0A7">
        <w:rPr>
          <w:lang w:eastAsia="en-US"/>
        </w:rPr>
        <w:t>)</w:t>
      </w:r>
      <w:r w:rsidR="00611D0C" w:rsidRPr="2CEEB0A7">
        <w:rPr>
          <w:lang w:eastAsia="en-US"/>
        </w:rPr>
        <w:t xml:space="preserve"> </w:t>
      </w:r>
      <w:r w:rsidR="009F02B6" w:rsidRPr="2CEEB0A7">
        <w:rPr>
          <w:lang w:eastAsia="en-US"/>
        </w:rPr>
        <w:t xml:space="preserve">for ciclosporin eye </w:t>
      </w:r>
      <w:r w:rsidR="00A64B9D" w:rsidRPr="2CEEB0A7">
        <w:rPr>
          <w:lang w:eastAsia="en-US"/>
        </w:rPr>
        <w:t>drops</w:t>
      </w:r>
      <w:r w:rsidR="009F02B6" w:rsidRPr="2CEEB0A7">
        <w:rPr>
          <w:lang w:eastAsia="en-US"/>
        </w:rPr>
        <w:t xml:space="preserve"> with no increase to the </w:t>
      </w:r>
      <w:r w:rsidR="001922EF" w:rsidRPr="2CEEB0A7">
        <w:rPr>
          <w:lang w:eastAsia="en-US"/>
        </w:rPr>
        <w:t>expenditure caps</w:t>
      </w:r>
      <w:r w:rsidR="00AC2502" w:rsidRPr="2CEEB0A7">
        <w:rPr>
          <w:lang w:eastAsia="en-US"/>
        </w:rPr>
        <w:t>.</w:t>
      </w:r>
    </w:p>
    <w:p w14:paraId="2729FD61" w14:textId="6F20F895" w:rsidR="00A2003B" w:rsidRDefault="00DB4901" w:rsidP="00A2003B">
      <w:pPr>
        <w:pStyle w:val="3-BodyText"/>
        <w:rPr>
          <w:lang w:eastAsia="en-US"/>
        </w:rPr>
      </w:pPr>
      <w:r>
        <w:rPr>
          <w:lang w:eastAsia="en-US"/>
        </w:rPr>
        <w:t xml:space="preserve">As </w:t>
      </w:r>
      <w:r w:rsidR="00AC2F56">
        <w:rPr>
          <w:lang w:eastAsia="en-US"/>
        </w:rPr>
        <w:t xml:space="preserve">Vevye is </w:t>
      </w:r>
      <w:r w:rsidR="00A2003B">
        <w:rPr>
          <w:lang w:eastAsia="en-US"/>
        </w:rPr>
        <w:t xml:space="preserve">not expected to address a high and urgent unmet clinical need given the presence of an alternative therapy, the criteria prescribed by the </w:t>
      </w:r>
      <w:r w:rsidR="00A2003B" w:rsidRPr="002F196D">
        <w:rPr>
          <w:i/>
          <w:iCs/>
          <w:lang w:eastAsia="en-US"/>
        </w:rPr>
        <w:t>National Health (Pharmaceuticals and Vaccines – Cost Recovery) Regulations 2009</w:t>
      </w:r>
      <w:r w:rsidR="00A2003B">
        <w:rPr>
          <w:lang w:eastAsia="en-US"/>
        </w:rPr>
        <w:t xml:space="preserve"> for Pricing Pathway A were not met. </w:t>
      </w:r>
    </w:p>
    <w:p w14:paraId="10EA3C32" w14:textId="77777777" w:rsidR="00A2003B" w:rsidRPr="002F196D" w:rsidRDefault="00A2003B" w:rsidP="00A2003B">
      <w:pPr>
        <w:pStyle w:val="3-BodyText"/>
        <w:rPr>
          <w:lang w:eastAsia="en-US"/>
        </w:rPr>
      </w:pPr>
      <w:r>
        <w:rPr>
          <w:lang w:eastAsia="en-US"/>
        </w:rPr>
        <w:t xml:space="preserve">This submission does not meet the criteria for an Independent Review as it received a positive recommendation. </w:t>
      </w:r>
    </w:p>
    <w:p w14:paraId="0514085C" w14:textId="77777777" w:rsidR="00A2003B" w:rsidRDefault="00A2003B" w:rsidP="00A2003B">
      <w:pPr>
        <w:jc w:val="left"/>
        <w:rPr>
          <w:b/>
          <w:bCs/>
          <w:lang w:eastAsia="en-US"/>
        </w:rPr>
      </w:pPr>
      <w:r>
        <w:rPr>
          <w:b/>
          <w:bCs/>
          <w:lang w:eastAsia="en-US"/>
        </w:rPr>
        <w:t xml:space="preserve">Outcome: </w:t>
      </w:r>
    </w:p>
    <w:p w14:paraId="6C915BC1" w14:textId="066A0987" w:rsidR="00F9534F" w:rsidRDefault="00A2003B" w:rsidP="00A2003B">
      <w:pPr>
        <w:jc w:val="left"/>
        <w:rPr>
          <w:lang w:eastAsia="en-US"/>
        </w:rPr>
      </w:pPr>
      <w:r>
        <w:rPr>
          <w:lang w:eastAsia="en-US"/>
        </w:rPr>
        <w:t>Recommended</w:t>
      </w:r>
    </w:p>
    <w:p w14:paraId="2CFC3F36" w14:textId="77777777" w:rsidR="00F9534F" w:rsidRDefault="00F9534F">
      <w:pPr>
        <w:jc w:val="left"/>
        <w:rPr>
          <w:lang w:eastAsia="en-US"/>
        </w:rPr>
      </w:pPr>
      <w:r>
        <w:rPr>
          <w:lang w:eastAsia="en-US"/>
        </w:rPr>
        <w:br w:type="page"/>
      </w:r>
    </w:p>
    <w:p w14:paraId="55C9172D" w14:textId="3EAE53C8" w:rsidR="00623733" w:rsidRDefault="00623733" w:rsidP="00623733">
      <w:pPr>
        <w:pStyle w:val="2-SectionHeading"/>
      </w:pPr>
      <w:r>
        <w:lastRenderedPageBreak/>
        <w:t>Recommended listing</w:t>
      </w:r>
    </w:p>
    <w:p w14:paraId="41FCCBCB" w14:textId="0785FFD2" w:rsidR="008B58F1" w:rsidRDefault="00623733" w:rsidP="00F9534F">
      <w:pPr>
        <w:pStyle w:val="3-BodyText"/>
      </w:pPr>
      <w:r>
        <w:t xml:space="preserve">Add new item: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1272"/>
        <w:gridCol w:w="2670"/>
        <w:gridCol w:w="811"/>
        <w:gridCol w:w="811"/>
        <w:gridCol w:w="811"/>
        <w:gridCol w:w="811"/>
        <w:gridCol w:w="1830"/>
      </w:tblGrid>
      <w:tr w:rsidR="008B58F1" w:rsidRPr="001428E9" w14:paraId="02EC0421" w14:textId="77777777" w:rsidTr="00DF0E8D">
        <w:trPr>
          <w:cantSplit/>
          <w:trHeight w:val="20"/>
        </w:trPr>
        <w:tc>
          <w:tcPr>
            <w:tcW w:w="2185" w:type="pct"/>
            <w:gridSpan w:val="2"/>
            <w:vAlign w:val="center"/>
          </w:tcPr>
          <w:p w14:paraId="210BBB0C" w14:textId="77777777" w:rsidR="008B58F1" w:rsidRPr="001428E9" w:rsidRDefault="008B58F1" w:rsidP="000B11C0">
            <w:pPr>
              <w:keepLines/>
              <w:rPr>
                <w:rFonts w:ascii="Arial Narrow" w:hAnsi="Arial Narrow" w:cs="Arial"/>
                <w:b/>
                <w:bCs/>
                <w:sz w:val="20"/>
                <w:szCs w:val="20"/>
              </w:rPr>
            </w:pPr>
            <w:r w:rsidRPr="001428E9">
              <w:rPr>
                <w:rFonts w:ascii="Arial Narrow" w:hAnsi="Arial Narrow" w:cs="Arial"/>
                <w:b/>
                <w:bCs/>
                <w:sz w:val="20"/>
                <w:szCs w:val="20"/>
              </w:rPr>
              <w:t>MEDICINAL PRODUCT</w:t>
            </w:r>
          </w:p>
          <w:p w14:paraId="5A138516" w14:textId="77777777" w:rsidR="008B58F1" w:rsidRPr="001428E9" w:rsidRDefault="008B58F1" w:rsidP="000B11C0">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450" w:type="pct"/>
            <w:vAlign w:val="center"/>
          </w:tcPr>
          <w:p w14:paraId="39E59301" w14:textId="77777777" w:rsidR="008B58F1" w:rsidRPr="001428E9" w:rsidRDefault="008B58F1" w:rsidP="000B11C0">
            <w:pPr>
              <w:keepLines/>
              <w:jc w:val="center"/>
              <w:rPr>
                <w:rFonts w:ascii="Arial Narrow" w:hAnsi="Arial Narrow" w:cs="Arial"/>
                <w:b/>
                <w:sz w:val="20"/>
                <w:szCs w:val="20"/>
              </w:rPr>
            </w:pPr>
            <w:r>
              <w:rPr>
                <w:rFonts w:ascii="Arial Narrow" w:hAnsi="Arial Narrow" w:cs="Arial"/>
                <w:b/>
                <w:sz w:val="20"/>
                <w:szCs w:val="20"/>
              </w:rPr>
              <w:t>PBS item code</w:t>
            </w:r>
          </w:p>
        </w:tc>
        <w:tc>
          <w:tcPr>
            <w:tcW w:w="450" w:type="pct"/>
            <w:vAlign w:val="center"/>
          </w:tcPr>
          <w:p w14:paraId="37456A6D" w14:textId="77777777" w:rsidR="008B58F1" w:rsidRPr="001428E9" w:rsidRDefault="008B58F1" w:rsidP="000B11C0">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450" w:type="pct"/>
            <w:vAlign w:val="center"/>
          </w:tcPr>
          <w:p w14:paraId="7D10A200" w14:textId="77777777" w:rsidR="008B58F1" w:rsidRPr="001428E9" w:rsidRDefault="008B58F1" w:rsidP="000B11C0">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450" w:type="pct"/>
            <w:vAlign w:val="center"/>
          </w:tcPr>
          <w:p w14:paraId="0223C201" w14:textId="77777777" w:rsidR="008B58F1" w:rsidRPr="001428E9" w:rsidRDefault="008B58F1" w:rsidP="000B11C0">
            <w:pPr>
              <w:keepLines/>
              <w:jc w:val="center"/>
              <w:rPr>
                <w:rFonts w:ascii="Arial Narrow" w:hAnsi="Arial Narrow" w:cs="Arial"/>
                <w:b/>
                <w:sz w:val="20"/>
                <w:szCs w:val="20"/>
              </w:rPr>
            </w:pPr>
            <w:r w:rsidRPr="001428E9">
              <w:rPr>
                <w:rFonts w:ascii="Arial Narrow" w:hAnsi="Arial Narrow" w:cs="Arial"/>
                <w:b/>
                <w:sz w:val="20"/>
                <w:szCs w:val="20"/>
              </w:rPr>
              <w:t>№.of</w:t>
            </w:r>
          </w:p>
          <w:p w14:paraId="30D65856" w14:textId="77777777" w:rsidR="008B58F1" w:rsidRPr="001428E9" w:rsidRDefault="008B58F1" w:rsidP="000B11C0">
            <w:pPr>
              <w:keepLines/>
              <w:jc w:val="center"/>
              <w:rPr>
                <w:rFonts w:ascii="Arial Narrow" w:hAnsi="Arial Narrow" w:cs="Arial"/>
                <w:b/>
                <w:sz w:val="20"/>
                <w:szCs w:val="20"/>
              </w:rPr>
            </w:pPr>
            <w:r w:rsidRPr="001428E9">
              <w:rPr>
                <w:rFonts w:ascii="Arial Narrow" w:hAnsi="Arial Narrow" w:cs="Arial"/>
                <w:b/>
                <w:sz w:val="20"/>
                <w:szCs w:val="20"/>
              </w:rPr>
              <w:t>Rpts</w:t>
            </w:r>
          </w:p>
        </w:tc>
        <w:tc>
          <w:tcPr>
            <w:tcW w:w="1016" w:type="pct"/>
            <w:vAlign w:val="center"/>
          </w:tcPr>
          <w:p w14:paraId="2A07A906" w14:textId="77777777" w:rsidR="008B58F1" w:rsidRPr="001428E9" w:rsidRDefault="008B58F1" w:rsidP="000B11C0">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8B58F1" w:rsidRPr="001428E9" w14:paraId="158DB8CE" w14:textId="77777777" w:rsidTr="00AE698F">
        <w:trPr>
          <w:cantSplit/>
          <w:trHeight w:val="20"/>
        </w:trPr>
        <w:tc>
          <w:tcPr>
            <w:tcW w:w="5000" w:type="pct"/>
            <w:gridSpan w:val="7"/>
            <w:vAlign w:val="center"/>
          </w:tcPr>
          <w:p w14:paraId="33671B43" w14:textId="77777777" w:rsidR="008B58F1" w:rsidRPr="001428E9" w:rsidRDefault="008B58F1" w:rsidP="000B11C0">
            <w:pPr>
              <w:keepLines/>
              <w:rPr>
                <w:rFonts w:ascii="Arial Narrow" w:hAnsi="Arial Narrow" w:cs="Arial"/>
                <w:sz w:val="20"/>
                <w:szCs w:val="20"/>
              </w:rPr>
            </w:pPr>
            <w:r>
              <w:rPr>
                <w:rFonts w:ascii="Arial Narrow" w:hAnsi="Arial Narrow" w:cs="Arial"/>
                <w:sz w:val="20"/>
                <w:szCs w:val="20"/>
              </w:rPr>
              <w:t>CICLOSPORIN</w:t>
            </w:r>
          </w:p>
        </w:tc>
      </w:tr>
      <w:tr w:rsidR="008B58F1" w:rsidRPr="001428E9" w14:paraId="6F687A92" w14:textId="77777777" w:rsidTr="00DF0E8D">
        <w:trPr>
          <w:cantSplit/>
          <w:trHeight w:val="199"/>
        </w:trPr>
        <w:tc>
          <w:tcPr>
            <w:tcW w:w="2185" w:type="pct"/>
            <w:gridSpan w:val="2"/>
            <w:vAlign w:val="center"/>
          </w:tcPr>
          <w:p w14:paraId="78F76AAF" w14:textId="59D86DAB" w:rsidR="008B58F1" w:rsidRPr="001428E9" w:rsidRDefault="008B58F1" w:rsidP="000B11C0">
            <w:pPr>
              <w:keepLines/>
              <w:rPr>
                <w:rFonts w:ascii="Arial Narrow" w:hAnsi="Arial Narrow" w:cs="Arial"/>
                <w:sz w:val="20"/>
                <w:szCs w:val="20"/>
              </w:rPr>
            </w:pPr>
            <w:r>
              <w:rPr>
                <w:rFonts w:ascii="Arial Narrow" w:hAnsi="Arial Narrow" w:cs="Arial"/>
                <w:sz w:val="20"/>
                <w:szCs w:val="20"/>
              </w:rPr>
              <w:t>ciclosporin 0.1%</w:t>
            </w:r>
            <w:r w:rsidRPr="008555F0">
              <w:rPr>
                <w:rFonts w:ascii="Arial Narrow" w:hAnsi="Arial Narrow" w:cs="Arial"/>
                <w:sz w:val="20"/>
                <w:szCs w:val="20"/>
              </w:rPr>
              <w:t xml:space="preserve"> eye drops</w:t>
            </w:r>
            <w:r w:rsidRPr="00D91AA9">
              <w:rPr>
                <w:rFonts w:ascii="Arial Narrow" w:hAnsi="Arial Narrow" w:cs="Arial"/>
                <w:sz w:val="20"/>
                <w:szCs w:val="20"/>
              </w:rPr>
              <w:t>,</w:t>
            </w:r>
            <w:r>
              <w:rPr>
                <w:rFonts w:ascii="Arial Narrow" w:hAnsi="Arial Narrow" w:cs="Arial"/>
                <w:sz w:val="20"/>
                <w:szCs w:val="20"/>
              </w:rPr>
              <w:t xml:space="preserve"> 2 mL</w:t>
            </w:r>
            <w:r w:rsidRPr="008555F0">
              <w:rPr>
                <w:rFonts w:ascii="Arial Narrow" w:hAnsi="Arial Narrow" w:cs="Arial"/>
                <w:sz w:val="20"/>
                <w:szCs w:val="20"/>
              </w:rPr>
              <w:t xml:space="preserve"> </w:t>
            </w:r>
          </w:p>
        </w:tc>
        <w:tc>
          <w:tcPr>
            <w:tcW w:w="450" w:type="pct"/>
            <w:vAlign w:val="center"/>
          </w:tcPr>
          <w:p w14:paraId="46C4B016" w14:textId="77777777" w:rsidR="008B58F1" w:rsidRPr="00D91AA9" w:rsidRDefault="008B58F1" w:rsidP="000B11C0">
            <w:pPr>
              <w:keepLines/>
              <w:jc w:val="center"/>
              <w:rPr>
                <w:rFonts w:ascii="Arial Narrow" w:hAnsi="Arial Narrow" w:cs="Arial"/>
                <w:sz w:val="20"/>
                <w:szCs w:val="20"/>
              </w:rPr>
            </w:pPr>
            <w:r w:rsidRPr="00D91AA9">
              <w:rPr>
                <w:rFonts w:ascii="Arial Narrow" w:hAnsi="Arial Narrow" w:cs="Arial"/>
                <w:sz w:val="20"/>
                <w:szCs w:val="20"/>
              </w:rPr>
              <w:t>NEW</w:t>
            </w:r>
          </w:p>
        </w:tc>
        <w:tc>
          <w:tcPr>
            <w:tcW w:w="450" w:type="pct"/>
            <w:vAlign w:val="center"/>
          </w:tcPr>
          <w:p w14:paraId="02A42738" w14:textId="77777777" w:rsidR="008B58F1" w:rsidRPr="001428E9" w:rsidRDefault="008B58F1" w:rsidP="000B11C0">
            <w:pPr>
              <w:keepLines/>
              <w:jc w:val="center"/>
              <w:rPr>
                <w:rFonts w:ascii="Arial Narrow" w:hAnsi="Arial Narrow" w:cs="Arial"/>
                <w:sz w:val="20"/>
                <w:szCs w:val="20"/>
              </w:rPr>
            </w:pPr>
            <w:r w:rsidRPr="001428E9">
              <w:rPr>
                <w:rFonts w:ascii="Arial Narrow" w:hAnsi="Arial Narrow" w:cs="Arial"/>
                <w:sz w:val="20"/>
                <w:szCs w:val="20"/>
              </w:rPr>
              <w:t>1</w:t>
            </w:r>
          </w:p>
        </w:tc>
        <w:tc>
          <w:tcPr>
            <w:tcW w:w="450" w:type="pct"/>
            <w:vAlign w:val="center"/>
          </w:tcPr>
          <w:p w14:paraId="6E81400B" w14:textId="77777777" w:rsidR="008B58F1" w:rsidRPr="001428E9" w:rsidRDefault="008B58F1" w:rsidP="000B11C0">
            <w:pPr>
              <w:keepLines/>
              <w:jc w:val="center"/>
              <w:rPr>
                <w:rFonts w:ascii="Arial Narrow" w:hAnsi="Arial Narrow" w:cs="Arial"/>
                <w:sz w:val="20"/>
                <w:szCs w:val="20"/>
              </w:rPr>
            </w:pPr>
            <w:r>
              <w:rPr>
                <w:rFonts w:ascii="Arial Narrow" w:hAnsi="Arial Narrow" w:cs="Arial"/>
                <w:sz w:val="20"/>
                <w:szCs w:val="20"/>
              </w:rPr>
              <w:t>1</w:t>
            </w:r>
          </w:p>
        </w:tc>
        <w:tc>
          <w:tcPr>
            <w:tcW w:w="450" w:type="pct"/>
            <w:vAlign w:val="center"/>
          </w:tcPr>
          <w:p w14:paraId="6F82E8BF" w14:textId="77777777" w:rsidR="008B58F1" w:rsidRPr="001428E9" w:rsidRDefault="008B58F1" w:rsidP="000B11C0">
            <w:pPr>
              <w:keepLines/>
              <w:jc w:val="center"/>
              <w:rPr>
                <w:rFonts w:ascii="Arial Narrow" w:hAnsi="Arial Narrow" w:cs="Arial"/>
                <w:sz w:val="20"/>
                <w:szCs w:val="20"/>
              </w:rPr>
            </w:pPr>
            <w:r w:rsidRPr="001428E9">
              <w:rPr>
                <w:rFonts w:ascii="Arial Narrow" w:hAnsi="Arial Narrow" w:cs="Arial"/>
                <w:sz w:val="20"/>
                <w:szCs w:val="20"/>
              </w:rPr>
              <w:t>5</w:t>
            </w:r>
          </w:p>
        </w:tc>
        <w:tc>
          <w:tcPr>
            <w:tcW w:w="1016" w:type="pct"/>
            <w:vAlign w:val="center"/>
          </w:tcPr>
          <w:p w14:paraId="0C27D6CF" w14:textId="77777777" w:rsidR="008B58F1" w:rsidRPr="001428E9" w:rsidRDefault="008B58F1" w:rsidP="000B11C0">
            <w:pPr>
              <w:keepLines/>
              <w:rPr>
                <w:rFonts w:ascii="Arial Narrow" w:hAnsi="Arial Narrow" w:cs="Arial"/>
                <w:sz w:val="20"/>
                <w:szCs w:val="20"/>
              </w:rPr>
            </w:pPr>
            <w:r>
              <w:rPr>
                <w:rFonts w:ascii="Arial Narrow" w:hAnsi="Arial Narrow" w:cs="Arial"/>
                <w:sz w:val="20"/>
                <w:szCs w:val="20"/>
              </w:rPr>
              <w:t>Vevye</w:t>
            </w:r>
          </w:p>
        </w:tc>
      </w:tr>
      <w:tr w:rsidR="008B58F1" w:rsidRPr="001428E9" w14:paraId="40D7F62C" w14:textId="77777777" w:rsidTr="00AE698F">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63315CC" w14:textId="77777777" w:rsidR="008B58F1" w:rsidRPr="001428E9" w:rsidRDefault="008B58F1" w:rsidP="000B11C0">
            <w:pPr>
              <w:rPr>
                <w:rFonts w:ascii="Arial Narrow" w:hAnsi="Arial Narrow" w:cs="Arial"/>
                <w:sz w:val="20"/>
                <w:szCs w:val="20"/>
              </w:rPr>
            </w:pPr>
          </w:p>
        </w:tc>
      </w:tr>
      <w:tr w:rsidR="008B58F1" w:rsidRPr="00A260AF" w14:paraId="0A2D16B5" w14:textId="77777777" w:rsidTr="00AE698F">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380BBF44" w14:textId="4ED2238C" w:rsidR="008B58F1" w:rsidRPr="00A260AF" w:rsidRDefault="008B58F1" w:rsidP="000B11C0">
            <w:pPr>
              <w:jc w:val="center"/>
              <w:rPr>
                <w:rFonts w:ascii="Arial Narrow" w:hAnsi="Arial Narrow" w:cs="Arial"/>
                <w:bCs/>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5B55FE8" w14:textId="77777777" w:rsidR="008B58F1" w:rsidRPr="00A260AF" w:rsidRDefault="008B58F1" w:rsidP="000B11C0">
            <w:pPr>
              <w:keepLines/>
              <w:rPr>
                <w:rFonts w:ascii="Arial Narrow" w:hAnsi="Arial Narrow" w:cs="Arial"/>
                <w:bCs/>
                <w:sz w:val="20"/>
                <w:szCs w:val="20"/>
              </w:rPr>
            </w:pPr>
            <w:r w:rsidRPr="00810A02">
              <w:rPr>
                <w:rFonts w:ascii="Arial Narrow" w:hAnsi="Arial Narrow" w:cs="Arial"/>
                <w:b/>
                <w:sz w:val="20"/>
                <w:szCs w:val="20"/>
              </w:rPr>
              <w:t>Category / Program:</w:t>
            </w:r>
            <w:r w:rsidRPr="00A260AF">
              <w:rPr>
                <w:rFonts w:ascii="Arial Narrow" w:hAnsi="Arial Narrow" w:cs="Arial"/>
                <w:bCs/>
                <w:sz w:val="20"/>
                <w:szCs w:val="20"/>
              </w:rPr>
              <w:t xml:space="preserve"> </w:t>
            </w:r>
            <w:r w:rsidRPr="00A260AF">
              <w:rPr>
                <w:rFonts w:ascii="Arial Narrow" w:eastAsia="Calibri" w:hAnsi="Arial Narrow" w:cs="Arial"/>
                <w:bCs/>
                <w:sz w:val="20"/>
                <w:szCs w:val="20"/>
              </w:rPr>
              <w:fldChar w:fldCharType="begin">
                <w:ffData>
                  <w:name w:val="Check1"/>
                  <w:enabled/>
                  <w:calcOnExit w:val="0"/>
                  <w:checkBox>
                    <w:sizeAuto/>
                    <w:default w:val="1"/>
                  </w:checkBox>
                </w:ffData>
              </w:fldChar>
            </w:r>
            <w:r w:rsidRPr="00A260AF">
              <w:rPr>
                <w:rFonts w:ascii="Arial Narrow" w:eastAsia="Calibri" w:hAnsi="Arial Narrow" w:cs="Arial"/>
                <w:bCs/>
                <w:sz w:val="20"/>
                <w:szCs w:val="20"/>
              </w:rPr>
              <w:instrText xml:space="preserve"> FORMCHECKBOX </w:instrText>
            </w:r>
            <w:r w:rsidRPr="00A260AF">
              <w:rPr>
                <w:rFonts w:ascii="Arial Narrow" w:eastAsia="Calibri" w:hAnsi="Arial Narrow" w:cs="Arial"/>
                <w:bCs/>
                <w:sz w:val="20"/>
                <w:szCs w:val="20"/>
              </w:rPr>
            </w:r>
            <w:r w:rsidRPr="00A260AF">
              <w:rPr>
                <w:rFonts w:ascii="Arial Narrow" w:eastAsia="Calibri" w:hAnsi="Arial Narrow" w:cs="Arial"/>
                <w:bCs/>
                <w:sz w:val="20"/>
                <w:szCs w:val="20"/>
              </w:rPr>
              <w:fldChar w:fldCharType="separate"/>
            </w:r>
            <w:r w:rsidRPr="00A260AF">
              <w:rPr>
                <w:rFonts w:ascii="Arial Narrow" w:eastAsia="Calibri" w:hAnsi="Arial Narrow" w:cs="Arial"/>
                <w:bCs/>
                <w:sz w:val="20"/>
                <w:szCs w:val="20"/>
              </w:rPr>
              <w:fldChar w:fldCharType="end"/>
            </w:r>
            <w:r w:rsidRPr="00A260AF">
              <w:rPr>
                <w:rFonts w:ascii="Arial Narrow" w:eastAsia="Calibri" w:hAnsi="Arial Narrow" w:cs="Arial"/>
                <w:bCs/>
                <w:sz w:val="20"/>
                <w:szCs w:val="20"/>
              </w:rPr>
              <w:t xml:space="preserve"> GENERAL - General Schedule (Code GE)</w:t>
            </w:r>
          </w:p>
        </w:tc>
      </w:tr>
      <w:tr w:rsidR="008B58F1" w:rsidRPr="00A260AF" w14:paraId="410C8D2C" w14:textId="77777777" w:rsidTr="00AE698F">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7ECCE5E8" w14:textId="77777777" w:rsidR="008B58F1" w:rsidRPr="00A260AF" w:rsidRDefault="008B58F1" w:rsidP="000B11C0">
            <w:pPr>
              <w:rPr>
                <w:rFonts w:ascii="Arial Narrow" w:hAnsi="Arial Narrow" w:cs="Arial"/>
                <w:bCs/>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159CF26A" w14:textId="77777777" w:rsidR="008B58F1" w:rsidRPr="00A260AF" w:rsidRDefault="008B58F1" w:rsidP="000B11C0">
            <w:pPr>
              <w:keepLines/>
              <w:rPr>
                <w:bCs/>
              </w:rPr>
            </w:pPr>
            <w:r w:rsidRPr="00810A02">
              <w:rPr>
                <w:rFonts w:ascii="Arial Narrow" w:hAnsi="Arial Narrow" w:cs="Arial"/>
                <w:b/>
                <w:sz w:val="20"/>
                <w:szCs w:val="20"/>
              </w:rPr>
              <w:t>Prescriber type:</w:t>
            </w:r>
            <w:r w:rsidRPr="00A260AF">
              <w:rPr>
                <w:bCs/>
              </w:rPr>
              <w:t xml:space="preserve"> </w:t>
            </w:r>
            <w:r w:rsidRPr="00A260AF">
              <w:rPr>
                <w:rFonts w:ascii="Arial Narrow" w:hAnsi="Arial Narrow" w:cs="Arial"/>
                <w:bCs/>
                <w:sz w:val="20"/>
                <w:szCs w:val="20"/>
              </w:rPr>
              <w:fldChar w:fldCharType="begin">
                <w:ffData>
                  <w:name w:val=""/>
                  <w:enabled/>
                  <w:calcOnExit w:val="0"/>
                  <w:checkBox>
                    <w:sizeAuto/>
                    <w:default w:val="1"/>
                  </w:checkBox>
                </w:ffData>
              </w:fldChar>
            </w:r>
            <w:r w:rsidRPr="00A260AF">
              <w:rPr>
                <w:rFonts w:ascii="Arial Narrow" w:hAnsi="Arial Narrow" w:cs="Arial"/>
                <w:bCs/>
                <w:sz w:val="20"/>
                <w:szCs w:val="20"/>
              </w:rPr>
              <w:instrText xml:space="preserve"> FORMCHECKBOX </w:instrText>
            </w:r>
            <w:r w:rsidRPr="00A260AF">
              <w:rPr>
                <w:rFonts w:ascii="Arial Narrow" w:hAnsi="Arial Narrow" w:cs="Arial"/>
                <w:bCs/>
                <w:sz w:val="20"/>
                <w:szCs w:val="20"/>
              </w:rPr>
            </w:r>
            <w:r w:rsidRPr="00A260AF">
              <w:rPr>
                <w:rFonts w:ascii="Arial Narrow" w:hAnsi="Arial Narrow" w:cs="Arial"/>
                <w:bCs/>
                <w:sz w:val="20"/>
                <w:szCs w:val="20"/>
              </w:rPr>
              <w:fldChar w:fldCharType="separate"/>
            </w:r>
            <w:r w:rsidRPr="00A260AF">
              <w:rPr>
                <w:rFonts w:ascii="Arial Narrow" w:hAnsi="Arial Narrow" w:cs="Arial"/>
                <w:bCs/>
                <w:sz w:val="20"/>
                <w:szCs w:val="20"/>
              </w:rPr>
              <w:fldChar w:fldCharType="end"/>
            </w:r>
            <w:r w:rsidRPr="00A260AF">
              <w:rPr>
                <w:rFonts w:ascii="Arial Narrow" w:hAnsi="Arial Narrow" w:cs="Arial"/>
                <w:bCs/>
                <w:sz w:val="20"/>
                <w:szCs w:val="20"/>
              </w:rPr>
              <w:t xml:space="preserve">Medical Practitioners </w:t>
            </w:r>
            <w:r w:rsidRPr="00A260AF">
              <w:rPr>
                <w:rFonts w:ascii="Arial Narrow" w:hAnsi="Arial Narrow" w:cs="Arial"/>
                <w:bCs/>
                <w:sz w:val="20"/>
                <w:szCs w:val="20"/>
              </w:rPr>
              <w:fldChar w:fldCharType="begin">
                <w:ffData>
                  <w:name w:val=""/>
                  <w:enabled/>
                  <w:calcOnExit w:val="0"/>
                  <w:checkBox>
                    <w:sizeAuto/>
                    <w:default w:val="1"/>
                  </w:checkBox>
                </w:ffData>
              </w:fldChar>
            </w:r>
            <w:r w:rsidRPr="00A260AF">
              <w:rPr>
                <w:rFonts w:ascii="Arial Narrow" w:hAnsi="Arial Narrow" w:cs="Arial"/>
                <w:bCs/>
                <w:sz w:val="20"/>
                <w:szCs w:val="20"/>
              </w:rPr>
              <w:instrText xml:space="preserve"> FORMCHECKBOX </w:instrText>
            </w:r>
            <w:r w:rsidRPr="00A260AF">
              <w:rPr>
                <w:rFonts w:ascii="Arial Narrow" w:hAnsi="Arial Narrow" w:cs="Arial"/>
                <w:bCs/>
                <w:sz w:val="20"/>
                <w:szCs w:val="20"/>
              </w:rPr>
            </w:r>
            <w:r w:rsidRPr="00A260AF">
              <w:rPr>
                <w:rFonts w:ascii="Arial Narrow" w:hAnsi="Arial Narrow" w:cs="Arial"/>
                <w:bCs/>
                <w:sz w:val="20"/>
                <w:szCs w:val="20"/>
              </w:rPr>
              <w:fldChar w:fldCharType="separate"/>
            </w:r>
            <w:r w:rsidRPr="00A260AF">
              <w:rPr>
                <w:rFonts w:ascii="Arial Narrow" w:hAnsi="Arial Narrow" w:cs="Arial"/>
                <w:bCs/>
                <w:sz w:val="20"/>
                <w:szCs w:val="20"/>
              </w:rPr>
              <w:fldChar w:fldCharType="end"/>
            </w:r>
            <w:r w:rsidRPr="00A260AF">
              <w:rPr>
                <w:rFonts w:ascii="Arial Narrow" w:hAnsi="Arial Narrow" w:cs="Arial"/>
                <w:bCs/>
                <w:sz w:val="20"/>
                <w:szCs w:val="20"/>
              </w:rPr>
              <w:t xml:space="preserve">Optometrists </w:t>
            </w:r>
          </w:p>
        </w:tc>
      </w:tr>
      <w:tr w:rsidR="008B58F1" w:rsidRPr="00A260AF" w14:paraId="7093BF35" w14:textId="77777777" w:rsidTr="00AE698F">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1990A176" w14:textId="77777777" w:rsidR="008B58F1" w:rsidRPr="00A260AF" w:rsidRDefault="008B58F1" w:rsidP="000B11C0">
            <w:pPr>
              <w:rPr>
                <w:rFonts w:ascii="Arial Narrow" w:hAnsi="Arial Narrow" w:cs="Arial"/>
                <w:bCs/>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5C8EE27D" w14:textId="77777777" w:rsidR="008B58F1" w:rsidRPr="00A260AF" w:rsidRDefault="008B58F1" w:rsidP="000B11C0">
            <w:pPr>
              <w:keepLines/>
              <w:rPr>
                <w:rFonts w:ascii="Arial Narrow" w:eastAsia="Calibri" w:hAnsi="Arial Narrow" w:cs="Arial"/>
                <w:bCs/>
                <w:sz w:val="20"/>
                <w:szCs w:val="20"/>
              </w:rPr>
            </w:pPr>
            <w:r w:rsidRPr="00810A02">
              <w:rPr>
                <w:rFonts w:ascii="Arial Narrow" w:hAnsi="Arial Narrow" w:cs="Arial"/>
                <w:b/>
                <w:sz w:val="20"/>
                <w:szCs w:val="20"/>
              </w:rPr>
              <w:t>Restriction type:</w:t>
            </w:r>
            <w:r w:rsidRPr="00A260AF">
              <w:rPr>
                <w:rFonts w:ascii="Arial Narrow" w:hAnsi="Arial Narrow" w:cs="Arial"/>
                <w:bCs/>
                <w:sz w:val="20"/>
                <w:szCs w:val="20"/>
              </w:rPr>
              <w:t xml:space="preserve"> </w:t>
            </w:r>
            <w:r w:rsidRPr="00A260AF">
              <w:rPr>
                <w:rFonts w:ascii="Arial Narrow" w:eastAsia="Calibri" w:hAnsi="Arial Narrow" w:cs="Arial"/>
                <w:bCs/>
                <w:sz w:val="20"/>
                <w:szCs w:val="20"/>
              </w:rPr>
              <w:fldChar w:fldCharType="begin">
                <w:ffData>
                  <w:name w:val="Check3"/>
                  <w:enabled/>
                  <w:calcOnExit w:val="0"/>
                  <w:checkBox>
                    <w:sizeAuto/>
                    <w:default w:val="1"/>
                  </w:checkBox>
                </w:ffData>
              </w:fldChar>
            </w:r>
            <w:r w:rsidRPr="00A260AF">
              <w:rPr>
                <w:rFonts w:ascii="Arial Narrow" w:eastAsia="Calibri" w:hAnsi="Arial Narrow" w:cs="Arial"/>
                <w:bCs/>
                <w:sz w:val="20"/>
                <w:szCs w:val="20"/>
              </w:rPr>
              <w:instrText xml:space="preserve"> FORMCHECKBOX </w:instrText>
            </w:r>
            <w:r w:rsidRPr="00A260AF">
              <w:rPr>
                <w:rFonts w:ascii="Arial Narrow" w:eastAsia="Calibri" w:hAnsi="Arial Narrow" w:cs="Arial"/>
                <w:bCs/>
                <w:sz w:val="20"/>
                <w:szCs w:val="20"/>
              </w:rPr>
            </w:r>
            <w:r w:rsidRPr="00A260AF">
              <w:rPr>
                <w:rFonts w:ascii="Arial Narrow" w:eastAsia="Calibri" w:hAnsi="Arial Narrow" w:cs="Arial"/>
                <w:bCs/>
                <w:sz w:val="20"/>
                <w:szCs w:val="20"/>
              </w:rPr>
              <w:fldChar w:fldCharType="separate"/>
            </w:r>
            <w:r w:rsidRPr="00A260AF">
              <w:rPr>
                <w:rFonts w:ascii="Arial Narrow" w:eastAsia="Calibri" w:hAnsi="Arial Narrow" w:cs="Arial"/>
                <w:bCs/>
                <w:sz w:val="20"/>
                <w:szCs w:val="20"/>
              </w:rPr>
              <w:fldChar w:fldCharType="end"/>
            </w:r>
            <w:r w:rsidRPr="00A260AF">
              <w:rPr>
                <w:rFonts w:ascii="Arial Narrow" w:eastAsia="Calibri" w:hAnsi="Arial Narrow" w:cs="Arial"/>
                <w:bCs/>
                <w:sz w:val="20"/>
                <w:szCs w:val="20"/>
              </w:rPr>
              <w:t>Authority Required (telephone/online PBS Authorities system</w:t>
            </w:r>
            <w:r>
              <w:rPr>
                <w:rFonts w:ascii="Arial Narrow" w:eastAsia="Calibri" w:hAnsi="Arial Narrow" w:cs="Arial"/>
                <w:bCs/>
                <w:sz w:val="20"/>
                <w:szCs w:val="20"/>
              </w:rPr>
              <w:t>)</w:t>
            </w:r>
          </w:p>
        </w:tc>
      </w:tr>
      <w:tr w:rsidR="008B58F1" w:rsidRPr="00CA50B2" w14:paraId="1A3B42FD" w14:textId="77777777" w:rsidTr="00AE698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6F1B405F" w14:textId="77777777" w:rsidR="008B58F1" w:rsidRPr="00A260AF" w:rsidRDefault="008B58F1" w:rsidP="000B11C0">
            <w:pPr>
              <w:rPr>
                <w:rFonts w:ascii="Arial Narrow" w:hAnsi="Arial Narrow" w:cs="Arial"/>
                <w:bCs/>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38180EA" w14:textId="77777777" w:rsidR="008B58F1" w:rsidRPr="00CA50B2" w:rsidRDefault="008B58F1" w:rsidP="000B11C0">
            <w:pPr>
              <w:keepLines/>
              <w:rPr>
                <w:rFonts w:ascii="Arial Narrow" w:hAnsi="Arial Narrow" w:cs="Arial"/>
                <w:b/>
                <w:sz w:val="20"/>
                <w:szCs w:val="20"/>
              </w:rPr>
            </w:pPr>
            <w:r>
              <w:rPr>
                <w:rFonts w:ascii="Arial Narrow" w:hAnsi="Arial Narrow" w:cs="Arial"/>
                <w:b/>
                <w:sz w:val="20"/>
                <w:szCs w:val="20"/>
              </w:rPr>
              <w:t>Prescribing rule</w:t>
            </w:r>
          </w:p>
        </w:tc>
      </w:tr>
      <w:tr w:rsidR="008B58F1" w:rsidRPr="00EF4050" w14:paraId="4C37286C" w14:textId="77777777" w:rsidTr="00AE698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6E859D4D" w14:textId="009D79C7" w:rsidR="008B58F1" w:rsidRPr="00D91AA9" w:rsidRDefault="008B58F1" w:rsidP="000B11C0">
            <w:pPr>
              <w:jc w:val="cente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16F0986C" w14:textId="77777777" w:rsidR="008B58F1" w:rsidRPr="00D91AA9" w:rsidRDefault="008B58F1" w:rsidP="000B11C0">
            <w:pPr>
              <w:keepLines/>
              <w:rPr>
                <w:rFonts w:ascii="Arial Narrow" w:hAnsi="Arial Narrow" w:cs="Arial"/>
                <w:b/>
                <w:sz w:val="20"/>
                <w:szCs w:val="20"/>
              </w:rPr>
            </w:pPr>
            <w:r w:rsidRPr="00D91AA9">
              <w:rPr>
                <w:rFonts w:ascii="Arial Narrow" w:hAnsi="Arial Narrow" w:cs="Arial"/>
                <w:b/>
                <w:sz w:val="20"/>
                <w:szCs w:val="20"/>
              </w:rPr>
              <w:t>Caution:</w:t>
            </w:r>
          </w:p>
          <w:p w14:paraId="27142E0B" w14:textId="77777777" w:rsidR="008B58F1" w:rsidRPr="00D91AA9" w:rsidRDefault="008B58F1" w:rsidP="000B11C0">
            <w:pPr>
              <w:keepLines/>
              <w:rPr>
                <w:rFonts w:ascii="Arial Narrow" w:hAnsi="Arial Narrow" w:cs="Arial"/>
                <w:sz w:val="20"/>
                <w:szCs w:val="20"/>
              </w:rPr>
            </w:pPr>
            <w:r w:rsidRPr="00D91AA9">
              <w:rPr>
                <w:rFonts w:ascii="Arial Narrow" w:hAnsi="Arial Narrow" w:cs="Arial"/>
                <w:sz w:val="20"/>
                <w:szCs w:val="20"/>
              </w:rPr>
              <w:t>It is recommended that the potential for immunosuppression with long term use of this drug be clinically reviewed after at least 24 months of treatment, if not already reviewed.</w:t>
            </w:r>
          </w:p>
        </w:tc>
      </w:tr>
      <w:tr w:rsidR="008B58F1" w:rsidRPr="00EF4050" w14:paraId="235F851A" w14:textId="77777777" w:rsidTr="00AE698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7B169B8F" w14:textId="34557E11" w:rsidR="008B58F1" w:rsidRPr="00D91AA9" w:rsidRDefault="008B58F1" w:rsidP="000B11C0">
            <w:pPr>
              <w:jc w:val="cente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D5AC578" w14:textId="77777777" w:rsidR="008B58F1" w:rsidRPr="00D91AA9" w:rsidRDefault="008B58F1" w:rsidP="000B11C0">
            <w:pPr>
              <w:keepLines/>
              <w:rPr>
                <w:rFonts w:ascii="Arial Narrow" w:hAnsi="Arial Narrow" w:cs="Arial"/>
                <w:b/>
                <w:sz w:val="20"/>
                <w:szCs w:val="20"/>
              </w:rPr>
            </w:pPr>
            <w:r w:rsidRPr="00D91AA9">
              <w:rPr>
                <w:rFonts w:ascii="Arial Narrow" w:hAnsi="Arial Narrow" w:cs="Arial"/>
                <w:b/>
                <w:sz w:val="20"/>
                <w:szCs w:val="20"/>
              </w:rPr>
              <w:t>Administrative Advice:</w:t>
            </w:r>
          </w:p>
          <w:p w14:paraId="0E5664A3" w14:textId="77777777" w:rsidR="008B58F1" w:rsidRPr="00D91AA9" w:rsidRDefault="008B58F1" w:rsidP="000B11C0">
            <w:pPr>
              <w:keepLines/>
              <w:rPr>
                <w:rFonts w:ascii="Arial Narrow" w:hAnsi="Arial Narrow" w:cs="Arial"/>
                <w:sz w:val="20"/>
                <w:szCs w:val="20"/>
              </w:rPr>
            </w:pPr>
            <w:r w:rsidRPr="00D91AA9">
              <w:rPr>
                <w:rFonts w:ascii="Arial Narrow" w:hAnsi="Arial Narrow" w:cs="Arial"/>
                <w:sz w:val="20"/>
                <w:szCs w:val="20"/>
              </w:rPr>
              <w:t>Applications for authorisation under this restriction may be made in real time using the Online PBS Authorities system (see www.servicesaustralia.gov.au/HPOS) or by telephone by contacting Services Australia on 1800 888 333.</w:t>
            </w:r>
          </w:p>
        </w:tc>
      </w:tr>
      <w:tr w:rsidR="008B58F1" w:rsidRPr="002C7467" w14:paraId="70396EE6" w14:textId="77777777" w:rsidTr="00AE698F">
        <w:tblPrEx>
          <w:tblCellMar>
            <w:top w:w="15" w:type="dxa"/>
            <w:bottom w:w="15" w:type="dxa"/>
          </w:tblCellMar>
        </w:tblPrEx>
        <w:trPr>
          <w:trHeight w:val="20"/>
        </w:trPr>
        <w:tc>
          <w:tcPr>
            <w:tcW w:w="5000" w:type="pct"/>
            <w:gridSpan w:val="7"/>
            <w:tcBorders>
              <w:left w:val="single" w:sz="4" w:space="0" w:color="auto"/>
              <w:right w:val="single" w:sz="4" w:space="0" w:color="auto"/>
            </w:tcBorders>
            <w:vAlign w:val="center"/>
          </w:tcPr>
          <w:p w14:paraId="2281FFA7" w14:textId="027BFBB3" w:rsidR="008B58F1" w:rsidRPr="002C7467" w:rsidRDefault="008B58F1" w:rsidP="000B11C0">
            <w:pPr>
              <w:keepLines/>
              <w:rPr>
                <w:rFonts w:ascii="Arial Narrow" w:hAnsi="Arial Narrow" w:cs="Arial"/>
                <w:bCs/>
                <w:sz w:val="20"/>
                <w:szCs w:val="20"/>
              </w:rPr>
            </w:pPr>
          </w:p>
        </w:tc>
      </w:tr>
      <w:tr w:rsidR="008B58F1" w:rsidRPr="001C1AE4" w14:paraId="6739153F" w14:textId="77777777" w:rsidTr="00DF0E8D">
        <w:tblPrEx>
          <w:tblCellMar>
            <w:top w:w="15" w:type="dxa"/>
            <w:bottom w:w="15" w:type="dxa"/>
          </w:tblCellMar>
        </w:tblPrEx>
        <w:trPr>
          <w:cantSplit/>
          <w:trHeight w:val="45"/>
        </w:trPr>
        <w:tc>
          <w:tcPr>
            <w:tcW w:w="705" w:type="pct"/>
            <w:vAlign w:val="center"/>
          </w:tcPr>
          <w:p w14:paraId="66606776" w14:textId="6EAAA13D" w:rsidR="008B58F1" w:rsidRPr="00A260AF" w:rsidRDefault="008B58F1" w:rsidP="000B11C0">
            <w:pPr>
              <w:keepLines/>
              <w:jc w:val="center"/>
              <w:rPr>
                <w:rFonts w:ascii="Arial Narrow" w:hAnsi="Arial Narrow"/>
                <w:bCs/>
                <w:sz w:val="20"/>
                <w:szCs w:val="20"/>
              </w:rPr>
            </w:pPr>
          </w:p>
        </w:tc>
        <w:tc>
          <w:tcPr>
            <w:tcW w:w="4295" w:type="pct"/>
            <w:gridSpan w:val="6"/>
            <w:vAlign w:val="center"/>
            <w:hideMark/>
          </w:tcPr>
          <w:p w14:paraId="1B6E0817" w14:textId="77777777" w:rsidR="008B58F1" w:rsidRPr="001C1AE4" w:rsidRDefault="008B58F1" w:rsidP="000B11C0">
            <w:pPr>
              <w:keepLines/>
              <w:rPr>
                <w:rFonts w:ascii="Arial Narrow" w:hAnsi="Arial Narrow"/>
                <w:bCs/>
                <w:sz w:val="20"/>
                <w:szCs w:val="20"/>
              </w:rPr>
            </w:pPr>
            <w:r w:rsidRPr="00810A02">
              <w:rPr>
                <w:rFonts w:ascii="Arial Narrow" w:hAnsi="Arial Narrow"/>
                <w:b/>
                <w:sz w:val="20"/>
                <w:szCs w:val="20"/>
              </w:rPr>
              <w:t>Indication:</w:t>
            </w:r>
            <w:r w:rsidRPr="00A260AF">
              <w:rPr>
                <w:rFonts w:ascii="Arial Narrow" w:hAnsi="Arial Narrow"/>
                <w:bCs/>
                <w:sz w:val="20"/>
                <w:szCs w:val="20"/>
              </w:rPr>
              <w:t xml:space="preserve"> </w:t>
            </w:r>
            <w:r w:rsidRPr="00B26106">
              <w:rPr>
                <w:rFonts w:ascii="Arial Narrow" w:hAnsi="Arial Narrow"/>
                <w:bCs/>
                <w:sz w:val="20"/>
                <w:szCs w:val="20"/>
              </w:rPr>
              <w:t>Chronic severe dry eye disease with keratitis</w:t>
            </w:r>
          </w:p>
        </w:tc>
      </w:tr>
      <w:tr w:rsidR="008B58F1" w:rsidRPr="00A260AF" w14:paraId="162AECD6" w14:textId="77777777" w:rsidTr="00DF0E8D">
        <w:tblPrEx>
          <w:tblCellMar>
            <w:top w:w="15" w:type="dxa"/>
            <w:bottom w:w="15" w:type="dxa"/>
          </w:tblCellMar>
          <w:tblLook w:val="04A0" w:firstRow="1" w:lastRow="0" w:firstColumn="1" w:lastColumn="0" w:noHBand="0" w:noVBand="1"/>
        </w:tblPrEx>
        <w:trPr>
          <w:cantSplit/>
          <w:trHeight w:val="229"/>
        </w:trPr>
        <w:tc>
          <w:tcPr>
            <w:tcW w:w="705" w:type="pct"/>
            <w:vAlign w:val="center"/>
          </w:tcPr>
          <w:p w14:paraId="13F10940" w14:textId="77777777"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20FC9D4A" w14:textId="77777777" w:rsidR="008B58F1" w:rsidRPr="00A260AF" w:rsidRDefault="008B58F1" w:rsidP="000B11C0">
            <w:pPr>
              <w:rPr>
                <w:rFonts w:ascii="Arial Narrow" w:hAnsi="Arial Narrow"/>
                <w:bCs/>
                <w:sz w:val="20"/>
                <w:szCs w:val="20"/>
              </w:rPr>
            </w:pPr>
            <w:r w:rsidRPr="00810A02">
              <w:rPr>
                <w:rFonts w:ascii="Arial Narrow" w:hAnsi="Arial Narrow"/>
                <w:b/>
                <w:sz w:val="20"/>
                <w:szCs w:val="20"/>
              </w:rPr>
              <w:t>Treatment Phase</w:t>
            </w:r>
            <w:r w:rsidRPr="00A260AF">
              <w:rPr>
                <w:rFonts w:ascii="Arial Narrow" w:hAnsi="Arial Narrow"/>
                <w:bCs/>
                <w:sz w:val="20"/>
                <w:szCs w:val="20"/>
              </w:rPr>
              <w:t>: Initial treatment for up to the first 180 days of treatment</w:t>
            </w:r>
          </w:p>
        </w:tc>
      </w:tr>
      <w:tr w:rsidR="008B58F1" w:rsidRPr="00810A02" w14:paraId="2051C157" w14:textId="77777777" w:rsidTr="00DF0E8D">
        <w:tblPrEx>
          <w:tblCellMar>
            <w:top w:w="15" w:type="dxa"/>
            <w:bottom w:w="15" w:type="dxa"/>
          </w:tblCellMar>
          <w:tblLook w:val="04A0" w:firstRow="1" w:lastRow="0" w:firstColumn="1" w:lastColumn="0" w:noHBand="0" w:noVBand="1"/>
        </w:tblPrEx>
        <w:trPr>
          <w:cantSplit/>
          <w:trHeight w:val="230"/>
        </w:trPr>
        <w:tc>
          <w:tcPr>
            <w:tcW w:w="705" w:type="pct"/>
            <w:vAlign w:val="center"/>
          </w:tcPr>
          <w:p w14:paraId="07CC9620" w14:textId="22F88E8F"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4EA80EEF" w14:textId="77777777" w:rsidR="008B58F1" w:rsidRPr="00810A02" w:rsidRDefault="008B58F1" w:rsidP="000B11C0">
            <w:pPr>
              <w:rPr>
                <w:rFonts w:ascii="Arial Narrow" w:hAnsi="Arial Narrow"/>
                <w:b/>
                <w:sz w:val="20"/>
                <w:szCs w:val="20"/>
              </w:rPr>
            </w:pPr>
            <w:r w:rsidRPr="00810A02">
              <w:rPr>
                <w:rFonts w:ascii="Arial Narrow" w:hAnsi="Arial Narrow"/>
                <w:b/>
                <w:sz w:val="20"/>
                <w:szCs w:val="20"/>
              </w:rPr>
              <w:t xml:space="preserve">Clinical criteria: </w:t>
            </w:r>
          </w:p>
        </w:tc>
      </w:tr>
      <w:tr w:rsidR="008B58F1" w:rsidRPr="00A260AF" w14:paraId="7D84518C" w14:textId="77777777" w:rsidTr="00DF0E8D">
        <w:tblPrEx>
          <w:tblCellMar>
            <w:top w:w="15" w:type="dxa"/>
            <w:bottom w:w="15" w:type="dxa"/>
          </w:tblCellMar>
          <w:tblLook w:val="04A0" w:firstRow="1" w:lastRow="0" w:firstColumn="1" w:lastColumn="0" w:noHBand="0" w:noVBand="1"/>
        </w:tblPrEx>
        <w:trPr>
          <w:cantSplit/>
          <w:trHeight w:val="20"/>
        </w:trPr>
        <w:tc>
          <w:tcPr>
            <w:tcW w:w="705" w:type="pct"/>
            <w:vAlign w:val="center"/>
          </w:tcPr>
          <w:p w14:paraId="7B72EA43" w14:textId="3481BEEB"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02920D5F" w14:textId="77777777" w:rsidR="008B58F1" w:rsidRPr="00A260AF" w:rsidRDefault="008B58F1" w:rsidP="000B11C0">
            <w:pPr>
              <w:rPr>
                <w:rFonts w:ascii="Arial Narrow" w:hAnsi="Arial Narrow"/>
                <w:bCs/>
                <w:sz w:val="20"/>
                <w:szCs w:val="20"/>
              </w:rPr>
            </w:pPr>
            <w:r w:rsidRPr="00A260AF">
              <w:rPr>
                <w:rFonts w:ascii="Arial Narrow" w:hAnsi="Arial Narrow"/>
                <w:bCs/>
                <w:sz w:val="20"/>
                <w:szCs w:val="20"/>
              </w:rPr>
              <w:t xml:space="preserve">Patient must have a corneal fluorescein staining (CFS) grade of 4 at treatment initiation, using at least one of: (i) the Oxford scale, (ii) the modified Oxford scale, (iii) an equivalent scale to the Oxford scale as </w:t>
            </w:r>
          </w:p>
          <w:p w14:paraId="3817A0E5" w14:textId="77777777" w:rsidR="008B58F1" w:rsidRPr="00A260AF" w:rsidRDefault="008B58F1" w:rsidP="000B11C0">
            <w:pPr>
              <w:jc w:val="left"/>
              <w:rPr>
                <w:rFonts w:ascii="Arial Narrow" w:hAnsi="Arial Narrow"/>
                <w:bCs/>
                <w:sz w:val="20"/>
                <w:szCs w:val="20"/>
              </w:rPr>
            </w:pPr>
            <w:r w:rsidRPr="00A260AF">
              <w:rPr>
                <w:rFonts w:ascii="Arial Narrow" w:hAnsi="Arial Narrow"/>
                <w:bCs/>
                <w:sz w:val="20"/>
                <w:szCs w:val="20"/>
              </w:rPr>
              <w:t>determined by the prescriber</w:t>
            </w:r>
          </w:p>
        </w:tc>
      </w:tr>
      <w:tr w:rsidR="008B58F1" w:rsidRPr="00810A02" w14:paraId="395930D5" w14:textId="77777777" w:rsidTr="00DF0E8D">
        <w:tblPrEx>
          <w:tblCellMar>
            <w:top w:w="15" w:type="dxa"/>
            <w:bottom w:w="15" w:type="dxa"/>
          </w:tblCellMar>
          <w:tblLook w:val="04A0" w:firstRow="1" w:lastRow="0" w:firstColumn="1" w:lastColumn="0" w:noHBand="0" w:noVBand="1"/>
        </w:tblPrEx>
        <w:trPr>
          <w:cantSplit/>
          <w:trHeight w:val="20"/>
        </w:trPr>
        <w:tc>
          <w:tcPr>
            <w:tcW w:w="705" w:type="pct"/>
            <w:vAlign w:val="center"/>
          </w:tcPr>
          <w:p w14:paraId="58396F54" w14:textId="77777777"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2E70D2F1" w14:textId="77777777" w:rsidR="008B58F1" w:rsidRPr="00810A02" w:rsidRDefault="008B58F1" w:rsidP="000B11C0">
            <w:pPr>
              <w:jc w:val="left"/>
              <w:rPr>
                <w:rFonts w:ascii="Arial Narrow" w:hAnsi="Arial Narrow"/>
                <w:b/>
                <w:sz w:val="20"/>
                <w:szCs w:val="20"/>
              </w:rPr>
            </w:pPr>
            <w:r w:rsidRPr="00810A02">
              <w:rPr>
                <w:rFonts w:ascii="Arial Narrow" w:hAnsi="Arial Narrow"/>
                <w:b/>
                <w:sz w:val="20"/>
                <w:szCs w:val="20"/>
              </w:rPr>
              <w:t>AND</w:t>
            </w:r>
          </w:p>
        </w:tc>
      </w:tr>
      <w:tr w:rsidR="008B58F1" w:rsidRPr="00810A02" w14:paraId="6C8C65BD"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2DB32795" w14:textId="70861556"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4D024E8D" w14:textId="77777777" w:rsidR="008B58F1" w:rsidRPr="00810A02" w:rsidRDefault="008B58F1" w:rsidP="000B11C0">
            <w:pPr>
              <w:jc w:val="left"/>
              <w:rPr>
                <w:rFonts w:ascii="Arial Narrow" w:hAnsi="Arial Narrow"/>
                <w:b/>
                <w:sz w:val="20"/>
                <w:szCs w:val="20"/>
              </w:rPr>
            </w:pPr>
            <w:r w:rsidRPr="00810A02">
              <w:rPr>
                <w:rFonts w:ascii="Arial Narrow" w:hAnsi="Arial Narrow"/>
                <w:b/>
                <w:sz w:val="20"/>
                <w:szCs w:val="20"/>
              </w:rPr>
              <w:t>Clinical criteria:</w:t>
            </w:r>
          </w:p>
        </w:tc>
      </w:tr>
      <w:tr w:rsidR="008B58F1" w:rsidRPr="00A260AF" w14:paraId="32BB889E"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612800CA" w14:textId="62ED6785"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56B32C68" w14:textId="77777777" w:rsidR="008B58F1" w:rsidRPr="00A260AF" w:rsidRDefault="008B58F1" w:rsidP="000B11C0">
            <w:pPr>
              <w:rPr>
                <w:rFonts w:ascii="Arial Narrow" w:hAnsi="Arial Narrow"/>
                <w:bCs/>
                <w:sz w:val="20"/>
                <w:szCs w:val="20"/>
              </w:rPr>
            </w:pPr>
            <w:r w:rsidRPr="00A260AF">
              <w:rPr>
                <w:rFonts w:ascii="Arial Narrow" w:hAnsi="Arial Narrow"/>
                <w:bCs/>
                <w:sz w:val="20"/>
                <w:szCs w:val="20"/>
              </w:rPr>
              <w:t>Patient must have an ocular surface disease index (OSDI) score of at least 23 at treatment initiation</w:t>
            </w:r>
          </w:p>
        </w:tc>
      </w:tr>
      <w:tr w:rsidR="008B58F1" w:rsidRPr="00810A02" w14:paraId="6454CC2D"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5F74F262" w14:textId="77777777"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24838367" w14:textId="77777777" w:rsidR="008B58F1" w:rsidRPr="00810A02" w:rsidRDefault="008B58F1" w:rsidP="000B11C0">
            <w:pPr>
              <w:rPr>
                <w:rFonts w:ascii="Arial Narrow" w:hAnsi="Arial Narrow"/>
                <w:b/>
                <w:sz w:val="20"/>
                <w:szCs w:val="20"/>
              </w:rPr>
            </w:pPr>
            <w:r w:rsidRPr="00810A02">
              <w:rPr>
                <w:rFonts w:ascii="Arial Narrow" w:hAnsi="Arial Narrow"/>
                <w:b/>
                <w:sz w:val="20"/>
                <w:szCs w:val="20"/>
              </w:rPr>
              <w:t>AND</w:t>
            </w:r>
          </w:p>
        </w:tc>
      </w:tr>
      <w:tr w:rsidR="008B58F1" w:rsidRPr="00810A02" w14:paraId="158B368D"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2429B84F" w14:textId="48A94D15"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6F907FFE" w14:textId="77777777" w:rsidR="008B58F1" w:rsidRPr="00810A02" w:rsidRDefault="008B58F1" w:rsidP="000B11C0">
            <w:pPr>
              <w:rPr>
                <w:rFonts w:ascii="Arial Narrow" w:hAnsi="Arial Narrow"/>
                <w:b/>
                <w:sz w:val="20"/>
                <w:szCs w:val="20"/>
              </w:rPr>
            </w:pPr>
            <w:r w:rsidRPr="00810A02">
              <w:rPr>
                <w:rFonts w:ascii="Arial Narrow" w:hAnsi="Arial Narrow"/>
                <w:b/>
                <w:sz w:val="20"/>
                <w:szCs w:val="20"/>
              </w:rPr>
              <w:t>Clinical criteria:</w:t>
            </w:r>
          </w:p>
        </w:tc>
      </w:tr>
      <w:tr w:rsidR="008B58F1" w:rsidRPr="00A260AF" w14:paraId="2EE3654C"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18B87BB1" w14:textId="21FEEA75"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786DFF2D" w14:textId="77777777" w:rsidR="008B58F1" w:rsidRPr="00A260AF" w:rsidRDefault="008B58F1" w:rsidP="000B11C0">
            <w:pPr>
              <w:rPr>
                <w:rFonts w:ascii="Arial Narrow" w:hAnsi="Arial Narrow"/>
                <w:bCs/>
                <w:sz w:val="20"/>
                <w:szCs w:val="20"/>
              </w:rPr>
            </w:pPr>
            <w:r w:rsidRPr="00A260AF">
              <w:rPr>
                <w:rFonts w:ascii="Arial Narrow" w:hAnsi="Arial Narrow"/>
                <w:bCs/>
                <w:sz w:val="20"/>
                <w:szCs w:val="20"/>
              </w:rPr>
              <w:t>The condition must be inadequately controlled by monotherapy with a preservative free artificial tears substitute</w:t>
            </w:r>
          </w:p>
        </w:tc>
      </w:tr>
      <w:tr w:rsidR="008B58F1" w:rsidRPr="00810A02" w14:paraId="7B395F61"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64B1E980" w14:textId="77777777" w:rsidR="008B58F1" w:rsidRPr="00A260AF" w:rsidRDefault="008B58F1" w:rsidP="000B11C0">
            <w:pPr>
              <w:jc w:val="center"/>
              <w:rPr>
                <w:rFonts w:ascii="Arial Narrow" w:hAnsi="Arial Narrow"/>
                <w:bCs/>
                <w:sz w:val="20"/>
                <w:szCs w:val="20"/>
              </w:rPr>
            </w:pPr>
          </w:p>
        </w:tc>
        <w:tc>
          <w:tcPr>
            <w:tcW w:w="4295" w:type="pct"/>
            <w:gridSpan w:val="6"/>
            <w:vAlign w:val="center"/>
          </w:tcPr>
          <w:p w14:paraId="1857CBFD" w14:textId="77777777" w:rsidR="008B58F1" w:rsidRPr="00810A02" w:rsidRDefault="008B58F1" w:rsidP="000B11C0">
            <w:pPr>
              <w:rPr>
                <w:rFonts w:ascii="Arial Narrow" w:hAnsi="Arial Narrow"/>
                <w:b/>
                <w:sz w:val="20"/>
                <w:szCs w:val="20"/>
              </w:rPr>
            </w:pPr>
            <w:r w:rsidRPr="00810A02">
              <w:rPr>
                <w:rFonts w:ascii="Arial Narrow" w:hAnsi="Arial Narrow"/>
                <w:b/>
                <w:sz w:val="20"/>
                <w:szCs w:val="20"/>
              </w:rPr>
              <w:t>AND</w:t>
            </w:r>
          </w:p>
        </w:tc>
      </w:tr>
      <w:tr w:rsidR="008B58F1" w:rsidRPr="00810A02" w14:paraId="5C04A962"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630D0E76" w14:textId="4B755D73" w:rsidR="008B58F1" w:rsidRPr="00A260AF" w:rsidRDefault="008B58F1" w:rsidP="000B11C0">
            <w:pPr>
              <w:jc w:val="center"/>
              <w:rPr>
                <w:rFonts w:ascii="Arial Narrow" w:hAnsi="Arial Narrow"/>
                <w:bCs/>
                <w:sz w:val="20"/>
                <w:szCs w:val="20"/>
              </w:rPr>
            </w:pPr>
          </w:p>
        </w:tc>
        <w:tc>
          <w:tcPr>
            <w:tcW w:w="4295" w:type="pct"/>
            <w:gridSpan w:val="6"/>
            <w:vAlign w:val="center"/>
          </w:tcPr>
          <w:p w14:paraId="06F0B962" w14:textId="77777777" w:rsidR="008B58F1" w:rsidRPr="00810A02" w:rsidRDefault="008B58F1" w:rsidP="000B11C0">
            <w:pPr>
              <w:rPr>
                <w:rFonts w:ascii="Arial Narrow" w:hAnsi="Arial Narrow"/>
                <w:b/>
                <w:sz w:val="20"/>
                <w:szCs w:val="20"/>
              </w:rPr>
            </w:pPr>
            <w:r w:rsidRPr="00810A02">
              <w:rPr>
                <w:rFonts w:ascii="Arial Narrow" w:hAnsi="Arial Narrow"/>
                <w:b/>
                <w:sz w:val="20"/>
                <w:szCs w:val="20"/>
              </w:rPr>
              <w:t xml:space="preserve">Clinical criteria: </w:t>
            </w:r>
          </w:p>
        </w:tc>
      </w:tr>
      <w:tr w:rsidR="008B58F1" w:rsidRPr="00A260AF" w14:paraId="7B6C32D4"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39E30B10" w14:textId="708EE189" w:rsidR="008B58F1" w:rsidRPr="00A260AF" w:rsidRDefault="008B58F1" w:rsidP="000B11C0">
            <w:pPr>
              <w:jc w:val="center"/>
              <w:rPr>
                <w:rFonts w:ascii="Arial Narrow" w:hAnsi="Arial Narrow"/>
                <w:bCs/>
                <w:sz w:val="20"/>
                <w:szCs w:val="20"/>
              </w:rPr>
            </w:pPr>
          </w:p>
        </w:tc>
        <w:tc>
          <w:tcPr>
            <w:tcW w:w="4295" w:type="pct"/>
            <w:gridSpan w:val="6"/>
            <w:vAlign w:val="center"/>
          </w:tcPr>
          <w:p w14:paraId="562C4552" w14:textId="77777777" w:rsidR="008B58F1" w:rsidRPr="00A260AF" w:rsidRDefault="008B58F1" w:rsidP="000B11C0">
            <w:pPr>
              <w:rPr>
                <w:rFonts w:ascii="Arial Narrow" w:hAnsi="Arial Narrow"/>
                <w:bCs/>
                <w:sz w:val="20"/>
                <w:szCs w:val="20"/>
              </w:rPr>
            </w:pPr>
            <w:r w:rsidRPr="00A260AF">
              <w:rPr>
                <w:rFonts w:ascii="Arial Narrow" w:hAnsi="Arial Narrow"/>
                <w:bCs/>
                <w:sz w:val="20"/>
                <w:szCs w:val="20"/>
              </w:rPr>
              <w:t>The treatment must be the sole PBS-subsidised therapy for this condition.</w:t>
            </w:r>
          </w:p>
        </w:tc>
      </w:tr>
      <w:tr w:rsidR="008B58F1" w:rsidRPr="00810A02" w14:paraId="65F9459E"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00E6D945" w14:textId="346F4007" w:rsidR="008B58F1" w:rsidRPr="00A260AF" w:rsidRDefault="008B58F1" w:rsidP="000B11C0">
            <w:pPr>
              <w:keepNext/>
              <w:jc w:val="center"/>
              <w:rPr>
                <w:rFonts w:ascii="Arial Narrow" w:hAnsi="Arial Narrow"/>
                <w:bCs/>
                <w:sz w:val="20"/>
                <w:szCs w:val="20"/>
              </w:rPr>
            </w:pPr>
          </w:p>
        </w:tc>
        <w:tc>
          <w:tcPr>
            <w:tcW w:w="4295" w:type="pct"/>
            <w:gridSpan w:val="6"/>
            <w:vAlign w:val="center"/>
            <w:hideMark/>
          </w:tcPr>
          <w:p w14:paraId="3329CF0F" w14:textId="77777777" w:rsidR="008B58F1" w:rsidRPr="00810A02" w:rsidRDefault="008B58F1" w:rsidP="000B11C0">
            <w:pPr>
              <w:keepNext/>
              <w:rPr>
                <w:rFonts w:ascii="Arial Narrow" w:hAnsi="Arial Narrow"/>
                <w:b/>
                <w:sz w:val="20"/>
                <w:szCs w:val="20"/>
              </w:rPr>
            </w:pPr>
            <w:r w:rsidRPr="00810A02">
              <w:rPr>
                <w:rFonts w:ascii="Arial Narrow" w:hAnsi="Arial Narrow"/>
                <w:b/>
                <w:sz w:val="20"/>
                <w:szCs w:val="20"/>
              </w:rPr>
              <w:t>Treatment criteria:</w:t>
            </w:r>
          </w:p>
        </w:tc>
      </w:tr>
      <w:tr w:rsidR="008B58F1" w:rsidRPr="00A260AF" w14:paraId="6A559526"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26F0BB91" w14:textId="2AF81EBE" w:rsidR="008B58F1" w:rsidRPr="00A260AF" w:rsidRDefault="008B58F1" w:rsidP="000B11C0">
            <w:pPr>
              <w:jc w:val="center"/>
              <w:rPr>
                <w:rFonts w:ascii="Arial Narrow" w:hAnsi="Arial Narrow"/>
                <w:bCs/>
                <w:sz w:val="20"/>
                <w:szCs w:val="20"/>
              </w:rPr>
            </w:pPr>
          </w:p>
        </w:tc>
        <w:tc>
          <w:tcPr>
            <w:tcW w:w="4295" w:type="pct"/>
            <w:gridSpan w:val="6"/>
            <w:vAlign w:val="center"/>
            <w:hideMark/>
          </w:tcPr>
          <w:p w14:paraId="7C5880E4" w14:textId="77777777" w:rsidR="008B58F1" w:rsidRPr="00A260AF" w:rsidRDefault="008B58F1" w:rsidP="000B11C0">
            <w:pPr>
              <w:autoSpaceDE w:val="0"/>
              <w:autoSpaceDN w:val="0"/>
              <w:adjustRightInd w:val="0"/>
              <w:rPr>
                <w:rFonts w:ascii="Arial Narrow" w:hAnsi="Arial Narrow" w:cs="Arial Narrow"/>
                <w:bCs/>
                <w:iCs/>
                <w:sz w:val="20"/>
                <w:szCs w:val="20"/>
              </w:rPr>
            </w:pPr>
            <w:r w:rsidRPr="00A260AF">
              <w:rPr>
                <w:rFonts w:ascii="Arial Narrow" w:hAnsi="Arial Narrow" w:cs="Arial Narrow"/>
                <w:bCs/>
                <w:iCs/>
                <w:sz w:val="20"/>
                <w:szCs w:val="20"/>
              </w:rPr>
              <w:t>Patient must be undergoing simultaneous treatment with a preservative free artificial tears substitute</w:t>
            </w:r>
          </w:p>
        </w:tc>
      </w:tr>
      <w:tr w:rsidR="008B58F1" w:rsidRPr="00643F24" w14:paraId="5A4AC196"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7047C96A" w14:textId="77777777" w:rsidR="008B58F1" w:rsidRPr="00432EBF" w:rsidRDefault="008B58F1" w:rsidP="000B11C0">
            <w:pPr>
              <w:jc w:val="center"/>
              <w:rPr>
                <w:rFonts w:ascii="Arial Narrow" w:hAnsi="Arial Narrow"/>
                <w:sz w:val="20"/>
                <w:szCs w:val="20"/>
              </w:rPr>
            </w:pPr>
          </w:p>
        </w:tc>
        <w:tc>
          <w:tcPr>
            <w:tcW w:w="4295" w:type="pct"/>
            <w:gridSpan w:val="6"/>
            <w:vAlign w:val="center"/>
          </w:tcPr>
          <w:p w14:paraId="0D06D5F5" w14:textId="77777777" w:rsidR="008B58F1" w:rsidRPr="00643F24" w:rsidRDefault="008B58F1" w:rsidP="000B11C0">
            <w:pPr>
              <w:autoSpaceDE w:val="0"/>
              <w:autoSpaceDN w:val="0"/>
              <w:adjustRightInd w:val="0"/>
              <w:rPr>
                <w:rFonts w:ascii="Arial Narrow" w:hAnsi="Arial Narrow" w:cs="Arial Narrow"/>
                <w:b/>
                <w:iCs/>
                <w:sz w:val="20"/>
                <w:szCs w:val="20"/>
              </w:rPr>
            </w:pPr>
            <w:r>
              <w:rPr>
                <w:rFonts w:ascii="Arial Narrow" w:hAnsi="Arial Narrow" w:cs="Arial Narrow"/>
                <w:b/>
                <w:iCs/>
                <w:sz w:val="20"/>
                <w:szCs w:val="20"/>
              </w:rPr>
              <w:t xml:space="preserve">AND </w:t>
            </w:r>
          </w:p>
        </w:tc>
      </w:tr>
      <w:tr w:rsidR="008B58F1" w:rsidRPr="00432EBF" w14:paraId="4FA2F23D"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00F1906E" w14:textId="0BC01C78" w:rsidR="008B58F1" w:rsidRPr="00432EBF" w:rsidRDefault="008B58F1" w:rsidP="000B11C0">
            <w:pPr>
              <w:jc w:val="center"/>
              <w:rPr>
                <w:rFonts w:ascii="Arial Narrow" w:hAnsi="Arial Narrow"/>
                <w:sz w:val="20"/>
                <w:szCs w:val="20"/>
              </w:rPr>
            </w:pPr>
          </w:p>
        </w:tc>
        <w:tc>
          <w:tcPr>
            <w:tcW w:w="4295" w:type="pct"/>
            <w:gridSpan w:val="6"/>
            <w:vAlign w:val="center"/>
          </w:tcPr>
          <w:p w14:paraId="4E3E85E1" w14:textId="77777777" w:rsidR="008B58F1" w:rsidRPr="00432EBF" w:rsidRDefault="008B58F1" w:rsidP="000B11C0">
            <w:pPr>
              <w:rPr>
                <w:rFonts w:ascii="Arial Narrow" w:hAnsi="Arial Narrow"/>
                <w:b/>
                <w:bCs/>
                <w:sz w:val="20"/>
                <w:szCs w:val="20"/>
              </w:rPr>
            </w:pPr>
            <w:r>
              <w:rPr>
                <w:rFonts w:ascii="Arial Narrow" w:hAnsi="Arial Narrow"/>
                <w:b/>
                <w:bCs/>
                <w:sz w:val="20"/>
                <w:szCs w:val="20"/>
              </w:rPr>
              <w:t xml:space="preserve">Treatment criteria: </w:t>
            </w:r>
          </w:p>
        </w:tc>
      </w:tr>
      <w:tr w:rsidR="008B58F1" w:rsidRPr="000550C5" w14:paraId="6EBE0C23" w14:textId="77777777" w:rsidTr="00AE698F">
        <w:tblPrEx>
          <w:tblCellMar>
            <w:top w:w="15" w:type="dxa"/>
            <w:bottom w:w="15" w:type="dxa"/>
          </w:tblCellMar>
          <w:tblLook w:val="04A0" w:firstRow="1" w:lastRow="0" w:firstColumn="1" w:lastColumn="0" w:noHBand="0" w:noVBand="1"/>
        </w:tblPrEx>
        <w:trPr>
          <w:cantSplit/>
          <w:trHeight w:val="362"/>
        </w:trPr>
        <w:tc>
          <w:tcPr>
            <w:tcW w:w="705" w:type="pct"/>
            <w:vAlign w:val="center"/>
          </w:tcPr>
          <w:p w14:paraId="3933E9E0" w14:textId="6410D8F8" w:rsidR="008B58F1" w:rsidRPr="00432EBF" w:rsidRDefault="008B58F1" w:rsidP="000B11C0">
            <w:pPr>
              <w:jc w:val="center"/>
              <w:rPr>
                <w:rFonts w:ascii="Arial Narrow" w:hAnsi="Arial Narrow"/>
                <w:sz w:val="20"/>
                <w:szCs w:val="20"/>
              </w:rPr>
            </w:pPr>
          </w:p>
        </w:tc>
        <w:tc>
          <w:tcPr>
            <w:tcW w:w="4295" w:type="pct"/>
            <w:gridSpan w:val="6"/>
            <w:vAlign w:val="center"/>
          </w:tcPr>
          <w:p w14:paraId="179FF671" w14:textId="77777777" w:rsidR="008B58F1" w:rsidRPr="000550C5" w:rsidRDefault="008B58F1" w:rsidP="000B11C0">
            <w:pPr>
              <w:rPr>
                <w:rFonts w:ascii="Arial Narrow" w:hAnsi="Arial Narrow"/>
                <w:sz w:val="20"/>
                <w:szCs w:val="20"/>
              </w:rPr>
            </w:pPr>
            <w:r w:rsidRPr="000550C5">
              <w:rPr>
                <w:rFonts w:ascii="Arial Narrow" w:hAnsi="Arial Narrow"/>
                <w:sz w:val="20"/>
                <w:szCs w:val="20"/>
              </w:rPr>
              <w:t>Must be treated by an ophthalmologist or by an accredited ophthalmology registrar in consultation with an ophthalmologist</w:t>
            </w:r>
            <w:r>
              <w:rPr>
                <w:rFonts w:ascii="Arial Narrow" w:hAnsi="Arial Narrow"/>
                <w:sz w:val="20"/>
                <w:szCs w:val="20"/>
              </w:rPr>
              <w:t>; OR</w:t>
            </w:r>
          </w:p>
        </w:tc>
      </w:tr>
      <w:tr w:rsidR="008B58F1" w:rsidRPr="000550C5" w14:paraId="32C9258A" w14:textId="77777777" w:rsidTr="00AE698F">
        <w:tblPrEx>
          <w:tblCellMar>
            <w:top w:w="15" w:type="dxa"/>
            <w:bottom w:w="15" w:type="dxa"/>
          </w:tblCellMar>
          <w:tblLook w:val="04A0" w:firstRow="1" w:lastRow="0" w:firstColumn="1" w:lastColumn="0" w:noHBand="0" w:noVBand="1"/>
        </w:tblPrEx>
        <w:trPr>
          <w:cantSplit/>
          <w:trHeight w:val="32"/>
        </w:trPr>
        <w:tc>
          <w:tcPr>
            <w:tcW w:w="705" w:type="pct"/>
            <w:vAlign w:val="center"/>
          </w:tcPr>
          <w:p w14:paraId="0BE498AC" w14:textId="756096D4" w:rsidR="008B58F1" w:rsidRPr="00432EBF" w:rsidRDefault="008B58F1" w:rsidP="000B11C0">
            <w:pPr>
              <w:jc w:val="center"/>
              <w:rPr>
                <w:rFonts w:ascii="Arial Narrow" w:hAnsi="Arial Narrow"/>
                <w:sz w:val="20"/>
                <w:szCs w:val="20"/>
              </w:rPr>
            </w:pPr>
          </w:p>
        </w:tc>
        <w:tc>
          <w:tcPr>
            <w:tcW w:w="4295" w:type="pct"/>
            <w:gridSpan w:val="6"/>
            <w:vAlign w:val="center"/>
          </w:tcPr>
          <w:p w14:paraId="5BC1BEFF" w14:textId="77777777" w:rsidR="008B58F1" w:rsidRPr="000550C5" w:rsidRDefault="008B58F1" w:rsidP="000B11C0">
            <w:pPr>
              <w:rPr>
                <w:rFonts w:ascii="Arial Narrow" w:hAnsi="Arial Narrow"/>
                <w:sz w:val="20"/>
                <w:szCs w:val="20"/>
              </w:rPr>
            </w:pPr>
            <w:r w:rsidRPr="000550C5">
              <w:rPr>
                <w:rFonts w:ascii="Arial Narrow" w:hAnsi="Arial Narrow"/>
                <w:sz w:val="20"/>
                <w:szCs w:val="20"/>
              </w:rPr>
              <w:t>Must be treated by an optometrist in accordance with Optometry Board of Australia guidelines</w:t>
            </w:r>
          </w:p>
        </w:tc>
      </w:tr>
      <w:tr w:rsidR="008B58F1" w:rsidRPr="000550C5" w14:paraId="4322F4BD" w14:textId="77777777" w:rsidTr="00AE698F">
        <w:tblPrEx>
          <w:tblCellMar>
            <w:top w:w="15" w:type="dxa"/>
            <w:bottom w:w="15" w:type="dxa"/>
          </w:tblCellMar>
          <w:tblLook w:val="04A0" w:firstRow="1" w:lastRow="0" w:firstColumn="1" w:lastColumn="0" w:noHBand="0" w:noVBand="1"/>
        </w:tblPrEx>
        <w:trPr>
          <w:cantSplit/>
          <w:trHeight w:val="32"/>
        </w:trPr>
        <w:tc>
          <w:tcPr>
            <w:tcW w:w="705" w:type="pct"/>
            <w:vAlign w:val="center"/>
          </w:tcPr>
          <w:p w14:paraId="69B1DDFF" w14:textId="77777777" w:rsidR="008B58F1" w:rsidRPr="00432EBF" w:rsidRDefault="008B58F1" w:rsidP="000B11C0">
            <w:pPr>
              <w:jc w:val="center"/>
              <w:rPr>
                <w:rFonts w:ascii="Arial Narrow" w:hAnsi="Arial Narrow"/>
                <w:sz w:val="20"/>
                <w:szCs w:val="20"/>
              </w:rPr>
            </w:pPr>
          </w:p>
        </w:tc>
        <w:tc>
          <w:tcPr>
            <w:tcW w:w="4295" w:type="pct"/>
            <w:gridSpan w:val="6"/>
            <w:vAlign w:val="center"/>
          </w:tcPr>
          <w:p w14:paraId="679E68AF" w14:textId="77777777" w:rsidR="008B58F1" w:rsidRPr="000550C5" w:rsidRDefault="008B58F1" w:rsidP="000B11C0">
            <w:pPr>
              <w:rPr>
                <w:rFonts w:ascii="Arial Narrow" w:hAnsi="Arial Narrow"/>
                <w:sz w:val="20"/>
                <w:szCs w:val="20"/>
              </w:rPr>
            </w:pPr>
            <w:r>
              <w:rPr>
                <w:rFonts w:ascii="Arial Narrow" w:hAnsi="Arial Narrow" w:cs="Arial Narrow"/>
                <w:b/>
                <w:iCs/>
                <w:sz w:val="20"/>
                <w:szCs w:val="20"/>
              </w:rPr>
              <w:t xml:space="preserve">AND </w:t>
            </w:r>
          </w:p>
        </w:tc>
      </w:tr>
      <w:tr w:rsidR="008B58F1" w:rsidRPr="000550C5" w14:paraId="0C663935" w14:textId="77777777" w:rsidTr="00AE698F">
        <w:tblPrEx>
          <w:tblCellMar>
            <w:top w:w="15" w:type="dxa"/>
            <w:bottom w:w="15" w:type="dxa"/>
          </w:tblCellMar>
          <w:tblLook w:val="04A0" w:firstRow="1" w:lastRow="0" w:firstColumn="1" w:lastColumn="0" w:noHBand="0" w:noVBand="1"/>
        </w:tblPrEx>
        <w:trPr>
          <w:cantSplit/>
          <w:trHeight w:val="32"/>
        </w:trPr>
        <w:tc>
          <w:tcPr>
            <w:tcW w:w="705" w:type="pct"/>
            <w:vAlign w:val="center"/>
          </w:tcPr>
          <w:p w14:paraId="2F13D778" w14:textId="15874312" w:rsidR="008B58F1" w:rsidRPr="00432EBF" w:rsidRDefault="008B58F1" w:rsidP="000B11C0">
            <w:pPr>
              <w:jc w:val="center"/>
              <w:rPr>
                <w:rFonts w:ascii="Arial Narrow" w:hAnsi="Arial Narrow"/>
                <w:sz w:val="20"/>
                <w:szCs w:val="20"/>
              </w:rPr>
            </w:pPr>
          </w:p>
        </w:tc>
        <w:tc>
          <w:tcPr>
            <w:tcW w:w="4295" w:type="pct"/>
            <w:gridSpan w:val="6"/>
            <w:vAlign w:val="center"/>
          </w:tcPr>
          <w:p w14:paraId="273DE425" w14:textId="77777777" w:rsidR="008B58F1" w:rsidRPr="000550C5" w:rsidRDefault="008B58F1" w:rsidP="000B11C0">
            <w:pPr>
              <w:rPr>
                <w:rFonts w:ascii="Arial Narrow" w:hAnsi="Arial Narrow"/>
                <w:sz w:val="20"/>
                <w:szCs w:val="20"/>
              </w:rPr>
            </w:pPr>
            <w:r>
              <w:rPr>
                <w:rFonts w:ascii="Arial Narrow" w:hAnsi="Arial Narrow"/>
                <w:b/>
                <w:bCs/>
                <w:sz w:val="20"/>
                <w:szCs w:val="20"/>
              </w:rPr>
              <w:t xml:space="preserve">Treatment criteria: </w:t>
            </w:r>
          </w:p>
        </w:tc>
      </w:tr>
      <w:tr w:rsidR="008B58F1" w:rsidRPr="000550C5" w14:paraId="03F849CF" w14:textId="77777777" w:rsidTr="00AE698F">
        <w:tblPrEx>
          <w:tblCellMar>
            <w:top w:w="15" w:type="dxa"/>
            <w:bottom w:w="15" w:type="dxa"/>
          </w:tblCellMar>
          <w:tblLook w:val="04A0" w:firstRow="1" w:lastRow="0" w:firstColumn="1" w:lastColumn="0" w:noHBand="0" w:noVBand="1"/>
        </w:tblPrEx>
        <w:trPr>
          <w:cantSplit/>
          <w:trHeight w:val="32"/>
        </w:trPr>
        <w:tc>
          <w:tcPr>
            <w:tcW w:w="705" w:type="pct"/>
            <w:vAlign w:val="center"/>
          </w:tcPr>
          <w:p w14:paraId="48AD70F5" w14:textId="0124CD5A" w:rsidR="008B58F1" w:rsidRPr="00432EBF" w:rsidRDefault="008B58F1" w:rsidP="000B11C0">
            <w:pPr>
              <w:jc w:val="center"/>
              <w:rPr>
                <w:rFonts w:ascii="Arial Narrow" w:hAnsi="Arial Narrow"/>
                <w:sz w:val="20"/>
                <w:szCs w:val="20"/>
              </w:rPr>
            </w:pPr>
          </w:p>
        </w:tc>
        <w:tc>
          <w:tcPr>
            <w:tcW w:w="4295" w:type="pct"/>
            <w:gridSpan w:val="6"/>
            <w:vAlign w:val="center"/>
          </w:tcPr>
          <w:p w14:paraId="40D34484" w14:textId="77777777" w:rsidR="008B58F1" w:rsidRPr="000550C5" w:rsidRDefault="008B58F1" w:rsidP="000B11C0">
            <w:pPr>
              <w:rPr>
                <w:rFonts w:ascii="Arial Narrow" w:hAnsi="Arial Narrow"/>
                <w:sz w:val="20"/>
                <w:szCs w:val="20"/>
              </w:rPr>
            </w:pPr>
            <w:r w:rsidRPr="0080250B">
              <w:rPr>
                <w:rFonts w:ascii="Arial Narrow" w:hAnsi="Arial Narrow"/>
                <w:sz w:val="20"/>
                <w:szCs w:val="20"/>
              </w:rPr>
              <w:t>Patient must not be undergoing treatment with this drug under this treatment phase beyond day 180 of treatment</w:t>
            </w:r>
          </w:p>
        </w:tc>
      </w:tr>
      <w:tr w:rsidR="008B58F1" w:rsidRPr="00D537F5" w14:paraId="17AC6020"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6734331C" w14:textId="7BE6B7EE" w:rsidR="008B58F1" w:rsidRPr="00432EBF" w:rsidRDefault="008B58F1" w:rsidP="000B11C0">
            <w:pPr>
              <w:jc w:val="center"/>
              <w:rPr>
                <w:rFonts w:ascii="Arial Narrow" w:hAnsi="Arial Narrow"/>
                <w:sz w:val="20"/>
                <w:szCs w:val="20"/>
              </w:rPr>
            </w:pPr>
          </w:p>
        </w:tc>
        <w:tc>
          <w:tcPr>
            <w:tcW w:w="4295" w:type="pct"/>
            <w:gridSpan w:val="6"/>
            <w:vAlign w:val="center"/>
            <w:hideMark/>
          </w:tcPr>
          <w:p w14:paraId="589999C1" w14:textId="77777777" w:rsidR="008B58F1" w:rsidRPr="00D537F5" w:rsidRDefault="008B58F1" w:rsidP="000B11C0">
            <w:pPr>
              <w:rPr>
                <w:rFonts w:ascii="Arial Narrow" w:hAnsi="Arial Narrow"/>
                <w:b/>
                <w:bCs/>
                <w:sz w:val="20"/>
                <w:szCs w:val="20"/>
              </w:rPr>
            </w:pPr>
            <w:r w:rsidRPr="00432EBF">
              <w:rPr>
                <w:rFonts w:ascii="Arial Narrow" w:hAnsi="Arial Narrow"/>
                <w:b/>
                <w:bCs/>
                <w:sz w:val="20"/>
                <w:szCs w:val="20"/>
              </w:rPr>
              <w:t>Population criteria:</w:t>
            </w:r>
          </w:p>
        </w:tc>
      </w:tr>
      <w:tr w:rsidR="008B58F1" w:rsidRPr="00856848" w14:paraId="3E47405B" w14:textId="77777777" w:rsidTr="00DF0E8D">
        <w:tblPrEx>
          <w:tblCellMar>
            <w:top w:w="15" w:type="dxa"/>
            <w:bottom w:w="15" w:type="dxa"/>
          </w:tblCellMar>
          <w:tblLook w:val="04A0" w:firstRow="1" w:lastRow="0" w:firstColumn="1" w:lastColumn="0" w:noHBand="0" w:noVBand="1"/>
        </w:tblPrEx>
        <w:trPr>
          <w:cantSplit/>
          <w:trHeight w:val="45"/>
        </w:trPr>
        <w:tc>
          <w:tcPr>
            <w:tcW w:w="705" w:type="pct"/>
            <w:vAlign w:val="center"/>
          </w:tcPr>
          <w:p w14:paraId="4AF06B63" w14:textId="5D2B152E" w:rsidR="008B58F1" w:rsidRPr="00432EBF" w:rsidRDefault="008B58F1" w:rsidP="000B11C0">
            <w:pPr>
              <w:jc w:val="center"/>
              <w:rPr>
                <w:rFonts w:ascii="Arial Narrow" w:hAnsi="Arial Narrow"/>
                <w:sz w:val="20"/>
                <w:szCs w:val="20"/>
              </w:rPr>
            </w:pPr>
          </w:p>
        </w:tc>
        <w:tc>
          <w:tcPr>
            <w:tcW w:w="4295" w:type="pct"/>
            <w:gridSpan w:val="6"/>
            <w:vAlign w:val="center"/>
            <w:hideMark/>
          </w:tcPr>
          <w:p w14:paraId="0454A4E9" w14:textId="2C0BCE4B" w:rsidR="008B58F1" w:rsidRPr="00856848" w:rsidRDefault="008B58F1" w:rsidP="000B11C0">
            <w:pPr>
              <w:jc w:val="left"/>
              <w:rPr>
                <w:rFonts w:ascii="Arial Narrow" w:hAnsi="Arial Narrow"/>
                <w:sz w:val="20"/>
                <w:szCs w:val="20"/>
              </w:rPr>
            </w:pPr>
            <w:r w:rsidRPr="00856848">
              <w:rPr>
                <w:rFonts w:ascii="Arial Narrow" w:hAnsi="Arial Narrow"/>
                <w:sz w:val="20"/>
                <w:szCs w:val="20"/>
              </w:rPr>
              <w:t>Patient must be at least 18 years of age</w:t>
            </w:r>
          </w:p>
        </w:tc>
      </w:tr>
      <w:tr w:rsidR="008B58F1" w:rsidRPr="00810A02" w14:paraId="7A0BC7ED"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4E7CC85C" w14:textId="58D8647E" w:rsidR="008B58F1" w:rsidRPr="00D91AA9" w:rsidRDefault="008B58F1" w:rsidP="000B11C0">
            <w:pPr>
              <w:jc w:val="center"/>
              <w:rPr>
                <w:rFonts w:ascii="Arial Narrow" w:hAnsi="Arial Narrow"/>
                <w:sz w:val="20"/>
                <w:szCs w:val="20"/>
              </w:rPr>
            </w:pPr>
          </w:p>
        </w:tc>
        <w:tc>
          <w:tcPr>
            <w:tcW w:w="4295" w:type="pct"/>
            <w:gridSpan w:val="6"/>
            <w:vAlign w:val="center"/>
          </w:tcPr>
          <w:p w14:paraId="241F6171" w14:textId="77777777" w:rsidR="008B58F1" w:rsidRPr="00D91AA9" w:rsidRDefault="008B58F1" w:rsidP="000B11C0">
            <w:pPr>
              <w:jc w:val="left"/>
              <w:rPr>
                <w:rFonts w:ascii="Arial Narrow" w:hAnsi="Arial Narrow"/>
                <w:b/>
                <w:sz w:val="20"/>
                <w:szCs w:val="20"/>
              </w:rPr>
            </w:pPr>
            <w:r w:rsidRPr="00D91AA9">
              <w:rPr>
                <w:rFonts w:ascii="Arial Narrow" w:hAnsi="Arial Narrow"/>
                <w:b/>
                <w:sz w:val="20"/>
                <w:szCs w:val="20"/>
              </w:rPr>
              <w:t>Prescribing instructions:</w:t>
            </w:r>
          </w:p>
          <w:p w14:paraId="62E9F4BB"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Prescribing instruction:</w:t>
            </w:r>
          </w:p>
          <w:p w14:paraId="445E8B1E"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State in the first authority application for this drug, for the purpose of having a baseline measurement to assess response to treatment under the Continuing treatment listing, each of: (i) the qualifying corneal fluorescein staining grade (a numerical value no less than 4), (ii) the qualifying ocular surface disease index score (a numerical value no less than 23).</w:t>
            </w:r>
          </w:p>
        </w:tc>
      </w:tr>
      <w:tr w:rsidR="008B58F1" w:rsidRPr="00810A02" w14:paraId="7F93E887"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3101BA9F" w14:textId="00942D5D" w:rsidR="008B58F1" w:rsidRPr="00D91AA9" w:rsidRDefault="008B58F1" w:rsidP="000B11C0">
            <w:pPr>
              <w:jc w:val="center"/>
              <w:rPr>
                <w:rFonts w:ascii="Arial Narrow" w:hAnsi="Arial Narrow"/>
                <w:sz w:val="20"/>
                <w:szCs w:val="20"/>
              </w:rPr>
            </w:pPr>
          </w:p>
        </w:tc>
        <w:tc>
          <w:tcPr>
            <w:tcW w:w="4295" w:type="pct"/>
            <w:gridSpan w:val="6"/>
            <w:vAlign w:val="center"/>
          </w:tcPr>
          <w:p w14:paraId="2A61326A" w14:textId="77777777" w:rsidR="008B58F1" w:rsidRPr="00D91AA9" w:rsidRDefault="008B58F1" w:rsidP="000B11C0">
            <w:pPr>
              <w:jc w:val="left"/>
              <w:rPr>
                <w:rFonts w:ascii="Arial Narrow" w:hAnsi="Arial Narrow"/>
                <w:sz w:val="20"/>
                <w:szCs w:val="20"/>
              </w:rPr>
            </w:pPr>
            <w:r w:rsidRPr="00D91AA9">
              <w:rPr>
                <w:rFonts w:ascii="Arial Narrow" w:hAnsi="Arial Narrow"/>
                <w:b/>
                <w:sz w:val="20"/>
                <w:szCs w:val="20"/>
              </w:rPr>
              <w:t>Administrative Advice:</w:t>
            </w:r>
          </w:p>
          <w:p w14:paraId="6DD7DF60"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The Oxford scale, modified Oxford scale and Ocular Surface Disease Index (OSDI) were relied upon in the submission supporting initial PBS listing.</w:t>
            </w:r>
          </w:p>
          <w:p w14:paraId="0DA16209"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The Oxford scale uses a chart system consisting of a series of panels, labelled A to E in order of increasing severity. In each chart, staining is represented by dots. To grade staining, comparisons are made between the panels and the appearance of staining on the exposed interpalpebral conjunctiva and cornea of the patient. The details of the chart are presented in Figure 1 and, in a simplified form in Figure 4 (where the criteria, dot count and log columns are not displayed), in the following literature article: Bron A, Evans V, Smith, J. Grading of corneal and conjunctival staining in the context of other dry eye tests. Cornea. 2003;22(7):640-650.</w:t>
            </w:r>
          </w:p>
          <w:p w14:paraId="033AA600"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The modified Oxford scale is as above, but with the first grade depiction (Grade 0), termed 'Grade 0.5'.</w:t>
            </w:r>
          </w:p>
          <w:p w14:paraId="7BFF0059"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A list of equivalent scales to the Oxford scale is not provided. Prescribers should be satisfied that a scale other than the Oxford scale, if used, is equivalent to the Oxford scale.</w:t>
            </w:r>
          </w:p>
          <w:p w14:paraId="00BD58F0"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The Ocular Surface Disease Index (OSDI) is a 12-item questionnaire created by the Outcomes Research Group at Allergan Inc, Irvine, CA, USA, to assess dry eye symptoms and the effects on vision-related function.</w:t>
            </w:r>
          </w:p>
          <w:p w14:paraId="7B09AA4D"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The questionnaire has 3 subscales: ocular symptoms, vision-related function, and environmental triggers. Patients rate their responses on a 0 to 4 scale with 0 corresponding to 'none of the time' and 4 corresponding to 'all of the time'. A final score is calculated which ranges from 0 to 100 with scores 0 to 12 representing normal, 13 to 22 representing mild dry eye disease, 23 to 32 representing moderate dry eye disease, and greater than 33 representing severe dry eye disease.</w:t>
            </w:r>
          </w:p>
          <w:p w14:paraId="3CD7583D"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The OSDI questionnaire asks the following:</w:t>
            </w:r>
          </w:p>
          <w:p w14:paraId="2C6102BD"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Presence of ocular symptoms - Have you experienced any of the following during the last week?</w:t>
            </w:r>
          </w:p>
          <w:p w14:paraId="20B2D9B0"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1. Eyes that are sensitive to light</w:t>
            </w:r>
          </w:p>
          <w:p w14:paraId="0856044A"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2. Eyes that feel gritty</w:t>
            </w:r>
          </w:p>
          <w:p w14:paraId="66EF4C12"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3. Painful or sore eyes</w:t>
            </w:r>
          </w:p>
          <w:p w14:paraId="0546296E"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4. Blurred vision</w:t>
            </w:r>
          </w:p>
          <w:p w14:paraId="6FB02119"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5. Poor vision</w:t>
            </w:r>
          </w:p>
          <w:p w14:paraId="52F2A881"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Impact on daily activities - Have you had problems with your eyes limited you in performing any of the following during the last week?</w:t>
            </w:r>
          </w:p>
          <w:p w14:paraId="42373069"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1. Reading</w:t>
            </w:r>
          </w:p>
          <w:p w14:paraId="5A48F3ED"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2. Driving at night</w:t>
            </w:r>
          </w:p>
          <w:p w14:paraId="3BC2A563"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3. Working with a computer or bank machine (ATM)</w:t>
            </w:r>
          </w:p>
          <w:p w14:paraId="354F9C16"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4. Watching TV</w:t>
            </w:r>
          </w:p>
          <w:p w14:paraId="4A23B8A8"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Environmental factors - Have your eyes felt uncomfortable in any of the following situations during the last week?</w:t>
            </w:r>
          </w:p>
          <w:p w14:paraId="576FD581"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1. Windy conditions</w:t>
            </w:r>
          </w:p>
          <w:p w14:paraId="785E92D9"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2. Places or areas with low humidity (very dry)</w:t>
            </w:r>
          </w:p>
          <w:p w14:paraId="5F3478A1"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3. Areas that are airconditioned</w:t>
            </w:r>
          </w:p>
          <w:p w14:paraId="7B04A49B"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 xml:space="preserve">Rate responses on a scale of 0 to 4; 0 = none of the time, 1 = some of the time, 2 = half of the time, 3 = most of the time, and 4 = </w:t>
            </w:r>
            <w:proofErr w:type="gramStart"/>
            <w:r w:rsidRPr="00D91AA9">
              <w:rPr>
                <w:rFonts w:ascii="Arial Narrow" w:hAnsi="Arial Narrow"/>
                <w:sz w:val="20"/>
                <w:szCs w:val="20"/>
              </w:rPr>
              <w:t>all of</w:t>
            </w:r>
            <w:proofErr w:type="gramEnd"/>
            <w:r w:rsidRPr="00D91AA9">
              <w:rPr>
                <w:rFonts w:ascii="Arial Narrow" w:hAnsi="Arial Narrow"/>
                <w:sz w:val="20"/>
                <w:szCs w:val="20"/>
              </w:rPr>
              <w:t xml:space="preserve"> the time.</w:t>
            </w:r>
          </w:p>
          <w:p w14:paraId="7C2BD2A1"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Further information on this index is in the following literature article: Walt J, Rowe M, Stern K. Evaluating the functional impact of dry eye: the Ocular Surface Disease Index. Drug Information Journal. 1997;31:1436</w:t>
            </w:r>
          </w:p>
          <w:p w14:paraId="383C624D"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The 'Dry Eye OSDI 'Questionnaire' app developed by Allergan Inc is available to download for iPhone.</w:t>
            </w:r>
          </w:p>
        </w:tc>
      </w:tr>
      <w:tr w:rsidR="008B58F1" w:rsidRPr="00810A02" w14:paraId="77631C7E"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684C8AF6" w14:textId="4F9CF85D" w:rsidR="008B58F1" w:rsidRPr="00D91AA9" w:rsidRDefault="008B58F1" w:rsidP="000B11C0">
            <w:pPr>
              <w:jc w:val="center"/>
              <w:rPr>
                <w:rFonts w:ascii="Arial Narrow" w:hAnsi="Arial Narrow"/>
                <w:sz w:val="20"/>
                <w:szCs w:val="20"/>
              </w:rPr>
            </w:pPr>
          </w:p>
        </w:tc>
        <w:tc>
          <w:tcPr>
            <w:tcW w:w="4295" w:type="pct"/>
            <w:gridSpan w:val="6"/>
            <w:vAlign w:val="center"/>
          </w:tcPr>
          <w:p w14:paraId="5B7BEC63" w14:textId="77777777" w:rsidR="008B58F1" w:rsidRPr="00D91AA9" w:rsidRDefault="008B58F1" w:rsidP="000B11C0">
            <w:pPr>
              <w:jc w:val="left"/>
              <w:rPr>
                <w:rFonts w:ascii="Arial Narrow" w:hAnsi="Arial Narrow"/>
                <w:sz w:val="20"/>
                <w:szCs w:val="20"/>
              </w:rPr>
            </w:pPr>
            <w:r w:rsidRPr="00D91AA9">
              <w:rPr>
                <w:rFonts w:ascii="Arial Narrow" w:hAnsi="Arial Narrow"/>
                <w:b/>
                <w:sz w:val="20"/>
                <w:szCs w:val="20"/>
              </w:rPr>
              <w:t>Administrative Advice:</w:t>
            </w:r>
          </w:p>
          <w:p w14:paraId="3C2876D2"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If the maximum number of repeats stated in this listing is not requested in this application, further supplies can be obtained through this treatment phase listing to continue treatment for up to the first 180 days of treatment, but the OSDI score and CFS grade need not be re-stated. Alternatively, treatment may be continued under the 'Continuing treatment' phase listing, provided the patient meets all eligibility criteria specified in that treatment phase listing.</w:t>
            </w:r>
          </w:p>
        </w:tc>
      </w:tr>
      <w:tr w:rsidR="008B58F1" w:rsidRPr="00810A02" w14:paraId="7ECC546D" w14:textId="77777777" w:rsidTr="00AE698F">
        <w:tblPrEx>
          <w:tblCellMar>
            <w:top w:w="15" w:type="dxa"/>
            <w:bottom w:w="15" w:type="dxa"/>
          </w:tblCellMar>
          <w:tblLook w:val="04A0" w:firstRow="1" w:lastRow="0" w:firstColumn="1" w:lastColumn="0" w:noHBand="0" w:noVBand="1"/>
        </w:tblPrEx>
        <w:trPr>
          <w:cantSplit/>
          <w:trHeight w:val="358"/>
        </w:trPr>
        <w:tc>
          <w:tcPr>
            <w:tcW w:w="5000" w:type="pct"/>
            <w:gridSpan w:val="7"/>
            <w:vAlign w:val="center"/>
          </w:tcPr>
          <w:p w14:paraId="3049158B" w14:textId="77777777" w:rsidR="008B58F1" w:rsidRPr="00D91AA9" w:rsidRDefault="008B58F1" w:rsidP="000B11C0">
            <w:pPr>
              <w:jc w:val="left"/>
              <w:rPr>
                <w:rFonts w:ascii="Arial Narrow" w:hAnsi="Arial Narrow"/>
                <w:sz w:val="20"/>
                <w:szCs w:val="20"/>
              </w:rPr>
            </w:pPr>
          </w:p>
        </w:tc>
      </w:tr>
      <w:tr w:rsidR="008B58F1" w:rsidRPr="00A260AF" w14:paraId="4041D8CF" w14:textId="77777777" w:rsidTr="00DF0E8D">
        <w:tblPrEx>
          <w:tblCellMar>
            <w:top w:w="15" w:type="dxa"/>
            <w:bottom w:w="15" w:type="dxa"/>
          </w:tblCellMar>
          <w:tblLook w:val="04A0" w:firstRow="1" w:lastRow="0" w:firstColumn="1" w:lastColumn="0" w:noHBand="0" w:noVBand="1"/>
        </w:tblPrEx>
        <w:trPr>
          <w:cantSplit/>
          <w:trHeight w:val="20"/>
        </w:trPr>
        <w:tc>
          <w:tcPr>
            <w:tcW w:w="705" w:type="pct"/>
            <w:vAlign w:val="center"/>
          </w:tcPr>
          <w:p w14:paraId="3A5280FE" w14:textId="32777E0D" w:rsidR="008B58F1" w:rsidRPr="00A260AF" w:rsidRDefault="008B58F1" w:rsidP="000B11C0">
            <w:pPr>
              <w:jc w:val="center"/>
              <w:rPr>
                <w:rFonts w:ascii="Arial Narrow" w:hAnsi="Arial Narrow"/>
                <w:sz w:val="20"/>
                <w:szCs w:val="20"/>
              </w:rPr>
            </w:pPr>
          </w:p>
        </w:tc>
        <w:tc>
          <w:tcPr>
            <w:tcW w:w="4295" w:type="pct"/>
            <w:gridSpan w:val="6"/>
            <w:vAlign w:val="center"/>
            <w:hideMark/>
          </w:tcPr>
          <w:p w14:paraId="0A2B755B" w14:textId="77777777" w:rsidR="008B58F1" w:rsidRPr="00A260AF" w:rsidRDefault="008B58F1" w:rsidP="000B11C0">
            <w:pPr>
              <w:rPr>
                <w:rFonts w:ascii="Arial Narrow" w:hAnsi="Arial Narrow"/>
                <w:sz w:val="20"/>
                <w:szCs w:val="20"/>
              </w:rPr>
            </w:pPr>
            <w:r w:rsidRPr="00A260AF">
              <w:rPr>
                <w:rFonts w:ascii="Arial Narrow" w:hAnsi="Arial Narrow"/>
                <w:b/>
                <w:bCs/>
                <w:sz w:val="20"/>
                <w:szCs w:val="20"/>
              </w:rPr>
              <w:t>Indication:</w:t>
            </w:r>
            <w:r w:rsidRPr="00A260AF">
              <w:rPr>
                <w:rFonts w:ascii="Arial Narrow" w:hAnsi="Arial Narrow"/>
                <w:sz w:val="20"/>
                <w:szCs w:val="20"/>
              </w:rPr>
              <w:t xml:space="preserve"> Chronic severe dry eye disease with keratitis</w:t>
            </w:r>
          </w:p>
        </w:tc>
      </w:tr>
      <w:tr w:rsidR="008B58F1" w:rsidRPr="00A260AF" w14:paraId="51D5CCB9" w14:textId="77777777" w:rsidTr="00DF0E8D">
        <w:tblPrEx>
          <w:tblCellMar>
            <w:top w:w="15" w:type="dxa"/>
            <w:bottom w:w="15" w:type="dxa"/>
          </w:tblCellMar>
          <w:tblLook w:val="04A0" w:firstRow="1" w:lastRow="0" w:firstColumn="1" w:lastColumn="0" w:noHBand="0" w:noVBand="1"/>
        </w:tblPrEx>
        <w:trPr>
          <w:cantSplit/>
          <w:trHeight w:val="20"/>
        </w:trPr>
        <w:tc>
          <w:tcPr>
            <w:tcW w:w="705" w:type="pct"/>
            <w:vAlign w:val="center"/>
          </w:tcPr>
          <w:p w14:paraId="3927523E" w14:textId="77777777" w:rsidR="008B58F1" w:rsidRPr="00A260AF" w:rsidRDefault="008B58F1" w:rsidP="000B11C0">
            <w:pPr>
              <w:jc w:val="center"/>
              <w:rPr>
                <w:rFonts w:ascii="Arial Narrow" w:hAnsi="Arial Narrow"/>
                <w:sz w:val="20"/>
                <w:szCs w:val="20"/>
              </w:rPr>
            </w:pPr>
          </w:p>
        </w:tc>
        <w:tc>
          <w:tcPr>
            <w:tcW w:w="4295" w:type="pct"/>
            <w:gridSpan w:val="6"/>
            <w:vAlign w:val="center"/>
            <w:hideMark/>
          </w:tcPr>
          <w:p w14:paraId="348AF495" w14:textId="77777777" w:rsidR="008B58F1" w:rsidRPr="00A260AF" w:rsidRDefault="008B58F1" w:rsidP="000B11C0">
            <w:pPr>
              <w:rPr>
                <w:rFonts w:ascii="Arial Narrow" w:hAnsi="Arial Narrow"/>
                <w:sz w:val="20"/>
                <w:szCs w:val="20"/>
              </w:rPr>
            </w:pPr>
            <w:r w:rsidRPr="00A260AF">
              <w:rPr>
                <w:rFonts w:ascii="Arial Narrow" w:hAnsi="Arial Narrow"/>
                <w:b/>
                <w:bCs/>
                <w:sz w:val="20"/>
                <w:szCs w:val="20"/>
              </w:rPr>
              <w:t>Treatment Phase:</w:t>
            </w:r>
            <w:r w:rsidRPr="00A260AF">
              <w:rPr>
                <w:rFonts w:ascii="Arial Narrow" w:hAnsi="Arial Narrow"/>
                <w:sz w:val="20"/>
                <w:szCs w:val="20"/>
              </w:rPr>
              <w:t xml:space="preserve"> Continuing treatment</w:t>
            </w:r>
          </w:p>
        </w:tc>
      </w:tr>
      <w:tr w:rsidR="008B58F1" w:rsidRPr="00432EBF" w14:paraId="43EE2740"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121BB1D2" w14:textId="2D2B7471" w:rsidR="008B58F1" w:rsidRPr="00432EBF" w:rsidRDefault="008B58F1" w:rsidP="000B11C0">
            <w:pPr>
              <w:jc w:val="center"/>
              <w:rPr>
                <w:rFonts w:ascii="Arial Narrow" w:hAnsi="Arial Narrow"/>
                <w:sz w:val="20"/>
                <w:szCs w:val="20"/>
              </w:rPr>
            </w:pPr>
          </w:p>
        </w:tc>
        <w:tc>
          <w:tcPr>
            <w:tcW w:w="4295" w:type="pct"/>
            <w:gridSpan w:val="6"/>
            <w:vAlign w:val="center"/>
          </w:tcPr>
          <w:p w14:paraId="4B818C3F" w14:textId="77777777" w:rsidR="008B58F1" w:rsidRPr="00432EBF" w:rsidRDefault="008B58F1" w:rsidP="000B11C0">
            <w:pPr>
              <w:rPr>
                <w:rFonts w:ascii="Arial Narrow" w:hAnsi="Arial Narrow"/>
                <w:b/>
                <w:bCs/>
                <w:sz w:val="20"/>
                <w:szCs w:val="20"/>
              </w:rPr>
            </w:pPr>
            <w:r>
              <w:rPr>
                <w:rFonts w:ascii="Arial Narrow" w:hAnsi="Arial Narrow"/>
                <w:b/>
                <w:bCs/>
                <w:sz w:val="20"/>
                <w:szCs w:val="20"/>
              </w:rPr>
              <w:t>Clinical criteria:</w:t>
            </w:r>
          </w:p>
        </w:tc>
      </w:tr>
      <w:tr w:rsidR="008B58F1" w:rsidRPr="00247FE4" w14:paraId="72797EA6" w14:textId="77777777" w:rsidTr="00AE698F">
        <w:tblPrEx>
          <w:tblCellMar>
            <w:top w:w="15" w:type="dxa"/>
            <w:bottom w:w="15" w:type="dxa"/>
          </w:tblCellMar>
          <w:tblLook w:val="04A0" w:firstRow="1" w:lastRow="0" w:firstColumn="1" w:lastColumn="0" w:noHBand="0" w:noVBand="1"/>
        </w:tblPrEx>
        <w:trPr>
          <w:cantSplit/>
          <w:trHeight w:val="168"/>
        </w:trPr>
        <w:tc>
          <w:tcPr>
            <w:tcW w:w="705" w:type="pct"/>
            <w:vAlign w:val="center"/>
          </w:tcPr>
          <w:p w14:paraId="22649E57" w14:textId="771EE3F8" w:rsidR="008B58F1" w:rsidRPr="00432EBF" w:rsidRDefault="008B58F1" w:rsidP="000B11C0">
            <w:pPr>
              <w:jc w:val="center"/>
              <w:rPr>
                <w:rFonts w:ascii="Arial Narrow" w:hAnsi="Arial Narrow"/>
                <w:sz w:val="20"/>
                <w:szCs w:val="20"/>
              </w:rPr>
            </w:pPr>
          </w:p>
        </w:tc>
        <w:tc>
          <w:tcPr>
            <w:tcW w:w="4295" w:type="pct"/>
            <w:gridSpan w:val="6"/>
            <w:vAlign w:val="center"/>
          </w:tcPr>
          <w:p w14:paraId="091B2C27" w14:textId="77777777" w:rsidR="008B58F1" w:rsidRPr="00247FE4" w:rsidRDefault="008B58F1" w:rsidP="000B11C0">
            <w:pPr>
              <w:rPr>
                <w:rFonts w:ascii="Arial Narrow" w:hAnsi="Arial Narrow"/>
                <w:sz w:val="20"/>
                <w:szCs w:val="20"/>
              </w:rPr>
            </w:pPr>
            <w:r w:rsidRPr="00247FE4">
              <w:rPr>
                <w:rFonts w:ascii="Arial Narrow" w:hAnsi="Arial Narrow"/>
                <w:sz w:val="20"/>
                <w:szCs w:val="20"/>
              </w:rPr>
              <w:t>Patient must have received PBS-subsidised treatment with this drug for this condition</w:t>
            </w:r>
          </w:p>
        </w:tc>
      </w:tr>
      <w:tr w:rsidR="008B58F1" w14:paraId="01C4F13C"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39FCA622" w14:textId="77777777" w:rsidR="008B58F1" w:rsidRPr="00432EBF" w:rsidRDefault="008B58F1" w:rsidP="000B11C0">
            <w:pPr>
              <w:jc w:val="center"/>
              <w:rPr>
                <w:rFonts w:ascii="Arial Narrow" w:hAnsi="Arial Narrow"/>
                <w:sz w:val="20"/>
                <w:szCs w:val="20"/>
              </w:rPr>
            </w:pPr>
          </w:p>
        </w:tc>
        <w:tc>
          <w:tcPr>
            <w:tcW w:w="4295" w:type="pct"/>
            <w:gridSpan w:val="6"/>
            <w:vAlign w:val="center"/>
          </w:tcPr>
          <w:p w14:paraId="2C7E3BB2" w14:textId="77777777" w:rsidR="008B58F1" w:rsidRDefault="008B58F1" w:rsidP="000B11C0">
            <w:pPr>
              <w:rPr>
                <w:rFonts w:ascii="Arial Narrow" w:hAnsi="Arial Narrow"/>
                <w:b/>
                <w:bCs/>
                <w:sz w:val="20"/>
                <w:szCs w:val="20"/>
              </w:rPr>
            </w:pPr>
            <w:r>
              <w:rPr>
                <w:rFonts w:ascii="Arial Narrow" w:hAnsi="Arial Narrow"/>
                <w:b/>
                <w:bCs/>
                <w:sz w:val="20"/>
                <w:szCs w:val="20"/>
              </w:rPr>
              <w:t>AND</w:t>
            </w:r>
          </w:p>
        </w:tc>
      </w:tr>
      <w:tr w:rsidR="008B58F1" w14:paraId="68280AA3"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7B674EE7" w14:textId="771CA7E3" w:rsidR="008B58F1" w:rsidRPr="00432EBF" w:rsidRDefault="008B58F1" w:rsidP="000B11C0">
            <w:pPr>
              <w:jc w:val="center"/>
              <w:rPr>
                <w:rFonts w:ascii="Arial Narrow" w:hAnsi="Arial Narrow"/>
                <w:sz w:val="20"/>
                <w:szCs w:val="20"/>
              </w:rPr>
            </w:pPr>
          </w:p>
        </w:tc>
        <w:tc>
          <w:tcPr>
            <w:tcW w:w="4295" w:type="pct"/>
            <w:gridSpan w:val="6"/>
            <w:vAlign w:val="center"/>
          </w:tcPr>
          <w:p w14:paraId="454AF865" w14:textId="77777777" w:rsidR="008B58F1" w:rsidRDefault="008B58F1" w:rsidP="000B11C0">
            <w:pPr>
              <w:rPr>
                <w:rFonts w:ascii="Arial Narrow" w:hAnsi="Arial Narrow"/>
                <w:b/>
                <w:bCs/>
                <w:sz w:val="20"/>
                <w:szCs w:val="20"/>
              </w:rPr>
            </w:pPr>
            <w:r>
              <w:rPr>
                <w:rFonts w:ascii="Arial Narrow" w:hAnsi="Arial Narrow"/>
                <w:b/>
                <w:bCs/>
                <w:sz w:val="20"/>
                <w:szCs w:val="20"/>
              </w:rPr>
              <w:t xml:space="preserve">Clinical criteria: </w:t>
            </w:r>
          </w:p>
        </w:tc>
      </w:tr>
      <w:tr w:rsidR="008B58F1" w:rsidRPr="001524A3" w14:paraId="47BE877E"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632D0826" w14:textId="2161A6FA" w:rsidR="008B58F1" w:rsidRPr="00432EBF" w:rsidRDefault="008B58F1" w:rsidP="000B11C0">
            <w:pPr>
              <w:jc w:val="center"/>
              <w:rPr>
                <w:rFonts w:ascii="Arial Narrow" w:hAnsi="Arial Narrow"/>
                <w:sz w:val="20"/>
                <w:szCs w:val="20"/>
              </w:rPr>
            </w:pPr>
          </w:p>
        </w:tc>
        <w:tc>
          <w:tcPr>
            <w:tcW w:w="4295" w:type="pct"/>
            <w:gridSpan w:val="6"/>
            <w:vAlign w:val="center"/>
          </w:tcPr>
          <w:p w14:paraId="519E7A16" w14:textId="77777777" w:rsidR="008B58F1" w:rsidRPr="001524A3" w:rsidRDefault="008B58F1" w:rsidP="000B11C0">
            <w:pPr>
              <w:rPr>
                <w:rFonts w:ascii="Arial Narrow" w:hAnsi="Arial Narrow"/>
                <w:sz w:val="20"/>
                <w:szCs w:val="20"/>
              </w:rPr>
            </w:pPr>
            <w:r w:rsidRPr="00376E4B">
              <w:rPr>
                <w:rFonts w:ascii="Arial Narrow" w:hAnsi="Arial Narrow"/>
                <w:sz w:val="20"/>
                <w:szCs w:val="20"/>
              </w:rPr>
              <w:t>The condition must have improved to an extent that corneal fluorescein staining, using the same scale used at the time of the first authority application, shows an improvement (reduction) by at least 3 grades from baseline (the grade stated in the first authority application) - the improvement need only be demonstrated by staining once only with the first Continuing treatment authority application</w:t>
            </w:r>
          </w:p>
        </w:tc>
      </w:tr>
      <w:tr w:rsidR="008B58F1" w14:paraId="7C607549"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7360BD05" w14:textId="77777777" w:rsidR="008B58F1" w:rsidRPr="00432EBF" w:rsidRDefault="008B58F1" w:rsidP="000B11C0">
            <w:pPr>
              <w:jc w:val="center"/>
              <w:rPr>
                <w:rFonts w:ascii="Arial Narrow" w:hAnsi="Arial Narrow"/>
                <w:sz w:val="20"/>
                <w:szCs w:val="20"/>
              </w:rPr>
            </w:pPr>
          </w:p>
        </w:tc>
        <w:tc>
          <w:tcPr>
            <w:tcW w:w="4295" w:type="pct"/>
            <w:gridSpan w:val="6"/>
            <w:vAlign w:val="center"/>
          </w:tcPr>
          <w:p w14:paraId="61405742" w14:textId="77777777" w:rsidR="008B58F1" w:rsidRDefault="008B58F1" w:rsidP="000B11C0">
            <w:pPr>
              <w:rPr>
                <w:rFonts w:ascii="Arial Narrow" w:hAnsi="Arial Narrow"/>
                <w:b/>
                <w:bCs/>
                <w:sz w:val="20"/>
                <w:szCs w:val="20"/>
              </w:rPr>
            </w:pPr>
            <w:r>
              <w:rPr>
                <w:rFonts w:ascii="Arial Narrow" w:hAnsi="Arial Narrow"/>
                <w:b/>
                <w:bCs/>
                <w:sz w:val="20"/>
                <w:szCs w:val="20"/>
              </w:rPr>
              <w:t xml:space="preserve">AND </w:t>
            </w:r>
          </w:p>
        </w:tc>
      </w:tr>
      <w:tr w:rsidR="008B58F1" w14:paraId="6F020C79"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1B806A75" w14:textId="3A4F93DF" w:rsidR="008B58F1" w:rsidRPr="00432EBF" w:rsidRDefault="008B58F1" w:rsidP="000B11C0">
            <w:pPr>
              <w:jc w:val="center"/>
              <w:rPr>
                <w:rFonts w:ascii="Arial Narrow" w:hAnsi="Arial Narrow"/>
                <w:sz w:val="20"/>
                <w:szCs w:val="20"/>
              </w:rPr>
            </w:pPr>
          </w:p>
        </w:tc>
        <w:tc>
          <w:tcPr>
            <w:tcW w:w="4295" w:type="pct"/>
            <w:gridSpan w:val="6"/>
            <w:vAlign w:val="center"/>
          </w:tcPr>
          <w:p w14:paraId="2880C493" w14:textId="77777777" w:rsidR="008B58F1" w:rsidRDefault="008B58F1" w:rsidP="000B11C0">
            <w:pPr>
              <w:rPr>
                <w:rFonts w:ascii="Arial Narrow" w:hAnsi="Arial Narrow"/>
                <w:b/>
                <w:bCs/>
                <w:sz w:val="20"/>
                <w:szCs w:val="20"/>
              </w:rPr>
            </w:pPr>
            <w:r>
              <w:rPr>
                <w:rFonts w:ascii="Arial Narrow" w:hAnsi="Arial Narrow"/>
                <w:b/>
                <w:bCs/>
                <w:sz w:val="20"/>
                <w:szCs w:val="20"/>
              </w:rPr>
              <w:t xml:space="preserve">Clinical criteria: </w:t>
            </w:r>
          </w:p>
        </w:tc>
      </w:tr>
      <w:tr w:rsidR="008B58F1" w:rsidRPr="004705F0" w14:paraId="0A0C4DF6"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3CA56C54" w14:textId="19E89DB1" w:rsidR="008B58F1" w:rsidRPr="00432EBF" w:rsidRDefault="008B58F1" w:rsidP="000B11C0">
            <w:pPr>
              <w:jc w:val="center"/>
              <w:rPr>
                <w:rFonts w:ascii="Arial Narrow" w:hAnsi="Arial Narrow"/>
                <w:sz w:val="20"/>
                <w:szCs w:val="20"/>
              </w:rPr>
            </w:pPr>
          </w:p>
        </w:tc>
        <w:tc>
          <w:tcPr>
            <w:tcW w:w="4295" w:type="pct"/>
            <w:gridSpan w:val="6"/>
            <w:vAlign w:val="center"/>
          </w:tcPr>
          <w:p w14:paraId="31399B6C" w14:textId="77777777" w:rsidR="008B58F1" w:rsidRPr="004705F0" w:rsidRDefault="008B58F1" w:rsidP="000B11C0">
            <w:pPr>
              <w:rPr>
                <w:rFonts w:ascii="Arial Narrow" w:hAnsi="Arial Narrow"/>
                <w:sz w:val="20"/>
                <w:szCs w:val="20"/>
              </w:rPr>
            </w:pPr>
            <w:r w:rsidRPr="004705F0">
              <w:rPr>
                <w:rFonts w:ascii="Arial Narrow" w:hAnsi="Arial Narrow"/>
                <w:sz w:val="20"/>
                <w:szCs w:val="20"/>
              </w:rPr>
              <w:t>The condition must have improved to an extent that the patient's ocular surface disease index score at the time of this authority application, has improved (reduced) by at least 30% compared to the value stated in the first authority application (i.e. baseline)</w:t>
            </w:r>
          </w:p>
        </w:tc>
      </w:tr>
      <w:tr w:rsidR="008B58F1" w14:paraId="6BA48098"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15179409" w14:textId="77777777" w:rsidR="008B58F1" w:rsidRPr="00432EBF" w:rsidRDefault="008B58F1" w:rsidP="000B11C0">
            <w:pPr>
              <w:jc w:val="center"/>
              <w:rPr>
                <w:rFonts w:ascii="Arial Narrow" w:hAnsi="Arial Narrow"/>
                <w:sz w:val="20"/>
                <w:szCs w:val="20"/>
              </w:rPr>
            </w:pPr>
          </w:p>
        </w:tc>
        <w:tc>
          <w:tcPr>
            <w:tcW w:w="4295" w:type="pct"/>
            <w:gridSpan w:val="6"/>
            <w:vAlign w:val="center"/>
          </w:tcPr>
          <w:p w14:paraId="4496E38D" w14:textId="77777777" w:rsidR="008B58F1" w:rsidRDefault="008B58F1" w:rsidP="000B11C0">
            <w:pPr>
              <w:rPr>
                <w:rFonts w:ascii="Arial Narrow" w:hAnsi="Arial Narrow"/>
                <w:b/>
                <w:bCs/>
                <w:sz w:val="20"/>
                <w:szCs w:val="20"/>
              </w:rPr>
            </w:pPr>
            <w:r>
              <w:rPr>
                <w:rFonts w:ascii="Arial Narrow" w:hAnsi="Arial Narrow"/>
                <w:b/>
                <w:bCs/>
                <w:sz w:val="20"/>
                <w:szCs w:val="20"/>
              </w:rPr>
              <w:t>AND</w:t>
            </w:r>
          </w:p>
        </w:tc>
      </w:tr>
      <w:tr w:rsidR="008B58F1" w14:paraId="2C84BD40"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20E64866" w14:textId="0BF65450" w:rsidR="008B58F1" w:rsidRPr="00432EBF" w:rsidRDefault="008B58F1" w:rsidP="000B11C0">
            <w:pPr>
              <w:jc w:val="center"/>
              <w:rPr>
                <w:rFonts w:ascii="Arial Narrow" w:hAnsi="Arial Narrow"/>
                <w:sz w:val="20"/>
                <w:szCs w:val="20"/>
              </w:rPr>
            </w:pPr>
          </w:p>
        </w:tc>
        <w:tc>
          <w:tcPr>
            <w:tcW w:w="4295" w:type="pct"/>
            <w:gridSpan w:val="6"/>
            <w:vAlign w:val="center"/>
          </w:tcPr>
          <w:p w14:paraId="3D742A3A" w14:textId="77777777" w:rsidR="008B58F1" w:rsidRDefault="008B58F1" w:rsidP="000B11C0">
            <w:pPr>
              <w:rPr>
                <w:rFonts w:ascii="Arial Narrow" w:hAnsi="Arial Narrow"/>
                <w:b/>
                <w:bCs/>
                <w:sz w:val="20"/>
                <w:szCs w:val="20"/>
              </w:rPr>
            </w:pPr>
            <w:r>
              <w:rPr>
                <w:rFonts w:ascii="Arial Narrow" w:hAnsi="Arial Narrow"/>
                <w:b/>
                <w:bCs/>
                <w:sz w:val="20"/>
                <w:szCs w:val="20"/>
              </w:rPr>
              <w:t xml:space="preserve">Clinical criteria: </w:t>
            </w:r>
          </w:p>
        </w:tc>
      </w:tr>
      <w:tr w:rsidR="008B58F1" w:rsidRPr="004705F0" w14:paraId="1398C9C7"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7B5D1358" w14:textId="040D3FB5" w:rsidR="008B58F1" w:rsidRPr="00432EBF" w:rsidRDefault="008B58F1" w:rsidP="000B11C0">
            <w:pPr>
              <w:jc w:val="center"/>
              <w:rPr>
                <w:rFonts w:ascii="Arial Narrow" w:hAnsi="Arial Narrow"/>
                <w:sz w:val="20"/>
                <w:szCs w:val="20"/>
              </w:rPr>
            </w:pPr>
          </w:p>
        </w:tc>
        <w:tc>
          <w:tcPr>
            <w:tcW w:w="4295" w:type="pct"/>
            <w:gridSpan w:val="6"/>
            <w:vAlign w:val="center"/>
          </w:tcPr>
          <w:p w14:paraId="3CBC01AB" w14:textId="77777777" w:rsidR="008B58F1" w:rsidRPr="004705F0" w:rsidRDefault="008B58F1" w:rsidP="000B11C0">
            <w:pPr>
              <w:rPr>
                <w:rFonts w:ascii="Arial Narrow" w:hAnsi="Arial Narrow"/>
                <w:sz w:val="20"/>
                <w:szCs w:val="20"/>
              </w:rPr>
            </w:pPr>
            <w:r w:rsidRPr="004705F0">
              <w:rPr>
                <w:rFonts w:ascii="Arial Narrow" w:hAnsi="Arial Narrow"/>
                <w:sz w:val="20"/>
                <w:szCs w:val="20"/>
              </w:rPr>
              <w:t>The treatment must be the sole PBS-subsidised therapy for this condition.</w:t>
            </w:r>
          </w:p>
        </w:tc>
      </w:tr>
      <w:tr w:rsidR="008B58F1" w:rsidRPr="004705F0" w14:paraId="10647AB9"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678183CC" w14:textId="0B51B08A" w:rsidR="008B58F1" w:rsidRPr="00432EBF" w:rsidRDefault="008B58F1" w:rsidP="000B11C0">
            <w:pPr>
              <w:jc w:val="center"/>
              <w:rPr>
                <w:rFonts w:ascii="Arial Narrow" w:hAnsi="Arial Narrow"/>
                <w:sz w:val="20"/>
                <w:szCs w:val="20"/>
              </w:rPr>
            </w:pPr>
          </w:p>
        </w:tc>
        <w:tc>
          <w:tcPr>
            <w:tcW w:w="4295" w:type="pct"/>
            <w:gridSpan w:val="6"/>
            <w:vAlign w:val="center"/>
          </w:tcPr>
          <w:p w14:paraId="6EAA2543" w14:textId="77777777" w:rsidR="008B58F1" w:rsidRPr="004705F0" w:rsidRDefault="008B58F1" w:rsidP="000B11C0">
            <w:pPr>
              <w:rPr>
                <w:rFonts w:ascii="Arial Narrow" w:hAnsi="Arial Narrow"/>
                <w:b/>
                <w:bCs/>
                <w:sz w:val="20"/>
                <w:szCs w:val="20"/>
              </w:rPr>
            </w:pPr>
            <w:r>
              <w:rPr>
                <w:rFonts w:ascii="Arial Narrow" w:hAnsi="Arial Narrow"/>
                <w:b/>
                <w:bCs/>
                <w:sz w:val="20"/>
                <w:szCs w:val="20"/>
              </w:rPr>
              <w:t xml:space="preserve">Treatment criteria: </w:t>
            </w:r>
          </w:p>
        </w:tc>
      </w:tr>
      <w:tr w:rsidR="008B58F1" w:rsidRPr="004E1D7E" w14:paraId="5BF1CB3C"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79C4B696" w14:textId="57EE50EF" w:rsidR="008B58F1" w:rsidRPr="00432EBF" w:rsidRDefault="008B58F1" w:rsidP="000B11C0">
            <w:pPr>
              <w:jc w:val="center"/>
              <w:rPr>
                <w:rFonts w:ascii="Arial Narrow" w:hAnsi="Arial Narrow"/>
                <w:sz w:val="20"/>
                <w:szCs w:val="20"/>
              </w:rPr>
            </w:pPr>
          </w:p>
        </w:tc>
        <w:tc>
          <w:tcPr>
            <w:tcW w:w="4295" w:type="pct"/>
            <w:gridSpan w:val="6"/>
            <w:vAlign w:val="center"/>
          </w:tcPr>
          <w:p w14:paraId="0A9D9F38" w14:textId="77777777" w:rsidR="008B58F1" w:rsidRPr="004E1D7E" w:rsidRDefault="008B58F1" w:rsidP="000B11C0">
            <w:pPr>
              <w:rPr>
                <w:rFonts w:ascii="Arial Narrow" w:hAnsi="Arial Narrow"/>
                <w:sz w:val="20"/>
                <w:szCs w:val="20"/>
              </w:rPr>
            </w:pPr>
            <w:r w:rsidRPr="0024158B">
              <w:rPr>
                <w:rFonts w:ascii="Arial Narrow" w:hAnsi="Arial Narrow"/>
                <w:sz w:val="20"/>
                <w:szCs w:val="20"/>
              </w:rPr>
              <w:t>Must be treated by an ophthalmologist or by an accredited ophthalmology registrar in consultation with an ophthalmologist</w:t>
            </w:r>
            <w:r>
              <w:rPr>
                <w:rFonts w:ascii="Arial Narrow" w:hAnsi="Arial Narrow"/>
                <w:sz w:val="20"/>
                <w:szCs w:val="20"/>
              </w:rPr>
              <w:t>; OR</w:t>
            </w:r>
          </w:p>
        </w:tc>
      </w:tr>
      <w:tr w:rsidR="008B58F1" w:rsidRPr="004E1D7E" w14:paraId="19EF6787"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660E96DC" w14:textId="6CA3C081" w:rsidR="008B58F1" w:rsidRPr="00432EBF" w:rsidRDefault="008B58F1" w:rsidP="000B11C0">
            <w:pPr>
              <w:jc w:val="center"/>
              <w:rPr>
                <w:rFonts w:ascii="Arial Narrow" w:hAnsi="Arial Narrow"/>
                <w:sz w:val="20"/>
                <w:szCs w:val="20"/>
              </w:rPr>
            </w:pPr>
          </w:p>
        </w:tc>
        <w:tc>
          <w:tcPr>
            <w:tcW w:w="4295" w:type="pct"/>
            <w:gridSpan w:val="6"/>
            <w:vAlign w:val="center"/>
          </w:tcPr>
          <w:p w14:paraId="58BE5C7F" w14:textId="77777777" w:rsidR="008B58F1" w:rsidRPr="004E1D7E" w:rsidRDefault="008B58F1" w:rsidP="000B11C0">
            <w:pPr>
              <w:rPr>
                <w:rFonts w:ascii="Arial Narrow" w:hAnsi="Arial Narrow"/>
                <w:sz w:val="20"/>
                <w:szCs w:val="20"/>
              </w:rPr>
            </w:pPr>
            <w:r w:rsidRPr="004E1D7E">
              <w:rPr>
                <w:rFonts w:ascii="Arial Narrow" w:hAnsi="Arial Narrow"/>
                <w:sz w:val="20"/>
                <w:szCs w:val="20"/>
              </w:rPr>
              <w:t>Must be treated by an optometrist in accordance with Optometry Board of Australia guidelines</w:t>
            </w:r>
          </w:p>
        </w:tc>
      </w:tr>
      <w:tr w:rsidR="008B58F1" w:rsidRPr="00810A02" w14:paraId="13F4778C" w14:textId="77777777" w:rsidTr="00AE698F">
        <w:tblPrEx>
          <w:tblCellMar>
            <w:top w:w="15" w:type="dxa"/>
            <w:bottom w:w="15" w:type="dxa"/>
          </w:tblCellMar>
          <w:tblLook w:val="04A0" w:firstRow="1" w:lastRow="0" w:firstColumn="1" w:lastColumn="0" w:noHBand="0" w:noVBand="1"/>
        </w:tblPrEx>
        <w:trPr>
          <w:cantSplit/>
          <w:trHeight w:val="20"/>
        </w:trPr>
        <w:tc>
          <w:tcPr>
            <w:tcW w:w="705" w:type="pct"/>
            <w:vAlign w:val="center"/>
          </w:tcPr>
          <w:p w14:paraId="10637565" w14:textId="611D1357" w:rsidR="008B58F1" w:rsidRPr="00D91AA9" w:rsidRDefault="008B58F1" w:rsidP="000B11C0">
            <w:pPr>
              <w:jc w:val="center"/>
              <w:rPr>
                <w:rFonts w:ascii="Arial Narrow" w:hAnsi="Arial Narrow"/>
                <w:sz w:val="20"/>
                <w:szCs w:val="20"/>
              </w:rPr>
            </w:pPr>
          </w:p>
        </w:tc>
        <w:tc>
          <w:tcPr>
            <w:tcW w:w="4295" w:type="pct"/>
            <w:gridSpan w:val="6"/>
            <w:vAlign w:val="center"/>
          </w:tcPr>
          <w:p w14:paraId="529B64E1" w14:textId="77777777" w:rsidR="008B58F1" w:rsidRPr="00D91AA9" w:rsidRDefault="008B58F1" w:rsidP="000B11C0">
            <w:pPr>
              <w:jc w:val="left"/>
              <w:rPr>
                <w:rFonts w:ascii="Arial Narrow" w:hAnsi="Arial Narrow"/>
                <w:b/>
                <w:sz w:val="20"/>
                <w:szCs w:val="20"/>
              </w:rPr>
            </w:pPr>
            <w:r w:rsidRPr="00D91AA9">
              <w:rPr>
                <w:rFonts w:ascii="Arial Narrow" w:hAnsi="Arial Narrow"/>
                <w:b/>
                <w:sz w:val="20"/>
                <w:szCs w:val="20"/>
              </w:rPr>
              <w:t>Prescribing instructions:</w:t>
            </w:r>
          </w:p>
          <w:p w14:paraId="2E79E6A1" w14:textId="77777777" w:rsidR="008B58F1" w:rsidRPr="00D91AA9" w:rsidRDefault="008B58F1" w:rsidP="000B11C0">
            <w:pPr>
              <w:jc w:val="left"/>
              <w:rPr>
                <w:rFonts w:ascii="Arial Narrow" w:hAnsi="Arial Narrow"/>
                <w:sz w:val="20"/>
                <w:szCs w:val="20"/>
              </w:rPr>
            </w:pPr>
            <w:r w:rsidRPr="00D91AA9">
              <w:rPr>
                <w:rFonts w:ascii="Arial Narrow" w:hAnsi="Arial Narrow"/>
                <w:sz w:val="20"/>
                <w:szCs w:val="20"/>
              </w:rPr>
              <w:t>Prescribing instruction:</w:t>
            </w:r>
          </w:p>
          <w:p w14:paraId="15916EA1" w14:textId="77777777" w:rsidR="008B58F1" w:rsidRPr="00D91AA9" w:rsidRDefault="008B58F1" w:rsidP="000B11C0">
            <w:pPr>
              <w:rPr>
                <w:rFonts w:ascii="Arial Narrow" w:hAnsi="Arial Narrow"/>
                <w:sz w:val="20"/>
                <w:szCs w:val="20"/>
              </w:rPr>
            </w:pPr>
            <w:r w:rsidRPr="00D91AA9">
              <w:rPr>
                <w:rFonts w:ascii="Arial Narrow" w:hAnsi="Arial Narrow"/>
                <w:sz w:val="20"/>
                <w:szCs w:val="20"/>
              </w:rPr>
              <w:t>State in the first continuing treatment authority application for this drug:</w:t>
            </w:r>
          </w:p>
          <w:p w14:paraId="074DDC8D" w14:textId="77777777" w:rsidR="008B58F1" w:rsidRPr="00D91AA9" w:rsidRDefault="008B58F1" w:rsidP="000B11C0">
            <w:pPr>
              <w:rPr>
                <w:rFonts w:ascii="Arial Narrow" w:hAnsi="Arial Narrow"/>
                <w:sz w:val="20"/>
                <w:szCs w:val="20"/>
              </w:rPr>
            </w:pPr>
          </w:p>
          <w:p w14:paraId="5112BA54" w14:textId="77777777" w:rsidR="008B58F1" w:rsidRPr="00D91AA9" w:rsidRDefault="008B58F1" w:rsidP="000B11C0">
            <w:pPr>
              <w:rPr>
                <w:rFonts w:ascii="Arial Narrow" w:hAnsi="Arial Narrow"/>
                <w:sz w:val="20"/>
                <w:szCs w:val="20"/>
              </w:rPr>
            </w:pPr>
            <w:r w:rsidRPr="00D91AA9">
              <w:rPr>
                <w:rFonts w:ascii="Arial Narrow" w:hAnsi="Arial Narrow"/>
                <w:sz w:val="20"/>
                <w:szCs w:val="20"/>
              </w:rPr>
              <w:t>(i) an improved corneal fluorescein staining grade (a numerical value that has improved by 3 grades from that provided in the first Initial 1 treatment authority application).</w:t>
            </w:r>
          </w:p>
          <w:p w14:paraId="56830FB1" w14:textId="77777777" w:rsidR="008B58F1" w:rsidRPr="00D91AA9" w:rsidRDefault="008B58F1" w:rsidP="000B11C0">
            <w:pPr>
              <w:rPr>
                <w:rFonts w:ascii="Arial Narrow" w:hAnsi="Arial Narrow"/>
                <w:sz w:val="20"/>
                <w:szCs w:val="20"/>
              </w:rPr>
            </w:pPr>
          </w:p>
          <w:p w14:paraId="7CFDD7B5" w14:textId="77777777" w:rsidR="008B58F1" w:rsidRPr="00D91AA9" w:rsidRDefault="008B58F1" w:rsidP="000B11C0">
            <w:pPr>
              <w:rPr>
                <w:rFonts w:ascii="Arial Narrow" w:hAnsi="Arial Narrow"/>
                <w:sz w:val="20"/>
                <w:szCs w:val="20"/>
              </w:rPr>
            </w:pPr>
            <w:r w:rsidRPr="00D91AA9">
              <w:rPr>
                <w:rFonts w:ascii="Arial Narrow" w:hAnsi="Arial Narrow"/>
                <w:sz w:val="20"/>
                <w:szCs w:val="20"/>
              </w:rPr>
              <w:t>State in all continuing treatment authority applications:</w:t>
            </w:r>
          </w:p>
          <w:p w14:paraId="314935DD" w14:textId="77777777" w:rsidR="008B58F1" w:rsidRPr="00D91AA9" w:rsidRDefault="008B58F1" w:rsidP="000B11C0">
            <w:pPr>
              <w:rPr>
                <w:rFonts w:ascii="Arial Narrow" w:hAnsi="Arial Narrow"/>
                <w:sz w:val="20"/>
                <w:szCs w:val="20"/>
              </w:rPr>
            </w:pPr>
          </w:p>
          <w:p w14:paraId="60A4238B" w14:textId="77777777" w:rsidR="008B58F1" w:rsidRPr="00D91AA9" w:rsidRDefault="008B58F1" w:rsidP="000B11C0">
            <w:pPr>
              <w:rPr>
                <w:rFonts w:ascii="Arial Narrow" w:hAnsi="Arial Narrow"/>
                <w:b/>
                <w:sz w:val="20"/>
                <w:szCs w:val="20"/>
              </w:rPr>
            </w:pPr>
            <w:r w:rsidRPr="00D91AA9">
              <w:rPr>
                <w:rFonts w:ascii="Arial Narrow" w:hAnsi="Arial Narrow"/>
                <w:sz w:val="20"/>
                <w:szCs w:val="20"/>
              </w:rPr>
              <w:t>(ii) the ocular surface disease index score at the time of this authority application (a numerical value that is at least 30% lower than that stated in the first Initial 1 treatment authority application).</w:t>
            </w:r>
          </w:p>
        </w:tc>
      </w:tr>
    </w:tbl>
    <w:p w14:paraId="7E81BA40" w14:textId="77777777" w:rsidR="00623733" w:rsidRDefault="00623733" w:rsidP="00A2003B">
      <w:pPr>
        <w:jc w:val="left"/>
        <w:rPr>
          <w:lang w:eastAsia="en-US"/>
        </w:rPr>
      </w:pPr>
    </w:p>
    <w:p w14:paraId="4B09FC4B" w14:textId="77777777" w:rsidR="00155537" w:rsidRPr="00155537" w:rsidRDefault="00155537" w:rsidP="00155537">
      <w:pPr>
        <w:jc w:val="left"/>
        <w:rPr>
          <w:b/>
          <w:bCs/>
          <w:i/>
          <w:iCs/>
          <w:lang w:eastAsia="en-US"/>
        </w:rPr>
      </w:pPr>
      <w:r w:rsidRPr="00155537">
        <w:rPr>
          <w:b/>
          <w:bCs/>
          <w:i/>
          <w:iCs/>
          <w:lang w:eastAsia="en-US"/>
        </w:rPr>
        <w:t xml:space="preserve">This restriction may be subject to further review. Should there be any changes made to the </w:t>
      </w:r>
    </w:p>
    <w:p w14:paraId="4CB01D73" w14:textId="5920A1A9" w:rsidR="00623733" w:rsidRPr="00155537" w:rsidRDefault="00155537" w:rsidP="00155537">
      <w:pPr>
        <w:jc w:val="left"/>
        <w:rPr>
          <w:b/>
          <w:bCs/>
          <w:i/>
          <w:iCs/>
          <w:lang w:eastAsia="en-US"/>
        </w:rPr>
      </w:pPr>
      <w:r w:rsidRPr="00155537">
        <w:rPr>
          <w:b/>
          <w:bCs/>
          <w:i/>
          <w:iCs/>
          <w:lang w:eastAsia="en-US"/>
        </w:rPr>
        <w:t>restriction the Sponsor will be informed.</w:t>
      </w:r>
    </w:p>
    <w:p w14:paraId="70D2E74C" w14:textId="307D182A" w:rsidR="00534652" w:rsidRDefault="00534652">
      <w:pPr>
        <w:jc w:val="left"/>
        <w:rPr>
          <w:rFonts w:asciiTheme="minorHAnsi" w:eastAsiaTheme="majorEastAsia" w:hAnsiTheme="minorHAnsi" w:cstheme="majorBidi"/>
          <w:b/>
          <w:i/>
          <w:spacing w:val="5"/>
          <w:kern w:val="28"/>
          <w:sz w:val="28"/>
          <w:szCs w:val="36"/>
          <w:lang w:eastAsia="en-US"/>
        </w:rPr>
      </w:pPr>
    </w:p>
    <w:p w14:paraId="08914043" w14:textId="114862F2" w:rsidR="00DF0E8D" w:rsidRPr="00061CBE" w:rsidRDefault="00DF0E8D" w:rsidP="00DF0E8D">
      <w:pPr>
        <w:pStyle w:val="2-SectionHeading"/>
        <w:numPr>
          <w:ilvl w:val="0"/>
          <w:numId w:val="0"/>
        </w:numPr>
        <w:rPr>
          <w:lang w:val="en-GB"/>
        </w:rPr>
      </w:pPr>
      <w:r>
        <w:t>8</w:t>
      </w:r>
      <w:r w:rsidRPr="00061CBE">
        <w:tab/>
        <w:t>Context for Decision</w:t>
      </w:r>
    </w:p>
    <w:p w14:paraId="475AF81F" w14:textId="77777777" w:rsidR="00DF0E8D" w:rsidRPr="00061CBE" w:rsidRDefault="00DF0E8D" w:rsidP="00DF0E8D">
      <w:pPr>
        <w:ind w:left="720"/>
        <w:rPr>
          <w:bCs/>
          <w:lang w:val="en-GB"/>
        </w:rPr>
      </w:pPr>
      <w:r w:rsidRPr="00061CBE">
        <w:rPr>
          <w:bCs/>
          <w:lang w:val="en-GB"/>
        </w:rPr>
        <w:t xml:space="preserve">The PBAC helps decide whether and, if so, how medicines should be subsidised through the Pharmaceutical Benefits Scheme (PBS) in Australia. It considers </w:t>
      </w:r>
      <w:r w:rsidRPr="00061CBE">
        <w:rPr>
          <w:bCs/>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44E72F8" w14:textId="53E042F3" w:rsidR="00DF0E8D" w:rsidRPr="008A4DE2" w:rsidRDefault="00DF0E8D" w:rsidP="008A4DE2">
      <w:pPr>
        <w:pStyle w:val="2-SectionHeading"/>
        <w:numPr>
          <w:ilvl w:val="0"/>
          <w:numId w:val="0"/>
        </w:numPr>
        <w:ind w:left="720" w:hanging="720"/>
      </w:pPr>
      <w:r>
        <w:t>9</w:t>
      </w:r>
      <w:r w:rsidRPr="00061CBE">
        <w:tab/>
        <w:t>Sponsor’s Comment</w:t>
      </w:r>
    </w:p>
    <w:p w14:paraId="2FA82193" w14:textId="02B852D5" w:rsidR="008C5F0A" w:rsidRDefault="00DF0E8D" w:rsidP="00DF0E8D">
      <w:pPr>
        <w:ind w:firstLine="720"/>
        <w:jc w:val="left"/>
        <w:rPr>
          <w:rFonts w:asciiTheme="minorHAnsi" w:eastAsiaTheme="majorEastAsia" w:hAnsiTheme="minorHAnsi" w:cstheme="majorBidi"/>
          <w:b/>
          <w:i/>
          <w:spacing w:val="5"/>
          <w:kern w:val="28"/>
          <w:sz w:val="28"/>
          <w:szCs w:val="36"/>
          <w:lang w:eastAsia="en-US"/>
        </w:rPr>
      </w:pPr>
      <w:r w:rsidRPr="00061CBE">
        <w:rPr>
          <w:bCs/>
        </w:rPr>
        <w:t>The sponsor had no comment.</w:t>
      </w:r>
    </w:p>
    <w:sectPr w:rsidR="008C5F0A"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327F" w14:textId="77777777" w:rsidR="00D30852" w:rsidRDefault="00D30852">
      <w:r>
        <w:separator/>
      </w:r>
    </w:p>
    <w:p w14:paraId="1737FA98" w14:textId="77777777" w:rsidR="00D30852" w:rsidRDefault="00D30852"/>
  </w:endnote>
  <w:endnote w:type="continuationSeparator" w:id="0">
    <w:p w14:paraId="53638F87" w14:textId="77777777" w:rsidR="00D30852" w:rsidRDefault="00D30852">
      <w:r>
        <w:continuationSeparator/>
      </w:r>
    </w:p>
    <w:p w14:paraId="2D861871" w14:textId="77777777" w:rsidR="00D30852" w:rsidRDefault="00D30852"/>
  </w:endnote>
  <w:endnote w:type="continuationNotice" w:id="1">
    <w:p w14:paraId="064A0129" w14:textId="77777777" w:rsidR="00D30852" w:rsidRDefault="00D30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2D0EF893" w:rsidR="009C26AA" w:rsidRPr="005A3173" w:rsidRDefault="002C5EA2"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3365" behindDoc="0" locked="0" layoutInCell="1" allowOverlap="1" wp14:anchorId="3262DC9F" wp14:editId="7C9DBA57">
                    <wp:simplePos x="635" y="635"/>
                    <wp:positionH relativeFrom="page">
                      <wp:align>center</wp:align>
                    </wp:positionH>
                    <wp:positionV relativeFrom="page">
                      <wp:align>bottom</wp:align>
                    </wp:positionV>
                    <wp:extent cx="622300" cy="376555"/>
                    <wp:effectExtent l="0" t="0" r="6350" b="0"/>
                    <wp:wrapNone/>
                    <wp:docPr id="5858595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BD0253" w14:textId="0F0EDC5C"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2DC9F"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5BD0253" w14:textId="0F0EDC5C"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5F31BC30" w:rsidR="009C26AA" w:rsidRPr="00736028" w:rsidRDefault="002C5EA2" w:rsidP="00C56D78">
    <w:pPr>
      <w:pStyle w:val="PBACFooter"/>
      <w:jc w:val="both"/>
      <w:rPr>
        <w:rFonts w:ascii="Aptos" w:hAnsi="Aptos" w:cs="Aptos"/>
        <w:sz w:val="24"/>
      </w:rPr>
    </w:pPr>
    <w:r>
      <w:rPr>
        <w:rFonts w:ascii="Aptos" w:hAnsi="Aptos" w:cs="Aptos"/>
        <w:noProof/>
        <w:sz w:val="24"/>
      </w:rPr>
      <mc:AlternateContent>
        <mc:Choice Requires="wps">
          <w:drawing>
            <wp:anchor distT="0" distB="0" distL="0" distR="0" simplePos="0" relativeHeight="251664389" behindDoc="0" locked="0" layoutInCell="1" allowOverlap="1" wp14:anchorId="120D7015" wp14:editId="52C9BB0B">
              <wp:simplePos x="635" y="635"/>
              <wp:positionH relativeFrom="page">
                <wp:align>center</wp:align>
              </wp:positionH>
              <wp:positionV relativeFrom="page">
                <wp:align>bottom</wp:align>
              </wp:positionV>
              <wp:extent cx="622300" cy="376555"/>
              <wp:effectExtent l="0" t="0" r="6350" b="0"/>
              <wp:wrapNone/>
              <wp:docPr id="11988526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C1686D" w14:textId="23D01B1B"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D7015"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1C1686D" w14:textId="23D01B1B"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773D" w14:textId="4D0DA228" w:rsidR="00D10C54" w:rsidRDefault="002C5EA2">
    <w:pPr>
      <w:pStyle w:val="Footer"/>
    </w:pPr>
    <w:r>
      <w:rPr>
        <w:noProof/>
      </w:rPr>
      <mc:AlternateContent>
        <mc:Choice Requires="wps">
          <w:drawing>
            <wp:anchor distT="0" distB="0" distL="0" distR="0" simplePos="0" relativeHeight="251662341" behindDoc="0" locked="0" layoutInCell="1" allowOverlap="1" wp14:anchorId="1F12BD2A" wp14:editId="0ACD7BC4">
              <wp:simplePos x="635" y="635"/>
              <wp:positionH relativeFrom="page">
                <wp:align>center</wp:align>
              </wp:positionH>
              <wp:positionV relativeFrom="page">
                <wp:align>bottom</wp:align>
              </wp:positionV>
              <wp:extent cx="622300" cy="376555"/>
              <wp:effectExtent l="0" t="0" r="6350" b="0"/>
              <wp:wrapNone/>
              <wp:docPr id="15646523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AF4CB9" w14:textId="601F0CA7"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12BD2A"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0AF4CB9" w14:textId="601F0CA7"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C10A" w14:textId="77777777" w:rsidR="00D30852" w:rsidRDefault="00D30852">
      <w:r>
        <w:separator/>
      </w:r>
    </w:p>
    <w:p w14:paraId="272E8FA6" w14:textId="77777777" w:rsidR="00D30852" w:rsidRDefault="00D30852"/>
  </w:footnote>
  <w:footnote w:type="continuationSeparator" w:id="0">
    <w:p w14:paraId="6478E223" w14:textId="77777777" w:rsidR="00D30852" w:rsidRDefault="00D30852">
      <w:r>
        <w:continuationSeparator/>
      </w:r>
    </w:p>
    <w:p w14:paraId="0C885819" w14:textId="77777777" w:rsidR="00D30852" w:rsidRDefault="00D30852"/>
  </w:footnote>
  <w:footnote w:type="continuationNotice" w:id="1">
    <w:p w14:paraId="07D64F98" w14:textId="77777777" w:rsidR="00D30852" w:rsidRDefault="00D30852"/>
  </w:footnote>
  <w:footnote w:id="2">
    <w:p w14:paraId="308CEA57" w14:textId="07D0C5E6" w:rsidR="007A6576" w:rsidRDefault="007A6576">
      <w:pPr>
        <w:pStyle w:val="FootnoteText"/>
      </w:pPr>
      <w:r>
        <w:rPr>
          <w:rStyle w:val="FootnoteReference"/>
        </w:rPr>
        <w:footnoteRef/>
      </w:r>
      <w:r>
        <w:t xml:space="preserve"> </w:t>
      </w:r>
      <w:r w:rsidR="00991318">
        <w:t xml:space="preserve">Leonardi A, et al. Efficacy and safety of 0.1% cyclosporine A cationic emulsion in the treatment of severe dry eye disease: a multicenter randomized trial. </w:t>
      </w:r>
      <w:r w:rsidR="00FE772B">
        <w:t>Eur JOphthalmol. 2016;26(4):287-296.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00C05B9B" w:rsidR="009C26AA" w:rsidRPr="00A06225" w:rsidRDefault="002C5EA2">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0293" behindDoc="0" locked="0" layoutInCell="1" allowOverlap="1" wp14:anchorId="6E87089F" wp14:editId="5030F47F">
                    <wp:simplePos x="635" y="635"/>
                    <wp:positionH relativeFrom="page">
                      <wp:align>center</wp:align>
                    </wp:positionH>
                    <wp:positionV relativeFrom="page">
                      <wp:align>top</wp:align>
                    </wp:positionV>
                    <wp:extent cx="622300" cy="376555"/>
                    <wp:effectExtent l="0" t="0" r="6350" b="4445"/>
                    <wp:wrapNone/>
                    <wp:docPr id="2463607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DDD1F4" w14:textId="44CC5FA6"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7089F"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CDDD1F4" w14:textId="44CC5FA6"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5B7AEE8E" w:rsidR="00C56D78" w:rsidRPr="00141153" w:rsidRDefault="002C5EA2" w:rsidP="00C56D78">
    <w:pPr>
      <w:keepNext/>
      <w:tabs>
        <w:tab w:val="center" w:pos="4513"/>
        <w:tab w:val="right" w:pos="9026"/>
      </w:tabs>
      <w:jc w:val="center"/>
      <w:rPr>
        <w:rFonts w:cs="Calibri"/>
        <w:i/>
        <w:color w:val="808080"/>
      </w:rPr>
    </w:pPr>
    <w:r>
      <w:rPr>
        <w:rFonts w:cs="Calibri"/>
        <w:i/>
        <w:noProof/>
        <w:color w:val="808080"/>
      </w:rPr>
      <mc:AlternateContent>
        <mc:Choice Requires="wps">
          <w:drawing>
            <wp:anchor distT="0" distB="0" distL="0" distR="0" simplePos="0" relativeHeight="251661317" behindDoc="0" locked="0" layoutInCell="1" allowOverlap="1" wp14:anchorId="161EA3DE" wp14:editId="4D71EAE3">
              <wp:simplePos x="635" y="635"/>
              <wp:positionH relativeFrom="page">
                <wp:align>center</wp:align>
              </wp:positionH>
              <wp:positionV relativeFrom="page">
                <wp:align>top</wp:align>
              </wp:positionV>
              <wp:extent cx="622300" cy="376555"/>
              <wp:effectExtent l="0" t="0" r="6350" b="4445"/>
              <wp:wrapNone/>
              <wp:docPr id="10031935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586084" w14:textId="217BA3A9"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1EA3D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8586084" w14:textId="217BA3A9"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v:textbox>
              <w10:wrap anchorx="page" anchory="page"/>
            </v:shape>
          </w:pict>
        </mc:Fallback>
      </mc:AlternateContent>
    </w:r>
    <w:r w:rsidR="00D45752" w:rsidRPr="00141153">
      <w:rPr>
        <w:rFonts w:cs="Calibri"/>
        <w:i/>
        <w:color w:val="808080"/>
      </w:rPr>
      <w:t xml:space="preserve"> </w:t>
    </w:r>
    <w:r w:rsidR="00141153" w:rsidRPr="00141153">
      <w:rPr>
        <w:rFonts w:cs="Calibri"/>
        <w:i/>
        <w:color w:val="808080"/>
      </w:rPr>
      <w:t>Public Summary Document</w:t>
    </w:r>
    <w:r w:rsidR="00551B48" w:rsidRPr="00141153">
      <w:rPr>
        <w:rFonts w:cs="Calibri"/>
        <w:i/>
        <w:color w:val="808080"/>
      </w:rPr>
      <w:t xml:space="preserve"> </w:t>
    </w:r>
    <w:r w:rsidR="00CC2224" w:rsidRPr="00141153">
      <w:rPr>
        <w:rFonts w:cs="Calibri"/>
        <w:i/>
        <w:color w:val="808080"/>
      </w:rPr>
      <w:t xml:space="preserve">– </w:t>
    </w:r>
    <w:r w:rsidR="00E016C8" w:rsidRPr="00141153">
      <w:rPr>
        <w:rFonts w:cs="Calibri"/>
        <w:i/>
        <w:color w:val="808080"/>
      </w:rPr>
      <w:t xml:space="preserve">March 2026 </w:t>
    </w:r>
    <w:r w:rsidR="00C56D78" w:rsidRPr="00141153">
      <w:rPr>
        <w:rFonts w:cs="Calibri"/>
        <w:i/>
        <w:color w:val="808080"/>
      </w:rPr>
      <w:t>PBAC Meeting</w:t>
    </w:r>
  </w:p>
  <w:p w14:paraId="49FC1F8C" w14:textId="5A21F638"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27F6" w14:textId="45FAE832" w:rsidR="00D10C54" w:rsidRDefault="002C5EA2">
    <w:pPr>
      <w:pStyle w:val="Header"/>
    </w:pPr>
    <w:r>
      <w:rPr>
        <w:noProof/>
      </w:rPr>
      <mc:AlternateContent>
        <mc:Choice Requires="wps">
          <w:drawing>
            <wp:anchor distT="0" distB="0" distL="0" distR="0" simplePos="0" relativeHeight="251659269" behindDoc="0" locked="0" layoutInCell="1" allowOverlap="1" wp14:anchorId="45AAA6AC" wp14:editId="12A4237B">
              <wp:simplePos x="635" y="635"/>
              <wp:positionH relativeFrom="page">
                <wp:align>center</wp:align>
              </wp:positionH>
              <wp:positionV relativeFrom="page">
                <wp:align>top</wp:align>
              </wp:positionV>
              <wp:extent cx="622300" cy="376555"/>
              <wp:effectExtent l="0" t="0" r="6350" b="4445"/>
              <wp:wrapNone/>
              <wp:docPr id="10746808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26BAEE" w14:textId="11DE05AB"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AA6AC"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D26BAEE" w14:textId="11DE05AB" w:rsidR="002C5EA2" w:rsidRPr="002C5EA2" w:rsidRDefault="002C5EA2" w:rsidP="002C5EA2">
                    <w:pPr>
                      <w:rPr>
                        <w:rFonts w:ascii="Aptos" w:eastAsia="Aptos" w:hAnsi="Aptos" w:cs="Aptos"/>
                        <w:noProof/>
                        <w:color w:val="FF0000"/>
                      </w:rPr>
                    </w:pPr>
                    <w:r w:rsidRPr="002C5EA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6B74B7"/>
    <w:multiLevelType w:val="hybridMultilevel"/>
    <w:tmpl w:val="D6309D6C"/>
    <w:lvl w:ilvl="0" w:tplc="D95C5F2E">
      <w:start w:val="1"/>
      <w:numFmt w:val="decimal"/>
      <w:lvlText w:val="%1."/>
      <w:lvlJc w:val="left"/>
      <w:pPr>
        <w:ind w:left="1020" w:hanging="360"/>
      </w:pPr>
    </w:lvl>
    <w:lvl w:ilvl="1" w:tplc="CA98E6CE">
      <w:start w:val="1"/>
      <w:numFmt w:val="decimal"/>
      <w:lvlText w:val="%2."/>
      <w:lvlJc w:val="left"/>
      <w:pPr>
        <w:ind w:left="1020" w:hanging="360"/>
      </w:pPr>
    </w:lvl>
    <w:lvl w:ilvl="2" w:tplc="FBEAC4C6">
      <w:start w:val="1"/>
      <w:numFmt w:val="decimal"/>
      <w:lvlText w:val="%3."/>
      <w:lvlJc w:val="left"/>
      <w:pPr>
        <w:ind w:left="1020" w:hanging="360"/>
      </w:pPr>
    </w:lvl>
    <w:lvl w:ilvl="3" w:tplc="749CEF9A">
      <w:start w:val="1"/>
      <w:numFmt w:val="decimal"/>
      <w:lvlText w:val="%4."/>
      <w:lvlJc w:val="left"/>
      <w:pPr>
        <w:ind w:left="1020" w:hanging="360"/>
      </w:pPr>
    </w:lvl>
    <w:lvl w:ilvl="4" w:tplc="7EDE6F50">
      <w:start w:val="1"/>
      <w:numFmt w:val="decimal"/>
      <w:lvlText w:val="%5."/>
      <w:lvlJc w:val="left"/>
      <w:pPr>
        <w:ind w:left="1020" w:hanging="360"/>
      </w:pPr>
    </w:lvl>
    <w:lvl w:ilvl="5" w:tplc="C98A429C">
      <w:start w:val="1"/>
      <w:numFmt w:val="decimal"/>
      <w:lvlText w:val="%6."/>
      <w:lvlJc w:val="left"/>
      <w:pPr>
        <w:ind w:left="1020" w:hanging="360"/>
      </w:pPr>
    </w:lvl>
    <w:lvl w:ilvl="6" w:tplc="F02C8A80">
      <w:start w:val="1"/>
      <w:numFmt w:val="decimal"/>
      <w:lvlText w:val="%7."/>
      <w:lvlJc w:val="left"/>
      <w:pPr>
        <w:ind w:left="1020" w:hanging="360"/>
      </w:pPr>
    </w:lvl>
    <w:lvl w:ilvl="7" w:tplc="BC5245EE">
      <w:start w:val="1"/>
      <w:numFmt w:val="decimal"/>
      <w:lvlText w:val="%8."/>
      <w:lvlJc w:val="left"/>
      <w:pPr>
        <w:ind w:left="1020" w:hanging="360"/>
      </w:pPr>
    </w:lvl>
    <w:lvl w:ilvl="8" w:tplc="386C0028">
      <w:start w:val="1"/>
      <w:numFmt w:val="decimal"/>
      <w:lvlText w:val="%9."/>
      <w:lvlJc w:val="left"/>
      <w:pPr>
        <w:ind w:left="1020" w:hanging="360"/>
      </w:p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244933"/>
    <w:multiLevelType w:val="hybridMultilevel"/>
    <w:tmpl w:val="997C94B4"/>
    <w:lvl w:ilvl="0" w:tplc="6CC2B3B6">
      <w:start w:val="1"/>
      <w:numFmt w:val="upperLetter"/>
      <w:lvlText w:val="%1."/>
      <w:lvlJc w:val="left"/>
      <w:pPr>
        <w:ind w:left="360" w:hanging="360"/>
      </w:pPr>
      <w:rPr>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2"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8"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1"/>
  </w:num>
  <w:num w:numId="2" w16cid:durableId="957570559">
    <w:abstractNumId w:val="30"/>
  </w:num>
  <w:num w:numId="3" w16cid:durableId="536628895">
    <w:abstractNumId w:val="0"/>
  </w:num>
  <w:num w:numId="4" w16cid:durableId="1159004663">
    <w:abstractNumId w:val="22"/>
  </w:num>
  <w:num w:numId="5" w16cid:durableId="418600173">
    <w:abstractNumId w:val="31"/>
  </w:num>
  <w:num w:numId="6" w16cid:durableId="34236669">
    <w:abstractNumId w:val="26"/>
  </w:num>
  <w:num w:numId="7" w16cid:durableId="1279799443">
    <w:abstractNumId w:val="20"/>
  </w:num>
  <w:num w:numId="8" w16cid:durableId="495537779">
    <w:abstractNumId w:val="15"/>
  </w:num>
  <w:num w:numId="9" w16cid:durableId="1468400811">
    <w:abstractNumId w:val="1"/>
  </w:num>
  <w:num w:numId="10" w16cid:durableId="132985464">
    <w:abstractNumId w:val="30"/>
  </w:num>
  <w:num w:numId="11" w16cid:durableId="1915313393">
    <w:abstractNumId w:val="24"/>
  </w:num>
  <w:num w:numId="12" w16cid:durableId="473567604">
    <w:abstractNumId w:val="27"/>
  </w:num>
  <w:num w:numId="13" w16cid:durableId="315574325">
    <w:abstractNumId w:val="9"/>
  </w:num>
  <w:num w:numId="14" w16cid:durableId="1841651190">
    <w:abstractNumId w:val="8"/>
  </w:num>
  <w:num w:numId="15" w16cid:durableId="1751541441">
    <w:abstractNumId w:val="2"/>
  </w:num>
  <w:num w:numId="16" w16cid:durableId="939459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6"/>
  </w:num>
  <w:num w:numId="18" w16cid:durableId="1662348298">
    <w:abstractNumId w:val="18"/>
  </w:num>
  <w:num w:numId="19" w16cid:durableId="216868142">
    <w:abstractNumId w:val="14"/>
  </w:num>
  <w:num w:numId="20" w16cid:durableId="670838392">
    <w:abstractNumId w:val="28"/>
  </w:num>
  <w:num w:numId="21" w16cid:durableId="848180824">
    <w:abstractNumId w:val="7"/>
  </w:num>
  <w:num w:numId="22" w16cid:durableId="1182285320">
    <w:abstractNumId w:val="3"/>
  </w:num>
  <w:num w:numId="23" w16cid:durableId="1862936798">
    <w:abstractNumId w:val="32"/>
  </w:num>
  <w:num w:numId="24" w16cid:durableId="296691022">
    <w:abstractNumId w:val="19"/>
  </w:num>
  <w:num w:numId="25" w16cid:durableId="1974167109">
    <w:abstractNumId w:val="13"/>
  </w:num>
  <w:num w:numId="26" w16cid:durableId="30034796">
    <w:abstractNumId w:val="12"/>
  </w:num>
  <w:num w:numId="27" w16cid:durableId="85926888">
    <w:abstractNumId w:val="17"/>
  </w:num>
  <w:num w:numId="28" w16cid:durableId="277377558">
    <w:abstractNumId w:val="29"/>
  </w:num>
  <w:num w:numId="29" w16cid:durableId="299964396">
    <w:abstractNumId w:val="25"/>
  </w:num>
  <w:num w:numId="30" w16cid:durableId="1834561270">
    <w:abstractNumId w:val="16"/>
  </w:num>
  <w:num w:numId="31" w16cid:durableId="370961351">
    <w:abstractNumId w:val="5"/>
  </w:num>
  <w:num w:numId="32" w16cid:durableId="1007446205">
    <w:abstractNumId w:val="21"/>
  </w:num>
  <w:num w:numId="33" w16cid:durableId="447705833">
    <w:abstractNumId w:val="30"/>
  </w:num>
  <w:num w:numId="34" w16cid:durableId="224487594">
    <w:abstractNumId w:val="30"/>
  </w:num>
  <w:num w:numId="35" w16cid:durableId="1103570019">
    <w:abstractNumId w:val="10"/>
  </w:num>
  <w:num w:numId="36" w16cid:durableId="296230563">
    <w:abstractNumId w:val="30"/>
  </w:num>
  <w:num w:numId="37" w16cid:durableId="2041346921">
    <w:abstractNumId w:val="30"/>
  </w:num>
  <w:num w:numId="38" w16cid:durableId="1127431152">
    <w:abstractNumId w:val="1"/>
  </w:num>
  <w:num w:numId="39" w16cid:durableId="608783099">
    <w:abstractNumId w:val="1"/>
  </w:num>
  <w:num w:numId="40" w16cid:durableId="49441569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2AB"/>
    <w:rsid w:val="000025AD"/>
    <w:rsid w:val="000029F9"/>
    <w:rsid w:val="00002D72"/>
    <w:rsid w:val="0000335D"/>
    <w:rsid w:val="00003EC5"/>
    <w:rsid w:val="00004633"/>
    <w:rsid w:val="00006782"/>
    <w:rsid w:val="000069A7"/>
    <w:rsid w:val="0001179A"/>
    <w:rsid w:val="000117CB"/>
    <w:rsid w:val="00011A59"/>
    <w:rsid w:val="00012813"/>
    <w:rsid w:val="00012EDE"/>
    <w:rsid w:val="00014D69"/>
    <w:rsid w:val="00015707"/>
    <w:rsid w:val="00016A41"/>
    <w:rsid w:val="000207D3"/>
    <w:rsid w:val="000214D1"/>
    <w:rsid w:val="00021F20"/>
    <w:rsid w:val="000240A7"/>
    <w:rsid w:val="0002464A"/>
    <w:rsid w:val="00024858"/>
    <w:rsid w:val="00025A04"/>
    <w:rsid w:val="0002693D"/>
    <w:rsid w:val="00026BFD"/>
    <w:rsid w:val="00027A58"/>
    <w:rsid w:val="0003025F"/>
    <w:rsid w:val="0003050E"/>
    <w:rsid w:val="0003106B"/>
    <w:rsid w:val="000320C2"/>
    <w:rsid w:val="000335B9"/>
    <w:rsid w:val="00034339"/>
    <w:rsid w:val="00034905"/>
    <w:rsid w:val="00035075"/>
    <w:rsid w:val="000358B2"/>
    <w:rsid w:val="00035980"/>
    <w:rsid w:val="00037906"/>
    <w:rsid w:val="00037DA4"/>
    <w:rsid w:val="00037F11"/>
    <w:rsid w:val="00040A30"/>
    <w:rsid w:val="00040B44"/>
    <w:rsid w:val="000414C9"/>
    <w:rsid w:val="00041BFE"/>
    <w:rsid w:val="000421A1"/>
    <w:rsid w:val="0004240E"/>
    <w:rsid w:val="000425A2"/>
    <w:rsid w:val="0004391D"/>
    <w:rsid w:val="00044E52"/>
    <w:rsid w:val="00044EC4"/>
    <w:rsid w:val="00045118"/>
    <w:rsid w:val="00045E26"/>
    <w:rsid w:val="000462BA"/>
    <w:rsid w:val="00046903"/>
    <w:rsid w:val="00047247"/>
    <w:rsid w:val="000479FF"/>
    <w:rsid w:val="000502CD"/>
    <w:rsid w:val="000514B5"/>
    <w:rsid w:val="0005170B"/>
    <w:rsid w:val="00051DEC"/>
    <w:rsid w:val="00051EB2"/>
    <w:rsid w:val="000521ED"/>
    <w:rsid w:val="000522AD"/>
    <w:rsid w:val="0005322E"/>
    <w:rsid w:val="00054197"/>
    <w:rsid w:val="000546CF"/>
    <w:rsid w:val="00054E2B"/>
    <w:rsid w:val="000550C5"/>
    <w:rsid w:val="0005587B"/>
    <w:rsid w:val="00055A8E"/>
    <w:rsid w:val="000564C3"/>
    <w:rsid w:val="000566ED"/>
    <w:rsid w:val="00056813"/>
    <w:rsid w:val="00060E64"/>
    <w:rsid w:val="00061A1F"/>
    <w:rsid w:val="000621AB"/>
    <w:rsid w:val="00062C03"/>
    <w:rsid w:val="00062E88"/>
    <w:rsid w:val="00064531"/>
    <w:rsid w:val="000645FE"/>
    <w:rsid w:val="00066193"/>
    <w:rsid w:val="00066305"/>
    <w:rsid w:val="00066755"/>
    <w:rsid w:val="000715B9"/>
    <w:rsid w:val="00071A5B"/>
    <w:rsid w:val="00072730"/>
    <w:rsid w:val="00072C16"/>
    <w:rsid w:val="00073032"/>
    <w:rsid w:val="0007337F"/>
    <w:rsid w:val="00073BE5"/>
    <w:rsid w:val="00073F9A"/>
    <w:rsid w:val="00074320"/>
    <w:rsid w:val="000763D5"/>
    <w:rsid w:val="00076422"/>
    <w:rsid w:val="00076C38"/>
    <w:rsid w:val="00076C97"/>
    <w:rsid w:val="00077143"/>
    <w:rsid w:val="00077868"/>
    <w:rsid w:val="00077882"/>
    <w:rsid w:val="00077DF7"/>
    <w:rsid w:val="0008050C"/>
    <w:rsid w:val="00080881"/>
    <w:rsid w:val="0008098E"/>
    <w:rsid w:val="00081876"/>
    <w:rsid w:val="0008198C"/>
    <w:rsid w:val="00081BD0"/>
    <w:rsid w:val="00082169"/>
    <w:rsid w:val="000826F3"/>
    <w:rsid w:val="000834BE"/>
    <w:rsid w:val="00083F01"/>
    <w:rsid w:val="00084559"/>
    <w:rsid w:val="000847B6"/>
    <w:rsid w:val="000849D3"/>
    <w:rsid w:val="00084BD0"/>
    <w:rsid w:val="00085200"/>
    <w:rsid w:val="000853DE"/>
    <w:rsid w:val="00085BBB"/>
    <w:rsid w:val="000865EF"/>
    <w:rsid w:val="00086DBC"/>
    <w:rsid w:val="000873D4"/>
    <w:rsid w:val="0008753A"/>
    <w:rsid w:val="00087690"/>
    <w:rsid w:val="00087C4C"/>
    <w:rsid w:val="00087E15"/>
    <w:rsid w:val="00090B5C"/>
    <w:rsid w:val="000918CB"/>
    <w:rsid w:val="00091B06"/>
    <w:rsid w:val="00091EB2"/>
    <w:rsid w:val="00092F51"/>
    <w:rsid w:val="000951C4"/>
    <w:rsid w:val="0009541D"/>
    <w:rsid w:val="00095ADA"/>
    <w:rsid w:val="00095F3A"/>
    <w:rsid w:val="000969AD"/>
    <w:rsid w:val="000975FB"/>
    <w:rsid w:val="000A02F8"/>
    <w:rsid w:val="000A03AF"/>
    <w:rsid w:val="000A0C98"/>
    <w:rsid w:val="000A0F15"/>
    <w:rsid w:val="000A3AA2"/>
    <w:rsid w:val="000A3CB9"/>
    <w:rsid w:val="000A42EF"/>
    <w:rsid w:val="000A44B2"/>
    <w:rsid w:val="000A452D"/>
    <w:rsid w:val="000A4E5D"/>
    <w:rsid w:val="000A52F6"/>
    <w:rsid w:val="000A58B8"/>
    <w:rsid w:val="000A605F"/>
    <w:rsid w:val="000A6852"/>
    <w:rsid w:val="000A78B8"/>
    <w:rsid w:val="000B11C0"/>
    <w:rsid w:val="000B156E"/>
    <w:rsid w:val="000B22B6"/>
    <w:rsid w:val="000B3D92"/>
    <w:rsid w:val="000B4371"/>
    <w:rsid w:val="000B44C3"/>
    <w:rsid w:val="000B558D"/>
    <w:rsid w:val="000B59CB"/>
    <w:rsid w:val="000B5A89"/>
    <w:rsid w:val="000B65F6"/>
    <w:rsid w:val="000B7767"/>
    <w:rsid w:val="000B7D0F"/>
    <w:rsid w:val="000C0390"/>
    <w:rsid w:val="000C0574"/>
    <w:rsid w:val="000C0A18"/>
    <w:rsid w:val="000C0E5C"/>
    <w:rsid w:val="000C1AFF"/>
    <w:rsid w:val="000C2FB9"/>
    <w:rsid w:val="000C3792"/>
    <w:rsid w:val="000C4AA1"/>
    <w:rsid w:val="000C4E9F"/>
    <w:rsid w:val="000C4FD1"/>
    <w:rsid w:val="000C5740"/>
    <w:rsid w:val="000C579B"/>
    <w:rsid w:val="000C5F95"/>
    <w:rsid w:val="000C6996"/>
    <w:rsid w:val="000C777D"/>
    <w:rsid w:val="000C7C46"/>
    <w:rsid w:val="000D01F5"/>
    <w:rsid w:val="000D09E9"/>
    <w:rsid w:val="000D113F"/>
    <w:rsid w:val="000D23BA"/>
    <w:rsid w:val="000D2957"/>
    <w:rsid w:val="000D3B2E"/>
    <w:rsid w:val="000D441C"/>
    <w:rsid w:val="000D4A71"/>
    <w:rsid w:val="000D4C6D"/>
    <w:rsid w:val="000D4E25"/>
    <w:rsid w:val="000D4F18"/>
    <w:rsid w:val="000D51D5"/>
    <w:rsid w:val="000D6180"/>
    <w:rsid w:val="000D7A3F"/>
    <w:rsid w:val="000D7A9E"/>
    <w:rsid w:val="000E05BB"/>
    <w:rsid w:val="000E1272"/>
    <w:rsid w:val="000E14E5"/>
    <w:rsid w:val="000E19B7"/>
    <w:rsid w:val="000E20FC"/>
    <w:rsid w:val="000E23AE"/>
    <w:rsid w:val="000E2EA1"/>
    <w:rsid w:val="000E3168"/>
    <w:rsid w:val="000E3C1D"/>
    <w:rsid w:val="000E3DFB"/>
    <w:rsid w:val="000E4429"/>
    <w:rsid w:val="000E4D43"/>
    <w:rsid w:val="000E5A28"/>
    <w:rsid w:val="000E5EA1"/>
    <w:rsid w:val="000E681E"/>
    <w:rsid w:val="000E696B"/>
    <w:rsid w:val="000E7367"/>
    <w:rsid w:val="000E7DFF"/>
    <w:rsid w:val="000E7E52"/>
    <w:rsid w:val="000E7E90"/>
    <w:rsid w:val="000EE1C7"/>
    <w:rsid w:val="000F0003"/>
    <w:rsid w:val="000F0085"/>
    <w:rsid w:val="000F1468"/>
    <w:rsid w:val="000F3384"/>
    <w:rsid w:val="000F3438"/>
    <w:rsid w:val="000F38AB"/>
    <w:rsid w:val="000F3E2C"/>
    <w:rsid w:val="000F47A5"/>
    <w:rsid w:val="000F4E6A"/>
    <w:rsid w:val="000F61BD"/>
    <w:rsid w:val="000F6857"/>
    <w:rsid w:val="000F6869"/>
    <w:rsid w:val="000F6ABB"/>
    <w:rsid w:val="000F7354"/>
    <w:rsid w:val="000F7689"/>
    <w:rsid w:val="000F79E9"/>
    <w:rsid w:val="000F7B7C"/>
    <w:rsid w:val="000F7B89"/>
    <w:rsid w:val="000F7C27"/>
    <w:rsid w:val="000F7C60"/>
    <w:rsid w:val="000F7CCC"/>
    <w:rsid w:val="0010048D"/>
    <w:rsid w:val="001013C0"/>
    <w:rsid w:val="00101ABE"/>
    <w:rsid w:val="00102202"/>
    <w:rsid w:val="00102499"/>
    <w:rsid w:val="00102700"/>
    <w:rsid w:val="00102A78"/>
    <w:rsid w:val="00103118"/>
    <w:rsid w:val="001032FC"/>
    <w:rsid w:val="00103F1B"/>
    <w:rsid w:val="00104227"/>
    <w:rsid w:val="0010474D"/>
    <w:rsid w:val="001053D5"/>
    <w:rsid w:val="00107276"/>
    <w:rsid w:val="00107409"/>
    <w:rsid w:val="001107BF"/>
    <w:rsid w:val="00111F92"/>
    <w:rsid w:val="00113649"/>
    <w:rsid w:val="001136F6"/>
    <w:rsid w:val="00113D5C"/>
    <w:rsid w:val="00116B03"/>
    <w:rsid w:val="00120AA6"/>
    <w:rsid w:val="001239DB"/>
    <w:rsid w:val="0012417C"/>
    <w:rsid w:val="00124BF2"/>
    <w:rsid w:val="00125837"/>
    <w:rsid w:val="001258BB"/>
    <w:rsid w:val="0012597F"/>
    <w:rsid w:val="00126B19"/>
    <w:rsid w:val="00126D3A"/>
    <w:rsid w:val="00127434"/>
    <w:rsid w:val="0012749D"/>
    <w:rsid w:val="00127A23"/>
    <w:rsid w:val="00127B97"/>
    <w:rsid w:val="001306A5"/>
    <w:rsid w:val="00130918"/>
    <w:rsid w:val="001311AE"/>
    <w:rsid w:val="00133144"/>
    <w:rsid w:val="0013404D"/>
    <w:rsid w:val="00134994"/>
    <w:rsid w:val="00135474"/>
    <w:rsid w:val="001366C2"/>
    <w:rsid w:val="00136C17"/>
    <w:rsid w:val="001379EF"/>
    <w:rsid w:val="00137B86"/>
    <w:rsid w:val="0014087E"/>
    <w:rsid w:val="00140B74"/>
    <w:rsid w:val="00140CFC"/>
    <w:rsid w:val="00140D94"/>
    <w:rsid w:val="00141090"/>
    <w:rsid w:val="00141153"/>
    <w:rsid w:val="00141E33"/>
    <w:rsid w:val="001422F6"/>
    <w:rsid w:val="00142395"/>
    <w:rsid w:val="0014250D"/>
    <w:rsid w:val="00142714"/>
    <w:rsid w:val="0014317F"/>
    <w:rsid w:val="0014405D"/>
    <w:rsid w:val="001444A2"/>
    <w:rsid w:val="00144605"/>
    <w:rsid w:val="00144D09"/>
    <w:rsid w:val="00144E06"/>
    <w:rsid w:val="00145193"/>
    <w:rsid w:val="001452ED"/>
    <w:rsid w:val="0014560F"/>
    <w:rsid w:val="00145B04"/>
    <w:rsid w:val="00146908"/>
    <w:rsid w:val="00147BC6"/>
    <w:rsid w:val="00147D84"/>
    <w:rsid w:val="001516F2"/>
    <w:rsid w:val="00151CBD"/>
    <w:rsid w:val="001524A3"/>
    <w:rsid w:val="00152D8C"/>
    <w:rsid w:val="00152DA6"/>
    <w:rsid w:val="00153009"/>
    <w:rsid w:val="001533C3"/>
    <w:rsid w:val="001538CA"/>
    <w:rsid w:val="001545F1"/>
    <w:rsid w:val="001549C1"/>
    <w:rsid w:val="001551D7"/>
    <w:rsid w:val="00155537"/>
    <w:rsid w:val="00156C8D"/>
    <w:rsid w:val="00157AA2"/>
    <w:rsid w:val="0016052A"/>
    <w:rsid w:val="00160F4D"/>
    <w:rsid w:val="00161AA4"/>
    <w:rsid w:val="00162BDD"/>
    <w:rsid w:val="00162D4E"/>
    <w:rsid w:val="00163329"/>
    <w:rsid w:val="00163AE9"/>
    <w:rsid w:val="00164623"/>
    <w:rsid w:val="001652DE"/>
    <w:rsid w:val="001653EC"/>
    <w:rsid w:val="001658FD"/>
    <w:rsid w:val="00165B64"/>
    <w:rsid w:val="001661F3"/>
    <w:rsid w:val="00166958"/>
    <w:rsid w:val="00166B84"/>
    <w:rsid w:val="00167C39"/>
    <w:rsid w:val="00167DB9"/>
    <w:rsid w:val="00170C4D"/>
    <w:rsid w:val="00171206"/>
    <w:rsid w:val="00171355"/>
    <w:rsid w:val="00172632"/>
    <w:rsid w:val="00174432"/>
    <w:rsid w:val="00174EB8"/>
    <w:rsid w:val="001756CB"/>
    <w:rsid w:val="00175787"/>
    <w:rsid w:val="00176904"/>
    <w:rsid w:val="00176B9D"/>
    <w:rsid w:val="00177047"/>
    <w:rsid w:val="00177B23"/>
    <w:rsid w:val="00177C42"/>
    <w:rsid w:val="00177D06"/>
    <w:rsid w:val="00180439"/>
    <w:rsid w:val="001806A1"/>
    <w:rsid w:val="00180713"/>
    <w:rsid w:val="00180720"/>
    <w:rsid w:val="00181D13"/>
    <w:rsid w:val="00181DF4"/>
    <w:rsid w:val="001830CE"/>
    <w:rsid w:val="00183303"/>
    <w:rsid w:val="001836E3"/>
    <w:rsid w:val="00183EFA"/>
    <w:rsid w:val="00184659"/>
    <w:rsid w:val="001852B6"/>
    <w:rsid w:val="00185B2B"/>
    <w:rsid w:val="001860E5"/>
    <w:rsid w:val="0018643B"/>
    <w:rsid w:val="00186AAF"/>
    <w:rsid w:val="001876CA"/>
    <w:rsid w:val="00190BE0"/>
    <w:rsid w:val="001920BD"/>
    <w:rsid w:val="00192106"/>
    <w:rsid w:val="001922EF"/>
    <w:rsid w:val="00192937"/>
    <w:rsid w:val="00193E3B"/>
    <w:rsid w:val="001952EF"/>
    <w:rsid w:val="00195657"/>
    <w:rsid w:val="00196307"/>
    <w:rsid w:val="0019707D"/>
    <w:rsid w:val="0019723A"/>
    <w:rsid w:val="00197243"/>
    <w:rsid w:val="001972D3"/>
    <w:rsid w:val="00197C70"/>
    <w:rsid w:val="00197F03"/>
    <w:rsid w:val="001A09AD"/>
    <w:rsid w:val="001A0D10"/>
    <w:rsid w:val="001A0D53"/>
    <w:rsid w:val="001A10F6"/>
    <w:rsid w:val="001A11C7"/>
    <w:rsid w:val="001A33EA"/>
    <w:rsid w:val="001A3615"/>
    <w:rsid w:val="001A37E2"/>
    <w:rsid w:val="001A41A2"/>
    <w:rsid w:val="001A4291"/>
    <w:rsid w:val="001A4413"/>
    <w:rsid w:val="001A4C4F"/>
    <w:rsid w:val="001A4D64"/>
    <w:rsid w:val="001A5A2B"/>
    <w:rsid w:val="001A6E37"/>
    <w:rsid w:val="001A73B9"/>
    <w:rsid w:val="001A76FB"/>
    <w:rsid w:val="001B017F"/>
    <w:rsid w:val="001B0B79"/>
    <w:rsid w:val="001B109B"/>
    <w:rsid w:val="001B1662"/>
    <w:rsid w:val="001B19EA"/>
    <w:rsid w:val="001B1A61"/>
    <w:rsid w:val="001B2326"/>
    <w:rsid w:val="001B2BBC"/>
    <w:rsid w:val="001B2BCD"/>
    <w:rsid w:val="001B35E4"/>
    <w:rsid w:val="001B3A40"/>
    <w:rsid w:val="001B3AC9"/>
    <w:rsid w:val="001B3FFE"/>
    <w:rsid w:val="001B5129"/>
    <w:rsid w:val="001B5AFC"/>
    <w:rsid w:val="001C01C9"/>
    <w:rsid w:val="001C0B4C"/>
    <w:rsid w:val="001C0EC4"/>
    <w:rsid w:val="001C1090"/>
    <w:rsid w:val="001C1195"/>
    <w:rsid w:val="001C12AE"/>
    <w:rsid w:val="001C1AE4"/>
    <w:rsid w:val="001C1E84"/>
    <w:rsid w:val="001C20E1"/>
    <w:rsid w:val="001C2A0F"/>
    <w:rsid w:val="001C2E42"/>
    <w:rsid w:val="001C331A"/>
    <w:rsid w:val="001C3E05"/>
    <w:rsid w:val="001C4696"/>
    <w:rsid w:val="001C4A86"/>
    <w:rsid w:val="001C5DF1"/>
    <w:rsid w:val="001C6833"/>
    <w:rsid w:val="001C7AA4"/>
    <w:rsid w:val="001D00A1"/>
    <w:rsid w:val="001D1E8C"/>
    <w:rsid w:val="001D1F5F"/>
    <w:rsid w:val="001D5153"/>
    <w:rsid w:val="001D595B"/>
    <w:rsid w:val="001D681F"/>
    <w:rsid w:val="001D773C"/>
    <w:rsid w:val="001D7995"/>
    <w:rsid w:val="001D7F07"/>
    <w:rsid w:val="001E06D2"/>
    <w:rsid w:val="001E17C4"/>
    <w:rsid w:val="001E2A47"/>
    <w:rsid w:val="001E2D65"/>
    <w:rsid w:val="001E37E0"/>
    <w:rsid w:val="001E3965"/>
    <w:rsid w:val="001E3C61"/>
    <w:rsid w:val="001E3F57"/>
    <w:rsid w:val="001E57EE"/>
    <w:rsid w:val="001F005B"/>
    <w:rsid w:val="001F0266"/>
    <w:rsid w:val="001F0D3B"/>
    <w:rsid w:val="001F1185"/>
    <w:rsid w:val="001F1850"/>
    <w:rsid w:val="001F1FBF"/>
    <w:rsid w:val="001F2311"/>
    <w:rsid w:val="001F2B80"/>
    <w:rsid w:val="001F2F1C"/>
    <w:rsid w:val="001F30FE"/>
    <w:rsid w:val="001F3189"/>
    <w:rsid w:val="001F32EA"/>
    <w:rsid w:val="001F39E4"/>
    <w:rsid w:val="001F4A77"/>
    <w:rsid w:val="001F51B0"/>
    <w:rsid w:val="001F53C8"/>
    <w:rsid w:val="001F6597"/>
    <w:rsid w:val="001F72F8"/>
    <w:rsid w:val="001F7F41"/>
    <w:rsid w:val="00200BEA"/>
    <w:rsid w:val="00201970"/>
    <w:rsid w:val="00201FB8"/>
    <w:rsid w:val="00203FAC"/>
    <w:rsid w:val="00203FFC"/>
    <w:rsid w:val="0020465D"/>
    <w:rsid w:val="0020481F"/>
    <w:rsid w:val="00204B53"/>
    <w:rsid w:val="00204D44"/>
    <w:rsid w:val="002058B3"/>
    <w:rsid w:val="002075A1"/>
    <w:rsid w:val="00210274"/>
    <w:rsid w:val="0021055C"/>
    <w:rsid w:val="002106C6"/>
    <w:rsid w:val="00211720"/>
    <w:rsid w:val="0021247E"/>
    <w:rsid w:val="00212F8E"/>
    <w:rsid w:val="002133FB"/>
    <w:rsid w:val="00213CFB"/>
    <w:rsid w:val="00213F04"/>
    <w:rsid w:val="002147AC"/>
    <w:rsid w:val="0021553C"/>
    <w:rsid w:val="0021557B"/>
    <w:rsid w:val="00215C08"/>
    <w:rsid w:val="00216B87"/>
    <w:rsid w:val="002174FD"/>
    <w:rsid w:val="00217BE1"/>
    <w:rsid w:val="002206D5"/>
    <w:rsid w:val="00221361"/>
    <w:rsid w:val="002214B9"/>
    <w:rsid w:val="00221A13"/>
    <w:rsid w:val="002225D0"/>
    <w:rsid w:val="00222680"/>
    <w:rsid w:val="00222A0E"/>
    <w:rsid w:val="00223370"/>
    <w:rsid w:val="0022359E"/>
    <w:rsid w:val="002240AE"/>
    <w:rsid w:val="00224AE4"/>
    <w:rsid w:val="00224D1E"/>
    <w:rsid w:val="00225FD5"/>
    <w:rsid w:val="00226611"/>
    <w:rsid w:val="00227BC5"/>
    <w:rsid w:val="00227FDD"/>
    <w:rsid w:val="0023023E"/>
    <w:rsid w:val="0023050F"/>
    <w:rsid w:val="00230F63"/>
    <w:rsid w:val="00231131"/>
    <w:rsid w:val="002313E8"/>
    <w:rsid w:val="00234252"/>
    <w:rsid w:val="002345EE"/>
    <w:rsid w:val="0023466E"/>
    <w:rsid w:val="00234751"/>
    <w:rsid w:val="00236177"/>
    <w:rsid w:val="002362F3"/>
    <w:rsid w:val="00237AC6"/>
    <w:rsid w:val="00240580"/>
    <w:rsid w:val="00240A78"/>
    <w:rsid w:val="00240B1E"/>
    <w:rsid w:val="00241113"/>
    <w:rsid w:val="0024158B"/>
    <w:rsid w:val="002418D5"/>
    <w:rsid w:val="00242459"/>
    <w:rsid w:val="00242B64"/>
    <w:rsid w:val="00242BFD"/>
    <w:rsid w:val="00242CC5"/>
    <w:rsid w:val="00243A11"/>
    <w:rsid w:val="00244103"/>
    <w:rsid w:val="00244139"/>
    <w:rsid w:val="002441E6"/>
    <w:rsid w:val="00244490"/>
    <w:rsid w:val="0024479F"/>
    <w:rsid w:val="00244BEC"/>
    <w:rsid w:val="0024509E"/>
    <w:rsid w:val="00245444"/>
    <w:rsid w:val="00245B9C"/>
    <w:rsid w:val="002461E9"/>
    <w:rsid w:val="00247344"/>
    <w:rsid w:val="00247EBB"/>
    <w:rsid w:val="00247FE4"/>
    <w:rsid w:val="0025014B"/>
    <w:rsid w:val="0025056E"/>
    <w:rsid w:val="00250720"/>
    <w:rsid w:val="00250874"/>
    <w:rsid w:val="00250936"/>
    <w:rsid w:val="00250C75"/>
    <w:rsid w:val="00251538"/>
    <w:rsid w:val="00251B85"/>
    <w:rsid w:val="00252587"/>
    <w:rsid w:val="00253499"/>
    <w:rsid w:val="002551A4"/>
    <w:rsid w:val="00255590"/>
    <w:rsid w:val="0025561A"/>
    <w:rsid w:val="00255757"/>
    <w:rsid w:val="002573FB"/>
    <w:rsid w:val="0025746B"/>
    <w:rsid w:val="00257664"/>
    <w:rsid w:val="00257CDB"/>
    <w:rsid w:val="00257D6F"/>
    <w:rsid w:val="00260165"/>
    <w:rsid w:val="00260259"/>
    <w:rsid w:val="002614B4"/>
    <w:rsid w:val="00261A43"/>
    <w:rsid w:val="002620DC"/>
    <w:rsid w:val="00262271"/>
    <w:rsid w:val="00263E8B"/>
    <w:rsid w:val="00265151"/>
    <w:rsid w:val="00265C2C"/>
    <w:rsid w:val="00265EF7"/>
    <w:rsid w:val="00266509"/>
    <w:rsid w:val="00267098"/>
    <w:rsid w:val="0026752C"/>
    <w:rsid w:val="002677F3"/>
    <w:rsid w:val="00271BA1"/>
    <w:rsid w:val="00272BEA"/>
    <w:rsid w:val="00272DE5"/>
    <w:rsid w:val="00272F60"/>
    <w:rsid w:val="00273AC5"/>
    <w:rsid w:val="00274F36"/>
    <w:rsid w:val="002762FA"/>
    <w:rsid w:val="00276888"/>
    <w:rsid w:val="00276BE3"/>
    <w:rsid w:val="00277505"/>
    <w:rsid w:val="002777E3"/>
    <w:rsid w:val="00277873"/>
    <w:rsid w:val="00277C96"/>
    <w:rsid w:val="0028033D"/>
    <w:rsid w:val="00280412"/>
    <w:rsid w:val="00280C52"/>
    <w:rsid w:val="0028158C"/>
    <w:rsid w:val="002823B6"/>
    <w:rsid w:val="002830F5"/>
    <w:rsid w:val="002838CB"/>
    <w:rsid w:val="002839C8"/>
    <w:rsid w:val="00283FEB"/>
    <w:rsid w:val="00284632"/>
    <w:rsid w:val="00285106"/>
    <w:rsid w:val="00285C97"/>
    <w:rsid w:val="00287C6A"/>
    <w:rsid w:val="00290C03"/>
    <w:rsid w:val="00290D15"/>
    <w:rsid w:val="00292392"/>
    <w:rsid w:val="0029263B"/>
    <w:rsid w:val="00292E3B"/>
    <w:rsid w:val="002933A8"/>
    <w:rsid w:val="00293985"/>
    <w:rsid w:val="00293B00"/>
    <w:rsid w:val="00294274"/>
    <w:rsid w:val="0029449A"/>
    <w:rsid w:val="0029458F"/>
    <w:rsid w:val="00295D04"/>
    <w:rsid w:val="002960F3"/>
    <w:rsid w:val="002962B3"/>
    <w:rsid w:val="00297A63"/>
    <w:rsid w:val="00297A68"/>
    <w:rsid w:val="002A018F"/>
    <w:rsid w:val="002A0E04"/>
    <w:rsid w:val="002A104C"/>
    <w:rsid w:val="002A14DA"/>
    <w:rsid w:val="002A1EF7"/>
    <w:rsid w:val="002A2B7B"/>
    <w:rsid w:val="002A3210"/>
    <w:rsid w:val="002A3342"/>
    <w:rsid w:val="002A3393"/>
    <w:rsid w:val="002A4453"/>
    <w:rsid w:val="002A494D"/>
    <w:rsid w:val="002A4960"/>
    <w:rsid w:val="002A50B0"/>
    <w:rsid w:val="002A58C6"/>
    <w:rsid w:val="002A5CB0"/>
    <w:rsid w:val="002A636A"/>
    <w:rsid w:val="002A6574"/>
    <w:rsid w:val="002A6D8C"/>
    <w:rsid w:val="002A755F"/>
    <w:rsid w:val="002B040E"/>
    <w:rsid w:val="002B0747"/>
    <w:rsid w:val="002B0AE0"/>
    <w:rsid w:val="002B0B2B"/>
    <w:rsid w:val="002B1AE6"/>
    <w:rsid w:val="002B1B67"/>
    <w:rsid w:val="002B1D51"/>
    <w:rsid w:val="002B2DE8"/>
    <w:rsid w:val="002B30F8"/>
    <w:rsid w:val="002B388A"/>
    <w:rsid w:val="002B3BFE"/>
    <w:rsid w:val="002B3C1A"/>
    <w:rsid w:val="002B49E4"/>
    <w:rsid w:val="002B4C2A"/>
    <w:rsid w:val="002B5033"/>
    <w:rsid w:val="002B5596"/>
    <w:rsid w:val="002B59EB"/>
    <w:rsid w:val="002B6CCA"/>
    <w:rsid w:val="002B6D20"/>
    <w:rsid w:val="002B77D7"/>
    <w:rsid w:val="002B7F0E"/>
    <w:rsid w:val="002C0763"/>
    <w:rsid w:val="002C16CF"/>
    <w:rsid w:val="002C1708"/>
    <w:rsid w:val="002C212F"/>
    <w:rsid w:val="002C2F2F"/>
    <w:rsid w:val="002C2F35"/>
    <w:rsid w:val="002C3DEC"/>
    <w:rsid w:val="002C425C"/>
    <w:rsid w:val="002C5116"/>
    <w:rsid w:val="002C5850"/>
    <w:rsid w:val="002C5EA2"/>
    <w:rsid w:val="002C6AA9"/>
    <w:rsid w:val="002C7467"/>
    <w:rsid w:val="002C7485"/>
    <w:rsid w:val="002D01FE"/>
    <w:rsid w:val="002D046A"/>
    <w:rsid w:val="002D2641"/>
    <w:rsid w:val="002D283A"/>
    <w:rsid w:val="002D4184"/>
    <w:rsid w:val="002D421C"/>
    <w:rsid w:val="002D4543"/>
    <w:rsid w:val="002D4564"/>
    <w:rsid w:val="002D4F56"/>
    <w:rsid w:val="002D715F"/>
    <w:rsid w:val="002D7276"/>
    <w:rsid w:val="002D73C5"/>
    <w:rsid w:val="002E022A"/>
    <w:rsid w:val="002E1A81"/>
    <w:rsid w:val="002E2251"/>
    <w:rsid w:val="002E3153"/>
    <w:rsid w:val="002E3FD4"/>
    <w:rsid w:val="002E4A02"/>
    <w:rsid w:val="002E5292"/>
    <w:rsid w:val="002E72CA"/>
    <w:rsid w:val="002E75DD"/>
    <w:rsid w:val="002F0380"/>
    <w:rsid w:val="002F196D"/>
    <w:rsid w:val="002F1D07"/>
    <w:rsid w:val="002F599C"/>
    <w:rsid w:val="002F5C5B"/>
    <w:rsid w:val="002F5D21"/>
    <w:rsid w:val="002F600D"/>
    <w:rsid w:val="002F6F0F"/>
    <w:rsid w:val="002F7D5B"/>
    <w:rsid w:val="002F7E47"/>
    <w:rsid w:val="00300279"/>
    <w:rsid w:val="00300AD6"/>
    <w:rsid w:val="00300B1B"/>
    <w:rsid w:val="003010EB"/>
    <w:rsid w:val="003019D0"/>
    <w:rsid w:val="003019DE"/>
    <w:rsid w:val="0030311E"/>
    <w:rsid w:val="003038C2"/>
    <w:rsid w:val="003038EA"/>
    <w:rsid w:val="00303A09"/>
    <w:rsid w:val="00303CFE"/>
    <w:rsid w:val="003044CA"/>
    <w:rsid w:val="003045A1"/>
    <w:rsid w:val="00304D42"/>
    <w:rsid w:val="00305835"/>
    <w:rsid w:val="003064AF"/>
    <w:rsid w:val="003071D9"/>
    <w:rsid w:val="00307567"/>
    <w:rsid w:val="0030792A"/>
    <w:rsid w:val="00307DC6"/>
    <w:rsid w:val="0031018A"/>
    <w:rsid w:val="00310702"/>
    <w:rsid w:val="00310A8B"/>
    <w:rsid w:val="00310B68"/>
    <w:rsid w:val="00314A7F"/>
    <w:rsid w:val="00315F50"/>
    <w:rsid w:val="003160AE"/>
    <w:rsid w:val="003160D2"/>
    <w:rsid w:val="003173FC"/>
    <w:rsid w:val="00317C6C"/>
    <w:rsid w:val="00320148"/>
    <w:rsid w:val="00320B80"/>
    <w:rsid w:val="00320CD3"/>
    <w:rsid w:val="003215FF"/>
    <w:rsid w:val="00321D74"/>
    <w:rsid w:val="00322667"/>
    <w:rsid w:val="003227B4"/>
    <w:rsid w:val="00322959"/>
    <w:rsid w:val="00323148"/>
    <w:rsid w:val="00323191"/>
    <w:rsid w:val="00323302"/>
    <w:rsid w:val="00323CF3"/>
    <w:rsid w:val="00325001"/>
    <w:rsid w:val="00325C40"/>
    <w:rsid w:val="0032607C"/>
    <w:rsid w:val="003269B5"/>
    <w:rsid w:val="00326E79"/>
    <w:rsid w:val="0032748A"/>
    <w:rsid w:val="0032799F"/>
    <w:rsid w:val="003301B1"/>
    <w:rsid w:val="003307A4"/>
    <w:rsid w:val="00330CF5"/>
    <w:rsid w:val="00330F53"/>
    <w:rsid w:val="00331189"/>
    <w:rsid w:val="0033121F"/>
    <w:rsid w:val="003322DB"/>
    <w:rsid w:val="0033263D"/>
    <w:rsid w:val="00332BE6"/>
    <w:rsid w:val="00333E8C"/>
    <w:rsid w:val="00334061"/>
    <w:rsid w:val="0033458E"/>
    <w:rsid w:val="00334E69"/>
    <w:rsid w:val="0033518A"/>
    <w:rsid w:val="003354CA"/>
    <w:rsid w:val="00335535"/>
    <w:rsid w:val="00335B5B"/>
    <w:rsid w:val="00336637"/>
    <w:rsid w:val="003367EF"/>
    <w:rsid w:val="003370AD"/>
    <w:rsid w:val="0033760F"/>
    <w:rsid w:val="00337962"/>
    <w:rsid w:val="003400D6"/>
    <w:rsid w:val="0034174E"/>
    <w:rsid w:val="00341AE4"/>
    <w:rsid w:val="003425CA"/>
    <w:rsid w:val="00343FB7"/>
    <w:rsid w:val="00344318"/>
    <w:rsid w:val="00344807"/>
    <w:rsid w:val="003448D4"/>
    <w:rsid w:val="00344D57"/>
    <w:rsid w:val="00344FCA"/>
    <w:rsid w:val="0034565E"/>
    <w:rsid w:val="003468E2"/>
    <w:rsid w:val="003470A0"/>
    <w:rsid w:val="003476EE"/>
    <w:rsid w:val="00350B9E"/>
    <w:rsid w:val="00350D48"/>
    <w:rsid w:val="0035173E"/>
    <w:rsid w:val="00351FBA"/>
    <w:rsid w:val="00352A29"/>
    <w:rsid w:val="00354133"/>
    <w:rsid w:val="003541DD"/>
    <w:rsid w:val="00354796"/>
    <w:rsid w:val="0035489A"/>
    <w:rsid w:val="003548E1"/>
    <w:rsid w:val="00355031"/>
    <w:rsid w:val="003551F9"/>
    <w:rsid w:val="00356496"/>
    <w:rsid w:val="00356E5B"/>
    <w:rsid w:val="00357CE8"/>
    <w:rsid w:val="00360887"/>
    <w:rsid w:val="0036249F"/>
    <w:rsid w:val="003635D7"/>
    <w:rsid w:val="0036397E"/>
    <w:rsid w:val="0036577F"/>
    <w:rsid w:val="0036718C"/>
    <w:rsid w:val="00371246"/>
    <w:rsid w:val="00371E87"/>
    <w:rsid w:val="003736C9"/>
    <w:rsid w:val="003738E1"/>
    <w:rsid w:val="00373CB7"/>
    <w:rsid w:val="003767D5"/>
    <w:rsid w:val="00376A6E"/>
    <w:rsid w:val="00376E4B"/>
    <w:rsid w:val="00377604"/>
    <w:rsid w:val="00380329"/>
    <w:rsid w:val="00380995"/>
    <w:rsid w:val="00381124"/>
    <w:rsid w:val="00382C07"/>
    <w:rsid w:val="00383B77"/>
    <w:rsid w:val="00384321"/>
    <w:rsid w:val="00384988"/>
    <w:rsid w:val="003860B5"/>
    <w:rsid w:val="00386490"/>
    <w:rsid w:val="00386C76"/>
    <w:rsid w:val="00386D9A"/>
    <w:rsid w:val="003872CF"/>
    <w:rsid w:val="003874CB"/>
    <w:rsid w:val="00391D11"/>
    <w:rsid w:val="003926A4"/>
    <w:rsid w:val="00396E08"/>
    <w:rsid w:val="003970DD"/>
    <w:rsid w:val="0039782C"/>
    <w:rsid w:val="00397F98"/>
    <w:rsid w:val="003A07AB"/>
    <w:rsid w:val="003A13A6"/>
    <w:rsid w:val="003A2165"/>
    <w:rsid w:val="003A266D"/>
    <w:rsid w:val="003A2C1A"/>
    <w:rsid w:val="003A2D7A"/>
    <w:rsid w:val="003A3AF3"/>
    <w:rsid w:val="003A3E4C"/>
    <w:rsid w:val="003A3FD4"/>
    <w:rsid w:val="003A4F4B"/>
    <w:rsid w:val="003A586A"/>
    <w:rsid w:val="003A5B4A"/>
    <w:rsid w:val="003A5D95"/>
    <w:rsid w:val="003A6510"/>
    <w:rsid w:val="003A6718"/>
    <w:rsid w:val="003A6DC4"/>
    <w:rsid w:val="003A74E2"/>
    <w:rsid w:val="003B085C"/>
    <w:rsid w:val="003B09AA"/>
    <w:rsid w:val="003B0D3A"/>
    <w:rsid w:val="003B0FB4"/>
    <w:rsid w:val="003B2302"/>
    <w:rsid w:val="003B23C5"/>
    <w:rsid w:val="003B2A75"/>
    <w:rsid w:val="003B331F"/>
    <w:rsid w:val="003B3F55"/>
    <w:rsid w:val="003B49B2"/>
    <w:rsid w:val="003B4C6D"/>
    <w:rsid w:val="003B5022"/>
    <w:rsid w:val="003B550E"/>
    <w:rsid w:val="003B5DBC"/>
    <w:rsid w:val="003B5E29"/>
    <w:rsid w:val="003B6124"/>
    <w:rsid w:val="003B6B4E"/>
    <w:rsid w:val="003B7772"/>
    <w:rsid w:val="003B7960"/>
    <w:rsid w:val="003B7E38"/>
    <w:rsid w:val="003C0908"/>
    <w:rsid w:val="003C093A"/>
    <w:rsid w:val="003C0AAC"/>
    <w:rsid w:val="003C1ECF"/>
    <w:rsid w:val="003C2FB5"/>
    <w:rsid w:val="003C3013"/>
    <w:rsid w:val="003C7175"/>
    <w:rsid w:val="003D0387"/>
    <w:rsid w:val="003D24C5"/>
    <w:rsid w:val="003D2D34"/>
    <w:rsid w:val="003D41E7"/>
    <w:rsid w:val="003D4594"/>
    <w:rsid w:val="003D4896"/>
    <w:rsid w:val="003D4AC4"/>
    <w:rsid w:val="003D5433"/>
    <w:rsid w:val="003D5A3C"/>
    <w:rsid w:val="003D63B7"/>
    <w:rsid w:val="003D74C5"/>
    <w:rsid w:val="003D7E53"/>
    <w:rsid w:val="003E1628"/>
    <w:rsid w:val="003E4374"/>
    <w:rsid w:val="003E468B"/>
    <w:rsid w:val="003E612D"/>
    <w:rsid w:val="003E62BD"/>
    <w:rsid w:val="003E658D"/>
    <w:rsid w:val="003E6DFB"/>
    <w:rsid w:val="003E7234"/>
    <w:rsid w:val="003F011D"/>
    <w:rsid w:val="003F03E4"/>
    <w:rsid w:val="003F044F"/>
    <w:rsid w:val="003F0791"/>
    <w:rsid w:val="003F0C3A"/>
    <w:rsid w:val="003F1022"/>
    <w:rsid w:val="003F1484"/>
    <w:rsid w:val="003F15F0"/>
    <w:rsid w:val="003F2472"/>
    <w:rsid w:val="003F2AD9"/>
    <w:rsid w:val="003F3228"/>
    <w:rsid w:val="003F37B1"/>
    <w:rsid w:val="003F392A"/>
    <w:rsid w:val="003F3D84"/>
    <w:rsid w:val="003F5C83"/>
    <w:rsid w:val="003F5C8C"/>
    <w:rsid w:val="003F63CE"/>
    <w:rsid w:val="003F775A"/>
    <w:rsid w:val="00400042"/>
    <w:rsid w:val="00400E55"/>
    <w:rsid w:val="0040128E"/>
    <w:rsid w:val="004012B5"/>
    <w:rsid w:val="00401640"/>
    <w:rsid w:val="00401B0B"/>
    <w:rsid w:val="0040216B"/>
    <w:rsid w:val="00402B8F"/>
    <w:rsid w:val="00403562"/>
    <w:rsid w:val="00403A90"/>
    <w:rsid w:val="00404852"/>
    <w:rsid w:val="00405299"/>
    <w:rsid w:val="0040590E"/>
    <w:rsid w:val="004059DA"/>
    <w:rsid w:val="00405F8A"/>
    <w:rsid w:val="00407562"/>
    <w:rsid w:val="004077E6"/>
    <w:rsid w:val="00407CC8"/>
    <w:rsid w:val="00411D3A"/>
    <w:rsid w:val="0041261B"/>
    <w:rsid w:val="00412B8C"/>
    <w:rsid w:val="0041472B"/>
    <w:rsid w:val="00414F0C"/>
    <w:rsid w:val="004150A8"/>
    <w:rsid w:val="00415B45"/>
    <w:rsid w:val="00415BC9"/>
    <w:rsid w:val="00416394"/>
    <w:rsid w:val="00417580"/>
    <w:rsid w:val="00417703"/>
    <w:rsid w:val="00417EFF"/>
    <w:rsid w:val="00420400"/>
    <w:rsid w:val="004204CF"/>
    <w:rsid w:val="004205DA"/>
    <w:rsid w:val="00421CD4"/>
    <w:rsid w:val="00423E78"/>
    <w:rsid w:val="00423EF2"/>
    <w:rsid w:val="004240FC"/>
    <w:rsid w:val="004252EC"/>
    <w:rsid w:val="00426E7D"/>
    <w:rsid w:val="0042776B"/>
    <w:rsid w:val="004307A1"/>
    <w:rsid w:val="00430D39"/>
    <w:rsid w:val="004324F7"/>
    <w:rsid w:val="00432EBF"/>
    <w:rsid w:val="00433C6D"/>
    <w:rsid w:val="00434137"/>
    <w:rsid w:val="00435EBE"/>
    <w:rsid w:val="00435F26"/>
    <w:rsid w:val="00436C4F"/>
    <w:rsid w:val="00437824"/>
    <w:rsid w:val="00437A92"/>
    <w:rsid w:val="00440689"/>
    <w:rsid w:val="00440B33"/>
    <w:rsid w:val="00440C39"/>
    <w:rsid w:val="00442C91"/>
    <w:rsid w:val="00444E9D"/>
    <w:rsid w:val="00445A5F"/>
    <w:rsid w:val="00445E51"/>
    <w:rsid w:val="004465BD"/>
    <w:rsid w:val="00446938"/>
    <w:rsid w:val="00446C60"/>
    <w:rsid w:val="00451CC0"/>
    <w:rsid w:val="0045275E"/>
    <w:rsid w:val="004528FA"/>
    <w:rsid w:val="00452A6C"/>
    <w:rsid w:val="0045330A"/>
    <w:rsid w:val="004535BC"/>
    <w:rsid w:val="004535D1"/>
    <w:rsid w:val="0045576A"/>
    <w:rsid w:val="00455A6C"/>
    <w:rsid w:val="00455D7C"/>
    <w:rsid w:val="0045698C"/>
    <w:rsid w:val="004576C4"/>
    <w:rsid w:val="00460388"/>
    <w:rsid w:val="00461570"/>
    <w:rsid w:val="00461866"/>
    <w:rsid w:val="004619C1"/>
    <w:rsid w:val="00461A44"/>
    <w:rsid w:val="00462189"/>
    <w:rsid w:val="00462D26"/>
    <w:rsid w:val="00463506"/>
    <w:rsid w:val="0046368B"/>
    <w:rsid w:val="0046385A"/>
    <w:rsid w:val="00464039"/>
    <w:rsid w:val="00465828"/>
    <w:rsid w:val="004664DB"/>
    <w:rsid w:val="00466ADA"/>
    <w:rsid w:val="0046737B"/>
    <w:rsid w:val="0046772D"/>
    <w:rsid w:val="00467957"/>
    <w:rsid w:val="004702BB"/>
    <w:rsid w:val="004705F0"/>
    <w:rsid w:val="00470653"/>
    <w:rsid w:val="0047211D"/>
    <w:rsid w:val="0047250E"/>
    <w:rsid w:val="00472B4E"/>
    <w:rsid w:val="0047494B"/>
    <w:rsid w:val="00474F73"/>
    <w:rsid w:val="00474FD5"/>
    <w:rsid w:val="00475D1A"/>
    <w:rsid w:val="00476245"/>
    <w:rsid w:val="004771F0"/>
    <w:rsid w:val="004773C4"/>
    <w:rsid w:val="00477A9B"/>
    <w:rsid w:val="00480CFA"/>
    <w:rsid w:val="00480E9A"/>
    <w:rsid w:val="00481D44"/>
    <w:rsid w:val="00482AE4"/>
    <w:rsid w:val="00482C89"/>
    <w:rsid w:val="00483035"/>
    <w:rsid w:val="004843A6"/>
    <w:rsid w:val="004853BA"/>
    <w:rsid w:val="00485830"/>
    <w:rsid w:val="00485940"/>
    <w:rsid w:val="00486C95"/>
    <w:rsid w:val="0048706F"/>
    <w:rsid w:val="004877C2"/>
    <w:rsid w:val="004904B9"/>
    <w:rsid w:val="004910C3"/>
    <w:rsid w:val="004915AD"/>
    <w:rsid w:val="00491EDC"/>
    <w:rsid w:val="004928E1"/>
    <w:rsid w:val="00492D8D"/>
    <w:rsid w:val="00493098"/>
    <w:rsid w:val="004945D1"/>
    <w:rsid w:val="004956F8"/>
    <w:rsid w:val="00495A3A"/>
    <w:rsid w:val="00496662"/>
    <w:rsid w:val="00496FCF"/>
    <w:rsid w:val="00497457"/>
    <w:rsid w:val="004A1431"/>
    <w:rsid w:val="004A2484"/>
    <w:rsid w:val="004A2D3E"/>
    <w:rsid w:val="004A378E"/>
    <w:rsid w:val="004A3AD6"/>
    <w:rsid w:val="004A4504"/>
    <w:rsid w:val="004A492C"/>
    <w:rsid w:val="004A5A85"/>
    <w:rsid w:val="004A6214"/>
    <w:rsid w:val="004A71D1"/>
    <w:rsid w:val="004A7B21"/>
    <w:rsid w:val="004A7C5B"/>
    <w:rsid w:val="004B07C0"/>
    <w:rsid w:val="004B1845"/>
    <w:rsid w:val="004B2348"/>
    <w:rsid w:val="004B2E01"/>
    <w:rsid w:val="004B2E98"/>
    <w:rsid w:val="004B3813"/>
    <w:rsid w:val="004B3DD0"/>
    <w:rsid w:val="004B41FC"/>
    <w:rsid w:val="004B461E"/>
    <w:rsid w:val="004B5640"/>
    <w:rsid w:val="004B58C8"/>
    <w:rsid w:val="004B5A15"/>
    <w:rsid w:val="004B5A5D"/>
    <w:rsid w:val="004B6084"/>
    <w:rsid w:val="004B6727"/>
    <w:rsid w:val="004B7351"/>
    <w:rsid w:val="004B776B"/>
    <w:rsid w:val="004B791C"/>
    <w:rsid w:val="004BCF29"/>
    <w:rsid w:val="004C0206"/>
    <w:rsid w:val="004C03D0"/>
    <w:rsid w:val="004C1A67"/>
    <w:rsid w:val="004C1BD7"/>
    <w:rsid w:val="004C1BF2"/>
    <w:rsid w:val="004C239C"/>
    <w:rsid w:val="004C31FE"/>
    <w:rsid w:val="004C348B"/>
    <w:rsid w:val="004C357A"/>
    <w:rsid w:val="004C36B9"/>
    <w:rsid w:val="004C4587"/>
    <w:rsid w:val="004C524C"/>
    <w:rsid w:val="004C5EDD"/>
    <w:rsid w:val="004C5FFA"/>
    <w:rsid w:val="004C6512"/>
    <w:rsid w:val="004C691D"/>
    <w:rsid w:val="004C6C07"/>
    <w:rsid w:val="004C6FBF"/>
    <w:rsid w:val="004C7E15"/>
    <w:rsid w:val="004C7EC6"/>
    <w:rsid w:val="004D2CD1"/>
    <w:rsid w:val="004D365C"/>
    <w:rsid w:val="004D43B3"/>
    <w:rsid w:val="004D4BCA"/>
    <w:rsid w:val="004D4FF6"/>
    <w:rsid w:val="004D5632"/>
    <w:rsid w:val="004D5ADD"/>
    <w:rsid w:val="004D66C1"/>
    <w:rsid w:val="004D7777"/>
    <w:rsid w:val="004E05D6"/>
    <w:rsid w:val="004E071E"/>
    <w:rsid w:val="004E0CC3"/>
    <w:rsid w:val="004E195F"/>
    <w:rsid w:val="004E1D7E"/>
    <w:rsid w:val="004E22C7"/>
    <w:rsid w:val="004E3170"/>
    <w:rsid w:val="004E3206"/>
    <w:rsid w:val="004E5691"/>
    <w:rsid w:val="004E692D"/>
    <w:rsid w:val="004E7230"/>
    <w:rsid w:val="004E7D87"/>
    <w:rsid w:val="004F081D"/>
    <w:rsid w:val="004F0EB2"/>
    <w:rsid w:val="004F2553"/>
    <w:rsid w:val="004F25BA"/>
    <w:rsid w:val="004F2DC9"/>
    <w:rsid w:val="004F306A"/>
    <w:rsid w:val="004F38F6"/>
    <w:rsid w:val="004F5503"/>
    <w:rsid w:val="00501554"/>
    <w:rsid w:val="00501F2A"/>
    <w:rsid w:val="00502990"/>
    <w:rsid w:val="00502AFE"/>
    <w:rsid w:val="00502D84"/>
    <w:rsid w:val="00502E64"/>
    <w:rsid w:val="00502F80"/>
    <w:rsid w:val="00503AD7"/>
    <w:rsid w:val="00503BF6"/>
    <w:rsid w:val="00503E89"/>
    <w:rsid w:val="00504AE9"/>
    <w:rsid w:val="00504E0C"/>
    <w:rsid w:val="00504E13"/>
    <w:rsid w:val="00505ACA"/>
    <w:rsid w:val="0050758F"/>
    <w:rsid w:val="005076DF"/>
    <w:rsid w:val="00507CA6"/>
    <w:rsid w:val="0051040F"/>
    <w:rsid w:val="005104C4"/>
    <w:rsid w:val="005109D4"/>
    <w:rsid w:val="00511CAE"/>
    <w:rsid w:val="0051230A"/>
    <w:rsid w:val="005123F7"/>
    <w:rsid w:val="00512FAE"/>
    <w:rsid w:val="00513A86"/>
    <w:rsid w:val="0051416E"/>
    <w:rsid w:val="00514CD7"/>
    <w:rsid w:val="005150F8"/>
    <w:rsid w:val="00515D29"/>
    <w:rsid w:val="005167EC"/>
    <w:rsid w:val="005170DA"/>
    <w:rsid w:val="00517A55"/>
    <w:rsid w:val="00520D6A"/>
    <w:rsid w:val="005210DC"/>
    <w:rsid w:val="00522501"/>
    <w:rsid w:val="00522DB6"/>
    <w:rsid w:val="005237D7"/>
    <w:rsid w:val="00523AF0"/>
    <w:rsid w:val="0052439C"/>
    <w:rsid w:val="0052440E"/>
    <w:rsid w:val="0052604B"/>
    <w:rsid w:val="005260B4"/>
    <w:rsid w:val="005264A7"/>
    <w:rsid w:val="0052666B"/>
    <w:rsid w:val="00526CC8"/>
    <w:rsid w:val="00526FC1"/>
    <w:rsid w:val="0052792D"/>
    <w:rsid w:val="00527D42"/>
    <w:rsid w:val="00531111"/>
    <w:rsid w:val="00531570"/>
    <w:rsid w:val="005319B2"/>
    <w:rsid w:val="00532402"/>
    <w:rsid w:val="00532C74"/>
    <w:rsid w:val="0053319E"/>
    <w:rsid w:val="00533239"/>
    <w:rsid w:val="00533715"/>
    <w:rsid w:val="0053461A"/>
    <w:rsid w:val="00534652"/>
    <w:rsid w:val="00534E2E"/>
    <w:rsid w:val="00535133"/>
    <w:rsid w:val="0053790F"/>
    <w:rsid w:val="0054064C"/>
    <w:rsid w:val="00542BBA"/>
    <w:rsid w:val="00542E99"/>
    <w:rsid w:val="00543484"/>
    <w:rsid w:val="00544552"/>
    <w:rsid w:val="00545130"/>
    <w:rsid w:val="00546B36"/>
    <w:rsid w:val="0054784E"/>
    <w:rsid w:val="00551AD1"/>
    <w:rsid w:val="00551B48"/>
    <w:rsid w:val="00551CE2"/>
    <w:rsid w:val="0055286A"/>
    <w:rsid w:val="005548C2"/>
    <w:rsid w:val="00555745"/>
    <w:rsid w:val="00555A24"/>
    <w:rsid w:val="00555A82"/>
    <w:rsid w:val="0055662E"/>
    <w:rsid w:val="00556D7A"/>
    <w:rsid w:val="00557500"/>
    <w:rsid w:val="0055757E"/>
    <w:rsid w:val="005576E7"/>
    <w:rsid w:val="005577D7"/>
    <w:rsid w:val="00557D4F"/>
    <w:rsid w:val="00557DC4"/>
    <w:rsid w:val="00557ED9"/>
    <w:rsid w:val="0056122E"/>
    <w:rsid w:val="00561522"/>
    <w:rsid w:val="00562212"/>
    <w:rsid w:val="0056244B"/>
    <w:rsid w:val="00563352"/>
    <w:rsid w:val="00563E8F"/>
    <w:rsid w:val="00564480"/>
    <w:rsid w:val="0056484E"/>
    <w:rsid w:val="00564DFE"/>
    <w:rsid w:val="00565999"/>
    <w:rsid w:val="0056749C"/>
    <w:rsid w:val="00567C09"/>
    <w:rsid w:val="00567D8A"/>
    <w:rsid w:val="00570231"/>
    <w:rsid w:val="005714B7"/>
    <w:rsid w:val="00572D2D"/>
    <w:rsid w:val="00573AAC"/>
    <w:rsid w:val="00574E4D"/>
    <w:rsid w:val="005750E9"/>
    <w:rsid w:val="0057565F"/>
    <w:rsid w:val="0057591E"/>
    <w:rsid w:val="00575D17"/>
    <w:rsid w:val="005763AD"/>
    <w:rsid w:val="005764CD"/>
    <w:rsid w:val="0057660E"/>
    <w:rsid w:val="00576781"/>
    <w:rsid w:val="0057703E"/>
    <w:rsid w:val="005777EB"/>
    <w:rsid w:val="00577C4D"/>
    <w:rsid w:val="00580532"/>
    <w:rsid w:val="00580E5E"/>
    <w:rsid w:val="00581932"/>
    <w:rsid w:val="005819CB"/>
    <w:rsid w:val="00582CB7"/>
    <w:rsid w:val="00583002"/>
    <w:rsid w:val="00583B56"/>
    <w:rsid w:val="00583C99"/>
    <w:rsid w:val="0058520D"/>
    <w:rsid w:val="005856E2"/>
    <w:rsid w:val="005870F6"/>
    <w:rsid w:val="0059027E"/>
    <w:rsid w:val="005903BB"/>
    <w:rsid w:val="00590D68"/>
    <w:rsid w:val="00591813"/>
    <w:rsid w:val="00593893"/>
    <w:rsid w:val="00593D0B"/>
    <w:rsid w:val="005945D8"/>
    <w:rsid w:val="00594EC5"/>
    <w:rsid w:val="00595AA6"/>
    <w:rsid w:val="00596342"/>
    <w:rsid w:val="005963BB"/>
    <w:rsid w:val="0059645C"/>
    <w:rsid w:val="00596D37"/>
    <w:rsid w:val="00597EEC"/>
    <w:rsid w:val="005A009C"/>
    <w:rsid w:val="005A1479"/>
    <w:rsid w:val="005A15D2"/>
    <w:rsid w:val="005A241E"/>
    <w:rsid w:val="005A2AF8"/>
    <w:rsid w:val="005A3173"/>
    <w:rsid w:val="005A3223"/>
    <w:rsid w:val="005A3BCF"/>
    <w:rsid w:val="005A3DA3"/>
    <w:rsid w:val="005A4835"/>
    <w:rsid w:val="005A52C4"/>
    <w:rsid w:val="005A5413"/>
    <w:rsid w:val="005A61B1"/>
    <w:rsid w:val="005A63A1"/>
    <w:rsid w:val="005A6576"/>
    <w:rsid w:val="005A6610"/>
    <w:rsid w:val="005A7A61"/>
    <w:rsid w:val="005B00BD"/>
    <w:rsid w:val="005B0486"/>
    <w:rsid w:val="005B1032"/>
    <w:rsid w:val="005B13A0"/>
    <w:rsid w:val="005B1473"/>
    <w:rsid w:val="005B1830"/>
    <w:rsid w:val="005B2138"/>
    <w:rsid w:val="005B32F1"/>
    <w:rsid w:val="005B36FA"/>
    <w:rsid w:val="005B3F6B"/>
    <w:rsid w:val="005B48D3"/>
    <w:rsid w:val="005B59C4"/>
    <w:rsid w:val="005B73F8"/>
    <w:rsid w:val="005B7571"/>
    <w:rsid w:val="005C0D70"/>
    <w:rsid w:val="005C14CB"/>
    <w:rsid w:val="005C1C13"/>
    <w:rsid w:val="005C2216"/>
    <w:rsid w:val="005C2554"/>
    <w:rsid w:val="005C2B7A"/>
    <w:rsid w:val="005C3138"/>
    <w:rsid w:val="005C348A"/>
    <w:rsid w:val="005C41D5"/>
    <w:rsid w:val="005C4ECF"/>
    <w:rsid w:val="005C4F73"/>
    <w:rsid w:val="005C6510"/>
    <w:rsid w:val="005C6D6B"/>
    <w:rsid w:val="005C7431"/>
    <w:rsid w:val="005C7998"/>
    <w:rsid w:val="005D02E2"/>
    <w:rsid w:val="005D03AB"/>
    <w:rsid w:val="005D0CA5"/>
    <w:rsid w:val="005D1DA6"/>
    <w:rsid w:val="005D26D6"/>
    <w:rsid w:val="005D401D"/>
    <w:rsid w:val="005D5017"/>
    <w:rsid w:val="005D5708"/>
    <w:rsid w:val="005D63FA"/>
    <w:rsid w:val="005D643D"/>
    <w:rsid w:val="005D6B59"/>
    <w:rsid w:val="005D73C7"/>
    <w:rsid w:val="005E0050"/>
    <w:rsid w:val="005E0C2D"/>
    <w:rsid w:val="005E0D82"/>
    <w:rsid w:val="005E0F59"/>
    <w:rsid w:val="005E1333"/>
    <w:rsid w:val="005E1F14"/>
    <w:rsid w:val="005E207B"/>
    <w:rsid w:val="005E2A11"/>
    <w:rsid w:val="005E3136"/>
    <w:rsid w:val="005E3A5C"/>
    <w:rsid w:val="005E3CDA"/>
    <w:rsid w:val="005E3E64"/>
    <w:rsid w:val="005E4E30"/>
    <w:rsid w:val="005E507D"/>
    <w:rsid w:val="005E51DC"/>
    <w:rsid w:val="005E7840"/>
    <w:rsid w:val="005F01AC"/>
    <w:rsid w:val="005F0828"/>
    <w:rsid w:val="005F0AD0"/>
    <w:rsid w:val="005F0C3F"/>
    <w:rsid w:val="005F25A4"/>
    <w:rsid w:val="005F3A3D"/>
    <w:rsid w:val="005F3BC8"/>
    <w:rsid w:val="005F40D9"/>
    <w:rsid w:val="005F4190"/>
    <w:rsid w:val="005F4D1E"/>
    <w:rsid w:val="005F4D5D"/>
    <w:rsid w:val="005F564A"/>
    <w:rsid w:val="005F5F78"/>
    <w:rsid w:val="00600A18"/>
    <w:rsid w:val="0060159E"/>
    <w:rsid w:val="00601A91"/>
    <w:rsid w:val="00602063"/>
    <w:rsid w:val="00602BA3"/>
    <w:rsid w:val="00603072"/>
    <w:rsid w:val="00605B63"/>
    <w:rsid w:val="00605F9A"/>
    <w:rsid w:val="00605FC9"/>
    <w:rsid w:val="00606442"/>
    <w:rsid w:val="00606A7B"/>
    <w:rsid w:val="00606EED"/>
    <w:rsid w:val="00607DDB"/>
    <w:rsid w:val="00607F46"/>
    <w:rsid w:val="006104EB"/>
    <w:rsid w:val="00611511"/>
    <w:rsid w:val="00611D0C"/>
    <w:rsid w:val="00611D9E"/>
    <w:rsid w:val="00612526"/>
    <w:rsid w:val="00612A95"/>
    <w:rsid w:val="00612E34"/>
    <w:rsid w:val="006133C8"/>
    <w:rsid w:val="0061344C"/>
    <w:rsid w:val="00614159"/>
    <w:rsid w:val="006158A3"/>
    <w:rsid w:val="00615E14"/>
    <w:rsid w:val="00615F7D"/>
    <w:rsid w:val="00616C5F"/>
    <w:rsid w:val="00616DAC"/>
    <w:rsid w:val="00617725"/>
    <w:rsid w:val="00617C00"/>
    <w:rsid w:val="00621246"/>
    <w:rsid w:val="0062208C"/>
    <w:rsid w:val="006220FD"/>
    <w:rsid w:val="0062316F"/>
    <w:rsid w:val="00623388"/>
    <w:rsid w:val="00623733"/>
    <w:rsid w:val="006239FE"/>
    <w:rsid w:val="00623D6B"/>
    <w:rsid w:val="00624574"/>
    <w:rsid w:val="006256B9"/>
    <w:rsid w:val="00625CEF"/>
    <w:rsid w:val="006263BF"/>
    <w:rsid w:val="0062748A"/>
    <w:rsid w:val="006302AD"/>
    <w:rsid w:val="00630546"/>
    <w:rsid w:val="0063085E"/>
    <w:rsid w:val="00630A2C"/>
    <w:rsid w:val="00632180"/>
    <w:rsid w:val="00632F3B"/>
    <w:rsid w:val="00633D7D"/>
    <w:rsid w:val="00634A75"/>
    <w:rsid w:val="006350DE"/>
    <w:rsid w:val="00635A2B"/>
    <w:rsid w:val="0063682E"/>
    <w:rsid w:val="00636D93"/>
    <w:rsid w:val="00637191"/>
    <w:rsid w:val="0063767E"/>
    <w:rsid w:val="00640088"/>
    <w:rsid w:val="00640A03"/>
    <w:rsid w:val="00640D16"/>
    <w:rsid w:val="0064117B"/>
    <w:rsid w:val="00642672"/>
    <w:rsid w:val="00642DA8"/>
    <w:rsid w:val="006436CD"/>
    <w:rsid w:val="00643CCA"/>
    <w:rsid w:val="00643F24"/>
    <w:rsid w:val="00644C8F"/>
    <w:rsid w:val="00645414"/>
    <w:rsid w:val="00645714"/>
    <w:rsid w:val="006475B8"/>
    <w:rsid w:val="00650914"/>
    <w:rsid w:val="00650976"/>
    <w:rsid w:val="00650C35"/>
    <w:rsid w:val="00651169"/>
    <w:rsid w:val="00651D52"/>
    <w:rsid w:val="0065209F"/>
    <w:rsid w:val="0065228A"/>
    <w:rsid w:val="006522C6"/>
    <w:rsid w:val="00653672"/>
    <w:rsid w:val="00653D69"/>
    <w:rsid w:val="0065472D"/>
    <w:rsid w:val="006552E6"/>
    <w:rsid w:val="00655657"/>
    <w:rsid w:val="00655794"/>
    <w:rsid w:val="006559BB"/>
    <w:rsid w:val="0065641E"/>
    <w:rsid w:val="00656F2F"/>
    <w:rsid w:val="00657C63"/>
    <w:rsid w:val="006618FD"/>
    <w:rsid w:val="00661CBC"/>
    <w:rsid w:val="00662B85"/>
    <w:rsid w:val="006637F4"/>
    <w:rsid w:val="00663EE9"/>
    <w:rsid w:val="00664987"/>
    <w:rsid w:val="00664A4D"/>
    <w:rsid w:val="00664B67"/>
    <w:rsid w:val="006665AB"/>
    <w:rsid w:val="006670B3"/>
    <w:rsid w:val="006670BE"/>
    <w:rsid w:val="00670A76"/>
    <w:rsid w:val="00670D42"/>
    <w:rsid w:val="006711AA"/>
    <w:rsid w:val="00671DDD"/>
    <w:rsid w:val="00672197"/>
    <w:rsid w:val="00672B57"/>
    <w:rsid w:val="00673F1F"/>
    <w:rsid w:val="006744AE"/>
    <w:rsid w:val="00674717"/>
    <w:rsid w:val="00675622"/>
    <w:rsid w:val="00675DEB"/>
    <w:rsid w:val="0067747D"/>
    <w:rsid w:val="006818D5"/>
    <w:rsid w:val="00681B28"/>
    <w:rsid w:val="00681CA4"/>
    <w:rsid w:val="006827B7"/>
    <w:rsid w:val="00683427"/>
    <w:rsid w:val="00683DE5"/>
    <w:rsid w:val="006847D0"/>
    <w:rsid w:val="00685572"/>
    <w:rsid w:val="00685951"/>
    <w:rsid w:val="00686418"/>
    <w:rsid w:val="00686559"/>
    <w:rsid w:val="0069039D"/>
    <w:rsid w:val="006906DB"/>
    <w:rsid w:val="00691282"/>
    <w:rsid w:val="00691900"/>
    <w:rsid w:val="00691A2C"/>
    <w:rsid w:val="00691D49"/>
    <w:rsid w:val="00691E6C"/>
    <w:rsid w:val="00691EEE"/>
    <w:rsid w:val="00693425"/>
    <w:rsid w:val="0069342D"/>
    <w:rsid w:val="00693B50"/>
    <w:rsid w:val="00693DFB"/>
    <w:rsid w:val="006947BA"/>
    <w:rsid w:val="00694FD5"/>
    <w:rsid w:val="0069501D"/>
    <w:rsid w:val="00696129"/>
    <w:rsid w:val="00696BA9"/>
    <w:rsid w:val="00697758"/>
    <w:rsid w:val="00697CF2"/>
    <w:rsid w:val="006A111C"/>
    <w:rsid w:val="006A12A5"/>
    <w:rsid w:val="006A21E5"/>
    <w:rsid w:val="006A2515"/>
    <w:rsid w:val="006A39D8"/>
    <w:rsid w:val="006A40B5"/>
    <w:rsid w:val="006A55BA"/>
    <w:rsid w:val="006A572D"/>
    <w:rsid w:val="006A5E20"/>
    <w:rsid w:val="006A7006"/>
    <w:rsid w:val="006A792C"/>
    <w:rsid w:val="006B05FD"/>
    <w:rsid w:val="006B0D94"/>
    <w:rsid w:val="006B16B6"/>
    <w:rsid w:val="006B325B"/>
    <w:rsid w:val="006B3282"/>
    <w:rsid w:val="006B3313"/>
    <w:rsid w:val="006B485D"/>
    <w:rsid w:val="006B60FC"/>
    <w:rsid w:val="006B7126"/>
    <w:rsid w:val="006B7365"/>
    <w:rsid w:val="006B7DDA"/>
    <w:rsid w:val="006C07C5"/>
    <w:rsid w:val="006C0C45"/>
    <w:rsid w:val="006C2806"/>
    <w:rsid w:val="006C2EB5"/>
    <w:rsid w:val="006C334C"/>
    <w:rsid w:val="006C3562"/>
    <w:rsid w:val="006C4118"/>
    <w:rsid w:val="006C4F8B"/>
    <w:rsid w:val="006C540A"/>
    <w:rsid w:val="006C5F92"/>
    <w:rsid w:val="006C666F"/>
    <w:rsid w:val="006C66B5"/>
    <w:rsid w:val="006C6C10"/>
    <w:rsid w:val="006C6D4D"/>
    <w:rsid w:val="006C708E"/>
    <w:rsid w:val="006C7F22"/>
    <w:rsid w:val="006D14E7"/>
    <w:rsid w:val="006D1640"/>
    <w:rsid w:val="006D1D76"/>
    <w:rsid w:val="006D306A"/>
    <w:rsid w:val="006D3C36"/>
    <w:rsid w:val="006D401B"/>
    <w:rsid w:val="006D4444"/>
    <w:rsid w:val="006D4B7B"/>
    <w:rsid w:val="006D5139"/>
    <w:rsid w:val="006D6493"/>
    <w:rsid w:val="006D6EC7"/>
    <w:rsid w:val="006D7B05"/>
    <w:rsid w:val="006D7B47"/>
    <w:rsid w:val="006D7DBF"/>
    <w:rsid w:val="006D7E45"/>
    <w:rsid w:val="006E1143"/>
    <w:rsid w:val="006E1BCD"/>
    <w:rsid w:val="006E2732"/>
    <w:rsid w:val="006E349C"/>
    <w:rsid w:val="006E3B19"/>
    <w:rsid w:val="006E3CD8"/>
    <w:rsid w:val="006E3E73"/>
    <w:rsid w:val="006E3FC9"/>
    <w:rsid w:val="006E45C4"/>
    <w:rsid w:val="006E546A"/>
    <w:rsid w:val="006E59CD"/>
    <w:rsid w:val="006F00ED"/>
    <w:rsid w:val="006F026F"/>
    <w:rsid w:val="006F09C3"/>
    <w:rsid w:val="006F0A71"/>
    <w:rsid w:val="006F1A2C"/>
    <w:rsid w:val="006F1C6B"/>
    <w:rsid w:val="006F2ECE"/>
    <w:rsid w:val="006F3679"/>
    <w:rsid w:val="006F40C2"/>
    <w:rsid w:val="006F5125"/>
    <w:rsid w:val="006F531B"/>
    <w:rsid w:val="006F5633"/>
    <w:rsid w:val="006F6D41"/>
    <w:rsid w:val="006F6E68"/>
    <w:rsid w:val="006F733D"/>
    <w:rsid w:val="00700372"/>
    <w:rsid w:val="0070049A"/>
    <w:rsid w:val="00700765"/>
    <w:rsid w:val="00701C11"/>
    <w:rsid w:val="0070261C"/>
    <w:rsid w:val="00702959"/>
    <w:rsid w:val="00702B6F"/>
    <w:rsid w:val="007030B4"/>
    <w:rsid w:val="0070320D"/>
    <w:rsid w:val="00703B86"/>
    <w:rsid w:val="00703C71"/>
    <w:rsid w:val="00704069"/>
    <w:rsid w:val="007063B8"/>
    <w:rsid w:val="00706A2F"/>
    <w:rsid w:val="00706B71"/>
    <w:rsid w:val="00706E68"/>
    <w:rsid w:val="0070718E"/>
    <w:rsid w:val="00707E52"/>
    <w:rsid w:val="00710259"/>
    <w:rsid w:val="0071031F"/>
    <w:rsid w:val="00710737"/>
    <w:rsid w:val="00711E46"/>
    <w:rsid w:val="00712FB5"/>
    <w:rsid w:val="0071340B"/>
    <w:rsid w:val="007139F0"/>
    <w:rsid w:val="00713C50"/>
    <w:rsid w:val="0071436D"/>
    <w:rsid w:val="00714468"/>
    <w:rsid w:val="0071508D"/>
    <w:rsid w:val="00715BBB"/>
    <w:rsid w:val="0071657D"/>
    <w:rsid w:val="00716695"/>
    <w:rsid w:val="007174BB"/>
    <w:rsid w:val="0071753C"/>
    <w:rsid w:val="00717CB7"/>
    <w:rsid w:val="00717F97"/>
    <w:rsid w:val="0072025D"/>
    <w:rsid w:val="00720706"/>
    <w:rsid w:val="007208D0"/>
    <w:rsid w:val="00722554"/>
    <w:rsid w:val="0072268A"/>
    <w:rsid w:val="00723328"/>
    <w:rsid w:val="007237DE"/>
    <w:rsid w:val="0072397A"/>
    <w:rsid w:val="0072502E"/>
    <w:rsid w:val="007271A1"/>
    <w:rsid w:val="007277F1"/>
    <w:rsid w:val="00727D66"/>
    <w:rsid w:val="00730D8A"/>
    <w:rsid w:val="00731269"/>
    <w:rsid w:val="0073137C"/>
    <w:rsid w:val="0073242A"/>
    <w:rsid w:val="00732CEE"/>
    <w:rsid w:val="007330F8"/>
    <w:rsid w:val="007338F3"/>
    <w:rsid w:val="007340B9"/>
    <w:rsid w:val="007346C7"/>
    <w:rsid w:val="007348D3"/>
    <w:rsid w:val="007349AE"/>
    <w:rsid w:val="00734ED2"/>
    <w:rsid w:val="007353D3"/>
    <w:rsid w:val="0073570F"/>
    <w:rsid w:val="00736028"/>
    <w:rsid w:val="00736D61"/>
    <w:rsid w:val="00736F5C"/>
    <w:rsid w:val="0073736F"/>
    <w:rsid w:val="0074156B"/>
    <w:rsid w:val="00741619"/>
    <w:rsid w:val="00741A02"/>
    <w:rsid w:val="00742885"/>
    <w:rsid w:val="00743F94"/>
    <w:rsid w:val="007442F6"/>
    <w:rsid w:val="00744FAB"/>
    <w:rsid w:val="00747092"/>
    <w:rsid w:val="007477FF"/>
    <w:rsid w:val="0075219C"/>
    <w:rsid w:val="007526E6"/>
    <w:rsid w:val="00752CDB"/>
    <w:rsid w:val="007546DD"/>
    <w:rsid w:val="00754C18"/>
    <w:rsid w:val="00754DF9"/>
    <w:rsid w:val="00755459"/>
    <w:rsid w:val="007554CE"/>
    <w:rsid w:val="007555E8"/>
    <w:rsid w:val="00755CC5"/>
    <w:rsid w:val="007568D7"/>
    <w:rsid w:val="00756B21"/>
    <w:rsid w:val="00756B57"/>
    <w:rsid w:val="00756F2F"/>
    <w:rsid w:val="007575FC"/>
    <w:rsid w:val="00760686"/>
    <w:rsid w:val="00760C5F"/>
    <w:rsid w:val="0076273E"/>
    <w:rsid w:val="00762862"/>
    <w:rsid w:val="007639BC"/>
    <w:rsid w:val="0076420C"/>
    <w:rsid w:val="00764428"/>
    <w:rsid w:val="007644BB"/>
    <w:rsid w:val="0076709B"/>
    <w:rsid w:val="00770A5A"/>
    <w:rsid w:val="00770C2A"/>
    <w:rsid w:val="00771D07"/>
    <w:rsid w:val="00772649"/>
    <w:rsid w:val="00772F5D"/>
    <w:rsid w:val="00773BE3"/>
    <w:rsid w:val="0077425C"/>
    <w:rsid w:val="007743DD"/>
    <w:rsid w:val="00774E2C"/>
    <w:rsid w:val="0077503C"/>
    <w:rsid w:val="0077518D"/>
    <w:rsid w:val="007753C2"/>
    <w:rsid w:val="00776068"/>
    <w:rsid w:val="00777432"/>
    <w:rsid w:val="00777EC5"/>
    <w:rsid w:val="00780EFA"/>
    <w:rsid w:val="00781771"/>
    <w:rsid w:val="007821C4"/>
    <w:rsid w:val="007838B8"/>
    <w:rsid w:val="00783D91"/>
    <w:rsid w:val="007853E3"/>
    <w:rsid w:val="00785779"/>
    <w:rsid w:val="007858A1"/>
    <w:rsid w:val="0078685A"/>
    <w:rsid w:val="00786C22"/>
    <w:rsid w:val="00787909"/>
    <w:rsid w:val="00787FD8"/>
    <w:rsid w:val="007908C1"/>
    <w:rsid w:val="00790BC1"/>
    <w:rsid w:val="007915BA"/>
    <w:rsid w:val="00791844"/>
    <w:rsid w:val="0079250E"/>
    <w:rsid w:val="007927BD"/>
    <w:rsid w:val="00793CE9"/>
    <w:rsid w:val="00794711"/>
    <w:rsid w:val="00796667"/>
    <w:rsid w:val="00797068"/>
    <w:rsid w:val="00797738"/>
    <w:rsid w:val="007979BD"/>
    <w:rsid w:val="00797F8C"/>
    <w:rsid w:val="007A13B1"/>
    <w:rsid w:val="007A1E17"/>
    <w:rsid w:val="007A3D8E"/>
    <w:rsid w:val="007A467F"/>
    <w:rsid w:val="007A4E50"/>
    <w:rsid w:val="007A574C"/>
    <w:rsid w:val="007A5C88"/>
    <w:rsid w:val="007A6177"/>
    <w:rsid w:val="007A6576"/>
    <w:rsid w:val="007A6A14"/>
    <w:rsid w:val="007A6A2F"/>
    <w:rsid w:val="007A7CB3"/>
    <w:rsid w:val="007B024E"/>
    <w:rsid w:val="007B0EAD"/>
    <w:rsid w:val="007B1901"/>
    <w:rsid w:val="007B3A83"/>
    <w:rsid w:val="007B3BAF"/>
    <w:rsid w:val="007B3DDC"/>
    <w:rsid w:val="007B54EF"/>
    <w:rsid w:val="007B66B0"/>
    <w:rsid w:val="007B670D"/>
    <w:rsid w:val="007B72A6"/>
    <w:rsid w:val="007B77F7"/>
    <w:rsid w:val="007B7CD7"/>
    <w:rsid w:val="007C06D2"/>
    <w:rsid w:val="007C08E0"/>
    <w:rsid w:val="007C0F57"/>
    <w:rsid w:val="007C1388"/>
    <w:rsid w:val="007C1CA9"/>
    <w:rsid w:val="007C2F4B"/>
    <w:rsid w:val="007C40B6"/>
    <w:rsid w:val="007C4EEA"/>
    <w:rsid w:val="007C5975"/>
    <w:rsid w:val="007C5CB2"/>
    <w:rsid w:val="007C616D"/>
    <w:rsid w:val="007C729F"/>
    <w:rsid w:val="007C72AD"/>
    <w:rsid w:val="007C746B"/>
    <w:rsid w:val="007D0EC5"/>
    <w:rsid w:val="007D1A6F"/>
    <w:rsid w:val="007D1F55"/>
    <w:rsid w:val="007D2142"/>
    <w:rsid w:val="007D31C7"/>
    <w:rsid w:val="007D3874"/>
    <w:rsid w:val="007D503D"/>
    <w:rsid w:val="007D59E7"/>
    <w:rsid w:val="007D5F2A"/>
    <w:rsid w:val="007D7B97"/>
    <w:rsid w:val="007E07AC"/>
    <w:rsid w:val="007E0C4C"/>
    <w:rsid w:val="007E1014"/>
    <w:rsid w:val="007E12F8"/>
    <w:rsid w:val="007E14EB"/>
    <w:rsid w:val="007E1673"/>
    <w:rsid w:val="007E1D28"/>
    <w:rsid w:val="007E2571"/>
    <w:rsid w:val="007E4564"/>
    <w:rsid w:val="007E490F"/>
    <w:rsid w:val="007E6533"/>
    <w:rsid w:val="007E673C"/>
    <w:rsid w:val="007F0021"/>
    <w:rsid w:val="007F0765"/>
    <w:rsid w:val="007F0E4E"/>
    <w:rsid w:val="007F1007"/>
    <w:rsid w:val="007F10FE"/>
    <w:rsid w:val="007F2359"/>
    <w:rsid w:val="007F2641"/>
    <w:rsid w:val="007F565B"/>
    <w:rsid w:val="007F5E7C"/>
    <w:rsid w:val="007F60ED"/>
    <w:rsid w:val="007F6731"/>
    <w:rsid w:val="007F7C36"/>
    <w:rsid w:val="007F7F45"/>
    <w:rsid w:val="0080001F"/>
    <w:rsid w:val="00800A0A"/>
    <w:rsid w:val="00800B56"/>
    <w:rsid w:val="00801958"/>
    <w:rsid w:val="0080250B"/>
    <w:rsid w:val="008031EE"/>
    <w:rsid w:val="00803951"/>
    <w:rsid w:val="00803ABE"/>
    <w:rsid w:val="00803C51"/>
    <w:rsid w:val="00804FB8"/>
    <w:rsid w:val="008055AF"/>
    <w:rsid w:val="0080560D"/>
    <w:rsid w:val="008057CD"/>
    <w:rsid w:val="00805C95"/>
    <w:rsid w:val="00806277"/>
    <w:rsid w:val="008066B8"/>
    <w:rsid w:val="00806796"/>
    <w:rsid w:val="00806A73"/>
    <w:rsid w:val="00810167"/>
    <w:rsid w:val="008104D0"/>
    <w:rsid w:val="00810A02"/>
    <w:rsid w:val="00811891"/>
    <w:rsid w:val="00811CC0"/>
    <w:rsid w:val="0081218E"/>
    <w:rsid w:val="00812A20"/>
    <w:rsid w:val="00814276"/>
    <w:rsid w:val="008151D6"/>
    <w:rsid w:val="00816322"/>
    <w:rsid w:val="00820380"/>
    <w:rsid w:val="00820803"/>
    <w:rsid w:val="00820B20"/>
    <w:rsid w:val="00821527"/>
    <w:rsid w:val="00821FF4"/>
    <w:rsid w:val="00822162"/>
    <w:rsid w:val="008225CE"/>
    <w:rsid w:val="00822696"/>
    <w:rsid w:val="00824CE5"/>
    <w:rsid w:val="00825450"/>
    <w:rsid w:val="00825A6C"/>
    <w:rsid w:val="0082617E"/>
    <w:rsid w:val="00826520"/>
    <w:rsid w:val="008268BB"/>
    <w:rsid w:val="00826D22"/>
    <w:rsid w:val="00826F6D"/>
    <w:rsid w:val="00827097"/>
    <w:rsid w:val="00827162"/>
    <w:rsid w:val="00827C07"/>
    <w:rsid w:val="008306F3"/>
    <w:rsid w:val="00830AF9"/>
    <w:rsid w:val="00830E40"/>
    <w:rsid w:val="0083110D"/>
    <w:rsid w:val="00831B44"/>
    <w:rsid w:val="00831B88"/>
    <w:rsid w:val="00831EE6"/>
    <w:rsid w:val="00832D9A"/>
    <w:rsid w:val="00832FD5"/>
    <w:rsid w:val="008331B6"/>
    <w:rsid w:val="00834CE8"/>
    <w:rsid w:val="00834F94"/>
    <w:rsid w:val="00835C62"/>
    <w:rsid w:val="008368A1"/>
    <w:rsid w:val="00837B7F"/>
    <w:rsid w:val="00840D49"/>
    <w:rsid w:val="00840EF7"/>
    <w:rsid w:val="00841BC8"/>
    <w:rsid w:val="00841F1C"/>
    <w:rsid w:val="00844BC4"/>
    <w:rsid w:val="00844C0A"/>
    <w:rsid w:val="00844EB3"/>
    <w:rsid w:val="00844FD0"/>
    <w:rsid w:val="0084577C"/>
    <w:rsid w:val="00845E49"/>
    <w:rsid w:val="00846056"/>
    <w:rsid w:val="00846249"/>
    <w:rsid w:val="0084681F"/>
    <w:rsid w:val="00846E06"/>
    <w:rsid w:val="008474BB"/>
    <w:rsid w:val="00847686"/>
    <w:rsid w:val="008479F4"/>
    <w:rsid w:val="00847D08"/>
    <w:rsid w:val="00847DCC"/>
    <w:rsid w:val="00847EC0"/>
    <w:rsid w:val="0085037E"/>
    <w:rsid w:val="008507F5"/>
    <w:rsid w:val="00852049"/>
    <w:rsid w:val="008522CD"/>
    <w:rsid w:val="008541A8"/>
    <w:rsid w:val="00854259"/>
    <w:rsid w:val="008542E9"/>
    <w:rsid w:val="00854506"/>
    <w:rsid w:val="008555F0"/>
    <w:rsid w:val="00855BD8"/>
    <w:rsid w:val="00855FD6"/>
    <w:rsid w:val="00856848"/>
    <w:rsid w:val="00856ADC"/>
    <w:rsid w:val="00856DDD"/>
    <w:rsid w:val="00856E5B"/>
    <w:rsid w:val="008570BD"/>
    <w:rsid w:val="00860233"/>
    <w:rsid w:val="00860771"/>
    <w:rsid w:val="00860A63"/>
    <w:rsid w:val="008638F4"/>
    <w:rsid w:val="00863E68"/>
    <w:rsid w:val="008647B5"/>
    <w:rsid w:val="00864A11"/>
    <w:rsid w:val="008652EF"/>
    <w:rsid w:val="008675DD"/>
    <w:rsid w:val="00867D64"/>
    <w:rsid w:val="00867D85"/>
    <w:rsid w:val="008720BF"/>
    <w:rsid w:val="00872E8F"/>
    <w:rsid w:val="008732CF"/>
    <w:rsid w:val="0087392A"/>
    <w:rsid w:val="00874133"/>
    <w:rsid w:val="008749B1"/>
    <w:rsid w:val="008752B8"/>
    <w:rsid w:val="00875DCB"/>
    <w:rsid w:val="00875EAE"/>
    <w:rsid w:val="00876FBF"/>
    <w:rsid w:val="0087755A"/>
    <w:rsid w:val="00880E78"/>
    <w:rsid w:val="00881686"/>
    <w:rsid w:val="00881BF6"/>
    <w:rsid w:val="00882085"/>
    <w:rsid w:val="00882584"/>
    <w:rsid w:val="00883188"/>
    <w:rsid w:val="008841B8"/>
    <w:rsid w:val="00884A0C"/>
    <w:rsid w:val="00884A14"/>
    <w:rsid w:val="00884F77"/>
    <w:rsid w:val="00885507"/>
    <w:rsid w:val="008858B6"/>
    <w:rsid w:val="00886ACA"/>
    <w:rsid w:val="00886B01"/>
    <w:rsid w:val="00887292"/>
    <w:rsid w:val="008878DC"/>
    <w:rsid w:val="0088798C"/>
    <w:rsid w:val="0089031E"/>
    <w:rsid w:val="0089109A"/>
    <w:rsid w:val="0089120F"/>
    <w:rsid w:val="00891A16"/>
    <w:rsid w:val="00892A94"/>
    <w:rsid w:val="00892CE1"/>
    <w:rsid w:val="00893011"/>
    <w:rsid w:val="00893D5C"/>
    <w:rsid w:val="00894394"/>
    <w:rsid w:val="0089460B"/>
    <w:rsid w:val="00894728"/>
    <w:rsid w:val="00897D58"/>
    <w:rsid w:val="00897F22"/>
    <w:rsid w:val="008A02A3"/>
    <w:rsid w:val="008A0A6A"/>
    <w:rsid w:val="008A0B39"/>
    <w:rsid w:val="008A14FA"/>
    <w:rsid w:val="008A154B"/>
    <w:rsid w:val="008A17A3"/>
    <w:rsid w:val="008A1956"/>
    <w:rsid w:val="008A1E85"/>
    <w:rsid w:val="008A2419"/>
    <w:rsid w:val="008A279E"/>
    <w:rsid w:val="008A379E"/>
    <w:rsid w:val="008A41AC"/>
    <w:rsid w:val="008A4937"/>
    <w:rsid w:val="008A4DE2"/>
    <w:rsid w:val="008A50F1"/>
    <w:rsid w:val="008A59D9"/>
    <w:rsid w:val="008A643E"/>
    <w:rsid w:val="008A6819"/>
    <w:rsid w:val="008A6A14"/>
    <w:rsid w:val="008A6FB5"/>
    <w:rsid w:val="008A7142"/>
    <w:rsid w:val="008A773D"/>
    <w:rsid w:val="008A7FEB"/>
    <w:rsid w:val="008B007A"/>
    <w:rsid w:val="008B0C61"/>
    <w:rsid w:val="008B1423"/>
    <w:rsid w:val="008B2EC0"/>
    <w:rsid w:val="008B3510"/>
    <w:rsid w:val="008B3EF0"/>
    <w:rsid w:val="008B58F1"/>
    <w:rsid w:val="008B5E8E"/>
    <w:rsid w:val="008B6DCF"/>
    <w:rsid w:val="008B7086"/>
    <w:rsid w:val="008B70D3"/>
    <w:rsid w:val="008B7848"/>
    <w:rsid w:val="008C1374"/>
    <w:rsid w:val="008C2C94"/>
    <w:rsid w:val="008C3024"/>
    <w:rsid w:val="008C3449"/>
    <w:rsid w:val="008C3896"/>
    <w:rsid w:val="008C38B7"/>
    <w:rsid w:val="008C4823"/>
    <w:rsid w:val="008C4D49"/>
    <w:rsid w:val="008C53B6"/>
    <w:rsid w:val="008C5F0A"/>
    <w:rsid w:val="008C7223"/>
    <w:rsid w:val="008D0531"/>
    <w:rsid w:val="008D0945"/>
    <w:rsid w:val="008D0B0B"/>
    <w:rsid w:val="008D1409"/>
    <w:rsid w:val="008D15CC"/>
    <w:rsid w:val="008D1729"/>
    <w:rsid w:val="008D1B5C"/>
    <w:rsid w:val="008D3C82"/>
    <w:rsid w:val="008D41F3"/>
    <w:rsid w:val="008D447E"/>
    <w:rsid w:val="008D65B7"/>
    <w:rsid w:val="008D6ACF"/>
    <w:rsid w:val="008D74DD"/>
    <w:rsid w:val="008D784D"/>
    <w:rsid w:val="008D7A41"/>
    <w:rsid w:val="008D7C90"/>
    <w:rsid w:val="008E0318"/>
    <w:rsid w:val="008E039B"/>
    <w:rsid w:val="008E0E06"/>
    <w:rsid w:val="008E219D"/>
    <w:rsid w:val="008E2804"/>
    <w:rsid w:val="008E2C72"/>
    <w:rsid w:val="008E3680"/>
    <w:rsid w:val="008E42A8"/>
    <w:rsid w:val="008E4707"/>
    <w:rsid w:val="008E4F87"/>
    <w:rsid w:val="008E5870"/>
    <w:rsid w:val="008E7454"/>
    <w:rsid w:val="008E77E4"/>
    <w:rsid w:val="008E7EBF"/>
    <w:rsid w:val="008F0213"/>
    <w:rsid w:val="008F07ED"/>
    <w:rsid w:val="008F0ABC"/>
    <w:rsid w:val="008F11F8"/>
    <w:rsid w:val="008F1202"/>
    <w:rsid w:val="008F1434"/>
    <w:rsid w:val="008F24D1"/>
    <w:rsid w:val="008F2BB9"/>
    <w:rsid w:val="008F385E"/>
    <w:rsid w:val="008F3D6A"/>
    <w:rsid w:val="008F3E2B"/>
    <w:rsid w:val="008F4C4F"/>
    <w:rsid w:val="008F54C3"/>
    <w:rsid w:val="008F7355"/>
    <w:rsid w:val="009023DC"/>
    <w:rsid w:val="009027C5"/>
    <w:rsid w:val="00903580"/>
    <w:rsid w:val="00904413"/>
    <w:rsid w:val="00904A50"/>
    <w:rsid w:val="009058B2"/>
    <w:rsid w:val="00905CBA"/>
    <w:rsid w:val="009067B7"/>
    <w:rsid w:val="00906E7A"/>
    <w:rsid w:val="00906E7F"/>
    <w:rsid w:val="0090775A"/>
    <w:rsid w:val="00907DFD"/>
    <w:rsid w:val="00910E13"/>
    <w:rsid w:val="00912D8C"/>
    <w:rsid w:val="0091319A"/>
    <w:rsid w:val="00913C99"/>
    <w:rsid w:val="00913EF8"/>
    <w:rsid w:val="00913F38"/>
    <w:rsid w:val="009154BA"/>
    <w:rsid w:val="00916DC3"/>
    <w:rsid w:val="009174E9"/>
    <w:rsid w:val="00917D69"/>
    <w:rsid w:val="00920658"/>
    <w:rsid w:val="00920B6D"/>
    <w:rsid w:val="00926560"/>
    <w:rsid w:val="00926B15"/>
    <w:rsid w:val="00927D1F"/>
    <w:rsid w:val="00930291"/>
    <w:rsid w:val="009304E1"/>
    <w:rsid w:val="00930937"/>
    <w:rsid w:val="00931019"/>
    <w:rsid w:val="0093136C"/>
    <w:rsid w:val="009324A6"/>
    <w:rsid w:val="00932794"/>
    <w:rsid w:val="00933B7D"/>
    <w:rsid w:val="00933E6C"/>
    <w:rsid w:val="0093496D"/>
    <w:rsid w:val="00934CFC"/>
    <w:rsid w:val="009350C0"/>
    <w:rsid w:val="00935A6E"/>
    <w:rsid w:val="00936332"/>
    <w:rsid w:val="009366EB"/>
    <w:rsid w:val="00937958"/>
    <w:rsid w:val="00940529"/>
    <w:rsid w:val="009406E5"/>
    <w:rsid w:val="00940DE9"/>
    <w:rsid w:val="00940FCF"/>
    <w:rsid w:val="00941322"/>
    <w:rsid w:val="00941602"/>
    <w:rsid w:val="00942006"/>
    <w:rsid w:val="00942160"/>
    <w:rsid w:val="00942465"/>
    <w:rsid w:val="00942618"/>
    <w:rsid w:val="00942C10"/>
    <w:rsid w:val="00943307"/>
    <w:rsid w:val="0094470F"/>
    <w:rsid w:val="009447E5"/>
    <w:rsid w:val="009448AE"/>
    <w:rsid w:val="00944F27"/>
    <w:rsid w:val="009468B1"/>
    <w:rsid w:val="00946921"/>
    <w:rsid w:val="00946936"/>
    <w:rsid w:val="00947343"/>
    <w:rsid w:val="00950102"/>
    <w:rsid w:val="009502B9"/>
    <w:rsid w:val="00950D5E"/>
    <w:rsid w:val="00950E4E"/>
    <w:rsid w:val="0095146F"/>
    <w:rsid w:val="00951EB6"/>
    <w:rsid w:val="00951F2D"/>
    <w:rsid w:val="00952839"/>
    <w:rsid w:val="0095344C"/>
    <w:rsid w:val="009534C7"/>
    <w:rsid w:val="009549C4"/>
    <w:rsid w:val="00954EF1"/>
    <w:rsid w:val="009550C8"/>
    <w:rsid w:val="009550D1"/>
    <w:rsid w:val="00955DAF"/>
    <w:rsid w:val="00957944"/>
    <w:rsid w:val="00957AEE"/>
    <w:rsid w:val="0096025E"/>
    <w:rsid w:val="009602C5"/>
    <w:rsid w:val="0096103A"/>
    <w:rsid w:val="00962223"/>
    <w:rsid w:val="0096252B"/>
    <w:rsid w:val="009644D9"/>
    <w:rsid w:val="00964A9F"/>
    <w:rsid w:val="00965AB0"/>
    <w:rsid w:val="00966182"/>
    <w:rsid w:val="00966D0D"/>
    <w:rsid w:val="0096732B"/>
    <w:rsid w:val="009676AB"/>
    <w:rsid w:val="00967732"/>
    <w:rsid w:val="0096783C"/>
    <w:rsid w:val="00967CDE"/>
    <w:rsid w:val="00970023"/>
    <w:rsid w:val="00971432"/>
    <w:rsid w:val="009722B3"/>
    <w:rsid w:val="0097235B"/>
    <w:rsid w:val="0097344E"/>
    <w:rsid w:val="00973E24"/>
    <w:rsid w:val="00974C21"/>
    <w:rsid w:val="00974D5F"/>
    <w:rsid w:val="00975948"/>
    <w:rsid w:val="00975D16"/>
    <w:rsid w:val="00975D4F"/>
    <w:rsid w:val="009772FD"/>
    <w:rsid w:val="00977BF3"/>
    <w:rsid w:val="00977FF3"/>
    <w:rsid w:val="009803E4"/>
    <w:rsid w:val="00980B0E"/>
    <w:rsid w:val="00981981"/>
    <w:rsid w:val="00982B39"/>
    <w:rsid w:val="009832C0"/>
    <w:rsid w:val="009836A3"/>
    <w:rsid w:val="00983AE8"/>
    <w:rsid w:val="00983F0E"/>
    <w:rsid w:val="00984C24"/>
    <w:rsid w:val="00984C58"/>
    <w:rsid w:val="0098532E"/>
    <w:rsid w:val="009855A8"/>
    <w:rsid w:val="00985CBE"/>
    <w:rsid w:val="00985D1A"/>
    <w:rsid w:val="009861DB"/>
    <w:rsid w:val="00986FE8"/>
    <w:rsid w:val="00990869"/>
    <w:rsid w:val="00990CF8"/>
    <w:rsid w:val="00991318"/>
    <w:rsid w:val="009913F4"/>
    <w:rsid w:val="00991782"/>
    <w:rsid w:val="009937F7"/>
    <w:rsid w:val="0099465B"/>
    <w:rsid w:val="009946FA"/>
    <w:rsid w:val="009948C2"/>
    <w:rsid w:val="009951A1"/>
    <w:rsid w:val="00996E13"/>
    <w:rsid w:val="00997929"/>
    <w:rsid w:val="00997A44"/>
    <w:rsid w:val="009A03F2"/>
    <w:rsid w:val="009A0CDD"/>
    <w:rsid w:val="009A2D96"/>
    <w:rsid w:val="009A3168"/>
    <w:rsid w:val="009A4621"/>
    <w:rsid w:val="009A4BDF"/>
    <w:rsid w:val="009A5D04"/>
    <w:rsid w:val="009A61CA"/>
    <w:rsid w:val="009A7984"/>
    <w:rsid w:val="009B0062"/>
    <w:rsid w:val="009B0C64"/>
    <w:rsid w:val="009B0F67"/>
    <w:rsid w:val="009B1DA9"/>
    <w:rsid w:val="009B208A"/>
    <w:rsid w:val="009B2756"/>
    <w:rsid w:val="009B36CB"/>
    <w:rsid w:val="009B3D56"/>
    <w:rsid w:val="009B3F8C"/>
    <w:rsid w:val="009B42D8"/>
    <w:rsid w:val="009B533B"/>
    <w:rsid w:val="009B546B"/>
    <w:rsid w:val="009B5E97"/>
    <w:rsid w:val="009B66CD"/>
    <w:rsid w:val="009C0532"/>
    <w:rsid w:val="009C0F53"/>
    <w:rsid w:val="009C26AA"/>
    <w:rsid w:val="009C2D67"/>
    <w:rsid w:val="009C3EE6"/>
    <w:rsid w:val="009C5C93"/>
    <w:rsid w:val="009C63B1"/>
    <w:rsid w:val="009C703C"/>
    <w:rsid w:val="009C73EE"/>
    <w:rsid w:val="009D0C29"/>
    <w:rsid w:val="009D206E"/>
    <w:rsid w:val="009D27D0"/>
    <w:rsid w:val="009D3CAA"/>
    <w:rsid w:val="009D507A"/>
    <w:rsid w:val="009D6532"/>
    <w:rsid w:val="009D6BF4"/>
    <w:rsid w:val="009D6CD3"/>
    <w:rsid w:val="009D71FD"/>
    <w:rsid w:val="009D73C1"/>
    <w:rsid w:val="009D76DA"/>
    <w:rsid w:val="009E0253"/>
    <w:rsid w:val="009E06F0"/>
    <w:rsid w:val="009E0755"/>
    <w:rsid w:val="009E0CCC"/>
    <w:rsid w:val="009E10AD"/>
    <w:rsid w:val="009E1768"/>
    <w:rsid w:val="009E18F3"/>
    <w:rsid w:val="009E2588"/>
    <w:rsid w:val="009E2E8E"/>
    <w:rsid w:val="009E346B"/>
    <w:rsid w:val="009E40E1"/>
    <w:rsid w:val="009E4B4C"/>
    <w:rsid w:val="009E570E"/>
    <w:rsid w:val="009E5B31"/>
    <w:rsid w:val="009E60FC"/>
    <w:rsid w:val="009E7A3A"/>
    <w:rsid w:val="009F02B6"/>
    <w:rsid w:val="009F0490"/>
    <w:rsid w:val="009F0A50"/>
    <w:rsid w:val="009F0EFA"/>
    <w:rsid w:val="009F1E73"/>
    <w:rsid w:val="009F2647"/>
    <w:rsid w:val="009F3FB7"/>
    <w:rsid w:val="009F49D7"/>
    <w:rsid w:val="009F4B6A"/>
    <w:rsid w:val="009F4E46"/>
    <w:rsid w:val="009F52BA"/>
    <w:rsid w:val="009F5356"/>
    <w:rsid w:val="009F549E"/>
    <w:rsid w:val="009F5B65"/>
    <w:rsid w:val="009F5F2E"/>
    <w:rsid w:val="009F68D2"/>
    <w:rsid w:val="009F778C"/>
    <w:rsid w:val="009F7DB2"/>
    <w:rsid w:val="00A005E9"/>
    <w:rsid w:val="00A01432"/>
    <w:rsid w:val="00A0167A"/>
    <w:rsid w:val="00A01980"/>
    <w:rsid w:val="00A047C6"/>
    <w:rsid w:val="00A06225"/>
    <w:rsid w:val="00A066E6"/>
    <w:rsid w:val="00A070F2"/>
    <w:rsid w:val="00A075C8"/>
    <w:rsid w:val="00A07955"/>
    <w:rsid w:val="00A110D1"/>
    <w:rsid w:val="00A1111B"/>
    <w:rsid w:val="00A113C4"/>
    <w:rsid w:val="00A12587"/>
    <w:rsid w:val="00A127ED"/>
    <w:rsid w:val="00A128E6"/>
    <w:rsid w:val="00A12B79"/>
    <w:rsid w:val="00A144D3"/>
    <w:rsid w:val="00A14E7D"/>
    <w:rsid w:val="00A17EA7"/>
    <w:rsid w:val="00A2003B"/>
    <w:rsid w:val="00A20737"/>
    <w:rsid w:val="00A21D7D"/>
    <w:rsid w:val="00A22AC3"/>
    <w:rsid w:val="00A2351E"/>
    <w:rsid w:val="00A237A6"/>
    <w:rsid w:val="00A23D4D"/>
    <w:rsid w:val="00A23F3F"/>
    <w:rsid w:val="00A24067"/>
    <w:rsid w:val="00A24A4B"/>
    <w:rsid w:val="00A260AF"/>
    <w:rsid w:val="00A26C2A"/>
    <w:rsid w:val="00A2744D"/>
    <w:rsid w:val="00A27D4C"/>
    <w:rsid w:val="00A27FE3"/>
    <w:rsid w:val="00A306F6"/>
    <w:rsid w:val="00A30D16"/>
    <w:rsid w:val="00A3144B"/>
    <w:rsid w:val="00A32C34"/>
    <w:rsid w:val="00A3307A"/>
    <w:rsid w:val="00A33EB7"/>
    <w:rsid w:val="00A34E6C"/>
    <w:rsid w:val="00A34FD0"/>
    <w:rsid w:val="00A358C8"/>
    <w:rsid w:val="00A361EA"/>
    <w:rsid w:val="00A36398"/>
    <w:rsid w:val="00A36C83"/>
    <w:rsid w:val="00A36CC1"/>
    <w:rsid w:val="00A37C8D"/>
    <w:rsid w:val="00A4020E"/>
    <w:rsid w:val="00A40482"/>
    <w:rsid w:val="00A40493"/>
    <w:rsid w:val="00A408E8"/>
    <w:rsid w:val="00A40AB0"/>
    <w:rsid w:val="00A40FB5"/>
    <w:rsid w:val="00A4114A"/>
    <w:rsid w:val="00A41311"/>
    <w:rsid w:val="00A413F9"/>
    <w:rsid w:val="00A425FA"/>
    <w:rsid w:val="00A42826"/>
    <w:rsid w:val="00A429B3"/>
    <w:rsid w:val="00A44276"/>
    <w:rsid w:val="00A44B18"/>
    <w:rsid w:val="00A44EC1"/>
    <w:rsid w:val="00A45B54"/>
    <w:rsid w:val="00A467FB"/>
    <w:rsid w:val="00A47491"/>
    <w:rsid w:val="00A47523"/>
    <w:rsid w:val="00A510E4"/>
    <w:rsid w:val="00A5188A"/>
    <w:rsid w:val="00A51F8C"/>
    <w:rsid w:val="00A52533"/>
    <w:rsid w:val="00A526F7"/>
    <w:rsid w:val="00A5273B"/>
    <w:rsid w:val="00A527C3"/>
    <w:rsid w:val="00A53A33"/>
    <w:rsid w:val="00A53A9D"/>
    <w:rsid w:val="00A55FBE"/>
    <w:rsid w:val="00A55FEE"/>
    <w:rsid w:val="00A56304"/>
    <w:rsid w:val="00A57422"/>
    <w:rsid w:val="00A6247A"/>
    <w:rsid w:val="00A6252A"/>
    <w:rsid w:val="00A62C1A"/>
    <w:rsid w:val="00A63CA2"/>
    <w:rsid w:val="00A64012"/>
    <w:rsid w:val="00A6426D"/>
    <w:rsid w:val="00A6439B"/>
    <w:rsid w:val="00A64B9D"/>
    <w:rsid w:val="00A65622"/>
    <w:rsid w:val="00A665C1"/>
    <w:rsid w:val="00A673A4"/>
    <w:rsid w:val="00A674BF"/>
    <w:rsid w:val="00A67BE1"/>
    <w:rsid w:val="00A7001A"/>
    <w:rsid w:val="00A70622"/>
    <w:rsid w:val="00A70977"/>
    <w:rsid w:val="00A70D58"/>
    <w:rsid w:val="00A71233"/>
    <w:rsid w:val="00A714B6"/>
    <w:rsid w:val="00A72DFB"/>
    <w:rsid w:val="00A7349D"/>
    <w:rsid w:val="00A744F9"/>
    <w:rsid w:val="00A74635"/>
    <w:rsid w:val="00A752F8"/>
    <w:rsid w:val="00A753A1"/>
    <w:rsid w:val="00A769EA"/>
    <w:rsid w:val="00A77613"/>
    <w:rsid w:val="00A77B87"/>
    <w:rsid w:val="00A77E01"/>
    <w:rsid w:val="00A801AD"/>
    <w:rsid w:val="00A80D51"/>
    <w:rsid w:val="00A810B0"/>
    <w:rsid w:val="00A81851"/>
    <w:rsid w:val="00A8390C"/>
    <w:rsid w:val="00A85834"/>
    <w:rsid w:val="00A85855"/>
    <w:rsid w:val="00A86AE0"/>
    <w:rsid w:val="00A9061E"/>
    <w:rsid w:val="00A912B0"/>
    <w:rsid w:val="00A91362"/>
    <w:rsid w:val="00A9151C"/>
    <w:rsid w:val="00A91983"/>
    <w:rsid w:val="00A919C6"/>
    <w:rsid w:val="00A92021"/>
    <w:rsid w:val="00A928BD"/>
    <w:rsid w:val="00A92D61"/>
    <w:rsid w:val="00A92EAA"/>
    <w:rsid w:val="00A936B6"/>
    <w:rsid w:val="00A948EC"/>
    <w:rsid w:val="00A953DB"/>
    <w:rsid w:val="00A97DE9"/>
    <w:rsid w:val="00AA01BB"/>
    <w:rsid w:val="00AA0680"/>
    <w:rsid w:val="00AA12CD"/>
    <w:rsid w:val="00AA148D"/>
    <w:rsid w:val="00AA1564"/>
    <w:rsid w:val="00AA195F"/>
    <w:rsid w:val="00AA24E9"/>
    <w:rsid w:val="00AA2B23"/>
    <w:rsid w:val="00AA4877"/>
    <w:rsid w:val="00AA4D1C"/>
    <w:rsid w:val="00AA52D7"/>
    <w:rsid w:val="00AA52FD"/>
    <w:rsid w:val="00AA592E"/>
    <w:rsid w:val="00AA5D40"/>
    <w:rsid w:val="00AA6B8F"/>
    <w:rsid w:val="00AA7006"/>
    <w:rsid w:val="00AA7BCC"/>
    <w:rsid w:val="00AB0338"/>
    <w:rsid w:val="00AB0E7F"/>
    <w:rsid w:val="00AB3138"/>
    <w:rsid w:val="00AB3502"/>
    <w:rsid w:val="00AB3A44"/>
    <w:rsid w:val="00AB3FDF"/>
    <w:rsid w:val="00AB434F"/>
    <w:rsid w:val="00AB4684"/>
    <w:rsid w:val="00AB4B07"/>
    <w:rsid w:val="00AB5856"/>
    <w:rsid w:val="00AB6159"/>
    <w:rsid w:val="00AB6240"/>
    <w:rsid w:val="00AB6A80"/>
    <w:rsid w:val="00AB7394"/>
    <w:rsid w:val="00AB744B"/>
    <w:rsid w:val="00AB7F02"/>
    <w:rsid w:val="00AC081D"/>
    <w:rsid w:val="00AC0C6F"/>
    <w:rsid w:val="00AC1266"/>
    <w:rsid w:val="00AC193C"/>
    <w:rsid w:val="00AC2502"/>
    <w:rsid w:val="00AC2F56"/>
    <w:rsid w:val="00AC30C1"/>
    <w:rsid w:val="00AC411D"/>
    <w:rsid w:val="00AC44B4"/>
    <w:rsid w:val="00AC46DA"/>
    <w:rsid w:val="00AC4BB3"/>
    <w:rsid w:val="00AC4DE5"/>
    <w:rsid w:val="00AC5206"/>
    <w:rsid w:val="00AC55F4"/>
    <w:rsid w:val="00AC5E6F"/>
    <w:rsid w:val="00AC6B25"/>
    <w:rsid w:val="00AC721D"/>
    <w:rsid w:val="00AD0085"/>
    <w:rsid w:val="00AD095B"/>
    <w:rsid w:val="00AD1841"/>
    <w:rsid w:val="00AD3106"/>
    <w:rsid w:val="00AD35D2"/>
    <w:rsid w:val="00AD36CC"/>
    <w:rsid w:val="00AD4322"/>
    <w:rsid w:val="00AD6719"/>
    <w:rsid w:val="00AE11A5"/>
    <w:rsid w:val="00AE11B2"/>
    <w:rsid w:val="00AE13E2"/>
    <w:rsid w:val="00AE22D3"/>
    <w:rsid w:val="00AE2AA5"/>
    <w:rsid w:val="00AE377D"/>
    <w:rsid w:val="00AE418B"/>
    <w:rsid w:val="00AE47EA"/>
    <w:rsid w:val="00AE5987"/>
    <w:rsid w:val="00AE5A49"/>
    <w:rsid w:val="00AE62AB"/>
    <w:rsid w:val="00AE65DE"/>
    <w:rsid w:val="00AE698F"/>
    <w:rsid w:val="00AF03E6"/>
    <w:rsid w:val="00AF0D52"/>
    <w:rsid w:val="00AF11D8"/>
    <w:rsid w:val="00AF1437"/>
    <w:rsid w:val="00AF1FE6"/>
    <w:rsid w:val="00AF5201"/>
    <w:rsid w:val="00AF5202"/>
    <w:rsid w:val="00AF55CD"/>
    <w:rsid w:val="00AF5867"/>
    <w:rsid w:val="00AF62DF"/>
    <w:rsid w:val="00AF68CC"/>
    <w:rsid w:val="00AF68DF"/>
    <w:rsid w:val="00AF6A03"/>
    <w:rsid w:val="00AF70D7"/>
    <w:rsid w:val="00B00086"/>
    <w:rsid w:val="00B00CD0"/>
    <w:rsid w:val="00B00E7F"/>
    <w:rsid w:val="00B015FD"/>
    <w:rsid w:val="00B01FF4"/>
    <w:rsid w:val="00B0326D"/>
    <w:rsid w:val="00B0478C"/>
    <w:rsid w:val="00B055F7"/>
    <w:rsid w:val="00B05CF7"/>
    <w:rsid w:val="00B06037"/>
    <w:rsid w:val="00B06158"/>
    <w:rsid w:val="00B06478"/>
    <w:rsid w:val="00B0672E"/>
    <w:rsid w:val="00B07533"/>
    <w:rsid w:val="00B07868"/>
    <w:rsid w:val="00B07A8B"/>
    <w:rsid w:val="00B07C9B"/>
    <w:rsid w:val="00B07CFB"/>
    <w:rsid w:val="00B1059E"/>
    <w:rsid w:val="00B11DFB"/>
    <w:rsid w:val="00B12226"/>
    <w:rsid w:val="00B125C5"/>
    <w:rsid w:val="00B13AD1"/>
    <w:rsid w:val="00B14536"/>
    <w:rsid w:val="00B149BA"/>
    <w:rsid w:val="00B14A36"/>
    <w:rsid w:val="00B16273"/>
    <w:rsid w:val="00B164B4"/>
    <w:rsid w:val="00B170A5"/>
    <w:rsid w:val="00B1725F"/>
    <w:rsid w:val="00B176C8"/>
    <w:rsid w:val="00B17DA0"/>
    <w:rsid w:val="00B17EE5"/>
    <w:rsid w:val="00B20170"/>
    <w:rsid w:val="00B205AA"/>
    <w:rsid w:val="00B20BA7"/>
    <w:rsid w:val="00B2100A"/>
    <w:rsid w:val="00B210A2"/>
    <w:rsid w:val="00B21A91"/>
    <w:rsid w:val="00B22C25"/>
    <w:rsid w:val="00B22E84"/>
    <w:rsid w:val="00B233AD"/>
    <w:rsid w:val="00B23E25"/>
    <w:rsid w:val="00B2431F"/>
    <w:rsid w:val="00B25F75"/>
    <w:rsid w:val="00B26106"/>
    <w:rsid w:val="00B26B3F"/>
    <w:rsid w:val="00B27304"/>
    <w:rsid w:val="00B2778F"/>
    <w:rsid w:val="00B316D0"/>
    <w:rsid w:val="00B327E2"/>
    <w:rsid w:val="00B32E6C"/>
    <w:rsid w:val="00B33083"/>
    <w:rsid w:val="00B3325D"/>
    <w:rsid w:val="00B33635"/>
    <w:rsid w:val="00B35E6F"/>
    <w:rsid w:val="00B35FA4"/>
    <w:rsid w:val="00B36776"/>
    <w:rsid w:val="00B37A23"/>
    <w:rsid w:val="00B37CF8"/>
    <w:rsid w:val="00B407D8"/>
    <w:rsid w:val="00B4157B"/>
    <w:rsid w:val="00B41DB6"/>
    <w:rsid w:val="00B42AF4"/>
    <w:rsid w:val="00B42DF6"/>
    <w:rsid w:val="00B43E90"/>
    <w:rsid w:val="00B44308"/>
    <w:rsid w:val="00B44757"/>
    <w:rsid w:val="00B4568E"/>
    <w:rsid w:val="00B45722"/>
    <w:rsid w:val="00B460F4"/>
    <w:rsid w:val="00B46279"/>
    <w:rsid w:val="00B467DC"/>
    <w:rsid w:val="00B47A88"/>
    <w:rsid w:val="00B500F7"/>
    <w:rsid w:val="00B505B7"/>
    <w:rsid w:val="00B51B1E"/>
    <w:rsid w:val="00B51E09"/>
    <w:rsid w:val="00B52303"/>
    <w:rsid w:val="00B53107"/>
    <w:rsid w:val="00B5392A"/>
    <w:rsid w:val="00B539EF"/>
    <w:rsid w:val="00B55274"/>
    <w:rsid w:val="00B552A7"/>
    <w:rsid w:val="00B55425"/>
    <w:rsid w:val="00B55EA1"/>
    <w:rsid w:val="00B56118"/>
    <w:rsid w:val="00B566E1"/>
    <w:rsid w:val="00B56AFB"/>
    <w:rsid w:val="00B572BE"/>
    <w:rsid w:val="00B602F6"/>
    <w:rsid w:val="00B60836"/>
    <w:rsid w:val="00B60ED3"/>
    <w:rsid w:val="00B61A32"/>
    <w:rsid w:val="00B6210C"/>
    <w:rsid w:val="00B62EC1"/>
    <w:rsid w:val="00B63251"/>
    <w:rsid w:val="00B635B6"/>
    <w:rsid w:val="00B64A96"/>
    <w:rsid w:val="00B6533B"/>
    <w:rsid w:val="00B65CE4"/>
    <w:rsid w:val="00B65D12"/>
    <w:rsid w:val="00B66042"/>
    <w:rsid w:val="00B67021"/>
    <w:rsid w:val="00B674B6"/>
    <w:rsid w:val="00B6773F"/>
    <w:rsid w:val="00B707AE"/>
    <w:rsid w:val="00B70EB3"/>
    <w:rsid w:val="00B7188F"/>
    <w:rsid w:val="00B72708"/>
    <w:rsid w:val="00B72906"/>
    <w:rsid w:val="00B7301D"/>
    <w:rsid w:val="00B7440E"/>
    <w:rsid w:val="00B74F48"/>
    <w:rsid w:val="00B7525E"/>
    <w:rsid w:val="00B75433"/>
    <w:rsid w:val="00B75F70"/>
    <w:rsid w:val="00B760FB"/>
    <w:rsid w:val="00B76765"/>
    <w:rsid w:val="00B767AB"/>
    <w:rsid w:val="00B801BA"/>
    <w:rsid w:val="00B80D50"/>
    <w:rsid w:val="00B80E6A"/>
    <w:rsid w:val="00B812D6"/>
    <w:rsid w:val="00B81BFB"/>
    <w:rsid w:val="00B8360C"/>
    <w:rsid w:val="00B836D4"/>
    <w:rsid w:val="00B84641"/>
    <w:rsid w:val="00B8466B"/>
    <w:rsid w:val="00B846E6"/>
    <w:rsid w:val="00B84AE5"/>
    <w:rsid w:val="00B84D5C"/>
    <w:rsid w:val="00B85AF6"/>
    <w:rsid w:val="00B86945"/>
    <w:rsid w:val="00B92E46"/>
    <w:rsid w:val="00B933FD"/>
    <w:rsid w:val="00B941ED"/>
    <w:rsid w:val="00B950F6"/>
    <w:rsid w:val="00B956ED"/>
    <w:rsid w:val="00B95C78"/>
    <w:rsid w:val="00BA0201"/>
    <w:rsid w:val="00BA11E7"/>
    <w:rsid w:val="00BA13A3"/>
    <w:rsid w:val="00BA2382"/>
    <w:rsid w:val="00BA2DA8"/>
    <w:rsid w:val="00BA2FAB"/>
    <w:rsid w:val="00BA30DA"/>
    <w:rsid w:val="00BA347C"/>
    <w:rsid w:val="00BA3B5C"/>
    <w:rsid w:val="00BA4564"/>
    <w:rsid w:val="00BA49C0"/>
    <w:rsid w:val="00BA4C79"/>
    <w:rsid w:val="00BA4D48"/>
    <w:rsid w:val="00BA4D84"/>
    <w:rsid w:val="00BA5727"/>
    <w:rsid w:val="00BA609D"/>
    <w:rsid w:val="00BA669C"/>
    <w:rsid w:val="00BB120A"/>
    <w:rsid w:val="00BB298A"/>
    <w:rsid w:val="00BB2D97"/>
    <w:rsid w:val="00BB3469"/>
    <w:rsid w:val="00BB3648"/>
    <w:rsid w:val="00BB3777"/>
    <w:rsid w:val="00BB466C"/>
    <w:rsid w:val="00BB5C49"/>
    <w:rsid w:val="00BB6240"/>
    <w:rsid w:val="00BB6285"/>
    <w:rsid w:val="00BB6792"/>
    <w:rsid w:val="00BB67BA"/>
    <w:rsid w:val="00BB69F5"/>
    <w:rsid w:val="00BB6E48"/>
    <w:rsid w:val="00BB7EC3"/>
    <w:rsid w:val="00BC0172"/>
    <w:rsid w:val="00BC0254"/>
    <w:rsid w:val="00BC04B1"/>
    <w:rsid w:val="00BC060A"/>
    <w:rsid w:val="00BC06A4"/>
    <w:rsid w:val="00BC0E42"/>
    <w:rsid w:val="00BC0FDA"/>
    <w:rsid w:val="00BC1829"/>
    <w:rsid w:val="00BC29D9"/>
    <w:rsid w:val="00BC470E"/>
    <w:rsid w:val="00BC4B9A"/>
    <w:rsid w:val="00BC6CF5"/>
    <w:rsid w:val="00BC7E5C"/>
    <w:rsid w:val="00BD0086"/>
    <w:rsid w:val="00BD02C3"/>
    <w:rsid w:val="00BD058D"/>
    <w:rsid w:val="00BD10A2"/>
    <w:rsid w:val="00BD1498"/>
    <w:rsid w:val="00BD1EC0"/>
    <w:rsid w:val="00BD3119"/>
    <w:rsid w:val="00BD377B"/>
    <w:rsid w:val="00BD39D9"/>
    <w:rsid w:val="00BD497E"/>
    <w:rsid w:val="00BD63DD"/>
    <w:rsid w:val="00BD6853"/>
    <w:rsid w:val="00BD6B35"/>
    <w:rsid w:val="00BD7483"/>
    <w:rsid w:val="00BD784C"/>
    <w:rsid w:val="00BE020A"/>
    <w:rsid w:val="00BE0B8B"/>
    <w:rsid w:val="00BE13DF"/>
    <w:rsid w:val="00BE1ACD"/>
    <w:rsid w:val="00BE1CA6"/>
    <w:rsid w:val="00BE1EF0"/>
    <w:rsid w:val="00BE25D7"/>
    <w:rsid w:val="00BE3A4A"/>
    <w:rsid w:val="00BE7220"/>
    <w:rsid w:val="00BF092C"/>
    <w:rsid w:val="00BF1B3B"/>
    <w:rsid w:val="00BF20FB"/>
    <w:rsid w:val="00BF21D1"/>
    <w:rsid w:val="00BF27A0"/>
    <w:rsid w:val="00BF2C93"/>
    <w:rsid w:val="00BF40E6"/>
    <w:rsid w:val="00BF4CB6"/>
    <w:rsid w:val="00BF51E1"/>
    <w:rsid w:val="00BF57A5"/>
    <w:rsid w:val="00BF59E2"/>
    <w:rsid w:val="00BF5D23"/>
    <w:rsid w:val="00BF5F1A"/>
    <w:rsid w:val="00BF5F21"/>
    <w:rsid w:val="00BF6142"/>
    <w:rsid w:val="00BF6CBD"/>
    <w:rsid w:val="00C00DA7"/>
    <w:rsid w:val="00C015AD"/>
    <w:rsid w:val="00C01F55"/>
    <w:rsid w:val="00C02F35"/>
    <w:rsid w:val="00C03007"/>
    <w:rsid w:val="00C034FB"/>
    <w:rsid w:val="00C04CDE"/>
    <w:rsid w:val="00C04EDB"/>
    <w:rsid w:val="00C059D5"/>
    <w:rsid w:val="00C05D20"/>
    <w:rsid w:val="00C05F22"/>
    <w:rsid w:val="00C060E8"/>
    <w:rsid w:val="00C0632D"/>
    <w:rsid w:val="00C064E2"/>
    <w:rsid w:val="00C068A6"/>
    <w:rsid w:val="00C06DDD"/>
    <w:rsid w:val="00C07DFB"/>
    <w:rsid w:val="00C11DEA"/>
    <w:rsid w:val="00C1216A"/>
    <w:rsid w:val="00C12768"/>
    <w:rsid w:val="00C12D70"/>
    <w:rsid w:val="00C15827"/>
    <w:rsid w:val="00C16410"/>
    <w:rsid w:val="00C16724"/>
    <w:rsid w:val="00C1724C"/>
    <w:rsid w:val="00C17263"/>
    <w:rsid w:val="00C17912"/>
    <w:rsid w:val="00C21B09"/>
    <w:rsid w:val="00C22CFB"/>
    <w:rsid w:val="00C2457E"/>
    <w:rsid w:val="00C2578A"/>
    <w:rsid w:val="00C25EFF"/>
    <w:rsid w:val="00C2673A"/>
    <w:rsid w:val="00C278CD"/>
    <w:rsid w:val="00C27B58"/>
    <w:rsid w:val="00C27C1C"/>
    <w:rsid w:val="00C3119F"/>
    <w:rsid w:val="00C3166C"/>
    <w:rsid w:val="00C31ACB"/>
    <w:rsid w:val="00C31DAD"/>
    <w:rsid w:val="00C31F71"/>
    <w:rsid w:val="00C33186"/>
    <w:rsid w:val="00C34AD9"/>
    <w:rsid w:val="00C35250"/>
    <w:rsid w:val="00C35996"/>
    <w:rsid w:val="00C370D1"/>
    <w:rsid w:val="00C3722E"/>
    <w:rsid w:val="00C4030A"/>
    <w:rsid w:val="00C41D38"/>
    <w:rsid w:val="00C41FFE"/>
    <w:rsid w:val="00C42251"/>
    <w:rsid w:val="00C42BCD"/>
    <w:rsid w:val="00C4485F"/>
    <w:rsid w:val="00C44DED"/>
    <w:rsid w:val="00C452EE"/>
    <w:rsid w:val="00C4577D"/>
    <w:rsid w:val="00C45F3F"/>
    <w:rsid w:val="00C46C13"/>
    <w:rsid w:val="00C46E55"/>
    <w:rsid w:val="00C4723E"/>
    <w:rsid w:val="00C4747E"/>
    <w:rsid w:val="00C509BF"/>
    <w:rsid w:val="00C5151E"/>
    <w:rsid w:val="00C521FE"/>
    <w:rsid w:val="00C52256"/>
    <w:rsid w:val="00C5231E"/>
    <w:rsid w:val="00C527D6"/>
    <w:rsid w:val="00C5280E"/>
    <w:rsid w:val="00C52E65"/>
    <w:rsid w:val="00C5342C"/>
    <w:rsid w:val="00C53721"/>
    <w:rsid w:val="00C53B2B"/>
    <w:rsid w:val="00C53D8F"/>
    <w:rsid w:val="00C547F5"/>
    <w:rsid w:val="00C54A5E"/>
    <w:rsid w:val="00C54B7D"/>
    <w:rsid w:val="00C54F3F"/>
    <w:rsid w:val="00C559BA"/>
    <w:rsid w:val="00C5657B"/>
    <w:rsid w:val="00C5673B"/>
    <w:rsid w:val="00C56D78"/>
    <w:rsid w:val="00C57465"/>
    <w:rsid w:val="00C60272"/>
    <w:rsid w:val="00C603D4"/>
    <w:rsid w:val="00C6213C"/>
    <w:rsid w:val="00C6256A"/>
    <w:rsid w:val="00C63642"/>
    <w:rsid w:val="00C63FDA"/>
    <w:rsid w:val="00C64D50"/>
    <w:rsid w:val="00C64EBC"/>
    <w:rsid w:val="00C664D2"/>
    <w:rsid w:val="00C66A48"/>
    <w:rsid w:val="00C677E1"/>
    <w:rsid w:val="00C70E6E"/>
    <w:rsid w:val="00C710E2"/>
    <w:rsid w:val="00C71C3F"/>
    <w:rsid w:val="00C72208"/>
    <w:rsid w:val="00C72839"/>
    <w:rsid w:val="00C7409E"/>
    <w:rsid w:val="00C74D6D"/>
    <w:rsid w:val="00C75A98"/>
    <w:rsid w:val="00C76E76"/>
    <w:rsid w:val="00C77891"/>
    <w:rsid w:val="00C77B74"/>
    <w:rsid w:val="00C802D0"/>
    <w:rsid w:val="00C80FC0"/>
    <w:rsid w:val="00C81446"/>
    <w:rsid w:val="00C81A62"/>
    <w:rsid w:val="00C81F15"/>
    <w:rsid w:val="00C82062"/>
    <w:rsid w:val="00C829A9"/>
    <w:rsid w:val="00C83355"/>
    <w:rsid w:val="00C840B2"/>
    <w:rsid w:val="00C85C4E"/>
    <w:rsid w:val="00C85D87"/>
    <w:rsid w:val="00C869A7"/>
    <w:rsid w:val="00C87930"/>
    <w:rsid w:val="00C87B80"/>
    <w:rsid w:val="00C902B3"/>
    <w:rsid w:val="00C90330"/>
    <w:rsid w:val="00C90906"/>
    <w:rsid w:val="00C90B4E"/>
    <w:rsid w:val="00C90D16"/>
    <w:rsid w:val="00C91449"/>
    <w:rsid w:val="00C92693"/>
    <w:rsid w:val="00C92D10"/>
    <w:rsid w:val="00C92F79"/>
    <w:rsid w:val="00C94E82"/>
    <w:rsid w:val="00C95200"/>
    <w:rsid w:val="00C952C9"/>
    <w:rsid w:val="00C9557D"/>
    <w:rsid w:val="00C96649"/>
    <w:rsid w:val="00C96EC0"/>
    <w:rsid w:val="00CA0284"/>
    <w:rsid w:val="00CA05D1"/>
    <w:rsid w:val="00CA06F9"/>
    <w:rsid w:val="00CA0C46"/>
    <w:rsid w:val="00CA14BB"/>
    <w:rsid w:val="00CA230C"/>
    <w:rsid w:val="00CA263D"/>
    <w:rsid w:val="00CA454F"/>
    <w:rsid w:val="00CA48D9"/>
    <w:rsid w:val="00CA50B2"/>
    <w:rsid w:val="00CA68D0"/>
    <w:rsid w:val="00CA69A4"/>
    <w:rsid w:val="00CB06F0"/>
    <w:rsid w:val="00CB1193"/>
    <w:rsid w:val="00CB1879"/>
    <w:rsid w:val="00CB2BFA"/>
    <w:rsid w:val="00CB2C70"/>
    <w:rsid w:val="00CB2DBE"/>
    <w:rsid w:val="00CB358A"/>
    <w:rsid w:val="00CB4767"/>
    <w:rsid w:val="00CB493D"/>
    <w:rsid w:val="00CB57E5"/>
    <w:rsid w:val="00CB772E"/>
    <w:rsid w:val="00CC1347"/>
    <w:rsid w:val="00CC2224"/>
    <w:rsid w:val="00CC3B97"/>
    <w:rsid w:val="00CC44D1"/>
    <w:rsid w:val="00CC4EC6"/>
    <w:rsid w:val="00CC563B"/>
    <w:rsid w:val="00CC63F7"/>
    <w:rsid w:val="00CC6787"/>
    <w:rsid w:val="00CD03B3"/>
    <w:rsid w:val="00CD0AF7"/>
    <w:rsid w:val="00CD0B77"/>
    <w:rsid w:val="00CD14C8"/>
    <w:rsid w:val="00CD1E63"/>
    <w:rsid w:val="00CD405A"/>
    <w:rsid w:val="00CD4A8C"/>
    <w:rsid w:val="00CD4DC8"/>
    <w:rsid w:val="00CD585D"/>
    <w:rsid w:val="00CD6257"/>
    <w:rsid w:val="00CD7C0B"/>
    <w:rsid w:val="00CE10C4"/>
    <w:rsid w:val="00CE2343"/>
    <w:rsid w:val="00CE27B5"/>
    <w:rsid w:val="00CE2BDF"/>
    <w:rsid w:val="00CE2E76"/>
    <w:rsid w:val="00CE3521"/>
    <w:rsid w:val="00CE44D9"/>
    <w:rsid w:val="00CE4C51"/>
    <w:rsid w:val="00CE5581"/>
    <w:rsid w:val="00CE5D70"/>
    <w:rsid w:val="00CE64DB"/>
    <w:rsid w:val="00CE69B4"/>
    <w:rsid w:val="00CE6D24"/>
    <w:rsid w:val="00CE6DAF"/>
    <w:rsid w:val="00CF014D"/>
    <w:rsid w:val="00CF2E7B"/>
    <w:rsid w:val="00CF3128"/>
    <w:rsid w:val="00CF410A"/>
    <w:rsid w:val="00CF47B8"/>
    <w:rsid w:val="00CF49F4"/>
    <w:rsid w:val="00CF5F96"/>
    <w:rsid w:val="00CF6A29"/>
    <w:rsid w:val="00CF7528"/>
    <w:rsid w:val="00CF7D6D"/>
    <w:rsid w:val="00CF7E6E"/>
    <w:rsid w:val="00CF7FDE"/>
    <w:rsid w:val="00D012AF"/>
    <w:rsid w:val="00D0170D"/>
    <w:rsid w:val="00D01715"/>
    <w:rsid w:val="00D02463"/>
    <w:rsid w:val="00D02602"/>
    <w:rsid w:val="00D029E6"/>
    <w:rsid w:val="00D029EC"/>
    <w:rsid w:val="00D0321E"/>
    <w:rsid w:val="00D041EB"/>
    <w:rsid w:val="00D041FB"/>
    <w:rsid w:val="00D04703"/>
    <w:rsid w:val="00D052CC"/>
    <w:rsid w:val="00D053E3"/>
    <w:rsid w:val="00D05457"/>
    <w:rsid w:val="00D05504"/>
    <w:rsid w:val="00D06939"/>
    <w:rsid w:val="00D069EB"/>
    <w:rsid w:val="00D06D41"/>
    <w:rsid w:val="00D079A8"/>
    <w:rsid w:val="00D07A8A"/>
    <w:rsid w:val="00D109BD"/>
    <w:rsid w:val="00D10C54"/>
    <w:rsid w:val="00D10E31"/>
    <w:rsid w:val="00D11199"/>
    <w:rsid w:val="00D1294B"/>
    <w:rsid w:val="00D13E85"/>
    <w:rsid w:val="00D1455A"/>
    <w:rsid w:val="00D14573"/>
    <w:rsid w:val="00D146AA"/>
    <w:rsid w:val="00D14A70"/>
    <w:rsid w:val="00D17975"/>
    <w:rsid w:val="00D2026F"/>
    <w:rsid w:val="00D20371"/>
    <w:rsid w:val="00D207EA"/>
    <w:rsid w:val="00D211FB"/>
    <w:rsid w:val="00D21257"/>
    <w:rsid w:val="00D2142F"/>
    <w:rsid w:val="00D22093"/>
    <w:rsid w:val="00D243B1"/>
    <w:rsid w:val="00D244FD"/>
    <w:rsid w:val="00D257A6"/>
    <w:rsid w:val="00D25831"/>
    <w:rsid w:val="00D27076"/>
    <w:rsid w:val="00D27649"/>
    <w:rsid w:val="00D30106"/>
    <w:rsid w:val="00D30852"/>
    <w:rsid w:val="00D30EDE"/>
    <w:rsid w:val="00D30FC2"/>
    <w:rsid w:val="00D31150"/>
    <w:rsid w:val="00D3138B"/>
    <w:rsid w:val="00D31FCE"/>
    <w:rsid w:val="00D3280C"/>
    <w:rsid w:val="00D32FB9"/>
    <w:rsid w:val="00D33301"/>
    <w:rsid w:val="00D33F85"/>
    <w:rsid w:val="00D3406A"/>
    <w:rsid w:val="00D34D24"/>
    <w:rsid w:val="00D40B11"/>
    <w:rsid w:val="00D4135E"/>
    <w:rsid w:val="00D413DA"/>
    <w:rsid w:val="00D420EA"/>
    <w:rsid w:val="00D42864"/>
    <w:rsid w:val="00D429EC"/>
    <w:rsid w:val="00D44091"/>
    <w:rsid w:val="00D44123"/>
    <w:rsid w:val="00D441F1"/>
    <w:rsid w:val="00D45535"/>
    <w:rsid w:val="00D4572C"/>
    <w:rsid w:val="00D45752"/>
    <w:rsid w:val="00D460A5"/>
    <w:rsid w:val="00D460BE"/>
    <w:rsid w:val="00D4634B"/>
    <w:rsid w:val="00D466FB"/>
    <w:rsid w:val="00D469B2"/>
    <w:rsid w:val="00D46AB3"/>
    <w:rsid w:val="00D475DB"/>
    <w:rsid w:val="00D47F84"/>
    <w:rsid w:val="00D52B24"/>
    <w:rsid w:val="00D52BB6"/>
    <w:rsid w:val="00D52EAA"/>
    <w:rsid w:val="00D52ECF"/>
    <w:rsid w:val="00D531D5"/>
    <w:rsid w:val="00D537F5"/>
    <w:rsid w:val="00D53F0C"/>
    <w:rsid w:val="00D5402D"/>
    <w:rsid w:val="00D5411A"/>
    <w:rsid w:val="00D54791"/>
    <w:rsid w:val="00D54AFF"/>
    <w:rsid w:val="00D54B09"/>
    <w:rsid w:val="00D55086"/>
    <w:rsid w:val="00D55D5F"/>
    <w:rsid w:val="00D56055"/>
    <w:rsid w:val="00D60CFE"/>
    <w:rsid w:val="00D61A06"/>
    <w:rsid w:val="00D61AC5"/>
    <w:rsid w:val="00D61D20"/>
    <w:rsid w:val="00D621A0"/>
    <w:rsid w:val="00D6243E"/>
    <w:rsid w:val="00D629A7"/>
    <w:rsid w:val="00D64AD6"/>
    <w:rsid w:val="00D65658"/>
    <w:rsid w:val="00D65B51"/>
    <w:rsid w:val="00D6631B"/>
    <w:rsid w:val="00D673FC"/>
    <w:rsid w:val="00D67EB2"/>
    <w:rsid w:val="00D7000B"/>
    <w:rsid w:val="00D70349"/>
    <w:rsid w:val="00D7090D"/>
    <w:rsid w:val="00D70E6B"/>
    <w:rsid w:val="00D712A2"/>
    <w:rsid w:val="00D72002"/>
    <w:rsid w:val="00D72B6F"/>
    <w:rsid w:val="00D72EC5"/>
    <w:rsid w:val="00D72F6C"/>
    <w:rsid w:val="00D73B8D"/>
    <w:rsid w:val="00D73F1B"/>
    <w:rsid w:val="00D741EB"/>
    <w:rsid w:val="00D74559"/>
    <w:rsid w:val="00D74CD8"/>
    <w:rsid w:val="00D74CEA"/>
    <w:rsid w:val="00D75717"/>
    <w:rsid w:val="00D7679C"/>
    <w:rsid w:val="00D77ABF"/>
    <w:rsid w:val="00D817A9"/>
    <w:rsid w:val="00D8181B"/>
    <w:rsid w:val="00D820F3"/>
    <w:rsid w:val="00D82BAF"/>
    <w:rsid w:val="00D83605"/>
    <w:rsid w:val="00D8396D"/>
    <w:rsid w:val="00D84934"/>
    <w:rsid w:val="00D859E2"/>
    <w:rsid w:val="00D85B1F"/>
    <w:rsid w:val="00D85E64"/>
    <w:rsid w:val="00D8666D"/>
    <w:rsid w:val="00D866EB"/>
    <w:rsid w:val="00D8676E"/>
    <w:rsid w:val="00D86C52"/>
    <w:rsid w:val="00D87D1A"/>
    <w:rsid w:val="00D906DA"/>
    <w:rsid w:val="00D9083A"/>
    <w:rsid w:val="00D91271"/>
    <w:rsid w:val="00D915AA"/>
    <w:rsid w:val="00D919F5"/>
    <w:rsid w:val="00D91AA9"/>
    <w:rsid w:val="00D920CD"/>
    <w:rsid w:val="00D92223"/>
    <w:rsid w:val="00D92C59"/>
    <w:rsid w:val="00D93493"/>
    <w:rsid w:val="00D93F3B"/>
    <w:rsid w:val="00D9400C"/>
    <w:rsid w:val="00D945F6"/>
    <w:rsid w:val="00D94F03"/>
    <w:rsid w:val="00D95161"/>
    <w:rsid w:val="00D95C23"/>
    <w:rsid w:val="00DA0032"/>
    <w:rsid w:val="00DA0378"/>
    <w:rsid w:val="00DA0A82"/>
    <w:rsid w:val="00DA0D14"/>
    <w:rsid w:val="00DA1BAB"/>
    <w:rsid w:val="00DA1FC9"/>
    <w:rsid w:val="00DA2CB5"/>
    <w:rsid w:val="00DA32AE"/>
    <w:rsid w:val="00DA358F"/>
    <w:rsid w:val="00DA383E"/>
    <w:rsid w:val="00DA3DC6"/>
    <w:rsid w:val="00DA3EB8"/>
    <w:rsid w:val="00DA4BAC"/>
    <w:rsid w:val="00DA5049"/>
    <w:rsid w:val="00DA58C8"/>
    <w:rsid w:val="00DA5B09"/>
    <w:rsid w:val="00DA6E05"/>
    <w:rsid w:val="00DA705B"/>
    <w:rsid w:val="00DA722E"/>
    <w:rsid w:val="00DA7696"/>
    <w:rsid w:val="00DA792A"/>
    <w:rsid w:val="00DA7B73"/>
    <w:rsid w:val="00DA7D07"/>
    <w:rsid w:val="00DB0151"/>
    <w:rsid w:val="00DB0160"/>
    <w:rsid w:val="00DB04D7"/>
    <w:rsid w:val="00DB255E"/>
    <w:rsid w:val="00DB2AC5"/>
    <w:rsid w:val="00DB2E03"/>
    <w:rsid w:val="00DB4901"/>
    <w:rsid w:val="00DB50E1"/>
    <w:rsid w:val="00DB58C1"/>
    <w:rsid w:val="00DB6C02"/>
    <w:rsid w:val="00DC0566"/>
    <w:rsid w:val="00DC05E1"/>
    <w:rsid w:val="00DC1499"/>
    <w:rsid w:val="00DC16CF"/>
    <w:rsid w:val="00DC2C3E"/>
    <w:rsid w:val="00DC3137"/>
    <w:rsid w:val="00DC38AB"/>
    <w:rsid w:val="00DC3A71"/>
    <w:rsid w:val="00DC4880"/>
    <w:rsid w:val="00DC581F"/>
    <w:rsid w:val="00DC5E90"/>
    <w:rsid w:val="00DC65F3"/>
    <w:rsid w:val="00DC6AF3"/>
    <w:rsid w:val="00DC6EC3"/>
    <w:rsid w:val="00DC732A"/>
    <w:rsid w:val="00DC75F5"/>
    <w:rsid w:val="00DC788F"/>
    <w:rsid w:val="00DD04D7"/>
    <w:rsid w:val="00DD08AB"/>
    <w:rsid w:val="00DD0BE9"/>
    <w:rsid w:val="00DD1068"/>
    <w:rsid w:val="00DD10AB"/>
    <w:rsid w:val="00DD2082"/>
    <w:rsid w:val="00DD26A5"/>
    <w:rsid w:val="00DD26F9"/>
    <w:rsid w:val="00DD31AC"/>
    <w:rsid w:val="00DD350E"/>
    <w:rsid w:val="00DD3DDE"/>
    <w:rsid w:val="00DD42AB"/>
    <w:rsid w:val="00DD5194"/>
    <w:rsid w:val="00DD5940"/>
    <w:rsid w:val="00DD74AD"/>
    <w:rsid w:val="00DE060B"/>
    <w:rsid w:val="00DE06AF"/>
    <w:rsid w:val="00DE11AF"/>
    <w:rsid w:val="00DE26F9"/>
    <w:rsid w:val="00DE3CB2"/>
    <w:rsid w:val="00DE442A"/>
    <w:rsid w:val="00DE5640"/>
    <w:rsid w:val="00DE61FE"/>
    <w:rsid w:val="00DE6351"/>
    <w:rsid w:val="00DE6D27"/>
    <w:rsid w:val="00DE76EA"/>
    <w:rsid w:val="00DE78CA"/>
    <w:rsid w:val="00DF01F8"/>
    <w:rsid w:val="00DF021D"/>
    <w:rsid w:val="00DF0555"/>
    <w:rsid w:val="00DF08F4"/>
    <w:rsid w:val="00DF0E8D"/>
    <w:rsid w:val="00DF14EE"/>
    <w:rsid w:val="00DF1642"/>
    <w:rsid w:val="00DF1E8D"/>
    <w:rsid w:val="00DF217D"/>
    <w:rsid w:val="00DF26A7"/>
    <w:rsid w:val="00DF3277"/>
    <w:rsid w:val="00DF5A10"/>
    <w:rsid w:val="00DF6A31"/>
    <w:rsid w:val="00DF6F85"/>
    <w:rsid w:val="00DF7407"/>
    <w:rsid w:val="00DF77A1"/>
    <w:rsid w:val="00DF7919"/>
    <w:rsid w:val="00E016C8"/>
    <w:rsid w:val="00E0207E"/>
    <w:rsid w:val="00E02845"/>
    <w:rsid w:val="00E02AE6"/>
    <w:rsid w:val="00E03912"/>
    <w:rsid w:val="00E04748"/>
    <w:rsid w:val="00E04CB8"/>
    <w:rsid w:val="00E04EE5"/>
    <w:rsid w:val="00E056D1"/>
    <w:rsid w:val="00E060AF"/>
    <w:rsid w:val="00E06630"/>
    <w:rsid w:val="00E078D9"/>
    <w:rsid w:val="00E10204"/>
    <w:rsid w:val="00E10293"/>
    <w:rsid w:val="00E103A0"/>
    <w:rsid w:val="00E1043F"/>
    <w:rsid w:val="00E10B7B"/>
    <w:rsid w:val="00E11167"/>
    <w:rsid w:val="00E1157E"/>
    <w:rsid w:val="00E1158C"/>
    <w:rsid w:val="00E11F44"/>
    <w:rsid w:val="00E12D20"/>
    <w:rsid w:val="00E13E60"/>
    <w:rsid w:val="00E15627"/>
    <w:rsid w:val="00E15EEF"/>
    <w:rsid w:val="00E16052"/>
    <w:rsid w:val="00E16093"/>
    <w:rsid w:val="00E164B3"/>
    <w:rsid w:val="00E16910"/>
    <w:rsid w:val="00E176C2"/>
    <w:rsid w:val="00E17DD8"/>
    <w:rsid w:val="00E2099F"/>
    <w:rsid w:val="00E21164"/>
    <w:rsid w:val="00E227E5"/>
    <w:rsid w:val="00E229C6"/>
    <w:rsid w:val="00E239E2"/>
    <w:rsid w:val="00E247B0"/>
    <w:rsid w:val="00E24E09"/>
    <w:rsid w:val="00E27234"/>
    <w:rsid w:val="00E330C7"/>
    <w:rsid w:val="00E3495C"/>
    <w:rsid w:val="00E42BDB"/>
    <w:rsid w:val="00E42DC3"/>
    <w:rsid w:val="00E43424"/>
    <w:rsid w:val="00E44804"/>
    <w:rsid w:val="00E44EED"/>
    <w:rsid w:val="00E453A8"/>
    <w:rsid w:val="00E453FC"/>
    <w:rsid w:val="00E45C9A"/>
    <w:rsid w:val="00E46671"/>
    <w:rsid w:val="00E46E34"/>
    <w:rsid w:val="00E46FB3"/>
    <w:rsid w:val="00E47D22"/>
    <w:rsid w:val="00E5030A"/>
    <w:rsid w:val="00E50ECE"/>
    <w:rsid w:val="00E50F18"/>
    <w:rsid w:val="00E524A9"/>
    <w:rsid w:val="00E52BB3"/>
    <w:rsid w:val="00E52D43"/>
    <w:rsid w:val="00E534BA"/>
    <w:rsid w:val="00E53F1A"/>
    <w:rsid w:val="00E53F6B"/>
    <w:rsid w:val="00E54466"/>
    <w:rsid w:val="00E551B7"/>
    <w:rsid w:val="00E5654A"/>
    <w:rsid w:val="00E56E7B"/>
    <w:rsid w:val="00E5726D"/>
    <w:rsid w:val="00E57EEB"/>
    <w:rsid w:val="00E60D4F"/>
    <w:rsid w:val="00E61729"/>
    <w:rsid w:val="00E61DA2"/>
    <w:rsid w:val="00E62D94"/>
    <w:rsid w:val="00E62ECC"/>
    <w:rsid w:val="00E63505"/>
    <w:rsid w:val="00E64A37"/>
    <w:rsid w:val="00E64F37"/>
    <w:rsid w:val="00E65091"/>
    <w:rsid w:val="00E651C7"/>
    <w:rsid w:val="00E65393"/>
    <w:rsid w:val="00E65E54"/>
    <w:rsid w:val="00E661C7"/>
    <w:rsid w:val="00E66679"/>
    <w:rsid w:val="00E673A1"/>
    <w:rsid w:val="00E724B0"/>
    <w:rsid w:val="00E732C4"/>
    <w:rsid w:val="00E7389E"/>
    <w:rsid w:val="00E73D67"/>
    <w:rsid w:val="00E742B3"/>
    <w:rsid w:val="00E748DC"/>
    <w:rsid w:val="00E74E41"/>
    <w:rsid w:val="00E75151"/>
    <w:rsid w:val="00E751A9"/>
    <w:rsid w:val="00E76404"/>
    <w:rsid w:val="00E76B62"/>
    <w:rsid w:val="00E77D76"/>
    <w:rsid w:val="00E8001D"/>
    <w:rsid w:val="00E8008D"/>
    <w:rsid w:val="00E80155"/>
    <w:rsid w:val="00E8134B"/>
    <w:rsid w:val="00E816E8"/>
    <w:rsid w:val="00E81E0D"/>
    <w:rsid w:val="00E81F28"/>
    <w:rsid w:val="00E82089"/>
    <w:rsid w:val="00E843E9"/>
    <w:rsid w:val="00E848C0"/>
    <w:rsid w:val="00E84BB8"/>
    <w:rsid w:val="00E84E88"/>
    <w:rsid w:val="00E86F92"/>
    <w:rsid w:val="00E90ABD"/>
    <w:rsid w:val="00E90BB0"/>
    <w:rsid w:val="00E91329"/>
    <w:rsid w:val="00E91529"/>
    <w:rsid w:val="00E91B96"/>
    <w:rsid w:val="00E9218F"/>
    <w:rsid w:val="00E92F2E"/>
    <w:rsid w:val="00E9353C"/>
    <w:rsid w:val="00E935DA"/>
    <w:rsid w:val="00E93D1E"/>
    <w:rsid w:val="00E941A1"/>
    <w:rsid w:val="00E948DB"/>
    <w:rsid w:val="00E95599"/>
    <w:rsid w:val="00E95652"/>
    <w:rsid w:val="00E95901"/>
    <w:rsid w:val="00E959BA"/>
    <w:rsid w:val="00E95CE3"/>
    <w:rsid w:val="00E95F9A"/>
    <w:rsid w:val="00E96950"/>
    <w:rsid w:val="00E96E99"/>
    <w:rsid w:val="00E97FD7"/>
    <w:rsid w:val="00EA0856"/>
    <w:rsid w:val="00EA1A42"/>
    <w:rsid w:val="00EA1DC4"/>
    <w:rsid w:val="00EA252F"/>
    <w:rsid w:val="00EA2825"/>
    <w:rsid w:val="00EA5027"/>
    <w:rsid w:val="00EA519B"/>
    <w:rsid w:val="00EA64C2"/>
    <w:rsid w:val="00EA6518"/>
    <w:rsid w:val="00EA6F8C"/>
    <w:rsid w:val="00EA71A2"/>
    <w:rsid w:val="00EA7466"/>
    <w:rsid w:val="00EA7AFC"/>
    <w:rsid w:val="00EA7EDE"/>
    <w:rsid w:val="00EB0A57"/>
    <w:rsid w:val="00EB0B63"/>
    <w:rsid w:val="00EB0EB5"/>
    <w:rsid w:val="00EB13A3"/>
    <w:rsid w:val="00EB1936"/>
    <w:rsid w:val="00EB21A7"/>
    <w:rsid w:val="00EB2C9A"/>
    <w:rsid w:val="00EB3545"/>
    <w:rsid w:val="00EB37BE"/>
    <w:rsid w:val="00EB3977"/>
    <w:rsid w:val="00EB3C50"/>
    <w:rsid w:val="00EB3C98"/>
    <w:rsid w:val="00EB4BAE"/>
    <w:rsid w:val="00EB5088"/>
    <w:rsid w:val="00EB540C"/>
    <w:rsid w:val="00EB6A88"/>
    <w:rsid w:val="00EB6CA9"/>
    <w:rsid w:val="00EB7210"/>
    <w:rsid w:val="00EB72DC"/>
    <w:rsid w:val="00EB7702"/>
    <w:rsid w:val="00EC1633"/>
    <w:rsid w:val="00EC1B27"/>
    <w:rsid w:val="00EC2726"/>
    <w:rsid w:val="00EC3357"/>
    <w:rsid w:val="00EC4BF4"/>
    <w:rsid w:val="00EC51B8"/>
    <w:rsid w:val="00EC575E"/>
    <w:rsid w:val="00EC681C"/>
    <w:rsid w:val="00EC7B87"/>
    <w:rsid w:val="00ED0148"/>
    <w:rsid w:val="00ED0945"/>
    <w:rsid w:val="00ED1644"/>
    <w:rsid w:val="00ED1BC9"/>
    <w:rsid w:val="00ED2593"/>
    <w:rsid w:val="00ED2C87"/>
    <w:rsid w:val="00ED3709"/>
    <w:rsid w:val="00ED394D"/>
    <w:rsid w:val="00ED432F"/>
    <w:rsid w:val="00ED6BBC"/>
    <w:rsid w:val="00ED6E34"/>
    <w:rsid w:val="00ED7D55"/>
    <w:rsid w:val="00ED7D9C"/>
    <w:rsid w:val="00EE00A7"/>
    <w:rsid w:val="00EE0F2E"/>
    <w:rsid w:val="00EE222F"/>
    <w:rsid w:val="00EE226A"/>
    <w:rsid w:val="00EE2472"/>
    <w:rsid w:val="00EE25BB"/>
    <w:rsid w:val="00EE2C31"/>
    <w:rsid w:val="00EE2E87"/>
    <w:rsid w:val="00EE2F77"/>
    <w:rsid w:val="00EE3158"/>
    <w:rsid w:val="00EE31A2"/>
    <w:rsid w:val="00EE3902"/>
    <w:rsid w:val="00EE4258"/>
    <w:rsid w:val="00EE4329"/>
    <w:rsid w:val="00EE4FB9"/>
    <w:rsid w:val="00EE5733"/>
    <w:rsid w:val="00EE6203"/>
    <w:rsid w:val="00EE6592"/>
    <w:rsid w:val="00EF0069"/>
    <w:rsid w:val="00EF1F22"/>
    <w:rsid w:val="00EF229C"/>
    <w:rsid w:val="00EF23A1"/>
    <w:rsid w:val="00EF3C52"/>
    <w:rsid w:val="00EF3CE8"/>
    <w:rsid w:val="00EF4050"/>
    <w:rsid w:val="00EF44A0"/>
    <w:rsid w:val="00EF4580"/>
    <w:rsid w:val="00EF4E00"/>
    <w:rsid w:val="00EF4FED"/>
    <w:rsid w:val="00EF5F45"/>
    <w:rsid w:val="00EF6843"/>
    <w:rsid w:val="00EF6941"/>
    <w:rsid w:val="00EF6FB3"/>
    <w:rsid w:val="00F0043C"/>
    <w:rsid w:val="00F0068B"/>
    <w:rsid w:val="00F007C6"/>
    <w:rsid w:val="00F0172E"/>
    <w:rsid w:val="00F029D2"/>
    <w:rsid w:val="00F02DD5"/>
    <w:rsid w:val="00F04D12"/>
    <w:rsid w:val="00F050BD"/>
    <w:rsid w:val="00F05657"/>
    <w:rsid w:val="00F05AB0"/>
    <w:rsid w:val="00F05FC0"/>
    <w:rsid w:val="00F06FDA"/>
    <w:rsid w:val="00F117E3"/>
    <w:rsid w:val="00F11B5C"/>
    <w:rsid w:val="00F11E7F"/>
    <w:rsid w:val="00F12514"/>
    <w:rsid w:val="00F12C74"/>
    <w:rsid w:val="00F13214"/>
    <w:rsid w:val="00F13886"/>
    <w:rsid w:val="00F1431B"/>
    <w:rsid w:val="00F1559A"/>
    <w:rsid w:val="00F163A6"/>
    <w:rsid w:val="00F16924"/>
    <w:rsid w:val="00F17988"/>
    <w:rsid w:val="00F17ED6"/>
    <w:rsid w:val="00F2060E"/>
    <w:rsid w:val="00F20676"/>
    <w:rsid w:val="00F20747"/>
    <w:rsid w:val="00F209E2"/>
    <w:rsid w:val="00F21173"/>
    <w:rsid w:val="00F21350"/>
    <w:rsid w:val="00F215A6"/>
    <w:rsid w:val="00F21BAA"/>
    <w:rsid w:val="00F22A1B"/>
    <w:rsid w:val="00F2398F"/>
    <w:rsid w:val="00F23BA9"/>
    <w:rsid w:val="00F24A19"/>
    <w:rsid w:val="00F25578"/>
    <w:rsid w:val="00F25707"/>
    <w:rsid w:val="00F258E5"/>
    <w:rsid w:val="00F25B9C"/>
    <w:rsid w:val="00F261A9"/>
    <w:rsid w:val="00F26510"/>
    <w:rsid w:val="00F2675A"/>
    <w:rsid w:val="00F26CC6"/>
    <w:rsid w:val="00F26D80"/>
    <w:rsid w:val="00F27277"/>
    <w:rsid w:val="00F300BC"/>
    <w:rsid w:val="00F3029B"/>
    <w:rsid w:val="00F305FA"/>
    <w:rsid w:val="00F306D2"/>
    <w:rsid w:val="00F31CBB"/>
    <w:rsid w:val="00F3263C"/>
    <w:rsid w:val="00F3289B"/>
    <w:rsid w:val="00F3334E"/>
    <w:rsid w:val="00F336EB"/>
    <w:rsid w:val="00F33733"/>
    <w:rsid w:val="00F3573A"/>
    <w:rsid w:val="00F35D33"/>
    <w:rsid w:val="00F36CCB"/>
    <w:rsid w:val="00F374E5"/>
    <w:rsid w:val="00F37556"/>
    <w:rsid w:val="00F376A1"/>
    <w:rsid w:val="00F377BF"/>
    <w:rsid w:val="00F37B93"/>
    <w:rsid w:val="00F37BAD"/>
    <w:rsid w:val="00F37ECA"/>
    <w:rsid w:val="00F37FF9"/>
    <w:rsid w:val="00F40744"/>
    <w:rsid w:val="00F40A1C"/>
    <w:rsid w:val="00F40B59"/>
    <w:rsid w:val="00F423E7"/>
    <w:rsid w:val="00F43AF2"/>
    <w:rsid w:val="00F45216"/>
    <w:rsid w:val="00F45D53"/>
    <w:rsid w:val="00F45F88"/>
    <w:rsid w:val="00F465B5"/>
    <w:rsid w:val="00F5007E"/>
    <w:rsid w:val="00F503BD"/>
    <w:rsid w:val="00F508F6"/>
    <w:rsid w:val="00F50C60"/>
    <w:rsid w:val="00F50EC4"/>
    <w:rsid w:val="00F5135E"/>
    <w:rsid w:val="00F51CE7"/>
    <w:rsid w:val="00F52232"/>
    <w:rsid w:val="00F527B1"/>
    <w:rsid w:val="00F52DC2"/>
    <w:rsid w:val="00F5354A"/>
    <w:rsid w:val="00F54AF9"/>
    <w:rsid w:val="00F54F51"/>
    <w:rsid w:val="00F550CF"/>
    <w:rsid w:val="00F553D2"/>
    <w:rsid w:val="00F55859"/>
    <w:rsid w:val="00F56A2D"/>
    <w:rsid w:val="00F57A6D"/>
    <w:rsid w:val="00F6044B"/>
    <w:rsid w:val="00F62339"/>
    <w:rsid w:val="00F62F19"/>
    <w:rsid w:val="00F638CC"/>
    <w:rsid w:val="00F64885"/>
    <w:rsid w:val="00F64C9E"/>
    <w:rsid w:val="00F64CC1"/>
    <w:rsid w:val="00F64FC8"/>
    <w:rsid w:val="00F67742"/>
    <w:rsid w:val="00F678FB"/>
    <w:rsid w:val="00F708B1"/>
    <w:rsid w:val="00F7138E"/>
    <w:rsid w:val="00F71BCA"/>
    <w:rsid w:val="00F72317"/>
    <w:rsid w:val="00F73DC1"/>
    <w:rsid w:val="00F74567"/>
    <w:rsid w:val="00F7466B"/>
    <w:rsid w:val="00F749DA"/>
    <w:rsid w:val="00F75376"/>
    <w:rsid w:val="00F75549"/>
    <w:rsid w:val="00F75BB8"/>
    <w:rsid w:val="00F76696"/>
    <w:rsid w:val="00F77714"/>
    <w:rsid w:val="00F77B77"/>
    <w:rsid w:val="00F80475"/>
    <w:rsid w:val="00F8099C"/>
    <w:rsid w:val="00F80E6E"/>
    <w:rsid w:val="00F8115F"/>
    <w:rsid w:val="00F81390"/>
    <w:rsid w:val="00F81479"/>
    <w:rsid w:val="00F81F7A"/>
    <w:rsid w:val="00F822D1"/>
    <w:rsid w:val="00F8247A"/>
    <w:rsid w:val="00F82594"/>
    <w:rsid w:val="00F82D9E"/>
    <w:rsid w:val="00F82E5C"/>
    <w:rsid w:val="00F83355"/>
    <w:rsid w:val="00F834D5"/>
    <w:rsid w:val="00F83DD8"/>
    <w:rsid w:val="00F83E86"/>
    <w:rsid w:val="00F83F58"/>
    <w:rsid w:val="00F85206"/>
    <w:rsid w:val="00F863E9"/>
    <w:rsid w:val="00F86755"/>
    <w:rsid w:val="00F8692C"/>
    <w:rsid w:val="00F87C7A"/>
    <w:rsid w:val="00F87CEA"/>
    <w:rsid w:val="00F90444"/>
    <w:rsid w:val="00F90C2C"/>
    <w:rsid w:val="00F915B3"/>
    <w:rsid w:val="00F9265D"/>
    <w:rsid w:val="00F944E2"/>
    <w:rsid w:val="00F94DBA"/>
    <w:rsid w:val="00F951E7"/>
    <w:rsid w:val="00F9534F"/>
    <w:rsid w:val="00F9629A"/>
    <w:rsid w:val="00F968F8"/>
    <w:rsid w:val="00F97847"/>
    <w:rsid w:val="00F97C59"/>
    <w:rsid w:val="00F97EFC"/>
    <w:rsid w:val="00FA0B04"/>
    <w:rsid w:val="00FA0C7C"/>
    <w:rsid w:val="00FA0EFC"/>
    <w:rsid w:val="00FA0F3A"/>
    <w:rsid w:val="00FA1BDD"/>
    <w:rsid w:val="00FA1E54"/>
    <w:rsid w:val="00FA305C"/>
    <w:rsid w:val="00FA3359"/>
    <w:rsid w:val="00FA462E"/>
    <w:rsid w:val="00FA4DD5"/>
    <w:rsid w:val="00FA5277"/>
    <w:rsid w:val="00FA5883"/>
    <w:rsid w:val="00FA6055"/>
    <w:rsid w:val="00FA6446"/>
    <w:rsid w:val="00FA668B"/>
    <w:rsid w:val="00FA6ED7"/>
    <w:rsid w:val="00FA75A8"/>
    <w:rsid w:val="00FA7CCA"/>
    <w:rsid w:val="00FB003A"/>
    <w:rsid w:val="00FB0B39"/>
    <w:rsid w:val="00FB0E0A"/>
    <w:rsid w:val="00FB155D"/>
    <w:rsid w:val="00FB1E0E"/>
    <w:rsid w:val="00FB221A"/>
    <w:rsid w:val="00FB31CA"/>
    <w:rsid w:val="00FB322F"/>
    <w:rsid w:val="00FB442F"/>
    <w:rsid w:val="00FB7263"/>
    <w:rsid w:val="00FB751B"/>
    <w:rsid w:val="00FC056E"/>
    <w:rsid w:val="00FC08E8"/>
    <w:rsid w:val="00FC09F8"/>
    <w:rsid w:val="00FC118C"/>
    <w:rsid w:val="00FC1929"/>
    <w:rsid w:val="00FC29A3"/>
    <w:rsid w:val="00FC497E"/>
    <w:rsid w:val="00FC4F0E"/>
    <w:rsid w:val="00FC592A"/>
    <w:rsid w:val="00FC5B46"/>
    <w:rsid w:val="00FC75A9"/>
    <w:rsid w:val="00FC761D"/>
    <w:rsid w:val="00FD140D"/>
    <w:rsid w:val="00FD1D4F"/>
    <w:rsid w:val="00FD24BF"/>
    <w:rsid w:val="00FD2CAF"/>
    <w:rsid w:val="00FD3B6E"/>
    <w:rsid w:val="00FD4140"/>
    <w:rsid w:val="00FD46BD"/>
    <w:rsid w:val="00FD57EB"/>
    <w:rsid w:val="00FD5DAC"/>
    <w:rsid w:val="00FD6D8E"/>
    <w:rsid w:val="00FD73CF"/>
    <w:rsid w:val="00FD79C4"/>
    <w:rsid w:val="00FD7E16"/>
    <w:rsid w:val="00FE0663"/>
    <w:rsid w:val="00FE0E94"/>
    <w:rsid w:val="00FE369C"/>
    <w:rsid w:val="00FE3AC4"/>
    <w:rsid w:val="00FE3CD9"/>
    <w:rsid w:val="00FE451F"/>
    <w:rsid w:val="00FE457A"/>
    <w:rsid w:val="00FE4A1D"/>
    <w:rsid w:val="00FE661A"/>
    <w:rsid w:val="00FE772B"/>
    <w:rsid w:val="00FF00BD"/>
    <w:rsid w:val="00FF02B4"/>
    <w:rsid w:val="00FF067C"/>
    <w:rsid w:val="00FF0B13"/>
    <w:rsid w:val="00FF0CB9"/>
    <w:rsid w:val="00FF1398"/>
    <w:rsid w:val="00FF1672"/>
    <w:rsid w:val="00FF1ED4"/>
    <w:rsid w:val="00FF2801"/>
    <w:rsid w:val="00FF4337"/>
    <w:rsid w:val="00FF49F1"/>
    <w:rsid w:val="00FF75D3"/>
    <w:rsid w:val="00FF799B"/>
    <w:rsid w:val="00FF7D6F"/>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B27F2C"/>
    <w:rsid w:val="0CF130DF"/>
    <w:rsid w:val="0CFE1DFD"/>
    <w:rsid w:val="0D4FC7CF"/>
    <w:rsid w:val="0D7D239E"/>
    <w:rsid w:val="0DC4E36E"/>
    <w:rsid w:val="0E5E506F"/>
    <w:rsid w:val="0F278906"/>
    <w:rsid w:val="0F5CF529"/>
    <w:rsid w:val="0F631E58"/>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BD8B051"/>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C878E70"/>
    <w:rsid w:val="2CEEB0A7"/>
    <w:rsid w:val="2D470254"/>
    <w:rsid w:val="2DECC312"/>
    <w:rsid w:val="2E4579D6"/>
    <w:rsid w:val="2EF0545B"/>
    <w:rsid w:val="2FC97F8A"/>
    <w:rsid w:val="300EDF22"/>
    <w:rsid w:val="3079EB0D"/>
    <w:rsid w:val="307D714D"/>
    <w:rsid w:val="3093AC95"/>
    <w:rsid w:val="30DD5E1A"/>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B363284"/>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2B53DF9"/>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6B822D0"/>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72"/>
    <w:qFormat/>
    <w:rsid w:val="00D86C52"/>
    <w:pPr>
      <w:numPr>
        <w:numId w:val="3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H18,Table HEADER PBAC"/>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FootnoteText">
    <w:name w:val="footnote text"/>
    <w:basedOn w:val="Normal"/>
    <w:link w:val="FootnoteTextChar"/>
    <w:semiHidden/>
    <w:unhideWhenUsed/>
    <w:rsid w:val="007A6576"/>
    <w:rPr>
      <w:sz w:val="20"/>
      <w:szCs w:val="20"/>
    </w:rPr>
  </w:style>
  <w:style w:type="character" w:customStyle="1" w:styleId="FootnoteTextChar">
    <w:name w:val="Footnote Text Char"/>
    <w:basedOn w:val="DefaultParagraphFont"/>
    <w:link w:val="FootnoteText"/>
    <w:semiHidden/>
    <w:rsid w:val="007A6576"/>
    <w:rPr>
      <w:rFonts w:ascii="Calibri" w:hAnsi="Calibri"/>
    </w:rPr>
  </w:style>
  <w:style w:type="character" w:styleId="FootnoteReference">
    <w:name w:val="footnote reference"/>
    <w:basedOn w:val="DefaultParagraphFont"/>
    <w:semiHidden/>
    <w:unhideWhenUsed/>
    <w:rsid w:val="007A6576"/>
    <w:rPr>
      <w:vertAlign w:val="superscript"/>
    </w:rPr>
  </w:style>
  <w:style w:type="character" w:styleId="Mention">
    <w:name w:val="Mention"/>
    <w:basedOn w:val="DefaultParagraphFont"/>
    <w:uiPriority w:val="99"/>
    <w:unhideWhenUsed/>
    <w:rsid w:val="00C621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49357072">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4A77-E5DC-44CB-BAF5-D6A35960D76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616D1F28-2FEC-4C83-A3E3-D19CC502152E}">
  <ds:schemaRefs>
    <ds:schemaRef ds:uri="http://schemas.microsoft.com/sharepoint/v3/contenttype/forms"/>
  </ds:schemaRefs>
</ds:datastoreItem>
</file>

<file path=customXml/itemProps3.xml><?xml version="1.0" encoding="utf-8"?>
<ds:datastoreItem xmlns:ds="http://schemas.openxmlformats.org/officeDocument/2006/customXml" ds:itemID="{493D057F-E35A-4C26-AAEA-5ACFC2CE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5380</Words>
  <Characters>29590</Characters>
  <Application>Microsoft Office Word</Application>
  <DocSecurity>0</DocSecurity>
  <Lines>870</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34406</CharactersWithSpaces>
  <SharedDoc>false</SharedDoc>
  <HLinks>
    <vt:vector size="18" baseType="variant">
      <vt:variant>
        <vt:i4>2490375</vt:i4>
      </vt:variant>
      <vt:variant>
        <vt:i4>6</vt:i4>
      </vt:variant>
      <vt:variant>
        <vt:i4>0</vt:i4>
      </vt:variant>
      <vt:variant>
        <vt:i4>5</vt:i4>
      </vt:variant>
      <vt:variant>
        <vt:lpwstr>mailto:Zoe.KRAL@Health.gov.au</vt:lpwstr>
      </vt:variant>
      <vt:variant>
        <vt:lpwstr/>
      </vt:variant>
      <vt:variant>
        <vt:i4>2818056</vt:i4>
      </vt:variant>
      <vt:variant>
        <vt:i4>3</vt:i4>
      </vt:variant>
      <vt:variant>
        <vt:i4>0</vt:i4>
      </vt:variant>
      <vt:variant>
        <vt:i4>5</vt:i4>
      </vt:variant>
      <vt:variant>
        <vt:lpwstr>mailto:Emilie.Bettington@health.gov.au</vt:lpwstr>
      </vt:variant>
      <vt:variant>
        <vt:lpwstr/>
      </vt:variant>
      <vt:variant>
        <vt:i4>2490375</vt:i4>
      </vt:variant>
      <vt:variant>
        <vt:i4>0</vt:i4>
      </vt:variant>
      <vt:variant>
        <vt:i4>0</vt:i4>
      </vt:variant>
      <vt:variant>
        <vt:i4>5</vt:i4>
      </vt:variant>
      <vt:variant>
        <vt:lpwstr>mailto:Zoe.KRAL@Health.gov.au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2026-05-05T02:19:00Z</dcterms:created>
  <dcterms:modified xsi:type="dcterms:W3CDTF">2026-07-06T08:04:00Z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400e541f,eaf2add,3bcb84e6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5d42b30c,22eb81d2,47750a30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2026-05-05T02:19:33Z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65f67245-bf40-47f1-bfe1-57ad01be39b2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