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6E8E7" w14:textId="3A281C5D" w:rsidR="00A979D9" w:rsidRPr="000717E1" w:rsidRDefault="00ED6F70" w:rsidP="007B332B">
      <w:pPr>
        <w:pStyle w:val="1-MainHeading"/>
        <w:spacing w:before="0" w:after="0"/>
        <w:ind w:left="992" w:hanging="992"/>
      </w:pPr>
      <w:bookmarkStart w:id="0" w:name="_Toc216174082"/>
      <w:bookmarkStart w:id="1" w:name="_Toc219880031"/>
      <w:r w:rsidRPr="000717E1">
        <w:t>6.04</w:t>
      </w:r>
      <w:r w:rsidR="00A979D9" w:rsidRPr="000717E1">
        <w:tab/>
      </w:r>
      <w:r w:rsidR="007644A2" w:rsidRPr="000717E1">
        <w:t>DUPILUMAB</w:t>
      </w:r>
      <w:r w:rsidR="00A979D9" w:rsidRPr="000717E1">
        <w:t>,</w:t>
      </w:r>
      <w:bookmarkEnd w:id="0"/>
      <w:bookmarkEnd w:id="1"/>
    </w:p>
    <w:p w14:paraId="3561C96C" w14:textId="78DCBBD7" w:rsidR="00A979D9" w:rsidRPr="000717E1" w:rsidRDefault="007644A2" w:rsidP="007B332B">
      <w:pPr>
        <w:ind w:left="992" w:hanging="992"/>
        <w:rPr>
          <w:rFonts w:cs="Calibri"/>
          <w:b/>
          <w:bCs/>
          <w:sz w:val="36"/>
          <w:szCs w:val="36"/>
        </w:rPr>
      </w:pPr>
      <w:r w:rsidRPr="000717E1">
        <w:rPr>
          <w:rFonts w:cs="Calibri"/>
          <w:b/>
          <w:bCs/>
          <w:sz w:val="36"/>
          <w:szCs w:val="36"/>
        </w:rPr>
        <w:tab/>
      </w:r>
      <w:r w:rsidR="00A979D9" w:rsidRPr="000717E1">
        <w:rPr>
          <w:rFonts w:cs="Calibri"/>
          <w:b/>
          <w:bCs/>
          <w:sz w:val="36"/>
          <w:szCs w:val="36"/>
        </w:rPr>
        <w:t>Injection 300 mg in 2 mL single dose pre</w:t>
      </w:r>
      <w:r w:rsidR="00C50542" w:rsidRPr="000717E1">
        <w:rPr>
          <w:rFonts w:cs="Calibri"/>
          <w:b/>
          <w:bCs/>
          <w:sz w:val="36"/>
          <w:szCs w:val="36"/>
        </w:rPr>
        <w:t>-</w:t>
      </w:r>
      <w:r w:rsidR="00A979D9" w:rsidRPr="000717E1">
        <w:rPr>
          <w:rFonts w:cs="Calibri"/>
          <w:b/>
          <w:bCs/>
          <w:sz w:val="36"/>
          <w:szCs w:val="36"/>
        </w:rPr>
        <w:t>filled syringe</w:t>
      </w:r>
      <w:r w:rsidR="00F67050" w:rsidRPr="000717E1">
        <w:rPr>
          <w:rFonts w:cs="Calibri"/>
          <w:b/>
          <w:bCs/>
          <w:sz w:val="36"/>
          <w:szCs w:val="36"/>
        </w:rPr>
        <w:t>,</w:t>
      </w:r>
    </w:p>
    <w:p w14:paraId="03791678" w14:textId="3D9950A2" w:rsidR="00A979D9" w:rsidRPr="000717E1" w:rsidRDefault="007644A2" w:rsidP="007B332B">
      <w:pPr>
        <w:ind w:left="992" w:hanging="992"/>
        <w:rPr>
          <w:rFonts w:cs="Calibri"/>
          <w:b/>
          <w:bCs/>
          <w:sz w:val="36"/>
          <w:szCs w:val="36"/>
        </w:rPr>
      </w:pPr>
      <w:r w:rsidRPr="000717E1">
        <w:rPr>
          <w:rFonts w:cs="Calibri"/>
          <w:b/>
          <w:bCs/>
          <w:sz w:val="36"/>
          <w:szCs w:val="36"/>
        </w:rPr>
        <w:tab/>
      </w:r>
      <w:r w:rsidR="00A979D9" w:rsidRPr="000717E1">
        <w:rPr>
          <w:rFonts w:cs="Calibri"/>
          <w:b/>
          <w:bCs/>
          <w:sz w:val="36"/>
          <w:szCs w:val="36"/>
        </w:rPr>
        <w:t>Injection 300 mg in 2 mL single dose pre</w:t>
      </w:r>
      <w:r w:rsidR="00C50542" w:rsidRPr="000717E1">
        <w:rPr>
          <w:rFonts w:cs="Calibri"/>
          <w:b/>
          <w:bCs/>
          <w:sz w:val="36"/>
          <w:szCs w:val="36"/>
        </w:rPr>
        <w:t>-</w:t>
      </w:r>
      <w:r w:rsidR="00A979D9" w:rsidRPr="000717E1">
        <w:rPr>
          <w:rFonts w:cs="Calibri"/>
          <w:b/>
          <w:bCs/>
          <w:sz w:val="36"/>
          <w:szCs w:val="36"/>
        </w:rPr>
        <w:t>filled pen</w:t>
      </w:r>
      <w:r w:rsidR="00F67050" w:rsidRPr="000717E1">
        <w:rPr>
          <w:rFonts w:cs="Calibri"/>
          <w:b/>
          <w:bCs/>
          <w:sz w:val="36"/>
          <w:szCs w:val="36"/>
        </w:rPr>
        <w:t>,</w:t>
      </w:r>
    </w:p>
    <w:p w14:paraId="575FB217" w14:textId="700751A3" w:rsidR="00A979D9" w:rsidRPr="0063284A" w:rsidRDefault="007644A2" w:rsidP="007B332B">
      <w:pPr>
        <w:ind w:left="992" w:hanging="992"/>
        <w:rPr>
          <w:rFonts w:cs="Calibri"/>
          <w:b/>
          <w:sz w:val="36"/>
          <w:szCs w:val="36"/>
          <w:lang w:val="fr-CH"/>
        </w:rPr>
      </w:pPr>
      <w:r w:rsidRPr="000717E1">
        <w:rPr>
          <w:rFonts w:cs="Calibri"/>
          <w:b/>
          <w:bCs/>
          <w:sz w:val="36"/>
          <w:szCs w:val="36"/>
        </w:rPr>
        <w:tab/>
      </w:r>
      <w:proofErr w:type="spellStart"/>
      <w:r w:rsidR="00A979D9" w:rsidRPr="0063284A">
        <w:rPr>
          <w:rFonts w:cs="Calibri"/>
          <w:b/>
          <w:sz w:val="36"/>
          <w:szCs w:val="36"/>
          <w:lang w:val="fr-CH"/>
        </w:rPr>
        <w:t>Dupixent</w:t>
      </w:r>
      <w:proofErr w:type="spellEnd"/>
      <w:r w:rsidR="00A979D9" w:rsidRPr="0063284A">
        <w:rPr>
          <w:rFonts w:cs="Calibri"/>
          <w:b/>
          <w:sz w:val="36"/>
          <w:szCs w:val="36"/>
          <w:lang w:val="fr-CH"/>
        </w:rPr>
        <w:t>®</w:t>
      </w:r>
      <w:r w:rsidR="00F67050" w:rsidRPr="0063284A">
        <w:rPr>
          <w:rFonts w:cs="Calibri"/>
          <w:b/>
          <w:sz w:val="36"/>
          <w:szCs w:val="36"/>
          <w:lang w:val="fr-CH"/>
        </w:rPr>
        <w:t>,</w:t>
      </w:r>
    </w:p>
    <w:p w14:paraId="0B6B361F" w14:textId="07590162" w:rsidR="00A979D9" w:rsidRPr="0063284A" w:rsidRDefault="007644A2" w:rsidP="000F14E8">
      <w:pPr>
        <w:ind w:left="992" w:hanging="992"/>
        <w:rPr>
          <w:rFonts w:cs="Calibri"/>
          <w:b/>
          <w:sz w:val="36"/>
          <w:szCs w:val="36"/>
          <w:lang w:val="fr-CH"/>
        </w:rPr>
      </w:pPr>
      <w:r w:rsidRPr="0063284A">
        <w:rPr>
          <w:rFonts w:cs="Calibri"/>
          <w:b/>
          <w:sz w:val="36"/>
          <w:szCs w:val="36"/>
          <w:lang w:val="fr-CH"/>
        </w:rPr>
        <w:tab/>
      </w:r>
      <w:r w:rsidR="00F74C8A" w:rsidRPr="0063284A">
        <w:rPr>
          <w:rFonts w:cs="Calibri"/>
          <w:b/>
          <w:sz w:val="36"/>
          <w:szCs w:val="36"/>
          <w:lang w:val="fr-CH"/>
        </w:rPr>
        <w:t>Sanofi-</w:t>
      </w:r>
      <w:r w:rsidR="00656D42" w:rsidRPr="0063284A">
        <w:rPr>
          <w:rFonts w:cs="Calibri"/>
          <w:b/>
          <w:sz w:val="36"/>
          <w:szCs w:val="36"/>
          <w:lang w:val="fr-CH"/>
        </w:rPr>
        <w:t xml:space="preserve">Aventis </w:t>
      </w:r>
      <w:proofErr w:type="spellStart"/>
      <w:r w:rsidR="00656D42" w:rsidRPr="0063284A">
        <w:rPr>
          <w:rFonts w:cs="Calibri"/>
          <w:b/>
          <w:sz w:val="36"/>
          <w:szCs w:val="36"/>
          <w:lang w:val="fr-CH"/>
        </w:rPr>
        <w:t>Australia</w:t>
      </w:r>
      <w:proofErr w:type="spellEnd"/>
      <w:r w:rsidR="00656D42" w:rsidRPr="0063284A">
        <w:rPr>
          <w:rFonts w:cs="Calibri"/>
          <w:b/>
          <w:sz w:val="36"/>
          <w:szCs w:val="36"/>
          <w:lang w:val="fr-CH"/>
        </w:rPr>
        <w:t xml:space="preserve"> </w:t>
      </w:r>
      <w:proofErr w:type="spellStart"/>
      <w:r w:rsidR="00656D42" w:rsidRPr="0063284A">
        <w:rPr>
          <w:rFonts w:cs="Calibri"/>
          <w:b/>
          <w:sz w:val="36"/>
          <w:szCs w:val="36"/>
          <w:lang w:val="fr-CH"/>
        </w:rPr>
        <w:t>Pty</w:t>
      </w:r>
      <w:proofErr w:type="spellEnd"/>
      <w:r w:rsidR="00656D42" w:rsidRPr="0063284A">
        <w:rPr>
          <w:rFonts w:cs="Calibri"/>
          <w:b/>
          <w:sz w:val="36"/>
          <w:szCs w:val="36"/>
          <w:lang w:val="fr-CH"/>
        </w:rPr>
        <w:t xml:space="preserve"> Ltd</w:t>
      </w:r>
    </w:p>
    <w:p w14:paraId="55AC7A53" w14:textId="77777777" w:rsidR="00A979D9" w:rsidRPr="000717E1" w:rsidRDefault="00A979D9" w:rsidP="00A979D9">
      <w:pPr>
        <w:pStyle w:val="2-SectionHeading"/>
      </w:pPr>
      <w:bookmarkStart w:id="2" w:name="_Toc216174083"/>
      <w:bookmarkStart w:id="3" w:name="_Toc219880032"/>
      <w:r w:rsidRPr="000717E1">
        <w:t>Purpose of submission</w:t>
      </w:r>
      <w:bookmarkEnd w:id="2"/>
      <w:bookmarkEnd w:id="3"/>
    </w:p>
    <w:p w14:paraId="241B881C" w14:textId="48F5F63C" w:rsidR="00ED2187" w:rsidRPr="000717E1" w:rsidRDefault="00A979D9" w:rsidP="00A979D9">
      <w:pPr>
        <w:pStyle w:val="3-BodyText"/>
      </w:pPr>
      <w:r w:rsidRPr="000717E1">
        <w:t xml:space="preserve">The Category 1 submission requested a </w:t>
      </w:r>
      <w:r w:rsidR="00DC4484" w:rsidRPr="000717E1">
        <w:t xml:space="preserve">General Schedule, Authority Required </w:t>
      </w:r>
      <w:r w:rsidRPr="000717E1">
        <w:t>listing for dupilumab as</w:t>
      </w:r>
      <w:r w:rsidR="002F3288" w:rsidRPr="000717E1">
        <w:t xml:space="preserve"> an</w:t>
      </w:r>
      <w:r w:rsidRPr="000717E1">
        <w:t xml:space="preserve"> add-on maintenance treatment for adults with uncontrolled </w:t>
      </w:r>
      <w:r w:rsidR="00AC0FA8" w:rsidRPr="000717E1">
        <w:t>chronic obstructive pulmonary disease (</w:t>
      </w:r>
      <w:r w:rsidRPr="000717E1">
        <w:t>COPD</w:t>
      </w:r>
      <w:r w:rsidR="00AC0FA8" w:rsidRPr="000717E1">
        <w:t>)</w:t>
      </w:r>
      <w:r w:rsidRPr="000717E1">
        <w:t xml:space="preserve"> </w:t>
      </w:r>
      <w:r w:rsidR="00032CC1" w:rsidRPr="000717E1">
        <w:t xml:space="preserve">and </w:t>
      </w:r>
      <w:r w:rsidR="00EB5199" w:rsidRPr="000717E1">
        <w:t>t</w:t>
      </w:r>
      <w:r w:rsidR="00032CC1" w:rsidRPr="000717E1">
        <w:t>ype 2 inflammation (defined by the submission as blood eosinophil</w:t>
      </w:r>
      <w:r w:rsidR="00A03103">
        <w:t xml:space="preserve"> count (BEC)</w:t>
      </w:r>
      <w:r w:rsidR="00032CC1" w:rsidRPr="000717E1">
        <w:t xml:space="preserve"> ≥ 300 cells/µL)</w:t>
      </w:r>
      <w:r w:rsidR="00DB7E04" w:rsidRPr="000717E1">
        <w:t xml:space="preserve">. The proposed use of dupilumab is </w:t>
      </w:r>
      <w:r w:rsidR="00CD0B0C" w:rsidRPr="000717E1">
        <w:t xml:space="preserve">in </w:t>
      </w:r>
      <w:r w:rsidR="00DB7E04" w:rsidRPr="000717E1">
        <w:t>combination with</w:t>
      </w:r>
      <w:r w:rsidRPr="000717E1">
        <w:t xml:space="preserve"> stable </w:t>
      </w:r>
      <w:r w:rsidR="00A50729" w:rsidRPr="000717E1">
        <w:t>triple inhaled therapy, including</w:t>
      </w:r>
      <w:r w:rsidRPr="000717E1">
        <w:t xml:space="preserve"> an </w:t>
      </w:r>
      <w:r w:rsidR="00032CC1" w:rsidRPr="000717E1">
        <w:t>inhaled corticosteroid (</w:t>
      </w:r>
      <w:r w:rsidRPr="000717E1">
        <w:t>ICS</w:t>
      </w:r>
      <w:r w:rsidR="00032CC1" w:rsidRPr="000717E1">
        <w:t>)</w:t>
      </w:r>
      <w:r w:rsidRPr="000717E1">
        <w:t xml:space="preserve">, a </w:t>
      </w:r>
      <w:r w:rsidR="00032CC1" w:rsidRPr="000717E1">
        <w:t>long-acting beta-2 agonist (</w:t>
      </w:r>
      <w:r w:rsidRPr="000717E1">
        <w:t>LABA</w:t>
      </w:r>
      <w:r w:rsidR="00032CC1" w:rsidRPr="000717E1">
        <w:t>)</w:t>
      </w:r>
      <w:r w:rsidRPr="000717E1">
        <w:t xml:space="preserve">, and a </w:t>
      </w:r>
      <w:r w:rsidR="00032CC1" w:rsidRPr="000717E1">
        <w:t>long-acting muscarinic agonist (</w:t>
      </w:r>
      <w:r w:rsidRPr="000717E1">
        <w:t>LAMA</w:t>
      </w:r>
      <w:r w:rsidR="00032CC1" w:rsidRPr="000717E1">
        <w:t>)</w:t>
      </w:r>
      <w:r w:rsidRPr="000717E1">
        <w:t xml:space="preserve">. </w:t>
      </w:r>
    </w:p>
    <w:p w14:paraId="54DD99AB" w14:textId="2C96F0A0" w:rsidR="00A979D9" w:rsidRPr="000717E1" w:rsidRDefault="00A979D9" w:rsidP="00A979D9">
      <w:pPr>
        <w:pStyle w:val="3-BodyText"/>
      </w:pPr>
      <w:r w:rsidRPr="000717E1">
        <w:t xml:space="preserve">Listing was requested </w:t>
      </w:r>
      <w:proofErr w:type="gramStart"/>
      <w:r w:rsidRPr="000717E1">
        <w:t>on the basis of</w:t>
      </w:r>
      <w:proofErr w:type="gramEnd"/>
      <w:r w:rsidRPr="000717E1">
        <w:t xml:space="preserve"> a cost-effectiveness analysis versus triple inhaled therapy (LABA + LAMA + ICS) alone. The components of the overall clinical claim addressed by the submission are summarised in </w:t>
      </w:r>
      <w:r w:rsidRPr="000717E1">
        <w:fldChar w:fldCharType="begin"/>
      </w:r>
      <w:r w:rsidRPr="000717E1">
        <w:instrText xml:space="preserve"> REF _Ref215848472 \h </w:instrText>
      </w:r>
      <w:r w:rsidRPr="000717E1">
        <w:fldChar w:fldCharType="separate"/>
      </w:r>
      <w:r w:rsidR="00281F45" w:rsidRPr="000717E1">
        <w:t xml:space="preserve">Table </w:t>
      </w:r>
      <w:r w:rsidR="00281F45">
        <w:rPr>
          <w:noProof/>
        </w:rPr>
        <w:t>1</w:t>
      </w:r>
      <w:r w:rsidRPr="000717E1">
        <w:fldChar w:fldCharType="end"/>
      </w:r>
      <w:r w:rsidRPr="000717E1">
        <w:t>.</w:t>
      </w:r>
    </w:p>
    <w:p w14:paraId="545D14F4" w14:textId="00480436" w:rsidR="00A979D9" w:rsidRPr="000717E1" w:rsidRDefault="00A979D9" w:rsidP="00A979D9">
      <w:pPr>
        <w:pStyle w:val="TableFigureHeading"/>
        <w:rPr>
          <w:rStyle w:val="CommentReference"/>
          <w:b/>
          <w:szCs w:val="24"/>
        </w:rPr>
      </w:pPr>
      <w:bookmarkStart w:id="4" w:name="_Ref215848472"/>
      <w:r w:rsidRPr="000717E1">
        <w:t xml:space="preserve">Table </w:t>
      </w:r>
      <w:fldSimple w:instr=" SEQ Table \* ARABIC ">
        <w:r w:rsidR="00281F45">
          <w:rPr>
            <w:noProof/>
          </w:rPr>
          <w:t>1</w:t>
        </w:r>
      </w:fldSimple>
      <w:bookmarkEnd w:id="4"/>
      <w:r w:rsidRPr="000717E1">
        <w:t>:</w:t>
      </w:r>
      <w:r w:rsidRPr="000717E1">
        <w:rPr>
          <w:rStyle w:val="CommentReference"/>
          <w:b/>
          <w:szCs w:val="24"/>
        </w:rPr>
        <w:t xml:space="preserve"> Key components of the clinical issue addressed by the submission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1: Key components of the clinical issue addressed by the submission (as stated in the submission)"/>
      </w:tblPr>
      <w:tblGrid>
        <w:gridCol w:w="1665"/>
        <w:gridCol w:w="7345"/>
      </w:tblGrid>
      <w:tr w:rsidR="00A979D9" w:rsidRPr="000717E1" w14:paraId="1449C6A1" w14:textId="77777777">
        <w:trPr>
          <w:cantSplit/>
          <w:tblHeader/>
        </w:trPr>
        <w:tc>
          <w:tcPr>
            <w:tcW w:w="924" w:type="pct"/>
          </w:tcPr>
          <w:p w14:paraId="11F9BAB2" w14:textId="77777777" w:rsidR="00A979D9" w:rsidRPr="000717E1" w:rsidRDefault="00A979D9">
            <w:pPr>
              <w:pStyle w:val="Tabletext"/>
              <w:rPr>
                <w:b/>
                <w:bCs/>
                <w:szCs w:val="20"/>
              </w:rPr>
            </w:pPr>
            <w:r w:rsidRPr="000717E1">
              <w:rPr>
                <w:b/>
                <w:bCs/>
                <w:szCs w:val="20"/>
              </w:rPr>
              <w:t>Component</w:t>
            </w:r>
          </w:p>
        </w:tc>
        <w:tc>
          <w:tcPr>
            <w:tcW w:w="4076" w:type="pct"/>
          </w:tcPr>
          <w:p w14:paraId="347C0147" w14:textId="77777777" w:rsidR="00A979D9" w:rsidRPr="000717E1" w:rsidRDefault="00A979D9">
            <w:pPr>
              <w:pStyle w:val="Tabletext"/>
              <w:rPr>
                <w:b/>
                <w:bCs/>
                <w:szCs w:val="20"/>
              </w:rPr>
            </w:pPr>
            <w:r w:rsidRPr="000717E1">
              <w:rPr>
                <w:b/>
                <w:bCs/>
                <w:szCs w:val="20"/>
              </w:rPr>
              <w:t>Description</w:t>
            </w:r>
          </w:p>
        </w:tc>
      </w:tr>
      <w:tr w:rsidR="00A979D9" w:rsidRPr="000717E1" w14:paraId="495B6AC6" w14:textId="77777777">
        <w:trPr>
          <w:cantSplit/>
        </w:trPr>
        <w:tc>
          <w:tcPr>
            <w:tcW w:w="924" w:type="pct"/>
          </w:tcPr>
          <w:p w14:paraId="6D55CD0D" w14:textId="77777777" w:rsidR="00A979D9" w:rsidRPr="000717E1" w:rsidRDefault="00A979D9">
            <w:pPr>
              <w:pStyle w:val="TableText0"/>
              <w:rPr>
                <w:sz w:val="20"/>
                <w:szCs w:val="20"/>
              </w:rPr>
            </w:pPr>
            <w:r w:rsidRPr="000717E1">
              <w:rPr>
                <w:sz w:val="20"/>
                <w:szCs w:val="20"/>
              </w:rPr>
              <w:t>Population</w:t>
            </w:r>
          </w:p>
        </w:tc>
        <w:tc>
          <w:tcPr>
            <w:tcW w:w="4076" w:type="pct"/>
            <w:vAlign w:val="center"/>
          </w:tcPr>
          <w:p w14:paraId="0FA85F44" w14:textId="10877FC7" w:rsidR="00A979D9" w:rsidRPr="000717E1" w:rsidRDefault="00A979D9">
            <w:pPr>
              <w:pStyle w:val="TableText0"/>
              <w:rPr>
                <w:sz w:val="20"/>
                <w:szCs w:val="20"/>
              </w:rPr>
            </w:pPr>
            <w:r w:rsidRPr="000717E1">
              <w:rPr>
                <w:sz w:val="20"/>
                <w:szCs w:val="20"/>
              </w:rPr>
              <w:t xml:space="preserve">Patients with uncontrolled </w:t>
            </w:r>
            <w:proofErr w:type="spellStart"/>
            <w:r w:rsidRPr="000717E1">
              <w:rPr>
                <w:sz w:val="20"/>
                <w:szCs w:val="20"/>
              </w:rPr>
              <w:t>COPD</w:t>
            </w:r>
            <w:r w:rsidRPr="000717E1">
              <w:rPr>
                <w:sz w:val="20"/>
                <w:szCs w:val="20"/>
                <w:vertAlign w:val="superscript"/>
              </w:rPr>
              <w:t>a</w:t>
            </w:r>
            <w:proofErr w:type="spellEnd"/>
            <w:r w:rsidRPr="000717E1">
              <w:rPr>
                <w:sz w:val="20"/>
                <w:szCs w:val="20"/>
              </w:rPr>
              <w:t xml:space="preserve"> with type 2 inflammation (defined by the submission as blood eosinophil</w:t>
            </w:r>
            <w:r w:rsidR="00180EC0">
              <w:rPr>
                <w:sz w:val="20"/>
                <w:szCs w:val="20"/>
              </w:rPr>
              <w:t xml:space="preserve"> count</w:t>
            </w:r>
            <w:r w:rsidRPr="000717E1">
              <w:rPr>
                <w:sz w:val="20"/>
                <w:szCs w:val="20"/>
              </w:rPr>
              <w:t xml:space="preserve"> ≥ 300 cells/µL) despite treatment with triple therapy.</w:t>
            </w:r>
          </w:p>
        </w:tc>
      </w:tr>
      <w:tr w:rsidR="00A979D9" w:rsidRPr="000717E1" w14:paraId="7ECB393A" w14:textId="77777777">
        <w:trPr>
          <w:cantSplit/>
        </w:trPr>
        <w:tc>
          <w:tcPr>
            <w:tcW w:w="924" w:type="pct"/>
          </w:tcPr>
          <w:p w14:paraId="531C1B2D" w14:textId="77777777" w:rsidR="00A979D9" w:rsidRPr="000717E1" w:rsidRDefault="00A979D9">
            <w:pPr>
              <w:pStyle w:val="TableText0"/>
              <w:rPr>
                <w:sz w:val="20"/>
                <w:szCs w:val="20"/>
              </w:rPr>
            </w:pPr>
            <w:r w:rsidRPr="000717E1">
              <w:rPr>
                <w:sz w:val="20"/>
                <w:szCs w:val="20"/>
              </w:rPr>
              <w:t>Intervention</w:t>
            </w:r>
          </w:p>
        </w:tc>
        <w:tc>
          <w:tcPr>
            <w:tcW w:w="4076" w:type="pct"/>
            <w:vAlign w:val="center"/>
          </w:tcPr>
          <w:p w14:paraId="784B60BD" w14:textId="77777777" w:rsidR="00A979D9" w:rsidRPr="000717E1" w:rsidRDefault="00A979D9">
            <w:pPr>
              <w:pStyle w:val="TableText0"/>
              <w:rPr>
                <w:sz w:val="20"/>
                <w:szCs w:val="20"/>
              </w:rPr>
            </w:pPr>
            <w:r w:rsidRPr="000717E1">
              <w:rPr>
                <w:sz w:val="20"/>
                <w:szCs w:val="20"/>
              </w:rPr>
              <w:t>Dupilumab 300 mg administered subcutaneously Q2W as an add-on to triple therapy (LAMA + LABA + ICS)</w:t>
            </w:r>
          </w:p>
        </w:tc>
      </w:tr>
      <w:tr w:rsidR="00A979D9" w:rsidRPr="000717E1" w14:paraId="70626305" w14:textId="77777777">
        <w:trPr>
          <w:cantSplit/>
        </w:trPr>
        <w:tc>
          <w:tcPr>
            <w:tcW w:w="924" w:type="pct"/>
          </w:tcPr>
          <w:p w14:paraId="555F6EF7" w14:textId="77777777" w:rsidR="00A979D9" w:rsidRPr="000717E1" w:rsidRDefault="00A979D9">
            <w:pPr>
              <w:pStyle w:val="TableText0"/>
              <w:rPr>
                <w:sz w:val="20"/>
                <w:szCs w:val="20"/>
              </w:rPr>
            </w:pPr>
            <w:r w:rsidRPr="000717E1">
              <w:rPr>
                <w:sz w:val="20"/>
                <w:szCs w:val="20"/>
              </w:rPr>
              <w:t>Comparator</w:t>
            </w:r>
          </w:p>
        </w:tc>
        <w:tc>
          <w:tcPr>
            <w:tcW w:w="4076" w:type="pct"/>
            <w:vAlign w:val="center"/>
          </w:tcPr>
          <w:p w14:paraId="4930CE2D" w14:textId="77777777" w:rsidR="00A979D9" w:rsidRPr="000717E1" w:rsidRDefault="00A979D9">
            <w:pPr>
              <w:pStyle w:val="TableText0"/>
              <w:rPr>
                <w:sz w:val="20"/>
                <w:szCs w:val="20"/>
              </w:rPr>
            </w:pPr>
            <w:r w:rsidRPr="000717E1">
              <w:rPr>
                <w:sz w:val="20"/>
                <w:szCs w:val="20"/>
              </w:rPr>
              <w:t>Triple inhaled therapy alone (LAMA + LABA + ICS)</w:t>
            </w:r>
          </w:p>
        </w:tc>
      </w:tr>
      <w:tr w:rsidR="00A979D9" w:rsidRPr="000717E1" w14:paraId="768D9F6E" w14:textId="77777777">
        <w:trPr>
          <w:cantSplit/>
        </w:trPr>
        <w:tc>
          <w:tcPr>
            <w:tcW w:w="924" w:type="pct"/>
          </w:tcPr>
          <w:p w14:paraId="097DAC62" w14:textId="77777777" w:rsidR="00A979D9" w:rsidRPr="000717E1" w:rsidRDefault="00A979D9">
            <w:pPr>
              <w:pStyle w:val="TableText0"/>
              <w:rPr>
                <w:sz w:val="20"/>
                <w:szCs w:val="20"/>
              </w:rPr>
            </w:pPr>
            <w:r w:rsidRPr="000717E1">
              <w:rPr>
                <w:sz w:val="20"/>
                <w:szCs w:val="20"/>
              </w:rPr>
              <w:t>Outcomes</w:t>
            </w:r>
          </w:p>
        </w:tc>
        <w:tc>
          <w:tcPr>
            <w:tcW w:w="4076" w:type="pct"/>
            <w:vAlign w:val="center"/>
          </w:tcPr>
          <w:p w14:paraId="354ADEEE" w14:textId="1FD05010" w:rsidR="00A979D9" w:rsidRPr="000717E1" w:rsidRDefault="00A979D9">
            <w:pPr>
              <w:pStyle w:val="TableText0"/>
              <w:rPr>
                <w:sz w:val="20"/>
                <w:szCs w:val="20"/>
              </w:rPr>
            </w:pPr>
            <w:r w:rsidRPr="000717E1">
              <w:rPr>
                <w:sz w:val="20"/>
                <w:szCs w:val="20"/>
              </w:rPr>
              <w:t xml:space="preserve">Primary: Annualised rate of moderate to severe </w:t>
            </w:r>
            <w:r w:rsidR="00D1725D" w:rsidRPr="000717E1">
              <w:rPr>
                <w:sz w:val="20"/>
                <w:szCs w:val="20"/>
              </w:rPr>
              <w:t xml:space="preserve">acute </w:t>
            </w:r>
            <w:r w:rsidRPr="000717E1">
              <w:rPr>
                <w:sz w:val="20"/>
                <w:szCs w:val="20"/>
              </w:rPr>
              <w:t xml:space="preserve">exacerbations </w:t>
            </w:r>
            <w:r w:rsidR="009D6206" w:rsidRPr="000717E1">
              <w:rPr>
                <w:sz w:val="20"/>
                <w:szCs w:val="20"/>
              </w:rPr>
              <w:t xml:space="preserve">of </w:t>
            </w:r>
            <w:r w:rsidR="00D1725D" w:rsidRPr="000717E1">
              <w:rPr>
                <w:sz w:val="20"/>
                <w:szCs w:val="20"/>
              </w:rPr>
              <w:t xml:space="preserve">COPD </w:t>
            </w:r>
            <w:r w:rsidRPr="000717E1">
              <w:rPr>
                <w:sz w:val="20"/>
                <w:szCs w:val="20"/>
              </w:rPr>
              <w:t>(AECOPD)</w:t>
            </w:r>
          </w:p>
          <w:p w14:paraId="14571433" w14:textId="77777777" w:rsidR="00A979D9" w:rsidRPr="000717E1" w:rsidRDefault="00A979D9">
            <w:pPr>
              <w:pStyle w:val="TableText0"/>
              <w:rPr>
                <w:sz w:val="20"/>
                <w:szCs w:val="20"/>
              </w:rPr>
            </w:pPr>
            <w:r w:rsidRPr="000717E1">
              <w:rPr>
                <w:sz w:val="20"/>
                <w:szCs w:val="20"/>
              </w:rPr>
              <w:t xml:space="preserve">Key secondary: </w:t>
            </w:r>
          </w:p>
          <w:p w14:paraId="6BAEA3CB" w14:textId="7282FEF0" w:rsidR="00A979D9" w:rsidRPr="000717E1" w:rsidRDefault="00A979D9" w:rsidP="0060791D">
            <w:pPr>
              <w:pStyle w:val="TableText0"/>
              <w:numPr>
                <w:ilvl w:val="0"/>
                <w:numId w:val="13"/>
              </w:numPr>
              <w:rPr>
                <w:sz w:val="20"/>
                <w:szCs w:val="20"/>
              </w:rPr>
            </w:pPr>
            <w:r w:rsidRPr="000717E1">
              <w:rPr>
                <w:sz w:val="20"/>
                <w:szCs w:val="20"/>
              </w:rPr>
              <w:t xml:space="preserve">Time to </w:t>
            </w:r>
            <w:r w:rsidR="00F47F96">
              <w:rPr>
                <w:sz w:val="20"/>
                <w:szCs w:val="20"/>
              </w:rPr>
              <w:t>first moderate/severe</w:t>
            </w:r>
            <w:r w:rsidRPr="000717E1">
              <w:rPr>
                <w:sz w:val="20"/>
                <w:szCs w:val="20"/>
              </w:rPr>
              <w:t xml:space="preserve"> AECOPD </w:t>
            </w:r>
          </w:p>
          <w:p w14:paraId="25CE9696" w14:textId="77777777" w:rsidR="00A979D9" w:rsidRPr="000717E1" w:rsidRDefault="00A979D9" w:rsidP="0060791D">
            <w:pPr>
              <w:pStyle w:val="TableText0"/>
              <w:numPr>
                <w:ilvl w:val="0"/>
                <w:numId w:val="13"/>
              </w:numPr>
              <w:rPr>
                <w:sz w:val="20"/>
                <w:szCs w:val="20"/>
              </w:rPr>
            </w:pPr>
            <w:r w:rsidRPr="000717E1">
              <w:rPr>
                <w:sz w:val="20"/>
                <w:szCs w:val="20"/>
              </w:rPr>
              <w:t>Change in pre-bronchodilator FEV</w:t>
            </w:r>
            <w:r w:rsidRPr="000717E1">
              <w:rPr>
                <w:sz w:val="20"/>
                <w:szCs w:val="20"/>
                <w:vertAlign w:val="subscript"/>
              </w:rPr>
              <w:t>1</w:t>
            </w:r>
            <w:r w:rsidRPr="000717E1">
              <w:rPr>
                <w:sz w:val="20"/>
                <w:szCs w:val="20"/>
              </w:rPr>
              <w:t xml:space="preserve"> from baseline to Week 12 and Week 52</w:t>
            </w:r>
          </w:p>
          <w:p w14:paraId="0173CB71" w14:textId="77777777" w:rsidR="00A979D9" w:rsidRPr="000717E1" w:rsidRDefault="00A979D9" w:rsidP="0060791D">
            <w:pPr>
              <w:pStyle w:val="TableText0"/>
              <w:numPr>
                <w:ilvl w:val="0"/>
                <w:numId w:val="13"/>
              </w:numPr>
              <w:rPr>
                <w:sz w:val="20"/>
                <w:szCs w:val="20"/>
              </w:rPr>
            </w:pPr>
            <w:r w:rsidRPr="000717E1">
              <w:rPr>
                <w:sz w:val="20"/>
                <w:szCs w:val="20"/>
              </w:rPr>
              <w:t>Change in St George Respiratory Questionnaire (SGRQ) total score from baseline to Week 52</w:t>
            </w:r>
          </w:p>
          <w:p w14:paraId="52506473" w14:textId="77777777" w:rsidR="00A979D9" w:rsidRPr="000717E1" w:rsidRDefault="00A979D9" w:rsidP="0060791D">
            <w:pPr>
              <w:pStyle w:val="TableText0"/>
              <w:numPr>
                <w:ilvl w:val="0"/>
                <w:numId w:val="13"/>
              </w:numPr>
              <w:rPr>
                <w:sz w:val="20"/>
                <w:szCs w:val="20"/>
              </w:rPr>
            </w:pPr>
            <w:r w:rsidRPr="000717E1">
              <w:rPr>
                <w:sz w:val="20"/>
                <w:szCs w:val="20"/>
              </w:rPr>
              <w:t>Proportion of patients with improvement ≥ 4 points of SGRQ total score at Week 52</w:t>
            </w:r>
          </w:p>
          <w:p w14:paraId="712A64AB" w14:textId="77777777" w:rsidR="00A979D9" w:rsidRPr="000717E1" w:rsidRDefault="00A979D9" w:rsidP="0060791D">
            <w:pPr>
              <w:pStyle w:val="TableText0"/>
              <w:numPr>
                <w:ilvl w:val="0"/>
                <w:numId w:val="13"/>
              </w:numPr>
              <w:rPr>
                <w:sz w:val="20"/>
                <w:szCs w:val="20"/>
              </w:rPr>
            </w:pPr>
            <w:r w:rsidRPr="000717E1">
              <w:rPr>
                <w:sz w:val="20"/>
                <w:szCs w:val="20"/>
              </w:rPr>
              <w:t>Change in E-RS: COPD total score from baseline to Week 52</w:t>
            </w:r>
          </w:p>
          <w:p w14:paraId="0264F813" w14:textId="77777777" w:rsidR="00A979D9" w:rsidRPr="000717E1" w:rsidRDefault="00A979D9" w:rsidP="0060791D">
            <w:pPr>
              <w:pStyle w:val="TableText0"/>
              <w:numPr>
                <w:ilvl w:val="0"/>
                <w:numId w:val="13"/>
              </w:numPr>
              <w:rPr>
                <w:sz w:val="20"/>
                <w:szCs w:val="20"/>
              </w:rPr>
            </w:pPr>
            <w:r w:rsidRPr="000717E1">
              <w:rPr>
                <w:sz w:val="20"/>
                <w:szCs w:val="20"/>
              </w:rPr>
              <w:t>Safety</w:t>
            </w:r>
          </w:p>
        </w:tc>
      </w:tr>
      <w:tr w:rsidR="00A979D9" w:rsidRPr="000717E1" w14:paraId="0118E449" w14:textId="77777777">
        <w:trPr>
          <w:cantSplit/>
        </w:trPr>
        <w:tc>
          <w:tcPr>
            <w:tcW w:w="924" w:type="pct"/>
          </w:tcPr>
          <w:p w14:paraId="322A3773" w14:textId="77777777" w:rsidR="00A979D9" w:rsidRPr="000717E1" w:rsidRDefault="00A979D9">
            <w:pPr>
              <w:pStyle w:val="TableText0"/>
              <w:rPr>
                <w:sz w:val="20"/>
                <w:szCs w:val="20"/>
              </w:rPr>
            </w:pPr>
            <w:r w:rsidRPr="000717E1">
              <w:rPr>
                <w:sz w:val="20"/>
                <w:szCs w:val="20"/>
              </w:rPr>
              <w:t>Clinical claim</w:t>
            </w:r>
          </w:p>
        </w:tc>
        <w:tc>
          <w:tcPr>
            <w:tcW w:w="4076" w:type="pct"/>
            <w:vAlign w:val="center"/>
          </w:tcPr>
          <w:p w14:paraId="189E0455" w14:textId="77777777" w:rsidR="00A979D9" w:rsidRPr="000717E1" w:rsidRDefault="00A979D9">
            <w:pPr>
              <w:pStyle w:val="TableText0"/>
              <w:rPr>
                <w:rFonts w:eastAsia="Times New Roman" w:cs="Arial"/>
                <w:snapToGrid w:val="0"/>
                <w:color w:val="0066FF"/>
                <w:sz w:val="20"/>
                <w:szCs w:val="20"/>
              </w:rPr>
            </w:pPr>
            <w:r w:rsidRPr="000717E1">
              <w:rPr>
                <w:sz w:val="20"/>
                <w:szCs w:val="20"/>
              </w:rPr>
              <w:t>Dupilumab 300 mg Q2W + triple therapy consisting of ICS + LABA + LAMA is superior in terms of efficacy and non-inferior in terms of safety compared to triple therapy (LAMA+LABA+ICS) alone, for the treatment of uncontrolled COPD with type 2 inflammation.</w:t>
            </w:r>
          </w:p>
        </w:tc>
      </w:tr>
    </w:tbl>
    <w:p w14:paraId="32FA68DC" w14:textId="77777777" w:rsidR="00A979D9" w:rsidRPr="000717E1" w:rsidRDefault="00A979D9" w:rsidP="005B63F4">
      <w:pPr>
        <w:pStyle w:val="TableFigureFooter"/>
      </w:pPr>
      <w:r w:rsidRPr="000717E1">
        <w:t>Source: Table 1.1 p2 of the submission.</w:t>
      </w:r>
    </w:p>
    <w:p w14:paraId="4B959D6F" w14:textId="6591A981" w:rsidR="00A979D9" w:rsidRPr="000717E1" w:rsidRDefault="00A979D9" w:rsidP="005B63F4">
      <w:pPr>
        <w:pStyle w:val="TableFigureFooter"/>
      </w:pPr>
      <w:r w:rsidRPr="000717E1">
        <w:t xml:space="preserve">AECOPD = </w:t>
      </w:r>
      <w:r w:rsidR="00D1725D" w:rsidRPr="000717E1">
        <w:t>acute exacerbations of</w:t>
      </w:r>
      <w:r w:rsidRPr="000717E1">
        <w:t xml:space="preserve"> COPD; COPD = chronic obstructive pulmonary disease; E-RS: COPD = Evaluating Respiratory Symptoms (E-RS) in COPD; FEV</w:t>
      </w:r>
      <w:r w:rsidRPr="000717E1">
        <w:rPr>
          <w:vertAlign w:val="subscript"/>
        </w:rPr>
        <w:t>1</w:t>
      </w:r>
      <w:r w:rsidRPr="000717E1">
        <w:t xml:space="preserve"> = forced expiratory volume in one second; ICS = inhaled corticosteroid; LABA = long-acting beta-2 agonist; LAMA = long-acting muscarinic antagonist; Q2W = every 2 weeks; SGRQ = St George Respiratory Questionnaire.</w:t>
      </w:r>
    </w:p>
    <w:p w14:paraId="45C584AD" w14:textId="77777777" w:rsidR="00A979D9" w:rsidRPr="000717E1" w:rsidRDefault="00A979D9" w:rsidP="005B63F4">
      <w:pPr>
        <w:pStyle w:val="TableFigureFooter"/>
        <w:rPr>
          <w:sz w:val="20"/>
        </w:rPr>
      </w:pPr>
      <w:r w:rsidRPr="000717E1">
        <w:rPr>
          <w:vertAlign w:val="superscript"/>
        </w:rPr>
        <w:t>a</w:t>
      </w:r>
      <w:r w:rsidRPr="000717E1">
        <w:t xml:space="preserve"> Uncontrolled COPD defined in terms of patients with moderate to severe air flow obstruction (post-bronchodilator FEV</w:t>
      </w:r>
      <w:r w:rsidRPr="000717E1">
        <w:rPr>
          <w:vertAlign w:val="subscript"/>
        </w:rPr>
        <w:t>1</w:t>
      </w:r>
      <w:r w:rsidRPr="000717E1">
        <w:t xml:space="preserve"> &lt;80%) and who have experienced ≥ 2 moderate (an exacerbation that requires systemic corticosteroids and/or antibiotics to treat, with one of the two requiring systemic corticosteroids) or ≥ 1 severe exacerbation (an exacerbation requiring hospitalisation).</w:t>
      </w:r>
    </w:p>
    <w:p w14:paraId="7348D45A" w14:textId="77777777" w:rsidR="00A979D9" w:rsidRPr="000717E1" w:rsidRDefault="00A979D9" w:rsidP="00A979D9">
      <w:pPr>
        <w:pStyle w:val="2-SectionHeading"/>
      </w:pPr>
      <w:bookmarkStart w:id="5" w:name="_Toc216174084"/>
      <w:bookmarkStart w:id="6" w:name="_Toc219880033"/>
      <w:r w:rsidRPr="000717E1">
        <w:lastRenderedPageBreak/>
        <w:t>Background</w:t>
      </w:r>
      <w:bookmarkEnd w:id="5"/>
      <w:bookmarkEnd w:id="6"/>
    </w:p>
    <w:p w14:paraId="4C078398" w14:textId="77777777" w:rsidR="00A979D9" w:rsidRPr="000717E1" w:rsidRDefault="00A979D9" w:rsidP="00A979D9">
      <w:pPr>
        <w:pStyle w:val="4-SubsectionHeading"/>
      </w:pPr>
      <w:bookmarkStart w:id="7" w:name="_Toc22897638"/>
      <w:bookmarkStart w:id="8" w:name="_Toc216174085"/>
      <w:bookmarkStart w:id="9" w:name="_Toc219880034"/>
      <w:r w:rsidRPr="000717E1">
        <w:t>Registration status</w:t>
      </w:r>
      <w:bookmarkEnd w:id="7"/>
      <w:bookmarkEnd w:id="8"/>
      <w:bookmarkEnd w:id="9"/>
    </w:p>
    <w:p w14:paraId="719511B0" w14:textId="7B4100B1" w:rsidR="004B24B7" w:rsidRPr="000717E1" w:rsidRDefault="00A979D9" w:rsidP="00A979D9">
      <w:pPr>
        <w:pStyle w:val="3-BodyText"/>
      </w:pPr>
      <w:r w:rsidRPr="000717E1">
        <w:t xml:space="preserve">Dupilumab was approved by the TGA on 26 February 2025 for the following indication: “Dupilumab is indicated in adults as add-on maintenance treatment for uncontrolled COPD characterised by raised blood eosinophils on a stable combination of ICS, a LABA, and a LAMA, or on a combination of a LABA and a LAMA if ICS is not appropriate.” </w:t>
      </w:r>
      <w:bookmarkStart w:id="10" w:name="_Hlk216455445"/>
      <w:r w:rsidRPr="000717E1">
        <w:t xml:space="preserve">The TGA indication does not specify a cut-off for blood eosinophil level. </w:t>
      </w:r>
      <w:bookmarkEnd w:id="10"/>
    </w:p>
    <w:p w14:paraId="3D665365" w14:textId="7B6236EC" w:rsidR="00A979D9" w:rsidRPr="000717E1" w:rsidRDefault="0029665F" w:rsidP="004B24B7">
      <w:pPr>
        <w:pStyle w:val="3-BodyText"/>
      </w:pPr>
      <w:r w:rsidRPr="000717E1">
        <w:t>Dupilumab is also indicated for other type 2 inflammatory diseases</w:t>
      </w:r>
      <w:r w:rsidR="00A979D9" w:rsidRPr="000717E1">
        <w:t xml:space="preserve"> including:</w:t>
      </w:r>
    </w:p>
    <w:p w14:paraId="199A2149" w14:textId="220EE1A4" w:rsidR="00A979D9" w:rsidRPr="000717E1" w:rsidRDefault="00A979D9" w:rsidP="0060791D">
      <w:pPr>
        <w:pStyle w:val="3-BodyText"/>
        <w:numPr>
          <w:ilvl w:val="0"/>
          <w:numId w:val="7"/>
        </w:numPr>
        <w:ind w:left="1134"/>
      </w:pPr>
      <w:r w:rsidRPr="000717E1">
        <w:t>moderate to severe atopic dermatitis in patients aged 12 years and older who are candidates for chronic systemic therapy;</w:t>
      </w:r>
    </w:p>
    <w:p w14:paraId="48FBADF5" w14:textId="1C9B5479" w:rsidR="00A979D9" w:rsidRPr="000717E1" w:rsidRDefault="00A979D9" w:rsidP="0060791D">
      <w:pPr>
        <w:pStyle w:val="3-BodyText"/>
        <w:numPr>
          <w:ilvl w:val="0"/>
          <w:numId w:val="7"/>
        </w:numPr>
        <w:ind w:left="1134"/>
      </w:pPr>
      <w:r w:rsidRPr="000717E1">
        <w:t>severe atopic dermatitis in patients aged 6 months to 11 years old who are candidates for chronic systemic therapy;</w:t>
      </w:r>
    </w:p>
    <w:p w14:paraId="7A4D71EF" w14:textId="571BB22D" w:rsidR="00A979D9" w:rsidRPr="000717E1" w:rsidRDefault="00A979D9" w:rsidP="0060791D">
      <w:pPr>
        <w:pStyle w:val="3-BodyText"/>
        <w:numPr>
          <w:ilvl w:val="0"/>
          <w:numId w:val="7"/>
        </w:numPr>
        <w:ind w:left="1134"/>
      </w:pPr>
      <w:r w:rsidRPr="000717E1">
        <w:t>moderate-to-severe prurigo nodularis in adult patients who are candidates for chronic systemic therapy;</w:t>
      </w:r>
    </w:p>
    <w:p w14:paraId="0818C72D" w14:textId="02747460" w:rsidR="00A979D9" w:rsidRPr="000717E1" w:rsidRDefault="00A979D9" w:rsidP="0060791D">
      <w:pPr>
        <w:pStyle w:val="3-BodyText"/>
        <w:numPr>
          <w:ilvl w:val="0"/>
          <w:numId w:val="7"/>
        </w:numPr>
        <w:ind w:left="1134"/>
      </w:pPr>
      <w:r w:rsidRPr="000717E1">
        <w:t>as add-on maintenance treatment for inadequately controlled chronic rhinosinusitis with nasal polyposis in adult patients; and</w:t>
      </w:r>
    </w:p>
    <w:p w14:paraId="399DCBCF" w14:textId="6D25B669" w:rsidR="00A979D9" w:rsidRPr="000717E1" w:rsidRDefault="00A979D9" w:rsidP="0060791D">
      <w:pPr>
        <w:pStyle w:val="3-BodyText"/>
        <w:numPr>
          <w:ilvl w:val="0"/>
          <w:numId w:val="7"/>
        </w:numPr>
        <w:ind w:left="1134"/>
      </w:pPr>
      <w:r w:rsidRPr="000717E1">
        <w:t>as an add-on maintenance treatment in patients aged 6 years and older with moderate to severe asthma with type 2 inflammation (elevated eosinophils or elevated fractional exhaled nitric oxide (</w:t>
      </w:r>
      <w:proofErr w:type="spellStart"/>
      <w:r w:rsidRPr="000717E1">
        <w:t>FeNO</w:t>
      </w:r>
      <w:proofErr w:type="spellEnd"/>
      <w:r w:rsidRPr="000717E1">
        <w:t>)) that is inadequately controlled despite therapy with other medicinal products for maintenance treatment.</w:t>
      </w:r>
    </w:p>
    <w:p w14:paraId="6CCA1037" w14:textId="77777777" w:rsidR="00CE36F2" w:rsidRPr="000717E1" w:rsidRDefault="00CE36F2" w:rsidP="00CE36F2">
      <w:pPr>
        <w:pStyle w:val="4-SubsectionHeading"/>
      </w:pPr>
      <w:bookmarkStart w:id="11" w:name="_Toc209004698"/>
      <w:bookmarkStart w:id="12" w:name="_Toc219880035"/>
      <w:r w:rsidRPr="000717E1">
        <w:t>Previous PBAC consideration</w:t>
      </w:r>
      <w:bookmarkEnd w:id="11"/>
      <w:bookmarkEnd w:id="12"/>
    </w:p>
    <w:p w14:paraId="4B3ECFD1" w14:textId="7837B387" w:rsidR="00CE36F2" w:rsidRDefault="00CE36F2" w:rsidP="00042FF4">
      <w:pPr>
        <w:pStyle w:val="3-BodyText"/>
      </w:pPr>
      <w:r w:rsidRPr="000717E1">
        <w:t xml:space="preserve">The PBAC has not previously considered dupilumab for the treatment of uncontrolled COPD. </w:t>
      </w:r>
      <w:r w:rsidR="0029665F" w:rsidRPr="000717E1">
        <w:t xml:space="preserve">Dupilumab is currently PBS listed for </w:t>
      </w:r>
      <w:r w:rsidR="006A61EF" w:rsidRPr="000717E1">
        <w:t>c</w:t>
      </w:r>
      <w:r w:rsidR="0029665F" w:rsidRPr="000717E1">
        <w:t>hronic severe atopic dermatitis in patients aged 12 years and older</w:t>
      </w:r>
      <w:r w:rsidR="006A61EF" w:rsidRPr="000717E1">
        <w:t>, and uncontrolled</w:t>
      </w:r>
      <w:r w:rsidR="0029665F" w:rsidRPr="000717E1">
        <w:t xml:space="preserve"> severe asthma in patients aged 6</w:t>
      </w:r>
      <w:r w:rsidR="00251ABA">
        <w:t> </w:t>
      </w:r>
      <w:r w:rsidR="0029665F" w:rsidRPr="000717E1">
        <w:t>years and older</w:t>
      </w:r>
      <w:r w:rsidR="004B24B7" w:rsidRPr="000717E1">
        <w:t>.</w:t>
      </w:r>
      <w:r w:rsidR="009D6206" w:rsidRPr="000717E1">
        <w:t xml:space="preserve"> </w:t>
      </w:r>
    </w:p>
    <w:p w14:paraId="6371072C" w14:textId="19DC76E6" w:rsidR="00D86F03" w:rsidRPr="00D86F03" w:rsidRDefault="00D86F03" w:rsidP="00D86F03">
      <w:pPr>
        <w:pStyle w:val="3-BodyText"/>
        <w:numPr>
          <w:ilvl w:val="0"/>
          <w:numId w:val="0"/>
        </w:numPr>
        <w:ind w:left="720"/>
        <w:rPr>
          <w:i/>
          <w:iCs/>
        </w:rPr>
      </w:pPr>
      <w:bookmarkStart w:id="13" w:name="_Hlk76375324"/>
      <w:r w:rsidRPr="00D86F03">
        <w:rPr>
          <w:i/>
          <w:iCs/>
        </w:rPr>
        <w:t>For more detail on PBAC’s view, see section 7 PBAC outcome.</w:t>
      </w:r>
      <w:bookmarkEnd w:id="13"/>
    </w:p>
    <w:p w14:paraId="01C24D88" w14:textId="262A5C23" w:rsidR="004B24B7" w:rsidRPr="000717E1" w:rsidRDefault="00A979D9" w:rsidP="002000A4">
      <w:pPr>
        <w:pStyle w:val="2-SectionHeading"/>
      </w:pPr>
      <w:bookmarkStart w:id="14" w:name="_Toc216174086"/>
      <w:bookmarkStart w:id="15" w:name="_Toc219880036"/>
      <w:r w:rsidRPr="000717E1">
        <w:t>Requested listing</w:t>
      </w:r>
      <w:bookmarkEnd w:id="14"/>
      <w:bookmarkEnd w:id="15"/>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quested listing"/>
      </w:tblPr>
      <w:tblGrid>
        <w:gridCol w:w="3256"/>
        <w:gridCol w:w="1842"/>
        <w:gridCol w:w="993"/>
        <w:gridCol w:w="850"/>
        <w:gridCol w:w="851"/>
        <w:gridCol w:w="1275"/>
      </w:tblGrid>
      <w:tr w:rsidR="00540D14" w:rsidRPr="000717E1" w14:paraId="49A015AF" w14:textId="77777777" w:rsidTr="00B03B28">
        <w:trPr>
          <w:cantSplit/>
          <w:trHeight w:val="20"/>
        </w:trPr>
        <w:tc>
          <w:tcPr>
            <w:tcW w:w="3256" w:type="dxa"/>
            <w:tcBorders>
              <w:top w:val="single" w:sz="6" w:space="0" w:color="auto"/>
              <w:left w:val="single" w:sz="6" w:space="0" w:color="auto"/>
              <w:bottom w:val="single" w:sz="6" w:space="0" w:color="auto"/>
              <w:right w:val="single" w:sz="6" w:space="0" w:color="auto"/>
            </w:tcBorders>
            <w:vAlign w:val="center"/>
          </w:tcPr>
          <w:p w14:paraId="0636F2B5" w14:textId="77777777" w:rsidR="00540D14" w:rsidRPr="000717E1" w:rsidRDefault="00540D14" w:rsidP="00540D14">
            <w:pPr>
              <w:pStyle w:val="TableText0"/>
              <w:rPr>
                <w:b/>
                <w:bCs/>
                <w:sz w:val="20"/>
                <w:szCs w:val="20"/>
              </w:rPr>
            </w:pPr>
            <w:bookmarkStart w:id="16" w:name="_Hlk104809055"/>
            <w:r w:rsidRPr="000717E1">
              <w:rPr>
                <w:b/>
                <w:bCs/>
                <w:sz w:val="20"/>
                <w:szCs w:val="20"/>
              </w:rPr>
              <w:t>MEDICINAL PRODUCT</w:t>
            </w:r>
          </w:p>
          <w:p w14:paraId="7FEF580D" w14:textId="0509B897" w:rsidR="00540D14" w:rsidRPr="000717E1" w:rsidRDefault="00540D14" w:rsidP="00540D14">
            <w:pPr>
              <w:pStyle w:val="TableText0"/>
              <w:rPr>
                <w:b/>
                <w:bCs/>
                <w:sz w:val="20"/>
                <w:szCs w:val="20"/>
              </w:rPr>
            </w:pPr>
            <w:r w:rsidRPr="000717E1">
              <w:rPr>
                <w:b/>
                <w:bCs/>
                <w:sz w:val="20"/>
                <w:szCs w:val="20"/>
              </w:rPr>
              <w:t>medicinal product pack</w:t>
            </w:r>
          </w:p>
        </w:tc>
        <w:tc>
          <w:tcPr>
            <w:tcW w:w="1842" w:type="dxa"/>
            <w:tcBorders>
              <w:top w:val="single" w:sz="6" w:space="0" w:color="auto"/>
              <w:left w:val="single" w:sz="6" w:space="0" w:color="auto"/>
              <w:bottom w:val="single" w:sz="6" w:space="0" w:color="auto"/>
              <w:right w:val="single" w:sz="6" w:space="0" w:color="auto"/>
            </w:tcBorders>
            <w:vAlign w:val="center"/>
          </w:tcPr>
          <w:p w14:paraId="1C11DA85" w14:textId="1E375573" w:rsidR="00540D14" w:rsidRPr="000717E1" w:rsidRDefault="00540D14">
            <w:pPr>
              <w:pStyle w:val="TableText0"/>
              <w:rPr>
                <w:b/>
                <w:bCs/>
                <w:snapToGrid w:val="0"/>
                <w:sz w:val="20"/>
                <w:szCs w:val="20"/>
              </w:rPr>
            </w:pPr>
            <w:r w:rsidRPr="000717E1">
              <w:rPr>
                <w:b/>
                <w:bCs/>
                <w:snapToGrid w:val="0"/>
                <w:sz w:val="20"/>
                <w:szCs w:val="20"/>
              </w:rPr>
              <w:t>Dispensed Price for Max. Qty</w:t>
            </w:r>
          </w:p>
        </w:tc>
        <w:tc>
          <w:tcPr>
            <w:tcW w:w="993" w:type="dxa"/>
            <w:tcBorders>
              <w:top w:val="single" w:sz="6" w:space="0" w:color="auto"/>
              <w:left w:val="single" w:sz="6" w:space="0" w:color="auto"/>
              <w:bottom w:val="single" w:sz="6" w:space="0" w:color="auto"/>
              <w:right w:val="single" w:sz="6" w:space="0" w:color="auto"/>
            </w:tcBorders>
            <w:vAlign w:val="center"/>
          </w:tcPr>
          <w:p w14:paraId="73F8D417" w14:textId="03C47625" w:rsidR="00540D14" w:rsidRPr="000717E1" w:rsidRDefault="00540D14">
            <w:pPr>
              <w:pStyle w:val="TableText0"/>
              <w:rPr>
                <w:b/>
                <w:bCs/>
                <w:sz w:val="20"/>
                <w:szCs w:val="20"/>
              </w:rPr>
            </w:pPr>
            <w:r w:rsidRPr="000717E1">
              <w:rPr>
                <w:b/>
                <w:bCs/>
                <w:sz w:val="20"/>
                <w:szCs w:val="20"/>
              </w:rPr>
              <w:t>Max. qty packs</w:t>
            </w:r>
          </w:p>
        </w:tc>
        <w:tc>
          <w:tcPr>
            <w:tcW w:w="850" w:type="dxa"/>
            <w:tcBorders>
              <w:top w:val="single" w:sz="6" w:space="0" w:color="auto"/>
              <w:left w:val="single" w:sz="6" w:space="0" w:color="auto"/>
              <w:bottom w:val="single" w:sz="6" w:space="0" w:color="auto"/>
              <w:right w:val="single" w:sz="6" w:space="0" w:color="auto"/>
            </w:tcBorders>
            <w:vAlign w:val="center"/>
          </w:tcPr>
          <w:p w14:paraId="2BED63E7" w14:textId="1FA04275" w:rsidR="00540D14" w:rsidRPr="000717E1" w:rsidRDefault="00540D14">
            <w:pPr>
              <w:pStyle w:val="TableText0"/>
              <w:rPr>
                <w:b/>
                <w:bCs/>
                <w:sz w:val="20"/>
                <w:szCs w:val="20"/>
              </w:rPr>
            </w:pPr>
            <w:r w:rsidRPr="000717E1">
              <w:rPr>
                <w:b/>
                <w:bCs/>
                <w:sz w:val="20"/>
                <w:szCs w:val="20"/>
              </w:rPr>
              <w:t>Max. qty units</w:t>
            </w:r>
          </w:p>
        </w:tc>
        <w:tc>
          <w:tcPr>
            <w:tcW w:w="851" w:type="dxa"/>
            <w:tcBorders>
              <w:top w:val="single" w:sz="6" w:space="0" w:color="auto"/>
              <w:left w:val="single" w:sz="6" w:space="0" w:color="auto"/>
              <w:bottom w:val="single" w:sz="6" w:space="0" w:color="auto"/>
              <w:right w:val="single" w:sz="6" w:space="0" w:color="auto"/>
            </w:tcBorders>
            <w:vAlign w:val="center"/>
          </w:tcPr>
          <w:p w14:paraId="4321867F" w14:textId="77777777" w:rsidR="00540D14" w:rsidRPr="000717E1" w:rsidRDefault="00540D14" w:rsidP="00540D14">
            <w:pPr>
              <w:pStyle w:val="TableText0"/>
              <w:rPr>
                <w:b/>
                <w:bCs/>
                <w:sz w:val="20"/>
                <w:szCs w:val="20"/>
              </w:rPr>
            </w:pPr>
            <w:r w:rsidRPr="000717E1">
              <w:rPr>
                <w:b/>
                <w:bCs/>
                <w:sz w:val="20"/>
                <w:szCs w:val="20"/>
              </w:rPr>
              <w:t>№.of</w:t>
            </w:r>
          </w:p>
          <w:p w14:paraId="4D1E5DF9" w14:textId="78319C7C" w:rsidR="00540D14" w:rsidRPr="000717E1" w:rsidRDefault="00540D14" w:rsidP="00540D14">
            <w:pPr>
              <w:pStyle w:val="TableText0"/>
              <w:rPr>
                <w:b/>
                <w:bCs/>
                <w:sz w:val="20"/>
                <w:szCs w:val="20"/>
              </w:rPr>
            </w:pPr>
            <w:r w:rsidRPr="000717E1">
              <w:rPr>
                <w:b/>
                <w:bCs/>
                <w:sz w:val="20"/>
                <w:szCs w:val="20"/>
              </w:rPr>
              <w:t>Rpts</w:t>
            </w:r>
          </w:p>
        </w:tc>
        <w:tc>
          <w:tcPr>
            <w:tcW w:w="1275" w:type="dxa"/>
            <w:tcBorders>
              <w:top w:val="single" w:sz="6" w:space="0" w:color="auto"/>
              <w:left w:val="single" w:sz="6" w:space="0" w:color="auto"/>
              <w:bottom w:val="single" w:sz="6" w:space="0" w:color="auto"/>
              <w:right w:val="single" w:sz="6" w:space="0" w:color="auto"/>
            </w:tcBorders>
            <w:vAlign w:val="center"/>
          </w:tcPr>
          <w:p w14:paraId="2107F71F" w14:textId="0F043A73" w:rsidR="00540D14" w:rsidRPr="000717E1" w:rsidRDefault="00540D14">
            <w:pPr>
              <w:pStyle w:val="TableText0"/>
              <w:rPr>
                <w:b/>
                <w:bCs/>
                <w:sz w:val="20"/>
                <w:szCs w:val="20"/>
              </w:rPr>
            </w:pPr>
            <w:r w:rsidRPr="000717E1">
              <w:rPr>
                <w:b/>
                <w:bCs/>
                <w:sz w:val="20"/>
                <w:szCs w:val="20"/>
              </w:rPr>
              <w:t>Available brands</w:t>
            </w:r>
          </w:p>
        </w:tc>
      </w:tr>
      <w:tr w:rsidR="00A979D9" w:rsidRPr="000717E1" w14:paraId="3C8AF015" w14:textId="77777777" w:rsidTr="00B03B28">
        <w:trPr>
          <w:cantSplit/>
          <w:trHeight w:val="20"/>
        </w:trPr>
        <w:tc>
          <w:tcPr>
            <w:tcW w:w="9067" w:type="dxa"/>
            <w:gridSpan w:val="6"/>
            <w:tcBorders>
              <w:top w:val="single" w:sz="6" w:space="0" w:color="auto"/>
            </w:tcBorders>
            <w:vAlign w:val="center"/>
          </w:tcPr>
          <w:p w14:paraId="7596FD93" w14:textId="0DCB78E7" w:rsidR="00A979D9" w:rsidRPr="000717E1" w:rsidRDefault="008F6260">
            <w:pPr>
              <w:pStyle w:val="TableText0"/>
              <w:rPr>
                <w:rFonts w:cs="Arial"/>
                <w:sz w:val="20"/>
                <w:szCs w:val="20"/>
              </w:rPr>
            </w:pPr>
            <w:r w:rsidRPr="000717E1">
              <w:rPr>
                <w:sz w:val="20"/>
                <w:szCs w:val="20"/>
              </w:rPr>
              <w:t>DUPILUMAB</w:t>
            </w:r>
          </w:p>
        </w:tc>
      </w:tr>
      <w:tr w:rsidR="00A979D9" w:rsidRPr="000717E1" w14:paraId="2F281E75" w14:textId="77777777" w:rsidTr="000259F1">
        <w:trPr>
          <w:cantSplit/>
          <w:trHeight w:val="20"/>
        </w:trPr>
        <w:tc>
          <w:tcPr>
            <w:tcW w:w="3256" w:type="dxa"/>
            <w:vAlign w:val="center"/>
          </w:tcPr>
          <w:p w14:paraId="680A39EA" w14:textId="51E9FFDF" w:rsidR="00080B93" w:rsidRPr="000717E1" w:rsidRDefault="008F6260">
            <w:pPr>
              <w:pStyle w:val="TableText0"/>
              <w:rPr>
                <w:sz w:val="20"/>
                <w:szCs w:val="20"/>
              </w:rPr>
            </w:pPr>
            <w:r w:rsidRPr="000717E1">
              <w:rPr>
                <w:sz w:val="20"/>
                <w:szCs w:val="20"/>
              </w:rPr>
              <w:t>D</w:t>
            </w:r>
            <w:r w:rsidR="00A979D9" w:rsidRPr="000717E1">
              <w:rPr>
                <w:sz w:val="20"/>
                <w:szCs w:val="20"/>
              </w:rPr>
              <w:t>upilumab</w:t>
            </w:r>
            <w:r w:rsidR="00A979D9" w:rsidRPr="000717E1">
              <w:rPr>
                <w:rFonts w:cs="Arial"/>
                <w:color w:val="0066FF"/>
                <w:sz w:val="20"/>
                <w:szCs w:val="20"/>
              </w:rPr>
              <w:t xml:space="preserve"> </w:t>
            </w:r>
            <w:r w:rsidR="00A979D9" w:rsidRPr="000717E1">
              <w:rPr>
                <w:sz w:val="20"/>
                <w:szCs w:val="20"/>
              </w:rPr>
              <w:t>300 mg/2 mL injection,</w:t>
            </w:r>
          </w:p>
          <w:p w14:paraId="39291CE3" w14:textId="45EE74F8" w:rsidR="00A979D9" w:rsidRPr="000717E1" w:rsidRDefault="00A979D9">
            <w:pPr>
              <w:pStyle w:val="TableText0"/>
              <w:rPr>
                <w:sz w:val="20"/>
                <w:szCs w:val="20"/>
              </w:rPr>
            </w:pPr>
            <w:r w:rsidRPr="000717E1">
              <w:rPr>
                <w:sz w:val="20"/>
                <w:szCs w:val="20"/>
              </w:rPr>
              <w:t>1 x 2 mL syringe</w:t>
            </w:r>
          </w:p>
          <w:p w14:paraId="79460056" w14:textId="77777777" w:rsidR="00A979D9" w:rsidRPr="000717E1" w:rsidRDefault="00A979D9">
            <w:pPr>
              <w:pStyle w:val="TableText0"/>
              <w:rPr>
                <w:sz w:val="20"/>
                <w:szCs w:val="20"/>
              </w:rPr>
            </w:pPr>
          </w:p>
          <w:p w14:paraId="3ADCDA40" w14:textId="0B63B1B9" w:rsidR="00080B93" w:rsidRPr="000717E1" w:rsidRDefault="00C15171">
            <w:pPr>
              <w:pStyle w:val="TableText0"/>
              <w:rPr>
                <w:sz w:val="20"/>
                <w:szCs w:val="20"/>
              </w:rPr>
            </w:pPr>
            <w:r w:rsidRPr="000717E1">
              <w:rPr>
                <w:sz w:val="20"/>
                <w:szCs w:val="20"/>
              </w:rPr>
              <w:t>D</w:t>
            </w:r>
            <w:r w:rsidR="00A979D9" w:rsidRPr="000717E1">
              <w:rPr>
                <w:sz w:val="20"/>
                <w:szCs w:val="20"/>
              </w:rPr>
              <w:t>upilumab 300 mg/2 mL injection,</w:t>
            </w:r>
          </w:p>
          <w:p w14:paraId="0D87D536" w14:textId="031AEC03" w:rsidR="00A979D9" w:rsidRPr="000717E1" w:rsidRDefault="00A979D9">
            <w:pPr>
              <w:pStyle w:val="TableText0"/>
              <w:rPr>
                <w:color w:val="0066FF"/>
                <w:sz w:val="20"/>
                <w:szCs w:val="20"/>
              </w:rPr>
            </w:pPr>
            <w:r w:rsidRPr="000717E1">
              <w:rPr>
                <w:sz w:val="20"/>
                <w:szCs w:val="20"/>
              </w:rPr>
              <w:t>1 x 2 mL pen</w:t>
            </w:r>
          </w:p>
        </w:tc>
        <w:tc>
          <w:tcPr>
            <w:tcW w:w="1842" w:type="dxa"/>
            <w:vAlign w:val="center"/>
          </w:tcPr>
          <w:p w14:paraId="2F0B36BC" w14:textId="77777777" w:rsidR="00A979D9" w:rsidRPr="000717E1" w:rsidRDefault="00A979D9">
            <w:pPr>
              <w:pStyle w:val="TableText0"/>
              <w:rPr>
                <w:sz w:val="20"/>
                <w:szCs w:val="20"/>
              </w:rPr>
            </w:pPr>
            <w:r w:rsidRPr="000717E1">
              <w:rPr>
                <w:sz w:val="20"/>
                <w:szCs w:val="20"/>
              </w:rPr>
              <w:t>$</w:t>
            </w:r>
            <w:r w:rsidRPr="00797CA0">
              <w:rPr>
                <w:sz w:val="20"/>
                <w:szCs w:val="20"/>
              </w:rPr>
              <w:t>1,755.99</w:t>
            </w:r>
            <w:r w:rsidRPr="000717E1">
              <w:rPr>
                <w:sz w:val="20"/>
                <w:szCs w:val="20"/>
              </w:rPr>
              <w:t xml:space="preserve"> (published)</w:t>
            </w:r>
          </w:p>
          <w:p w14:paraId="5C3F9406" w14:textId="26E650BB" w:rsidR="00A979D9" w:rsidRPr="000717E1" w:rsidRDefault="00A979D9">
            <w:pPr>
              <w:pStyle w:val="TableText0"/>
              <w:rPr>
                <w:sz w:val="20"/>
                <w:szCs w:val="20"/>
              </w:rPr>
            </w:pPr>
            <w:r w:rsidRPr="000717E1">
              <w:rPr>
                <w:sz w:val="20"/>
                <w:szCs w:val="20"/>
              </w:rPr>
              <w:t>$</w:t>
            </w:r>
            <w:r w:rsidR="00331ADA" w:rsidRPr="00331ADA">
              <w:rPr>
                <w:sz w:val="2"/>
                <w:szCs w:val="20"/>
                <w:highlight w:val="black"/>
              </w:rPr>
              <w:t>redacted content</w:t>
            </w:r>
            <w:r w:rsidRPr="000717E1">
              <w:rPr>
                <w:sz w:val="20"/>
                <w:szCs w:val="20"/>
              </w:rPr>
              <w:t xml:space="preserve"> (effective)</w:t>
            </w:r>
          </w:p>
        </w:tc>
        <w:tc>
          <w:tcPr>
            <w:tcW w:w="993" w:type="dxa"/>
            <w:vAlign w:val="center"/>
          </w:tcPr>
          <w:p w14:paraId="0E1EA032" w14:textId="77777777" w:rsidR="00A979D9" w:rsidRPr="000717E1" w:rsidRDefault="00A979D9">
            <w:pPr>
              <w:pStyle w:val="TableText0"/>
              <w:rPr>
                <w:sz w:val="20"/>
                <w:szCs w:val="20"/>
              </w:rPr>
            </w:pPr>
            <w:r w:rsidRPr="000717E1">
              <w:rPr>
                <w:sz w:val="20"/>
                <w:szCs w:val="20"/>
              </w:rPr>
              <w:t>1</w:t>
            </w:r>
          </w:p>
        </w:tc>
        <w:tc>
          <w:tcPr>
            <w:tcW w:w="850" w:type="dxa"/>
            <w:vAlign w:val="center"/>
          </w:tcPr>
          <w:p w14:paraId="47F454DD" w14:textId="77777777" w:rsidR="00A979D9" w:rsidRPr="000717E1" w:rsidRDefault="00A979D9">
            <w:pPr>
              <w:pStyle w:val="TableText0"/>
              <w:rPr>
                <w:sz w:val="20"/>
                <w:szCs w:val="20"/>
              </w:rPr>
            </w:pPr>
            <w:r w:rsidRPr="000717E1">
              <w:rPr>
                <w:sz w:val="20"/>
                <w:szCs w:val="20"/>
              </w:rPr>
              <w:t>2</w:t>
            </w:r>
          </w:p>
        </w:tc>
        <w:tc>
          <w:tcPr>
            <w:tcW w:w="851" w:type="dxa"/>
            <w:vAlign w:val="center"/>
          </w:tcPr>
          <w:p w14:paraId="03686CB1" w14:textId="77777777" w:rsidR="00A979D9" w:rsidRPr="000717E1" w:rsidRDefault="00A979D9">
            <w:pPr>
              <w:pStyle w:val="TableText0"/>
              <w:rPr>
                <w:sz w:val="20"/>
                <w:szCs w:val="20"/>
              </w:rPr>
            </w:pPr>
            <w:r w:rsidRPr="000717E1">
              <w:rPr>
                <w:sz w:val="20"/>
                <w:szCs w:val="20"/>
              </w:rPr>
              <w:t>13</w:t>
            </w:r>
          </w:p>
        </w:tc>
        <w:tc>
          <w:tcPr>
            <w:tcW w:w="1275" w:type="dxa"/>
            <w:vAlign w:val="center"/>
          </w:tcPr>
          <w:p w14:paraId="25B86C86" w14:textId="33171172" w:rsidR="00A979D9" w:rsidRPr="000717E1" w:rsidRDefault="00A979D9">
            <w:pPr>
              <w:pStyle w:val="TableText0"/>
              <w:rPr>
                <w:color w:val="0066FF"/>
                <w:sz w:val="20"/>
                <w:szCs w:val="20"/>
              </w:rPr>
            </w:pPr>
            <w:r w:rsidRPr="000717E1">
              <w:rPr>
                <w:sz w:val="20"/>
                <w:szCs w:val="20"/>
              </w:rPr>
              <w:t>Dupixent</w:t>
            </w:r>
          </w:p>
        </w:tc>
      </w:tr>
    </w:tbl>
    <w:bookmarkEnd w:id="16"/>
    <w:p w14:paraId="312536D0" w14:textId="77777777" w:rsidR="00A979D9" w:rsidRPr="000717E1" w:rsidRDefault="00A979D9" w:rsidP="00A979D9">
      <w:pPr>
        <w:pStyle w:val="TableFooter"/>
        <w:keepNext/>
        <w:keepLines/>
      </w:pPr>
      <w:r w:rsidRPr="000717E1">
        <w:t>Source: Table 1.4-1 p26 of the submission</w:t>
      </w:r>
    </w:p>
    <w:p w14:paraId="7BB487E6" w14:textId="77777777" w:rsidR="00A979D9" w:rsidRPr="000717E1" w:rsidRDefault="00A979D9" w:rsidP="00A979D9">
      <w:pPr>
        <w:pStyle w:val="TableFooter"/>
        <w:keepNext/>
        <w:keepLines/>
      </w:pPr>
      <w:r w:rsidRPr="000717E1">
        <w:t xml:space="preserve">Qty = quantity; </w:t>
      </w:r>
      <w:proofErr w:type="spellStart"/>
      <w:r w:rsidRPr="000717E1">
        <w:t>rpts</w:t>
      </w:r>
      <w:proofErr w:type="spellEnd"/>
      <w:r w:rsidRPr="000717E1">
        <w:t xml:space="preserve"> = repeats.</w:t>
      </w:r>
    </w:p>
    <w:p w14:paraId="57CE878D" w14:textId="7B21CD0B" w:rsidR="00A979D9" w:rsidRPr="000717E1" w:rsidRDefault="00A979D9" w:rsidP="00A979D9"/>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Caption w:val="Requested listing"/>
      </w:tblPr>
      <w:tblGrid>
        <w:gridCol w:w="9060"/>
      </w:tblGrid>
      <w:tr w:rsidR="00A979D9" w:rsidRPr="000717E1" w14:paraId="573EFD88" w14:textId="77777777" w:rsidTr="000259F1">
        <w:tc>
          <w:tcPr>
            <w:tcW w:w="5000" w:type="pct"/>
            <w:vAlign w:val="center"/>
          </w:tcPr>
          <w:p w14:paraId="3C81B664" w14:textId="77777777" w:rsidR="00A979D9" w:rsidRPr="000717E1" w:rsidRDefault="00A979D9" w:rsidP="00281B31">
            <w:pPr>
              <w:keepNext/>
              <w:rPr>
                <w:rFonts w:ascii="Arial Narrow" w:hAnsi="Arial Narrow"/>
                <w:b/>
                <w:bCs/>
                <w:sz w:val="20"/>
                <w:szCs w:val="20"/>
              </w:rPr>
            </w:pPr>
            <w:r w:rsidRPr="000717E1">
              <w:rPr>
                <w:rFonts w:ascii="Arial Narrow" w:hAnsi="Arial Narrow"/>
                <w:b/>
                <w:sz w:val="20"/>
                <w:szCs w:val="20"/>
              </w:rPr>
              <w:lastRenderedPageBreak/>
              <w:t xml:space="preserve">Restriction Summary: </w:t>
            </w:r>
            <w:r w:rsidRPr="000717E1">
              <w:rPr>
                <w:rFonts w:ascii="Arial Narrow" w:hAnsi="Arial Narrow"/>
                <w:iCs/>
                <w:sz w:val="20"/>
                <w:szCs w:val="20"/>
              </w:rPr>
              <w:t>Authority Required (telephone)</w:t>
            </w:r>
          </w:p>
        </w:tc>
      </w:tr>
      <w:tr w:rsidR="00A979D9" w:rsidRPr="000717E1" w14:paraId="2BFCB5F8" w14:textId="77777777" w:rsidTr="000259F1">
        <w:tc>
          <w:tcPr>
            <w:tcW w:w="5000" w:type="pct"/>
            <w:vAlign w:val="center"/>
            <w:hideMark/>
          </w:tcPr>
          <w:p w14:paraId="26913721" w14:textId="77777777" w:rsidR="00A979D9" w:rsidRPr="000717E1" w:rsidRDefault="00A979D9" w:rsidP="00281B31">
            <w:pPr>
              <w:keepNext/>
              <w:rPr>
                <w:rFonts w:ascii="Arial Narrow" w:hAnsi="Arial Narrow"/>
                <w:sz w:val="20"/>
                <w:szCs w:val="20"/>
              </w:rPr>
            </w:pPr>
            <w:r w:rsidRPr="000717E1">
              <w:rPr>
                <w:rFonts w:ascii="Arial Narrow" w:hAnsi="Arial Narrow"/>
                <w:b/>
                <w:bCs/>
                <w:sz w:val="20"/>
                <w:szCs w:val="20"/>
              </w:rPr>
              <w:t>Indication:</w:t>
            </w:r>
            <w:r w:rsidRPr="000717E1">
              <w:rPr>
                <w:rFonts w:ascii="Arial Narrow" w:hAnsi="Arial Narrow"/>
                <w:sz w:val="20"/>
                <w:szCs w:val="20"/>
              </w:rPr>
              <w:t xml:space="preserve"> Uncontrolled chronic obstructive pulmonary disease </w:t>
            </w:r>
          </w:p>
        </w:tc>
      </w:tr>
      <w:tr w:rsidR="00A979D9" w:rsidRPr="000717E1" w14:paraId="0E601BEE" w14:textId="77777777" w:rsidTr="000259F1">
        <w:tc>
          <w:tcPr>
            <w:tcW w:w="5000" w:type="pct"/>
            <w:vAlign w:val="center"/>
            <w:hideMark/>
          </w:tcPr>
          <w:p w14:paraId="18DDC1CA" w14:textId="77777777" w:rsidR="00A979D9" w:rsidRPr="000717E1" w:rsidRDefault="00A979D9" w:rsidP="00281B31">
            <w:pPr>
              <w:keepNext/>
              <w:rPr>
                <w:rFonts w:ascii="Arial Narrow" w:hAnsi="Arial Narrow"/>
                <w:sz w:val="20"/>
                <w:szCs w:val="20"/>
              </w:rPr>
            </w:pPr>
            <w:r w:rsidRPr="000717E1">
              <w:rPr>
                <w:rFonts w:ascii="Arial Narrow" w:hAnsi="Arial Narrow"/>
                <w:b/>
                <w:bCs/>
                <w:sz w:val="20"/>
                <w:szCs w:val="20"/>
              </w:rPr>
              <w:t>Treatment Phase:</w:t>
            </w:r>
            <w:r w:rsidRPr="000717E1">
              <w:rPr>
                <w:rFonts w:ascii="Arial Narrow" w:hAnsi="Arial Narrow"/>
                <w:sz w:val="20"/>
                <w:szCs w:val="20"/>
              </w:rPr>
              <w:t xml:space="preserve"> Initial </w:t>
            </w:r>
          </w:p>
        </w:tc>
      </w:tr>
      <w:tr w:rsidR="00A979D9" w:rsidRPr="000717E1" w14:paraId="0ED4A3C1" w14:textId="77777777" w:rsidTr="000259F1">
        <w:tc>
          <w:tcPr>
            <w:tcW w:w="5000" w:type="pct"/>
            <w:vAlign w:val="center"/>
          </w:tcPr>
          <w:p w14:paraId="181C401F" w14:textId="77777777" w:rsidR="00A979D9" w:rsidRPr="000717E1" w:rsidRDefault="00A979D9" w:rsidP="00281B31">
            <w:pPr>
              <w:keepNext/>
              <w:rPr>
                <w:rFonts w:ascii="Arial Narrow" w:hAnsi="Arial Narrow"/>
                <w:sz w:val="20"/>
                <w:szCs w:val="20"/>
              </w:rPr>
            </w:pPr>
            <w:r w:rsidRPr="000717E1">
              <w:rPr>
                <w:rFonts w:ascii="Arial Narrow" w:hAnsi="Arial Narrow"/>
                <w:b/>
                <w:bCs/>
                <w:sz w:val="20"/>
                <w:szCs w:val="20"/>
              </w:rPr>
              <w:t>Clinical criteria:</w:t>
            </w:r>
          </w:p>
        </w:tc>
      </w:tr>
      <w:tr w:rsidR="00A979D9" w:rsidRPr="000717E1" w14:paraId="41D4B73E" w14:textId="77777777" w:rsidTr="000259F1">
        <w:tc>
          <w:tcPr>
            <w:tcW w:w="5000" w:type="pct"/>
            <w:vAlign w:val="center"/>
          </w:tcPr>
          <w:p w14:paraId="0E9AE953" w14:textId="77777777" w:rsidR="00A979D9" w:rsidRPr="000717E1" w:rsidRDefault="00A979D9" w:rsidP="00281B31">
            <w:pPr>
              <w:keepNext/>
              <w:rPr>
                <w:rFonts w:ascii="Arial Narrow" w:hAnsi="Arial Narrow"/>
                <w:sz w:val="20"/>
                <w:szCs w:val="20"/>
              </w:rPr>
            </w:pPr>
            <w:r w:rsidRPr="000717E1">
              <w:rPr>
                <w:rFonts w:ascii="Arial Narrow" w:hAnsi="Arial Narrow"/>
                <w:sz w:val="20"/>
                <w:szCs w:val="20"/>
              </w:rPr>
              <w:t>Patient must have a diagnosis of chronic obstructive pulmonary disease documented in the patient’s medical records and confirmed by a respiratory physician or general physician experienced in the treatment of chronic obstructive pulmonary disease, defined by:</w:t>
            </w:r>
          </w:p>
          <w:p w14:paraId="67F5D032" w14:textId="2F2EAADD" w:rsidR="00A979D9" w:rsidRPr="000717E1" w:rsidRDefault="00A979D9" w:rsidP="00281B31">
            <w:pPr>
              <w:pStyle w:val="ListParagraph"/>
              <w:keepNext/>
              <w:numPr>
                <w:ilvl w:val="0"/>
                <w:numId w:val="10"/>
              </w:numPr>
              <w:spacing w:after="0"/>
              <w:contextualSpacing/>
              <w:jc w:val="left"/>
              <w:rPr>
                <w:rFonts w:ascii="Arial Narrow" w:hAnsi="Arial Narrow"/>
                <w:sz w:val="20"/>
                <w:szCs w:val="20"/>
              </w:rPr>
            </w:pPr>
            <w:r w:rsidRPr="000717E1">
              <w:rPr>
                <w:rFonts w:ascii="Arial Narrow" w:hAnsi="Arial Narrow"/>
                <w:sz w:val="20"/>
                <w:szCs w:val="20"/>
              </w:rPr>
              <w:t>post-bronchodilator FEV</w:t>
            </w:r>
            <w:r w:rsidRPr="000717E1">
              <w:rPr>
                <w:rFonts w:ascii="Arial Narrow" w:hAnsi="Arial Narrow"/>
                <w:sz w:val="20"/>
                <w:szCs w:val="20"/>
                <w:vertAlign w:val="subscript"/>
              </w:rPr>
              <w:t>1</w:t>
            </w:r>
            <w:r w:rsidRPr="000717E1">
              <w:rPr>
                <w:rFonts w:ascii="Arial Narrow" w:hAnsi="Arial Narrow"/>
                <w:sz w:val="20"/>
                <w:szCs w:val="20"/>
              </w:rPr>
              <w:t>/FVC ratio &lt;</w:t>
            </w:r>
            <w:r w:rsidR="00080B93" w:rsidRPr="000717E1">
              <w:rPr>
                <w:rFonts w:ascii="Arial Narrow" w:hAnsi="Arial Narrow"/>
                <w:sz w:val="20"/>
                <w:szCs w:val="20"/>
              </w:rPr>
              <w:t xml:space="preserve"> </w:t>
            </w:r>
            <w:r w:rsidRPr="000717E1">
              <w:rPr>
                <w:rFonts w:ascii="Arial Narrow" w:hAnsi="Arial Narrow"/>
                <w:sz w:val="20"/>
                <w:szCs w:val="20"/>
              </w:rPr>
              <w:t xml:space="preserve">0.70 and </w:t>
            </w:r>
          </w:p>
          <w:p w14:paraId="5C40ED19" w14:textId="2C5DA239" w:rsidR="00A979D9" w:rsidRPr="000717E1" w:rsidRDefault="00A979D9" w:rsidP="00281B31">
            <w:pPr>
              <w:pStyle w:val="ListParagraph"/>
              <w:keepNext/>
              <w:numPr>
                <w:ilvl w:val="0"/>
                <w:numId w:val="10"/>
              </w:numPr>
              <w:spacing w:after="0"/>
              <w:contextualSpacing/>
              <w:jc w:val="left"/>
              <w:rPr>
                <w:rFonts w:ascii="Arial Narrow" w:hAnsi="Arial Narrow"/>
                <w:sz w:val="20"/>
                <w:szCs w:val="20"/>
              </w:rPr>
            </w:pPr>
            <w:r w:rsidRPr="000717E1">
              <w:rPr>
                <w:rFonts w:ascii="Arial Narrow" w:hAnsi="Arial Narrow"/>
                <w:sz w:val="20"/>
                <w:szCs w:val="20"/>
              </w:rPr>
              <w:t>post-bronchodilator FEV</w:t>
            </w:r>
            <w:r w:rsidRPr="000717E1">
              <w:rPr>
                <w:rFonts w:ascii="Arial Narrow" w:hAnsi="Arial Narrow"/>
                <w:sz w:val="20"/>
                <w:szCs w:val="20"/>
                <w:vertAlign w:val="subscript"/>
              </w:rPr>
              <w:t>1</w:t>
            </w:r>
            <w:r w:rsidRPr="000717E1">
              <w:rPr>
                <w:rFonts w:ascii="Arial Narrow" w:hAnsi="Arial Narrow"/>
                <w:sz w:val="20"/>
                <w:szCs w:val="20"/>
              </w:rPr>
              <w:t>% predicted &lt;</w:t>
            </w:r>
            <w:r w:rsidR="00080B93" w:rsidRPr="000717E1">
              <w:rPr>
                <w:rFonts w:ascii="Arial Narrow" w:hAnsi="Arial Narrow"/>
                <w:sz w:val="20"/>
                <w:szCs w:val="20"/>
              </w:rPr>
              <w:t xml:space="preserve"> </w:t>
            </w:r>
            <w:r w:rsidRPr="000717E1">
              <w:rPr>
                <w:rFonts w:ascii="Arial Narrow" w:hAnsi="Arial Narrow"/>
                <w:sz w:val="20"/>
                <w:szCs w:val="20"/>
              </w:rPr>
              <w:t xml:space="preserve">80% </w:t>
            </w:r>
          </w:p>
        </w:tc>
      </w:tr>
      <w:tr w:rsidR="00A979D9" w:rsidRPr="000717E1" w14:paraId="7DCAD968" w14:textId="77777777" w:rsidTr="000259F1">
        <w:tc>
          <w:tcPr>
            <w:tcW w:w="5000" w:type="pct"/>
            <w:vAlign w:val="center"/>
          </w:tcPr>
          <w:p w14:paraId="1886933A" w14:textId="77777777" w:rsidR="00A979D9" w:rsidRPr="000717E1" w:rsidRDefault="00A979D9" w:rsidP="00281B31">
            <w:pPr>
              <w:keepNext/>
              <w:rPr>
                <w:rFonts w:ascii="Arial Narrow" w:hAnsi="Arial Narrow"/>
                <w:b/>
                <w:bCs/>
                <w:sz w:val="20"/>
                <w:szCs w:val="20"/>
              </w:rPr>
            </w:pPr>
            <w:r w:rsidRPr="000717E1">
              <w:rPr>
                <w:rFonts w:ascii="Arial Narrow" w:hAnsi="Arial Narrow"/>
                <w:b/>
                <w:bCs/>
                <w:sz w:val="20"/>
                <w:szCs w:val="20"/>
              </w:rPr>
              <w:t>AND</w:t>
            </w:r>
          </w:p>
        </w:tc>
      </w:tr>
      <w:tr w:rsidR="00A979D9" w:rsidRPr="000717E1" w14:paraId="1CAB3FA5" w14:textId="77777777" w:rsidTr="000259F1">
        <w:tc>
          <w:tcPr>
            <w:tcW w:w="5000" w:type="pct"/>
            <w:vAlign w:val="center"/>
          </w:tcPr>
          <w:p w14:paraId="6A03539B" w14:textId="77777777" w:rsidR="00A979D9" w:rsidRPr="000717E1" w:rsidRDefault="00A979D9" w:rsidP="00281B31">
            <w:pPr>
              <w:keepNext/>
              <w:rPr>
                <w:rFonts w:ascii="Arial Narrow" w:hAnsi="Arial Narrow"/>
                <w:b/>
                <w:bCs/>
                <w:sz w:val="20"/>
                <w:szCs w:val="20"/>
              </w:rPr>
            </w:pPr>
            <w:r w:rsidRPr="000717E1">
              <w:rPr>
                <w:rFonts w:ascii="Arial Narrow" w:hAnsi="Arial Narrow"/>
                <w:sz w:val="20"/>
                <w:szCs w:val="20"/>
              </w:rPr>
              <w:t>Patient must have a blood eosinophil count of at least 300 cells per microlitre in the last 12 months</w:t>
            </w:r>
          </w:p>
        </w:tc>
      </w:tr>
      <w:tr w:rsidR="00A979D9" w:rsidRPr="000717E1" w14:paraId="7ACBDD25" w14:textId="77777777" w:rsidTr="000259F1">
        <w:tc>
          <w:tcPr>
            <w:tcW w:w="5000" w:type="pct"/>
            <w:vAlign w:val="center"/>
          </w:tcPr>
          <w:p w14:paraId="70B56AB7" w14:textId="77777777" w:rsidR="00A979D9" w:rsidRPr="000717E1" w:rsidRDefault="00A979D9" w:rsidP="00281B31">
            <w:pPr>
              <w:keepNext/>
              <w:rPr>
                <w:rFonts w:ascii="Arial Narrow" w:hAnsi="Arial Narrow"/>
                <w:b/>
                <w:bCs/>
                <w:sz w:val="20"/>
                <w:szCs w:val="20"/>
              </w:rPr>
            </w:pPr>
            <w:r w:rsidRPr="000717E1">
              <w:rPr>
                <w:rFonts w:ascii="Arial Narrow" w:hAnsi="Arial Narrow"/>
                <w:b/>
                <w:bCs/>
                <w:sz w:val="20"/>
                <w:szCs w:val="20"/>
              </w:rPr>
              <w:t>AND</w:t>
            </w:r>
          </w:p>
        </w:tc>
      </w:tr>
      <w:tr w:rsidR="00A979D9" w:rsidRPr="000717E1" w14:paraId="02613CD0" w14:textId="77777777" w:rsidTr="000259F1">
        <w:tc>
          <w:tcPr>
            <w:tcW w:w="5000" w:type="pct"/>
            <w:vAlign w:val="center"/>
          </w:tcPr>
          <w:p w14:paraId="79EFDF94" w14:textId="77777777" w:rsidR="00A979D9" w:rsidRPr="000717E1" w:rsidRDefault="00A979D9" w:rsidP="00281B31">
            <w:pPr>
              <w:keepNext/>
              <w:rPr>
                <w:rFonts w:ascii="Arial Narrow" w:hAnsi="Arial Narrow"/>
                <w:b/>
                <w:bCs/>
                <w:sz w:val="20"/>
                <w:szCs w:val="20"/>
              </w:rPr>
            </w:pPr>
            <w:r w:rsidRPr="000717E1">
              <w:rPr>
                <w:rFonts w:ascii="Arial Narrow" w:hAnsi="Arial Narrow"/>
                <w:sz w:val="20"/>
                <w:szCs w:val="20"/>
              </w:rPr>
              <w:t xml:space="preserve">Patients must have significant symptoms despite at least 3 months of stable bronchodilator therapy on a combination of long-acting muscarinic antagonist (LAMA), a long-acting beta-2 agonist (LABA) and an inhaled corticosteroid (ICS) </w:t>
            </w:r>
          </w:p>
        </w:tc>
      </w:tr>
      <w:tr w:rsidR="00A979D9" w:rsidRPr="000717E1" w14:paraId="65CB5230" w14:textId="77777777" w:rsidTr="000259F1">
        <w:tc>
          <w:tcPr>
            <w:tcW w:w="5000" w:type="pct"/>
            <w:vAlign w:val="center"/>
          </w:tcPr>
          <w:p w14:paraId="67669768" w14:textId="77777777" w:rsidR="00A979D9" w:rsidRPr="000717E1" w:rsidRDefault="00A979D9" w:rsidP="00281B31">
            <w:pPr>
              <w:keepNext/>
              <w:rPr>
                <w:rFonts w:ascii="Arial Narrow" w:hAnsi="Arial Narrow"/>
                <w:b/>
                <w:bCs/>
                <w:sz w:val="20"/>
                <w:szCs w:val="20"/>
              </w:rPr>
            </w:pPr>
            <w:r w:rsidRPr="000717E1">
              <w:rPr>
                <w:rFonts w:ascii="Arial Narrow" w:hAnsi="Arial Narrow"/>
                <w:b/>
                <w:bCs/>
                <w:sz w:val="20"/>
                <w:szCs w:val="20"/>
              </w:rPr>
              <w:t>AND</w:t>
            </w:r>
          </w:p>
        </w:tc>
      </w:tr>
      <w:tr w:rsidR="00A979D9" w:rsidRPr="000717E1" w14:paraId="23BB8DA7" w14:textId="77777777" w:rsidTr="000259F1">
        <w:tc>
          <w:tcPr>
            <w:tcW w:w="5000" w:type="pct"/>
            <w:vAlign w:val="center"/>
            <w:hideMark/>
          </w:tcPr>
          <w:p w14:paraId="441CF160" w14:textId="77777777" w:rsidR="00A979D9" w:rsidRPr="000717E1" w:rsidRDefault="00A979D9" w:rsidP="00281B31">
            <w:pPr>
              <w:keepNext/>
              <w:rPr>
                <w:rFonts w:ascii="Arial Narrow" w:hAnsi="Arial Narrow"/>
                <w:sz w:val="20"/>
                <w:szCs w:val="20"/>
              </w:rPr>
            </w:pPr>
            <w:r w:rsidRPr="000717E1">
              <w:rPr>
                <w:rFonts w:ascii="Arial Narrow" w:hAnsi="Arial Narrow"/>
                <w:sz w:val="20"/>
                <w:szCs w:val="20"/>
              </w:rPr>
              <w:t>Patient must have experienced, in the previous 12 months:</w:t>
            </w:r>
          </w:p>
          <w:p w14:paraId="2564C5F8" w14:textId="77777777" w:rsidR="00A979D9" w:rsidRPr="000717E1" w:rsidRDefault="00A979D9" w:rsidP="00281B31">
            <w:pPr>
              <w:pStyle w:val="ListParagraph"/>
              <w:keepNext/>
              <w:numPr>
                <w:ilvl w:val="0"/>
                <w:numId w:val="8"/>
              </w:numPr>
              <w:spacing w:after="0"/>
              <w:contextualSpacing/>
              <w:jc w:val="left"/>
              <w:rPr>
                <w:rFonts w:ascii="Arial Narrow" w:hAnsi="Arial Narrow"/>
                <w:sz w:val="20"/>
                <w:szCs w:val="20"/>
              </w:rPr>
            </w:pPr>
            <w:r w:rsidRPr="000717E1">
              <w:rPr>
                <w:rFonts w:ascii="Arial Narrow" w:hAnsi="Arial Narrow"/>
                <w:sz w:val="20"/>
                <w:szCs w:val="20"/>
              </w:rPr>
              <w:t xml:space="preserve">at least one severe COPD exacerbation which required hospitalisation AND/OR </w:t>
            </w:r>
          </w:p>
          <w:p w14:paraId="260B899F" w14:textId="77777777" w:rsidR="00A979D9" w:rsidRPr="000717E1" w:rsidRDefault="00A979D9" w:rsidP="00281B31">
            <w:pPr>
              <w:pStyle w:val="ListParagraph"/>
              <w:keepNext/>
              <w:numPr>
                <w:ilvl w:val="0"/>
                <w:numId w:val="8"/>
              </w:numPr>
              <w:spacing w:after="0"/>
              <w:contextualSpacing/>
              <w:jc w:val="left"/>
              <w:rPr>
                <w:rFonts w:ascii="Arial Narrow" w:hAnsi="Arial Narrow"/>
                <w:sz w:val="20"/>
                <w:szCs w:val="20"/>
              </w:rPr>
            </w:pPr>
            <w:r w:rsidRPr="000717E1">
              <w:rPr>
                <w:rFonts w:ascii="Arial Narrow" w:hAnsi="Arial Narrow"/>
                <w:sz w:val="20"/>
                <w:szCs w:val="20"/>
              </w:rPr>
              <w:t>two or more moderate exacerbations, of which at least;</w:t>
            </w:r>
          </w:p>
          <w:p w14:paraId="23AB5A07" w14:textId="77777777" w:rsidR="00A979D9" w:rsidRPr="000717E1" w:rsidRDefault="00A979D9" w:rsidP="00281B31">
            <w:pPr>
              <w:pStyle w:val="ListParagraph"/>
              <w:keepNext/>
              <w:numPr>
                <w:ilvl w:val="1"/>
                <w:numId w:val="8"/>
              </w:numPr>
              <w:spacing w:after="0"/>
              <w:contextualSpacing/>
              <w:jc w:val="left"/>
              <w:rPr>
                <w:rFonts w:ascii="Arial Narrow" w:hAnsi="Arial Narrow"/>
                <w:sz w:val="20"/>
                <w:szCs w:val="20"/>
              </w:rPr>
            </w:pPr>
            <w:r w:rsidRPr="000717E1">
              <w:rPr>
                <w:rFonts w:ascii="Arial Narrow" w:hAnsi="Arial Narrow"/>
                <w:sz w:val="20"/>
                <w:szCs w:val="20"/>
              </w:rPr>
              <w:t>one required treatment with systemic corticosteroids and</w:t>
            </w:r>
          </w:p>
          <w:p w14:paraId="7FA97A08" w14:textId="77777777" w:rsidR="00A979D9" w:rsidRPr="000717E1" w:rsidRDefault="00A979D9" w:rsidP="00281B31">
            <w:pPr>
              <w:pStyle w:val="ListParagraph"/>
              <w:keepNext/>
              <w:numPr>
                <w:ilvl w:val="1"/>
                <w:numId w:val="8"/>
              </w:numPr>
              <w:spacing w:after="0"/>
              <w:contextualSpacing/>
              <w:jc w:val="left"/>
              <w:rPr>
                <w:rFonts w:ascii="Arial Narrow" w:hAnsi="Arial Narrow"/>
                <w:sz w:val="20"/>
                <w:szCs w:val="20"/>
              </w:rPr>
            </w:pPr>
            <w:r w:rsidRPr="000717E1">
              <w:rPr>
                <w:rFonts w:ascii="Arial Narrow" w:hAnsi="Arial Narrow"/>
                <w:sz w:val="20"/>
                <w:szCs w:val="20"/>
              </w:rPr>
              <w:t xml:space="preserve">one required treatment with systemic corticosteroids or antibiotics </w:t>
            </w:r>
          </w:p>
        </w:tc>
      </w:tr>
      <w:tr w:rsidR="00A979D9" w:rsidRPr="000717E1" w14:paraId="4C97C344" w14:textId="77777777" w:rsidTr="000259F1">
        <w:tc>
          <w:tcPr>
            <w:tcW w:w="5000" w:type="pct"/>
            <w:vAlign w:val="center"/>
          </w:tcPr>
          <w:p w14:paraId="6D36062C" w14:textId="77777777" w:rsidR="00A979D9" w:rsidRPr="000717E1" w:rsidRDefault="00A979D9" w:rsidP="00281B31">
            <w:pPr>
              <w:keepNext/>
              <w:rPr>
                <w:rFonts w:ascii="Arial Narrow" w:hAnsi="Arial Narrow"/>
                <w:b/>
                <w:bCs/>
                <w:sz w:val="20"/>
                <w:szCs w:val="20"/>
              </w:rPr>
            </w:pPr>
            <w:r w:rsidRPr="000717E1">
              <w:rPr>
                <w:rFonts w:ascii="Arial Narrow" w:hAnsi="Arial Narrow"/>
                <w:b/>
                <w:bCs/>
                <w:sz w:val="20"/>
                <w:szCs w:val="20"/>
              </w:rPr>
              <w:t>AND</w:t>
            </w:r>
          </w:p>
        </w:tc>
      </w:tr>
      <w:tr w:rsidR="00A979D9" w:rsidRPr="000717E1" w14:paraId="076676D4" w14:textId="77777777" w:rsidTr="000259F1">
        <w:tc>
          <w:tcPr>
            <w:tcW w:w="5000" w:type="pct"/>
            <w:vAlign w:val="center"/>
          </w:tcPr>
          <w:p w14:paraId="752AD626" w14:textId="77777777" w:rsidR="00A979D9" w:rsidRPr="000717E1" w:rsidRDefault="00A979D9" w:rsidP="00281B31">
            <w:pPr>
              <w:keepNext/>
              <w:rPr>
                <w:rFonts w:ascii="Arial Narrow" w:hAnsi="Arial Narrow"/>
                <w:sz w:val="20"/>
                <w:szCs w:val="20"/>
              </w:rPr>
            </w:pPr>
            <w:r w:rsidRPr="000717E1">
              <w:rPr>
                <w:rFonts w:ascii="Arial Narrow" w:hAnsi="Arial Narrow"/>
                <w:sz w:val="20"/>
                <w:szCs w:val="20"/>
              </w:rPr>
              <w:t xml:space="preserve">The treatment must be in combination with a LAMA, LABA and ICS </w:t>
            </w:r>
          </w:p>
        </w:tc>
      </w:tr>
      <w:tr w:rsidR="00A979D9" w:rsidRPr="000717E1" w14:paraId="147F5C3D" w14:textId="77777777" w:rsidTr="000259F1">
        <w:tc>
          <w:tcPr>
            <w:tcW w:w="5000" w:type="pct"/>
            <w:vAlign w:val="center"/>
          </w:tcPr>
          <w:p w14:paraId="00E962C9" w14:textId="77777777" w:rsidR="00A979D9" w:rsidRPr="000717E1" w:rsidRDefault="00A979D9" w:rsidP="00281B31">
            <w:pPr>
              <w:keepNext/>
              <w:rPr>
                <w:rFonts w:ascii="Arial Narrow" w:hAnsi="Arial Narrow"/>
                <w:sz w:val="20"/>
                <w:szCs w:val="20"/>
              </w:rPr>
            </w:pPr>
            <w:r w:rsidRPr="000717E1">
              <w:rPr>
                <w:rFonts w:ascii="Arial Narrow" w:hAnsi="Arial Narrow"/>
                <w:b/>
                <w:bCs/>
                <w:sz w:val="20"/>
                <w:szCs w:val="20"/>
              </w:rPr>
              <w:t>AND</w:t>
            </w:r>
          </w:p>
        </w:tc>
      </w:tr>
      <w:tr w:rsidR="00A979D9" w:rsidRPr="000717E1" w14:paraId="750BC8D0" w14:textId="77777777" w:rsidTr="000259F1">
        <w:tc>
          <w:tcPr>
            <w:tcW w:w="5000" w:type="pct"/>
            <w:vAlign w:val="center"/>
          </w:tcPr>
          <w:p w14:paraId="750251DF" w14:textId="77777777" w:rsidR="00A979D9" w:rsidRPr="000717E1" w:rsidRDefault="00A979D9" w:rsidP="00281B31">
            <w:pPr>
              <w:keepNext/>
              <w:rPr>
                <w:rFonts w:ascii="Arial Narrow" w:hAnsi="Arial Narrow"/>
                <w:sz w:val="20"/>
                <w:szCs w:val="20"/>
              </w:rPr>
            </w:pPr>
            <w:r w:rsidRPr="000717E1">
              <w:rPr>
                <w:rFonts w:ascii="Arial Narrow" w:hAnsi="Arial Narrow"/>
                <w:sz w:val="20"/>
                <w:szCs w:val="20"/>
              </w:rPr>
              <w:t>The treatment must be the sole PBS-subsidised biological medicine for this indication</w:t>
            </w:r>
          </w:p>
        </w:tc>
      </w:tr>
      <w:tr w:rsidR="00A979D9" w:rsidRPr="000717E1" w14:paraId="59465A89" w14:textId="77777777" w:rsidTr="000259F1">
        <w:tc>
          <w:tcPr>
            <w:tcW w:w="5000" w:type="pct"/>
            <w:vAlign w:val="center"/>
          </w:tcPr>
          <w:p w14:paraId="6023D244" w14:textId="77777777" w:rsidR="00A979D9" w:rsidRPr="000717E1" w:rsidRDefault="00A979D9" w:rsidP="00281B31">
            <w:pPr>
              <w:keepNext/>
              <w:rPr>
                <w:rFonts w:ascii="Arial Narrow" w:hAnsi="Arial Narrow"/>
                <w:sz w:val="20"/>
                <w:szCs w:val="20"/>
              </w:rPr>
            </w:pPr>
            <w:r w:rsidRPr="000717E1">
              <w:rPr>
                <w:rFonts w:ascii="Arial Narrow" w:hAnsi="Arial Narrow"/>
                <w:b/>
                <w:bCs/>
                <w:sz w:val="20"/>
                <w:szCs w:val="20"/>
              </w:rPr>
              <w:t>Treatment criteria:</w:t>
            </w:r>
          </w:p>
        </w:tc>
      </w:tr>
      <w:tr w:rsidR="00A979D9" w:rsidRPr="000717E1" w14:paraId="1B2DA444" w14:textId="77777777" w:rsidTr="000259F1">
        <w:tc>
          <w:tcPr>
            <w:tcW w:w="5000" w:type="pct"/>
            <w:vAlign w:val="center"/>
            <w:hideMark/>
          </w:tcPr>
          <w:p w14:paraId="7B0C1FD2" w14:textId="77777777" w:rsidR="00A979D9" w:rsidRPr="000717E1" w:rsidRDefault="00A979D9" w:rsidP="00281B31">
            <w:pPr>
              <w:keepNext/>
              <w:rPr>
                <w:rFonts w:ascii="Arial Narrow" w:hAnsi="Arial Narrow" w:cs="Arial Narrow"/>
                <w:i/>
                <w:iCs/>
                <w:sz w:val="20"/>
                <w:szCs w:val="20"/>
              </w:rPr>
            </w:pPr>
            <w:r w:rsidRPr="000717E1">
              <w:rPr>
                <w:rFonts w:ascii="Arial Narrow" w:hAnsi="Arial Narrow"/>
                <w:sz w:val="20"/>
                <w:szCs w:val="20"/>
              </w:rPr>
              <w:t xml:space="preserve">Patient must be treated by a medical practitioner who is a respiratory physician or a general physician experienced in the management of patients with chronic obstructive pulmonary disease </w:t>
            </w:r>
          </w:p>
        </w:tc>
      </w:tr>
      <w:tr w:rsidR="00A979D9" w:rsidRPr="000717E1" w14:paraId="0F24AA5C" w14:textId="77777777" w:rsidTr="000259F1">
        <w:tc>
          <w:tcPr>
            <w:tcW w:w="5000" w:type="pct"/>
            <w:vAlign w:val="center"/>
            <w:hideMark/>
          </w:tcPr>
          <w:p w14:paraId="41038A9D" w14:textId="77777777" w:rsidR="00A979D9" w:rsidRPr="000717E1" w:rsidRDefault="00A979D9" w:rsidP="00281B31">
            <w:pPr>
              <w:keepNext/>
              <w:rPr>
                <w:rFonts w:ascii="Arial Narrow" w:hAnsi="Arial Narrow"/>
                <w:sz w:val="20"/>
                <w:szCs w:val="20"/>
              </w:rPr>
            </w:pPr>
            <w:r w:rsidRPr="000717E1">
              <w:rPr>
                <w:rFonts w:ascii="Arial Narrow" w:hAnsi="Arial Narrow"/>
                <w:b/>
                <w:bCs/>
                <w:sz w:val="20"/>
                <w:szCs w:val="20"/>
              </w:rPr>
              <w:t>Prescribing Instructions:</w:t>
            </w:r>
            <w:r w:rsidRPr="000717E1">
              <w:rPr>
                <w:rFonts w:ascii="Arial Narrow" w:hAnsi="Arial Narrow"/>
                <w:sz w:val="20"/>
                <w:szCs w:val="20"/>
              </w:rPr>
              <w:t xml:space="preserve"> </w:t>
            </w:r>
          </w:p>
          <w:p w14:paraId="3FE96E92" w14:textId="77777777" w:rsidR="00A979D9" w:rsidRPr="000717E1" w:rsidRDefault="00A979D9" w:rsidP="00281B31">
            <w:pPr>
              <w:keepNext/>
              <w:rPr>
                <w:rFonts w:ascii="Arial Narrow" w:hAnsi="Arial Narrow"/>
                <w:sz w:val="20"/>
                <w:szCs w:val="20"/>
              </w:rPr>
            </w:pPr>
            <w:r w:rsidRPr="000717E1">
              <w:rPr>
                <w:rFonts w:ascii="Arial Narrow" w:hAnsi="Arial Narrow"/>
                <w:sz w:val="20"/>
                <w:szCs w:val="20"/>
              </w:rPr>
              <w:t>The following must be provided in the PBS authority application and documented in the patient's medical records:</w:t>
            </w:r>
          </w:p>
          <w:p w14:paraId="7943A017" w14:textId="77777777" w:rsidR="00A979D9" w:rsidRPr="000717E1" w:rsidRDefault="00A979D9" w:rsidP="00281B31">
            <w:pPr>
              <w:pStyle w:val="ListParagraph"/>
              <w:keepNext/>
              <w:numPr>
                <w:ilvl w:val="0"/>
                <w:numId w:val="9"/>
              </w:numPr>
              <w:spacing w:after="0"/>
              <w:contextualSpacing/>
              <w:jc w:val="left"/>
              <w:rPr>
                <w:rFonts w:ascii="Arial Narrow" w:hAnsi="Arial Narrow"/>
                <w:sz w:val="20"/>
                <w:szCs w:val="20"/>
              </w:rPr>
            </w:pPr>
            <w:r w:rsidRPr="000717E1">
              <w:rPr>
                <w:rFonts w:ascii="Arial Narrow" w:hAnsi="Arial Narrow"/>
                <w:sz w:val="20"/>
                <w:szCs w:val="20"/>
              </w:rPr>
              <w:t>details of therapy with a combination of LAMA, LABA and ICS (treatment, date of commencement, duration of therapy); and</w:t>
            </w:r>
          </w:p>
          <w:p w14:paraId="32619661" w14:textId="77777777" w:rsidR="00A979D9" w:rsidRPr="000717E1" w:rsidRDefault="00A979D9" w:rsidP="00281B31">
            <w:pPr>
              <w:pStyle w:val="ListParagraph"/>
              <w:keepNext/>
              <w:numPr>
                <w:ilvl w:val="0"/>
                <w:numId w:val="9"/>
              </w:numPr>
              <w:spacing w:after="0"/>
              <w:contextualSpacing/>
              <w:jc w:val="left"/>
              <w:rPr>
                <w:rFonts w:ascii="Arial Narrow" w:hAnsi="Arial Narrow"/>
                <w:sz w:val="20"/>
                <w:szCs w:val="20"/>
              </w:rPr>
            </w:pPr>
            <w:r w:rsidRPr="000717E1">
              <w:rPr>
                <w:rFonts w:ascii="Arial Narrow" w:hAnsi="Arial Narrow"/>
                <w:sz w:val="20"/>
                <w:szCs w:val="20"/>
              </w:rPr>
              <w:t xml:space="preserve">in the last 12 months, please document (where applicable): </w:t>
            </w:r>
          </w:p>
          <w:p w14:paraId="64D2E32C" w14:textId="77777777" w:rsidR="00A979D9" w:rsidRPr="000717E1" w:rsidRDefault="00A979D9" w:rsidP="00281B31">
            <w:pPr>
              <w:keepNext/>
              <w:ind w:left="1080"/>
              <w:jc w:val="left"/>
              <w:rPr>
                <w:rFonts w:ascii="Arial Narrow" w:hAnsi="Arial Narrow"/>
                <w:sz w:val="20"/>
                <w:szCs w:val="20"/>
              </w:rPr>
            </w:pPr>
            <w:r w:rsidRPr="000717E1">
              <w:rPr>
                <w:rFonts w:ascii="Arial Narrow" w:hAnsi="Arial Narrow"/>
                <w:sz w:val="20"/>
                <w:szCs w:val="20"/>
              </w:rPr>
              <w:t>(i) no. of moderate exacerbations requiring treatment with systemic corticosteroids</w:t>
            </w:r>
          </w:p>
          <w:p w14:paraId="4FB079E7" w14:textId="77777777" w:rsidR="00080B93" w:rsidRPr="000717E1" w:rsidRDefault="00A979D9" w:rsidP="00281B31">
            <w:pPr>
              <w:keepNext/>
              <w:ind w:left="1080"/>
              <w:jc w:val="left"/>
              <w:rPr>
                <w:rFonts w:ascii="Arial Narrow" w:hAnsi="Arial Narrow"/>
                <w:sz w:val="20"/>
                <w:szCs w:val="20"/>
              </w:rPr>
            </w:pPr>
            <w:r w:rsidRPr="000717E1">
              <w:rPr>
                <w:rFonts w:ascii="Arial Narrow" w:hAnsi="Arial Narrow"/>
                <w:sz w:val="20"/>
                <w:szCs w:val="20"/>
              </w:rPr>
              <w:t>(ii) no. of moderate exacerbations requiring treatment with antibiotics</w:t>
            </w:r>
          </w:p>
          <w:p w14:paraId="09620A52" w14:textId="2710EF13" w:rsidR="00A979D9" w:rsidRPr="000717E1" w:rsidRDefault="00A979D9" w:rsidP="00281B31">
            <w:pPr>
              <w:keepNext/>
              <w:ind w:left="1080"/>
              <w:jc w:val="left"/>
              <w:rPr>
                <w:rFonts w:ascii="Arial Narrow" w:hAnsi="Arial Narrow"/>
                <w:sz w:val="20"/>
                <w:szCs w:val="20"/>
              </w:rPr>
            </w:pPr>
            <w:r w:rsidRPr="000717E1">
              <w:rPr>
                <w:rFonts w:ascii="Arial Narrow" w:hAnsi="Arial Narrow"/>
                <w:sz w:val="20"/>
                <w:szCs w:val="20"/>
              </w:rPr>
              <w:t xml:space="preserve">(ii) no. of severe exacerbation/s which required hospitalisation experienced while on stable treatment with LAMA, LABA and ICS </w:t>
            </w:r>
          </w:p>
          <w:p w14:paraId="11329E85" w14:textId="77777777" w:rsidR="00A979D9" w:rsidRPr="000717E1" w:rsidRDefault="00A979D9" w:rsidP="00281B31">
            <w:pPr>
              <w:pStyle w:val="ListParagraph"/>
              <w:keepNext/>
              <w:numPr>
                <w:ilvl w:val="0"/>
                <w:numId w:val="9"/>
              </w:numPr>
              <w:spacing w:after="0"/>
              <w:contextualSpacing/>
              <w:jc w:val="left"/>
              <w:rPr>
                <w:rFonts w:ascii="Arial Narrow" w:hAnsi="Arial Narrow"/>
                <w:sz w:val="20"/>
                <w:szCs w:val="20"/>
              </w:rPr>
            </w:pPr>
            <w:r w:rsidRPr="000717E1">
              <w:rPr>
                <w:rFonts w:ascii="Arial Narrow" w:hAnsi="Arial Narrow"/>
                <w:sz w:val="20"/>
                <w:szCs w:val="20"/>
              </w:rPr>
              <w:t>the eosinophil count and date in the last 12 months.</w:t>
            </w:r>
            <w:r w:rsidRPr="000717E1">
              <w:rPr>
                <w:rFonts w:ascii="Arial Narrow" w:hAnsi="Arial Narrow"/>
                <w:sz w:val="20"/>
                <w:szCs w:val="20"/>
              </w:rPr>
              <w:br/>
            </w:r>
          </w:p>
          <w:p w14:paraId="5DF806AB" w14:textId="40417021" w:rsidR="00A979D9" w:rsidRPr="000717E1" w:rsidRDefault="00A979D9" w:rsidP="00281B31">
            <w:pPr>
              <w:keepNext/>
              <w:rPr>
                <w:rFonts w:ascii="Arial Narrow" w:hAnsi="Arial Narrow"/>
                <w:sz w:val="20"/>
                <w:szCs w:val="20"/>
              </w:rPr>
            </w:pPr>
            <w:r w:rsidRPr="000717E1">
              <w:rPr>
                <w:rFonts w:ascii="Arial Narrow" w:hAnsi="Arial Narrow"/>
                <w:sz w:val="20"/>
                <w:szCs w:val="20"/>
              </w:rPr>
              <w:t>The details of the number of moderate and/or exacerbations are to inform the basis of determining if an adequate response to treatment has been achieved under the continuing treatment restriction. In addition to stating them in this authority application, document them in the patient’s medical records.</w:t>
            </w:r>
          </w:p>
        </w:tc>
      </w:tr>
    </w:tbl>
    <w:p w14:paraId="0CA855E7" w14:textId="77777777" w:rsidR="00A979D9" w:rsidRPr="000717E1" w:rsidRDefault="00A979D9" w:rsidP="00281B31">
      <w:pPr>
        <w:pStyle w:val="FooterTableFigure"/>
        <w:keepNext/>
      </w:pPr>
      <w:r w:rsidRPr="000717E1">
        <w:t>Source: Table 1.4-4 pp29-30 of the submission.</w:t>
      </w:r>
    </w:p>
    <w:p w14:paraId="30F44786" w14:textId="77777777" w:rsidR="00A979D9" w:rsidRPr="000717E1" w:rsidRDefault="00A979D9" w:rsidP="00281B31">
      <w:pPr>
        <w:pStyle w:val="FooterTableFigure"/>
        <w:keepNext/>
      </w:pPr>
      <w:r w:rsidRPr="000717E1">
        <w:t>COPD = chronic obstructive pulmonary disease; FEV</w:t>
      </w:r>
      <w:r w:rsidRPr="000717E1">
        <w:rPr>
          <w:vertAlign w:val="subscript"/>
        </w:rPr>
        <w:t>1</w:t>
      </w:r>
      <w:r w:rsidRPr="000717E1">
        <w:t xml:space="preserve"> = forced expiratory volume in 1 second; FVC = forced vital capacity; ICS = inhaled corticosteroid; LABA = long-acting beta-2 agonist; LAMA = long-acting muscarinic antagonist; PBS = Pharmaceutical Benefits Scheme; qty = quantity; </w:t>
      </w:r>
      <w:proofErr w:type="spellStart"/>
      <w:r w:rsidRPr="000717E1">
        <w:t>rpts</w:t>
      </w:r>
      <w:proofErr w:type="spellEnd"/>
      <w:r w:rsidRPr="000717E1">
        <w:t xml:space="preserve"> = repeats.</w:t>
      </w:r>
    </w:p>
    <w:p w14:paraId="2668B9E5" w14:textId="5AC41E86" w:rsidR="00A979D9" w:rsidRPr="000717E1" w:rsidRDefault="00A979D9" w:rsidP="00A979D9">
      <w:pPr>
        <w:pStyle w:val="FooterTableFigure"/>
      </w:pPr>
      <w:bookmarkStart w:id="17" w:name="_Hlk215849810"/>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Caption w:val="Requested listing"/>
      </w:tblPr>
      <w:tblGrid>
        <w:gridCol w:w="9067"/>
      </w:tblGrid>
      <w:tr w:rsidR="00A979D9" w:rsidRPr="000717E1" w14:paraId="3B94165C" w14:textId="77777777" w:rsidTr="000259F1">
        <w:tc>
          <w:tcPr>
            <w:tcW w:w="9067" w:type="dxa"/>
            <w:vAlign w:val="center"/>
          </w:tcPr>
          <w:bookmarkEnd w:id="17"/>
          <w:p w14:paraId="6E65344B" w14:textId="77777777" w:rsidR="00A979D9" w:rsidRPr="000717E1" w:rsidRDefault="00A979D9" w:rsidP="00281B31">
            <w:pPr>
              <w:keepNext/>
              <w:rPr>
                <w:rFonts w:ascii="Arial Narrow" w:hAnsi="Arial Narrow"/>
                <w:b/>
                <w:bCs/>
                <w:sz w:val="20"/>
                <w:szCs w:val="20"/>
              </w:rPr>
            </w:pPr>
            <w:r w:rsidRPr="000717E1">
              <w:rPr>
                <w:rFonts w:ascii="Arial Narrow" w:hAnsi="Arial Narrow"/>
                <w:b/>
                <w:sz w:val="20"/>
                <w:szCs w:val="20"/>
              </w:rPr>
              <w:lastRenderedPageBreak/>
              <w:t xml:space="preserve">Restriction Summary: </w:t>
            </w:r>
            <w:r w:rsidRPr="000717E1">
              <w:rPr>
                <w:rFonts w:ascii="Arial Narrow" w:hAnsi="Arial Narrow"/>
                <w:iCs/>
                <w:sz w:val="20"/>
                <w:szCs w:val="20"/>
              </w:rPr>
              <w:t>Authority Required (telephone)</w:t>
            </w:r>
          </w:p>
        </w:tc>
      </w:tr>
      <w:tr w:rsidR="00A979D9" w:rsidRPr="000717E1" w14:paraId="6CEF5F38" w14:textId="77777777" w:rsidTr="000259F1">
        <w:tc>
          <w:tcPr>
            <w:tcW w:w="9067" w:type="dxa"/>
            <w:vAlign w:val="center"/>
            <w:hideMark/>
          </w:tcPr>
          <w:p w14:paraId="3B2A9DAA" w14:textId="77777777" w:rsidR="00A979D9" w:rsidRPr="000717E1" w:rsidRDefault="00A979D9" w:rsidP="00281B31">
            <w:pPr>
              <w:keepNext/>
              <w:rPr>
                <w:rFonts w:ascii="Arial Narrow" w:hAnsi="Arial Narrow"/>
                <w:sz w:val="20"/>
                <w:szCs w:val="20"/>
              </w:rPr>
            </w:pPr>
            <w:r w:rsidRPr="000717E1">
              <w:rPr>
                <w:rFonts w:ascii="Arial Narrow" w:hAnsi="Arial Narrow"/>
                <w:b/>
                <w:bCs/>
                <w:sz w:val="20"/>
                <w:szCs w:val="20"/>
              </w:rPr>
              <w:t>Indication:</w:t>
            </w:r>
            <w:r w:rsidRPr="000717E1">
              <w:rPr>
                <w:rFonts w:ascii="Arial Narrow" w:hAnsi="Arial Narrow"/>
                <w:sz w:val="20"/>
                <w:szCs w:val="20"/>
              </w:rPr>
              <w:t xml:space="preserve"> Uncontrolled chronic obstructive pulmonary disease</w:t>
            </w:r>
          </w:p>
        </w:tc>
      </w:tr>
      <w:tr w:rsidR="00A979D9" w:rsidRPr="000717E1" w14:paraId="3BE8B040" w14:textId="77777777" w:rsidTr="000259F1">
        <w:tc>
          <w:tcPr>
            <w:tcW w:w="9067" w:type="dxa"/>
            <w:vAlign w:val="center"/>
          </w:tcPr>
          <w:p w14:paraId="3624C6BA" w14:textId="77777777" w:rsidR="00A979D9" w:rsidRPr="000717E1" w:rsidRDefault="00A979D9" w:rsidP="00281B31">
            <w:pPr>
              <w:keepNext/>
              <w:rPr>
                <w:rFonts w:ascii="Arial Narrow" w:hAnsi="Arial Narrow"/>
                <w:b/>
                <w:bCs/>
                <w:sz w:val="20"/>
                <w:szCs w:val="20"/>
              </w:rPr>
            </w:pPr>
            <w:r w:rsidRPr="000717E1">
              <w:rPr>
                <w:rFonts w:ascii="Arial Narrow" w:hAnsi="Arial Narrow"/>
                <w:b/>
                <w:bCs/>
                <w:sz w:val="20"/>
                <w:szCs w:val="20"/>
              </w:rPr>
              <w:t>Treatment Phase:</w:t>
            </w:r>
            <w:r w:rsidRPr="000717E1">
              <w:rPr>
                <w:rFonts w:ascii="Arial Narrow" w:hAnsi="Arial Narrow"/>
                <w:sz w:val="20"/>
                <w:szCs w:val="20"/>
              </w:rPr>
              <w:t xml:space="preserve"> Continuing </w:t>
            </w:r>
          </w:p>
        </w:tc>
      </w:tr>
      <w:tr w:rsidR="00A979D9" w:rsidRPr="000717E1" w14:paraId="6BE45269" w14:textId="77777777" w:rsidTr="000259F1">
        <w:tc>
          <w:tcPr>
            <w:tcW w:w="9067" w:type="dxa"/>
            <w:vAlign w:val="center"/>
          </w:tcPr>
          <w:p w14:paraId="68BE698E" w14:textId="77777777" w:rsidR="00A979D9" w:rsidRPr="000717E1" w:rsidRDefault="00A979D9" w:rsidP="00281B31">
            <w:pPr>
              <w:keepNext/>
              <w:rPr>
                <w:rFonts w:ascii="Arial Narrow" w:hAnsi="Arial Narrow"/>
                <w:b/>
                <w:bCs/>
                <w:sz w:val="20"/>
                <w:szCs w:val="20"/>
              </w:rPr>
            </w:pPr>
            <w:r w:rsidRPr="000717E1">
              <w:rPr>
                <w:rFonts w:ascii="Arial Narrow" w:hAnsi="Arial Narrow"/>
                <w:b/>
                <w:bCs/>
                <w:sz w:val="20"/>
                <w:szCs w:val="20"/>
              </w:rPr>
              <w:t>Clinical criteria:</w:t>
            </w:r>
          </w:p>
        </w:tc>
      </w:tr>
      <w:tr w:rsidR="00A979D9" w:rsidRPr="000717E1" w14:paraId="2C63801D" w14:textId="77777777" w:rsidTr="000259F1">
        <w:tc>
          <w:tcPr>
            <w:tcW w:w="9067" w:type="dxa"/>
            <w:vAlign w:val="center"/>
          </w:tcPr>
          <w:p w14:paraId="313A8094" w14:textId="77777777" w:rsidR="00A979D9" w:rsidRPr="000717E1" w:rsidRDefault="00A979D9" w:rsidP="00281B31">
            <w:pPr>
              <w:keepNext/>
              <w:rPr>
                <w:rFonts w:ascii="Arial Narrow" w:hAnsi="Arial Narrow"/>
                <w:sz w:val="20"/>
                <w:szCs w:val="20"/>
              </w:rPr>
            </w:pPr>
            <w:r w:rsidRPr="000717E1">
              <w:rPr>
                <w:rFonts w:ascii="Arial Narrow" w:hAnsi="Arial Narrow"/>
                <w:sz w:val="20"/>
                <w:szCs w:val="20"/>
              </w:rPr>
              <w:t>Patient must have received PBS-subsidised treatment with this biological medicine for the treatment of uncontrolled chronic obstructive pulmonary disease</w:t>
            </w:r>
          </w:p>
        </w:tc>
      </w:tr>
      <w:tr w:rsidR="00A979D9" w:rsidRPr="000717E1" w14:paraId="4B3B1782" w14:textId="77777777" w:rsidTr="000259F1">
        <w:tc>
          <w:tcPr>
            <w:tcW w:w="9067" w:type="dxa"/>
            <w:vAlign w:val="center"/>
          </w:tcPr>
          <w:p w14:paraId="0036A3EB" w14:textId="77777777" w:rsidR="00A979D9" w:rsidRPr="000717E1" w:rsidRDefault="00A979D9" w:rsidP="00281B31">
            <w:pPr>
              <w:keepNext/>
              <w:rPr>
                <w:rFonts w:ascii="Arial Narrow" w:hAnsi="Arial Narrow"/>
                <w:b/>
                <w:bCs/>
                <w:sz w:val="20"/>
                <w:szCs w:val="20"/>
              </w:rPr>
            </w:pPr>
            <w:r w:rsidRPr="000717E1">
              <w:rPr>
                <w:rFonts w:ascii="Arial Narrow" w:hAnsi="Arial Narrow"/>
                <w:b/>
                <w:bCs/>
                <w:sz w:val="20"/>
                <w:szCs w:val="20"/>
              </w:rPr>
              <w:t>AND</w:t>
            </w:r>
          </w:p>
        </w:tc>
      </w:tr>
      <w:tr w:rsidR="00A979D9" w:rsidRPr="000717E1" w14:paraId="1B314EBB" w14:textId="77777777" w:rsidTr="000259F1">
        <w:tc>
          <w:tcPr>
            <w:tcW w:w="9067" w:type="dxa"/>
            <w:vAlign w:val="center"/>
          </w:tcPr>
          <w:p w14:paraId="3501A55A" w14:textId="77777777" w:rsidR="00A979D9" w:rsidRPr="000717E1" w:rsidRDefault="00A979D9" w:rsidP="00281B31">
            <w:pPr>
              <w:keepNext/>
              <w:rPr>
                <w:rFonts w:ascii="Arial Narrow" w:hAnsi="Arial Narrow"/>
                <w:sz w:val="20"/>
                <w:szCs w:val="20"/>
              </w:rPr>
            </w:pPr>
            <w:r w:rsidRPr="000717E1">
              <w:rPr>
                <w:rFonts w:ascii="Arial Narrow" w:hAnsi="Arial Narrow"/>
                <w:sz w:val="20"/>
                <w:szCs w:val="20"/>
              </w:rPr>
              <w:t>Patient must have achieved an adequate response after 52 weeks of treatment</w:t>
            </w:r>
          </w:p>
        </w:tc>
      </w:tr>
      <w:tr w:rsidR="00A979D9" w:rsidRPr="000717E1" w14:paraId="77F491F1" w14:textId="77777777" w:rsidTr="000259F1">
        <w:tc>
          <w:tcPr>
            <w:tcW w:w="9067" w:type="dxa"/>
            <w:vAlign w:val="center"/>
          </w:tcPr>
          <w:p w14:paraId="4DA61807" w14:textId="77777777" w:rsidR="00A979D9" w:rsidRPr="000717E1" w:rsidRDefault="00A979D9" w:rsidP="00281B31">
            <w:pPr>
              <w:keepNext/>
              <w:rPr>
                <w:rFonts w:ascii="Arial Narrow" w:hAnsi="Arial Narrow"/>
                <w:b/>
                <w:bCs/>
                <w:sz w:val="20"/>
                <w:szCs w:val="20"/>
              </w:rPr>
            </w:pPr>
            <w:r w:rsidRPr="000717E1">
              <w:rPr>
                <w:rFonts w:ascii="Arial Narrow" w:hAnsi="Arial Narrow"/>
                <w:b/>
                <w:bCs/>
                <w:sz w:val="20"/>
                <w:szCs w:val="20"/>
              </w:rPr>
              <w:t>AND</w:t>
            </w:r>
          </w:p>
        </w:tc>
      </w:tr>
      <w:tr w:rsidR="00A979D9" w:rsidRPr="000717E1" w14:paraId="314897F8" w14:textId="77777777" w:rsidTr="000259F1">
        <w:tc>
          <w:tcPr>
            <w:tcW w:w="9067" w:type="dxa"/>
            <w:vAlign w:val="center"/>
          </w:tcPr>
          <w:p w14:paraId="7C8FBCBD" w14:textId="77777777" w:rsidR="00A979D9" w:rsidRPr="000717E1" w:rsidRDefault="00A979D9" w:rsidP="00281B31">
            <w:pPr>
              <w:keepNext/>
              <w:rPr>
                <w:rFonts w:ascii="Arial Narrow" w:hAnsi="Arial Narrow"/>
                <w:sz w:val="20"/>
                <w:szCs w:val="20"/>
              </w:rPr>
            </w:pPr>
            <w:r w:rsidRPr="000717E1">
              <w:rPr>
                <w:rFonts w:ascii="Arial Narrow" w:hAnsi="Arial Narrow"/>
                <w:sz w:val="20"/>
                <w:szCs w:val="20"/>
              </w:rPr>
              <w:t>Patient must not receive more than 56 weeks of treatment under this restriction</w:t>
            </w:r>
          </w:p>
        </w:tc>
      </w:tr>
      <w:tr w:rsidR="00A979D9" w:rsidRPr="000717E1" w14:paraId="5BBA4352" w14:textId="77777777" w:rsidTr="000259F1">
        <w:tc>
          <w:tcPr>
            <w:tcW w:w="9067" w:type="dxa"/>
            <w:vAlign w:val="center"/>
          </w:tcPr>
          <w:p w14:paraId="48FAE1EE" w14:textId="77777777" w:rsidR="00A979D9" w:rsidRPr="000717E1" w:rsidRDefault="00A979D9" w:rsidP="00281B31">
            <w:pPr>
              <w:keepNext/>
              <w:rPr>
                <w:rFonts w:ascii="Arial Narrow" w:hAnsi="Arial Narrow"/>
                <w:b/>
                <w:bCs/>
                <w:sz w:val="20"/>
                <w:szCs w:val="20"/>
              </w:rPr>
            </w:pPr>
            <w:r w:rsidRPr="000717E1">
              <w:rPr>
                <w:rFonts w:ascii="Arial Narrow" w:hAnsi="Arial Narrow"/>
                <w:b/>
                <w:bCs/>
                <w:sz w:val="20"/>
                <w:szCs w:val="20"/>
              </w:rPr>
              <w:t>AND</w:t>
            </w:r>
          </w:p>
        </w:tc>
      </w:tr>
      <w:tr w:rsidR="00A979D9" w:rsidRPr="000717E1" w14:paraId="3827D661" w14:textId="77777777" w:rsidTr="000259F1">
        <w:tc>
          <w:tcPr>
            <w:tcW w:w="9067" w:type="dxa"/>
            <w:vAlign w:val="center"/>
          </w:tcPr>
          <w:p w14:paraId="13B59528" w14:textId="77777777" w:rsidR="00A979D9" w:rsidRPr="000717E1" w:rsidRDefault="00A979D9" w:rsidP="00281B31">
            <w:pPr>
              <w:keepNext/>
              <w:rPr>
                <w:rFonts w:ascii="Arial Narrow" w:hAnsi="Arial Narrow"/>
                <w:b/>
                <w:bCs/>
                <w:sz w:val="20"/>
                <w:szCs w:val="20"/>
              </w:rPr>
            </w:pPr>
            <w:r w:rsidRPr="000717E1">
              <w:rPr>
                <w:rFonts w:ascii="Arial Narrow" w:hAnsi="Arial Narrow"/>
                <w:sz w:val="20"/>
                <w:szCs w:val="20"/>
              </w:rPr>
              <w:t>Patient must have maintained an adequate response to their most recent course of PBS-subsidised treatment</w:t>
            </w:r>
          </w:p>
        </w:tc>
      </w:tr>
      <w:tr w:rsidR="00A979D9" w:rsidRPr="000717E1" w14:paraId="2EC05086" w14:textId="77777777" w:rsidTr="000259F1">
        <w:tc>
          <w:tcPr>
            <w:tcW w:w="9067" w:type="dxa"/>
            <w:vAlign w:val="center"/>
          </w:tcPr>
          <w:p w14:paraId="6B581F94" w14:textId="77777777" w:rsidR="00A979D9" w:rsidRPr="000717E1" w:rsidRDefault="00A979D9" w:rsidP="00281B31">
            <w:pPr>
              <w:keepNext/>
              <w:rPr>
                <w:rFonts w:ascii="Arial Narrow" w:hAnsi="Arial Narrow"/>
                <w:b/>
                <w:bCs/>
                <w:sz w:val="20"/>
                <w:szCs w:val="20"/>
              </w:rPr>
            </w:pPr>
            <w:r w:rsidRPr="000717E1">
              <w:rPr>
                <w:rFonts w:ascii="Arial Narrow" w:hAnsi="Arial Narrow"/>
                <w:b/>
                <w:bCs/>
                <w:sz w:val="20"/>
                <w:szCs w:val="20"/>
              </w:rPr>
              <w:t>AND</w:t>
            </w:r>
          </w:p>
        </w:tc>
      </w:tr>
      <w:tr w:rsidR="00A979D9" w:rsidRPr="000717E1" w14:paraId="3A48FCAD" w14:textId="77777777" w:rsidTr="000259F1">
        <w:tc>
          <w:tcPr>
            <w:tcW w:w="9067" w:type="dxa"/>
            <w:vAlign w:val="center"/>
          </w:tcPr>
          <w:p w14:paraId="22DE03EA" w14:textId="77777777" w:rsidR="00A979D9" w:rsidRPr="000717E1" w:rsidRDefault="00A979D9" w:rsidP="00281B31">
            <w:pPr>
              <w:keepNext/>
              <w:rPr>
                <w:rFonts w:ascii="Arial Narrow" w:hAnsi="Arial Narrow"/>
                <w:b/>
                <w:bCs/>
                <w:sz w:val="20"/>
                <w:szCs w:val="20"/>
              </w:rPr>
            </w:pPr>
            <w:r w:rsidRPr="000717E1">
              <w:rPr>
                <w:rFonts w:ascii="Arial Narrow" w:hAnsi="Arial Narrow"/>
                <w:sz w:val="20"/>
                <w:szCs w:val="20"/>
              </w:rPr>
              <w:t>The treatment must be in combination with a LAMA, LABA and ICS</w:t>
            </w:r>
          </w:p>
        </w:tc>
      </w:tr>
      <w:tr w:rsidR="00A979D9" w:rsidRPr="000717E1" w14:paraId="6470AACC" w14:textId="77777777" w:rsidTr="000259F1">
        <w:tc>
          <w:tcPr>
            <w:tcW w:w="9067" w:type="dxa"/>
            <w:vAlign w:val="center"/>
          </w:tcPr>
          <w:p w14:paraId="1D125C6E" w14:textId="77777777" w:rsidR="00A979D9" w:rsidRPr="000717E1" w:rsidRDefault="00A979D9" w:rsidP="00281B31">
            <w:pPr>
              <w:keepNext/>
              <w:rPr>
                <w:rFonts w:ascii="Arial Narrow" w:hAnsi="Arial Narrow"/>
                <w:b/>
                <w:bCs/>
                <w:sz w:val="20"/>
                <w:szCs w:val="20"/>
              </w:rPr>
            </w:pPr>
            <w:r w:rsidRPr="000717E1">
              <w:rPr>
                <w:rFonts w:ascii="Arial Narrow" w:hAnsi="Arial Narrow"/>
                <w:b/>
                <w:bCs/>
                <w:sz w:val="20"/>
                <w:szCs w:val="20"/>
              </w:rPr>
              <w:t>AND</w:t>
            </w:r>
          </w:p>
        </w:tc>
      </w:tr>
      <w:tr w:rsidR="00A979D9" w:rsidRPr="000717E1" w14:paraId="4BF31366" w14:textId="77777777" w:rsidTr="000259F1">
        <w:tc>
          <w:tcPr>
            <w:tcW w:w="9067" w:type="dxa"/>
            <w:vAlign w:val="center"/>
          </w:tcPr>
          <w:p w14:paraId="51552ED9" w14:textId="77777777" w:rsidR="00A979D9" w:rsidRPr="000717E1" w:rsidRDefault="00A979D9" w:rsidP="00281B31">
            <w:pPr>
              <w:keepNext/>
              <w:rPr>
                <w:rFonts w:ascii="Arial Narrow" w:hAnsi="Arial Narrow"/>
                <w:sz w:val="20"/>
                <w:szCs w:val="20"/>
              </w:rPr>
            </w:pPr>
            <w:r w:rsidRPr="000717E1">
              <w:rPr>
                <w:rFonts w:ascii="Arial Narrow" w:hAnsi="Arial Narrow"/>
                <w:sz w:val="20"/>
                <w:szCs w:val="20"/>
              </w:rPr>
              <w:t xml:space="preserve">The treatment must be the sole PBS-subsidised biological medicine for this PBS indication </w:t>
            </w:r>
          </w:p>
        </w:tc>
      </w:tr>
      <w:tr w:rsidR="00A979D9" w:rsidRPr="000717E1" w14:paraId="6399BBC7" w14:textId="77777777" w:rsidTr="000259F1">
        <w:tc>
          <w:tcPr>
            <w:tcW w:w="9067" w:type="dxa"/>
            <w:vAlign w:val="center"/>
          </w:tcPr>
          <w:p w14:paraId="473BFE5B" w14:textId="77777777" w:rsidR="00A979D9" w:rsidRPr="000717E1" w:rsidRDefault="00A979D9" w:rsidP="00281B31">
            <w:pPr>
              <w:keepNext/>
              <w:rPr>
                <w:rFonts w:ascii="Arial Narrow" w:hAnsi="Arial Narrow"/>
                <w:b/>
                <w:bCs/>
                <w:sz w:val="20"/>
                <w:szCs w:val="20"/>
              </w:rPr>
            </w:pPr>
            <w:r w:rsidRPr="000717E1">
              <w:rPr>
                <w:rFonts w:ascii="Arial Narrow" w:hAnsi="Arial Narrow"/>
                <w:b/>
                <w:bCs/>
                <w:sz w:val="20"/>
                <w:szCs w:val="20"/>
              </w:rPr>
              <w:t>AND</w:t>
            </w:r>
          </w:p>
        </w:tc>
      </w:tr>
      <w:tr w:rsidR="00A979D9" w:rsidRPr="000717E1" w14:paraId="09EB15DA" w14:textId="77777777" w:rsidTr="000259F1">
        <w:tc>
          <w:tcPr>
            <w:tcW w:w="9067" w:type="dxa"/>
            <w:vAlign w:val="center"/>
          </w:tcPr>
          <w:p w14:paraId="1BC5AF84" w14:textId="77777777" w:rsidR="00A979D9" w:rsidRPr="000717E1" w:rsidRDefault="00A979D9" w:rsidP="00281B31">
            <w:pPr>
              <w:keepNext/>
              <w:rPr>
                <w:rFonts w:ascii="Arial Narrow" w:hAnsi="Arial Narrow"/>
                <w:b/>
                <w:bCs/>
                <w:sz w:val="20"/>
                <w:szCs w:val="20"/>
              </w:rPr>
            </w:pPr>
            <w:r w:rsidRPr="000717E1">
              <w:rPr>
                <w:rFonts w:ascii="Arial Narrow" w:hAnsi="Arial Narrow"/>
                <w:b/>
                <w:bCs/>
                <w:sz w:val="20"/>
                <w:szCs w:val="20"/>
              </w:rPr>
              <w:t>Treatment criteria:</w:t>
            </w:r>
          </w:p>
        </w:tc>
      </w:tr>
      <w:tr w:rsidR="00A979D9" w:rsidRPr="000717E1" w14:paraId="38570A6B" w14:textId="77777777" w:rsidTr="000259F1">
        <w:tc>
          <w:tcPr>
            <w:tcW w:w="9067" w:type="dxa"/>
            <w:vAlign w:val="center"/>
          </w:tcPr>
          <w:p w14:paraId="1AB1F6D5" w14:textId="77777777" w:rsidR="00A979D9" w:rsidRPr="000717E1" w:rsidRDefault="00A979D9" w:rsidP="00281B31">
            <w:pPr>
              <w:keepNext/>
              <w:rPr>
                <w:rFonts w:ascii="Arial Narrow" w:hAnsi="Arial Narrow"/>
                <w:sz w:val="20"/>
                <w:szCs w:val="20"/>
              </w:rPr>
            </w:pPr>
            <w:r w:rsidRPr="000717E1">
              <w:rPr>
                <w:rFonts w:ascii="Arial Narrow" w:hAnsi="Arial Narrow"/>
                <w:sz w:val="20"/>
                <w:szCs w:val="20"/>
              </w:rPr>
              <w:t xml:space="preserve">Patient must be treated by a medical practitioner who is a respiratory physician or a general physician experienced in the management of patients with chronic obstructive pulmonary disease </w:t>
            </w:r>
          </w:p>
        </w:tc>
      </w:tr>
      <w:tr w:rsidR="00A979D9" w:rsidRPr="000717E1" w14:paraId="6BF3E61D" w14:textId="77777777" w:rsidTr="000259F1">
        <w:tc>
          <w:tcPr>
            <w:tcW w:w="9067" w:type="dxa"/>
            <w:vAlign w:val="center"/>
          </w:tcPr>
          <w:p w14:paraId="7E3777D2" w14:textId="77777777" w:rsidR="00A979D9" w:rsidRPr="000717E1" w:rsidRDefault="00A979D9" w:rsidP="00281B31">
            <w:pPr>
              <w:keepNext/>
              <w:rPr>
                <w:rFonts w:ascii="Arial Narrow" w:hAnsi="Arial Narrow"/>
                <w:sz w:val="20"/>
                <w:szCs w:val="20"/>
              </w:rPr>
            </w:pPr>
            <w:r w:rsidRPr="000717E1">
              <w:rPr>
                <w:rFonts w:ascii="Arial Narrow" w:hAnsi="Arial Narrow"/>
                <w:b/>
                <w:bCs/>
                <w:sz w:val="20"/>
                <w:szCs w:val="20"/>
              </w:rPr>
              <w:t>Prescribing Instructions:</w:t>
            </w:r>
            <w:r w:rsidRPr="000717E1">
              <w:rPr>
                <w:rFonts w:ascii="Arial Narrow" w:hAnsi="Arial Narrow"/>
                <w:sz w:val="20"/>
                <w:szCs w:val="20"/>
              </w:rPr>
              <w:t xml:space="preserve"> </w:t>
            </w:r>
          </w:p>
          <w:p w14:paraId="30FCA209" w14:textId="77777777" w:rsidR="00A979D9" w:rsidRPr="000717E1" w:rsidRDefault="00A979D9" w:rsidP="00281B31">
            <w:pPr>
              <w:keepNext/>
              <w:rPr>
                <w:rFonts w:ascii="Arial Narrow" w:hAnsi="Arial Narrow"/>
                <w:sz w:val="20"/>
                <w:szCs w:val="20"/>
              </w:rPr>
            </w:pPr>
            <w:r w:rsidRPr="000717E1">
              <w:rPr>
                <w:rFonts w:ascii="Arial Narrow" w:hAnsi="Arial Narrow"/>
                <w:sz w:val="20"/>
                <w:szCs w:val="20"/>
              </w:rPr>
              <w:t>For the purposes of this restriction, an adequate response to treatment is defined as a maintenance (i.e. no increase) or a reduction in the number of moderate and/or severe exacerbation/s measured at 52 weeks compared to the previous 12 months.</w:t>
            </w:r>
          </w:p>
          <w:p w14:paraId="66E0F8BA" w14:textId="77777777" w:rsidR="00A979D9" w:rsidRPr="000717E1" w:rsidRDefault="00A979D9" w:rsidP="00281B31">
            <w:pPr>
              <w:keepNext/>
              <w:jc w:val="left"/>
              <w:rPr>
                <w:rFonts w:ascii="Arial Narrow" w:hAnsi="Arial Narrow"/>
                <w:sz w:val="20"/>
                <w:szCs w:val="20"/>
              </w:rPr>
            </w:pPr>
          </w:p>
          <w:p w14:paraId="5FB2E005" w14:textId="77777777" w:rsidR="00A979D9" w:rsidRPr="000717E1" w:rsidRDefault="00A979D9" w:rsidP="00281B31">
            <w:pPr>
              <w:keepNext/>
              <w:jc w:val="left"/>
              <w:rPr>
                <w:rFonts w:ascii="Arial Narrow" w:hAnsi="Arial Narrow"/>
                <w:sz w:val="20"/>
                <w:szCs w:val="20"/>
              </w:rPr>
            </w:pPr>
            <w:r w:rsidRPr="000717E1">
              <w:rPr>
                <w:rFonts w:ascii="Arial Narrow" w:hAnsi="Arial Narrow"/>
                <w:sz w:val="20"/>
                <w:szCs w:val="20"/>
              </w:rPr>
              <w:t xml:space="preserve">All applications for continuing treatment with this biological medicine must include a measurement of response prior to the course of therapy. </w:t>
            </w:r>
            <w:r w:rsidRPr="000717E1">
              <w:rPr>
                <w:rFonts w:ascii="Arial Narrow" w:hAnsi="Arial Narrow"/>
                <w:sz w:val="20"/>
                <w:szCs w:val="20"/>
              </w:rPr>
              <w:br/>
            </w:r>
          </w:p>
          <w:p w14:paraId="6C490198" w14:textId="77777777" w:rsidR="00A979D9" w:rsidRPr="000717E1" w:rsidRDefault="00A979D9" w:rsidP="00281B31">
            <w:pPr>
              <w:keepNext/>
              <w:rPr>
                <w:rFonts w:ascii="Arial Narrow" w:hAnsi="Arial Narrow"/>
                <w:sz w:val="20"/>
                <w:szCs w:val="20"/>
              </w:rPr>
            </w:pPr>
            <w:r w:rsidRPr="000717E1">
              <w:rPr>
                <w:rFonts w:ascii="Arial Narrow" w:hAnsi="Arial Narrow"/>
                <w:sz w:val="20"/>
                <w:szCs w:val="20"/>
              </w:rPr>
              <w:t>The following must be provided in the PBS authority application and be documented in the patient's medical records:</w:t>
            </w:r>
          </w:p>
          <w:p w14:paraId="47CF25FF" w14:textId="77777777" w:rsidR="00A979D9" w:rsidRPr="000717E1" w:rsidRDefault="00A979D9" w:rsidP="00281B31">
            <w:pPr>
              <w:pStyle w:val="ListParagraph"/>
              <w:keepNext/>
              <w:numPr>
                <w:ilvl w:val="0"/>
                <w:numId w:val="11"/>
              </w:numPr>
              <w:spacing w:after="0"/>
              <w:contextualSpacing/>
              <w:jc w:val="left"/>
              <w:rPr>
                <w:rFonts w:ascii="Arial Narrow" w:hAnsi="Arial Narrow"/>
                <w:sz w:val="20"/>
                <w:szCs w:val="20"/>
              </w:rPr>
            </w:pPr>
            <w:r w:rsidRPr="000717E1">
              <w:rPr>
                <w:rFonts w:ascii="Arial Narrow" w:hAnsi="Arial Narrow"/>
                <w:sz w:val="20"/>
                <w:szCs w:val="20"/>
              </w:rPr>
              <w:t xml:space="preserve">documented evidence that patient has achieved a maintenance (i.e. no increase) or a reduction in the no. of moderate or severe exacerbation/s measured at 52 weeks of treatment compared to baseline. </w:t>
            </w:r>
          </w:p>
          <w:p w14:paraId="70F17230" w14:textId="77777777" w:rsidR="00A979D9" w:rsidRPr="000717E1" w:rsidRDefault="00A979D9" w:rsidP="00281B31">
            <w:pPr>
              <w:pStyle w:val="ListParagraph"/>
              <w:keepNext/>
              <w:numPr>
                <w:ilvl w:val="0"/>
                <w:numId w:val="11"/>
              </w:numPr>
              <w:spacing w:after="0"/>
              <w:contextualSpacing/>
              <w:jc w:val="left"/>
              <w:rPr>
                <w:rFonts w:ascii="Arial Narrow" w:hAnsi="Arial Narrow"/>
                <w:sz w:val="20"/>
                <w:szCs w:val="20"/>
              </w:rPr>
            </w:pPr>
            <w:r w:rsidRPr="000717E1">
              <w:rPr>
                <w:rFonts w:ascii="Arial Narrow" w:hAnsi="Arial Narrow"/>
                <w:sz w:val="20"/>
                <w:szCs w:val="20"/>
              </w:rPr>
              <w:t xml:space="preserve">While patient was dupilumab treatment in the last 12 months, please document (where applicable):  </w:t>
            </w:r>
            <w:r w:rsidRPr="000717E1">
              <w:rPr>
                <w:rFonts w:ascii="Arial Narrow" w:hAnsi="Arial Narrow"/>
                <w:sz w:val="20"/>
                <w:szCs w:val="20"/>
              </w:rPr>
              <w:br/>
              <w:t>(i) no. of moderate exacerbations requiring treatment with systemic corticosteroids</w:t>
            </w:r>
            <w:r w:rsidRPr="000717E1">
              <w:rPr>
                <w:rFonts w:ascii="Arial Narrow" w:hAnsi="Arial Narrow"/>
                <w:sz w:val="20"/>
                <w:szCs w:val="20"/>
              </w:rPr>
              <w:br/>
              <w:t>(ii) no. of moderate exacerbations requiring treatment with antibiotics</w:t>
            </w:r>
            <w:r w:rsidRPr="000717E1">
              <w:rPr>
                <w:rFonts w:ascii="Arial Narrow" w:hAnsi="Arial Narrow"/>
                <w:sz w:val="20"/>
                <w:szCs w:val="20"/>
              </w:rPr>
              <w:br/>
              <w:t xml:space="preserve">(ii) no. of severe exacerbation/s which required hospitalisation </w:t>
            </w:r>
            <w:r w:rsidRPr="000717E1">
              <w:rPr>
                <w:rFonts w:ascii="Arial Narrow" w:hAnsi="Arial Narrow"/>
                <w:sz w:val="20"/>
                <w:szCs w:val="20"/>
              </w:rPr>
              <w:br/>
            </w:r>
          </w:p>
          <w:p w14:paraId="79B6915F" w14:textId="77777777" w:rsidR="00A979D9" w:rsidRPr="000717E1" w:rsidRDefault="00A979D9" w:rsidP="00281B31">
            <w:pPr>
              <w:keepNext/>
              <w:rPr>
                <w:rFonts w:ascii="Arial Narrow" w:hAnsi="Arial Narrow"/>
                <w:sz w:val="20"/>
                <w:szCs w:val="20"/>
              </w:rPr>
            </w:pPr>
            <w:r w:rsidRPr="000717E1">
              <w:rPr>
                <w:rFonts w:ascii="Arial Narrow" w:hAnsi="Arial Narrow"/>
                <w:sz w:val="20"/>
                <w:szCs w:val="20"/>
              </w:rPr>
              <w:t>The details of the number of moderate and/or exacerbations are to inform the basis of determining if an adequate response to treatment has been achieved under subsequent continuing restriction. In addition to stating them in this authority application, document them in the patient’s medical records.</w:t>
            </w:r>
          </w:p>
        </w:tc>
      </w:tr>
    </w:tbl>
    <w:p w14:paraId="06CFE970" w14:textId="77777777" w:rsidR="00A979D9" w:rsidRPr="000717E1" w:rsidRDefault="00A979D9" w:rsidP="00281B31">
      <w:pPr>
        <w:pStyle w:val="FooterTableFigure"/>
        <w:keepNext/>
      </w:pPr>
      <w:r w:rsidRPr="000717E1">
        <w:t>Source: Table 1.4-6 pp32-33 of the submission.</w:t>
      </w:r>
    </w:p>
    <w:p w14:paraId="713B2DC0" w14:textId="77777777" w:rsidR="00A979D9" w:rsidRPr="000717E1" w:rsidRDefault="00A979D9" w:rsidP="00281B31">
      <w:pPr>
        <w:pStyle w:val="FooterTableFigure"/>
        <w:keepNext/>
      </w:pPr>
      <w:r w:rsidRPr="000717E1">
        <w:t>COPD = chronic obstructive pulmonary disease; FEV</w:t>
      </w:r>
      <w:r w:rsidRPr="000717E1">
        <w:rPr>
          <w:vertAlign w:val="subscript"/>
        </w:rPr>
        <w:t>1</w:t>
      </w:r>
      <w:r w:rsidRPr="000717E1">
        <w:t xml:space="preserve"> = forced expiratory volume in 1 second; FVC = forced vital capacity; ICS = inhaled corticosteroid; LABA = long-acting beta-2 agonist; LAMA = long-acting muscarinic antagonist; PBS = Pharmaceutical Benefits Scheme; qty = quantity; </w:t>
      </w:r>
      <w:proofErr w:type="spellStart"/>
      <w:r w:rsidRPr="000717E1">
        <w:t>rpts</w:t>
      </w:r>
      <w:proofErr w:type="spellEnd"/>
      <w:r w:rsidRPr="000717E1">
        <w:t xml:space="preserve"> = repeats.</w:t>
      </w:r>
    </w:p>
    <w:p w14:paraId="06570435" w14:textId="73A87EC5" w:rsidR="00A979D9" w:rsidRDefault="00A979D9" w:rsidP="00CC39E7">
      <w:pPr>
        <w:pStyle w:val="3-BodyText"/>
      </w:pPr>
      <w:bookmarkStart w:id="18" w:name="_Hlk215849641"/>
      <w:r w:rsidRPr="000717E1">
        <w:t xml:space="preserve">The </w:t>
      </w:r>
      <w:r w:rsidR="005A0DAD" w:rsidRPr="000717E1">
        <w:t xml:space="preserve">submission </w:t>
      </w:r>
      <w:r w:rsidR="00C415E0" w:rsidRPr="000717E1">
        <w:t xml:space="preserve">requested </w:t>
      </w:r>
      <w:r w:rsidRPr="000717E1">
        <w:t>a special pricing arrangement (SPA)</w:t>
      </w:r>
      <w:r w:rsidR="00C415E0" w:rsidRPr="000717E1">
        <w:t>. The requested</w:t>
      </w:r>
      <w:r w:rsidR="00861D82" w:rsidRPr="000717E1">
        <w:t xml:space="preserve"> </w:t>
      </w:r>
      <w:r w:rsidR="00577787" w:rsidRPr="000717E1">
        <w:t xml:space="preserve">published ex-manufacturer price (EMP) is </w:t>
      </w:r>
      <w:r w:rsidR="00CC39E7" w:rsidRPr="00797CA0">
        <w:t>$1,609.86 per 300 mg</w:t>
      </w:r>
      <w:r w:rsidR="00CC39E7" w:rsidRPr="000717E1">
        <w:t xml:space="preserve"> pack of 2 and the requested effective EMP </w:t>
      </w:r>
      <w:r w:rsidR="00DC5A2E" w:rsidRPr="000717E1">
        <w:t xml:space="preserve">is </w:t>
      </w:r>
      <w:r w:rsidR="00861D82" w:rsidRPr="000717E1">
        <w:t>$</w:t>
      </w:r>
      <w:r w:rsidR="00331ADA" w:rsidRPr="00331ADA">
        <w:rPr>
          <w:sz w:val="2"/>
          <w:highlight w:val="black"/>
        </w:rPr>
        <w:t>redacted content</w:t>
      </w:r>
      <w:r w:rsidR="00DC5A2E" w:rsidRPr="000717E1">
        <w:t xml:space="preserve"> per </w:t>
      </w:r>
      <w:r w:rsidR="00861D82" w:rsidRPr="000717E1">
        <w:t>300 mg pack of 2</w:t>
      </w:r>
      <w:r w:rsidR="00DC5A2E" w:rsidRPr="000717E1">
        <w:t>.</w:t>
      </w:r>
      <w:r w:rsidRPr="000717E1">
        <w:t xml:space="preserve"> </w:t>
      </w:r>
    </w:p>
    <w:p w14:paraId="12005303" w14:textId="7E517F3D" w:rsidR="00135DE6" w:rsidRPr="00AF7C61" w:rsidRDefault="00135DE6" w:rsidP="00CC39E7">
      <w:pPr>
        <w:pStyle w:val="3-BodyText"/>
      </w:pPr>
      <w:r w:rsidRPr="00AF7C61">
        <w:rPr>
          <w:rFonts w:eastAsia="Calibri" w:cs="Times New Roman"/>
          <w:lang w:eastAsia="en-US"/>
        </w:rPr>
        <w:t xml:space="preserve">The submission requested a Section 85 - General Schedule listing. This is consistent with the current PBS-listed dupilumab for the treatment of chronic severe atopic dermatitis. However, its listing for the treatment of uncontrolled severe asthma is under Section 100 Highly Specialised Drugs (HSD) Program. </w:t>
      </w:r>
      <w:r w:rsidR="00AF7C61" w:rsidRPr="00AF7C61">
        <w:rPr>
          <w:rFonts w:eastAsia="Calibri" w:cs="Times New Roman"/>
          <w:lang w:eastAsia="en-US"/>
        </w:rPr>
        <w:t xml:space="preserve">In addition, </w:t>
      </w:r>
      <w:r w:rsidR="00AF7C61" w:rsidRPr="00AF7C61">
        <w:rPr>
          <w:rFonts w:eastAsia="Calibri" w:cs="Times New Roman"/>
          <w:bCs/>
          <w:lang w:eastAsia="en-US"/>
        </w:rPr>
        <w:t>t</w:t>
      </w:r>
      <w:r w:rsidRPr="00AF7C61">
        <w:rPr>
          <w:rFonts w:eastAsia="Calibri" w:cs="Times New Roman"/>
          <w:bCs/>
          <w:lang w:eastAsia="en-US"/>
        </w:rPr>
        <w:t xml:space="preserve">he submission </w:t>
      </w:r>
      <w:r w:rsidRPr="00AF7C61">
        <w:rPr>
          <w:rFonts w:eastAsia="Calibri" w:cs="Times New Roman"/>
          <w:bCs/>
          <w:lang w:eastAsia="en-US"/>
        </w:rPr>
        <w:lastRenderedPageBreak/>
        <w:t xml:space="preserve">requested an Authority Required (telephone/online PBS Authorities system) listing for initial and continuing treatment. This is consistent with the PBS-listed dupilumab for the treatment of chronic severe atopic dermatitis. </w:t>
      </w:r>
      <w:r w:rsidR="00AF7C61" w:rsidRPr="00AF7C61">
        <w:rPr>
          <w:rFonts w:eastAsia="Calibri" w:cs="Times New Roman"/>
          <w:bCs/>
          <w:lang w:eastAsia="en-US"/>
        </w:rPr>
        <w:t xml:space="preserve">However, </w:t>
      </w:r>
      <w:r w:rsidRPr="00AF7C61">
        <w:rPr>
          <w:rFonts w:eastAsia="Calibri" w:cs="Times New Roman"/>
          <w:bCs/>
          <w:lang w:eastAsia="en-US"/>
        </w:rPr>
        <w:t>the initial and continuing treatment phases for uncontrolled severe asthma are listed as Authority Required (Written) listings.</w:t>
      </w:r>
      <w:r w:rsidR="00A13183">
        <w:rPr>
          <w:rFonts w:eastAsia="Calibri" w:cs="Times New Roman"/>
          <w:bCs/>
          <w:lang w:eastAsia="en-US"/>
        </w:rPr>
        <w:t xml:space="preserve"> The PBAC considered that </w:t>
      </w:r>
      <w:r w:rsidR="00A13183">
        <w:rPr>
          <w:lang w:val="en-GB"/>
        </w:rPr>
        <w:t xml:space="preserve">a Section 100, </w:t>
      </w:r>
      <w:r w:rsidR="006D53D8">
        <w:rPr>
          <w:lang w:val="en-GB"/>
        </w:rPr>
        <w:t>HSD</w:t>
      </w:r>
      <w:r w:rsidR="00A13183">
        <w:rPr>
          <w:lang w:val="en-GB"/>
        </w:rPr>
        <w:t xml:space="preserve"> Program Authority Required (Written) listing was appropriate for both the Initial and Grandfathering treatment phases. </w:t>
      </w:r>
      <w:r w:rsidR="008F2B16">
        <w:rPr>
          <w:lang w:val="en-GB"/>
        </w:rPr>
        <w:t>The PBAC considered that a</w:t>
      </w:r>
      <w:r w:rsidR="00A13183">
        <w:rPr>
          <w:lang w:val="en-GB"/>
        </w:rPr>
        <w:t xml:space="preserve"> Section 100, </w:t>
      </w:r>
      <w:r w:rsidR="00ED68E6">
        <w:rPr>
          <w:lang w:val="en-GB"/>
        </w:rPr>
        <w:t>HSD</w:t>
      </w:r>
      <w:r w:rsidR="00A13183">
        <w:rPr>
          <w:lang w:val="en-GB"/>
        </w:rPr>
        <w:t xml:space="preserve"> Program Authority Required (Telephone/Online) listing was appropriate for the continuing treatment phase.</w:t>
      </w:r>
    </w:p>
    <w:p w14:paraId="3C4C71C3" w14:textId="780CB937" w:rsidR="00A979D9" w:rsidRPr="001F3F0F" w:rsidRDefault="00646E80" w:rsidP="00020D7F">
      <w:pPr>
        <w:pStyle w:val="3-BodyText"/>
        <w:rPr>
          <w:iCs/>
        </w:rPr>
      </w:pPr>
      <w:bookmarkStart w:id="19" w:name="_Ref224726769"/>
      <w:r w:rsidRPr="000717E1">
        <w:t>The proposed</w:t>
      </w:r>
      <w:r w:rsidR="00135794" w:rsidRPr="000717E1">
        <w:t xml:space="preserve"> initial</w:t>
      </w:r>
      <w:r w:rsidRPr="000717E1">
        <w:t xml:space="preserve"> restriction requires p</w:t>
      </w:r>
      <w:r w:rsidR="00A979D9" w:rsidRPr="000717E1">
        <w:t xml:space="preserve">atients </w:t>
      </w:r>
      <w:r w:rsidRPr="000717E1">
        <w:t>to</w:t>
      </w:r>
      <w:r w:rsidR="007B389B" w:rsidRPr="000717E1">
        <w:t xml:space="preserve"> have had a </w:t>
      </w:r>
      <w:r w:rsidR="009219BB">
        <w:t>BEC</w:t>
      </w:r>
      <w:r w:rsidR="00A979D9" w:rsidRPr="000717E1">
        <w:t xml:space="preserve"> ≥ 300 cells/µL in the previous 12 months. High blood eosinophil counts can be caused by </w:t>
      </w:r>
      <w:proofErr w:type="gramStart"/>
      <w:r w:rsidR="00A979D9" w:rsidRPr="000717E1">
        <w:t>a number of</w:t>
      </w:r>
      <w:proofErr w:type="gramEnd"/>
      <w:r w:rsidR="00A979D9" w:rsidRPr="000717E1">
        <w:t xml:space="preserve"> factors including allergic reactions, infections and certain medicines. In the BOREAS and NOTUS trials, all patients were required to report a </w:t>
      </w:r>
      <w:r w:rsidR="009B3F75">
        <w:t>BEC</w:t>
      </w:r>
      <w:r w:rsidR="00A979D9" w:rsidRPr="000717E1">
        <w:t xml:space="preserve"> ≥ 300 cells/µL at screening. At baseline</w:t>
      </w:r>
      <w:r w:rsidR="00DA6E32">
        <w:t>,</w:t>
      </w:r>
      <w:r w:rsidR="00A979D9" w:rsidRPr="000717E1">
        <w:t xml:space="preserve">60.6% of patients (pooled across trials) had an eosinophil count above the threshold. The time between the screening period to randomisation (i.e., baseline) was 4 ± 1 weeks. The Advisory Committee on Medicines (ACM) noted that over time, the patients most likely to have exacerbations will have </w:t>
      </w:r>
      <w:r w:rsidR="00811A8C">
        <w:t>BEC</w:t>
      </w:r>
      <w:r w:rsidR="00A979D9" w:rsidRPr="000717E1">
        <w:t xml:space="preserve"> &gt; 300 cells/</w:t>
      </w:r>
      <w:proofErr w:type="spellStart"/>
      <w:r w:rsidR="00A979D9" w:rsidRPr="000717E1">
        <w:t>μL</w:t>
      </w:r>
      <w:proofErr w:type="spellEnd"/>
      <w:r w:rsidR="00A979D9" w:rsidRPr="000717E1">
        <w:t xml:space="preserve"> and that the commencement of treatment when </w:t>
      </w:r>
      <w:r w:rsidR="003002E3" w:rsidRPr="000717E1">
        <w:t xml:space="preserve">the </w:t>
      </w:r>
      <w:r w:rsidR="00A979D9" w:rsidRPr="000717E1">
        <w:t>eosinophil count is below 300 cells/</w:t>
      </w:r>
      <w:proofErr w:type="spellStart"/>
      <w:r w:rsidR="00A979D9" w:rsidRPr="000717E1">
        <w:t>μL</w:t>
      </w:r>
      <w:proofErr w:type="spellEnd"/>
      <w:r w:rsidR="00A979D9" w:rsidRPr="000717E1">
        <w:t xml:space="preserve"> was untested and could provide little benefit to balance the risks of injection (dupilumab, </w:t>
      </w:r>
      <w:r w:rsidR="00335538" w:rsidRPr="000717E1">
        <w:t>ACM</w:t>
      </w:r>
      <w:r w:rsidR="00A979D9" w:rsidRPr="000717E1">
        <w:t xml:space="preserve"> </w:t>
      </w:r>
      <w:r w:rsidR="00FF6135" w:rsidRPr="000717E1">
        <w:t>m</w:t>
      </w:r>
      <w:r w:rsidR="00A979D9" w:rsidRPr="000717E1">
        <w:t xml:space="preserve">inutes, December 2024 ACM </w:t>
      </w:r>
      <w:r w:rsidR="00335538" w:rsidRPr="000717E1">
        <w:t>m</w:t>
      </w:r>
      <w:r w:rsidR="00A979D9" w:rsidRPr="000717E1">
        <w:t xml:space="preserve">eeting). A post hoc analysis of BOREAS (Christenson et al. 2025) found that the efficacy of dupilumab in the reduction of exacerbations was consistent in all patients (baseline </w:t>
      </w:r>
      <w:r w:rsidR="009B3F75">
        <w:t>BEC</w:t>
      </w:r>
      <w:r w:rsidR="00A979D9" w:rsidRPr="000717E1">
        <w:t xml:space="preserve"> &lt; 300 or ≥ 300 cells/µL), but that the treatment effect was bigger in those who demonstrated an </w:t>
      </w:r>
      <w:r w:rsidR="009B3F75">
        <w:t>BEC</w:t>
      </w:r>
      <w:r w:rsidR="00A979D9" w:rsidRPr="000717E1">
        <w:t xml:space="preserve"> ≥ 300 cells/µL (noting that the trial was not powered to detect these differences).</w:t>
      </w:r>
      <w:r w:rsidR="004A0CF7" w:rsidRPr="000717E1">
        <w:t xml:space="preserve"> </w:t>
      </w:r>
      <w:r w:rsidR="00E7276D" w:rsidRPr="000717E1">
        <w:t xml:space="preserve">A </w:t>
      </w:r>
      <w:r w:rsidR="00084250" w:rsidRPr="000717E1">
        <w:t xml:space="preserve">time frame </w:t>
      </w:r>
      <w:r w:rsidR="007435B5" w:rsidRPr="000717E1">
        <w:t xml:space="preserve">of up to 12 months </w:t>
      </w:r>
      <w:r w:rsidR="00084250" w:rsidRPr="000717E1">
        <w:t xml:space="preserve">between </w:t>
      </w:r>
      <w:r w:rsidR="00E45A17" w:rsidRPr="000717E1">
        <w:t xml:space="preserve">a high eosinophil count and treatment initiation </w:t>
      </w:r>
      <w:r w:rsidR="005E295C" w:rsidRPr="000717E1">
        <w:t xml:space="preserve">may lead to many patients initiating treatment with a </w:t>
      </w:r>
      <w:r w:rsidR="000B5CBA">
        <w:t>BEC</w:t>
      </w:r>
      <w:r w:rsidR="005E295C" w:rsidRPr="000717E1">
        <w:t xml:space="preserve"> &lt; 300 cells/µL</w:t>
      </w:r>
      <w:r w:rsidR="00456086" w:rsidRPr="000717E1">
        <w:t xml:space="preserve">, </w:t>
      </w:r>
      <w:r w:rsidR="00E76235" w:rsidRPr="000717E1">
        <w:t>this may result in a lower</w:t>
      </w:r>
      <w:r w:rsidR="00DB137C" w:rsidRPr="000717E1">
        <w:t xml:space="preserve"> observed</w:t>
      </w:r>
      <w:r w:rsidR="00E76235" w:rsidRPr="000717E1">
        <w:t xml:space="preserve"> treatment effect in clinical practice compared to that seen in</w:t>
      </w:r>
      <w:r w:rsidR="00474C78" w:rsidRPr="000717E1">
        <w:t xml:space="preserve"> the</w:t>
      </w:r>
      <w:r w:rsidR="00E76235" w:rsidRPr="000717E1">
        <w:t xml:space="preserve"> clinical trials</w:t>
      </w:r>
      <w:r w:rsidR="005E295C" w:rsidRPr="001F3F0F">
        <w:rPr>
          <w:iCs/>
        </w:rPr>
        <w:t xml:space="preserve">. </w:t>
      </w:r>
      <w:r w:rsidR="0058215C" w:rsidRPr="001F3F0F">
        <w:rPr>
          <w:iCs/>
        </w:rPr>
        <w:t>The evaluation considered that a</w:t>
      </w:r>
      <w:r w:rsidR="005E295C" w:rsidRPr="001F3F0F">
        <w:rPr>
          <w:iCs/>
        </w:rPr>
        <w:t xml:space="preserve"> shorter time frame</w:t>
      </w:r>
      <w:r w:rsidR="001C7319" w:rsidRPr="000717E1">
        <w:t xml:space="preserve">, </w:t>
      </w:r>
      <w:r w:rsidR="004C6E61" w:rsidRPr="000717E1">
        <w:t xml:space="preserve">more </w:t>
      </w:r>
      <w:r w:rsidR="001C7319" w:rsidRPr="000717E1">
        <w:t>aligned with the clinical trial</w:t>
      </w:r>
      <w:r w:rsidR="00DB137C" w:rsidRPr="000717E1">
        <w:t>s</w:t>
      </w:r>
      <w:r w:rsidR="00B921CF" w:rsidRPr="000717E1">
        <w:t>,</w:t>
      </w:r>
      <w:r w:rsidR="005E295C" w:rsidRPr="000717E1">
        <w:t xml:space="preserve"> may be </w:t>
      </w:r>
      <w:r w:rsidR="001C7319" w:rsidRPr="000717E1">
        <w:t xml:space="preserve">considered </w:t>
      </w:r>
      <w:r w:rsidR="005E295C" w:rsidRPr="000717E1">
        <w:t xml:space="preserve">more </w:t>
      </w:r>
      <w:r w:rsidR="007435B5" w:rsidRPr="000717E1">
        <w:t xml:space="preserve">clinically </w:t>
      </w:r>
      <w:r w:rsidR="005E295C" w:rsidRPr="000717E1">
        <w:t>appropriate</w:t>
      </w:r>
      <w:bookmarkStart w:id="20" w:name="_Hlk221950589"/>
      <w:r w:rsidR="005E295C" w:rsidRPr="000717E1">
        <w:t>.</w:t>
      </w:r>
      <w:r w:rsidR="000A613F" w:rsidRPr="000717E1">
        <w:t xml:space="preserve"> </w:t>
      </w:r>
      <w:r w:rsidR="00443556" w:rsidRPr="000717E1">
        <w:t xml:space="preserve">The ACM </w:t>
      </w:r>
      <w:r w:rsidR="00536824" w:rsidRPr="000717E1">
        <w:t xml:space="preserve">considered that eosinophil count should be assessed within 3 months </w:t>
      </w:r>
      <w:r w:rsidR="00861164" w:rsidRPr="000717E1">
        <w:t>prior to initiation of dupilumab</w:t>
      </w:r>
      <w:r w:rsidR="005E1898" w:rsidRPr="000717E1">
        <w:t xml:space="preserve"> (ACM minutes, December 2024 ACM meeting)</w:t>
      </w:r>
      <w:r w:rsidR="00861164" w:rsidRPr="000717E1">
        <w:t>.</w:t>
      </w:r>
      <w:bookmarkEnd w:id="20"/>
      <w:r w:rsidR="008A606F" w:rsidRPr="000717E1">
        <w:t xml:space="preserve"> </w:t>
      </w:r>
      <w:r w:rsidR="008A606F" w:rsidRPr="001F3F0F">
        <w:rPr>
          <w:iCs/>
        </w:rPr>
        <w:t xml:space="preserve">The </w:t>
      </w:r>
      <w:r w:rsidR="00E22E3D" w:rsidRPr="001F3F0F">
        <w:rPr>
          <w:iCs/>
        </w:rPr>
        <w:t>Sub</w:t>
      </w:r>
      <w:r w:rsidR="000867C1">
        <w:rPr>
          <w:iCs/>
        </w:rPr>
        <w:noBreakHyphen/>
      </w:r>
      <w:r w:rsidR="00E22E3D" w:rsidRPr="001F3F0F">
        <w:rPr>
          <w:iCs/>
        </w:rPr>
        <w:t>Committees</w:t>
      </w:r>
      <w:r w:rsidR="008A606F" w:rsidRPr="001F3F0F">
        <w:rPr>
          <w:iCs/>
        </w:rPr>
        <w:t xml:space="preserve"> </w:t>
      </w:r>
      <w:r w:rsidR="000F673F" w:rsidRPr="001F3F0F">
        <w:rPr>
          <w:iCs/>
        </w:rPr>
        <w:t>considered</w:t>
      </w:r>
      <w:r w:rsidR="006B12B2" w:rsidRPr="001F3F0F">
        <w:rPr>
          <w:iCs/>
        </w:rPr>
        <w:t xml:space="preserve"> that</w:t>
      </w:r>
      <w:r w:rsidR="000F673F" w:rsidRPr="001F3F0F">
        <w:rPr>
          <w:iCs/>
        </w:rPr>
        <w:t xml:space="preserve"> a 12 month time frame may be </w:t>
      </w:r>
      <w:r w:rsidR="000406B9" w:rsidRPr="001F3F0F">
        <w:rPr>
          <w:iCs/>
        </w:rPr>
        <w:t xml:space="preserve">considered </w:t>
      </w:r>
      <w:r w:rsidR="000F673F" w:rsidRPr="001F3F0F">
        <w:rPr>
          <w:iCs/>
        </w:rPr>
        <w:t>reasonable</w:t>
      </w:r>
      <w:r w:rsidR="00B11012" w:rsidRPr="001F3F0F">
        <w:rPr>
          <w:iCs/>
        </w:rPr>
        <w:t xml:space="preserve"> and allow for timely access to treatment</w:t>
      </w:r>
      <w:r w:rsidR="00424731" w:rsidRPr="001F3F0F">
        <w:rPr>
          <w:iCs/>
        </w:rPr>
        <w:t xml:space="preserve">. The </w:t>
      </w:r>
      <w:r w:rsidR="00E22E3D" w:rsidRPr="001F3F0F">
        <w:rPr>
          <w:iCs/>
        </w:rPr>
        <w:t>Sub-Committees</w:t>
      </w:r>
      <w:r w:rsidR="00424731" w:rsidRPr="001F3F0F">
        <w:rPr>
          <w:iCs/>
        </w:rPr>
        <w:t xml:space="preserve"> </w:t>
      </w:r>
      <w:r w:rsidR="008A606F" w:rsidRPr="001F3F0F">
        <w:rPr>
          <w:iCs/>
        </w:rPr>
        <w:t>noted</w:t>
      </w:r>
      <w:r w:rsidR="00F57F2A" w:rsidRPr="001F3F0F">
        <w:rPr>
          <w:iCs/>
        </w:rPr>
        <w:t xml:space="preserve"> that </w:t>
      </w:r>
      <w:r w:rsidR="00D83860" w:rsidRPr="001F3F0F">
        <w:rPr>
          <w:iCs/>
        </w:rPr>
        <w:t>a 12 month time frame would be consistent with</w:t>
      </w:r>
      <w:r w:rsidR="008A606F" w:rsidRPr="001F3F0F">
        <w:rPr>
          <w:iCs/>
        </w:rPr>
        <w:t xml:space="preserve"> </w:t>
      </w:r>
      <w:r w:rsidR="009A41FC" w:rsidRPr="001F3F0F">
        <w:rPr>
          <w:iCs/>
        </w:rPr>
        <w:t xml:space="preserve">current PBS </w:t>
      </w:r>
      <w:r w:rsidR="00F37F3B" w:rsidRPr="001F3F0F">
        <w:rPr>
          <w:iCs/>
        </w:rPr>
        <w:t xml:space="preserve">restrictions for biologic </w:t>
      </w:r>
      <w:r w:rsidR="00163296" w:rsidRPr="001F3F0F">
        <w:rPr>
          <w:iCs/>
        </w:rPr>
        <w:t>medicines</w:t>
      </w:r>
      <w:r w:rsidR="00F37F3B" w:rsidRPr="001F3F0F">
        <w:rPr>
          <w:iCs/>
        </w:rPr>
        <w:t xml:space="preserve"> for the treatment of asthma</w:t>
      </w:r>
      <w:r w:rsidR="00163296" w:rsidRPr="001F3F0F">
        <w:rPr>
          <w:iCs/>
        </w:rPr>
        <w:t>.</w:t>
      </w:r>
      <w:bookmarkEnd w:id="19"/>
      <w:r w:rsidR="002831DA" w:rsidRPr="002831DA">
        <w:rPr>
          <w:iCs/>
        </w:rPr>
        <w:t xml:space="preserve"> </w:t>
      </w:r>
      <w:r w:rsidR="002831DA" w:rsidRPr="00815F6D">
        <w:rPr>
          <w:iCs/>
        </w:rPr>
        <w:t xml:space="preserve">The PBAC agreed with the Sub-Committees that a 12 month </w:t>
      </w:r>
      <w:r w:rsidR="0079362A">
        <w:rPr>
          <w:iCs/>
        </w:rPr>
        <w:t>time frame</w:t>
      </w:r>
      <w:r w:rsidR="002831DA" w:rsidRPr="00815F6D">
        <w:rPr>
          <w:iCs/>
        </w:rPr>
        <w:t xml:space="preserve"> would be reasonable.</w:t>
      </w:r>
    </w:p>
    <w:p w14:paraId="3A336443" w14:textId="50973758" w:rsidR="00B9430B" w:rsidRPr="000717E1" w:rsidRDefault="00A979D9" w:rsidP="00BA6225">
      <w:pPr>
        <w:pStyle w:val="3-BodyText"/>
      </w:pPr>
      <w:bookmarkStart w:id="21" w:name="_Hlk216456458"/>
      <w:r w:rsidRPr="000717E1">
        <w:t xml:space="preserve">The </w:t>
      </w:r>
      <w:r w:rsidR="00D11262" w:rsidRPr="000717E1">
        <w:t xml:space="preserve">proposed </w:t>
      </w:r>
      <w:r w:rsidRPr="000717E1">
        <w:t xml:space="preserve">clinical criteria specifies that patients </w:t>
      </w:r>
      <w:bookmarkEnd w:id="21"/>
      <w:r w:rsidRPr="000717E1">
        <w:t>must have had at least one severe and/or two or more moderate exacerbations in the previous 12 months</w:t>
      </w:r>
      <w:r w:rsidR="00146559" w:rsidRPr="000717E1">
        <w:t xml:space="preserve"> and separately requires patients to have ‘significant symptoms’ despite having used triple therapy (LABA + LAMA + ICS) for at least 3 months. </w:t>
      </w:r>
      <w:r w:rsidRPr="000717E1">
        <w:t xml:space="preserve">This is not in line with the inclusion criteria for the BOREAS and NOTUS trials which specified that at least one exacerbation must have occurred while the patient was taking LABA + LAMA + ICS (or LAMA + LABA if ICS is contradicted). </w:t>
      </w:r>
      <w:r w:rsidR="00D95477" w:rsidRPr="000717E1">
        <w:t xml:space="preserve">Therefore, </w:t>
      </w:r>
      <w:r w:rsidR="009D6206" w:rsidRPr="000717E1">
        <w:t xml:space="preserve">some </w:t>
      </w:r>
      <w:r w:rsidR="00783169" w:rsidRPr="000717E1">
        <w:t xml:space="preserve">patients </w:t>
      </w:r>
      <w:r w:rsidR="00A516FA" w:rsidRPr="000717E1">
        <w:t>would be eligible</w:t>
      </w:r>
      <w:r w:rsidR="00E410F5" w:rsidRPr="000717E1">
        <w:t xml:space="preserve"> </w:t>
      </w:r>
      <w:r w:rsidRPr="000717E1">
        <w:t xml:space="preserve">for </w:t>
      </w:r>
      <w:r w:rsidRPr="000717E1">
        <w:lastRenderedPageBreak/>
        <w:t>dupilumab even though their exacerbations occurred prior to commencing LABA + LAMA + ICS treatment.</w:t>
      </w:r>
      <w:r w:rsidR="00831988" w:rsidRPr="000717E1">
        <w:t xml:space="preserve"> </w:t>
      </w:r>
      <w:r w:rsidR="00831988" w:rsidRPr="001F3F0F">
        <w:rPr>
          <w:iCs/>
        </w:rPr>
        <w:t>The Pre-Sub-Committee Response (PSCR)</w:t>
      </w:r>
      <w:r w:rsidR="007C3F91" w:rsidRPr="001F3F0F">
        <w:rPr>
          <w:iCs/>
        </w:rPr>
        <w:t xml:space="preserve"> </w:t>
      </w:r>
      <w:r w:rsidR="00831988" w:rsidRPr="001F3F0F">
        <w:rPr>
          <w:iCs/>
        </w:rPr>
        <w:t>indicated the sponsor was amenable to the Secretariat’s proposed inclusion of a prescribing instruction clarifying that ‘at least one of the moderate or severe exacerbations should have occurred while the patient was taking all of (i) LAMA, (ii) LABA, (iii) ICS</w:t>
      </w:r>
      <w:r w:rsidR="00586E3C">
        <w:rPr>
          <w:iCs/>
        </w:rPr>
        <w:t>’</w:t>
      </w:r>
      <w:r w:rsidR="00831988" w:rsidRPr="001F3F0F">
        <w:rPr>
          <w:iCs/>
        </w:rPr>
        <w:t xml:space="preserve">. </w:t>
      </w:r>
    </w:p>
    <w:p w14:paraId="3D1622F2" w14:textId="2370D2C7" w:rsidR="00A32ACE" w:rsidRPr="000B2137" w:rsidRDefault="00425522" w:rsidP="00042FF4">
      <w:pPr>
        <w:pStyle w:val="3-BodyText"/>
        <w:rPr>
          <w:lang w:val="en-GB"/>
        </w:rPr>
      </w:pPr>
      <w:bookmarkStart w:id="22" w:name="_Ref225439110"/>
      <w:r w:rsidRPr="000B2137">
        <w:rPr>
          <w:lang w:val="en-GB"/>
        </w:rPr>
        <w:t>In the BOREAS and NOTUS trials patients were required to have been on background triple therapy for 3 months prior to randomisation with a stable dose of medication for at least 1 month prior to the first visit. Double therapy with LABA + LAMA was allowed if ICS was contraindicated</w:t>
      </w:r>
      <w:r w:rsidR="004E0BE9" w:rsidRPr="000B2137">
        <w:rPr>
          <w:lang w:val="en-GB"/>
        </w:rPr>
        <w:t xml:space="preserve">. A total of </w:t>
      </w:r>
      <w:r w:rsidR="00F535F9" w:rsidRPr="000B2137">
        <w:rPr>
          <w:lang w:val="en-GB"/>
        </w:rPr>
        <w:t xml:space="preserve">2.1% of patients in BOREAS and 1.1% of patients in NOTUS were using LABA + LAMA (no ICS) at baseline. </w:t>
      </w:r>
      <w:r w:rsidR="00CF3BDB" w:rsidRPr="000B2137">
        <w:rPr>
          <w:lang w:val="en-GB"/>
        </w:rPr>
        <w:t>T</w:t>
      </w:r>
      <w:r w:rsidR="00F535F9" w:rsidRPr="000B2137">
        <w:rPr>
          <w:lang w:val="en-GB"/>
        </w:rPr>
        <w:t>he proposed PBS restriction is narrower than the use in the clinical trials and the approved</w:t>
      </w:r>
      <w:r w:rsidR="00121A31" w:rsidRPr="000B2137">
        <w:rPr>
          <w:lang w:val="en-GB"/>
        </w:rPr>
        <w:t xml:space="preserve"> TGA</w:t>
      </w:r>
      <w:r w:rsidR="00F535F9" w:rsidRPr="000B2137">
        <w:rPr>
          <w:lang w:val="en-GB"/>
        </w:rPr>
        <w:t xml:space="preserve"> indication</w:t>
      </w:r>
      <w:r w:rsidR="00CF3BDB" w:rsidRPr="000B2137">
        <w:rPr>
          <w:lang w:val="en-GB"/>
        </w:rPr>
        <w:t xml:space="preserve"> as it requires </w:t>
      </w:r>
      <w:r w:rsidR="00CA3065" w:rsidRPr="000B2137">
        <w:rPr>
          <w:lang w:val="en-GB"/>
        </w:rPr>
        <w:t xml:space="preserve">patients to be </w:t>
      </w:r>
      <w:r w:rsidR="002037A2" w:rsidRPr="000B2137">
        <w:rPr>
          <w:lang w:val="en-GB"/>
        </w:rPr>
        <w:t xml:space="preserve">taking </w:t>
      </w:r>
      <w:r w:rsidR="00CA3065" w:rsidRPr="000B2137">
        <w:rPr>
          <w:lang w:val="en-GB"/>
        </w:rPr>
        <w:t>a LA</w:t>
      </w:r>
      <w:r w:rsidR="00AF0BC5" w:rsidRPr="000B2137">
        <w:rPr>
          <w:lang w:val="en-GB"/>
        </w:rPr>
        <w:t xml:space="preserve">BA, LAMA and </w:t>
      </w:r>
      <w:r w:rsidR="00040D5F" w:rsidRPr="000B2137">
        <w:rPr>
          <w:lang w:val="en-GB"/>
        </w:rPr>
        <w:t xml:space="preserve">an </w:t>
      </w:r>
      <w:r w:rsidR="002037A2" w:rsidRPr="000B2137">
        <w:rPr>
          <w:lang w:val="en-GB"/>
        </w:rPr>
        <w:t>ICS</w:t>
      </w:r>
      <w:r w:rsidR="00F535F9" w:rsidRPr="000B2137">
        <w:rPr>
          <w:lang w:val="en-GB"/>
        </w:rPr>
        <w:t>.</w:t>
      </w:r>
      <w:r w:rsidR="00137958" w:rsidRPr="000B2137">
        <w:rPr>
          <w:lang w:val="en-GB"/>
        </w:rPr>
        <w:t xml:space="preserve"> The PBAC considered that intolerance or safety concerns associated with ICS were infrequent and mostly seen in patients with supratherapeutic doses of ICS. The PBAC considered that since the triple inhaler therapy should be ‘optimised’ without further specification of ICS dose, it was appropriate for the restriction to require patients to be taking a LABA, LAMA and an ICS. The PBAC considered that this would help reduce the risk of dupilumab being used earlier in the treatment algorithm than intended.</w:t>
      </w:r>
      <w:bookmarkEnd w:id="22"/>
    </w:p>
    <w:p w14:paraId="4B3D2E09" w14:textId="42CE629F" w:rsidR="00A979D9" w:rsidRPr="000B2137" w:rsidRDefault="00A979D9" w:rsidP="00A353E1">
      <w:pPr>
        <w:pStyle w:val="3-BodyText"/>
        <w:rPr>
          <w:lang w:val="en-GB"/>
        </w:rPr>
      </w:pPr>
      <w:r w:rsidRPr="000B2137">
        <w:rPr>
          <w:lang w:val="en-GB"/>
        </w:rPr>
        <w:t>Patients with severe COPD (percent predicted forced expiratory volume in 1 second (ppFEV1) ≤ 30%) were excluded from the BOREAS and NOTUS trials. The proposed PBS listing does not require the use of FEV1 to grade COPD severity prior to commencing treatment</w:t>
      </w:r>
      <w:r w:rsidR="006A17B0" w:rsidRPr="000B2137">
        <w:rPr>
          <w:lang w:val="en-GB"/>
        </w:rPr>
        <w:t xml:space="preserve"> </w:t>
      </w:r>
      <w:r w:rsidR="009D6206" w:rsidRPr="000B2137">
        <w:rPr>
          <w:lang w:val="en-GB"/>
        </w:rPr>
        <w:t>(the proposed PBS listing only requires spirometry to record a diagnos</w:t>
      </w:r>
      <w:r w:rsidR="00D11262" w:rsidRPr="000B2137">
        <w:rPr>
          <w:lang w:val="en-GB"/>
        </w:rPr>
        <w:t>is</w:t>
      </w:r>
      <w:r w:rsidR="009D6206" w:rsidRPr="000B2137">
        <w:rPr>
          <w:lang w:val="en-GB"/>
        </w:rPr>
        <w:t xml:space="preserve"> of COPD)</w:t>
      </w:r>
      <w:r w:rsidRPr="000B2137">
        <w:rPr>
          <w:lang w:val="en-GB"/>
        </w:rPr>
        <w:t>. When considering fluticasone furoate</w:t>
      </w:r>
      <w:r w:rsidR="005016A8" w:rsidRPr="000B2137">
        <w:rPr>
          <w:lang w:val="en-GB"/>
        </w:rPr>
        <w:t xml:space="preserve"> with umeclidinium and vilanterol</w:t>
      </w:r>
      <w:r w:rsidRPr="000B2137">
        <w:rPr>
          <w:lang w:val="en-GB"/>
        </w:rPr>
        <w:t xml:space="preserve"> for COPD, the PBAC </w:t>
      </w:r>
      <w:r w:rsidR="00203CF1" w:rsidRPr="000B2137">
        <w:rPr>
          <w:lang w:val="en-GB"/>
        </w:rPr>
        <w:t xml:space="preserve">advised </w:t>
      </w:r>
      <w:r w:rsidRPr="000B2137">
        <w:rPr>
          <w:lang w:val="en-GB"/>
        </w:rPr>
        <w:t>that the (proposed) FEV1 requirement in the initial restriction be replaced with specification of exacerbation severity and</w:t>
      </w:r>
      <w:r w:rsidR="007965D1" w:rsidRPr="000B2137">
        <w:rPr>
          <w:lang w:val="en-GB"/>
        </w:rPr>
        <w:t xml:space="preserve"> a </w:t>
      </w:r>
      <w:proofErr w:type="gramStart"/>
      <w:r w:rsidR="007965D1" w:rsidRPr="000B2137">
        <w:rPr>
          <w:lang w:val="en-GB"/>
        </w:rPr>
        <w:t>12 month</w:t>
      </w:r>
      <w:proofErr w:type="gramEnd"/>
      <w:r w:rsidR="007965D1" w:rsidRPr="000B2137">
        <w:rPr>
          <w:lang w:val="en-GB"/>
        </w:rPr>
        <w:t xml:space="preserve"> </w:t>
      </w:r>
      <w:proofErr w:type="gramStart"/>
      <w:r w:rsidR="007965D1" w:rsidRPr="000B2137">
        <w:rPr>
          <w:lang w:val="en-GB"/>
        </w:rPr>
        <w:t>time period</w:t>
      </w:r>
      <w:proofErr w:type="gramEnd"/>
      <w:r w:rsidR="007965D1" w:rsidRPr="000B2137">
        <w:rPr>
          <w:lang w:val="en-GB"/>
        </w:rPr>
        <w:t xml:space="preserve"> for the exacerbation history</w:t>
      </w:r>
      <w:r w:rsidRPr="000B2137">
        <w:rPr>
          <w:lang w:val="en-GB"/>
        </w:rPr>
        <w:t>, to ensure consistency with the Global Initiative for Chronic Obstructive Lung Disease (GOLD) guidelines</w:t>
      </w:r>
      <w:r w:rsidR="00B10067" w:rsidRPr="000B2137">
        <w:rPr>
          <w:lang w:val="en-GB"/>
        </w:rPr>
        <w:t>. It was noted that FEV1 lacks precision to be used clinically as a predictor of exacerbations or mortality in patients with COPD and noted that history of previous exacerbations is regarded as the best predictor of future COPD episodes</w:t>
      </w:r>
      <w:r w:rsidRPr="000B2137">
        <w:rPr>
          <w:lang w:val="en-GB"/>
        </w:rPr>
        <w:t xml:space="preserve"> (para</w:t>
      </w:r>
      <w:r w:rsidR="009F60B3" w:rsidRPr="000B2137">
        <w:rPr>
          <w:lang w:val="en-GB"/>
        </w:rPr>
        <w:t xml:space="preserve"> 7.3</w:t>
      </w:r>
      <w:r w:rsidRPr="000B2137">
        <w:rPr>
          <w:lang w:val="en-GB"/>
        </w:rPr>
        <w:t>, fluticasone furoate with umeclidinium and vilanterol Public Summary Document</w:t>
      </w:r>
      <w:r w:rsidR="008C0BEA" w:rsidRPr="000B2137">
        <w:rPr>
          <w:lang w:val="en-GB"/>
        </w:rPr>
        <w:t xml:space="preserve"> [PSD]</w:t>
      </w:r>
      <w:r w:rsidRPr="000B2137">
        <w:rPr>
          <w:lang w:val="en-GB"/>
        </w:rPr>
        <w:t xml:space="preserve">, March 2019 PBAC meeting). Excluding the FEV1 threshold is consistent with the current PBS listings for LABA + LAMA, ICS + LABA, or LABA + LAMA + ICS fixed dose combination (FDC) products for COPD. </w:t>
      </w:r>
      <w:r w:rsidR="00D748E0" w:rsidRPr="000B2137">
        <w:rPr>
          <w:lang w:val="en-GB"/>
        </w:rPr>
        <w:t>The evaluation also considered that the</w:t>
      </w:r>
      <w:r w:rsidRPr="000B2137">
        <w:rPr>
          <w:lang w:val="en-GB"/>
        </w:rPr>
        <w:t xml:space="preserve"> proportion of the eligible PBS population with ppFEV1 &lt; 30% is likely to be small.</w:t>
      </w:r>
    </w:p>
    <w:p w14:paraId="41D5F621" w14:textId="6C13BEE9" w:rsidR="002B3A68" w:rsidRPr="000717E1" w:rsidRDefault="00001D2A" w:rsidP="00ED00D6">
      <w:pPr>
        <w:pStyle w:val="3-BodyText"/>
      </w:pPr>
      <w:r w:rsidRPr="000B2137">
        <w:rPr>
          <w:lang w:val="en-GB"/>
        </w:rPr>
        <w:t>The submission proposed that p</w:t>
      </w:r>
      <w:r w:rsidR="002B2A38" w:rsidRPr="000B2137">
        <w:rPr>
          <w:lang w:val="en-GB"/>
        </w:rPr>
        <w:t xml:space="preserve">atients must have </w:t>
      </w:r>
      <w:r w:rsidR="00A51FFE" w:rsidRPr="000B2137">
        <w:rPr>
          <w:lang w:val="en-GB"/>
        </w:rPr>
        <w:t>achieved (and maintained)</w:t>
      </w:r>
      <w:r w:rsidRPr="000B2137">
        <w:rPr>
          <w:lang w:val="en-GB"/>
        </w:rPr>
        <w:t xml:space="preserve"> an adequate response</w:t>
      </w:r>
      <w:r w:rsidR="00A51FFE" w:rsidRPr="000B2137">
        <w:rPr>
          <w:lang w:val="en-GB"/>
        </w:rPr>
        <w:t xml:space="preserve"> </w:t>
      </w:r>
      <w:r w:rsidR="00C7627D" w:rsidRPr="000B2137">
        <w:rPr>
          <w:lang w:val="en-GB"/>
        </w:rPr>
        <w:t>after 52 weeks of treatment to continue</w:t>
      </w:r>
      <w:r w:rsidRPr="000B2137">
        <w:rPr>
          <w:lang w:val="en-GB"/>
        </w:rPr>
        <w:t xml:space="preserve"> dupilumab.</w:t>
      </w:r>
      <w:r w:rsidR="002C3CB2" w:rsidRPr="000B2137">
        <w:rPr>
          <w:lang w:val="en-GB"/>
        </w:rPr>
        <w:t xml:space="preserve"> An adequate response to treatment </w:t>
      </w:r>
      <w:r w:rsidR="004E4FE6" w:rsidRPr="000B2137">
        <w:rPr>
          <w:lang w:val="en-GB"/>
        </w:rPr>
        <w:t>wa</w:t>
      </w:r>
      <w:r w:rsidR="002C3CB2" w:rsidRPr="000B2137">
        <w:rPr>
          <w:lang w:val="en-GB"/>
        </w:rPr>
        <w:t xml:space="preserve">s defined as a </w:t>
      </w:r>
      <w:r w:rsidR="004E4FE6" w:rsidRPr="000B2137">
        <w:rPr>
          <w:lang w:val="en-GB"/>
        </w:rPr>
        <w:t>‘</w:t>
      </w:r>
      <w:r w:rsidR="002C3CB2" w:rsidRPr="000B2137">
        <w:rPr>
          <w:lang w:val="en-GB"/>
        </w:rPr>
        <w:t>maintenance (i.e.</w:t>
      </w:r>
      <w:r w:rsidR="00D11262" w:rsidRPr="000B2137">
        <w:rPr>
          <w:lang w:val="en-GB"/>
        </w:rPr>
        <w:t>,</w:t>
      </w:r>
      <w:r w:rsidR="002C3CB2" w:rsidRPr="000B2137">
        <w:rPr>
          <w:lang w:val="en-GB"/>
        </w:rPr>
        <w:t xml:space="preserve"> no increase) or a reduction in the number of moderate and</w:t>
      </w:r>
      <w:r w:rsidR="00B203DF" w:rsidRPr="000B2137">
        <w:rPr>
          <w:lang w:val="en-GB"/>
        </w:rPr>
        <w:t>/</w:t>
      </w:r>
      <w:r w:rsidR="002C3CB2" w:rsidRPr="000B2137">
        <w:rPr>
          <w:lang w:val="en-GB"/>
        </w:rPr>
        <w:t>or severe exacerbation/s measured at 52 weeks compared to the previous 12 months</w:t>
      </w:r>
      <w:r w:rsidR="004E4FE6" w:rsidRPr="000B2137">
        <w:rPr>
          <w:lang w:val="en-GB"/>
        </w:rPr>
        <w:t>’</w:t>
      </w:r>
      <w:r w:rsidR="002C3CB2" w:rsidRPr="000B2137">
        <w:rPr>
          <w:lang w:val="en-GB"/>
        </w:rPr>
        <w:t>.</w:t>
      </w:r>
      <w:r w:rsidR="00FB188C" w:rsidRPr="000B2137">
        <w:rPr>
          <w:lang w:val="en-GB"/>
        </w:rPr>
        <w:t xml:space="preserve"> </w:t>
      </w:r>
      <w:r w:rsidR="002B3A68" w:rsidRPr="000B2137">
        <w:rPr>
          <w:lang w:val="en-GB"/>
        </w:rPr>
        <w:t xml:space="preserve">The primary outcome in the pivotal trials was the annualised rate of </w:t>
      </w:r>
      <w:r w:rsidR="00FD02E5" w:rsidRPr="000B2137">
        <w:rPr>
          <w:lang w:val="en-GB"/>
        </w:rPr>
        <w:t>acute exacerbations of COPD (</w:t>
      </w:r>
      <w:r w:rsidR="002B3A68" w:rsidRPr="000B2137">
        <w:rPr>
          <w:lang w:val="en-GB"/>
        </w:rPr>
        <w:t>AECOPD</w:t>
      </w:r>
      <w:r w:rsidR="00FD02E5" w:rsidRPr="000B2137">
        <w:rPr>
          <w:lang w:val="en-GB"/>
        </w:rPr>
        <w:t>)</w:t>
      </w:r>
      <w:r w:rsidR="002B3A68" w:rsidRPr="000B2137">
        <w:rPr>
          <w:lang w:val="en-GB"/>
        </w:rPr>
        <w:t xml:space="preserve"> in the dupilumab versus placebo arms, the</w:t>
      </w:r>
      <w:r w:rsidR="002730C8" w:rsidRPr="000B2137">
        <w:rPr>
          <w:lang w:val="en-GB"/>
        </w:rPr>
        <w:t xml:space="preserve"> results</w:t>
      </w:r>
      <w:r w:rsidR="002B3A68" w:rsidRPr="000B2137">
        <w:rPr>
          <w:lang w:val="en-GB"/>
        </w:rPr>
        <w:t xml:space="preserve"> did not </w:t>
      </w:r>
      <w:r w:rsidR="002730C8" w:rsidRPr="000B2137">
        <w:rPr>
          <w:lang w:val="en-GB"/>
        </w:rPr>
        <w:t xml:space="preserve">directly </w:t>
      </w:r>
      <w:r w:rsidR="002B3A68" w:rsidRPr="000B2137">
        <w:rPr>
          <w:lang w:val="en-GB"/>
        </w:rPr>
        <w:t>assess whether these events re</w:t>
      </w:r>
      <w:proofErr w:type="spellStart"/>
      <w:r w:rsidR="002B3A68" w:rsidRPr="000717E1">
        <w:t>flected</w:t>
      </w:r>
      <w:proofErr w:type="spellEnd"/>
      <w:r w:rsidR="002B3A68" w:rsidRPr="000717E1">
        <w:t xml:space="preserve"> a decreased</w:t>
      </w:r>
      <w:r w:rsidR="00437A6D" w:rsidRPr="000717E1">
        <w:t xml:space="preserve"> </w:t>
      </w:r>
      <w:r w:rsidR="002B3A68" w:rsidRPr="000717E1">
        <w:t xml:space="preserve">rate for individual patients. The submission did not address whether </w:t>
      </w:r>
      <w:r w:rsidR="002B3A68" w:rsidRPr="000717E1">
        <w:lastRenderedPageBreak/>
        <w:t>maintaining prior exacerbation rates (as per the proposed continuing PBS criterion) is an acceptable outcome or whether it was statistically significantly improved with the addition of dupilumab.</w:t>
      </w:r>
      <w:r w:rsidR="00E57D0B" w:rsidRPr="000717E1">
        <w:t xml:space="preserve"> </w:t>
      </w:r>
      <w:r w:rsidR="005D1D42" w:rsidRPr="001F3F0F">
        <w:rPr>
          <w:iCs/>
        </w:rPr>
        <w:t>The PSCR</w:t>
      </w:r>
      <w:r w:rsidR="00770598" w:rsidRPr="001F3F0F">
        <w:rPr>
          <w:iCs/>
        </w:rPr>
        <w:t xml:space="preserve"> </w:t>
      </w:r>
      <w:r w:rsidR="00D578C2" w:rsidRPr="001F3F0F">
        <w:rPr>
          <w:iCs/>
        </w:rPr>
        <w:t xml:space="preserve">argued that COPD is a progressive disease characterised by </w:t>
      </w:r>
      <w:r w:rsidR="006B07C6" w:rsidRPr="001F3F0F">
        <w:rPr>
          <w:iCs/>
        </w:rPr>
        <w:t xml:space="preserve">a </w:t>
      </w:r>
      <w:r w:rsidR="00D578C2" w:rsidRPr="001F3F0F">
        <w:rPr>
          <w:iCs/>
        </w:rPr>
        <w:t xml:space="preserve">decline in lung function and </w:t>
      </w:r>
      <w:r w:rsidR="00770598" w:rsidRPr="001F3F0F">
        <w:rPr>
          <w:iCs/>
        </w:rPr>
        <w:t>the</w:t>
      </w:r>
      <w:r w:rsidR="006B3707" w:rsidRPr="001F3F0F">
        <w:rPr>
          <w:iCs/>
        </w:rPr>
        <w:t xml:space="preserve"> number of exacerbations a patient has had in the </w:t>
      </w:r>
      <w:r w:rsidR="004918CF" w:rsidRPr="001F3F0F">
        <w:rPr>
          <w:iCs/>
        </w:rPr>
        <w:t>prior year is</w:t>
      </w:r>
      <w:r w:rsidR="00770598" w:rsidRPr="001F3F0F">
        <w:rPr>
          <w:iCs/>
        </w:rPr>
        <w:t xml:space="preserve"> </w:t>
      </w:r>
      <w:r w:rsidR="004918CF" w:rsidRPr="001F3F0F">
        <w:rPr>
          <w:iCs/>
        </w:rPr>
        <w:t xml:space="preserve">the </w:t>
      </w:r>
      <w:r w:rsidR="00770598" w:rsidRPr="001F3F0F">
        <w:rPr>
          <w:iCs/>
        </w:rPr>
        <w:t xml:space="preserve">strongest predictor of </w:t>
      </w:r>
      <w:r w:rsidR="006B3707" w:rsidRPr="001F3F0F">
        <w:rPr>
          <w:iCs/>
        </w:rPr>
        <w:t>a patient’s future exacerbation frequency</w:t>
      </w:r>
      <w:r w:rsidR="004918CF" w:rsidRPr="001F3F0F">
        <w:rPr>
          <w:iCs/>
        </w:rPr>
        <w:t xml:space="preserve">. </w:t>
      </w:r>
      <w:r w:rsidR="002E1465" w:rsidRPr="001F3F0F">
        <w:rPr>
          <w:iCs/>
        </w:rPr>
        <w:t xml:space="preserve">On this basis, the PSCR argued that </w:t>
      </w:r>
      <w:r w:rsidR="00DC5EEB" w:rsidRPr="001F3F0F">
        <w:rPr>
          <w:iCs/>
        </w:rPr>
        <w:t>stab</w:t>
      </w:r>
      <w:r w:rsidR="00186DD9" w:rsidRPr="001F3F0F">
        <w:rPr>
          <w:iCs/>
        </w:rPr>
        <w:t>i</w:t>
      </w:r>
      <w:r w:rsidR="00DC5EEB" w:rsidRPr="001F3F0F">
        <w:rPr>
          <w:iCs/>
        </w:rPr>
        <w:t xml:space="preserve">lisation of disease is a good outcome for patients with Type 2 inflammation who continue to exacerbate despite treatment with </w:t>
      </w:r>
      <w:r w:rsidR="003E4230" w:rsidRPr="001F3F0F">
        <w:rPr>
          <w:iCs/>
        </w:rPr>
        <w:t xml:space="preserve">triple inhaled therapy. </w:t>
      </w:r>
    </w:p>
    <w:p w14:paraId="18F05E2F" w14:textId="683D7F9C" w:rsidR="00A979D9" w:rsidRPr="000717E1" w:rsidRDefault="007040E9" w:rsidP="00ED00D6">
      <w:pPr>
        <w:pStyle w:val="3-BodyText"/>
      </w:pPr>
      <w:bookmarkStart w:id="23" w:name="_Ref221790847"/>
      <w:r w:rsidRPr="000717E1">
        <w:t>On the basis of the clinical</w:t>
      </w:r>
      <w:r w:rsidR="00A979D9" w:rsidRPr="000717E1">
        <w:t xml:space="preserve"> data from BOREAS and NOTUS, the submission did not include an interim response criterion at Week 24 based on pre-bronchodilator (pre-BD) FEV</w:t>
      </w:r>
      <w:r w:rsidR="00A979D9" w:rsidRPr="000717E1">
        <w:rPr>
          <w:vertAlign w:val="subscript"/>
        </w:rPr>
        <w:t>1</w:t>
      </w:r>
      <w:r w:rsidR="00A979D9" w:rsidRPr="000717E1">
        <w:t xml:space="preserve"> improvement ≥ 0.1 L) and/or the St George Respiratory Questionnaire (SGRQ) (≥ 0 point) as some patients who met the Week 52 maintenance or reduction of exacerbation response criterion, would fail to meet the Week 24 interim response criteria.</w:t>
      </w:r>
      <w:r w:rsidRPr="000717E1">
        <w:t xml:space="preserve"> </w:t>
      </w:r>
      <w:r w:rsidR="00A979D9" w:rsidRPr="000717E1">
        <w:t>The submission did not consider whether an interim response criterion based on maintenance or reduction of exacerbation at an earlier timepoint might be appropriate.</w:t>
      </w:r>
      <w:r w:rsidR="002638A4" w:rsidRPr="000717E1">
        <w:t xml:space="preserve"> </w:t>
      </w:r>
      <w:r w:rsidR="002638A4" w:rsidRPr="001F3F0F">
        <w:rPr>
          <w:iCs/>
        </w:rPr>
        <w:t xml:space="preserve">The PSCR </w:t>
      </w:r>
      <w:r w:rsidR="00B308BD" w:rsidRPr="001F3F0F">
        <w:rPr>
          <w:iCs/>
        </w:rPr>
        <w:t xml:space="preserve">noted </w:t>
      </w:r>
      <w:r w:rsidR="002638A4" w:rsidRPr="001F3F0F">
        <w:rPr>
          <w:iCs/>
        </w:rPr>
        <w:t>that</w:t>
      </w:r>
      <w:r w:rsidR="00D9175C" w:rsidRPr="001F3F0F">
        <w:rPr>
          <w:iCs/>
        </w:rPr>
        <w:t xml:space="preserve"> given</w:t>
      </w:r>
      <w:r w:rsidR="002638A4" w:rsidRPr="001F3F0F">
        <w:rPr>
          <w:iCs/>
        </w:rPr>
        <w:t xml:space="preserve"> </w:t>
      </w:r>
      <w:r w:rsidR="001769C5" w:rsidRPr="001F3F0F">
        <w:rPr>
          <w:iCs/>
        </w:rPr>
        <w:t>exacerbation rates</w:t>
      </w:r>
      <w:r w:rsidR="009E7B4D" w:rsidRPr="001F3F0F">
        <w:rPr>
          <w:iCs/>
        </w:rPr>
        <w:t xml:space="preserve"> are seasonal</w:t>
      </w:r>
      <w:r w:rsidR="001769C5" w:rsidRPr="001F3F0F">
        <w:rPr>
          <w:iCs/>
        </w:rPr>
        <w:t xml:space="preserve"> </w:t>
      </w:r>
      <w:r w:rsidR="009E7B4D" w:rsidRPr="001F3F0F">
        <w:rPr>
          <w:iCs/>
        </w:rPr>
        <w:t>(</w:t>
      </w:r>
      <w:r w:rsidR="001769C5" w:rsidRPr="001F3F0F">
        <w:rPr>
          <w:iCs/>
        </w:rPr>
        <w:t>generally higher during the cooler months and lower in warmer months</w:t>
      </w:r>
      <w:r w:rsidR="009E7B4D" w:rsidRPr="001F3F0F">
        <w:rPr>
          <w:iCs/>
        </w:rPr>
        <w:t>)</w:t>
      </w:r>
      <w:r w:rsidR="00B308BD" w:rsidRPr="001F3F0F">
        <w:rPr>
          <w:iCs/>
        </w:rPr>
        <w:t xml:space="preserve"> </w:t>
      </w:r>
      <w:r w:rsidR="00217E91" w:rsidRPr="001F3F0F">
        <w:rPr>
          <w:iCs/>
        </w:rPr>
        <w:t xml:space="preserve">a 12 month period </w:t>
      </w:r>
      <w:r w:rsidR="009E7B4D" w:rsidRPr="001F3F0F">
        <w:rPr>
          <w:iCs/>
        </w:rPr>
        <w:t xml:space="preserve">is required to </w:t>
      </w:r>
      <w:r w:rsidR="00217E91" w:rsidRPr="001F3F0F">
        <w:rPr>
          <w:iCs/>
        </w:rPr>
        <w:t xml:space="preserve">capture all seasons </w:t>
      </w:r>
      <w:r w:rsidR="00D9175C" w:rsidRPr="001F3F0F">
        <w:rPr>
          <w:iCs/>
        </w:rPr>
        <w:t>a</w:t>
      </w:r>
      <w:r w:rsidR="009E7B4D" w:rsidRPr="001F3F0F">
        <w:rPr>
          <w:iCs/>
        </w:rPr>
        <w:t>nd</w:t>
      </w:r>
      <w:r w:rsidR="00217E91" w:rsidRPr="001F3F0F">
        <w:rPr>
          <w:iCs/>
        </w:rPr>
        <w:t xml:space="preserve"> avoid under- or over-estimating</w:t>
      </w:r>
      <w:r w:rsidR="00FD0C2A" w:rsidRPr="001F3F0F">
        <w:rPr>
          <w:iCs/>
        </w:rPr>
        <w:t xml:space="preserve"> a drug’s effect due to seasonal peaks or troughs in exacerbation rates. </w:t>
      </w:r>
      <w:r w:rsidR="00715C6D" w:rsidRPr="001F3F0F">
        <w:rPr>
          <w:iCs/>
        </w:rPr>
        <w:t>The Sub-Committees considered that an interim clause or treatment phase requiring patients to have achieved an adequate response after at least 24 weeks of dupilumab treatment may be appropriate. Noting the PSCR argument that stabilisation of disease is a good outcome for patients with this condition, the Sub-Committees considered that an adequate response may include patients having no change or a reduction in the number of total exacerbations (moderate + severe) and no change or a reduction in the severity of the exacerbations.</w:t>
      </w:r>
      <w:bookmarkEnd w:id="23"/>
      <w:r w:rsidR="007F574E">
        <w:rPr>
          <w:iCs/>
        </w:rPr>
        <w:t xml:space="preserve"> </w:t>
      </w:r>
      <w:r w:rsidR="000D5AEA">
        <w:rPr>
          <w:iCs/>
        </w:rPr>
        <w:t xml:space="preserve">The pre-PBAC response </w:t>
      </w:r>
      <w:r w:rsidR="002F7B21">
        <w:rPr>
          <w:iCs/>
        </w:rPr>
        <w:t xml:space="preserve">maintained that </w:t>
      </w:r>
      <w:r w:rsidR="004618D4">
        <w:rPr>
          <w:iCs/>
        </w:rPr>
        <w:t>a 12</w:t>
      </w:r>
      <w:r w:rsidR="000867C1">
        <w:rPr>
          <w:iCs/>
        </w:rPr>
        <w:t> </w:t>
      </w:r>
      <w:r w:rsidR="004618D4">
        <w:rPr>
          <w:iCs/>
        </w:rPr>
        <w:t>month</w:t>
      </w:r>
      <w:r w:rsidR="00CD74FA">
        <w:rPr>
          <w:iCs/>
        </w:rPr>
        <w:t xml:space="preserve"> period</w:t>
      </w:r>
      <w:r w:rsidR="00BB673F">
        <w:rPr>
          <w:iCs/>
        </w:rPr>
        <w:t xml:space="preserve"> was appropriate for</w:t>
      </w:r>
      <w:r w:rsidR="002F7B21">
        <w:rPr>
          <w:iCs/>
        </w:rPr>
        <w:t xml:space="preserve"> </w:t>
      </w:r>
      <w:r w:rsidR="00D078F1">
        <w:rPr>
          <w:iCs/>
        </w:rPr>
        <w:t xml:space="preserve">the assessment of </w:t>
      </w:r>
      <w:r w:rsidR="00E44312">
        <w:rPr>
          <w:iCs/>
        </w:rPr>
        <w:t xml:space="preserve">a </w:t>
      </w:r>
      <w:r w:rsidR="00D078F1">
        <w:rPr>
          <w:iCs/>
        </w:rPr>
        <w:t>treatment response</w:t>
      </w:r>
      <w:r w:rsidR="00F35C76">
        <w:rPr>
          <w:iCs/>
        </w:rPr>
        <w:t>. The pre-PBAC response pres</w:t>
      </w:r>
      <w:r w:rsidR="00572663">
        <w:rPr>
          <w:iCs/>
        </w:rPr>
        <w:t>ented an ad-hoc analysis of the pooled BOREAS and NOTUS data where the annualised number of exacerbations at Week 24 and Week 52 w</w:t>
      </w:r>
      <w:r w:rsidR="00CC5FFF">
        <w:rPr>
          <w:iCs/>
        </w:rPr>
        <w:t xml:space="preserve">as compared to baseline. </w:t>
      </w:r>
      <w:r w:rsidR="00F73869">
        <w:rPr>
          <w:iCs/>
        </w:rPr>
        <w:t>Non</w:t>
      </w:r>
      <w:r w:rsidR="0031776F">
        <w:rPr>
          <w:iCs/>
        </w:rPr>
        <w:t xml:space="preserve">-response was defined as an increase in the number of exacerbations. </w:t>
      </w:r>
      <w:r w:rsidR="004B130D">
        <w:rPr>
          <w:iCs/>
        </w:rPr>
        <w:t xml:space="preserve">Of the 830 patients </w:t>
      </w:r>
      <w:r w:rsidR="001B3917">
        <w:rPr>
          <w:iCs/>
        </w:rPr>
        <w:t>from</w:t>
      </w:r>
      <w:r w:rsidR="00D77D85">
        <w:rPr>
          <w:iCs/>
        </w:rPr>
        <w:t xml:space="preserve"> the BOREAS and NOTUS trials</w:t>
      </w:r>
      <w:r w:rsidR="001B3917">
        <w:rPr>
          <w:iCs/>
        </w:rPr>
        <w:t xml:space="preserve"> included in the analysis</w:t>
      </w:r>
      <w:r w:rsidR="0089373B">
        <w:rPr>
          <w:iCs/>
        </w:rPr>
        <w:t xml:space="preserve">, 30 patients </w:t>
      </w:r>
      <w:r w:rsidR="00271468">
        <w:rPr>
          <w:iCs/>
        </w:rPr>
        <w:t>(3.6%)</w:t>
      </w:r>
      <w:r w:rsidR="0089373B">
        <w:rPr>
          <w:iCs/>
        </w:rPr>
        <w:t xml:space="preserve"> who were a non-responder at </w:t>
      </w:r>
      <w:r w:rsidR="00C942B4">
        <w:rPr>
          <w:iCs/>
        </w:rPr>
        <w:t>W</w:t>
      </w:r>
      <w:r w:rsidR="0089373B">
        <w:rPr>
          <w:iCs/>
        </w:rPr>
        <w:t>eek 24 were also a non</w:t>
      </w:r>
      <w:r w:rsidR="00C942B4">
        <w:rPr>
          <w:iCs/>
        </w:rPr>
        <w:t>-responder at Week 52</w:t>
      </w:r>
      <w:r w:rsidR="00455767">
        <w:rPr>
          <w:iCs/>
        </w:rPr>
        <w:t xml:space="preserve"> and 1</w:t>
      </w:r>
      <w:r w:rsidR="001E73B5">
        <w:rPr>
          <w:iCs/>
        </w:rPr>
        <w:t>4</w:t>
      </w:r>
      <w:r w:rsidR="00455767">
        <w:rPr>
          <w:iCs/>
        </w:rPr>
        <w:t xml:space="preserve"> patients </w:t>
      </w:r>
      <w:r w:rsidR="00271468">
        <w:rPr>
          <w:iCs/>
        </w:rPr>
        <w:t>(1.7%)</w:t>
      </w:r>
      <w:r w:rsidR="00455767">
        <w:rPr>
          <w:iCs/>
        </w:rPr>
        <w:t xml:space="preserve"> who were a non-responder at Week 24 were classified as a responder at Week 52</w:t>
      </w:r>
      <w:r w:rsidR="00FF407F">
        <w:rPr>
          <w:iCs/>
        </w:rPr>
        <w:t xml:space="preserve">. </w:t>
      </w:r>
      <w:r w:rsidR="004B3AE4">
        <w:rPr>
          <w:iCs/>
        </w:rPr>
        <w:t xml:space="preserve">The </w:t>
      </w:r>
      <w:r w:rsidR="00C24746">
        <w:rPr>
          <w:iCs/>
        </w:rPr>
        <w:t xml:space="preserve">PBAC </w:t>
      </w:r>
      <w:r w:rsidR="00C10BDB">
        <w:rPr>
          <w:iCs/>
        </w:rPr>
        <w:t>considered</w:t>
      </w:r>
      <w:r w:rsidR="00BA622C">
        <w:rPr>
          <w:iCs/>
        </w:rPr>
        <w:t xml:space="preserve"> </w:t>
      </w:r>
      <w:r w:rsidR="00D31B87">
        <w:rPr>
          <w:iCs/>
        </w:rPr>
        <w:t>th</w:t>
      </w:r>
      <w:r w:rsidR="00816EFA">
        <w:rPr>
          <w:iCs/>
        </w:rPr>
        <w:t>at</w:t>
      </w:r>
      <w:r w:rsidR="00F04172">
        <w:rPr>
          <w:iCs/>
        </w:rPr>
        <w:t>,</w:t>
      </w:r>
      <w:r w:rsidR="00816EFA">
        <w:rPr>
          <w:iCs/>
        </w:rPr>
        <w:t xml:space="preserve"> given </w:t>
      </w:r>
      <w:r w:rsidR="005C4592">
        <w:rPr>
          <w:iCs/>
        </w:rPr>
        <w:t xml:space="preserve">the small number of patients who were non-responders at Week 24 and then </w:t>
      </w:r>
      <w:r w:rsidR="006453B7">
        <w:rPr>
          <w:iCs/>
        </w:rPr>
        <w:t>subsequently classified as responders at Week 52</w:t>
      </w:r>
      <w:r w:rsidR="00F04172">
        <w:rPr>
          <w:iCs/>
        </w:rPr>
        <w:t>,</w:t>
      </w:r>
      <w:r w:rsidR="006453B7">
        <w:rPr>
          <w:iCs/>
        </w:rPr>
        <w:t xml:space="preserve"> the </w:t>
      </w:r>
      <w:r w:rsidR="007F712B">
        <w:rPr>
          <w:iCs/>
        </w:rPr>
        <w:t xml:space="preserve">application of an </w:t>
      </w:r>
      <w:r w:rsidR="00B8329E" w:rsidRPr="001F3F0F">
        <w:rPr>
          <w:iCs/>
        </w:rPr>
        <w:t>interim clause requiring patients to have achieved an adequate response after at least 24 weeks</w:t>
      </w:r>
      <w:r w:rsidR="00466004">
        <w:rPr>
          <w:iCs/>
        </w:rPr>
        <w:t xml:space="preserve"> </w:t>
      </w:r>
      <w:r w:rsidR="00F25DAA">
        <w:rPr>
          <w:iCs/>
        </w:rPr>
        <w:t xml:space="preserve">of treatment </w:t>
      </w:r>
      <w:r w:rsidR="00466004">
        <w:rPr>
          <w:iCs/>
        </w:rPr>
        <w:t>was appropriate.</w:t>
      </w:r>
      <w:r w:rsidR="00D7158C">
        <w:rPr>
          <w:iCs/>
        </w:rPr>
        <w:t xml:space="preserve"> </w:t>
      </w:r>
      <w:r w:rsidR="00BF4036">
        <w:rPr>
          <w:iCs/>
        </w:rPr>
        <w:t xml:space="preserve">The PBAC noted that in its recommended listing patients </w:t>
      </w:r>
      <w:r w:rsidR="003E20DA">
        <w:rPr>
          <w:iCs/>
        </w:rPr>
        <w:t xml:space="preserve">who had not </w:t>
      </w:r>
      <w:r w:rsidR="003E20DA">
        <w:rPr>
          <w:lang w:val="en-GB"/>
        </w:rPr>
        <w:t xml:space="preserve">achieved a response to treatment would be able to re-trial treatment after a 12-month break. </w:t>
      </w:r>
    </w:p>
    <w:p w14:paraId="1A31FEB8" w14:textId="01581162" w:rsidR="003B36A0" w:rsidRDefault="003B36A0" w:rsidP="003B36A0">
      <w:pPr>
        <w:pStyle w:val="3-BodyText"/>
      </w:pPr>
      <w:r w:rsidRPr="000717E1">
        <w:t>The submission</w:t>
      </w:r>
      <w:r w:rsidR="005119CB" w:rsidRPr="000717E1">
        <w:t xml:space="preserve"> stated that </w:t>
      </w:r>
      <w:r w:rsidR="00FE75B9" w:rsidRPr="000717E1">
        <w:t xml:space="preserve">approximately </w:t>
      </w:r>
      <w:r w:rsidR="008271B4" w:rsidRPr="008271B4">
        <w:t>500 to &lt; 5,000</w:t>
      </w:r>
      <w:r w:rsidR="00FE75B9" w:rsidRPr="000717E1">
        <w:t xml:space="preserve">patients </w:t>
      </w:r>
      <w:r w:rsidR="002245DB" w:rsidRPr="000717E1">
        <w:t xml:space="preserve">were likely to access </w:t>
      </w:r>
      <w:r w:rsidR="00C10862" w:rsidRPr="000717E1">
        <w:t>treatment prior to the possible PBS listing of dupilumab.</w:t>
      </w:r>
      <w:r w:rsidR="004B23E8" w:rsidRPr="000717E1">
        <w:t xml:space="preserve"> </w:t>
      </w:r>
      <w:r w:rsidR="00F24450" w:rsidRPr="000717E1">
        <w:t>The submission</w:t>
      </w:r>
      <w:r w:rsidRPr="000717E1">
        <w:t xml:space="preserve"> requested </w:t>
      </w:r>
      <w:r w:rsidR="00B0651D" w:rsidRPr="000717E1">
        <w:t>a</w:t>
      </w:r>
      <w:r w:rsidRPr="000717E1">
        <w:t xml:space="preserve"> grandfathering </w:t>
      </w:r>
      <w:r w:rsidR="00B0651D" w:rsidRPr="000717E1">
        <w:t>restriction</w:t>
      </w:r>
      <w:r w:rsidR="003203F6" w:rsidRPr="000717E1">
        <w:t xml:space="preserve"> </w:t>
      </w:r>
      <w:r w:rsidR="00AB149F" w:rsidRPr="000717E1">
        <w:t>for a total of 12 months</w:t>
      </w:r>
      <w:r w:rsidR="006301B1" w:rsidRPr="000717E1">
        <w:t>, requiring patients to have met the baseline eligibility criteria for initiating treatment with dupilumab.</w:t>
      </w:r>
      <w:r w:rsidR="002730C8" w:rsidRPr="000717E1">
        <w:t xml:space="preserve"> </w:t>
      </w:r>
    </w:p>
    <w:p w14:paraId="2B151835" w14:textId="76DBE08B" w:rsidR="00D86F03" w:rsidRPr="00D86F03" w:rsidRDefault="00D86F03" w:rsidP="00D86F03">
      <w:pPr>
        <w:pStyle w:val="3-BodyText"/>
        <w:numPr>
          <w:ilvl w:val="0"/>
          <w:numId w:val="0"/>
        </w:numPr>
        <w:ind w:left="720"/>
        <w:rPr>
          <w:i/>
          <w:iCs/>
        </w:rPr>
      </w:pPr>
      <w:r w:rsidRPr="00D86F03">
        <w:rPr>
          <w:i/>
          <w:iCs/>
        </w:rPr>
        <w:lastRenderedPageBreak/>
        <w:t>For more detail on PBAC’s view, see section 7 PBAC outcome.</w:t>
      </w:r>
    </w:p>
    <w:p w14:paraId="1E69040D" w14:textId="77777777" w:rsidR="00A979D9" w:rsidRPr="000717E1" w:rsidDel="00195452" w:rsidRDefault="00A979D9" w:rsidP="00A979D9">
      <w:pPr>
        <w:pStyle w:val="2-SectionHeading"/>
      </w:pPr>
      <w:bookmarkStart w:id="24" w:name="_Toc216174087"/>
      <w:bookmarkStart w:id="25" w:name="_Toc219880037"/>
      <w:bookmarkEnd w:id="18"/>
      <w:r w:rsidRPr="000717E1" w:rsidDel="00195452">
        <w:t>Population and disease</w:t>
      </w:r>
      <w:bookmarkEnd w:id="24"/>
      <w:bookmarkEnd w:id="25"/>
    </w:p>
    <w:p w14:paraId="3DCD2ECE" w14:textId="043476C7" w:rsidR="00A979D9" w:rsidRPr="000717E1" w:rsidRDefault="00A979D9" w:rsidP="00003C3B">
      <w:pPr>
        <w:pStyle w:val="3-BodyText"/>
      </w:pPr>
      <w:bookmarkStart w:id="26" w:name="_Hlk215855231"/>
      <w:r w:rsidRPr="000717E1">
        <w:t>COPD is a</w:t>
      </w:r>
      <w:r w:rsidRPr="000717E1" w:rsidDel="00E828B8">
        <w:t xml:space="preserve"> </w:t>
      </w:r>
      <w:r w:rsidRPr="000717E1" w:rsidDel="00B53474">
        <w:t xml:space="preserve">heterogeneous lung condition </w:t>
      </w:r>
      <w:r w:rsidR="00091306" w:rsidRPr="000717E1">
        <w:t xml:space="preserve">characterised by </w:t>
      </w:r>
      <w:r w:rsidR="00D10F7D" w:rsidRPr="000717E1">
        <w:t xml:space="preserve">chronic respiratory symptoms </w:t>
      </w:r>
      <w:r w:rsidR="001A6628" w:rsidRPr="000717E1">
        <w:t>(</w:t>
      </w:r>
      <w:r w:rsidR="004052A2" w:rsidRPr="000717E1">
        <w:t xml:space="preserve">dyspnoea, cough, sputum production and/or exacerbation) </w:t>
      </w:r>
      <w:r w:rsidR="0034765D" w:rsidRPr="000717E1">
        <w:t>due to abnormalities of the airwa</w:t>
      </w:r>
      <w:r w:rsidR="00120ABE" w:rsidRPr="000717E1">
        <w:t>ys (</w:t>
      </w:r>
      <w:r w:rsidR="00901EDD" w:rsidRPr="000717E1">
        <w:t>bronchitis, bronchiolitis) and/or alveoli (emph</w:t>
      </w:r>
      <w:r w:rsidR="00855396" w:rsidRPr="000717E1">
        <w:t xml:space="preserve">ysema) that cause </w:t>
      </w:r>
      <w:r w:rsidR="009B2D91" w:rsidRPr="000717E1">
        <w:t>persistent, often progressive, airflow obstruction</w:t>
      </w:r>
      <w:r w:rsidR="00473CBA" w:rsidRPr="000717E1">
        <w:t>.</w:t>
      </w:r>
      <w:r w:rsidR="00C552B5" w:rsidRPr="000717E1">
        <w:rPr>
          <w:rStyle w:val="FootnoteReference"/>
        </w:rPr>
        <w:footnoteReference w:id="1"/>
      </w:r>
      <w:r w:rsidR="004052A2" w:rsidRPr="000717E1">
        <w:t xml:space="preserve"> I</w:t>
      </w:r>
      <w:r w:rsidRPr="000717E1">
        <w:t>t can interrupt daily activities, sleep patterns and the ability to exercise. COPD exacerbations have a major impact on mortality, quality of life (QoL) and mental health.</w:t>
      </w:r>
      <w:bookmarkEnd w:id="26"/>
    </w:p>
    <w:p w14:paraId="6938D9C3" w14:textId="323E55F1" w:rsidR="008E49EC" w:rsidRPr="000717E1" w:rsidRDefault="00A979D9" w:rsidP="00A979D9">
      <w:pPr>
        <w:pStyle w:val="3-BodyText"/>
      </w:pPr>
      <w:r w:rsidRPr="000717E1">
        <w:t xml:space="preserve">There are multiple different cell-types in the airways and lung parenchyma that contribute to inflammation in COPD. COPD was originally believed to be driven solely by type 1 immune responses, which includes neutrophil infiltration. However, 20–40% of patients with COPD exhibit type 2 inflammation which involves eosinophil filtration. In type 2 inflammation epithelial cells lining the airways are activated by toxins which results in the secretion of interleukin (IL)-4, IL-5 and IL-13. IL-4 and IL-13 promote the activation and trafficking of type 2 inflammatory cells, including eosinophils, to the lungs. </w:t>
      </w:r>
      <w:r w:rsidR="00C443D0" w:rsidRPr="000717E1">
        <w:t xml:space="preserve">While concordance between blood and airway type 2 biomarkers </w:t>
      </w:r>
      <w:r w:rsidR="00814FEA" w:rsidRPr="000717E1">
        <w:t>is variable</w:t>
      </w:r>
      <w:r w:rsidR="00C443D0" w:rsidRPr="000717E1">
        <w:t xml:space="preserve">, </w:t>
      </w:r>
      <w:r w:rsidR="00814FEA" w:rsidRPr="000717E1">
        <w:t>elevated</w:t>
      </w:r>
      <w:r w:rsidR="00C443D0" w:rsidRPr="000717E1">
        <w:t xml:space="preserve"> eosinophil counts in </w:t>
      </w:r>
      <w:r w:rsidR="00814FEA" w:rsidRPr="000717E1">
        <w:t xml:space="preserve">COPD </w:t>
      </w:r>
      <w:r w:rsidR="00C443D0" w:rsidRPr="000717E1">
        <w:t>patients</w:t>
      </w:r>
      <w:r w:rsidR="00E21DD6" w:rsidRPr="000717E1">
        <w:t xml:space="preserve"> is</w:t>
      </w:r>
      <w:r w:rsidR="00C443D0" w:rsidRPr="000717E1">
        <w:t xml:space="preserve"> associated with increased </w:t>
      </w:r>
      <w:r w:rsidR="00E21DD6" w:rsidRPr="000717E1">
        <w:t xml:space="preserve">levels of </w:t>
      </w:r>
      <w:r w:rsidR="00C443D0" w:rsidRPr="000717E1">
        <w:t>lung eosinophil</w:t>
      </w:r>
      <w:r w:rsidR="00E21DD6" w:rsidRPr="000717E1">
        <w:t>s</w:t>
      </w:r>
      <w:r w:rsidR="00C443D0" w:rsidRPr="000717E1">
        <w:t xml:space="preserve"> </w:t>
      </w:r>
      <w:r w:rsidR="007135B9" w:rsidRPr="000717E1">
        <w:t>and</w:t>
      </w:r>
      <w:r w:rsidR="00C443D0" w:rsidRPr="000717E1">
        <w:t xml:space="preserve"> higher levels of type 2 inflammation in the airways.</w:t>
      </w:r>
    </w:p>
    <w:p w14:paraId="48E685D9" w14:textId="22FED988" w:rsidR="00A979D9" w:rsidRPr="000717E1" w:rsidRDefault="00582E81" w:rsidP="005B57D5">
      <w:pPr>
        <w:pStyle w:val="3-BodyText"/>
      </w:pPr>
      <w:r w:rsidRPr="000717E1">
        <w:t>D</w:t>
      </w:r>
      <w:r w:rsidR="00A979D9" w:rsidRPr="000717E1">
        <w:t>upilumab</w:t>
      </w:r>
      <w:r w:rsidRPr="000717E1">
        <w:t xml:space="preserve"> is a biologic medication</w:t>
      </w:r>
      <w:r w:rsidR="00FC1A37" w:rsidRPr="000717E1">
        <w:t xml:space="preserve"> classified as a monoclonal antibody.</w:t>
      </w:r>
      <w:r w:rsidR="00A979D9" w:rsidRPr="000717E1">
        <w:t xml:space="preserve"> </w:t>
      </w:r>
      <w:r w:rsidR="000C3DD8" w:rsidRPr="000717E1">
        <w:t xml:space="preserve">It works by </w:t>
      </w:r>
      <w:r w:rsidR="00F112E6" w:rsidRPr="000717E1">
        <w:t>blocking</w:t>
      </w:r>
      <w:r w:rsidR="00C656C5" w:rsidRPr="000717E1">
        <w:t xml:space="preserve"> </w:t>
      </w:r>
      <w:r w:rsidR="00A979D9" w:rsidRPr="000717E1">
        <w:t>IL-4 and IL-13 signalling. The submission proposed that dupilumab be considered for patients with uncontrolled COPD (≥ 2 moderate or 1 severe exacerbation) and type 2 inflammation (</w:t>
      </w:r>
      <w:r w:rsidR="006F0173">
        <w:t>BEC</w:t>
      </w:r>
      <w:r w:rsidR="00A979D9" w:rsidRPr="000717E1">
        <w:t xml:space="preserve"> </w:t>
      </w:r>
      <w:r w:rsidR="00A979D9" w:rsidRPr="000717E1">
        <w:rPr>
          <w:rFonts w:cs="Calibri"/>
        </w:rPr>
        <w:t>≥</w:t>
      </w:r>
      <w:r w:rsidR="00A979D9" w:rsidRPr="000717E1">
        <w:t xml:space="preserve"> 300 cells/</w:t>
      </w:r>
      <w:r w:rsidR="00A979D9" w:rsidRPr="000717E1">
        <w:rPr>
          <w:rFonts w:cs="Calibri"/>
        </w:rPr>
        <w:t>µ</w:t>
      </w:r>
      <w:r w:rsidR="00A979D9" w:rsidRPr="000717E1">
        <w:t xml:space="preserve">L) as add-on treatment to LABA + LAMA + ICS. This is in line with the GOLD </w:t>
      </w:r>
      <w:r w:rsidR="00C656C5" w:rsidRPr="000717E1">
        <w:t>2026 Report</w:t>
      </w:r>
      <w:r w:rsidR="00EB6ADE" w:rsidRPr="000717E1">
        <w:rPr>
          <w:rStyle w:val="FootnoteReference"/>
        </w:rPr>
        <w:footnoteReference w:id="2"/>
      </w:r>
      <w:r w:rsidR="00740BF6" w:rsidRPr="000717E1">
        <w:t>.</w:t>
      </w:r>
      <w:r w:rsidR="00A979D9" w:rsidRPr="000717E1">
        <w:t xml:space="preserve"> The proposed place in therapy for dupilumab was reasonable.</w:t>
      </w:r>
    </w:p>
    <w:p w14:paraId="4EA9BE5B" w14:textId="5F02C921" w:rsidR="00A979D9" w:rsidRPr="000717E1" w:rsidRDefault="00A979D9" w:rsidP="00A979D9">
      <w:pPr>
        <w:pStyle w:val="3-BodyText"/>
      </w:pPr>
      <w:r w:rsidRPr="000717E1">
        <w:t xml:space="preserve">Dupilumab is administered via subcutaneous injection, either self-injected by the patient or administered by the patient’s caregiver after guidance has been provided by a healthcare provider on proper subcutaneous injection technique. Not all patients will be able to self-administer, or have a </w:t>
      </w:r>
      <w:r w:rsidR="00740BF6" w:rsidRPr="000717E1">
        <w:t>C</w:t>
      </w:r>
      <w:r w:rsidRPr="000717E1">
        <w:t>arer, and will therefore require administration by a healthcare professional.</w:t>
      </w:r>
    </w:p>
    <w:p w14:paraId="43934146" w14:textId="122533E9" w:rsidR="00D86F03" w:rsidRPr="00D86F03" w:rsidRDefault="00D86F03" w:rsidP="00D86F03">
      <w:pPr>
        <w:pStyle w:val="3-BodyText"/>
        <w:numPr>
          <w:ilvl w:val="0"/>
          <w:numId w:val="0"/>
        </w:numPr>
        <w:ind w:left="720"/>
        <w:rPr>
          <w:i/>
        </w:rPr>
      </w:pPr>
      <w:r w:rsidRPr="00D86F03">
        <w:rPr>
          <w:i/>
        </w:rPr>
        <w:t>For more detail on PBAC’s view, see section 7 PBAC outcome.</w:t>
      </w:r>
    </w:p>
    <w:p w14:paraId="771A3F53" w14:textId="77777777" w:rsidR="00A979D9" w:rsidRPr="000717E1" w:rsidRDefault="00A979D9" w:rsidP="00A979D9">
      <w:pPr>
        <w:pStyle w:val="2-SectionHeading"/>
      </w:pPr>
      <w:bookmarkStart w:id="27" w:name="_Toc216174088"/>
      <w:bookmarkStart w:id="28" w:name="_Toc219880038"/>
      <w:r w:rsidRPr="000717E1">
        <w:t>Comparator</w:t>
      </w:r>
      <w:bookmarkEnd w:id="27"/>
      <w:bookmarkEnd w:id="28"/>
    </w:p>
    <w:p w14:paraId="6B60D938" w14:textId="55817578" w:rsidR="00C0451F" w:rsidRPr="000717E1" w:rsidRDefault="00A979D9" w:rsidP="00A979D9">
      <w:pPr>
        <w:pStyle w:val="3-BodyText"/>
      </w:pPr>
      <w:r w:rsidRPr="000717E1">
        <w:t xml:space="preserve">The submission estimated approximately </w:t>
      </w:r>
      <w:r w:rsidR="00331ADA" w:rsidRPr="00331ADA">
        <w:rPr>
          <w:sz w:val="2"/>
          <w:highlight w:val="black"/>
        </w:rPr>
        <w:t>redacted content</w:t>
      </w:r>
      <w:r w:rsidRPr="000717E1">
        <w:t xml:space="preserve">% of patients with COPD who use triple inhaled therapy </w:t>
      </w:r>
      <w:r w:rsidR="000772B9" w:rsidRPr="000717E1">
        <w:t>(</w:t>
      </w:r>
      <w:r w:rsidRPr="000717E1">
        <w:t>LABA + LAMA + ICS</w:t>
      </w:r>
      <w:r w:rsidR="000772B9" w:rsidRPr="000717E1">
        <w:t>)</w:t>
      </w:r>
      <w:r w:rsidRPr="000717E1">
        <w:t xml:space="preserve"> continue to experience exacerbations and uncontrolled symptoms. There are currently no PBS subsidised pharmacological </w:t>
      </w:r>
      <w:r w:rsidRPr="000717E1">
        <w:lastRenderedPageBreak/>
        <w:t xml:space="preserve">maintenance treatments available for these patients. </w:t>
      </w:r>
      <w:r w:rsidRPr="001F3F0F">
        <w:rPr>
          <w:iCs/>
        </w:rPr>
        <w:t xml:space="preserve">The </w:t>
      </w:r>
      <w:r w:rsidR="00FB0C69" w:rsidRPr="001F3F0F">
        <w:rPr>
          <w:iCs/>
        </w:rPr>
        <w:t xml:space="preserve">Sub-Committees agreed with the evaluation that the </w:t>
      </w:r>
      <w:r w:rsidRPr="000717E1">
        <w:t>choice of triple inhaled therapy alone as the comparator in the submission was appropriate.</w:t>
      </w:r>
    </w:p>
    <w:p w14:paraId="44FC5BF9" w14:textId="5E57A2AF" w:rsidR="00A979D9" w:rsidRDefault="00492493" w:rsidP="00C0451F">
      <w:pPr>
        <w:pStyle w:val="3-BodyText"/>
      </w:pPr>
      <w:r w:rsidRPr="001F3F0F">
        <w:rPr>
          <w:iCs/>
        </w:rPr>
        <w:t xml:space="preserve">The submission did not nominate </w:t>
      </w:r>
      <w:r w:rsidR="00687C8B" w:rsidRPr="001F3F0F">
        <w:rPr>
          <w:iCs/>
        </w:rPr>
        <w:t xml:space="preserve">a near </w:t>
      </w:r>
      <w:r w:rsidR="00475517" w:rsidRPr="001F3F0F">
        <w:rPr>
          <w:iCs/>
        </w:rPr>
        <w:t>market comparator.</w:t>
      </w:r>
      <w:r w:rsidR="00475517" w:rsidRPr="000717E1">
        <w:t xml:space="preserve"> </w:t>
      </w:r>
      <w:r w:rsidR="00A70DC8" w:rsidRPr="000717E1">
        <w:t>The evaluators noted that</w:t>
      </w:r>
      <w:r w:rsidR="00A979D9" w:rsidRPr="000717E1">
        <w:t xml:space="preserve"> an application for the </w:t>
      </w:r>
      <w:r w:rsidR="006C6651" w:rsidRPr="000717E1">
        <w:t xml:space="preserve">PBS listing </w:t>
      </w:r>
      <w:r w:rsidR="00A979D9" w:rsidRPr="000717E1">
        <w:t xml:space="preserve">of mepolizumab </w:t>
      </w:r>
      <w:r w:rsidR="006C6651" w:rsidRPr="000717E1">
        <w:t>for</w:t>
      </w:r>
      <w:r w:rsidR="00A979D9" w:rsidRPr="000717E1">
        <w:t xml:space="preserve"> the same </w:t>
      </w:r>
      <w:r w:rsidR="006C6651" w:rsidRPr="000717E1">
        <w:t xml:space="preserve">patient </w:t>
      </w:r>
      <w:r w:rsidR="00A979D9" w:rsidRPr="000717E1">
        <w:t xml:space="preserve">population </w:t>
      </w:r>
      <w:r w:rsidR="006C6651" w:rsidRPr="000717E1">
        <w:t>is scheduled for consideration</w:t>
      </w:r>
      <w:r w:rsidR="00F01484" w:rsidRPr="000717E1">
        <w:t xml:space="preserve"> at the</w:t>
      </w:r>
      <w:r w:rsidR="00A979D9" w:rsidRPr="000717E1">
        <w:t xml:space="preserve"> March 2026 PBAC Meeting, </w:t>
      </w:r>
      <w:r w:rsidRPr="000717E1">
        <w:t xml:space="preserve">and considered </w:t>
      </w:r>
      <w:r w:rsidR="00A979D9" w:rsidRPr="000717E1">
        <w:t>this may be a near market comparator.</w:t>
      </w:r>
      <w:r w:rsidR="00C0451F" w:rsidRPr="000717E1">
        <w:t xml:space="preserve"> </w:t>
      </w:r>
      <w:r w:rsidR="00A979D9" w:rsidRPr="000717E1">
        <w:t>At the time of the evaluation, 2 indirect treatment comparisons (ITCs) of dupilumab versus mepolizumab were available</w:t>
      </w:r>
      <w:r w:rsidR="00800921" w:rsidRPr="000717E1">
        <w:t xml:space="preserve"> (see paragraph </w:t>
      </w:r>
      <w:r w:rsidR="00800921" w:rsidRPr="000717E1">
        <w:fldChar w:fldCharType="begin"/>
      </w:r>
      <w:r w:rsidR="00800921" w:rsidRPr="000717E1">
        <w:instrText xml:space="preserve"> REF _Ref221538395 \r \h </w:instrText>
      </w:r>
      <w:r w:rsidR="00800921" w:rsidRPr="000717E1">
        <w:fldChar w:fldCharType="separate"/>
      </w:r>
      <w:r w:rsidR="00D02134">
        <w:t>6.26</w:t>
      </w:r>
      <w:r w:rsidR="00800921" w:rsidRPr="000717E1">
        <w:fldChar w:fldCharType="end"/>
      </w:r>
      <w:r w:rsidR="00800921" w:rsidRPr="000717E1">
        <w:t>)</w:t>
      </w:r>
      <w:r w:rsidR="00D040DD" w:rsidRPr="000717E1">
        <w:t>.</w:t>
      </w:r>
      <w:r w:rsidR="000602B3" w:rsidRPr="000717E1">
        <w:t xml:space="preserve"> </w:t>
      </w:r>
    </w:p>
    <w:p w14:paraId="52938691" w14:textId="7DED289B" w:rsidR="00D86F03" w:rsidRPr="00D86F03" w:rsidRDefault="00D86F03" w:rsidP="00D86F03">
      <w:pPr>
        <w:pStyle w:val="3-BodyText"/>
        <w:numPr>
          <w:ilvl w:val="0"/>
          <w:numId w:val="0"/>
        </w:numPr>
        <w:ind w:left="720"/>
        <w:rPr>
          <w:i/>
          <w:iCs/>
        </w:rPr>
      </w:pPr>
      <w:r w:rsidRPr="00D86F03">
        <w:rPr>
          <w:i/>
          <w:iCs/>
        </w:rPr>
        <w:t>For more detail on PBAC’s view, see section 7 PBAC outcome.</w:t>
      </w:r>
    </w:p>
    <w:p w14:paraId="29A0B1D6" w14:textId="77777777" w:rsidR="00A979D9" w:rsidRPr="000717E1" w:rsidRDefault="00A979D9" w:rsidP="00A979D9">
      <w:pPr>
        <w:pStyle w:val="2-SectionHeading"/>
        <w:numPr>
          <w:ilvl w:val="0"/>
          <w:numId w:val="1"/>
        </w:numPr>
      </w:pPr>
      <w:bookmarkStart w:id="29" w:name="_Toc216174089"/>
      <w:bookmarkStart w:id="30" w:name="_Toc219880039"/>
      <w:bookmarkStart w:id="31" w:name="_Toc22897640"/>
      <w:r w:rsidRPr="000717E1">
        <w:t>Consideration of the evidence</w:t>
      </w:r>
      <w:bookmarkEnd w:id="29"/>
      <w:bookmarkEnd w:id="30"/>
    </w:p>
    <w:p w14:paraId="58ECA60F" w14:textId="77777777" w:rsidR="00682693" w:rsidRPr="006E1229" w:rsidRDefault="00682693" w:rsidP="001D4CF1">
      <w:pPr>
        <w:pStyle w:val="4-SubsectionHeading"/>
      </w:pPr>
      <w:bookmarkStart w:id="32" w:name="_Hlk76375935"/>
      <w:bookmarkStart w:id="33" w:name="_Toc216174090"/>
      <w:bookmarkStart w:id="34" w:name="_Toc219880040"/>
      <w:r w:rsidRPr="006E1229">
        <w:t>Sponsor hearing</w:t>
      </w:r>
    </w:p>
    <w:p w14:paraId="56B60D4F" w14:textId="31894D19" w:rsidR="00FF6534" w:rsidRDefault="001D3EC9" w:rsidP="00182A67">
      <w:pPr>
        <w:pStyle w:val="3-BodyText"/>
      </w:pPr>
      <w:r>
        <w:rPr>
          <w:snapToGrid w:val="0"/>
        </w:rPr>
        <w:t xml:space="preserve">The sponsor requested a hearing for this item. </w:t>
      </w:r>
      <w:r w:rsidR="006B5696">
        <w:rPr>
          <w:snapToGrid w:val="0"/>
        </w:rPr>
        <w:t xml:space="preserve">The clinician noted that in COPD, exacerbations accelerate the decline in lung function. </w:t>
      </w:r>
      <w:r w:rsidR="002F0481">
        <w:rPr>
          <w:snapToGrid w:val="0"/>
        </w:rPr>
        <w:t>By reducing the fre</w:t>
      </w:r>
      <w:r w:rsidR="003B048D">
        <w:rPr>
          <w:snapToGrid w:val="0"/>
        </w:rPr>
        <w:t>quency of exacerbations, dupilumab is expected to slow that decline</w:t>
      </w:r>
      <w:r w:rsidR="00C56675">
        <w:rPr>
          <w:snapToGrid w:val="0"/>
        </w:rPr>
        <w:t xml:space="preserve"> and over time </w:t>
      </w:r>
      <w:r w:rsidR="00DE7936">
        <w:rPr>
          <w:snapToGrid w:val="0"/>
        </w:rPr>
        <w:t xml:space="preserve">and hence </w:t>
      </w:r>
      <w:r w:rsidR="00C56675">
        <w:rPr>
          <w:snapToGrid w:val="0"/>
        </w:rPr>
        <w:t xml:space="preserve">the difference in clinical effect </w:t>
      </w:r>
      <w:r w:rsidR="00E31C24">
        <w:rPr>
          <w:snapToGrid w:val="0"/>
        </w:rPr>
        <w:t>should get</w:t>
      </w:r>
      <w:r w:rsidR="0000547E">
        <w:rPr>
          <w:snapToGrid w:val="0"/>
        </w:rPr>
        <w:t xml:space="preserve"> larger</w:t>
      </w:r>
      <w:r w:rsidR="009247BE">
        <w:rPr>
          <w:snapToGrid w:val="0"/>
        </w:rPr>
        <w:t>, particularly</w:t>
      </w:r>
      <w:r w:rsidR="00C90707">
        <w:rPr>
          <w:snapToGrid w:val="0"/>
        </w:rPr>
        <w:t xml:space="preserve"> given the elevated mor</w:t>
      </w:r>
      <w:r w:rsidR="00CC497C">
        <w:rPr>
          <w:snapToGrid w:val="0"/>
        </w:rPr>
        <w:t xml:space="preserve">tality </w:t>
      </w:r>
      <w:r w:rsidR="00C90707">
        <w:rPr>
          <w:snapToGrid w:val="0"/>
        </w:rPr>
        <w:t xml:space="preserve">risk associated with exacerbations. </w:t>
      </w:r>
      <w:r w:rsidR="00182A67">
        <w:rPr>
          <w:snapToGrid w:val="0"/>
        </w:rPr>
        <w:t>The clinician noted that</w:t>
      </w:r>
      <w:r w:rsidR="00601C68">
        <w:rPr>
          <w:snapToGrid w:val="0"/>
        </w:rPr>
        <w:t xml:space="preserve"> for this reason,</w:t>
      </w:r>
      <w:r w:rsidR="00182A67">
        <w:rPr>
          <w:snapToGrid w:val="0"/>
        </w:rPr>
        <w:t xml:space="preserve"> l</w:t>
      </w:r>
      <w:r w:rsidR="00DD510F" w:rsidRPr="00182A67">
        <w:rPr>
          <w:snapToGrid w:val="0"/>
        </w:rPr>
        <w:t>imiting the time horizon to 10 years</w:t>
      </w:r>
      <w:r w:rsidR="00182A67">
        <w:rPr>
          <w:snapToGrid w:val="0"/>
        </w:rPr>
        <w:t xml:space="preserve"> in the economic model </w:t>
      </w:r>
      <w:r w:rsidR="00437A92">
        <w:rPr>
          <w:snapToGrid w:val="0"/>
        </w:rPr>
        <w:t>may</w:t>
      </w:r>
      <w:r w:rsidR="00DD510F" w:rsidRPr="00182A67">
        <w:rPr>
          <w:snapToGrid w:val="0"/>
        </w:rPr>
        <w:t xml:space="preserve"> limit the benefits</w:t>
      </w:r>
      <w:r w:rsidR="003E314D">
        <w:rPr>
          <w:snapToGrid w:val="0"/>
        </w:rPr>
        <w:t>,</w:t>
      </w:r>
      <w:r w:rsidR="00120CBD">
        <w:rPr>
          <w:snapToGrid w:val="0"/>
        </w:rPr>
        <w:t xml:space="preserve"> that are likely to occur</w:t>
      </w:r>
      <w:r w:rsidR="003E314D">
        <w:rPr>
          <w:snapToGrid w:val="0"/>
        </w:rPr>
        <w:t>,</w:t>
      </w:r>
      <w:r w:rsidR="00120CBD">
        <w:rPr>
          <w:snapToGrid w:val="0"/>
        </w:rPr>
        <w:t xml:space="preserve"> from</w:t>
      </w:r>
      <w:r w:rsidR="00DD510F" w:rsidRPr="00182A67">
        <w:rPr>
          <w:snapToGrid w:val="0"/>
        </w:rPr>
        <w:t xml:space="preserve"> being captured.</w:t>
      </w:r>
      <w:r w:rsidR="00CB1902">
        <w:rPr>
          <w:snapToGrid w:val="0"/>
        </w:rPr>
        <w:t xml:space="preserve"> </w:t>
      </w:r>
      <w:r w:rsidR="00496F40">
        <w:rPr>
          <w:snapToGrid w:val="0"/>
        </w:rPr>
        <w:t xml:space="preserve">The clinician </w:t>
      </w:r>
      <w:r w:rsidR="005D7DC6">
        <w:rPr>
          <w:snapToGrid w:val="0"/>
        </w:rPr>
        <w:t>acknowledged the co</w:t>
      </w:r>
      <w:r w:rsidR="00345A08">
        <w:rPr>
          <w:snapToGrid w:val="0"/>
        </w:rPr>
        <w:noBreakHyphen/>
      </w:r>
      <w:r w:rsidR="006A51AB">
        <w:rPr>
          <w:snapToGrid w:val="0"/>
        </w:rPr>
        <w:t>existence</w:t>
      </w:r>
      <w:r w:rsidR="005D7DC6">
        <w:rPr>
          <w:snapToGrid w:val="0"/>
        </w:rPr>
        <w:t xml:space="preserve"> of </w:t>
      </w:r>
      <w:r w:rsidR="006A51AB">
        <w:rPr>
          <w:snapToGrid w:val="0"/>
        </w:rPr>
        <w:t>asthma and COPD</w:t>
      </w:r>
      <w:r w:rsidR="00945491">
        <w:rPr>
          <w:snapToGrid w:val="0"/>
        </w:rPr>
        <w:t xml:space="preserve"> in some patients but expected the overlap to </w:t>
      </w:r>
      <w:r w:rsidR="00A133AD">
        <w:rPr>
          <w:snapToGrid w:val="0"/>
        </w:rPr>
        <w:t>b</w:t>
      </w:r>
      <w:r w:rsidR="00945491">
        <w:rPr>
          <w:snapToGrid w:val="0"/>
        </w:rPr>
        <w:t xml:space="preserve">e small. </w:t>
      </w:r>
      <w:r w:rsidR="00932AB7">
        <w:rPr>
          <w:snapToGrid w:val="0"/>
        </w:rPr>
        <w:t xml:space="preserve">The clinician </w:t>
      </w:r>
      <w:r w:rsidR="00C800BA">
        <w:rPr>
          <w:snapToGrid w:val="0"/>
        </w:rPr>
        <w:t>also</w:t>
      </w:r>
      <w:r w:rsidR="00932AB7">
        <w:rPr>
          <w:snapToGrid w:val="0"/>
        </w:rPr>
        <w:t xml:space="preserve"> </w:t>
      </w:r>
      <w:r w:rsidR="00F63097">
        <w:rPr>
          <w:snapToGrid w:val="0"/>
        </w:rPr>
        <w:t>considered that a response to treatment should be assessed after</w:t>
      </w:r>
      <w:r w:rsidR="00932AB7">
        <w:rPr>
          <w:snapToGrid w:val="0"/>
        </w:rPr>
        <w:t xml:space="preserve"> 12 month</w:t>
      </w:r>
      <w:r w:rsidR="00F63097">
        <w:rPr>
          <w:snapToGrid w:val="0"/>
        </w:rPr>
        <w:t>s</w:t>
      </w:r>
      <w:r w:rsidR="00F02704">
        <w:rPr>
          <w:snapToGrid w:val="0"/>
        </w:rPr>
        <w:t>,</w:t>
      </w:r>
      <w:r w:rsidR="0085512F">
        <w:rPr>
          <w:snapToGrid w:val="0"/>
        </w:rPr>
        <w:t xml:space="preserve"> suggesting</w:t>
      </w:r>
      <w:r w:rsidR="00F02704">
        <w:rPr>
          <w:snapToGrid w:val="0"/>
        </w:rPr>
        <w:t xml:space="preserve"> that shorter treatment </w:t>
      </w:r>
      <w:r w:rsidR="00F63097">
        <w:rPr>
          <w:snapToGrid w:val="0"/>
        </w:rPr>
        <w:t>intervals</w:t>
      </w:r>
      <w:r w:rsidR="00F02704">
        <w:rPr>
          <w:snapToGrid w:val="0"/>
        </w:rPr>
        <w:t xml:space="preserve"> </w:t>
      </w:r>
      <w:r w:rsidR="0022079C">
        <w:rPr>
          <w:snapToGrid w:val="0"/>
        </w:rPr>
        <w:t>may</w:t>
      </w:r>
      <w:r w:rsidR="00F02704">
        <w:rPr>
          <w:snapToGrid w:val="0"/>
        </w:rPr>
        <w:t xml:space="preserve"> not provide a reliable </w:t>
      </w:r>
      <w:r w:rsidR="00AA24C0">
        <w:rPr>
          <w:snapToGrid w:val="0"/>
        </w:rPr>
        <w:t>indication</w:t>
      </w:r>
      <w:r w:rsidR="00F02704">
        <w:rPr>
          <w:snapToGrid w:val="0"/>
        </w:rPr>
        <w:t xml:space="preserve"> of </w:t>
      </w:r>
      <w:r w:rsidR="00AA24C0">
        <w:rPr>
          <w:snapToGrid w:val="0"/>
        </w:rPr>
        <w:t xml:space="preserve">a </w:t>
      </w:r>
      <w:r w:rsidR="00F63097">
        <w:rPr>
          <w:snapToGrid w:val="0"/>
        </w:rPr>
        <w:t>response</w:t>
      </w:r>
      <w:r w:rsidR="00F02704">
        <w:rPr>
          <w:snapToGrid w:val="0"/>
        </w:rPr>
        <w:t xml:space="preserve"> due to seasonal variation in exacerbations. </w:t>
      </w:r>
    </w:p>
    <w:p w14:paraId="6A9BDBE8" w14:textId="1E56A9DE" w:rsidR="00F20599" w:rsidRPr="00182A67" w:rsidRDefault="00FF6534" w:rsidP="00182A67">
      <w:pPr>
        <w:pStyle w:val="3-BodyText"/>
        <w:rPr>
          <w:snapToGrid w:val="0"/>
        </w:rPr>
      </w:pPr>
      <w:r>
        <w:rPr>
          <w:snapToGrid w:val="0"/>
        </w:rPr>
        <w:t xml:space="preserve">The sponsor </w:t>
      </w:r>
      <w:r w:rsidR="002E5521">
        <w:rPr>
          <w:snapToGrid w:val="0"/>
        </w:rPr>
        <w:t>noted</w:t>
      </w:r>
      <w:r w:rsidR="009C7FAD">
        <w:rPr>
          <w:snapToGrid w:val="0"/>
        </w:rPr>
        <w:t xml:space="preserve"> the</w:t>
      </w:r>
      <w:r w:rsidR="00F7449F">
        <w:rPr>
          <w:snapToGrid w:val="0"/>
        </w:rPr>
        <w:t xml:space="preserve"> primary </w:t>
      </w:r>
      <w:r w:rsidR="0008715E">
        <w:rPr>
          <w:snapToGrid w:val="0"/>
        </w:rPr>
        <w:t>concerns</w:t>
      </w:r>
      <w:r w:rsidR="009C7FAD">
        <w:rPr>
          <w:snapToGrid w:val="0"/>
        </w:rPr>
        <w:t xml:space="preserve"> raised by the Sub-Committees </w:t>
      </w:r>
      <w:r w:rsidR="0008715E">
        <w:rPr>
          <w:snapToGrid w:val="0"/>
        </w:rPr>
        <w:t xml:space="preserve">related to the economic model and </w:t>
      </w:r>
      <w:r w:rsidR="00ED3AF0">
        <w:rPr>
          <w:snapToGrid w:val="0"/>
        </w:rPr>
        <w:t xml:space="preserve">outlined an </w:t>
      </w:r>
      <w:r w:rsidR="00DE5FA6">
        <w:rPr>
          <w:snapToGrid w:val="0"/>
        </w:rPr>
        <w:t>international HTA b</w:t>
      </w:r>
      <w:r w:rsidR="00ED3AF0">
        <w:rPr>
          <w:snapToGrid w:val="0"/>
        </w:rPr>
        <w:t xml:space="preserve">ody’s perspective on these issues. </w:t>
      </w:r>
    </w:p>
    <w:p w14:paraId="62E2BD6D" w14:textId="77777777" w:rsidR="00682693" w:rsidRPr="006E1229" w:rsidRDefault="00682693" w:rsidP="001D4CF1">
      <w:pPr>
        <w:pStyle w:val="4-SubsectionHeading"/>
      </w:pPr>
      <w:r w:rsidRPr="006E1229">
        <w:t xml:space="preserve">Consumer </w:t>
      </w:r>
      <w:r>
        <w:t>input</w:t>
      </w:r>
      <w:r w:rsidRPr="006E1229">
        <w:t>s</w:t>
      </w:r>
    </w:p>
    <w:p w14:paraId="2FF347C8" w14:textId="1858E7A8" w:rsidR="003D3EF5" w:rsidRPr="001F3F0F" w:rsidRDefault="003D3EF5" w:rsidP="003D3EF5">
      <w:pPr>
        <w:pStyle w:val="3-BodyText"/>
        <w:rPr>
          <w:iCs/>
        </w:rPr>
      </w:pPr>
      <w:r w:rsidRPr="001F3F0F">
        <w:rPr>
          <w:iCs/>
        </w:rPr>
        <w:t xml:space="preserve">The </w:t>
      </w:r>
      <w:r>
        <w:rPr>
          <w:iCs/>
        </w:rPr>
        <w:t>PBAC</w:t>
      </w:r>
      <w:r w:rsidRPr="001F3F0F">
        <w:rPr>
          <w:iCs/>
        </w:rPr>
        <w:t xml:space="preserve"> noted and welcomed input from individuals (7), health care professionals (2) and organisations (3) via the</w:t>
      </w:r>
      <w:r w:rsidRPr="001F3F0F">
        <w:rPr>
          <w:bCs/>
          <w:iCs/>
          <w:snapToGrid w:val="0"/>
        </w:rPr>
        <w:t xml:space="preserve"> Office of Health Technology Assessment Consultation Hub</w:t>
      </w:r>
      <w:r w:rsidRPr="001F3F0F">
        <w:rPr>
          <w:iCs/>
        </w:rPr>
        <w:t xml:space="preserve">. Comments from individuals who would like access to dupilumab described the significant impact that COPD had on their quality of life, noting that their ability to work and socialise had been severely affected, leading to increased isolation and a decline in their mental health. Health care professionals noted an unmet clinical need for this population, describing COPD as debilitating and significantly impacting quality of life. Health care professionals noted the lack of effective treatment options for patients who continue to exacerbate despite triple inhaled therapy resulting in the use of oral corticosteroids which can be associated with debilitating or intolerable side effects. Comments from health care professionals also described the benefits of dupilumab in terms of improving outcomes and quality of life for patients with COPD </w:t>
      </w:r>
      <w:r w:rsidRPr="001F3F0F">
        <w:rPr>
          <w:iCs/>
        </w:rPr>
        <w:lastRenderedPageBreak/>
        <w:t xml:space="preserve">with a reduction in exacerbations and hospital admissions and improvement to overall lung function. </w:t>
      </w:r>
    </w:p>
    <w:p w14:paraId="23158166" w14:textId="77777777" w:rsidR="003D3EF5" w:rsidRDefault="003D3EF5" w:rsidP="003D3EF5">
      <w:pPr>
        <w:pStyle w:val="3-BodyText"/>
        <w:rPr>
          <w:iCs/>
        </w:rPr>
      </w:pPr>
      <w:r w:rsidRPr="001F3F0F">
        <w:rPr>
          <w:iCs/>
        </w:rPr>
        <w:t xml:space="preserve">Comments from Lung Foundation Australia, the Pharmaceutical Society of Australia and the Centres of Excellence in Treatable Traits and Severe Asthma expressed support for the proposed PBS listing of dupilumab. In addition to the comments noted above, input from Lung Foundation Australia noted that biologic medications have the potential to reduce reliance on oral corticosteroids, which are associated with significant morbidity and downstream health care costs. The Pharmaceutical Society of Australia noted that mepolizumab was being considered at the March 2026 PBAC meeting and highlighted that standardisation of terminology or wording in the PBS listing criteria would be helpful to ensure consistency for prescribers.   </w:t>
      </w:r>
    </w:p>
    <w:bookmarkEnd w:id="32"/>
    <w:p w14:paraId="14D33031" w14:textId="3AEECCD3" w:rsidR="00A979D9" w:rsidRPr="000717E1" w:rsidRDefault="00A979D9" w:rsidP="00A979D9">
      <w:pPr>
        <w:pStyle w:val="4-SubsectionHeading"/>
      </w:pPr>
      <w:r w:rsidRPr="000717E1">
        <w:t>Clinical trials</w:t>
      </w:r>
      <w:bookmarkEnd w:id="31"/>
      <w:bookmarkEnd w:id="33"/>
      <w:bookmarkEnd w:id="34"/>
    </w:p>
    <w:p w14:paraId="3032B31A" w14:textId="224CCD27" w:rsidR="00C94AF2" w:rsidRPr="000717E1" w:rsidRDefault="00A979D9" w:rsidP="00C94AF2">
      <w:pPr>
        <w:pStyle w:val="3-BodyText"/>
      </w:pPr>
      <w:r w:rsidRPr="000717E1">
        <w:t xml:space="preserve">The submission was based on </w:t>
      </w:r>
      <w:r w:rsidR="007A59F3" w:rsidRPr="000717E1">
        <w:t>2</w:t>
      </w:r>
      <w:r w:rsidRPr="000717E1">
        <w:t xml:space="preserve"> randomised, double-blind, placebo-controlled, 52-week trials (</w:t>
      </w:r>
      <w:r w:rsidR="000A61DE" w:rsidRPr="000717E1">
        <w:t xml:space="preserve">plus </w:t>
      </w:r>
      <w:r w:rsidRPr="000717E1">
        <w:t>a 12-week safety post-intervention period) comparing dupilumab + triple inhaled therapy to placebo + triple inhaled therapy in patients with uncontrolled COPD and type 2 inflammation, BOREAS (n=939) and NOTUS (n=935). NOTUS ended early because of the positive results from an interim analysis</w:t>
      </w:r>
      <w:r w:rsidR="002A1867" w:rsidRPr="000717E1">
        <w:t xml:space="preserve">. </w:t>
      </w:r>
      <w:r w:rsidR="002A1867" w:rsidRPr="001F3F0F">
        <w:rPr>
          <w:iCs/>
        </w:rPr>
        <w:t xml:space="preserve">NOTUS enrolled all </w:t>
      </w:r>
      <w:r w:rsidR="000F31B6" w:rsidRPr="001F3F0F">
        <w:rPr>
          <w:iCs/>
        </w:rPr>
        <w:t>intended participants</w:t>
      </w:r>
      <w:r w:rsidR="00800724" w:rsidRPr="001F3F0F">
        <w:rPr>
          <w:iCs/>
        </w:rPr>
        <w:t>,</w:t>
      </w:r>
      <w:r w:rsidR="00B00787" w:rsidRPr="001F3F0F">
        <w:rPr>
          <w:iCs/>
        </w:rPr>
        <w:t xml:space="preserve"> </w:t>
      </w:r>
      <w:r w:rsidR="00385DAF" w:rsidRPr="001F3F0F">
        <w:rPr>
          <w:iCs/>
        </w:rPr>
        <w:t xml:space="preserve">with </w:t>
      </w:r>
      <w:r w:rsidR="000C2515" w:rsidRPr="001F3F0F">
        <w:rPr>
          <w:iCs/>
        </w:rPr>
        <w:t xml:space="preserve">77% </w:t>
      </w:r>
      <w:r w:rsidR="004D387C" w:rsidRPr="001F3F0F">
        <w:rPr>
          <w:iCs/>
        </w:rPr>
        <w:t xml:space="preserve">of the </w:t>
      </w:r>
      <w:r w:rsidR="00F43EAB" w:rsidRPr="001F3F0F">
        <w:rPr>
          <w:iCs/>
        </w:rPr>
        <w:t xml:space="preserve">935 patients randomised </w:t>
      </w:r>
      <w:r w:rsidR="000C2515" w:rsidRPr="001F3F0F">
        <w:rPr>
          <w:iCs/>
        </w:rPr>
        <w:t>complet</w:t>
      </w:r>
      <w:r w:rsidR="00F43EAB" w:rsidRPr="001F3F0F">
        <w:rPr>
          <w:iCs/>
        </w:rPr>
        <w:t>ing</w:t>
      </w:r>
      <w:r w:rsidR="000C2515" w:rsidRPr="001F3F0F">
        <w:rPr>
          <w:iCs/>
        </w:rPr>
        <w:t xml:space="preserve"> the 52</w:t>
      </w:r>
      <w:r w:rsidR="00BE3877">
        <w:rPr>
          <w:iCs/>
        </w:rPr>
        <w:noBreakHyphen/>
      </w:r>
      <w:r w:rsidR="000C2515" w:rsidRPr="001F3F0F">
        <w:rPr>
          <w:iCs/>
        </w:rPr>
        <w:t>week study intervention period</w:t>
      </w:r>
      <w:r w:rsidRPr="001F3F0F">
        <w:rPr>
          <w:iCs/>
        </w:rPr>
        <w:t>.</w:t>
      </w:r>
    </w:p>
    <w:p w14:paraId="01CEA71D" w14:textId="42062A71" w:rsidR="00A979D9" w:rsidRPr="000717E1" w:rsidRDefault="00A979D9" w:rsidP="00C94AF2">
      <w:pPr>
        <w:pStyle w:val="3-BodyText"/>
      </w:pPr>
      <w:r w:rsidRPr="000717E1">
        <w:t xml:space="preserve">Uncontrolled COPD was defined </w:t>
      </w:r>
      <w:r w:rsidR="000C6B4A" w:rsidRPr="000717E1">
        <w:t xml:space="preserve">in the trials </w:t>
      </w:r>
      <w:r w:rsidRPr="000717E1">
        <w:t>as</w:t>
      </w:r>
      <w:r w:rsidR="006F1179" w:rsidRPr="000717E1">
        <w:t xml:space="preserve"> a</w:t>
      </w:r>
      <w:r w:rsidRPr="000717E1">
        <w:t xml:space="preserve"> history of ≥ 2 moderate or ≥ 1 severe exacerbation within the year prior to inclusion (with </w:t>
      </w:r>
      <w:r w:rsidR="00B020A8" w:rsidRPr="000717E1">
        <w:t xml:space="preserve">at least </w:t>
      </w:r>
      <w:r w:rsidRPr="000717E1">
        <w:t xml:space="preserve">one of these exacerbations occurring while using triple inhaled therapy), and Medical Research Council (MRC) dyspnoea scale ≥ 2. </w:t>
      </w:r>
      <w:r w:rsidR="00000ACC" w:rsidRPr="000717E1">
        <w:t>A m</w:t>
      </w:r>
      <w:r w:rsidRPr="000717E1">
        <w:t xml:space="preserve">oderate exacerbation was defined as an event that required </w:t>
      </w:r>
      <w:r w:rsidR="00B0286E" w:rsidRPr="000717E1">
        <w:t xml:space="preserve">treatment with </w:t>
      </w:r>
      <w:r w:rsidRPr="000717E1">
        <w:t>systemic corticosteroids and/or antibiotics</w:t>
      </w:r>
      <w:r w:rsidR="00FA152F" w:rsidRPr="000717E1">
        <w:t xml:space="preserve">. </w:t>
      </w:r>
      <w:r w:rsidR="00B0286E" w:rsidRPr="000717E1">
        <w:t xml:space="preserve">The </w:t>
      </w:r>
      <w:r w:rsidR="006A39D8" w:rsidRPr="000717E1">
        <w:t xml:space="preserve">inclusion criteria for both </w:t>
      </w:r>
      <w:r w:rsidR="00B0286E" w:rsidRPr="000717E1">
        <w:t>trial</w:t>
      </w:r>
      <w:r w:rsidR="006A39D8" w:rsidRPr="000717E1">
        <w:t xml:space="preserve">s </w:t>
      </w:r>
      <w:r w:rsidR="00987A7C" w:rsidRPr="000717E1">
        <w:t xml:space="preserve">stated that </w:t>
      </w:r>
      <w:r w:rsidR="000823A4" w:rsidRPr="000717E1">
        <w:t>1</w:t>
      </w:r>
      <w:r w:rsidR="00987A7C" w:rsidRPr="000717E1">
        <w:t xml:space="preserve"> of the 2 moderate exacerbations </w:t>
      </w:r>
      <w:r w:rsidR="00D7718C" w:rsidRPr="000717E1">
        <w:t xml:space="preserve">had to require the use of systemic corticosteroids. </w:t>
      </w:r>
      <w:r w:rsidRPr="000717E1">
        <w:t xml:space="preserve">Severe exacerbations were defined as an event requiring hospitalisation or observation &gt; 24 hours in emergency department/urgent care facility. </w:t>
      </w:r>
    </w:p>
    <w:p w14:paraId="6FEDA7CC" w14:textId="4A4B86D7" w:rsidR="00A979D9" w:rsidRPr="000717E1" w:rsidRDefault="00D040DD" w:rsidP="00C94AF2">
      <w:pPr>
        <w:pStyle w:val="3-BodyText"/>
      </w:pPr>
      <w:r w:rsidRPr="000717E1">
        <w:t xml:space="preserve">Type 2 inflammation was defined as </w:t>
      </w:r>
      <w:r w:rsidR="006A4711">
        <w:t xml:space="preserve">a </w:t>
      </w:r>
      <w:r w:rsidR="001E35A8">
        <w:t>BEC</w:t>
      </w:r>
      <w:r w:rsidRPr="000717E1">
        <w:t xml:space="preserve"> ≥ 300 cells/µL. </w:t>
      </w:r>
      <w:r w:rsidR="00363A4F" w:rsidRPr="000717E1">
        <w:t xml:space="preserve">BOREAS and NOTUS trials required </w:t>
      </w:r>
      <w:r w:rsidR="00C75CB0" w:rsidRPr="000717E1">
        <w:t xml:space="preserve">evidence of type 2 inflammation at screening. </w:t>
      </w:r>
      <w:r w:rsidR="00A979D9" w:rsidRPr="000717E1">
        <w:t>At baseline 61.0% of patients in BOREAS and 60.2% of patients in NOTUS reported a</w:t>
      </w:r>
      <w:r w:rsidR="006A4711">
        <w:t xml:space="preserve"> BEC</w:t>
      </w:r>
      <w:r w:rsidR="00A979D9" w:rsidRPr="000717E1">
        <w:t xml:space="preserve"> ≥ 300 cells/µL. The proportion of patients who did not have </w:t>
      </w:r>
      <w:r w:rsidR="006A4711">
        <w:t>a BEC</w:t>
      </w:r>
      <w:r w:rsidR="00A979D9" w:rsidRPr="000717E1">
        <w:t xml:space="preserve"> ≥ 300 cells/µL at baseline was balanced between the two arms of each trial.</w:t>
      </w:r>
    </w:p>
    <w:p w14:paraId="0B4B3A05" w14:textId="1BB265DA" w:rsidR="00A979D9" w:rsidRPr="000717E1" w:rsidRDefault="00A979D9" w:rsidP="00C94AF2">
      <w:pPr>
        <w:pStyle w:val="3-BodyText"/>
      </w:pPr>
      <w:bookmarkStart w:id="35" w:name="_Ref221615932"/>
      <w:r w:rsidRPr="000717E1">
        <w:t>The World Health Organisation declared COVID-19 a worldwide pandemic on 11</w:t>
      </w:r>
      <w:r w:rsidR="00BE3877">
        <w:t> </w:t>
      </w:r>
      <w:r w:rsidRPr="000717E1">
        <w:t>March 2020 and an end to the pandemic phase on 5 May 2023. BOREAS began recruitment in May 2019, and the last pa</w:t>
      </w:r>
      <w:r w:rsidR="00D040DD" w:rsidRPr="000717E1">
        <w:t>tient</w:t>
      </w:r>
      <w:r w:rsidRPr="000717E1">
        <w:t xml:space="preserve"> end-of-treatment visit was completed on 8 February 2023. NOTUS began recruitment </w:t>
      </w:r>
      <w:r w:rsidR="00467E90" w:rsidRPr="000717E1">
        <w:t>in</w:t>
      </w:r>
      <w:r w:rsidRPr="000717E1">
        <w:t xml:space="preserve"> July 2020 with the </w:t>
      </w:r>
      <w:r w:rsidR="00B96B42" w:rsidRPr="000717E1">
        <w:t>interim analysis</w:t>
      </w:r>
      <w:r w:rsidRPr="000717E1">
        <w:t xml:space="preserve"> cut-off in September 2023. All patients in BOREAS and NOTUS would have had at least a portion of their 52-week study period during the pandemic. The submission stated that COVID-19 pandemic affected the conduct of the trials</w:t>
      </w:r>
      <w:r w:rsidR="00D040DD" w:rsidRPr="000717E1">
        <w:t>, and it is likely that enhanced</w:t>
      </w:r>
      <w:r w:rsidRPr="000717E1">
        <w:t xml:space="preserve"> public health initiatives </w:t>
      </w:r>
      <w:r w:rsidR="00D040DD" w:rsidRPr="000717E1">
        <w:t xml:space="preserve">resulted </w:t>
      </w:r>
      <w:r w:rsidRPr="000717E1">
        <w:t xml:space="preserve">in fewer exacerbations overall. </w:t>
      </w:r>
      <w:r w:rsidR="00966FDD" w:rsidRPr="000717E1">
        <w:t xml:space="preserve">A </w:t>
      </w:r>
      <w:r w:rsidR="00966FDD" w:rsidRPr="000717E1">
        <w:lastRenderedPageBreak/>
        <w:t>systematic review and meta-analysis suggest that there was a 50% reduction in hospital admissions for COPD exacerbations during the COVID-19 pandemic period compared to pre-pandemic times.</w:t>
      </w:r>
      <w:r w:rsidR="00966FDD" w:rsidRPr="000717E1">
        <w:rPr>
          <w:rStyle w:val="FootnoteReference"/>
        </w:rPr>
        <w:footnoteReference w:id="3"/>
      </w:r>
      <w:r w:rsidR="00966FDD" w:rsidRPr="000717E1">
        <w:t xml:space="preserve"> </w:t>
      </w:r>
      <w:r w:rsidR="00F32B24" w:rsidRPr="001F3F0F">
        <w:rPr>
          <w:iCs/>
        </w:rPr>
        <w:t xml:space="preserve">The evaluation considered </w:t>
      </w:r>
      <w:r w:rsidRPr="001F3F0F">
        <w:rPr>
          <w:iCs/>
        </w:rPr>
        <w:t xml:space="preserve">it </w:t>
      </w:r>
      <w:r w:rsidR="00CF680F" w:rsidRPr="001F3F0F">
        <w:rPr>
          <w:iCs/>
        </w:rPr>
        <w:t>wa</w:t>
      </w:r>
      <w:r w:rsidRPr="001F3F0F">
        <w:rPr>
          <w:iCs/>
        </w:rPr>
        <w:t>s</w:t>
      </w:r>
      <w:r w:rsidRPr="000717E1">
        <w:t xml:space="preserve"> unclear the extent to which the conduct of the trials during the pandemic may have affected the observed relative benefits of treatment with dupilumab compared to placebo.</w:t>
      </w:r>
      <w:r w:rsidR="005319C9" w:rsidRPr="000717E1">
        <w:t xml:space="preserve"> </w:t>
      </w:r>
      <w:r w:rsidR="005319C9" w:rsidRPr="001F3F0F">
        <w:rPr>
          <w:iCs/>
        </w:rPr>
        <w:t>The</w:t>
      </w:r>
      <w:r w:rsidR="008D26E9" w:rsidRPr="001F3F0F">
        <w:rPr>
          <w:iCs/>
        </w:rPr>
        <w:t xml:space="preserve"> </w:t>
      </w:r>
      <w:r w:rsidR="005319C9" w:rsidRPr="001F3F0F">
        <w:rPr>
          <w:iCs/>
        </w:rPr>
        <w:t xml:space="preserve">PSCR </w:t>
      </w:r>
      <w:r w:rsidR="002C2B9C" w:rsidRPr="001F3F0F">
        <w:rPr>
          <w:iCs/>
        </w:rPr>
        <w:t>stated that most patients</w:t>
      </w:r>
      <w:r w:rsidR="006449B7" w:rsidRPr="001F3F0F">
        <w:rPr>
          <w:iCs/>
        </w:rPr>
        <w:t xml:space="preserve"> </w:t>
      </w:r>
      <w:r w:rsidR="002C2B9C" w:rsidRPr="001F3F0F">
        <w:rPr>
          <w:iCs/>
        </w:rPr>
        <w:t xml:space="preserve">from the BOREAS and NOTUS trials </w:t>
      </w:r>
      <w:r w:rsidR="004C7595" w:rsidRPr="001F3F0F">
        <w:rPr>
          <w:iCs/>
        </w:rPr>
        <w:t xml:space="preserve">(97.6%) </w:t>
      </w:r>
      <w:r w:rsidR="002C2B9C" w:rsidRPr="001F3F0F">
        <w:rPr>
          <w:iCs/>
        </w:rPr>
        <w:t xml:space="preserve">did not have COVID-19 related disruptions in their trial procedure </w:t>
      </w:r>
      <w:r w:rsidR="001E4225" w:rsidRPr="001F3F0F">
        <w:rPr>
          <w:iCs/>
        </w:rPr>
        <w:t xml:space="preserve">and </w:t>
      </w:r>
      <w:r w:rsidR="00B22316" w:rsidRPr="001F3F0F">
        <w:rPr>
          <w:iCs/>
        </w:rPr>
        <w:t>considered</w:t>
      </w:r>
      <w:r w:rsidR="001E4225" w:rsidRPr="001F3F0F">
        <w:rPr>
          <w:iCs/>
        </w:rPr>
        <w:t xml:space="preserve"> </w:t>
      </w:r>
      <w:r w:rsidR="00B22316" w:rsidRPr="001F3F0F">
        <w:rPr>
          <w:iCs/>
        </w:rPr>
        <w:t xml:space="preserve">it </w:t>
      </w:r>
      <w:r w:rsidR="00E53EBA" w:rsidRPr="001F3F0F">
        <w:rPr>
          <w:iCs/>
        </w:rPr>
        <w:t xml:space="preserve">unlikely the </w:t>
      </w:r>
      <w:r w:rsidR="00FA7D5C" w:rsidRPr="001F3F0F">
        <w:rPr>
          <w:iCs/>
        </w:rPr>
        <w:t>pandemic</w:t>
      </w:r>
      <w:r w:rsidR="00E53EBA" w:rsidRPr="001F3F0F">
        <w:rPr>
          <w:iCs/>
        </w:rPr>
        <w:t xml:space="preserve"> h</w:t>
      </w:r>
      <w:r w:rsidR="00DC496E" w:rsidRPr="001F3F0F">
        <w:rPr>
          <w:iCs/>
        </w:rPr>
        <w:t>ad</w:t>
      </w:r>
      <w:r w:rsidR="00E53EBA" w:rsidRPr="001F3F0F">
        <w:rPr>
          <w:iCs/>
        </w:rPr>
        <w:t xml:space="preserve"> a different impact on dupilumab </w:t>
      </w:r>
      <w:r w:rsidR="00CE68C1" w:rsidRPr="001F3F0F">
        <w:rPr>
          <w:iCs/>
        </w:rPr>
        <w:t>vs</w:t>
      </w:r>
      <w:r w:rsidR="00E53EBA" w:rsidRPr="001F3F0F">
        <w:rPr>
          <w:iCs/>
        </w:rPr>
        <w:t xml:space="preserve"> placebo</w:t>
      </w:r>
      <w:r w:rsidR="00CE7660" w:rsidRPr="001F3F0F">
        <w:rPr>
          <w:iCs/>
        </w:rPr>
        <w:t xml:space="preserve">. </w:t>
      </w:r>
      <w:r w:rsidR="00C210FB" w:rsidRPr="001F3F0F">
        <w:rPr>
          <w:iCs/>
        </w:rPr>
        <w:t>The Sub</w:t>
      </w:r>
      <w:r w:rsidR="00BE3877">
        <w:rPr>
          <w:iCs/>
        </w:rPr>
        <w:noBreakHyphen/>
      </w:r>
      <w:r w:rsidR="00C210FB" w:rsidRPr="001F3F0F">
        <w:rPr>
          <w:iCs/>
        </w:rPr>
        <w:t>Committees noted that while it may be unlikely the pandemic had a different impact on dupilumab vs placebo, it remained an uncertainty.</w:t>
      </w:r>
      <w:bookmarkEnd w:id="35"/>
    </w:p>
    <w:p w14:paraId="5FFD946D" w14:textId="67436960" w:rsidR="00A979D9" w:rsidRPr="000717E1" w:rsidRDefault="00A979D9" w:rsidP="00A979D9">
      <w:pPr>
        <w:pStyle w:val="3-BodyText"/>
      </w:pPr>
      <w:r w:rsidRPr="000717E1">
        <w:t xml:space="preserve">Details of the trials presented in the submission are provided in </w:t>
      </w:r>
      <w:r w:rsidRPr="000717E1">
        <w:fldChar w:fldCharType="begin"/>
      </w:r>
      <w:r w:rsidRPr="000717E1">
        <w:instrText xml:space="preserve"> REF _Ref104803956 \h </w:instrText>
      </w:r>
      <w:r w:rsidR="001A3AB3" w:rsidRPr="000717E1">
        <w:instrText xml:space="preserve"> \* MERGEFORMAT </w:instrText>
      </w:r>
      <w:r w:rsidRPr="000717E1">
        <w:fldChar w:fldCharType="separate"/>
      </w:r>
      <w:r w:rsidR="00281F45" w:rsidRPr="000717E1">
        <w:t xml:space="preserve">Table </w:t>
      </w:r>
      <w:r w:rsidR="00281F45">
        <w:rPr>
          <w:noProof/>
        </w:rPr>
        <w:t>2</w:t>
      </w:r>
      <w:r w:rsidRPr="000717E1">
        <w:fldChar w:fldCharType="end"/>
      </w:r>
      <w:r w:rsidRPr="000717E1">
        <w:t>.</w:t>
      </w:r>
    </w:p>
    <w:p w14:paraId="4CCF21AD" w14:textId="56B580B0" w:rsidR="00A979D9" w:rsidRPr="000717E1" w:rsidRDefault="00A979D9" w:rsidP="00281B31">
      <w:pPr>
        <w:pStyle w:val="TableFigureHeading"/>
        <w:rPr>
          <w:rStyle w:val="CommentReference"/>
          <w:b/>
          <w:szCs w:val="24"/>
        </w:rPr>
      </w:pPr>
      <w:bookmarkStart w:id="36" w:name="_Ref104803956"/>
      <w:r w:rsidRPr="000717E1">
        <w:lastRenderedPageBreak/>
        <w:t xml:space="preserve">Table </w:t>
      </w:r>
      <w:fldSimple w:instr=" SEQ Table \* ARABIC ">
        <w:r w:rsidR="00281F45">
          <w:rPr>
            <w:noProof/>
          </w:rPr>
          <w:t>2</w:t>
        </w:r>
      </w:fldSimple>
      <w:bookmarkEnd w:id="36"/>
      <w:r w:rsidRPr="000717E1">
        <w:t>:</w:t>
      </w:r>
      <w:r w:rsidRPr="000717E1">
        <w:rPr>
          <w:rStyle w:val="CommentReference"/>
          <w:b/>
          <w:szCs w:val="24"/>
        </w:rPr>
        <w:t xml:space="preserve">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Trials and associated reports presented in the submission"/>
      </w:tblPr>
      <w:tblGrid>
        <w:gridCol w:w="1271"/>
        <w:gridCol w:w="5103"/>
        <w:gridCol w:w="2636"/>
      </w:tblGrid>
      <w:tr w:rsidR="009906A2" w:rsidRPr="000717E1" w14:paraId="2A389BC6" w14:textId="77777777" w:rsidTr="0095557B">
        <w:trPr>
          <w:tblHeader/>
        </w:trPr>
        <w:tc>
          <w:tcPr>
            <w:tcW w:w="705" w:type="pct"/>
            <w:vAlign w:val="center"/>
          </w:tcPr>
          <w:p w14:paraId="414BB706" w14:textId="77777777" w:rsidR="00A979D9" w:rsidRPr="000717E1" w:rsidRDefault="00A979D9" w:rsidP="00281B31">
            <w:pPr>
              <w:pStyle w:val="TableText0"/>
              <w:keepLines w:val="0"/>
              <w:rPr>
                <w:b/>
                <w:bCs/>
                <w:sz w:val="20"/>
                <w:szCs w:val="20"/>
              </w:rPr>
            </w:pPr>
            <w:r w:rsidRPr="000717E1">
              <w:rPr>
                <w:b/>
                <w:bCs/>
                <w:sz w:val="20"/>
                <w:szCs w:val="20"/>
              </w:rPr>
              <w:t>Trial ID</w:t>
            </w:r>
          </w:p>
        </w:tc>
        <w:tc>
          <w:tcPr>
            <w:tcW w:w="2832" w:type="pct"/>
            <w:tcBorders>
              <w:bottom w:val="single" w:sz="4" w:space="0" w:color="auto"/>
            </w:tcBorders>
            <w:vAlign w:val="center"/>
          </w:tcPr>
          <w:p w14:paraId="10B93E78" w14:textId="77777777" w:rsidR="00A979D9" w:rsidRPr="000717E1" w:rsidRDefault="00A979D9" w:rsidP="00281B31">
            <w:pPr>
              <w:pStyle w:val="TableText0"/>
              <w:keepLines w:val="0"/>
              <w:rPr>
                <w:b/>
                <w:bCs/>
                <w:sz w:val="20"/>
                <w:szCs w:val="20"/>
              </w:rPr>
            </w:pPr>
            <w:r w:rsidRPr="000717E1">
              <w:rPr>
                <w:b/>
                <w:bCs/>
                <w:sz w:val="20"/>
                <w:szCs w:val="20"/>
              </w:rPr>
              <w:t>Protocol title/ Publication title</w:t>
            </w:r>
          </w:p>
        </w:tc>
        <w:tc>
          <w:tcPr>
            <w:tcW w:w="1463" w:type="pct"/>
            <w:tcBorders>
              <w:bottom w:val="single" w:sz="4" w:space="0" w:color="auto"/>
            </w:tcBorders>
            <w:vAlign w:val="center"/>
          </w:tcPr>
          <w:p w14:paraId="2D9E3A8A" w14:textId="77777777" w:rsidR="00A979D9" w:rsidRPr="000717E1" w:rsidRDefault="00A979D9" w:rsidP="00281B31">
            <w:pPr>
              <w:pStyle w:val="TableText0"/>
              <w:keepLines w:val="0"/>
              <w:rPr>
                <w:b/>
                <w:bCs/>
                <w:sz w:val="20"/>
                <w:szCs w:val="20"/>
              </w:rPr>
            </w:pPr>
            <w:r w:rsidRPr="000717E1">
              <w:rPr>
                <w:b/>
                <w:bCs/>
                <w:sz w:val="20"/>
                <w:szCs w:val="20"/>
              </w:rPr>
              <w:t>Publication citation</w:t>
            </w:r>
          </w:p>
        </w:tc>
      </w:tr>
      <w:tr w:rsidR="009906A2" w:rsidRPr="000717E1" w14:paraId="3CC36545" w14:textId="77777777" w:rsidTr="0095557B">
        <w:trPr>
          <w:trHeight w:val="20"/>
        </w:trPr>
        <w:tc>
          <w:tcPr>
            <w:tcW w:w="705" w:type="pct"/>
            <w:tcBorders>
              <w:bottom w:val="nil"/>
            </w:tcBorders>
          </w:tcPr>
          <w:p w14:paraId="58BCB406" w14:textId="77777777" w:rsidR="00A979D9" w:rsidRPr="000717E1" w:rsidRDefault="00A979D9" w:rsidP="00281B31">
            <w:pPr>
              <w:pStyle w:val="TableText0"/>
              <w:keepLines w:val="0"/>
              <w:rPr>
                <w:bCs/>
                <w:sz w:val="20"/>
                <w:szCs w:val="20"/>
              </w:rPr>
            </w:pPr>
            <w:r w:rsidRPr="000717E1">
              <w:rPr>
                <w:bCs/>
                <w:sz w:val="20"/>
                <w:szCs w:val="20"/>
              </w:rPr>
              <w:t>Study EFC15804</w:t>
            </w:r>
          </w:p>
          <w:p w14:paraId="5A5333C1" w14:textId="77777777" w:rsidR="00A979D9" w:rsidRPr="000717E1" w:rsidRDefault="00A979D9" w:rsidP="00281B31">
            <w:pPr>
              <w:pStyle w:val="TableText0"/>
              <w:keepLines w:val="0"/>
              <w:rPr>
                <w:bCs/>
                <w:sz w:val="20"/>
                <w:szCs w:val="20"/>
              </w:rPr>
            </w:pPr>
            <w:r w:rsidRPr="000717E1">
              <w:rPr>
                <w:bCs/>
                <w:sz w:val="20"/>
                <w:szCs w:val="20"/>
              </w:rPr>
              <w:t>BOREAS</w:t>
            </w:r>
          </w:p>
        </w:tc>
        <w:tc>
          <w:tcPr>
            <w:tcW w:w="2832" w:type="pct"/>
            <w:tcBorders>
              <w:bottom w:val="nil"/>
            </w:tcBorders>
          </w:tcPr>
          <w:p w14:paraId="44F54A54" w14:textId="77777777" w:rsidR="00A979D9" w:rsidRPr="000717E1" w:rsidRDefault="00A979D9" w:rsidP="00281B31">
            <w:pPr>
              <w:pStyle w:val="TableText0"/>
              <w:keepLines w:val="0"/>
              <w:rPr>
                <w:bCs/>
                <w:sz w:val="20"/>
                <w:szCs w:val="20"/>
              </w:rPr>
            </w:pPr>
            <w:r w:rsidRPr="000717E1">
              <w:rPr>
                <w:bCs/>
                <w:sz w:val="20"/>
                <w:szCs w:val="20"/>
              </w:rPr>
              <w:t xml:space="preserve">A randomised, double-blind, placebo-controlled, parallel-group, 52-week pivotal study to assess the efficacy, safety, and tolerability of dupilumab in patients with moderate-to severe chronic obstructive pulmonary disease (COPD) with type 2 inflammation (BOREAS). </w:t>
            </w:r>
          </w:p>
        </w:tc>
        <w:tc>
          <w:tcPr>
            <w:tcW w:w="1463" w:type="pct"/>
            <w:tcBorders>
              <w:bottom w:val="nil"/>
            </w:tcBorders>
          </w:tcPr>
          <w:p w14:paraId="113162D8" w14:textId="77777777" w:rsidR="00A979D9" w:rsidRPr="000717E1" w:rsidRDefault="00A979D9" w:rsidP="00281B31">
            <w:pPr>
              <w:pStyle w:val="TableText0"/>
              <w:keepLines w:val="0"/>
              <w:rPr>
                <w:bCs/>
                <w:sz w:val="20"/>
                <w:szCs w:val="20"/>
              </w:rPr>
            </w:pPr>
            <w:r w:rsidRPr="000717E1">
              <w:rPr>
                <w:bCs/>
                <w:sz w:val="20"/>
                <w:szCs w:val="20"/>
              </w:rPr>
              <w:t>Clinical Study Protocol amendment 8 (BOREAS). Approved 29 September 2020.</w:t>
            </w:r>
          </w:p>
          <w:p w14:paraId="2EA9A248" w14:textId="77777777" w:rsidR="00A979D9" w:rsidRPr="000717E1" w:rsidRDefault="00A979D9" w:rsidP="00281B31">
            <w:pPr>
              <w:pStyle w:val="TableText0"/>
              <w:keepLines w:val="0"/>
              <w:rPr>
                <w:bCs/>
                <w:sz w:val="20"/>
                <w:szCs w:val="20"/>
              </w:rPr>
            </w:pPr>
            <w:r w:rsidRPr="000717E1">
              <w:rPr>
                <w:bCs/>
                <w:sz w:val="20"/>
                <w:szCs w:val="20"/>
              </w:rPr>
              <w:t>Clinical Study Report. Data cut-off 7 March 2023.</w:t>
            </w:r>
          </w:p>
        </w:tc>
      </w:tr>
      <w:tr w:rsidR="009906A2" w:rsidRPr="000717E1" w14:paraId="3D5E9EF4" w14:textId="77777777" w:rsidTr="0095557B">
        <w:trPr>
          <w:trHeight w:val="20"/>
        </w:trPr>
        <w:tc>
          <w:tcPr>
            <w:tcW w:w="705" w:type="pct"/>
            <w:tcBorders>
              <w:top w:val="nil"/>
              <w:bottom w:val="nil"/>
            </w:tcBorders>
          </w:tcPr>
          <w:p w14:paraId="2F10DBFD" w14:textId="77777777" w:rsidR="00A979D9" w:rsidRPr="000717E1" w:rsidRDefault="00A979D9" w:rsidP="00281B31">
            <w:pPr>
              <w:pStyle w:val="TableText0"/>
              <w:keepLines w:val="0"/>
              <w:rPr>
                <w:bCs/>
                <w:sz w:val="20"/>
                <w:szCs w:val="20"/>
              </w:rPr>
            </w:pPr>
          </w:p>
        </w:tc>
        <w:tc>
          <w:tcPr>
            <w:tcW w:w="2832" w:type="pct"/>
            <w:tcBorders>
              <w:top w:val="nil"/>
              <w:bottom w:val="nil"/>
            </w:tcBorders>
          </w:tcPr>
          <w:p w14:paraId="34D43D2C" w14:textId="77777777" w:rsidR="00A979D9" w:rsidRPr="000717E1" w:rsidRDefault="00A979D9" w:rsidP="00281B31">
            <w:pPr>
              <w:pStyle w:val="TableText0"/>
              <w:keepLines w:val="0"/>
              <w:rPr>
                <w:bCs/>
                <w:sz w:val="20"/>
                <w:szCs w:val="20"/>
              </w:rPr>
            </w:pPr>
            <w:r w:rsidRPr="000717E1">
              <w:rPr>
                <w:bCs/>
                <w:sz w:val="20"/>
                <w:szCs w:val="20"/>
              </w:rPr>
              <w:t>Bhatt 2023. Dupilumab for COPD with Type 2 Inflammation Indicated by Eosinophil Counts.</w:t>
            </w:r>
          </w:p>
        </w:tc>
        <w:tc>
          <w:tcPr>
            <w:tcW w:w="1463" w:type="pct"/>
            <w:tcBorders>
              <w:top w:val="nil"/>
              <w:bottom w:val="nil"/>
            </w:tcBorders>
          </w:tcPr>
          <w:p w14:paraId="4D3B86AB" w14:textId="77777777" w:rsidR="00A979D9" w:rsidRPr="000717E1" w:rsidRDefault="00A979D9" w:rsidP="00281B31">
            <w:pPr>
              <w:pStyle w:val="TableText0"/>
              <w:keepLines w:val="0"/>
              <w:rPr>
                <w:bCs/>
                <w:sz w:val="20"/>
                <w:szCs w:val="20"/>
              </w:rPr>
            </w:pPr>
            <w:r w:rsidRPr="000717E1">
              <w:rPr>
                <w:bCs/>
                <w:sz w:val="20"/>
                <w:szCs w:val="20"/>
              </w:rPr>
              <w:t>N Engl J Med; 389:205-214. doi: 10.1056/NEJMoa2303951</w:t>
            </w:r>
          </w:p>
          <w:p w14:paraId="7FAA251C" w14:textId="77777777" w:rsidR="00A979D9" w:rsidRPr="000717E1" w:rsidRDefault="00A979D9" w:rsidP="00281B31">
            <w:pPr>
              <w:pStyle w:val="TableText0"/>
              <w:keepLines w:val="0"/>
              <w:rPr>
                <w:bCs/>
                <w:sz w:val="20"/>
                <w:szCs w:val="20"/>
              </w:rPr>
            </w:pPr>
          </w:p>
        </w:tc>
      </w:tr>
      <w:tr w:rsidR="009906A2" w:rsidRPr="000717E1" w14:paraId="187F53EA" w14:textId="77777777" w:rsidTr="0095557B">
        <w:trPr>
          <w:trHeight w:val="20"/>
        </w:trPr>
        <w:tc>
          <w:tcPr>
            <w:tcW w:w="705" w:type="pct"/>
            <w:tcBorders>
              <w:top w:val="nil"/>
              <w:bottom w:val="nil"/>
            </w:tcBorders>
          </w:tcPr>
          <w:p w14:paraId="7204D32D" w14:textId="77777777" w:rsidR="00A979D9" w:rsidRPr="000717E1" w:rsidRDefault="00A979D9" w:rsidP="00281B31">
            <w:pPr>
              <w:pStyle w:val="TableText0"/>
              <w:keepLines w:val="0"/>
              <w:rPr>
                <w:bCs/>
                <w:sz w:val="20"/>
                <w:szCs w:val="20"/>
              </w:rPr>
            </w:pPr>
          </w:p>
        </w:tc>
        <w:tc>
          <w:tcPr>
            <w:tcW w:w="2832" w:type="pct"/>
            <w:tcBorders>
              <w:top w:val="nil"/>
              <w:bottom w:val="nil"/>
            </w:tcBorders>
          </w:tcPr>
          <w:p w14:paraId="3E264BB3" w14:textId="77777777" w:rsidR="00A979D9" w:rsidRPr="000717E1" w:rsidRDefault="00A979D9" w:rsidP="00281B31">
            <w:pPr>
              <w:pStyle w:val="TableText0"/>
              <w:keepLines w:val="0"/>
              <w:rPr>
                <w:bCs/>
                <w:sz w:val="20"/>
                <w:szCs w:val="20"/>
              </w:rPr>
            </w:pPr>
            <w:r w:rsidRPr="000717E1">
              <w:rPr>
                <w:bCs/>
                <w:sz w:val="20"/>
                <w:szCs w:val="20"/>
              </w:rPr>
              <w:t>Bhatt 2025a. Dupilumab reduces exacerbations and improves lung function in patients with chronic obstructive pulmonary disease and emphysema: Phase 3 randomized trial (BOREAS).</w:t>
            </w:r>
          </w:p>
          <w:p w14:paraId="5E32F0A9" w14:textId="77777777" w:rsidR="00A979D9" w:rsidRPr="000717E1" w:rsidRDefault="00A979D9" w:rsidP="00281B31">
            <w:pPr>
              <w:pStyle w:val="TableText0"/>
              <w:keepLines w:val="0"/>
              <w:rPr>
                <w:bCs/>
                <w:sz w:val="20"/>
                <w:szCs w:val="20"/>
              </w:rPr>
            </w:pPr>
          </w:p>
        </w:tc>
        <w:tc>
          <w:tcPr>
            <w:tcW w:w="1463" w:type="pct"/>
            <w:tcBorders>
              <w:top w:val="nil"/>
              <w:bottom w:val="nil"/>
            </w:tcBorders>
          </w:tcPr>
          <w:p w14:paraId="63476D0B" w14:textId="77777777" w:rsidR="00A979D9" w:rsidRPr="000717E1" w:rsidRDefault="00A979D9" w:rsidP="00281B31">
            <w:pPr>
              <w:pStyle w:val="TableText0"/>
              <w:keepLines w:val="0"/>
              <w:rPr>
                <w:bCs/>
                <w:sz w:val="20"/>
                <w:szCs w:val="20"/>
              </w:rPr>
            </w:pPr>
            <w:r w:rsidRPr="000717E1">
              <w:rPr>
                <w:bCs/>
                <w:sz w:val="20"/>
                <w:szCs w:val="20"/>
              </w:rPr>
              <w:t>Respir Med; 236(107846). doi: 10.1016/j.rmed.2024.107846</w:t>
            </w:r>
          </w:p>
          <w:p w14:paraId="462F1D2E" w14:textId="77777777" w:rsidR="00A979D9" w:rsidRPr="000717E1" w:rsidRDefault="00A979D9" w:rsidP="00281B31">
            <w:pPr>
              <w:pStyle w:val="TableText0"/>
              <w:keepLines w:val="0"/>
              <w:rPr>
                <w:bCs/>
                <w:sz w:val="20"/>
                <w:szCs w:val="20"/>
              </w:rPr>
            </w:pPr>
          </w:p>
        </w:tc>
      </w:tr>
      <w:tr w:rsidR="009906A2" w:rsidRPr="000717E1" w14:paraId="57046E80" w14:textId="77777777" w:rsidTr="0095557B">
        <w:trPr>
          <w:trHeight w:val="20"/>
        </w:trPr>
        <w:tc>
          <w:tcPr>
            <w:tcW w:w="705" w:type="pct"/>
            <w:tcBorders>
              <w:top w:val="nil"/>
              <w:bottom w:val="nil"/>
            </w:tcBorders>
          </w:tcPr>
          <w:p w14:paraId="67C3088E" w14:textId="77777777" w:rsidR="00A979D9" w:rsidRPr="000717E1" w:rsidRDefault="00A979D9" w:rsidP="00281B31">
            <w:pPr>
              <w:pStyle w:val="TableText0"/>
              <w:keepLines w:val="0"/>
              <w:rPr>
                <w:bCs/>
                <w:sz w:val="20"/>
                <w:szCs w:val="20"/>
              </w:rPr>
            </w:pPr>
          </w:p>
        </w:tc>
        <w:tc>
          <w:tcPr>
            <w:tcW w:w="2832" w:type="pct"/>
            <w:tcBorders>
              <w:top w:val="nil"/>
              <w:bottom w:val="nil"/>
            </w:tcBorders>
          </w:tcPr>
          <w:p w14:paraId="402C138A" w14:textId="77777777" w:rsidR="00A979D9" w:rsidRPr="000717E1" w:rsidRDefault="00A979D9" w:rsidP="00281B31">
            <w:pPr>
              <w:pStyle w:val="TableText0"/>
              <w:keepLines w:val="0"/>
              <w:rPr>
                <w:bCs/>
                <w:sz w:val="20"/>
                <w:szCs w:val="20"/>
              </w:rPr>
            </w:pPr>
            <w:r w:rsidRPr="000717E1">
              <w:rPr>
                <w:bCs/>
                <w:sz w:val="20"/>
                <w:szCs w:val="20"/>
              </w:rPr>
              <w:t>Christenson 2025. Type 2 inflammation biomarkers and their association with response to dupilumab in COPD (BOREAS): an analysis of a randomised, placebo-controlled, phase 3 trial.</w:t>
            </w:r>
          </w:p>
          <w:p w14:paraId="75F67ACF" w14:textId="77777777" w:rsidR="00A979D9" w:rsidRPr="000717E1" w:rsidRDefault="00A979D9" w:rsidP="00281B31">
            <w:pPr>
              <w:pStyle w:val="TableText0"/>
              <w:keepLines w:val="0"/>
              <w:rPr>
                <w:bCs/>
                <w:sz w:val="20"/>
                <w:szCs w:val="20"/>
              </w:rPr>
            </w:pPr>
          </w:p>
        </w:tc>
        <w:tc>
          <w:tcPr>
            <w:tcW w:w="1463" w:type="pct"/>
            <w:tcBorders>
              <w:top w:val="nil"/>
              <w:bottom w:val="nil"/>
            </w:tcBorders>
          </w:tcPr>
          <w:p w14:paraId="0BD243B3" w14:textId="77777777" w:rsidR="00A979D9" w:rsidRPr="000717E1" w:rsidRDefault="00A979D9" w:rsidP="00281B31">
            <w:pPr>
              <w:pStyle w:val="TableText0"/>
              <w:keepLines w:val="0"/>
              <w:rPr>
                <w:bCs/>
                <w:sz w:val="20"/>
                <w:szCs w:val="20"/>
              </w:rPr>
            </w:pPr>
            <w:r w:rsidRPr="000717E1">
              <w:rPr>
                <w:bCs/>
                <w:sz w:val="20"/>
                <w:szCs w:val="20"/>
              </w:rPr>
              <w:t>Lancet Respir Med; 13(8): 687-697. doi: 10.1016/S2213-2600(25)00044-X.</w:t>
            </w:r>
          </w:p>
          <w:p w14:paraId="1C7BDE1B" w14:textId="77777777" w:rsidR="00A979D9" w:rsidRPr="000717E1" w:rsidRDefault="00A979D9" w:rsidP="00281B31">
            <w:pPr>
              <w:pStyle w:val="TableText0"/>
              <w:keepLines w:val="0"/>
              <w:rPr>
                <w:bCs/>
                <w:sz w:val="20"/>
                <w:szCs w:val="20"/>
              </w:rPr>
            </w:pPr>
          </w:p>
        </w:tc>
      </w:tr>
      <w:tr w:rsidR="009906A2" w:rsidRPr="000717E1" w14:paraId="508F7B3A" w14:textId="77777777" w:rsidTr="0095557B">
        <w:trPr>
          <w:trHeight w:val="20"/>
        </w:trPr>
        <w:tc>
          <w:tcPr>
            <w:tcW w:w="705" w:type="pct"/>
            <w:tcBorders>
              <w:top w:val="nil"/>
              <w:bottom w:val="nil"/>
            </w:tcBorders>
          </w:tcPr>
          <w:p w14:paraId="60100348" w14:textId="77777777" w:rsidR="00A979D9" w:rsidRPr="000717E1" w:rsidRDefault="00A979D9" w:rsidP="00281B31">
            <w:pPr>
              <w:pStyle w:val="TableText0"/>
              <w:keepLines w:val="0"/>
              <w:rPr>
                <w:bCs/>
                <w:sz w:val="20"/>
                <w:szCs w:val="20"/>
              </w:rPr>
            </w:pPr>
          </w:p>
        </w:tc>
        <w:tc>
          <w:tcPr>
            <w:tcW w:w="2832" w:type="pct"/>
            <w:tcBorders>
              <w:top w:val="nil"/>
              <w:bottom w:val="nil"/>
            </w:tcBorders>
          </w:tcPr>
          <w:p w14:paraId="615AD8BD" w14:textId="77777777" w:rsidR="00A979D9" w:rsidRPr="000717E1" w:rsidRDefault="00A979D9" w:rsidP="00281B31">
            <w:pPr>
              <w:pStyle w:val="TableText0"/>
              <w:keepLines w:val="0"/>
              <w:rPr>
                <w:bCs/>
                <w:sz w:val="20"/>
                <w:szCs w:val="20"/>
              </w:rPr>
            </w:pPr>
            <w:proofErr w:type="spellStart"/>
            <w:r w:rsidRPr="000717E1">
              <w:rPr>
                <w:bCs/>
                <w:sz w:val="20"/>
                <w:szCs w:val="20"/>
              </w:rPr>
              <w:t>Vogelmeier</w:t>
            </w:r>
            <w:proofErr w:type="spellEnd"/>
            <w:r w:rsidRPr="000717E1">
              <w:rPr>
                <w:bCs/>
                <w:sz w:val="20"/>
                <w:szCs w:val="20"/>
              </w:rPr>
              <w:t xml:space="preserve"> 2025. Dupilumab reduces acute exacerbations and improves lung function in patients with COPD with type 2 inflammation irrespective of body mass index, airflow obstruction, </w:t>
            </w:r>
            <w:proofErr w:type="spellStart"/>
            <w:r w:rsidRPr="000717E1">
              <w:rPr>
                <w:bCs/>
                <w:sz w:val="20"/>
                <w:szCs w:val="20"/>
              </w:rPr>
              <w:t>dyspnea</w:t>
            </w:r>
            <w:proofErr w:type="spellEnd"/>
            <w:r w:rsidRPr="000717E1">
              <w:rPr>
                <w:bCs/>
                <w:sz w:val="20"/>
                <w:szCs w:val="20"/>
              </w:rPr>
              <w:t>, and exercise capacity index scores.</w:t>
            </w:r>
          </w:p>
          <w:p w14:paraId="7539C6F7" w14:textId="77777777" w:rsidR="00A979D9" w:rsidRPr="000717E1" w:rsidRDefault="00A979D9" w:rsidP="00281B31">
            <w:pPr>
              <w:pStyle w:val="TableText0"/>
              <w:keepLines w:val="0"/>
              <w:rPr>
                <w:bCs/>
                <w:sz w:val="20"/>
                <w:szCs w:val="20"/>
              </w:rPr>
            </w:pPr>
          </w:p>
        </w:tc>
        <w:tc>
          <w:tcPr>
            <w:tcW w:w="1463" w:type="pct"/>
            <w:tcBorders>
              <w:top w:val="nil"/>
              <w:bottom w:val="nil"/>
            </w:tcBorders>
          </w:tcPr>
          <w:p w14:paraId="4492D8AF" w14:textId="77777777" w:rsidR="00A979D9" w:rsidRPr="000717E1" w:rsidRDefault="00A979D9" w:rsidP="00281B31">
            <w:pPr>
              <w:pStyle w:val="TableText0"/>
              <w:keepLines w:val="0"/>
              <w:rPr>
                <w:bCs/>
                <w:sz w:val="20"/>
                <w:szCs w:val="20"/>
              </w:rPr>
            </w:pPr>
            <w:r w:rsidRPr="000717E1">
              <w:rPr>
                <w:bCs/>
                <w:sz w:val="20"/>
                <w:szCs w:val="20"/>
              </w:rPr>
              <w:t>Respir Med; 241(108015). doi: 10.1016/j.rmed.2025.108015</w:t>
            </w:r>
          </w:p>
        </w:tc>
      </w:tr>
      <w:tr w:rsidR="008C3527" w:rsidRPr="000717E1" w14:paraId="37ADA43C" w14:textId="77777777" w:rsidTr="0095557B">
        <w:trPr>
          <w:trHeight w:val="20"/>
        </w:trPr>
        <w:tc>
          <w:tcPr>
            <w:tcW w:w="705" w:type="pct"/>
            <w:tcBorders>
              <w:top w:val="nil"/>
            </w:tcBorders>
          </w:tcPr>
          <w:p w14:paraId="2B774F1E" w14:textId="77777777" w:rsidR="00A979D9" w:rsidRPr="000717E1" w:rsidRDefault="00A979D9" w:rsidP="00281B31">
            <w:pPr>
              <w:pStyle w:val="TableText0"/>
              <w:keepLines w:val="0"/>
              <w:rPr>
                <w:bCs/>
                <w:sz w:val="20"/>
                <w:szCs w:val="20"/>
              </w:rPr>
            </w:pPr>
            <w:r w:rsidRPr="000717E1">
              <w:rPr>
                <w:bCs/>
                <w:sz w:val="20"/>
                <w:szCs w:val="20"/>
              </w:rPr>
              <w:t>NCT03930732</w:t>
            </w:r>
          </w:p>
          <w:p w14:paraId="1B22ECB8" w14:textId="77777777" w:rsidR="00A979D9" w:rsidRPr="000717E1" w:rsidRDefault="00A979D9" w:rsidP="00281B31">
            <w:pPr>
              <w:pStyle w:val="TableText0"/>
              <w:keepLines w:val="0"/>
              <w:rPr>
                <w:bCs/>
                <w:sz w:val="20"/>
                <w:szCs w:val="20"/>
              </w:rPr>
            </w:pPr>
          </w:p>
        </w:tc>
        <w:tc>
          <w:tcPr>
            <w:tcW w:w="2832" w:type="pct"/>
            <w:tcBorders>
              <w:top w:val="nil"/>
              <w:bottom w:val="single" w:sz="4" w:space="0" w:color="auto"/>
            </w:tcBorders>
          </w:tcPr>
          <w:p w14:paraId="21270E89" w14:textId="52608ED7" w:rsidR="00A979D9" w:rsidRPr="000717E1" w:rsidRDefault="00A979D9" w:rsidP="00281B31">
            <w:pPr>
              <w:pStyle w:val="TableText0"/>
              <w:keepLines w:val="0"/>
              <w:rPr>
                <w:bCs/>
                <w:sz w:val="20"/>
                <w:szCs w:val="20"/>
              </w:rPr>
            </w:pPr>
            <w:r w:rsidRPr="000717E1">
              <w:rPr>
                <w:bCs/>
                <w:sz w:val="20"/>
                <w:szCs w:val="20"/>
              </w:rPr>
              <w:t>Pivotal Study to Assess the Efficacy, Safety and Tolerability of Dupilumab in Patients with Moderate-to-severe COPD With Type 2 Inflammation (BOREAS).</w:t>
            </w:r>
          </w:p>
        </w:tc>
        <w:tc>
          <w:tcPr>
            <w:tcW w:w="1463" w:type="pct"/>
            <w:tcBorders>
              <w:top w:val="nil"/>
              <w:bottom w:val="single" w:sz="4" w:space="0" w:color="auto"/>
            </w:tcBorders>
          </w:tcPr>
          <w:p w14:paraId="72656A58" w14:textId="77777777" w:rsidR="00A979D9" w:rsidRPr="000717E1" w:rsidRDefault="00A979D9" w:rsidP="00281B31">
            <w:pPr>
              <w:pStyle w:val="TableText0"/>
              <w:keepLines w:val="0"/>
              <w:rPr>
                <w:bCs/>
                <w:sz w:val="20"/>
                <w:szCs w:val="20"/>
              </w:rPr>
            </w:pPr>
          </w:p>
        </w:tc>
      </w:tr>
      <w:tr w:rsidR="001037D4" w:rsidRPr="000717E1" w14:paraId="1C28CBAD" w14:textId="77777777" w:rsidTr="0095557B">
        <w:trPr>
          <w:trHeight w:val="80"/>
        </w:trPr>
        <w:tc>
          <w:tcPr>
            <w:tcW w:w="705" w:type="pct"/>
            <w:tcBorders>
              <w:top w:val="nil"/>
              <w:bottom w:val="nil"/>
            </w:tcBorders>
          </w:tcPr>
          <w:p w14:paraId="1B826BCA" w14:textId="77777777" w:rsidR="00A979D9" w:rsidRPr="000717E1" w:rsidRDefault="00A979D9" w:rsidP="00281B31">
            <w:pPr>
              <w:pStyle w:val="TableText0"/>
              <w:keepLines w:val="0"/>
              <w:rPr>
                <w:sz w:val="20"/>
                <w:szCs w:val="20"/>
              </w:rPr>
            </w:pPr>
            <w:r w:rsidRPr="000717E1">
              <w:rPr>
                <w:sz w:val="20"/>
                <w:szCs w:val="20"/>
              </w:rPr>
              <w:t>Study EFC15805</w:t>
            </w:r>
          </w:p>
          <w:p w14:paraId="756DDDA0" w14:textId="77777777" w:rsidR="00A979D9" w:rsidRPr="000717E1" w:rsidRDefault="00A979D9" w:rsidP="00281B31">
            <w:pPr>
              <w:pStyle w:val="TableText0"/>
              <w:keepLines w:val="0"/>
              <w:rPr>
                <w:sz w:val="20"/>
                <w:szCs w:val="20"/>
              </w:rPr>
            </w:pPr>
            <w:r w:rsidRPr="000717E1">
              <w:rPr>
                <w:sz w:val="20"/>
                <w:szCs w:val="20"/>
              </w:rPr>
              <w:t>NOTUS</w:t>
            </w:r>
          </w:p>
        </w:tc>
        <w:tc>
          <w:tcPr>
            <w:tcW w:w="2832" w:type="pct"/>
            <w:tcBorders>
              <w:top w:val="single" w:sz="4" w:space="0" w:color="auto"/>
              <w:bottom w:val="nil"/>
            </w:tcBorders>
          </w:tcPr>
          <w:p w14:paraId="12DC3AA4" w14:textId="77777777" w:rsidR="00A979D9" w:rsidRPr="000717E1" w:rsidRDefault="00A979D9" w:rsidP="00281B31">
            <w:pPr>
              <w:pStyle w:val="TableText0"/>
              <w:keepLines w:val="0"/>
              <w:rPr>
                <w:sz w:val="20"/>
                <w:szCs w:val="20"/>
              </w:rPr>
            </w:pPr>
            <w:r w:rsidRPr="000717E1">
              <w:rPr>
                <w:sz w:val="20"/>
                <w:szCs w:val="20"/>
              </w:rPr>
              <w:t>A randomised, double-blind, placebo-controlled, parallel-group, 52-week pivotal study to assess the efficacy, safety, and tolerability of dupilumab in patients with moderate-to severe chronic obstructive pulmonary disease (COPD) with type 2 inflammation (NOTUS).</w:t>
            </w:r>
          </w:p>
        </w:tc>
        <w:tc>
          <w:tcPr>
            <w:tcW w:w="1463" w:type="pct"/>
            <w:tcBorders>
              <w:top w:val="single" w:sz="4" w:space="0" w:color="auto"/>
              <w:bottom w:val="nil"/>
            </w:tcBorders>
          </w:tcPr>
          <w:p w14:paraId="2A415262" w14:textId="323BC003" w:rsidR="00A979D9" w:rsidRPr="000717E1" w:rsidRDefault="00A979D9" w:rsidP="00281B31">
            <w:pPr>
              <w:pStyle w:val="TableText0"/>
              <w:keepLines w:val="0"/>
              <w:rPr>
                <w:sz w:val="20"/>
                <w:szCs w:val="20"/>
              </w:rPr>
            </w:pPr>
            <w:r w:rsidRPr="000717E1">
              <w:rPr>
                <w:sz w:val="20"/>
                <w:szCs w:val="20"/>
              </w:rPr>
              <w:t>Clinical Study Protocol amendment 3 (NOTUS). Approved 6 December 2019.Clinical Study Report. Data cut-off 14 December 2023.</w:t>
            </w:r>
          </w:p>
          <w:p w14:paraId="27023E9D" w14:textId="77777777" w:rsidR="00A979D9" w:rsidRPr="000717E1" w:rsidRDefault="00A979D9" w:rsidP="00281B31">
            <w:pPr>
              <w:pStyle w:val="TableText0"/>
              <w:keepLines w:val="0"/>
              <w:rPr>
                <w:sz w:val="20"/>
                <w:szCs w:val="20"/>
              </w:rPr>
            </w:pPr>
          </w:p>
        </w:tc>
      </w:tr>
      <w:tr w:rsidR="001429A4" w:rsidRPr="000717E1" w14:paraId="1C055358" w14:textId="77777777" w:rsidTr="0095557B">
        <w:trPr>
          <w:trHeight w:val="80"/>
        </w:trPr>
        <w:tc>
          <w:tcPr>
            <w:tcW w:w="705" w:type="pct"/>
            <w:tcBorders>
              <w:top w:val="nil"/>
              <w:bottom w:val="nil"/>
            </w:tcBorders>
          </w:tcPr>
          <w:p w14:paraId="641A7FFE" w14:textId="77777777" w:rsidR="00A979D9" w:rsidRPr="000717E1" w:rsidRDefault="00A979D9" w:rsidP="00281B31">
            <w:pPr>
              <w:pStyle w:val="TableText0"/>
              <w:keepLines w:val="0"/>
              <w:rPr>
                <w:sz w:val="20"/>
                <w:szCs w:val="20"/>
              </w:rPr>
            </w:pPr>
          </w:p>
        </w:tc>
        <w:tc>
          <w:tcPr>
            <w:tcW w:w="2832" w:type="pct"/>
            <w:tcBorders>
              <w:top w:val="nil"/>
              <w:bottom w:val="nil"/>
            </w:tcBorders>
            <w:vAlign w:val="center"/>
          </w:tcPr>
          <w:p w14:paraId="67AD0C70" w14:textId="77777777" w:rsidR="00A979D9" w:rsidRPr="000717E1" w:rsidRDefault="00A979D9" w:rsidP="00281B31">
            <w:pPr>
              <w:pStyle w:val="TableText0"/>
              <w:keepLines w:val="0"/>
              <w:rPr>
                <w:sz w:val="20"/>
                <w:szCs w:val="20"/>
              </w:rPr>
            </w:pPr>
            <w:r w:rsidRPr="000717E1">
              <w:rPr>
                <w:sz w:val="20"/>
                <w:szCs w:val="20"/>
              </w:rPr>
              <w:t>Bhatt 2024. Dupilumab for COPD with Blood Eosinophil Evidence of Type 2 Inflammation.</w:t>
            </w:r>
          </w:p>
          <w:p w14:paraId="74C3045E" w14:textId="77777777" w:rsidR="00A979D9" w:rsidRPr="000717E1" w:rsidRDefault="00A979D9" w:rsidP="00281B31">
            <w:pPr>
              <w:pStyle w:val="TableText0"/>
              <w:keepLines w:val="0"/>
              <w:rPr>
                <w:sz w:val="20"/>
                <w:szCs w:val="20"/>
              </w:rPr>
            </w:pPr>
          </w:p>
        </w:tc>
        <w:tc>
          <w:tcPr>
            <w:tcW w:w="1463" w:type="pct"/>
            <w:tcBorders>
              <w:top w:val="nil"/>
              <w:bottom w:val="nil"/>
            </w:tcBorders>
          </w:tcPr>
          <w:p w14:paraId="788B88A0" w14:textId="77777777" w:rsidR="00A979D9" w:rsidRPr="000717E1" w:rsidRDefault="00A979D9" w:rsidP="00281B31">
            <w:pPr>
              <w:pStyle w:val="TableText0"/>
              <w:keepLines w:val="0"/>
              <w:rPr>
                <w:sz w:val="20"/>
                <w:szCs w:val="20"/>
              </w:rPr>
            </w:pPr>
            <w:r w:rsidRPr="000717E1">
              <w:rPr>
                <w:sz w:val="20"/>
                <w:szCs w:val="20"/>
              </w:rPr>
              <w:t>N Engl J Med; 390:2274-2283. doi: 10.1056/NEJMoa2401304</w:t>
            </w:r>
          </w:p>
        </w:tc>
      </w:tr>
      <w:tr w:rsidR="00200C35" w:rsidRPr="000717E1" w14:paraId="556D6FAE" w14:textId="77777777" w:rsidTr="0095557B">
        <w:trPr>
          <w:trHeight w:val="80"/>
        </w:trPr>
        <w:tc>
          <w:tcPr>
            <w:tcW w:w="705" w:type="pct"/>
            <w:tcBorders>
              <w:top w:val="nil"/>
              <w:bottom w:val="single" w:sz="4" w:space="0" w:color="auto"/>
            </w:tcBorders>
          </w:tcPr>
          <w:p w14:paraId="135B1C21" w14:textId="77777777" w:rsidR="00A979D9" w:rsidRPr="000717E1" w:rsidRDefault="00A979D9" w:rsidP="00281B31">
            <w:pPr>
              <w:pStyle w:val="TableText0"/>
              <w:keepLines w:val="0"/>
              <w:rPr>
                <w:sz w:val="20"/>
                <w:szCs w:val="20"/>
              </w:rPr>
            </w:pPr>
            <w:r w:rsidRPr="000717E1">
              <w:rPr>
                <w:sz w:val="20"/>
                <w:szCs w:val="20"/>
              </w:rPr>
              <w:t>NCT04456673</w:t>
            </w:r>
          </w:p>
        </w:tc>
        <w:tc>
          <w:tcPr>
            <w:tcW w:w="2832" w:type="pct"/>
            <w:tcBorders>
              <w:top w:val="nil"/>
              <w:bottom w:val="single" w:sz="4" w:space="0" w:color="auto"/>
            </w:tcBorders>
            <w:vAlign w:val="center"/>
          </w:tcPr>
          <w:p w14:paraId="2952EA91" w14:textId="77777777" w:rsidR="00A979D9" w:rsidRPr="000717E1" w:rsidRDefault="00A979D9" w:rsidP="00281B31">
            <w:pPr>
              <w:pStyle w:val="TableText0"/>
              <w:keepLines w:val="0"/>
              <w:rPr>
                <w:sz w:val="20"/>
                <w:szCs w:val="20"/>
              </w:rPr>
            </w:pPr>
            <w:r w:rsidRPr="000717E1">
              <w:rPr>
                <w:sz w:val="20"/>
                <w:szCs w:val="20"/>
              </w:rPr>
              <w:t>Pivotal Study to Assess the Efficacy, Safety and Tolerability of Dupilumab in Patients with Moderate to Severe COPD With Type 2 Inflammation (NOTUS).</w:t>
            </w:r>
          </w:p>
        </w:tc>
        <w:tc>
          <w:tcPr>
            <w:tcW w:w="1463" w:type="pct"/>
            <w:tcBorders>
              <w:top w:val="nil"/>
              <w:bottom w:val="single" w:sz="4" w:space="0" w:color="auto"/>
            </w:tcBorders>
          </w:tcPr>
          <w:p w14:paraId="6CFD8893" w14:textId="77777777" w:rsidR="00A979D9" w:rsidRPr="000717E1" w:rsidRDefault="00A979D9" w:rsidP="00281B31">
            <w:pPr>
              <w:pStyle w:val="TableText0"/>
              <w:keepLines w:val="0"/>
              <w:rPr>
                <w:sz w:val="20"/>
                <w:szCs w:val="20"/>
              </w:rPr>
            </w:pPr>
          </w:p>
        </w:tc>
      </w:tr>
      <w:tr w:rsidR="001429A4" w:rsidRPr="000717E1" w14:paraId="50653E47" w14:textId="77777777" w:rsidTr="0095557B">
        <w:tc>
          <w:tcPr>
            <w:tcW w:w="705" w:type="pct"/>
            <w:vMerge w:val="restart"/>
          </w:tcPr>
          <w:p w14:paraId="6E120676" w14:textId="385114C9" w:rsidR="00CF680F" w:rsidRPr="000717E1" w:rsidRDefault="00CF680F" w:rsidP="00281B31">
            <w:pPr>
              <w:pStyle w:val="TableText0"/>
              <w:keepLines w:val="0"/>
              <w:rPr>
                <w:sz w:val="20"/>
                <w:szCs w:val="20"/>
              </w:rPr>
            </w:pPr>
            <w:r w:rsidRPr="000717E1">
              <w:rPr>
                <w:sz w:val="20"/>
                <w:szCs w:val="20"/>
              </w:rPr>
              <w:t>Study EFC15804 and Study EFC15805 pooled results</w:t>
            </w:r>
          </w:p>
        </w:tc>
        <w:tc>
          <w:tcPr>
            <w:tcW w:w="2832" w:type="pct"/>
            <w:tcBorders>
              <w:bottom w:val="nil"/>
            </w:tcBorders>
          </w:tcPr>
          <w:p w14:paraId="11BB9E01" w14:textId="77777777" w:rsidR="00CF680F" w:rsidRPr="000717E1" w:rsidRDefault="00CF680F" w:rsidP="00281B31">
            <w:pPr>
              <w:pStyle w:val="TableText0"/>
              <w:keepLines w:val="0"/>
              <w:rPr>
                <w:sz w:val="20"/>
                <w:szCs w:val="20"/>
              </w:rPr>
            </w:pPr>
            <w:r w:rsidRPr="000717E1">
              <w:rPr>
                <w:sz w:val="20"/>
                <w:szCs w:val="20"/>
              </w:rPr>
              <w:t xml:space="preserve">Sanofi and </w:t>
            </w:r>
            <w:proofErr w:type="spellStart"/>
            <w:r w:rsidRPr="000717E1">
              <w:rPr>
                <w:sz w:val="20"/>
                <w:szCs w:val="20"/>
              </w:rPr>
              <w:t>Regneron</w:t>
            </w:r>
            <w:proofErr w:type="spellEnd"/>
            <w:r w:rsidRPr="000717E1">
              <w:rPr>
                <w:sz w:val="20"/>
                <w:szCs w:val="20"/>
              </w:rPr>
              <w:t>. 2.5 Clinical Overview (Chronic Obstructive Pulmonary Disease).</w:t>
            </w:r>
          </w:p>
          <w:p w14:paraId="448ED1D5" w14:textId="77777777" w:rsidR="00CF680F" w:rsidRPr="000717E1" w:rsidRDefault="00CF680F" w:rsidP="00281B31">
            <w:pPr>
              <w:pStyle w:val="TableText0"/>
              <w:keepLines w:val="0"/>
              <w:rPr>
                <w:sz w:val="20"/>
                <w:szCs w:val="20"/>
              </w:rPr>
            </w:pPr>
          </w:p>
        </w:tc>
        <w:tc>
          <w:tcPr>
            <w:tcW w:w="1463" w:type="pct"/>
            <w:tcBorders>
              <w:bottom w:val="nil"/>
            </w:tcBorders>
          </w:tcPr>
          <w:p w14:paraId="3614A0B0" w14:textId="3732E42B" w:rsidR="00CF680F" w:rsidRPr="000717E1" w:rsidRDefault="00CF680F" w:rsidP="00281B31">
            <w:pPr>
              <w:pStyle w:val="TableText0"/>
              <w:keepLines w:val="0"/>
              <w:rPr>
                <w:sz w:val="20"/>
                <w:szCs w:val="20"/>
              </w:rPr>
            </w:pPr>
            <w:r w:rsidRPr="000717E1">
              <w:rPr>
                <w:sz w:val="20"/>
                <w:szCs w:val="20"/>
              </w:rPr>
              <w:t>Clinical Overview. 19 December 2023.</w:t>
            </w:r>
          </w:p>
        </w:tc>
      </w:tr>
      <w:tr w:rsidR="001429A4" w:rsidRPr="000717E1" w14:paraId="244E03FF" w14:textId="77777777" w:rsidTr="0095557B">
        <w:tc>
          <w:tcPr>
            <w:tcW w:w="705" w:type="pct"/>
            <w:vMerge/>
          </w:tcPr>
          <w:p w14:paraId="5713086D" w14:textId="77777777" w:rsidR="00CF680F" w:rsidRPr="000717E1" w:rsidRDefault="00CF680F" w:rsidP="00281B31">
            <w:pPr>
              <w:pStyle w:val="TableText0"/>
              <w:keepLines w:val="0"/>
              <w:rPr>
                <w:sz w:val="20"/>
                <w:szCs w:val="20"/>
              </w:rPr>
            </w:pPr>
          </w:p>
        </w:tc>
        <w:tc>
          <w:tcPr>
            <w:tcW w:w="2832" w:type="pct"/>
            <w:tcBorders>
              <w:top w:val="nil"/>
              <w:bottom w:val="nil"/>
            </w:tcBorders>
          </w:tcPr>
          <w:p w14:paraId="10372740" w14:textId="77777777" w:rsidR="00CF680F" w:rsidRPr="000717E1" w:rsidRDefault="00CF680F" w:rsidP="00281B31">
            <w:pPr>
              <w:pStyle w:val="TableText0"/>
              <w:keepLines w:val="0"/>
              <w:rPr>
                <w:sz w:val="20"/>
                <w:szCs w:val="20"/>
              </w:rPr>
            </w:pPr>
            <w:r w:rsidRPr="000717E1">
              <w:rPr>
                <w:sz w:val="20"/>
                <w:szCs w:val="20"/>
              </w:rPr>
              <w:t>Sanofi and Regeneron. 2.7.3 Summary of Clinical Efficacy (Chronic Obstructive Pulmonary Disease).</w:t>
            </w:r>
          </w:p>
          <w:p w14:paraId="2EE97A13" w14:textId="77777777" w:rsidR="00CF680F" w:rsidRPr="000717E1" w:rsidRDefault="00CF680F" w:rsidP="00281B31">
            <w:pPr>
              <w:pStyle w:val="TableText0"/>
              <w:keepLines w:val="0"/>
              <w:rPr>
                <w:sz w:val="20"/>
                <w:szCs w:val="20"/>
              </w:rPr>
            </w:pPr>
          </w:p>
        </w:tc>
        <w:tc>
          <w:tcPr>
            <w:tcW w:w="1463" w:type="pct"/>
            <w:tcBorders>
              <w:top w:val="nil"/>
              <w:bottom w:val="nil"/>
            </w:tcBorders>
          </w:tcPr>
          <w:p w14:paraId="4DFCEABE" w14:textId="77777777" w:rsidR="00CF680F" w:rsidRPr="000717E1" w:rsidRDefault="00CF680F" w:rsidP="00281B31">
            <w:pPr>
              <w:pStyle w:val="TableText0"/>
              <w:keepLines w:val="0"/>
              <w:rPr>
                <w:sz w:val="20"/>
                <w:szCs w:val="20"/>
              </w:rPr>
            </w:pPr>
            <w:r w:rsidRPr="000717E1">
              <w:rPr>
                <w:sz w:val="20"/>
                <w:szCs w:val="20"/>
              </w:rPr>
              <w:t>Summary of Clinical Efficacy. 18 December 2023.</w:t>
            </w:r>
          </w:p>
          <w:p w14:paraId="7AC64B91" w14:textId="77777777" w:rsidR="00CF680F" w:rsidRPr="000717E1" w:rsidRDefault="00CF680F" w:rsidP="00281B31">
            <w:pPr>
              <w:pStyle w:val="TableText0"/>
              <w:keepLines w:val="0"/>
              <w:rPr>
                <w:sz w:val="20"/>
                <w:szCs w:val="20"/>
              </w:rPr>
            </w:pPr>
          </w:p>
        </w:tc>
      </w:tr>
      <w:tr w:rsidR="00200C35" w:rsidRPr="000717E1" w14:paraId="291A19F6" w14:textId="77777777" w:rsidTr="0095557B">
        <w:tc>
          <w:tcPr>
            <w:tcW w:w="705" w:type="pct"/>
            <w:vMerge/>
            <w:tcBorders>
              <w:bottom w:val="nil"/>
            </w:tcBorders>
          </w:tcPr>
          <w:p w14:paraId="5FFC0D19" w14:textId="77777777" w:rsidR="00CF680F" w:rsidRPr="000717E1" w:rsidRDefault="00CF680F" w:rsidP="00281B31">
            <w:pPr>
              <w:pStyle w:val="TableText0"/>
              <w:keepLines w:val="0"/>
              <w:rPr>
                <w:sz w:val="20"/>
                <w:szCs w:val="20"/>
              </w:rPr>
            </w:pPr>
          </w:p>
        </w:tc>
        <w:tc>
          <w:tcPr>
            <w:tcW w:w="2832" w:type="pct"/>
            <w:tcBorders>
              <w:top w:val="nil"/>
              <w:bottom w:val="nil"/>
            </w:tcBorders>
          </w:tcPr>
          <w:p w14:paraId="638F7283" w14:textId="77777777" w:rsidR="00CF680F" w:rsidRPr="000717E1" w:rsidRDefault="00CF680F" w:rsidP="00281B31">
            <w:pPr>
              <w:pStyle w:val="TableText0"/>
              <w:keepLines w:val="0"/>
              <w:rPr>
                <w:sz w:val="20"/>
                <w:szCs w:val="20"/>
              </w:rPr>
            </w:pPr>
            <w:r w:rsidRPr="000717E1">
              <w:rPr>
                <w:sz w:val="20"/>
                <w:szCs w:val="20"/>
              </w:rPr>
              <w:t>Sanofi and Regeneron. 2.7.4 Summary of Clinical Safety (Chronic Obstructive Pulmonary Disease). 19 December 2023.</w:t>
            </w:r>
          </w:p>
          <w:p w14:paraId="11290427" w14:textId="77777777" w:rsidR="00CF680F" w:rsidRPr="000717E1" w:rsidRDefault="00CF680F" w:rsidP="00281B31">
            <w:pPr>
              <w:pStyle w:val="TableText0"/>
              <w:keepLines w:val="0"/>
              <w:rPr>
                <w:sz w:val="20"/>
                <w:szCs w:val="20"/>
              </w:rPr>
            </w:pPr>
          </w:p>
        </w:tc>
        <w:tc>
          <w:tcPr>
            <w:tcW w:w="1463" w:type="pct"/>
            <w:tcBorders>
              <w:top w:val="nil"/>
              <w:bottom w:val="nil"/>
            </w:tcBorders>
          </w:tcPr>
          <w:p w14:paraId="6D91099B" w14:textId="77777777" w:rsidR="00CF680F" w:rsidRPr="000717E1" w:rsidRDefault="00CF680F" w:rsidP="00281B31">
            <w:pPr>
              <w:pStyle w:val="TableText0"/>
              <w:keepLines w:val="0"/>
              <w:rPr>
                <w:sz w:val="20"/>
                <w:szCs w:val="20"/>
              </w:rPr>
            </w:pPr>
            <w:r w:rsidRPr="000717E1">
              <w:rPr>
                <w:sz w:val="20"/>
                <w:szCs w:val="20"/>
              </w:rPr>
              <w:t>Summary of Clinical Safety. 19 December 2023.</w:t>
            </w:r>
          </w:p>
          <w:p w14:paraId="702A7D69" w14:textId="77777777" w:rsidR="00CF680F" w:rsidRPr="000717E1" w:rsidRDefault="00CF680F" w:rsidP="00281B31">
            <w:pPr>
              <w:pStyle w:val="TableText0"/>
              <w:keepLines w:val="0"/>
              <w:rPr>
                <w:sz w:val="20"/>
                <w:szCs w:val="20"/>
              </w:rPr>
            </w:pPr>
          </w:p>
        </w:tc>
      </w:tr>
      <w:tr w:rsidR="009906A2" w:rsidRPr="000717E1" w14:paraId="236501FE" w14:textId="77777777" w:rsidTr="0095557B">
        <w:tc>
          <w:tcPr>
            <w:tcW w:w="705" w:type="pct"/>
            <w:tcBorders>
              <w:top w:val="nil"/>
              <w:bottom w:val="nil"/>
            </w:tcBorders>
          </w:tcPr>
          <w:p w14:paraId="6962ACBC" w14:textId="77777777" w:rsidR="00A979D9" w:rsidRPr="000717E1" w:rsidRDefault="00A979D9" w:rsidP="00281B31">
            <w:pPr>
              <w:pStyle w:val="TableText0"/>
              <w:keepLines w:val="0"/>
              <w:rPr>
                <w:sz w:val="20"/>
                <w:szCs w:val="20"/>
              </w:rPr>
            </w:pPr>
          </w:p>
        </w:tc>
        <w:tc>
          <w:tcPr>
            <w:tcW w:w="2832" w:type="pct"/>
            <w:tcBorders>
              <w:top w:val="nil"/>
              <w:bottom w:val="nil"/>
            </w:tcBorders>
          </w:tcPr>
          <w:p w14:paraId="460DC3E1" w14:textId="77777777" w:rsidR="00A979D9" w:rsidRPr="000717E1" w:rsidRDefault="00A979D9" w:rsidP="00281B31">
            <w:pPr>
              <w:pStyle w:val="TableText0"/>
              <w:keepLines w:val="0"/>
              <w:rPr>
                <w:sz w:val="20"/>
                <w:szCs w:val="20"/>
              </w:rPr>
            </w:pPr>
            <w:r w:rsidRPr="000717E1">
              <w:rPr>
                <w:sz w:val="20"/>
                <w:szCs w:val="20"/>
              </w:rPr>
              <w:t>Bhatt 2025b. Effect of Dupilumab on Health-Related Quality of Life and Respiratory Symptoms in Patients with COPD and Type 2 Inflammation.</w:t>
            </w:r>
          </w:p>
          <w:p w14:paraId="0989953F" w14:textId="77777777" w:rsidR="0095557B" w:rsidRPr="000717E1" w:rsidRDefault="0095557B" w:rsidP="00281B31">
            <w:pPr>
              <w:pStyle w:val="TableText0"/>
              <w:keepLines w:val="0"/>
              <w:rPr>
                <w:sz w:val="20"/>
                <w:szCs w:val="20"/>
              </w:rPr>
            </w:pPr>
          </w:p>
        </w:tc>
        <w:tc>
          <w:tcPr>
            <w:tcW w:w="1463" w:type="pct"/>
            <w:tcBorders>
              <w:top w:val="nil"/>
              <w:bottom w:val="nil"/>
            </w:tcBorders>
          </w:tcPr>
          <w:p w14:paraId="7E2F4968" w14:textId="77777777" w:rsidR="00A979D9" w:rsidRPr="000717E1" w:rsidRDefault="00A979D9" w:rsidP="00281B31">
            <w:pPr>
              <w:pStyle w:val="TableText0"/>
              <w:keepLines w:val="0"/>
              <w:rPr>
                <w:sz w:val="20"/>
                <w:szCs w:val="20"/>
              </w:rPr>
            </w:pPr>
            <w:r w:rsidRPr="000717E1">
              <w:rPr>
                <w:sz w:val="20"/>
                <w:szCs w:val="20"/>
              </w:rPr>
              <w:t>Chest; 168(1):56-66. doi:  10.1016/j.chest.2025.01.029</w:t>
            </w:r>
          </w:p>
          <w:p w14:paraId="77200B78" w14:textId="77777777" w:rsidR="00A979D9" w:rsidRPr="000717E1" w:rsidRDefault="00A979D9" w:rsidP="00281B31">
            <w:pPr>
              <w:pStyle w:val="TableText0"/>
              <w:keepLines w:val="0"/>
              <w:rPr>
                <w:sz w:val="20"/>
                <w:szCs w:val="20"/>
              </w:rPr>
            </w:pPr>
          </w:p>
        </w:tc>
      </w:tr>
      <w:tr w:rsidR="00200C35" w:rsidRPr="000717E1" w14:paraId="1634B609" w14:textId="77777777" w:rsidTr="0095557B">
        <w:tc>
          <w:tcPr>
            <w:tcW w:w="705" w:type="pct"/>
            <w:tcBorders>
              <w:top w:val="nil"/>
              <w:bottom w:val="single" w:sz="4" w:space="0" w:color="auto"/>
            </w:tcBorders>
          </w:tcPr>
          <w:p w14:paraId="750A2970" w14:textId="77777777" w:rsidR="00A979D9" w:rsidRPr="000717E1" w:rsidRDefault="00A979D9" w:rsidP="00281B31">
            <w:pPr>
              <w:pStyle w:val="TableText0"/>
              <w:keepLines w:val="0"/>
              <w:rPr>
                <w:sz w:val="20"/>
                <w:szCs w:val="20"/>
              </w:rPr>
            </w:pPr>
          </w:p>
        </w:tc>
        <w:tc>
          <w:tcPr>
            <w:tcW w:w="2832" w:type="pct"/>
            <w:tcBorders>
              <w:top w:val="nil"/>
              <w:bottom w:val="single" w:sz="4" w:space="0" w:color="auto"/>
            </w:tcBorders>
          </w:tcPr>
          <w:p w14:paraId="5C1DFF17" w14:textId="1B269BF6" w:rsidR="00A979D9" w:rsidRPr="000717E1" w:rsidRDefault="00A979D9" w:rsidP="00281B31">
            <w:pPr>
              <w:pStyle w:val="TableText0"/>
              <w:keepLines w:val="0"/>
              <w:rPr>
                <w:sz w:val="20"/>
                <w:szCs w:val="20"/>
              </w:rPr>
            </w:pPr>
            <w:r w:rsidRPr="000717E1">
              <w:rPr>
                <w:sz w:val="20"/>
                <w:szCs w:val="20"/>
              </w:rPr>
              <w:t>Bhatt 2025c. Dupilumab for chronic obstructive pulmonary disease with type 2 inflammation: a pooled analysis of two phase 3, randomised, double-blind, placebo-controlled trials.</w:t>
            </w:r>
          </w:p>
        </w:tc>
        <w:tc>
          <w:tcPr>
            <w:tcW w:w="1463" w:type="pct"/>
            <w:tcBorders>
              <w:top w:val="nil"/>
              <w:bottom w:val="single" w:sz="4" w:space="0" w:color="auto"/>
            </w:tcBorders>
          </w:tcPr>
          <w:p w14:paraId="05CFF69E" w14:textId="57CF2DAE" w:rsidR="00A979D9" w:rsidRPr="000717E1" w:rsidRDefault="00A979D9" w:rsidP="00281B31">
            <w:pPr>
              <w:pStyle w:val="TableText0"/>
              <w:keepLines w:val="0"/>
              <w:rPr>
                <w:sz w:val="20"/>
                <w:szCs w:val="20"/>
              </w:rPr>
            </w:pPr>
            <w:r w:rsidRPr="000717E1">
              <w:rPr>
                <w:sz w:val="20"/>
                <w:szCs w:val="20"/>
              </w:rPr>
              <w:t>Lancet Respir Med;13(3):234-243. doi: 10.1016/S2213-2600(24)00409-0</w:t>
            </w:r>
          </w:p>
        </w:tc>
      </w:tr>
    </w:tbl>
    <w:p w14:paraId="7F38384E" w14:textId="77777777" w:rsidR="00A979D9" w:rsidRPr="000717E1" w:rsidRDefault="00A979D9" w:rsidP="002C5F49">
      <w:pPr>
        <w:pStyle w:val="FooterTableFigure"/>
      </w:pPr>
      <w:r w:rsidRPr="000717E1">
        <w:t>Source: Table 2.2-1 pp37-38 of the submission.</w:t>
      </w:r>
    </w:p>
    <w:p w14:paraId="7113BAD7" w14:textId="659076B5" w:rsidR="00FF0228" w:rsidRPr="000717E1" w:rsidRDefault="00A979D9" w:rsidP="00FF0228">
      <w:pPr>
        <w:pStyle w:val="3-BodyText"/>
      </w:pPr>
      <w:r w:rsidRPr="000717E1">
        <w:lastRenderedPageBreak/>
        <w:t>The key features of the randomised controlled trial</w:t>
      </w:r>
      <w:r w:rsidR="00D60E1B" w:rsidRPr="000717E1">
        <w:t>s</w:t>
      </w:r>
      <w:r w:rsidRPr="000717E1">
        <w:t xml:space="preserve"> (RCTs) are summarised in </w:t>
      </w:r>
      <w:r w:rsidRPr="000717E1">
        <w:fldChar w:fldCharType="begin"/>
      </w:r>
      <w:r w:rsidRPr="000717E1">
        <w:instrText xml:space="preserve"> REF _Ref104804098 \h  \* MERGEFORMAT </w:instrText>
      </w:r>
      <w:r w:rsidRPr="000717E1">
        <w:fldChar w:fldCharType="separate"/>
      </w:r>
      <w:r w:rsidR="00281F45" w:rsidRPr="00281F45">
        <w:t>Table</w:t>
      </w:r>
      <w:r w:rsidR="00C63F8F">
        <w:t> </w:t>
      </w:r>
      <w:r w:rsidR="00281F45" w:rsidRPr="00281F45">
        <w:t>3</w:t>
      </w:r>
      <w:r w:rsidRPr="000717E1">
        <w:fldChar w:fldCharType="end"/>
      </w:r>
      <w:r w:rsidRPr="000717E1">
        <w:t>.</w:t>
      </w:r>
    </w:p>
    <w:p w14:paraId="3092183A" w14:textId="18D21073" w:rsidR="00A979D9" w:rsidRPr="000717E1" w:rsidRDefault="00A979D9" w:rsidP="00A979D9">
      <w:pPr>
        <w:pStyle w:val="Caption"/>
        <w:rPr>
          <w:rStyle w:val="CommentReference"/>
          <w:rFonts w:eastAsiaTheme="majorEastAsia" w:cstheme="majorBidi"/>
          <w:b/>
          <w:szCs w:val="24"/>
        </w:rPr>
      </w:pPr>
      <w:bookmarkStart w:id="37" w:name="_Ref104804098"/>
      <w:r w:rsidRPr="000717E1">
        <w:rPr>
          <w:rStyle w:val="CommentReference"/>
          <w:rFonts w:eastAsiaTheme="majorEastAsia" w:cstheme="majorBidi"/>
          <w:b/>
          <w:szCs w:val="24"/>
        </w:rPr>
        <w:t xml:space="preserve">Table </w:t>
      </w:r>
      <w:r w:rsidRPr="000717E1">
        <w:rPr>
          <w:rStyle w:val="CommentReference"/>
          <w:rFonts w:eastAsiaTheme="majorEastAsia" w:cstheme="majorBidi"/>
          <w:b/>
          <w:szCs w:val="24"/>
        </w:rPr>
        <w:fldChar w:fldCharType="begin"/>
      </w:r>
      <w:r w:rsidRPr="000717E1">
        <w:rPr>
          <w:rStyle w:val="CommentReference"/>
          <w:rFonts w:eastAsiaTheme="majorEastAsia" w:cstheme="majorBidi"/>
          <w:b/>
          <w:szCs w:val="24"/>
        </w:rPr>
        <w:instrText xml:space="preserve"> SEQ Table \* ARABIC </w:instrText>
      </w:r>
      <w:r w:rsidRPr="000717E1">
        <w:rPr>
          <w:rStyle w:val="CommentReference"/>
          <w:rFonts w:eastAsiaTheme="majorEastAsia" w:cstheme="majorBidi"/>
          <w:b/>
          <w:szCs w:val="24"/>
        </w:rPr>
        <w:fldChar w:fldCharType="separate"/>
      </w:r>
      <w:r w:rsidR="00281F45">
        <w:rPr>
          <w:rStyle w:val="CommentReference"/>
          <w:rFonts w:eastAsiaTheme="majorEastAsia" w:cstheme="majorBidi"/>
          <w:b/>
          <w:noProof/>
          <w:szCs w:val="24"/>
        </w:rPr>
        <w:t>3</w:t>
      </w:r>
      <w:r w:rsidRPr="000717E1">
        <w:rPr>
          <w:rStyle w:val="CommentReference"/>
          <w:rFonts w:eastAsiaTheme="majorEastAsia" w:cstheme="majorBidi"/>
          <w:b/>
          <w:szCs w:val="24"/>
        </w:rPr>
        <w:fldChar w:fldCharType="end"/>
      </w:r>
      <w:bookmarkEnd w:id="37"/>
      <w:r w:rsidRPr="000717E1">
        <w:rPr>
          <w:rStyle w:val="CommentReference"/>
          <w:rFonts w:eastAsiaTheme="majorEastAsia" w:cstheme="majorBidi"/>
          <w:b/>
          <w:szCs w:val="24"/>
        </w:rPr>
        <w:t>: Key features of the included evidence</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Key features of the included evidence"/>
      </w:tblPr>
      <w:tblGrid>
        <w:gridCol w:w="903"/>
        <w:gridCol w:w="1079"/>
        <w:gridCol w:w="868"/>
        <w:gridCol w:w="490"/>
        <w:gridCol w:w="1665"/>
        <w:gridCol w:w="2391"/>
        <w:gridCol w:w="1481"/>
      </w:tblGrid>
      <w:tr w:rsidR="00342349" w:rsidRPr="000717E1" w14:paraId="7AC198F2" w14:textId="77777777" w:rsidTr="00623056">
        <w:trPr>
          <w:cantSplit/>
          <w:trHeight w:val="681"/>
          <w:tblHeader/>
        </w:trPr>
        <w:tc>
          <w:tcPr>
            <w:tcW w:w="508" w:type="pct"/>
            <w:vAlign w:val="center"/>
          </w:tcPr>
          <w:p w14:paraId="6FB8260F" w14:textId="77777777" w:rsidR="00623056" w:rsidRPr="000717E1" w:rsidRDefault="00623056" w:rsidP="00597F39">
            <w:pPr>
              <w:pStyle w:val="TableText0"/>
              <w:rPr>
                <w:b/>
                <w:bCs/>
                <w:sz w:val="20"/>
                <w:szCs w:val="20"/>
              </w:rPr>
            </w:pPr>
            <w:r w:rsidRPr="000717E1">
              <w:rPr>
                <w:b/>
                <w:bCs/>
                <w:sz w:val="20"/>
                <w:szCs w:val="20"/>
              </w:rPr>
              <w:t>Trial</w:t>
            </w:r>
          </w:p>
        </w:tc>
        <w:tc>
          <w:tcPr>
            <w:tcW w:w="608" w:type="pct"/>
            <w:vAlign w:val="center"/>
          </w:tcPr>
          <w:p w14:paraId="0699081C" w14:textId="77777777" w:rsidR="00623056" w:rsidRPr="000717E1" w:rsidRDefault="00623056" w:rsidP="00597F39">
            <w:pPr>
              <w:pStyle w:val="TableText0"/>
              <w:rPr>
                <w:b/>
                <w:bCs/>
                <w:sz w:val="20"/>
                <w:szCs w:val="20"/>
              </w:rPr>
            </w:pPr>
            <w:r w:rsidRPr="000717E1">
              <w:rPr>
                <w:b/>
                <w:bCs/>
                <w:sz w:val="20"/>
                <w:szCs w:val="20"/>
              </w:rPr>
              <w:t>N</w:t>
            </w:r>
          </w:p>
        </w:tc>
        <w:tc>
          <w:tcPr>
            <w:tcW w:w="489" w:type="pct"/>
            <w:vAlign w:val="center"/>
          </w:tcPr>
          <w:p w14:paraId="37D8DAFC" w14:textId="77777777" w:rsidR="00623056" w:rsidRPr="000717E1" w:rsidRDefault="00623056" w:rsidP="00597F39">
            <w:pPr>
              <w:pStyle w:val="TableText0"/>
              <w:rPr>
                <w:b/>
                <w:bCs/>
                <w:sz w:val="20"/>
                <w:szCs w:val="20"/>
              </w:rPr>
            </w:pPr>
            <w:r w:rsidRPr="000717E1">
              <w:rPr>
                <w:b/>
                <w:bCs/>
                <w:sz w:val="20"/>
                <w:szCs w:val="20"/>
              </w:rPr>
              <w:t>Design/ duration</w:t>
            </w:r>
          </w:p>
        </w:tc>
        <w:tc>
          <w:tcPr>
            <w:tcW w:w="276" w:type="pct"/>
            <w:vAlign w:val="center"/>
          </w:tcPr>
          <w:p w14:paraId="1555D3F6" w14:textId="77777777" w:rsidR="00623056" w:rsidRPr="000717E1" w:rsidRDefault="00623056" w:rsidP="00597F39">
            <w:pPr>
              <w:pStyle w:val="TableText0"/>
              <w:rPr>
                <w:b/>
                <w:bCs/>
                <w:sz w:val="20"/>
                <w:szCs w:val="20"/>
              </w:rPr>
            </w:pPr>
            <w:r w:rsidRPr="000717E1">
              <w:rPr>
                <w:b/>
                <w:bCs/>
                <w:sz w:val="20"/>
                <w:szCs w:val="20"/>
              </w:rPr>
              <w:t>Risk of bias</w:t>
            </w:r>
          </w:p>
        </w:tc>
        <w:tc>
          <w:tcPr>
            <w:tcW w:w="938" w:type="pct"/>
            <w:vAlign w:val="center"/>
          </w:tcPr>
          <w:p w14:paraId="18B132C0" w14:textId="77777777" w:rsidR="00623056" w:rsidRPr="000717E1" w:rsidRDefault="00623056" w:rsidP="00597F39">
            <w:pPr>
              <w:pStyle w:val="TableText0"/>
              <w:rPr>
                <w:b/>
                <w:bCs/>
                <w:sz w:val="20"/>
                <w:szCs w:val="20"/>
              </w:rPr>
            </w:pPr>
            <w:r w:rsidRPr="000717E1">
              <w:rPr>
                <w:b/>
                <w:bCs/>
                <w:sz w:val="20"/>
                <w:szCs w:val="20"/>
              </w:rPr>
              <w:t>Patient population</w:t>
            </w:r>
          </w:p>
        </w:tc>
        <w:tc>
          <w:tcPr>
            <w:tcW w:w="1346" w:type="pct"/>
            <w:vAlign w:val="center"/>
          </w:tcPr>
          <w:p w14:paraId="60F4B3EF" w14:textId="77777777" w:rsidR="00623056" w:rsidRPr="000717E1" w:rsidRDefault="00623056" w:rsidP="00597F39">
            <w:pPr>
              <w:pStyle w:val="TableText0"/>
              <w:rPr>
                <w:b/>
                <w:bCs/>
                <w:sz w:val="20"/>
                <w:szCs w:val="20"/>
              </w:rPr>
            </w:pPr>
            <w:r w:rsidRPr="000717E1">
              <w:rPr>
                <w:b/>
                <w:bCs/>
                <w:sz w:val="20"/>
                <w:szCs w:val="20"/>
              </w:rPr>
              <w:t>Outcomes</w:t>
            </w:r>
          </w:p>
        </w:tc>
        <w:tc>
          <w:tcPr>
            <w:tcW w:w="834" w:type="pct"/>
            <w:vAlign w:val="center"/>
          </w:tcPr>
          <w:p w14:paraId="0C06C509" w14:textId="77777777" w:rsidR="00623056" w:rsidRPr="000717E1" w:rsidRDefault="00623056" w:rsidP="00597F39">
            <w:pPr>
              <w:pStyle w:val="TableText0"/>
              <w:rPr>
                <w:b/>
                <w:bCs/>
                <w:sz w:val="20"/>
                <w:szCs w:val="20"/>
              </w:rPr>
            </w:pPr>
            <w:r w:rsidRPr="000717E1">
              <w:rPr>
                <w:b/>
                <w:bCs/>
                <w:sz w:val="20"/>
                <w:szCs w:val="20"/>
              </w:rPr>
              <w:t>Use in modelled evaluation</w:t>
            </w:r>
          </w:p>
        </w:tc>
      </w:tr>
      <w:tr w:rsidR="001429A4" w:rsidRPr="000717E1" w14:paraId="0435F1FD" w14:textId="77777777" w:rsidTr="00623056">
        <w:trPr>
          <w:cantSplit/>
          <w:trHeight w:val="222"/>
        </w:trPr>
        <w:tc>
          <w:tcPr>
            <w:tcW w:w="4166" w:type="pct"/>
            <w:gridSpan w:val="6"/>
          </w:tcPr>
          <w:p w14:paraId="5B528D36" w14:textId="77777777" w:rsidR="00623056" w:rsidRPr="000717E1" w:rsidRDefault="00623056">
            <w:pPr>
              <w:pStyle w:val="TableText0"/>
              <w:rPr>
                <w:sz w:val="20"/>
                <w:szCs w:val="20"/>
              </w:rPr>
            </w:pPr>
            <w:r w:rsidRPr="000717E1">
              <w:rPr>
                <w:sz w:val="20"/>
                <w:szCs w:val="20"/>
              </w:rPr>
              <w:t>Dupilumab 300mg Q2W vs placebo</w:t>
            </w:r>
          </w:p>
        </w:tc>
        <w:tc>
          <w:tcPr>
            <w:tcW w:w="834" w:type="pct"/>
          </w:tcPr>
          <w:p w14:paraId="70158255" w14:textId="613C2489" w:rsidR="00623056" w:rsidRPr="000717E1" w:rsidRDefault="00623056">
            <w:pPr>
              <w:pStyle w:val="TableText0"/>
              <w:rPr>
                <w:sz w:val="20"/>
                <w:szCs w:val="20"/>
              </w:rPr>
            </w:pPr>
          </w:p>
        </w:tc>
      </w:tr>
      <w:tr w:rsidR="00342349" w:rsidRPr="000717E1" w14:paraId="287110EB" w14:textId="77777777" w:rsidTr="00623056">
        <w:trPr>
          <w:cantSplit/>
          <w:trHeight w:val="63"/>
        </w:trPr>
        <w:tc>
          <w:tcPr>
            <w:tcW w:w="508" w:type="pct"/>
            <w:vMerge w:val="restart"/>
            <w:vAlign w:val="center"/>
          </w:tcPr>
          <w:p w14:paraId="24913B2C" w14:textId="77777777" w:rsidR="00623056" w:rsidRPr="000717E1" w:rsidRDefault="00623056">
            <w:pPr>
              <w:pStyle w:val="TableText0"/>
              <w:rPr>
                <w:sz w:val="20"/>
                <w:szCs w:val="20"/>
              </w:rPr>
            </w:pPr>
            <w:r w:rsidRPr="000717E1">
              <w:rPr>
                <w:sz w:val="20"/>
                <w:szCs w:val="20"/>
              </w:rPr>
              <w:t>BOREAS</w:t>
            </w:r>
          </w:p>
          <w:p w14:paraId="7297CCAA" w14:textId="77777777" w:rsidR="00623056" w:rsidRPr="000717E1" w:rsidRDefault="00623056">
            <w:pPr>
              <w:pStyle w:val="TableText0"/>
              <w:rPr>
                <w:sz w:val="20"/>
                <w:szCs w:val="20"/>
              </w:rPr>
            </w:pPr>
          </w:p>
        </w:tc>
        <w:tc>
          <w:tcPr>
            <w:tcW w:w="608" w:type="pct"/>
            <w:vMerge w:val="restart"/>
            <w:vAlign w:val="center"/>
          </w:tcPr>
          <w:p w14:paraId="4493931D" w14:textId="77777777" w:rsidR="00623056" w:rsidRPr="000717E1" w:rsidRDefault="00623056">
            <w:pPr>
              <w:pStyle w:val="TableText0"/>
              <w:rPr>
                <w:sz w:val="20"/>
                <w:szCs w:val="20"/>
              </w:rPr>
            </w:pPr>
            <w:r w:rsidRPr="000717E1">
              <w:rPr>
                <w:sz w:val="20"/>
                <w:szCs w:val="20"/>
              </w:rPr>
              <w:t>ITT</w:t>
            </w:r>
          </w:p>
          <w:p w14:paraId="6C7F9507" w14:textId="77777777" w:rsidR="00623056" w:rsidRPr="000717E1" w:rsidRDefault="00623056">
            <w:pPr>
              <w:pStyle w:val="TableText0"/>
              <w:rPr>
                <w:sz w:val="20"/>
                <w:szCs w:val="20"/>
              </w:rPr>
            </w:pPr>
            <w:r w:rsidRPr="000717E1">
              <w:rPr>
                <w:sz w:val="20"/>
                <w:szCs w:val="20"/>
              </w:rPr>
              <w:t>Dupilumab, n=468</w:t>
            </w:r>
          </w:p>
          <w:p w14:paraId="0CEBDB98" w14:textId="061B41D8" w:rsidR="00623056" w:rsidRPr="000717E1" w:rsidRDefault="00623056">
            <w:pPr>
              <w:pStyle w:val="TableText0"/>
              <w:rPr>
                <w:sz w:val="20"/>
                <w:szCs w:val="20"/>
              </w:rPr>
            </w:pPr>
            <w:r w:rsidRPr="000717E1">
              <w:rPr>
                <w:sz w:val="20"/>
                <w:szCs w:val="20"/>
              </w:rPr>
              <w:t>Placebo, n=471</w:t>
            </w:r>
          </w:p>
        </w:tc>
        <w:tc>
          <w:tcPr>
            <w:tcW w:w="489" w:type="pct"/>
            <w:vMerge w:val="restart"/>
            <w:vAlign w:val="center"/>
          </w:tcPr>
          <w:p w14:paraId="4F540ECA" w14:textId="77777777" w:rsidR="00623056" w:rsidRPr="000717E1" w:rsidRDefault="00623056">
            <w:pPr>
              <w:pStyle w:val="TableText0"/>
              <w:rPr>
                <w:sz w:val="20"/>
                <w:szCs w:val="20"/>
              </w:rPr>
            </w:pPr>
          </w:p>
          <w:p w14:paraId="66C83A8A" w14:textId="77777777" w:rsidR="00623056" w:rsidRPr="000717E1" w:rsidRDefault="00623056">
            <w:pPr>
              <w:pStyle w:val="TableText0"/>
              <w:rPr>
                <w:sz w:val="20"/>
                <w:szCs w:val="20"/>
              </w:rPr>
            </w:pPr>
            <w:r w:rsidRPr="000717E1">
              <w:rPr>
                <w:sz w:val="20"/>
                <w:szCs w:val="20"/>
              </w:rPr>
              <w:t>R, DB</w:t>
            </w:r>
          </w:p>
          <w:p w14:paraId="2A7AB433" w14:textId="77777777" w:rsidR="00623056" w:rsidRPr="000717E1" w:rsidRDefault="00623056">
            <w:pPr>
              <w:pStyle w:val="TableText0"/>
              <w:rPr>
                <w:sz w:val="20"/>
                <w:szCs w:val="20"/>
              </w:rPr>
            </w:pPr>
            <w:r w:rsidRPr="000717E1">
              <w:rPr>
                <w:sz w:val="20"/>
                <w:szCs w:val="20"/>
              </w:rPr>
              <w:t>52 weeks</w:t>
            </w:r>
          </w:p>
        </w:tc>
        <w:tc>
          <w:tcPr>
            <w:tcW w:w="276" w:type="pct"/>
            <w:vMerge w:val="restart"/>
            <w:vAlign w:val="center"/>
          </w:tcPr>
          <w:p w14:paraId="405FC9DD" w14:textId="77777777" w:rsidR="00623056" w:rsidRPr="000717E1" w:rsidRDefault="00623056">
            <w:pPr>
              <w:pStyle w:val="TableText0"/>
              <w:rPr>
                <w:sz w:val="20"/>
                <w:szCs w:val="20"/>
              </w:rPr>
            </w:pPr>
            <w:r w:rsidRPr="000717E1">
              <w:rPr>
                <w:sz w:val="20"/>
                <w:szCs w:val="20"/>
              </w:rPr>
              <w:t>Low</w:t>
            </w:r>
          </w:p>
          <w:p w14:paraId="35D00C1C" w14:textId="77777777" w:rsidR="00623056" w:rsidRPr="000717E1" w:rsidRDefault="00623056">
            <w:pPr>
              <w:pStyle w:val="TableText0"/>
              <w:rPr>
                <w:sz w:val="20"/>
                <w:szCs w:val="20"/>
              </w:rPr>
            </w:pPr>
          </w:p>
        </w:tc>
        <w:tc>
          <w:tcPr>
            <w:tcW w:w="938" w:type="pct"/>
            <w:vMerge w:val="restart"/>
            <w:vAlign w:val="center"/>
          </w:tcPr>
          <w:p w14:paraId="096D6C6F" w14:textId="4685D81E" w:rsidR="00623056" w:rsidRPr="000717E1" w:rsidRDefault="00623056">
            <w:pPr>
              <w:pStyle w:val="TableText0"/>
              <w:rPr>
                <w:sz w:val="20"/>
                <w:szCs w:val="20"/>
              </w:rPr>
            </w:pPr>
            <w:r w:rsidRPr="000717E1">
              <w:rPr>
                <w:sz w:val="20"/>
                <w:szCs w:val="20"/>
              </w:rPr>
              <w:t>Adults using triple inhaled therapy for at least 3 months (or LABA + LAMA if ICS was contraindicated), with uncontrolled COPD with type 2 inflammation (</w:t>
            </w:r>
            <w:r w:rsidR="00160EDC">
              <w:rPr>
                <w:sz w:val="20"/>
                <w:szCs w:val="20"/>
              </w:rPr>
              <w:t>BEC</w:t>
            </w:r>
            <w:r w:rsidRPr="000717E1">
              <w:rPr>
                <w:sz w:val="20"/>
                <w:szCs w:val="20"/>
              </w:rPr>
              <w:t xml:space="preserve"> ≥ 300 cells/µL at screening).</w:t>
            </w:r>
          </w:p>
        </w:tc>
        <w:tc>
          <w:tcPr>
            <w:tcW w:w="1346" w:type="pct"/>
            <w:vAlign w:val="center"/>
          </w:tcPr>
          <w:p w14:paraId="45E5A522" w14:textId="7DB39BF2" w:rsidR="00623056" w:rsidRPr="000717E1" w:rsidRDefault="00623056">
            <w:pPr>
              <w:pStyle w:val="TableText0"/>
              <w:rPr>
                <w:sz w:val="20"/>
                <w:szCs w:val="20"/>
              </w:rPr>
            </w:pPr>
            <w:r w:rsidRPr="000717E1">
              <w:rPr>
                <w:sz w:val="20"/>
                <w:szCs w:val="20"/>
              </w:rPr>
              <w:t>Primary: Annualised rate of moderate to severe AECOPD</w:t>
            </w:r>
          </w:p>
        </w:tc>
        <w:tc>
          <w:tcPr>
            <w:tcW w:w="834" w:type="pct"/>
            <w:vMerge w:val="restart"/>
            <w:vAlign w:val="center"/>
          </w:tcPr>
          <w:p w14:paraId="1FA217A0" w14:textId="77777777" w:rsidR="00623056" w:rsidRPr="000717E1" w:rsidRDefault="00623056">
            <w:pPr>
              <w:pStyle w:val="TableText0"/>
              <w:rPr>
                <w:sz w:val="20"/>
                <w:szCs w:val="20"/>
              </w:rPr>
            </w:pPr>
            <w:r w:rsidRPr="000717E1">
              <w:rPr>
                <w:sz w:val="20"/>
                <w:szCs w:val="20"/>
              </w:rPr>
              <w:t xml:space="preserve">Trial AECOPD used for the dupilumab arm. </w:t>
            </w:r>
          </w:p>
        </w:tc>
      </w:tr>
      <w:tr w:rsidR="00342349" w:rsidRPr="000717E1" w14:paraId="32D6A0A5" w14:textId="77777777" w:rsidTr="00623056">
        <w:trPr>
          <w:cantSplit/>
          <w:trHeight w:val="230"/>
        </w:trPr>
        <w:tc>
          <w:tcPr>
            <w:tcW w:w="508" w:type="pct"/>
            <w:vMerge/>
            <w:vAlign w:val="center"/>
          </w:tcPr>
          <w:p w14:paraId="14A2DF44" w14:textId="77777777" w:rsidR="00623056" w:rsidRPr="000717E1" w:rsidRDefault="00623056">
            <w:pPr>
              <w:pStyle w:val="TableText0"/>
              <w:rPr>
                <w:sz w:val="20"/>
                <w:szCs w:val="20"/>
              </w:rPr>
            </w:pPr>
          </w:p>
        </w:tc>
        <w:tc>
          <w:tcPr>
            <w:tcW w:w="608" w:type="pct"/>
            <w:vMerge/>
            <w:vAlign w:val="center"/>
          </w:tcPr>
          <w:p w14:paraId="475BE9A7" w14:textId="77777777" w:rsidR="00623056" w:rsidRPr="000717E1" w:rsidRDefault="00623056">
            <w:pPr>
              <w:pStyle w:val="TableText0"/>
              <w:rPr>
                <w:sz w:val="20"/>
                <w:szCs w:val="20"/>
              </w:rPr>
            </w:pPr>
          </w:p>
        </w:tc>
        <w:tc>
          <w:tcPr>
            <w:tcW w:w="489" w:type="pct"/>
            <w:vMerge/>
            <w:vAlign w:val="center"/>
          </w:tcPr>
          <w:p w14:paraId="2C1F7D1E" w14:textId="77777777" w:rsidR="00623056" w:rsidRPr="000717E1" w:rsidRDefault="00623056">
            <w:pPr>
              <w:pStyle w:val="TableText0"/>
              <w:rPr>
                <w:sz w:val="20"/>
                <w:szCs w:val="20"/>
              </w:rPr>
            </w:pPr>
          </w:p>
        </w:tc>
        <w:tc>
          <w:tcPr>
            <w:tcW w:w="276" w:type="pct"/>
            <w:vMerge/>
            <w:vAlign w:val="center"/>
          </w:tcPr>
          <w:p w14:paraId="4F0FAC62" w14:textId="77777777" w:rsidR="00623056" w:rsidRPr="000717E1" w:rsidRDefault="00623056">
            <w:pPr>
              <w:pStyle w:val="TableText0"/>
              <w:rPr>
                <w:sz w:val="20"/>
                <w:szCs w:val="20"/>
              </w:rPr>
            </w:pPr>
          </w:p>
        </w:tc>
        <w:tc>
          <w:tcPr>
            <w:tcW w:w="938" w:type="pct"/>
            <w:vMerge/>
            <w:vAlign w:val="center"/>
          </w:tcPr>
          <w:p w14:paraId="27550631" w14:textId="77777777" w:rsidR="00623056" w:rsidRPr="000717E1" w:rsidRDefault="00623056">
            <w:pPr>
              <w:pStyle w:val="TableText0"/>
              <w:rPr>
                <w:sz w:val="20"/>
                <w:szCs w:val="20"/>
              </w:rPr>
            </w:pPr>
          </w:p>
        </w:tc>
        <w:tc>
          <w:tcPr>
            <w:tcW w:w="1346" w:type="pct"/>
            <w:vMerge w:val="restart"/>
            <w:vAlign w:val="center"/>
          </w:tcPr>
          <w:p w14:paraId="7F4EE36B" w14:textId="77777777" w:rsidR="00623056" w:rsidRPr="000717E1" w:rsidRDefault="00623056">
            <w:pPr>
              <w:pStyle w:val="TableText0"/>
              <w:rPr>
                <w:sz w:val="20"/>
                <w:szCs w:val="20"/>
              </w:rPr>
            </w:pPr>
            <w:r w:rsidRPr="000717E1">
              <w:rPr>
                <w:sz w:val="20"/>
                <w:szCs w:val="20"/>
              </w:rPr>
              <w:t xml:space="preserve">Secondary: </w:t>
            </w:r>
          </w:p>
          <w:p w14:paraId="357CEA9F" w14:textId="4368CCB0" w:rsidR="00623056" w:rsidRPr="000717E1" w:rsidRDefault="00623056">
            <w:pPr>
              <w:pStyle w:val="TableText0"/>
              <w:rPr>
                <w:sz w:val="20"/>
                <w:szCs w:val="20"/>
              </w:rPr>
            </w:pPr>
            <w:r w:rsidRPr="000717E1">
              <w:rPr>
                <w:sz w:val="20"/>
                <w:szCs w:val="20"/>
              </w:rPr>
              <w:t>- time to first moderate or severe AECOPD</w:t>
            </w:r>
          </w:p>
          <w:p w14:paraId="1441930E" w14:textId="3C409A8C" w:rsidR="00623056" w:rsidRPr="000717E1" w:rsidRDefault="00623056">
            <w:pPr>
              <w:pStyle w:val="TableText0"/>
              <w:rPr>
                <w:sz w:val="20"/>
                <w:szCs w:val="20"/>
              </w:rPr>
            </w:pPr>
            <w:r w:rsidRPr="000717E1">
              <w:rPr>
                <w:sz w:val="20"/>
                <w:szCs w:val="20"/>
              </w:rPr>
              <w:t>- change from baseline in pre-BD FEV</w:t>
            </w:r>
            <w:r w:rsidRPr="000717E1">
              <w:rPr>
                <w:sz w:val="20"/>
                <w:szCs w:val="20"/>
                <w:vertAlign w:val="subscript"/>
              </w:rPr>
              <w:t>1</w:t>
            </w:r>
            <w:r w:rsidRPr="000717E1">
              <w:rPr>
                <w:sz w:val="20"/>
                <w:szCs w:val="20"/>
              </w:rPr>
              <w:t xml:space="preserve"> at Week 12</w:t>
            </w:r>
          </w:p>
          <w:p w14:paraId="32B349E4" w14:textId="5F3B3664" w:rsidR="00623056" w:rsidRPr="000717E1" w:rsidRDefault="00623056">
            <w:pPr>
              <w:pStyle w:val="TableText0"/>
              <w:rPr>
                <w:sz w:val="20"/>
                <w:szCs w:val="20"/>
              </w:rPr>
            </w:pPr>
            <w:r w:rsidRPr="000717E1">
              <w:rPr>
                <w:sz w:val="20"/>
                <w:szCs w:val="20"/>
              </w:rPr>
              <w:t>- change from baseline in the SGRQ total score at Week 52</w:t>
            </w:r>
          </w:p>
          <w:p w14:paraId="23268673" w14:textId="7DA28C97" w:rsidR="00623056" w:rsidRPr="000717E1" w:rsidRDefault="00623056">
            <w:pPr>
              <w:pStyle w:val="TableText0"/>
              <w:rPr>
                <w:sz w:val="20"/>
                <w:szCs w:val="20"/>
              </w:rPr>
            </w:pPr>
            <w:r w:rsidRPr="000717E1">
              <w:rPr>
                <w:sz w:val="20"/>
                <w:szCs w:val="20"/>
              </w:rPr>
              <w:t>- proportion of patients with SGRQ total score improvement ≥ 4 points at Week 52</w:t>
            </w:r>
          </w:p>
          <w:p w14:paraId="03DB506F" w14:textId="5FF87D22" w:rsidR="00623056" w:rsidRPr="000717E1" w:rsidRDefault="00623056" w:rsidP="00E13A0D">
            <w:pPr>
              <w:pStyle w:val="TableText0"/>
              <w:rPr>
                <w:sz w:val="20"/>
                <w:szCs w:val="20"/>
              </w:rPr>
            </w:pPr>
            <w:r w:rsidRPr="000717E1">
              <w:rPr>
                <w:sz w:val="20"/>
                <w:szCs w:val="20"/>
              </w:rPr>
              <w:t>- change from baseline in the ER-S COPD total score at Week 52</w:t>
            </w:r>
          </w:p>
        </w:tc>
        <w:tc>
          <w:tcPr>
            <w:tcW w:w="834" w:type="pct"/>
            <w:vMerge/>
            <w:vAlign w:val="center"/>
          </w:tcPr>
          <w:p w14:paraId="7034C0D5" w14:textId="77777777" w:rsidR="00623056" w:rsidRPr="000717E1" w:rsidRDefault="00623056">
            <w:pPr>
              <w:pStyle w:val="TableText0"/>
              <w:rPr>
                <w:sz w:val="20"/>
                <w:szCs w:val="20"/>
              </w:rPr>
            </w:pPr>
          </w:p>
        </w:tc>
      </w:tr>
      <w:tr w:rsidR="00342349" w:rsidRPr="000717E1" w14:paraId="6887DBD5" w14:textId="77777777" w:rsidTr="00623056">
        <w:trPr>
          <w:cantSplit/>
          <w:trHeight w:val="348"/>
        </w:trPr>
        <w:tc>
          <w:tcPr>
            <w:tcW w:w="508" w:type="pct"/>
            <w:vMerge/>
            <w:vAlign w:val="center"/>
          </w:tcPr>
          <w:p w14:paraId="6EDD97C1" w14:textId="77777777" w:rsidR="00623056" w:rsidRPr="000717E1" w:rsidRDefault="00623056">
            <w:pPr>
              <w:pStyle w:val="TableText0"/>
              <w:rPr>
                <w:sz w:val="20"/>
                <w:szCs w:val="20"/>
              </w:rPr>
            </w:pPr>
          </w:p>
        </w:tc>
        <w:tc>
          <w:tcPr>
            <w:tcW w:w="608" w:type="pct"/>
            <w:vMerge/>
            <w:vAlign w:val="center"/>
          </w:tcPr>
          <w:p w14:paraId="4613C1B2" w14:textId="77777777" w:rsidR="00623056" w:rsidRPr="000717E1" w:rsidRDefault="00623056">
            <w:pPr>
              <w:pStyle w:val="TableText0"/>
              <w:rPr>
                <w:sz w:val="20"/>
                <w:szCs w:val="20"/>
              </w:rPr>
            </w:pPr>
          </w:p>
        </w:tc>
        <w:tc>
          <w:tcPr>
            <w:tcW w:w="489" w:type="pct"/>
            <w:vMerge/>
            <w:vAlign w:val="center"/>
          </w:tcPr>
          <w:p w14:paraId="7EFAA9CB" w14:textId="77777777" w:rsidR="00623056" w:rsidRPr="000717E1" w:rsidRDefault="00623056">
            <w:pPr>
              <w:pStyle w:val="TableText0"/>
              <w:rPr>
                <w:sz w:val="20"/>
                <w:szCs w:val="20"/>
              </w:rPr>
            </w:pPr>
          </w:p>
        </w:tc>
        <w:tc>
          <w:tcPr>
            <w:tcW w:w="276" w:type="pct"/>
            <w:vMerge/>
            <w:vAlign w:val="center"/>
          </w:tcPr>
          <w:p w14:paraId="7150D2AB" w14:textId="77777777" w:rsidR="00623056" w:rsidRPr="000717E1" w:rsidRDefault="00623056">
            <w:pPr>
              <w:pStyle w:val="TableText0"/>
              <w:rPr>
                <w:sz w:val="20"/>
                <w:szCs w:val="20"/>
              </w:rPr>
            </w:pPr>
          </w:p>
        </w:tc>
        <w:tc>
          <w:tcPr>
            <w:tcW w:w="938" w:type="pct"/>
            <w:vMerge/>
            <w:vAlign w:val="center"/>
          </w:tcPr>
          <w:p w14:paraId="44AEE920" w14:textId="77777777" w:rsidR="00623056" w:rsidRPr="000717E1" w:rsidRDefault="00623056">
            <w:pPr>
              <w:pStyle w:val="TableText0"/>
              <w:rPr>
                <w:sz w:val="20"/>
                <w:szCs w:val="20"/>
              </w:rPr>
            </w:pPr>
          </w:p>
        </w:tc>
        <w:tc>
          <w:tcPr>
            <w:tcW w:w="1346" w:type="pct"/>
            <w:vMerge/>
            <w:vAlign w:val="center"/>
          </w:tcPr>
          <w:p w14:paraId="053245F9" w14:textId="46F4B97E" w:rsidR="00623056" w:rsidRPr="000717E1" w:rsidRDefault="00623056" w:rsidP="00E13A0D">
            <w:pPr>
              <w:pStyle w:val="TableText0"/>
              <w:rPr>
                <w:sz w:val="20"/>
                <w:szCs w:val="20"/>
              </w:rPr>
            </w:pPr>
          </w:p>
        </w:tc>
        <w:tc>
          <w:tcPr>
            <w:tcW w:w="834" w:type="pct"/>
            <w:vMerge/>
            <w:vAlign w:val="center"/>
          </w:tcPr>
          <w:p w14:paraId="14930DDF" w14:textId="77777777" w:rsidR="00623056" w:rsidRPr="000717E1" w:rsidRDefault="00623056">
            <w:pPr>
              <w:pStyle w:val="TableText0"/>
              <w:rPr>
                <w:sz w:val="20"/>
                <w:szCs w:val="20"/>
              </w:rPr>
            </w:pPr>
          </w:p>
        </w:tc>
      </w:tr>
      <w:tr w:rsidR="00342349" w:rsidRPr="000717E1" w14:paraId="33DD3F11" w14:textId="77777777" w:rsidTr="00623056">
        <w:trPr>
          <w:cantSplit/>
          <w:trHeight w:val="230"/>
        </w:trPr>
        <w:tc>
          <w:tcPr>
            <w:tcW w:w="508" w:type="pct"/>
            <w:vMerge w:val="restart"/>
            <w:vAlign w:val="center"/>
          </w:tcPr>
          <w:p w14:paraId="3F096095" w14:textId="77777777" w:rsidR="00623056" w:rsidRPr="000717E1" w:rsidRDefault="00623056">
            <w:pPr>
              <w:pStyle w:val="TableText0"/>
              <w:rPr>
                <w:sz w:val="20"/>
                <w:szCs w:val="20"/>
              </w:rPr>
            </w:pPr>
            <w:r w:rsidRPr="000717E1">
              <w:rPr>
                <w:sz w:val="20"/>
                <w:szCs w:val="20"/>
              </w:rPr>
              <w:t>NOTUS</w:t>
            </w:r>
          </w:p>
        </w:tc>
        <w:tc>
          <w:tcPr>
            <w:tcW w:w="608" w:type="pct"/>
            <w:vMerge w:val="restart"/>
            <w:vAlign w:val="center"/>
          </w:tcPr>
          <w:p w14:paraId="65CB04AD" w14:textId="77777777" w:rsidR="00623056" w:rsidRPr="000717E1" w:rsidRDefault="00623056">
            <w:pPr>
              <w:pStyle w:val="TableText0"/>
              <w:rPr>
                <w:sz w:val="20"/>
                <w:szCs w:val="20"/>
              </w:rPr>
            </w:pPr>
            <w:r w:rsidRPr="000717E1">
              <w:rPr>
                <w:sz w:val="20"/>
                <w:szCs w:val="20"/>
              </w:rPr>
              <w:t>ITT</w:t>
            </w:r>
          </w:p>
          <w:p w14:paraId="387F44CE" w14:textId="77777777" w:rsidR="00623056" w:rsidRPr="000717E1" w:rsidRDefault="00623056">
            <w:pPr>
              <w:pStyle w:val="TableText0"/>
              <w:rPr>
                <w:sz w:val="20"/>
                <w:szCs w:val="20"/>
              </w:rPr>
            </w:pPr>
            <w:r w:rsidRPr="000717E1">
              <w:rPr>
                <w:sz w:val="20"/>
                <w:szCs w:val="20"/>
              </w:rPr>
              <w:t>Dupilumab, n=470</w:t>
            </w:r>
          </w:p>
          <w:p w14:paraId="057F5227" w14:textId="77777777" w:rsidR="00623056" w:rsidRPr="000717E1" w:rsidRDefault="00623056">
            <w:pPr>
              <w:pStyle w:val="TableText0"/>
              <w:rPr>
                <w:sz w:val="20"/>
                <w:szCs w:val="20"/>
              </w:rPr>
            </w:pPr>
            <w:r w:rsidRPr="000717E1">
              <w:rPr>
                <w:sz w:val="20"/>
                <w:szCs w:val="20"/>
              </w:rPr>
              <w:t>Placebo, n=465</w:t>
            </w:r>
          </w:p>
        </w:tc>
        <w:tc>
          <w:tcPr>
            <w:tcW w:w="489" w:type="pct"/>
            <w:vMerge w:val="restart"/>
            <w:vAlign w:val="center"/>
          </w:tcPr>
          <w:p w14:paraId="007F684E" w14:textId="77777777" w:rsidR="00623056" w:rsidRPr="000717E1" w:rsidRDefault="00623056">
            <w:pPr>
              <w:pStyle w:val="TableText0"/>
              <w:rPr>
                <w:sz w:val="20"/>
                <w:szCs w:val="20"/>
              </w:rPr>
            </w:pPr>
            <w:r w:rsidRPr="000717E1">
              <w:rPr>
                <w:sz w:val="20"/>
                <w:szCs w:val="20"/>
              </w:rPr>
              <w:t>R, DB</w:t>
            </w:r>
          </w:p>
          <w:p w14:paraId="32D12C6A" w14:textId="2878A388" w:rsidR="00623056" w:rsidRPr="000717E1" w:rsidRDefault="00623056">
            <w:pPr>
              <w:pStyle w:val="TableText0"/>
              <w:rPr>
                <w:sz w:val="20"/>
                <w:szCs w:val="20"/>
              </w:rPr>
            </w:pPr>
            <w:r w:rsidRPr="000717E1">
              <w:rPr>
                <w:sz w:val="20"/>
                <w:szCs w:val="20"/>
              </w:rPr>
              <w:t xml:space="preserve">52 </w:t>
            </w:r>
            <w:proofErr w:type="spellStart"/>
            <w:r w:rsidRPr="000717E1">
              <w:rPr>
                <w:sz w:val="20"/>
                <w:szCs w:val="20"/>
              </w:rPr>
              <w:t>weeks</w:t>
            </w:r>
            <w:r w:rsidRPr="000717E1">
              <w:rPr>
                <w:sz w:val="20"/>
                <w:szCs w:val="20"/>
                <w:vertAlign w:val="superscript"/>
              </w:rPr>
              <w:t>b</w:t>
            </w:r>
            <w:proofErr w:type="spellEnd"/>
            <w:r w:rsidRPr="000717E1">
              <w:rPr>
                <w:sz w:val="20"/>
                <w:szCs w:val="20"/>
              </w:rPr>
              <w:t xml:space="preserve"> </w:t>
            </w:r>
          </w:p>
        </w:tc>
        <w:tc>
          <w:tcPr>
            <w:tcW w:w="276" w:type="pct"/>
            <w:vMerge/>
            <w:vAlign w:val="center"/>
          </w:tcPr>
          <w:p w14:paraId="1DA19B34" w14:textId="77777777" w:rsidR="00623056" w:rsidRPr="000717E1" w:rsidRDefault="00623056">
            <w:pPr>
              <w:pStyle w:val="TableText0"/>
              <w:rPr>
                <w:sz w:val="20"/>
                <w:szCs w:val="20"/>
              </w:rPr>
            </w:pPr>
          </w:p>
        </w:tc>
        <w:tc>
          <w:tcPr>
            <w:tcW w:w="938" w:type="pct"/>
            <w:vMerge/>
            <w:vAlign w:val="center"/>
          </w:tcPr>
          <w:p w14:paraId="5BCBDDD0" w14:textId="77777777" w:rsidR="00623056" w:rsidRPr="000717E1" w:rsidRDefault="00623056">
            <w:pPr>
              <w:pStyle w:val="TableText0"/>
              <w:rPr>
                <w:sz w:val="20"/>
                <w:szCs w:val="20"/>
              </w:rPr>
            </w:pPr>
          </w:p>
        </w:tc>
        <w:tc>
          <w:tcPr>
            <w:tcW w:w="1346" w:type="pct"/>
            <w:vMerge/>
            <w:vAlign w:val="center"/>
          </w:tcPr>
          <w:p w14:paraId="3709546F" w14:textId="2A6F54B0" w:rsidR="00623056" w:rsidRPr="000717E1" w:rsidRDefault="00623056" w:rsidP="00E13A0D">
            <w:pPr>
              <w:pStyle w:val="TableText0"/>
              <w:rPr>
                <w:sz w:val="20"/>
                <w:szCs w:val="20"/>
              </w:rPr>
            </w:pPr>
          </w:p>
        </w:tc>
        <w:tc>
          <w:tcPr>
            <w:tcW w:w="834" w:type="pct"/>
            <w:vMerge/>
            <w:vAlign w:val="center"/>
          </w:tcPr>
          <w:p w14:paraId="1A010303" w14:textId="77777777" w:rsidR="00623056" w:rsidRPr="000717E1" w:rsidRDefault="00623056">
            <w:pPr>
              <w:pStyle w:val="TableText0"/>
              <w:rPr>
                <w:sz w:val="20"/>
                <w:szCs w:val="20"/>
              </w:rPr>
            </w:pPr>
          </w:p>
        </w:tc>
      </w:tr>
      <w:tr w:rsidR="00342349" w:rsidRPr="000717E1" w14:paraId="4C7B4D5A" w14:textId="77777777" w:rsidTr="00623056">
        <w:trPr>
          <w:cantSplit/>
          <w:trHeight w:val="626"/>
        </w:trPr>
        <w:tc>
          <w:tcPr>
            <w:tcW w:w="508" w:type="pct"/>
            <w:vMerge/>
            <w:vAlign w:val="center"/>
          </w:tcPr>
          <w:p w14:paraId="49C932C3" w14:textId="77777777" w:rsidR="00623056" w:rsidRPr="000717E1" w:rsidRDefault="00623056">
            <w:pPr>
              <w:pStyle w:val="TableText0"/>
              <w:rPr>
                <w:sz w:val="20"/>
                <w:szCs w:val="20"/>
              </w:rPr>
            </w:pPr>
          </w:p>
        </w:tc>
        <w:tc>
          <w:tcPr>
            <w:tcW w:w="608" w:type="pct"/>
            <w:vMerge/>
            <w:vAlign w:val="center"/>
          </w:tcPr>
          <w:p w14:paraId="46AD3689" w14:textId="77777777" w:rsidR="00623056" w:rsidRPr="000717E1" w:rsidRDefault="00623056">
            <w:pPr>
              <w:pStyle w:val="TableText0"/>
              <w:rPr>
                <w:sz w:val="20"/>
                <w:szCs w:val="20"/>
              </w:rPr>
            </w:pPr>
          </w:p>
        </w:tc>
        <w:tc>
          <w:tcPr>
            <w:tcW w:w="489" w:type="pct"/>
            <w:vMerge/>
            <w:vAlign w:val="center"/>
          </w:tcPr>
          <w:p w14:paraId="7E11FB7C" w14:textId="77777777" w:rsidR="00623056" w:rsidRPr="000717E1" w:rsidRDefault="00623056">
            <w:pPr>
              <w:pStyle w:val="TableText0"/>
              <w:rPr>
                <w:sz w:val="20"/>
                <w:szCs w:val="20"/>
              </w:rPr>
            </w:pPr>
          </w:p>
        </w:tc>
        <w:tc>
          <w:tcPr>
            <w:tcW w:w="276" w:type="pct"/>
            <w:vMerge/>
            <w:vAlign w:val="center"/>
          </w:tcPr>
          <w:p w14:paraId="12E9BC76" w14:textId="77777777" w:rsidR="00623056" w:rsidRPr="000717E1" w:rsidRDefault="00623056">
            <w:pPr>
              <w:pStyle w:val="TableText0"/>
              <w:rPr>
                <w:sz w:val="20"/>
                <w:szCs w:val="20"/>
              </w:rPr>
            </w:pPr>
          </w:p>
        </w:tc>
        <w:tc>
          <w:tcPr>
            <w:tcW w:w="938" w:type="pct"/>
            <w:vMerge/>
            <w:vAlign w:val="center"/>
          </w:tcPr>
          <w:p w14:paraId="2BEFAA73" w14:textId="77777777" w:rsidR="00623056" w:rsidRPr="000717E1" w:rsidRDefault="00623056">
            <w:pPr>
              <w:pStyle w:val="TableText0"/>
              <w:rPr>
                <w:sz w:val="20"/>
                <w:szCs w:val="20"/>
              </w:rPr>
            </w:pPr>
          </w:p>
        </w:tc>
        <w:tc>
          <w:tcPr>
            <w:tcW w:w="1346" w:type="pct"/>
            <w:vMerge/>
            <w:vAlign w:val="center"/>
          </w:tcPr>
          <w:p w14:paraId="246ABE5E" w14:textId="1E9AF42A" w:rsidR="00623056" w:rsidRPr="000717E1" w:rsidRDefault="00623056" w:rsidP="00E13A0D">
            <w:pPr>
              <w:pStyle w:val="TableText0"/>
              <w:rPr>
                <w:sz w:val="20"/>
                <w:szCs w:val="20"/>
              </w:rPr>
            </w:pPr>
          </w:p>
        </w:tc>
        <w:tc>
          <w:tcPr>
            <w:tcW w:w="834" w:type="pct"/>
            <w:vMerge/>
            <w:vAlign w:val="center"/>
          </w:tcPr>
          <w:p w14:paraId="191818C7" w14:textId="77777777" w:rsidR="00623056" w:rsidRPr="000717E1" w:rsidRDefault="00623056">
            <w:pPr>
              <w:pStyle w:val="TableText0"/>
              <w:rPr>
                <w:sz w:val="20"/>
                <w:szCs w:val="20"/>
              </w:rPr>
            </w:pPr>
          </w:p>
        </w:tc>
      </w:tr>
      <w:tr w:rsidR="00342349" w:rsidRPr="000717E1" w14:paraId="5B27494A" w14:textId="77777777" w:rsidTr="00623056">
        <w:trPr>
          <w:cantSplit/>
          <w:trHeight w:val="97"/>
        </w:trPr>
        <w:tc>
          <w:tcPr>
            <w:tcW w:w="508" w:type="pct"/>
            <w:vMerge/>
            <w:vAlign w:val="center"/>
          </w:tcPr>
          <w:p w14:paraId="31536557" w14:textId="77777777" w:rsidR="00623056" w:rsidRPr="000717E1" w:rsidRDefault="00623056">
            <w:pPr>
              <w:pStyle w:val="TableText0"/>
              <w:rPr>
                <w:sz w:val="20"/>
                <w:szCs w:val="20"/>
              </w:rPr>
            </w:pPr>
          </w:p>
        </w:tc>
        <w:tc>
          <w:tcPr>
            <w:tcW w:w="608" w:type="pct"/>
            <w:vAlign w:val="center"/>
          </w:tcPr>
          <w:p w14:paraId="676386CE" w14:textId="77777777" w:rsidR="00623056" w:rsidRPr="000717E1" w:rsidRDefault="00623056">
            <w:pPr>
              <w:pStyle w:val="TableText0"/>
              <w:rPr>
                <w:sz w:val="20"/>
                <w:szCs w:val="20"/>
              </w:rPr>
            </w:pPr>
            <w:r w:rsidRPr="000717E1">
              <w:rPr>
                <w:sz w:val="20"/>
                <w:szCs w:val="20"/>
              </w:rPr>
              <w:t>ITT52</w:t>
            </w:r>
            <w:r w:rsidRPr="000717E1">
              <w:rPr>
                <w:sz w:val="20"/>
                <w:szCs w:val="20"/>
                <w:vertAlign w:val="superscript"/>
              </w:rPr>
              <w:t>a</w:t>
            </w:r>
          </w:p>
          <w:p w14:paraId="7037829F" w14:textId="77777777" w:rsidR="00623056" w:rsidRPr="000717E1" w:rsidRDefault="00623056">
            <w:pPr>
              <w:pStyle w:val="TableText0"/>
              <w:rPr>
                <w:sz w:val="20"/>
                <w:szCs w:val="20"/>
              </w:rPr>
            </w:pPr>
            <w:r w:rsidRPr="000717E1">
              <w:rPr>
                <w:sz w:val="20"/>
                <w:szCs w:val="20"/>
              </w:rPr>
              <w:t>Dupilumab, n=362</w:t>
            </w:r>
          </w:p>
          <w:p w14:paraId="1C9AFC49" w14:textId="77777777" w:rsidR="00623056" w:rsidRPr="000717E1" w:rsidRDefault="00623056">
            <w:pPr>
              <w:pStyle w:val="TableText0"/>
              <w:rPr>
                <w:sz w:val="20"/>
                <w:szCs w:val="20"/>
              </w:rPr>
            </w:pPr>
            <w:r w:rsidRPr="000717E1">
              <w:rPr>
                <w:sz w:val="20"/>
                <w:szCs w:val="20"/>
              </w:rPr>
              <w:t>Placebo, n=359</w:t>
            </w:r>
          </w:p>
        </w:tc>
        <w:tc>
          <w:tcPr>
            <w:tcW w:w="489" w:type="pct"/>
            <w:vMerge/>
            <w:vAlign w:val="center"/>
          </w:tcPr>
          <w:p w14:paraId="00CD2D01" w14:textId="77777777" w:rsidR="00623056" w:rsidRPr="000717E1" w:rsidRDefault="00623056">
            <w:pPr>
              <w:pStyle w:val="TableText0"/>
              <w:rPr>
                <w:sz w:val="20"/>
                <w:szCs w:val="20"/>
              </w:rPr>
            </w:pPr>
          </w:p>
        </w:tc>
        <w:tc>
          <w:tcPr>
            <w:tcW w:w="276" w:type="pct"/>
            <w:vMerge/>
            <w:vAlign w:val="center"/>
          </w:tcPr>
          <w:p w14:paraId="5A44207B" w14:textId="77777777" w:rsidR="00623056" w:rsidRPr="000717E1" w:rsidRDefault="00623056">
            <w:pPr>
              <w:pStyle w:val="TableText0"/>
              <w:rPr>
                <w:sz w:val="20"/>
                <w:szCs w:val="20"/>
              </w:rPr>
            </w:pPr>
          </w:p>
        </w:tc>
        <w:tc>
          <w:tcPr>
            <w:tcW w:w="938" w:type="pct"/>
            <w:vMerge/>
            <w:vAlign w:val="center"/>
          </w:tcPr>
          <w:p w14:paraId="029EF378" w14:textId="77777777" w:rsidR="00623056" w:rsidRPr="000717E1" w:rsidRDefault="00623056">
            <w:pPr>
              <w:pStyle w:val="TableText0"/>
              <w:rPr>
                <w:sz w:val="20"/>
                <w:szCs w:val="20"/>
              </w:rPr>
            </w:pPr>
          </w:p>
        </w:tc>
        <w:tc>
          <w:tcPr>
            <w:tcW w:w="1346" w:type="pct"/>
            <w:vMerge/>
            <w:vAlign w:val="center"/>
          </w:tcPr>
          <w:p w14:paraId="26EEE6F0" w14:textId="6FDA8A03" w:rsidR="00623056" w:rsidRPr="000717E1" w:rsidRDefault="00623056">
            <w:pPr>
              <w:pStyle w:val="TableText0"/>
              <w:rPr>
                <w:sz w:val="20"/>
                <w:szCs w:val="20"/>
              </w:rPr>
            </w:pPr>
          </w:p>
        </w:tc>
        <w:tc>
          <w:tcPr>
            <w:tcW w:w="834" w:type="pct"/>
            <w:vMerge/>
            <w:vAlign w:val="center"/>
          </w:tcPr>
          <w:p w14:paraId="40FD9419" w14:textId="77777777" w:rsidR="00623056" w:rsidRPr="000717E1" w:rsidRDefault="00623056">
            <w:pPr>
              <w:pStyle w:val="TableText0"/>
              <w:rPr>
                <w:sz w:val="20"/>
                <w:szCs w:val="20"/>
              </w:rPr>
            </w:pPr>
          </w:p>
        </w:tc>
      </w:tr>
    </w:tbl>
    <w:p w14:paraId="0D337D4B" w14:textId="77777777" w:rsidR="00A979D9" w:rsidRPr="000717E1" w:rsidRDefault="00A979D9" w:rsidP="00A979D9">
      <w:pPr>
        <w:pStyle w:val="FooterTableFigure"/>
      </w:pPr>
      <w:r w:rsidRPr="000717E1">
        <w:t>Source: Table 2.5-1 p71; Table 2.5-2 pp71-72 of the submission.</w:t>
      </w:r>
    </w:p>
    <w:p w14:paraId="0B5A5ED2" w14:textId="04C5A6A5" w:rsidR="00A979D9" w:rsidRPr="000717E1" w:rsidRDefault="00A979D9" w:rsidP="00A979D9">
      <w:pPr>
        <w:pStyle w:val="FooterTableFigure"/>
      </w:pPr>
      <w:r w:rsidRPr="000717E1">
        <w:t xml:space="preserve">AECOPD = </w:t>
      </w:r>
      <w:r w:rsidR="00F05C3E" w:rsidRPr="000717E1">
        <w:t>acute exacerbation(s) of</w:t>
      </w:r>
      <w:r w:rsidRPr="000717E1">
        <w:t xml:space="preserve"> COPD; COPD = chronic obstructive pulmonary disease; DB = double blind; </w:t>
      </w:r>
      <w:r w:rsidR="00160EDC">
        <w:t>BEC</w:t>
      </w:r>
      <w:r w:rsidRPr="000717E1">
        <w:t xml:space="preserve"> = </w:t>
      </w:r>
      <w:r w:rsidR="00160EDC">
        <w:t xml:space="preserve">blood </w:t>
      </w:r>
      <w:r w:rsidRPr="000717E1">
        <w:t>eosinophil</w:t>
      </w:r>
      <w:r w:rsidR="00160EDC">
        <w:t xml:space="preserve"> count</w:t>
      </w:r>
      <w:r w:rsidRPr="000717E1">
        <w:t>; E-RS: COPD = Evaluating Respiratory Symptoms in COPD; FEV</w:t>
      </w:r>
      <w:r w:rsidRPr="000717E1">
        <w:rPr>
          <w:vertAlign w:val="subscript"/>
        </w:rPr>
        <w:t>1</w:t>
      </w:r>
      <w:r w:rsidRPr="000717E1">
        <w:t xml:space="preserve"> = forced expiratory volume in one second; ICS = inhaled corticosteroid; ITT = intention to treat; LABA = long-acting beta-2 agonist; LAMA = long-acting muscarinic antagonist; MMRM = mixed-effect model with repeated measures; MRC = Medical Research Council; pre-BD = pre-bronchodilator; Q2W = every 2 weeks; R = randomised; SGRQ = St George Respiratory Questionnaire.</w:t>
      </w:r>
    </w:p>
    <w:p w14:paraId="24F45716" w14:textId="77777777" w:rsidR="00A979D9" w:rsidRPr="000717E1" w:rsidRDefault="00A979D9" w:rsidP="00A979D9">
      <w:pPr>
        <w:pStyle w:val="FooterTableFigure"/>
      </w:pPr>
      <w:proofErr w:type="spellStart"/>
      <w:r w:rsidRPr="000717E1">
        <w:rPr>
          <w:vertAlign w:val="superscript"/>
        </w:rPr>
        <w:t>a</w:t>
      </w:r>
      <w:proofErr w:type="spellEnd"/>
      <w:r w:rsidRPr="000717E1">
        <w:t xml:space="preserve"> The Opportunity to reach Week 52 population included patients who completed the 52-week study intervention period or would have completed had they not discontinued.</w:t>
      </w:r>
    </w:p>
    <w:p w14:paraId="4CBDB4B1" w14:textId="6F681430" w:rsidR="00A979D9" w:rsidRPr="000717E1" w:rsidRDefault="00A979D9" w:rsidP="00A979D9">
      <w:pPr>
        <w:pStyle w:val="FooterTableFigure"/>
      </w:pPr>
      <w:r w:rsidRPr="000717E1">
        <w:rPr>
          <w:vertAlign w:val="superscript"/>
        </w:rPr>
        <w:t>b</w:t>
      </w:r>
      <w:r w:rsidRPr="000717E1">
        <w:t xml:space="preserve"> </w:t>
      </w:r>
      <w:r w:rsidR="00D040DD" w:rsidRPr="000717E1">
        <w:t>Not all patients reach</w:t>
      </w:r>
      <w:r w:rsidR="00F05C3E" w:rsidRPr="000717E1">
        <w:t>ed</w:t>
      </w:r>
      <w:r w:rsidR="00D040DD" w:rsidRPr="000717E1">
        <w:t xml:space="preserve"> Week 52 as</w:t>
      </w:r>
      <w:r w:rsidR="00F05C3E" w:rsidRPr="000717E1">
        <w:t xml:space="preserve"> the</w:t>
      </w:r>
      <w:r w:rsidR="00D040DD" w:rsidRPr="000717E1">
        <w:t xml:space="preserve"> trial was terminated early.</w:t>
      </w:r>
    </w:p>
    <w:p w14:paraId="5CBDAFC8" w14:textId="77777777" w:rsidR="00216445" w:rsidRPr="000717E1" w:rsidRDefault="00216445" w:rsidP="00216445">
      <w:pPr>
        <w:pStyle w:val="3-BodyText"/>
      </w:pPr>
      <w:r w:rsidRPr="000717E1">
        <w:t>Overall, the risk of bias in the studies was considered low across the domains of selection bias, performance bias, detection bias, attrition bias and reporting bias, as they were randomised, double-blinded studies with independent committees that evaluated the safety and efficacy data, and adjudicated safety events. As the NOTUS trial ended early, not all patients completed the 52-week study period. Due to the high proportion of patients who did complete the 52-week study intervention period (721, 77%), the power of the study to detect a significant change in the primary outcome was not changed.</w:t>
      </w:r>
    </w:p>
    <w:p w14:paraId="23495028" w14:textId="22CC89AD" w:rsidR="006D7F7F" w:rsidRPr="000717E1" w:rsidRDefault="00216445" w:rsidP="00C553BF">
      <w:pPr>
        <w:pStyle w:val="3-BodyText"/>
      </w:pPr>
      <w:r w:rsidRPr="000717E1">
        <w:t>The submission did not nominate a minimal clinically important difference (MCID) for the primary outcome</w:t>
      </w:r>
      <w:r w:rsidR="00AC7E20" w:rsidRPr="000717E1">
        <w:t>.</w:t>
      </w:r>
      <w:r w:rsidR="00A77038" w:rsidRPr="000717E1">
        <w:t xml:space="preserve"> There is no validated MCID for exacerbations in COPD. The PBAC has previously </w:t>
      </w:r>
      <w:r w:rsidR="00BC7075" w:rsidRPr="000717E1">
        <w:t>considered</w:t>
      </w:r>
      <w:r w:rsidR="00A77038" w:rsidRPr="000717E1">
        <w:t xml:space="preserve"> an MCID of 9% to 54% for annual rates of all grades of exacerbations, but considered that the baseline rate, exacerbation severity and study duration were required for interpretation of the MCID (para 6.10, fluticasone furoate with umeclidinium and vilanterol </w:t>
      </w:r>
      <w:r w:rsidR="00CB2C03" w:rsidRPr="000717E1">
        <w:t>PSD</w:t>
      </w:r>
      <w:r w:rsidR="00A77038" w:rsidRPr="000717E1">
        <w:t xml:space="preserve">, March 2019 PBAC </w:t>
      </w:r>
      <w:r w:rsidR="00CB2C03" w:rsidRPr="000717E1">
        <w:t>m</w:t>
      </w:r>
      <w:r w:rsidR="00A77038" w:rsidRPr="000717E1">
        <w:t xml:space="preserve">eeting). </w:t>
      </w:r>
      <w:r w:rsidR="00DC7833" w:rsidRPr="000717E1">
        <w:t xml:space="preserve">The submission did not nominate an MCID for the </w:t>
      </w:r>
      <w:r w:rsidR="00A74D8E" w:rsidRPr="000717E1">
        <w:t xml:space="preserve">key secondary endpoint of </w:t>
      </w:r>
      <w:r w:rsidR="00CB2C03" w:rsidRPr="000717E1">
        <w:t xml:space="preserve">change </w:t>
      </w:r>
      <w:r w:rsidR="00AC7E20" w:rsidRPr="000717E1">
        <w:t xml:space="preserve">from baseline </w:t>
      </w:r>
      <w:r w:rsidR="00CB2C03" w:rsidRPr="000717E1">
        <w:t xml:space="preserve">in </w:t>
      </w:r>
      <w:r w:rsidR="00DC7833" w:rsidRPr="000717E1">
        <w:t>pre-BD FEV</w:t>
      </w:r>
      <w:r w:rsidR="00DC7833" w:rsidRPr="000717E1">
        <w:rPr>
          <w:vertAlign w:val="subscript"/>
        </w:rPr>
        <w:t>1</w:t>
      </w:r>
      <w:r w:rsidR="00DC7833" w:rsidRPr="000717E1">
        <w:t>.</w:t>
      </w:r>
      <w:r w:rsidR="00AC7E20" w:rsidRPr="000717E1">
        <w:t xml:space="preserve"> </w:t>
      </w:r>
      <w:r w:rsidR="00623056" w:rsidRPr="000717E1">
        <w:t>While t</w:t>
      </w:r>
      <w:r w:rsidR="00AC7E20" w:rsidRPr="000717E1">
        <w:t>he PBAC has previously considered</w:t>
      </w:r>
      <w:r w:rsidR="00623056" w:rsidRPr="000717E1">
        <w:t xml:space="preserve"> MCIDs for</w:t>
      </w:r>
      <w:r w:rsidR="00AC7E20" w:rsidRPr="000717E1">
        <w:t xml:space="preserve"> </w:t>
      </w:r>
      <w:r w:rsidR="005C66E2" w:rsidRPr="000717E1">
        <w:t xml:space="preserve">trough </w:t>
      </w:r>
      <w:r w:rsidR="00AC7E20" w:rsidRPr="000717E1">
        <w:t>FEV</w:t>
      </w:r>
      <w:r w:rsidR="00AC7E20" w:rsidRPr="000717E1">
        <w:rPr>
          <w:vertAlign w:val="subscript"/>
        </w:rPr>
        <w:t>1</w:t>
      </w:r>
      <w:r w:rsidR="00AC7E20" w:rsidRPr="000717E1">
        <w:t xml:space="preserve"> </w:t>
      </w:r>
      <w:r w:rsidR="00623056" w:rsidRPr="000717E1">
        <w:t>or ppFEV</w:t>
      </w:r>
      <w:r w:rsidR="00623056" w:rsidRPr="000717E1">
        <w:rPr>
          <w:vertAlign w:val="subscript"/>
        </w:rPr>
        <w:t>1</w:t>
      </w:r>
      <w:r w:rsidR="00623056" w:rsidRPr="000717E1">
        <w:t>, it has not previously considered an MCID for pre-BD FEV</w:t>
      </w:r>
      <w:r w:rsidR="00623056" w:rsidRPr="000717E1">
        <w:rPr>
          <w:vertAlign w:val="subscript"/>
        </w:rPr>
        <w:t>1</w:t>
      </w:r>
      <w:r w:rsidR="00623056" w:rsidRPr="000717E1">
        <w:t xml:space="preserve">. </w:t>
      </w:r>
    </w:p>
    <w:p w14:paraId="76634AC6" w14:textId="7AFA5534" w:rsidR="00623056" w:rsidRPr="000717E1" w:rsidRDefault="00216445" w:rsidP="00A979D9">
      <w:pPr>
        <w:pStyle w:val="3-BodyText"/>
      </w:pPr>
      <w:r w:rsidRPr="000717E1">
        <w:t>The submission nominated an MCID</w:t>
      </w:r>
      <w:r w:rsidR="00811773" w:rsidRPr="000717E1">
        <w:t xml:space="preserve"> of </w:t>
      </w:r>
      <w:r w:rsidRPr="000717E1">
        <w:t>a change of 4 unit difference compared to placebo in the SGRQ total score at week 52</w:t>
      </w:r>
      <w:r w:rsidR="006B7E22" w:rsidRPr="000717E1">
        <w:t xml:space="preserve"> based on Jones (2005). </w:t>
      </w:r>
      <w:r w:rsidR="00A77038" w:rsidRPr="000717E1">
        <w:t xml:space="preserve">The PBAC has </w:t>
      </w:r>
      <w:r w:rsidR="00A77038" w:rsidRPr="000717E1">
        <w:lastRenderedPageBreak/>
        <w:t xml:space="preserve">previously </w:t>
      </w:r>
      <w:r w:rsidR="00B97616" w:rsidRPr="000717E1">
        <w:t>considered</w:t>
      </w:r>
      <w:r w:rsidR="00A77038" w:rsidRPr="000717E1">
        <w:t xml:space="preserve"> this MCID (para 6.23, beclometasone with formoterol and glycopyrronium PSD, Nov 2020 PBAC meeting). An MCID of 4 has been widely used in clinical practice. </w:t>
      </w:r>
      <w:r w:rsidR="003838CB" w:rsidRPr="000717E1">
        <w:t>However, r</w:t>
      </w:r>
      <w:r w:rsidR="00A77038" w:rsidRPr="000717E1">
        <w:t>ecent evidence suggests the MCID should be higher (approximately 7</w:t>
      </w:r>
      <w:r w:rsidR="00A4661A" w:rsidRPr="000717E1">
        <w:t xml:space="preserve"> unit change</w:t>
      </w:r>
      <w:r w:rsidR="00A77038" w:rsidRPr="000717E1">
        <w:t>).</w:t>
      </w:r>
      <w:r w:rsidR="00A77038" w:rsidRPr="000717E1">
        <w:rPr>
          <w:rStyle w:val="FootnoteReference"/>
        </w:rPr>
        <w:footnoteReference w:id="4"/>
      </w:r>
    </w:p>
    <w:p w14:paraId="6D8A32D2" w14:textId="155DE5A7" w:rsidR="00A979D9" w:rsidRPr="000717E1" w:rsidRDefault="00A979D9" w:rsidP="00A979D9">
      <w:pPr>
        <w:pStyle w:val="3-BodyText"/>
      </w:pPr>
      <w:r w:rsidRPr="000717E1">
        <w:t>In the BOREAS trial, the intention to treat (ITT) population was the basis of analysis for</w:t>
      </w:r>
      <w:r w:rsidR="00737B15" w:rsidRPr="000717E1">
        <w:t xml:space="preserve"> the</w:t>
      </w:r>
      <w:r w:rsidRPr="000717E1">
        <w:t xml:space="preserve"> primary and secondary endpoints. At the time of the data cut-off (8</w:t>
      </w:r>
      <w:r w:rsidR="003E4A86">
        <w:t> </w:t>
      </w:r>
      <w:r w:rsidRPr="000717E1">
        <w:t>February</w:t>
      </w:r>
      <w:r w:rsidR="003E4A86">
        <w:t> </w:t>
      </w:r>
      <w:r w:rsidRPr="000717E1">
        <w:t>2023) all patients had completed their 52-week visit.</w:t>
      </w:r>
    </w:p>
    <w:p w14:paraId="69CCA6E9" w14:textId="06353038" w:rsidR="00A979D9" w:rsidRPr="000717E1" w:rsidRDefault="00A979D9" w:rsidP="00A979D9">
      <w:pPr>
        <w:pStyle w:val="3-BodyText"/>
      </w:pPr>
      <w:r w:rsidRPr="000717E1">
        <w:t>In the NOTUS trial</w:t>
      </w:r>
      <w:r w:rsidR="00737B15" w:rsidRPr="000717E1">
        <w:t>,</w:t>
      </w:r>
      <w:r w:rsidRPr="000717E1">
        <w:t xml:space="preserve"> two populations were used in the analysis. The data cut-off was 29</w:t>
      </w:r>
      <w:r w:rsidR="003E4A86">
        <w:t> </w:t>
      </w:r>
      <w:r w:rsidRPr="000717E1">
        <w:t>September 2023. At this date,</w:t>
      </w:r>
    </w:p>
    <w:p w14:paraId="6B2C25F6" w14:textId="3E24DA9D" w:rsidR="00A979D9" w:rsidRPr="000717E1" w:rsidRDefault="00A979D9" w:rsidP="0060791D">
      <w:pPr>
        <w:pStyle w:val="3-BodyText"/>
        <w:numPr>
          <w:ilvl w:val="0"/>
          <w:numId w:val="7"/>
        </w:numPr>
        <w:ind w:left="1134"/>
      </w:pPr>
      <w:r w:rsidRPr="000717E1">
        <w:t>ITT population: included all randomised patients who completed follow-up for the key secondary endpoint of change from baseline in FEV</w:t>
      </w:r>
      <w:r w:rsidRPr="000717E1">
        <w:rPr>
          <w:vertAlign w:val="subscript"/>
        </w:rPr>
        <w:t>1</w:t>
      </w:r>
      <w:r w:rsidRPr="000717E1">
        <w:t xml:space="preserve"> at Week 12. At the time when the last patient had completed their Week 12 visit</w:t>
      </w:r>
      <w:r w:rsidR="00737B15" w:rsidRPr="000717E1">
        <w:t xml:space="preserve">, </w:t>
      </w:r>
      <w:r w:rsidRPr="000717E1">
        <w:t>70.9% of all patients had completed</w:t>
      </w:r>
      <w:r w:rsidR="002B18F8" w:rsidRPr="000717E1">
        <w:t xml:space="preserve"> the 52-week study intervention period</w:t>
      </w:r>
      <w:r w:rsidRPr="000717E1">
        <w:t>, 9.0% had discontinued and 20.0% were still ongoing. This population was the basis of analysis for the primary efficacy endpoint and key secondary endpoint</w:t>
      </w:r>
      <w:r w:rsidR="00737B15" w:rsidRPr="000717E1">
        <w:t>s</w:t>
      </w:r>
      <w:r w:rsidRPr="000717E1">
        <w:t xml:space="preserve"> of time to first moderate/severe</w:t>
      </w:r>
      <w:r w:rsidR="00893DA3" w:rsidRPr="000717E1">
        <w:t xml:space="preserve"> </w:t>
      </w:r>
      <w:r w:rsidRPr="000717E1">
        <w:t>AECOPD</w:t>
      </w:r>
      <w:r w:rsidR="00737B15" w:rsidRPr="000717E1">
        <w:t>,</w:t>
      </w:r>
      <w:r w:rsidRPr="000717E1">
        <w:t xml:space="preserve"> and change in pre-BD FEV</w:t>
      </w:r>
      <w:r w:rsidRPr="000717E1">
        <w:rPr>
          <w:vertAlign w:val="subscript"/>
        </w:rPr>
        <w:t xml:space="preserve">1 </w:t>
      </w:r>
      <w:r w:rsidRPr="000717E1">
        <w:t>at Week 12.</w:t>
      </w:r>
    </w:p>
    <w:p w14:paraId="17B94F19" w14:textId="04AB530E" w:rsidR="00A979D9" w:rsidRPr="000717E1" w:rsidRDefault="00A979D9" w:rsidP="0060791D">
      <w:pPr>
        <w:pStyle w:val="3-BodyText"/>
        <w:numPr>
          <w:ilvl w:val="0"/>
          <w:numId w:val="7"/>
        </w:numPr>
        <w:ind w:left="1134"/>
      </w:pPr>
      <w:r w:rsidRPr="000717E1">
        <w:t xml:space="preserve">ITT with opportunity to reach Week 52 population: included patients who completed the 52-week intervention period or would have had the opportunity </w:t>
      </w:r>
      <w:r w:rsidR="00737B15" w:rsidRPr="000717E1">
        <w:t xml:space="preserve">to </w:t>
      </w:r>
      <w:r w:rsidRPr="000717E1">
        <w:t xml:space="preserve">complete 52 weeks (based on their time since their study enrolment) had they not discontinued. This was the basis of analysis for </w:t>
      </w:r>
      <w:r w:rsidR="00042DFD" w:rsidRPr="000717E1">
        <w:t>the patient reported</w:t>
      </w:r>
      <w:r w:rsidRPr="000717E1">
        <w:t xml:space="preserve"> secondary endpoints.</w:t>
      </w:r>
    </w:p>
    <w:p w14:paraId="5BEF6E9A" w14:textId="067EA00F" w:rsidR="00B563ED" w:rsidRPr="000717E1" w:rsidRDefault="00A979D9" w:rsidP="00506D6F">
      <w:pPr>
        <w:pStyle w:val="3-BodyText"/>
        <w:numPr>
          <w:ilvl w:val="0"/>
          <w:numId w:val="0"/>
        </w:numPr>
        <w:ind w:left="720"/>
      </w:pPr>
      <w:r w:rsidRPr="000717E1">
        <w:t xml:space="preserve">Overall, the assessment of the results following the </w:t>
      </w:r>
      <w:r w:rsidR="00976B11" w:rsidRPr="000717E1">
        <w:t>interim analysis</w:t>
      </w:r>
      <w:r w:rsidRPr="000717E1">
        <w:t xml:space="preserve"> </w:t>
      </w:r>
      <w:r w:rsidR="00C776F7" w:rsidRPr="000717E1">
        <w:t xml:space="preserve">of the NOTUS trial </w:t>
      </w:r>
      <w:r w:rsidRPr="000717E1">
        <w:t xml:space="preserve">was considered appropriate </w:t>
      </w:r>
      <w:r w:rsidR="00D96479" w:rsidRPr="001F3F0F">
        <w:rPr>
          <w:iCs/>
        </w:rPr>
        <w:t>by the evaluation</w:t>
      </w:r>
      <w:r w:rsidR="00D96479" w:rsidRPr="000717E1">
        <w:t xml:space="preserve"> </w:t>
      </w:r>
      <w:r w:rsidRPr="000717E1">
        <w:t xml:space="preserve">and unlikely to have introduced bias due to the early stopping of the trial. </w:t>
      </w:r>
      <w:r w:rsidR="00B563ED" w:rsidRPr="000717E1">
        <w:t>The submission also presented the pooled ITT efficacy and safety analysis. The submission justified this approach as the studies have very similar designs.</w:t>
      </w:r>
    </w:p>
    <w:p w14:paraId="551D5341" w14:textId="51A03D23" w:rsidR="009F3BF5" w:rsidRPr="000717E1" w:rsidRDefault="00A979D9" w:rsidP="001B313F">
      <w:pPr>
        <w:pStyle w:val="3-BodyText"/>
      </w:pPr>
      <w:bookmarkStart w:id="38" w:name="_Ref221622437"/>
      <w:r w:rsidRPr="000717E1">
        <w:t>Baseline characteristics were</w:t>
      </w:r>
      <w:r w:rsidR="00C7230B" w:rsidRPr="000717E1">
        <w:t xml:space="preserve"> generally</w:t>
      </w:r>
      <w:r w:rsidRPr="000717E1">
        <w:t xml:space="preserve"> balanced between the two arms in each trial</w:t>
      </w:r>
      <w:r w:rsidR="006C4C72" w:rsidRPr="000717E1">
        <w:t xml:space="preserve">. </w:t>
      </w:r>
      <w:r w:rsidR="00743C48" w:rsidRPr="000717E1">
        <w:t>However, w</w:t>
      </w:r>
      <w:r w:rsidR="006C4C72" w:rsidRPr="000717E1">
        <w:t xml:space="preserve">hile the mean number of </w:t>
      </w:r>
      <w:r w:rsidR="00FB282F" w:rsidRPr="000717E1">
        <w:t xml:space="preserve">moderate or severe COPD exacerbations experienced </w:t>
      </w:r>
      <w:r w:rsidR="000F41C5" w:rsidRPr="000717E1">
        <w:t>within the year prior to visit 1 were</w:t>
      </w:r>
      <w:r w:rsidR="00743C48" w:rsidRPr="000717E1">
        <w:t xml:space="preserve"> </w:t>
      </w:r>
      <w:r w:rsidR="00345F7D" w:rsidRPr="000717E1">
        <w:t>consistent at baseline (2.3 events in BOREAS vs 2.1 in NOTUS), differences were ev</w:t>
      </w:r>
      <w:r w:rsidR="00035CDC" w:rsidRPr="000717E1">
        <w:t>ident in the</w:t>
      </w:r>
      <w:r w:rsidRPr="000717E1">
        <w:t xml:space="preserve"> proportion of patients who had </w:t>
      </w:r>
      <w:r w:rsidR="008A1ED0" w:rsidRPr="000717E1">
        <w:t xml:space="preserve">experienced </w:t>
      </w:r>
      <w:r w:rsidRPr="000717E1">
        <w:rPr>
          <w:rFonts w:cstheme="minorHAnsi"/>
        </w:rPr>
        <w:t>≥</w:t>
      </w:r>
      <w:r w:rsidRPr="000717E1">
        <w:t xml:space="preserve"> 3 exacerbations</w:t>
      </w:r>
      <w:r w:rsidR="00B6533F" w:rsidRPr="000717E1">
        <w:t xml:space="preserve"> </w:t>
      </w:r>
      <w:r w:rsidR="00035CDC" w:rsidRPr="000717E1">
        <w:t>over that period</w:t>
      </w:r>
      <w:r w:rsidR="001F14F6" w:rsidRPr="000717E1">
        <w:t xml:space="preserve">. </w:t>
      </w:r>
      <w:r w:rsidRPr="000717E1">
        <w:t>The total proportion of patients who had</w:t>
      </w:r>
      <w:r w:rsidR="007F2331" w:rsidRPr="000717E1">
        <w:t xml:space="preserve"> experienced</w:t>
      </w:r>
      <w:r w:rsidRPr="000717E1">
        <w:t xml:space="preserve"> 3 exacerbations </w:t>
      </w:r>
      <w:r w:rsidR="007F2331" w:rsidRPr="000717E1">
        <w:t xml:space="preserve">within the year prior to visit 1 </w:t>
      </w:r>
      <w:r w:rsidRPr="000717E1">
        <w:t>was higher in BOREAS versus NOTUS (15.7% versus 11.4%). This proportion was lower in the dupilumab arm versus placebo</w:t>
      </w:r>
      <w:r w:rsidR="00B0232C" w:rsidRPr="000717E1">
        <w:t xml:space="preserve"> arm</w:t>
      </w:r>
      <w:r w:rsidRPr="000717E1">
        <w:t xml:space="preserve"> in BOREAS (12.1% versus 19.1%) but not in NOTUS (12.1% versus 10.8%). The proportion of patients in the placebo arm of BOREAS who reported 3 exacerbations was higher than that reported in the placebo arm of NOTUS.</w:t>
      </w:r>
      <w:r w:rsidR="00B80DF4" w:rsidRPr="000717E1">
        <w:t xml:space="preserve"> </w:t>
      </w:r>
      <w:r w:rsidRPr="000717E1">
        <w:t xml:space="preserve">The total proportion of patients who had ≥ 4 exacerbations was </w:t>
      </w:r>
      <w:r w:rsidR="0071276D" w:rsidRPr="000717E1">
        <w:t xml:space="preserve">also </w:t>
      </w:r>
      <w:r w:rsidRPr="000717E1">
        <w:t xml:space="preserve">higher in BOREAS versus NOTUS (7.7% versus 4.8%). </w:t>
      </w:r>
      <w:r w:rsidR="00B8376A" w:rsidRPr="001F3F0F">
        <w:rPr>
          <w:iCs/>
        </w:rPr>
        <w:t>The evaluation noted that</w:t>
      </w:r>
      <w:r w:rsidR="00B8376A" w:rsidRPr="000717E1">
        <w:t xml:space="preserve"> p</w:t>
      </w:r>
      <w:r w:rsidRPr="000717E1">
        <w:t xml:space="preserve">atients in BOREAS may </w:t>
      </w:r>
      <w:r w:rsidRPr="000717E1">
        <w:lastRenderedPageBreak/>
        <w:t>have had more severe COPD as measured by exacerbation history</w:t>
      </w:r>
      <w:r w:rsidR="00B8376A" w:rsidRPr="000717E1">
        <w:t xml:space="preserve"> </w:t>
      </w:r>
      <w:r w:rsidR="00B8376A" w:rsidRPr="001F3F0F">
        <w:rPr>
          <w:iCs/>
        </w:rPr>
        <w:t>and considered</w:t>
      </w:r>
      <w:r w:rsidR="00B8376A" w:rsidRPr="000717E1">
        <w:t xml:space="preserve"> </w:t>
      </w:r>
      <w:r w:rsidR="00A2376B" w:rsidRPr="001F3F0F">
        <w:rPr>
          <w:iCs/>
        </w:rPr>
        <w:t>that</w:t>
      </w:r>
      <w:r w:rsidR="00A2376B" w:rsidRPr="000717E1">
        <w:t xml:space="preserve"> </w:t>
      </w:r>
      <w:r w:rsidRPr="000717E1">
        <w:t>it was not clear whether the approach to pooling taken by the submission was appropriate</w:t>
      </w:r>
      <w:r w:rsidR="00B8376A" w:rsidRPr="000717E1">
        <w:t>.</w:t>
      </w:r>
      <w:r w:rsidR="008B6C38" w:rsidRPr="000717E1">
        <w:t xml:space="preserve"> </w:t>
      </w:r>
      <w:r w:rsidR="0054450E" w:rsidRPr="001F3F0F">
        <w:rPr>
          <w:iCs/>
        </w:rPr>
        <w:t xml:space="preserve">The PSCR </w:t>
      </w:r>
      <w:r w:rsidR="00413F81" w:rsidRPr="001F3F0F">
        <w:rPr>
          <w:iCs/>
        </w:rPr>
        <w:t xml:space="preserve">acknowledged there is a small difference in the baseline exacerbation profile across the </w:t>
      </w:r>
      <w:r w:rsidR="00602003" w:rsidRPr="001F3F0F">
        <w:rPr>
          <w:iCs/>
        </w:rPr>
        <w:t>studies but</w:t>
      </w:r>
      <w:r w:rsidR="00413F81" w:rsidRPr="001F3F0F">
        <w:rPr>
          <w:iCs/>
        </w:rPr>
        <w:t xml:space="preserve"> </w:t>
      </w:r>
      <w:r w:rsidR="0051731C" w:rsidRPr="001F3F0F">
        <w:rPr>
          <w:iCs/>
        </w:rPr>
        <w:t>noted</w:t>
      </w:r>
      <w:r w:rsidR="00413F81" w:rsidRPr="001F3F0F">
        <w:rPr>
          <w:iCs/>
        </w:rPr>
        <w:t xml:space="preserve"> that exacerbation history is not the only factor which determines COPD severity. The </w:t>
      </w:r>
      <w:r w:rsidR="002F018D" w:rsidRPr="001F3F0F">
        <w:rPr>
          <w:iCs/>
        </w:rPr>
        <w:t xml:space="preserve">PSCR </w:t>
      </w:r>
      <w:r w:rsidR="0051731C" w:rsidRPr="001F3F0F">
        <w:rPr>
          <w:iCs/>
        </w:rPr>
        <w:t>argued</w:t>
      </w:r>
      <w:r w:rsidR="002F018D" w:rsidRPr="001F3F0F">
        <w:rPr>
          <w:iCs/>
        </w:rPr>
        <w:t xml:space="preserve"> that lung function impairment, as measured by the level of airflow obstruction (FEV</w:t>
      </w:r>
      <w:r w:rsidR="002F018D" w:rsidRPr="001F3F0F">
        <w:rPr>
          <w:iCs/>
          <w:vertAlign w:val="subscript"/>
        </w:rPr>
        <w:t>1</w:t>
      </w:r>
      <w:r w:rsidR="002F018D" w:rsidRPr="001F3F0F">
        <w:rPr>
          <w:iCs/>
        </w:rPr>
        <w:t xml:space="preserve">) </w:t>
      </w:r>
      <w:r w:rsidR="0051731C" w:rsidRPr="001F3F0F">
        <w:rPr>
          <w:iCs/>
        </w:rPr>
        <w:t xml:space="preserve">was also important and noted that </w:t>
      </w:r>
      <w:r w:rsidR="00B907BE" w:rsidRPr="001F3F0F">
        <w:rPr>
          <w:iCs/>
        </w:rPr>
        <w:t>it was consistent across both BOREAS and NOTUS.</w:t>
      </w:r>
      <w:r w:rsidR="002D4544" w:rsidRPr="001F3F0F">
        <w:rPr>
          <w:iCs/>
        </w:rPr>
        <w:t xml:space="preserve"> </w:t>
      </w:r>
      <w:r w:rsidR="00955369" w:rsidRPr="001F3F0F">
        <w:rPr>
          <w:iCs/>
        </w:rPr>
        <w:t xml:space="preserve">The PSCR </w:t>
      </w:r>
      <w:r w:rsidR="00446E28" w:rsidRPr="001F3F0F">
        <w:rPr>
          <w:iCs/>
        </w:rPr>
        <w:t>also noted</w:t>
      </w:r>
      <w:r w:rsidR="00955369" w:rsidRPr="001F3F0F">
        <w:rPr>
          <w:iCs/>
        </w:rPr>
        <w:t xml:space="preserve"> that the pooled results from BOREAS and NOTUS </w:t>
      </w:r>
      <w:r w:rsidR="00446E28" w:rsidRPr="001F3F0F">
        <w:rPr>
          <w:iCs/>
        </w:rPr>
        <w:t>were</w:t>
      </w:r>
      <w:r w:rsidR="00955369" w:rsidRPr="001F3F0F">
        <w:rPr>
          <w:iCs/>
        </w:rPr>
        <w:t xml:space="preserve"> part of a pre-specified protocol to increase the statistical power</w:t>
      </w:r>
      <w:r w:rsidR="00520E52" w:rsidRPr="001F3F0F">
        <w:rPr>
          <w:iCs/>
        </w:rPr>
        <w:t xml:space="preserve">. The Sub-Committees agreed with the PSCR that </w:t>
      </w:r>
      <w:r w:rsidR="00955369" w:rsidRPr="001F3F0F">
        <w:rPr>
          <w:iCs/>
        </w:rPr>
        <w:t>the</w:t>
      </w:r>
      <w:r w:rsidR="00520E52" w:rsidRPr="001F3F0F">
        <w:rPr>
          <w:iCs/>
        </w:rPr>
        <w:t xml:space="preserve"> pooled</w:t>
      </w:r>
      <w:r w:rsidR="00955369" w:rsidRPr="001F3F0F">
        <w:rPr>
          <w:iCs/>
        </w:rPr>
        <w:t xml:space="preserve"> analyses</w:t>
      </w:r>
      <w:r w:rsidR="00446E28" w:rsidRPr="001F3F0F">
        <w:rPr>
          <w:iCs/>
        </w:rPr>
        <w:t xml:space="preserve"> </w:t>
      </w:r>
      <w:r w:rsidR="00B35FC3" w:rsidRPr="001F3F0F">
        <w:rPr>
          <w:iCs/>
        </w:rPr>
        <w:t xml:space="preserve">were likely to be the most </w:t>
      </w:r>
      <w:r w:rsidR="00955369" w:rsidRPr="001F3F0F">
        <w:rPr>
          <w:iCs/>
        </w:rPr>
        <w:t xml:space="preserve">robust and appropriate data </w:t>
      </w:r>
      <w:r w:rsidR="000040E8" w:rsidRPr="001F3F0F">
        <w:rPr>
          <w:iCs/>
        </w:rPr>
        <w:t xml:space="preserve">that was available </w:t>
      </w:r>
      <w:r w:rsidR="00955369" w:rsidRPr="001F3F0F">
        <w:rPr>
          <w:iCs/>
        </w:rPr>
        <w:t>for determining the clinical and cost-effectiveness of dupilumab.</w:t>
      </w:r>
      <w:bookmarkEnd w:id="38"/>
      <w:r w:rsidR="00955369" w:rsidRPr="001F3F0F">
        <w:rPr>
          <w:iCs/>
        </w:rPr>
        <w:t xml:space="preserve"> </w:t>
      </w:r>
    </w:p>
    <w:p w14:paraId="59B4D167" w14:textId="77777777" w:rsidR="00A979D9" w:rsidRPr="000717E1" w:rsidRDefault="00A979D9" w:rsidP="009F3BF5">
      <w:pPr>
        <w:pStyle w:val="4-SubsectionHeading"/>
      </w:pPr>
      <w:bookmarkStart w:id="39" w:name="_Toc22897641"/>
      <w:bookmarkStart w:id="40" w:name="_Toc216174091"/>
      <w:bookmarkStart w:id="41" w:name="_Toc219880041"/>
      <w:r w:rsidRPr="000717E1">
        <w:t>Comparative effectiveness</w:t>
      </w:r>
      <w:bookmarkEnd w:id="39"/>
      <w:bookmarkEnd w:id="40"/>
      <w:bookmarkEnd w:id="41"/>
    </w:p>
    <w:p w14:paraId="08D2318A" w14:textId="77777777" w:rsidR="00A979D9" w:rsidRPr="000717E1" w:rsidRDefault="00A979D9" w:rsidP="00A979D9">
      <w:pPr>
        <w:pStyle w:val="3-BodyText"/>
        <w:numPr>
          <w:ilvl w:val="0"/>
          <w:numId w:val="0"/>
        </w:numPr>
        <w:ind w:left="720" w:hanging="720"/>
        <w:rPr>
          <w:u w:val="single"/>
          <w:lang w:eastAsia="en-US"/>
        </w:rPr>
      </w:pPr>
      <w:r w:rsidRPr="000717E1">
        <w:rPr>
          <w:u w:val="single"/>
          <w:lang w:eastAsia="en-US"/>
        </w:rPr>
        <w:t>Primary endpoint: moderate to severe AECOPD</w:t>
      </w:r>
    </w:p>
    <w:p w14:paraId="02C33BCD" w14:textId="29D18591" w:rsidR="00A979D9" w:rsidRPr="000717E1" w:rsidRDefault="00A979D9" w:rsidP="00A979D9">
      <w:pPr>
        <w:pStyle w:val="3-BodyText"/>
      </w:pPr>
      <w:r w:rsidRPr="000717E1">
        <w:t>Overall, dupilumab led to a statistically significant reduction in the annualised rate of moderate or severe AECOPD compared to placebo (</w:t>
      </w:r>
      <w:r w:rsidRPr="000717E1">
        <w:fldChar w:fldCharType="begin"/>
      </w:r>
      <w:r w:rsidRPr="000717E1">
        <w:instrText xml:space="preserve"> REF _Ref216027819 \h </w:instrText>
      </w:r>
      <w:r w:rsidRPr="000717E1">
        <w:fldChar w:fldCharType="separate"/>
      </w:r>
      <w:r w:rsidR="00281F45" w:rsidRPr="000717E1">
        <w:t xml:space="preserve">Table </w:t>
      </w:r>
      <w:r w:rsidR="00281F45">
        <w:rPr>
          <w:noProof/>
        </w:rPr>
        <w:t>4</w:t>
      </w:r>
      <w:r w:rsidRPr="000717E1">
        <w:fldChar w:fldCharType="end"/>
      </w:r>
      <w:r w:rsidRPr="000717E1">
        <w:t xml:space="preserve">). The </w:t>
      </w:r>
      <w:r w:rsidR="006C0A4F" w:rsidRPr="001F3F0F">
        <w:rPr>
          <w:iCs/>
        </w:rPr>
        <w:t xml:space="preserve">Sub-Committees noted the </w:t>
      </w:r>
      <w:r w:rsidRPr="000717E1">
        <w:t>results show a greater reduction in NOTUS compared to BOREAS</w:t>
      </w:r>
      <w:r w:rsidR="008F67B7" w:rsidRPr="000717E1">
        <w:t xml:space="preserve"> </w:t>
      </w:r>
      <w:r w:rsidR="008F67B7" w:rsidRPr="001F3F0F">
        <w:rPr>
          <w:iCs/>
        </w:rPr>
        <w:t>(risk difference</w:t>
      </w:r>
      <w:r w:rsidR="0024167F" w:rsidRPr="001F3F0F">
        <w:rPr>
          <w:iCs/>
        </w:rPr>
        <w:t>: 0.44 vs. 0.32, respectively)</w:t>
      </w:r>
      <w:r w:rsidRPr="001F3F0F">
        <w:rPr>
          <w:iCs/>
        </w:rPr>
        <w:t>, with a pooled risk difference of 0.36.</w:t>
      </w:r>
    </w:p>
    <w:p w14:paraId="16D9D196" w14:textId="779BEF58" w:rsidR="00A979D9" w:rsidRPr="000717E1" w:rsidRDefault="00A979D9" w:rsidP="00A979D9">
      <w:pPr>
        <w:pStyle w:val="3-BodyText"/>
      </w:pPr>
      <w:r w:rsidRPr="000717E1">
        <w:t>The cumulative total number of exacerbations was lower in the dupilumab arm compared to the placebo arm in both trials, however, at the time of data cut-off, the majority of patients in the dupilumab and placebo arms (61.1% versus 55.0% in BOREAS and 66.8% versus 60.9% in NOTUS), had not experienced a moderate or severe exacerbation.</w:t>
      </w:r>
      <w:r w:rsidR="00142132" w:rsidRPr="000717E1">
        <w:rPr>
          <w:i/>
          <w:iCs/>
        </w:rPr>
        <w:t xml:space="preserve"> </w:t>
      </w:r>
    </w:p>
    <w:p w14:paraId="3D4A1E1E" w14:textId="379A88DD" w:rsidR="00A979D9" w:rsidRPr="000717E1" w:rsidRDefault="00A979D9" w:rsidP="00A979D9">
      <w:pPr>
        <w:pStyle w:val="Caption"/>
      </w:pPr>
      <w:bookmarkStart w:id="42" w:name="_Ref216027819"/>
      <w:r w:rsidRPr="000717E1">
        <w:lastRenderedPageBreak/>
        <w:t xml:space="preserve">Table </w:t>
      </w:r>
      <w:fldSimple w:instr=" SEQ Table \* ARABIC ">
        <w:r w:rsidR="00281F45">
          <w:rPr>
            <w:noProof/>
          </w:rPr>
          <w:t>4</w:t>
        </w:r>
      </w:fldSimple>
      <w:bookmarkEnd w:id="42"/>
      <w:r w:rsidRPr="000717E1">
        <w:t>: Annualised rate of moderate/severe exacerbations</w:t>
      </w:r>
      <w:r w:rsidR="00000FBE" w:rsidRPr="000717E1">
        <w:t xml:space="preserve"> (ITT)</w:t>
      </w:r>
      <w:r w:rsidRPr="000717E1">
        <w:t xml:space="preserve"> </w:t>
      </w:r>
    </w:p>
    <w:tbl>
      <w:tblPr>
        <w:tblW w:w="5000" w:type="pct"/>
        <w:tblInd w:w="-5" w:type="dxa"/>
        <w:tblLook w:val="04A0" w:firstRow="1" w:lastRow="0" w:firstColumn="1" w:lastColumn="0" w:noHBand="0" w:noVBand="1"/>
        <w:tblCaption w:val="Table 4: Annualised rate of moderate/severe exacerbations (ITT) "/>
      </w:tblPr>
      <w:tblGrid>
        <w:gridCol w:w="1977"/>
        <w:gridCol w:w="1070"/>
        <w:gridCol w:w="1072"/>
        <w:gridCol w:w="1263"/>
        <w:gridCol w:w="1418"/>
        <w:gridCol w:w="1132"/>
        <w:gridCol w:w="1078"/>
      </w:tblGrid>
      <w:tr w:rsidR="00552528" w:rsidRPr="000717E1" w14:paraId="5DCBB9F0" w14:textId="77777777">
        <w:trPr>
          <w:trHeight w:val="53"/>
          <w:tblHeader/>
        </w:trPr>
        <w:tc>
          <w:tcPr>
            <w:tcW w:w="1097" w:type="pct"/>
            <w:vMerge w:val="restart"/>
            <w:tcBorders>
              <w:top w:val="single" w:sz="4" w:space="0" w:color="auto"/>
              <w:left w:val="single" w:sz="4" w:space="0" w:color="auto"/>
              <w:right w:val="single" w:sz="4" w:space="0" w:color="auto"/>
            </w:tcBorders>
            <w:hideMark/>
          </w:tcPr>
          <w:p w14:paraId="5F723F56" w14:textId="77777777" w:rsidR="00A979D9" w:rsidRPr="000717E1" w:rsidRDefault="00A979D9" w:rsidP="00A73796">
            <w:pPr>
              <w:pStyle w:val="TableText0"/>
              <w:rPr>
                <w:sz w:val="20"/>
                <w:szCs w:val="20"/>
              </w:rPr>
            </w:pPr>
            <w:r w:rsidRPr="000717E1">
              <w:rPr>
                <w:sz w:val="20"/>
                <w:szCs w:val="20"/>
              </w:rPr>
              <w:t> </w:t>
            </w:r>
          </w:p>
        </w:tc>
        <w:tc>
          <w:tcPr>
            <w:tcW w:w="1189" w:type="pct"/>
            <w:gridSpan w:val="2"/>
            <w:tcBorders>
              <w:top w:val="single" w:sz="4" w:space="0" w:color="auto"/>
              <w:left w:val="nil"/>
              <w:bottom w:val="single" w:sz="4" w:space="0" w:color="auto"/>
              <w:right w:val="nil"/>
            </w:tcBorders>
            <w:hideMark/>
          </w:tcPr>
          <w:p w14:paraId="3CF4A94C" w14:textId="77777777" w:rsidR="00A979D9" w:rsidRPr="000717E1" w:rsidRDefault="00A979D9" w:rsidP="00A73796">
            <w:pPr>
              <w:pStyle w:val="TableText0"/>
              <w:jc w:val="center"/>
              <w:rPr>
                <w:b/>
                <w:sz w:val="20"/>
                <w:szCs w:val="20"/>
              </w:rPr>
            </w:pPr>
            <w:r w:rsidRPr="000717E1">
              <w:rPr>
                <w:b/>
                <w:sz w:val="20"/>
                <w:szCs w:val="20"/>
              </w:rPr>
              <w:t>BOREAS</w:t>
            </w:r>
          </w:p>
          <w:p w14:paraId="110FA766" w14:textId="77777777" w:rsidR="00A979D9" w:rsidRPr="000717E1" w:rsidRDefault="00A979D9" w:rsidP="00A73796">
            <w:pPr>
              <w:pStyle w:val="TableText0"/>
              <w:jc w:val="center"/>
              <w:rPr>
                <w:b/>
                <w:sz w:val="20"/>
                <w:szCs w:val="20"/>
              </w:rPr>
            </w:pPr>
            <w:r w:rsidRPr="000717E1">
              <w:rPr>
                <w:b/>
                <w:sz w:val="20"/>
                <w:szCs w:val="20"/>
              </w:rPr>
              <w:t>(data cut-off 8 Feb 2023)</w:t>
            </w:r>
          </w:p>
        </w:tc>
        <w:tc>
          <w:tcPr>
            <w:tcW w:w="1488" w:type="pct"/>
            <w:gridSpan w:val="2"/>
            <w:tcBorders>
              <w:top w:val="single" w:sz="4" w:space="0" w:color="auto"/>
              <w:left w:val="single" w:sz="4" w:space="0" w:color="auto"/>
              <w:bottom w:val="single" w:sz="4" w:space="0" w:color="auto"/>
              <w:right w:val="single" w:sz="4" w:space="0" w:color="000000"/>
            </w:tcBorders>
            <w:noWrap/>
            <w:hideMark/>
          </w:tcPr>
          <w:p w14:paraId="20959EEA" w14:textId="77777777" w:rsidR="00A979D9" w:rsidRPr="000717E1" w:rsidRDefault="00A979D9" w:rsidP="00A73796">
            <w:pPr>
              <w:pStyle w:val="TableText0"/>
              <w:jc w:val="center"/>
              <w:rPr>
                <w:b/>
                <w:sz w:val="20"/>
                <w:szCs w:val="20"/>
              </w:rPr>
            </w:pPr>
            <w:r w:rsidRPr="000717E1">
              <w:rPr>
                <w:b/>
                <w:sz w:val="20"/>
                <w:szCs w:val="20"/>
              </w:rPr>
              <w:t>NOTUS</w:t>
            </w:r>
          </w:p>
          <w:p w14:paraId="26FE4CF4" w14:textId="77777777" w:rsidR="00A979D9" w:rsidRPr="000717E1" w:rsidRDefault="00A979D9" w:rsidP="00A73796">
            <w:pPr>
              <w:pStyle w:val="TableText0"/>
              <w:jc w:val="center"/>
              <w:rPr>
                <w:b/>
                <w:sz w:val="20"/>
                <w:szCs w:val="20"/>
              </w:rPr>
            </w:pPr>
            <w:r w:rsidRPr="000717E1">
              <w:rPr>
                <w:b/>
                <w:sz w:val="20"/>
                <w:szCs w:val="20"/>
              </w:rPr>
              <w:t>(data cut-off 29 Sept 2023)</w:t>
            </w:r>
          </w:p>
        </w:tc>
        <w:tc>
          <w:tcPr>
            <w:tcW w:w="1226" w:type="pct"/>
            <w:gridSpan w:val="2"/>
            <w:tcBorders>
              <w:top w:val="single" w:sz="4" w:space="0" w:color="auto"/>
              <w:left w:val="nil"/>
              <w:bottom w:val="single" w:sz="4" w:space="0" w:color="auto"/>
              <w:right w:val="single" w:sz="4" w:space="0" w:color="000000"/>
            </w:tcBorders>
            <w:hideMark/>
          </w:tcPr>
          <w:p w14:paraId="04DAED3C" w14:textId="77777777" w:rsidR="00A979D9" w:rsidRPr="000717E1" w:rsidRDefault="00A979D9" w:rsidP="00A73796">
            <w:pPr>
              <w:pStyle w:val="TableText0"/>
              <w:jc w:val="center"/>
              <w:rPr>
                <w:b/>
                <w:bCs/>
                <w:sz w:val="20"/>
                <w:szCs w:val="20"/>
              </w:rPr>
            </w:pPr>
            <w:r w:rsidRPr="000717E1">
              <w:rPr>
                <w:b/>
                <w:sz w:val="20"/>
                <w:szCs w:val="20"/>
              </w:rPr>
              <w:t>POOLED ITT</w:t>
            </w:r>
          </w:p>
        </w:tc>
      </w:tr>
      <w:tr w:rsidR="00552528" w:rsidRPr="000717E1" w14:paraId="11D2512B" w14:textId="77777777">
        <w:trPr>
          <w:trHeight w:val="459"/>
          <w:tblHeader/>
        </w:trPr>
        <w:tc>
          <w:tcPr>
            <w:tcW w:w="1097" w:type="pct"/>
            <w:vMerge/>
            <w:tcBorders>
              <w:left w:val="single" w:sz="4" w:space="0" w:color="auto"/>
              <w:right w:val="single" w:sz="4" w:space="0" w:color="auto"/>
            </w:tcBorders>
            <w:vAlign w:val="center"/>
            <w:hideMark/>
          </w:tcPr>
          <w:p w14:paraId="6BA90D4B" w14:textId="77777777" w:rsidR="00A979D9" w:rsidRPr="000717E1" w:rsidRDefault="00A979D9" w:rsidP="00A73796">
            <w:pPr>
              <w:pStyle w:val="TableText0"/>
              <w:rPr>
                <w:sz w:val="20"/>
                <w:szCs w:val="20"/>
              </w:rPr>
            </w:pPr>
          </w:p>
        </w:tc>
        <w:tc>
          <w:tcPr>
            <w:tcW w:w="594" w:type="pct"/>
            <w:tcBorders>
              <w:top w:val="nil"/>
              <w:left w:val="nil"/>
              <w:right w:val="single" w:sz="4" w:space="0" w:color="auto"/>
            </w:tcBorders>
            <w:hideMark/>
          </w:tcPr>
          <w:p w14:paraId="4F6FDFAB" w14:textId="77777777" w:rsidR="00A979D9" w:rsidRPr="000717E1" w:rsidRDefault="00A979D9" w:rsidP="00A73796">
            <w:pPr>
              <w:pStyle w:val="TableText0"/>
              <w:jc w:val="center"/>
              <w:rPr>
                <w:bCs/>
                <w:sz w:val="20"/>
                <w:szCs w:val="20"/>
              </w:rPr>
            </w:pPr>
            <w:r w:rsidRPr="000717E1">
              <w:rPr>
                <w:sz w:val="20"/>
                <w:szCs w:val="20"/>
              </w:rPr>
              <w:t>Dupilumab</w:t>
            </w:r>
          </w:p>
          <w:p w14:paraId="11E492D8" w14:textId="77777777" w:rsidR="00A979D9" w:rsidRPr="000717E1" w:rsidRDefault="00A979D9" w:rsidP="00A73796">
            <w:pPr>
              <w:pStyle w:val="TableText0"/>
              <w:jc w:val="center"/>
              <w:rPr>
                <w:bCs/>
                <w:sz w:val="20"/>
                <w:szCs w:val="20"/>
              </w:rPr>
            </w:pPr>
            <w:r w:rsidRPr="000717E1">
              <w:rPr>
                <w:sz w:val="20"/>
                <w:szCs w:val="20"/>
              </w:rPr>
              <w:t>N=468</w:t>
            </w:r>
          </w:p>
        </w:tc>
        <w:tc>
          <w:tcPr>
            <w:tcW w:w="595" w:type="pct"/>
            <w:tcBorders>
              <w:top w:val="nil"/>
              <w:left w:val="nil"/>
              <w:right w:val="single" w:sz="4" w:space="0" w:color="auto"/>
            </w:tcBorders>
            <w:hideMark/>
          </w:tcPr>
          <w:p w14:paraId="08E21548" w14:textId="77777777" w:rsidR="00A979D9" w:rsidRPr="000717E1" w:rsidRDefault="00A979D9" w:rsidP="00A73796">
            <w:pPr>
              <w:pStyle w:val="TableText0"/>
              <w:jc w:val="center"/>
              <w:rPr>
                <w:bCs/>
                <w:sz w:val="20"/>
                <w:szCs w:val="20"/>
              </w:rPr>
            </w:pPr>
            <w:r w:rsidRPr="000717E1">
              <w:rPr>
                <w:sz w:val="20"/>
                <w:szCs w:val="20"/>
              </w:rPr>
              <w:t>Placebo</w:t>
            </w:r>
          </w:p>
          <w:p w14:paraId="64571018" w14:textId="77777777" w:rsidR="00A979D9" w:rsidRPr="000717E1" w:rsidRDefault="00A979D9" w:rsidP="00A73796">
            <w:pPr>
              <w:pStyle w:val="TableText0"/>
              <w:jc w:val="center"/>
              <w:rPr>
                <w:bCs/>
                <w:sz w:val="20"/>
                <w:szCs w:val="20"/>
              </w:rPr>
            </w:pPr>
            <w:r w:rsidRPr="000717E1">
              <w:rPr>
                <w:sz w:val="20"/>
                <w:szCs w:val="20"/>
              </w:rPr>
              <w:t>N=471</w:t>
            </w:r>
          </w:p>
        </w:tc>
        <w:tc>
          <w:tcPr>
            <w:tcW w:w="701" w:type="pct"/>
            <w:tcBorders>
              <w:top w:val="nil"/>
              <w:left w:val="nil"/>
              <w:right w:val="nil"/>
            </w:tcBorders>
            <w:hideMark/>
          </w:tcPr>
          <w:p w14:paraId="7B11579C" w14:textId="77777777" w:rsidR="00A979D9" w:rsidRPr="000717E1" w:rsidRDefault="00A979D9" w:rsidP="00A73796">
            <w:pPr>
              <w:pStyle w:val="TableText0"/>
              <w:jc w:val="center"/>
              <w:rPr>
                <w:bCs/>
                <w:sz w:val="20"/>
                <w:szCs w:val="20"/>
              </w:rPr>
            </w:pPr>
            <w:r w:rsidRPr="000717E1">
              <w:rPr>
                <w:sz w:val="20"/>
                <w:szCs w:val="20"/>
              </w:rPr>
              <w:t>Dupilumab</w:t>
            </w:r>
          </w:p>
          <w:p w14:paraId="635AF547" w14:textId="77777777" w:rsidR="00A979D9" w:rsidRPr="000717E1" w:rsidRDefault="00A979D9" w:rsidP="00A73796">
            <w:pPr>
              <w:pStyle w:val="TableText0"/>
              <w:jc w:val="center"/>
              <w:rPr>
                <w:bCs/>
                <w:sz w:val="20"/>
                <w:szCs w:val="20"/>
              </w:rPr>
            </w:pPr>
            <w:r w:rsidRPr="000717E1">
              <w:rPr>
                <w:sz w:val="20"/>
                <w:szCs w:val="20"/>
              </w:rPr>
              <w:t>N=470</w:t>
            </w:r>
          </w:p>
        </w:tc>
        <w:tc>
          <w:tcPr>
            <w:tcW w:w="787" w:type="pct"/>
            <w:tcBorders>
              <w:top w:val="nil"/>
              <w:left w:val="single" w:sz="4" w:space="0" w:color="auto"/>
              <w:right w:val="single" w:sz="4" w:space="0" w:color="auto"/>
            </w:tcBorders>
            <w:hideMark/>
          </w:tcPr>
          <w:p w14:paraId="33809D81" w14:textId="77777777" w:rsidR="00A979D9" w:rsidRPr="000717E1" w:rsidRDefault="00A979D9" w:rsidP="00A73796">
            <w:pPr>
              <w:pStyle w:val="TableText0"/>
              <w:jc w:val="center"/>
              <w:rPr>
                <w:bCs/>
                <w:sz w:val="20"/>
                <w:szCs w:val="20"/>
              </w:rPr>
            </w:pPr>
            <w:r w:rsidRPr="000717E1">
              <w:rPr>
                <w:sz w:val="20"/>
                <w:szCs w:val="20"/>
              </w:rPr>
              <w:t>Placebo</w:t>
            </w:r>
          </w:p>
          <w:p w14:paraId="6827293D" w14:textId="77777777" w:rsidR="00A979D9" w:rsidRPr="000717E1" w:rsidRDefault="00A979D9" w:rsidP="00A73796">
            <w:pPr>
              <w:pStyle w:val="TableText0"/>
              <w:jc w:val="center"/>
              <w:rPr>
                <w:bCs/>
                <w:sz w:val="20"/>
                <w:szCs w:val="20"/>
              </w:rPr>
            </w:pPr>
            <w:r w:rsidRPr="000717E1">
              <w:rPr>
                <w:sz w:val="20"/>
                <w:szCs w:val="20"/>
              </w:rPr>
              <w:t>N=465</w:t>
            </w:r>
          </w:p>
        </w:tc>
        <w:tc>
          <w:tcPr>
            <w:tcW w:w="628" w:type="pct"/>
            <w:tcBorders>
              <w:top w:val="nil"/>
              <w:left w:val="nil"/>
              <w:right w:val="single" w:sz="4" w:space="0" w:color="auto"/>
            </w:tcBorders>
            <w:hideMark/>
          </w:tcPr>
          <w:p w14:paraId="4165FF06" w14:textId="77777777" w:rsidR="00A979D9" w:rsidRPr="000717E1" w:rsidRDefault="00A979D9" w:rsidP="00A73796">
            <w:pPr>
              <w:pStyle w:val="TableText0"/>
              <w:jc w:val="center"/>
              <w:rPr>
                <w:bCs/>
                <w:sz w:val="20"/>
                <w:szCs w:val="20"/>
              </w:rPr>
            </w:pPr>
            <w:r w:rsidRPr="000717E1">
              <w:rPr>
                <w:sz w:val="20"/>
                <w:szCs w:val="20"/>
              </w:rPr>
              <w:t>Dupilumab</w:t>
            </w:r>
          </w:p>
          <w:p w14:paraId="00F5584F" w14:textId="77777777" w:rsidR="00A979D9" w:rsidRPr="000717E1" w:rsidRDefault="00A979D9" w:rsidP="00A73796">
            <w:pPr>
              <w:pStyle w:val="TableText0"/>
              <w:jc w:val="center"/>
              <w:rPr>
                <w:bCs/>
                <w:sz w:val="20"/>
                <w:szCs w:val="20"/>
              </w:rPr>
            </w:pPr>
            <w:r w:rsidRPr="000717E1">
              <w:rPr>
                <w:sz w:val="20"/>
                <w:szCs w:val="20"/>
              </w:rPr>
              <w:t>N=938</w:t>
            </w:r>
          </w:p>
        </w:tc>
        <w:tc>
          <w:tcPr>
            <w:tcW w:w="598" w:type="pct"/>
            <w:tcBorders>
              <w:top w:val="nil"/>
              <w:left w:val="nil"/>
              <w:right w:val="single" w:sz="4" w:space="0" w:color="auto"/>
            </w:tcBorders>
            <w:hideMark/>
          </w:tcPr>
          <w:p w14:paraId="5F497AFB" w14:textId="77777777" w:rsidR="00A979D9" w:rsidRPr="000717E1" w:rsidRDefault="00A979D9" w:rsidP="00A73796">
            <w:pPr>
              <w:pStyle w:val="TableText0"/>
              <w:jc w:val="center"/>
              <w:rPr>
                <w:bCs/>
                <w:sz w:val="20"/>
                <w:szCs w:val="20"/>
              </w:rPr>
            </w:pPr>
            <w:r w:rsidRPr="000717E1">
              <w:rPr>
                <w:sz w:val="20"/>
                <w:szCs w:val="20"/>
              </w:rPr>
              <w:t>Placebo</w:t>
            </w:r>
          </w:p>
          <w:p w14:paraId="20FFD670" w14:textId="77777777" w:rsidR="00A979D9" w:rsidRPr="000717E1" w:rsidRDefault="00A979D9" w:rsidP="00A73796">
            <w:pPr>
              <w:pStyle w:val="TableText0"/>
              <w:jc w:val="center"/>
              <w:rPr>
                <w:bCs/>
                <w:sz w:val="20"/>
                <w:szCs w:val="20"/>
              </w:rPr>
            </w:pPr>
            <w:r w:rsidRPr="000717E1">
              <w:rPr>
                <w:sz w:val="20"/>
                <w:szCs w:val="20"/>
              </w:rPr>
              <w:t>N=936</w:t>
            </w:r>
          </w:p>
        </w:tc>
      </w:tr>
      <w:tr w:rsidR="001429A4" w:rsidRPr="000717E1" w14:paraId="7E9C3648" w14:textId="77777777">
        <w:trPr>
          <w:trHeight w:val="53"/>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4C80A73A" w14:textId="77777777" w:rsidR="00A979D9" w:rsidRPr="000717E1" w:rsidRDefault="00A979D9" w:rsidP="00A73796">
            <w:pPr>
              <w:pStyle w:val="TableText0"/>
              <w:rPr>
                <w:sz w:val="20"/>
                <w:szCs w:val="20"/>
              </w:rPr>
            </w:pPr>
            <w:r w:rsidRPr="000717E1">
              <w:rPr>
                <w:sz w:val="20"/>
                <w:szCs w:val="20"/>
              </w:rPr>
              <w:t xml:space="preserve">Number of patients with </w:t>
            </w:r>
            <w:r w:rsidRPr="000717E1">
              <w:rPr>
                <w:rFonts w:ascii="Calibri" w:hAnsi="Calibri"/>
                <w:sz w:val="20"/>
                <w:szCs w:val="20"/>
              </w:rPr>
              <w:t xml:space="preserve">≥ </w:t>
            </w:r>
            <w:r w:rsidRPr="000717E1">
              <w:rPr>
                <w:sz w:val="20"/>
                <w:szCs w:val="20"/>
              </w:rPr>
              <w:t>1 moderate or severe exacerbation event, n (%)</w:t>
            </w:r>
          </w:p>
        </w:tc>
      </w:tr>
      <w:tr w:rsidR="00552528" w:rsidRPr="000717E1" w14:paraId="2F7A03C6" w14:textId="77777777">
        <w:trPr>
          <w:trHeight w:val="53"/>
        </w:trPr>
        <w:tc>
          <w:tcPr>
            <w:tcW w:w="1097" w:type="pct"/>
            <w:tcBorders>
              <w:top w:val="nil"/>
              <w:left w:val="single" w:sz="4" w:space="0" w:color="auto"/>
              <w:bottom w:val="single" w:sz="4" w:space="0" w:color="auto"/>
              <w:right w:val="single" w:sz="4" w:space="0" w:color="auto"/>
            </w:tcBorders>
            <w:hideMark/>
          </w:tcPr>
          <w:p w14:paraId="49DB5CAB" w14:textId="77777777" w:rsidR="00A979D9" w:rsidRPr="000717E1" w:rsidRDefault="00A979D9" w:rsidP="00A73796">
            <w:pPr>
              <w:pStyle w:val="TableText0"/>
              <w:rPr>
                <w:sz w:val="20"/>
                <w:szCs w:val="20"/>
              </w:rPr>
            </w:pPr>
            <w:r w:rsidRPr="000717E1">
              <w:rPr>
                <w:sz w:val="20"/>
                <w:szCs w:val="20"/>
              </w:rPr>
              <w:t>No</w:t>
            </w:r>
          </w:p>
        </w:tc>
        <w:tc>
          <w:tcPr>
            <w:tcW w:w="594" w:type="pct"/>
            <w:tcBorders>
              <w:top w:val="nil"/>
              <w:left w:val="nil"/>
              <w:bottom w:val="single" w:sz="4" w:space="0" w:color="auto"/>
              <w:right w:val="single" w:sz="4" w:space="0" w:color="auto"/>
            </w:tcBorders>
            <w:hideMark/>
          </w:tcPr>
          <w:p w14:paraId="7F7EF757" w14:textId="77777777" w:rsidR="00A979D9" w:rsidRPr="000717E1" w:rsidRDefault="00A979D9" w:rsidP="00A73796">
            <w:pPr>
              <w:pStyle w:val="TableText0"/>
              <w:jc w:val="center"/>
              <w:rPr>
                <w:sz w:val="20"/>
                <w:szCs w:val="20"/>
              </w:rPr>
            </w:pPr>
            <w:r w:rsidRPr="000717E1">
              <w:rPr>
                <w:sz w:val="20"/>
                <w:szCs w:val="20"/>
              </w:rPr>
              <w:t>286 (61.1)</w:t>
            </w:r>
          </w:p>
        </w:tc>
        <w:tc>
          <w:tcPr>
            <w:tcW w:w="595" w:type="pct"/>
            <w:tcBorders>
              <w:top w:val="nil"/>
              <w:left w:val="nil"/>
              <w:bottom w:val="single" w:sz="4" w:space="0" w:color="auto"/>
              <w:right w:val="single" w:sz="4" w:space="0" w:color="auto"/>
            </w:tcBorders>
            <w:hideMark/>
          </w:tcPr>
          <w:p w14:paraId="44E3C209" w14:textId="77777777" w:rsidR="00A979D9" w:rsidRPr="000717E1" w:rsidRDefault="00A979D9" w:rsidP="00A73796">
            <w:pPr>
              <w:pStyle w:val="TableText0"/>
              <w:jc w:val="center"/>
              <w:rPr>
                <w:sz w:val="20"/>
                <w:szCs w:val="20"/>
              </w:rPr>
            </w:pPr>
            <w:r w:rsidRPr="000717E1">
              <w:rPr>
                <w:sz w:val="20"/>
                <w:szCs w:val="20"/>
              </w:rPr>
              <w:t>259 (55.0)</w:t>
            </w:r>
          </w:p>
        </w:tc>
        <w:tc>
          <w:tcPr>
            <w:tcW w:w="701" w:type="pct"/>
            <w:tcBorders>
              <w:top w:val="nil"/>
              <w:left w:val="nil"/>
              <w:bottom w:val="single" w:sz="4" w:space="0" w:color="auto"/>
              <w:right w:val="nil"/>
            </w:tcBorders>
            <w:hideMark/>
          </w:tcPr>
          <w:p w14:paraId="7097AFCE" w14:textId="77777777" w:rsidR="00A979D9" w:rsidRPr="000717E1" w:rsidRDefault="00A979D9" w:rsidP="00A73796">
            <w:pPr>
              <w:pStyle w:val="TableText0"/>
              <w:jc w:val="center"/>
              <w:rPr>
                <w:sz w:val="20"/>
                <w:szCs w:val="20"/>
              </w:rPr>
            </w:pPr>
            <w:r w:rsidRPr="000717E1">
              <w:rPr>
                <w:sz w:val="20"/>
                <w:szCs w:val="20"/>
              </w:rPr>
              <w:t>314 (66.8)</w:t>
            </w:r>
          </w:p>
        </w:tc>
        <w:tc>
          <w:tcPr>
            <w:tcW w:w="787" w:type="pct"/>
            <w:tcBorders>
              <w:top w:val="nil"/>
              <w:left w:val="single" w:sz="4" w:space="0" w:color="auto"/>
              <w:bottom w:val="single" w:sz="4" w:space="0" w:color="auto"/>
              <w:right w:val="single" w:sz="4" w:space="0" w:color="auto"/>
            </w:tcBorders>
            <w:hideMark/>
          </w:tcPr>
          <w:p w14:paraId="06405831" w14:textId="77777777" w:rsidR="00A979D9" w:rsidRPr="000717E1" w:rsidRDefault="00A979D9" w:rsidP="00A73796">
            <w:pPr>
              <w:pStyle w:val="TableText0"/>
              <w:jc w:val="center"/>
              <w:rPr>
                <w:sz w:val="20"/>
                <w:szCs w:val="20"/>
              </w:rPr>
            </w:pPr>
            <w:r w:rsidRPr="000717E1">
              <w:rPr>
                <w:sz w:val="20"/>
                <w:szCs w:val="20"/>
              </w:rPr>
              <w:t>283 (60.9)</w:t>
            </w:r>
          </w:p>
        </w:tc>
        <w:tc>
          <w:tcPr>
            <w:tcW w:w="628" w:type="pct"/>
            <w:tcBorders>
              <w:top w:val="nil"/>
              <w:left w:val="nil"/>
              <w:bottom w:val="single" w:sz="4" w:space="0" w:color="auto"/>
              <w:right w:val="single" w:sz="4" w:space="0" w:color="auto"/>
            </w:tcBorders>
            <w:hideMark/>
          </w:tcPr>
          <w:p w14:paraId="6D840812" w14:textId="77777777" w:rsidR="00A979D9" w:rsidRPr="000717E1" w:rsidRDefault="00A979D9" w:rsidP="00A73796">
            <w:pPr>
              <w:pStyle w:val="TableText0"/>
              <w:jc w:val="center"/>
              <w:rPr>
                <w:sz w:val="20"/>
                <w:szCs w:val="20"/>
              </w:rPr>
            </w:pPr>
            <w:r w:rsidRPr="000717E1">
              <w:rPr>
                <w:sz w:val="20"/>
                <w:szCs w:val="20"/>
              </w:rPr>
              <w:t>600 (64.0)</w:t>
            </w:r>
          </w:p>
        </w:tc>
        <w:tc>
          <w:tcPr>
            <w:tcW w:w="598" w:type="pct"/>
            <w:tcBorders>
              <w:top w:val="nil"/>
              <w:left w:val="nil"/>
              <w:bottom w:val="single" w:sz="4" w:space="0" w:color="auto"/>
              <w:right w:val="single" w:sz="4" w:space="0" w:color="auto"/>
            </w:tcBorders>
            <w:hideMark/>
          </w:tcPr>
          <w:p w14:paraId="7D36842F" w14:textId="77777777" w:rsidR="00A979D9" w:rsidRPr="000717E1" w:rsidRDefault="00A979D9" w:rsidP="00A73796">
            <w:pPr>
              <w:pStyle w:val="TableText0"/>
              <w:jc w:val="center"/>
              <w:rPr>
                <w:sz w:val="20"/>
                <w:szCs w:val="20"/>
              </w:rPr>
            </w:pPr>
            <w:r w:rsidRPr="000717E1">
              <w:rPr>
                <w:sz w:val="20"/>
                <w:szCs w:val="20"/>
              </w:rPr>
              <w:t>542 (57.9)</w:t>
            </w:r>
          </w:p>
        </w:tc>
      </w:tr>
      <w:tr w:rsidR="00552528" w:rsidRPr="000717E1" w14:paraId="61EA431D" w14:textId="77777777">
        <w:trPr>
          <w:trHeight w:val="53"/>
        </w:trPr>
        <w:tc>
          <w:tcPr>
            <w:tcW w:w="1097" w:type="pct"/>
            <w:tcBorders>
              <w:top w:val="nil"/>
              <w:left w:val="single" w:sz="4" w:space="0" w:color="auto"/>
              <w:bottom w:val="nil"/>
              <w:right w:val="single" w:sz="4" w:space="0" w:color="auto"/>
            </w:tcBorders>
            <w:hideMark/>
          </w:tcPr>
          <w:p w14:paraId="76EF90C7" w14:textId="77777777" w:rsidR="00A979D9" w:rsidRPr="000717E1" w:rsidRDefault="00A979D9" w:rsidP="00A73796">
            <w:pPr>
              <w:pStyle w:val="TableText0"/>
              <w:rPr>
                <w:sz w:val="20"/>
                <w:szCs w:val="20"/>
              </w:rPr>
            </w:pPr>
            <w:r w:rsidRPr="000717E1">
              <w:rPr>
                <w:sz w:val="20"/>
                <w:szCs w:val="20"/>
              </w:rPr>
              <w:t>Yes</w:t>
            </w:r>
          </w:p>
        </w:tc>
        <w:tc>
          <w:tcPr>
            <w:tcW w:w="594" w:type="pct"/>
            <w:tcBorders>
              <w:top w:val="nil"/>
              <w:left w:val="nil"/>
              <w:bottom w:val="nil"/>
              <w:right w:val="single" w:sz="4" w:space="0" w:color="auto"/>
            </w:tcBorders>
            <w:hideMark/>
          </w:tcPr>
          <w:p w14:paraId="5F9217EE" w14:textId="77777777" w:rsidR="00A979D9" w:rsidRPr="000717E1" w:rsidRDefault="00A979D9" w:rsidP="00A73796">
            <w:pPr>
              <w:pStyle w:val="TableText0"/>
              <w:jc w:val="center"/>
              <w:rPr>
                <w:sz w:val="20"/>
                <w:szCs w:val="20"/>
              </w:rPr>
            </w:pPr>
            <w:r w:rsidRPr="000717E1">
              <w:rPr>
                <w:sz w:val="20"/>
                <w:szCs w:val="20"/>
              </w:rPr>
              <w:t>182 (38.9)</w:t>
            </w:r>
          </w:p>
        </w:tc>
        <w:tc>
          <w:tcPr>
            <w:tcW w:w="595" w:type="pct"/>
            <w:tcBorders>
              <w:top w:val="nil"/>
              <w:left w:val="nil"/>
              <w:bottom w:val="nil"/>
              <w:right w:val="single" w:sz="4" w:space="0" w:color="auto"/>
            </w:tcBorders>
            <w:hideMark/>
          </w:tcPr>
          <w:p w14:paraId="02ACE633" w14:textId="77777777" w:rsidR="00A979D9" w:rsidRPr="000717E1" w:rsidRDefault="00A979D9" w:rsidP="00A73796">
            <w:pPr>
              <w:pStyle w:val="TableText0"/>
              <w:jc w:val="center"/>
              <w:rPr>
                <w:sz w:val="20"/>
                <w:szCs w:val="20"/>
              </w:rPr>
            </w:pPr>
            <w:r w:rsidRPr="000717E1">
              <w:rPr>
                <w:sz w:val="20"/>
                <w:szCs w:val="20"/>
              </w:rPr>
              <w:t>212 (45.0)</w:t>
            </w:r>
          </w:p>
        </w:tc>
        <w:tc>
          <w:tcPr>
            <w:tcW w:w="701" w:type="pct"/>
            <w:tcBorders>
              <w:top w:val="nil"/>
              <w:left w:val="nil"/>
              <w:bottom w:val="nil"/>
              <w:right w:val="nil"/>
            </w:tcBorders>
            <w:hideMark/>
          </w:tcPr>
          <w:p w14:paraId="3E07D2BF" w14:textId="77777777" w:rsidR="00A979D9" w:rsidRPr="000717E1" w:rsidRDefault="00A979D9" w:rsidP="00A73796">
            <w:pPr>
              <w:pStyle w:val="TableText0"/>
              <w:jc w:val="center"/>
              <w:rPr>
                <w:sz w:val="20"/>
                <w:szCs w:val="20"/>
              </w:rPr>
            </w:pPr>
            <w:r w:rsidRPr="000717E1">
              <w:rPr>
                <w:sz w:val="20"/>
                <w:szCs w:val="20"/>
              </w:rPr>
              <w:t>156 (33.2)</w:t>
            </w:r>
          </w:p>
        </w:tc>
        <w:tc>
          <w:tcPr>
            <w:tcW w:w="787" w:type="pct"/>
            <w:tcBorders>
              <w:top w:val="nil"/>
              <w:left w:val="single" w:sz="4" w:space="0" w:color="auto"/>
              <w:bottom w:val="nil"/>
              <w:right w:val="single" w:sz="4" w:space="0" w:color="auto"/>
            </w:tcBorders>
            <w:hideMark/>
          </w:tcPr>
          <w:p w14:paraId="4D2CC746" w14:textId="77777777" w:rsidR="00A979D9" w:rsidRPr="000717E1" w:rsidRDefault="00A979D9" w:rsidP="00A73796">
            <w:pPr>
              <w:pStyle w:val="TableText0"/>
              <w:jc w:val="center"/>
              <w:rPr>
                <w:sz w:val="20"/>
                <w:szCs w:val="20"/>
              </w:rPr>
            </w:pPr>
            <w:r w:rsidRPr="000717E1">
              <w:rPr>
                <w:sz w:val="20"/>
                <w:szCs w:val="20"/>
              </w:rPr>
              <w:t>182 (39.1)</w:t>
            </w:r>
          </w:p>
        </w:tc>
        <w:tc>
          <w:tcPr>
            <w:tcW w:w="628" w:type="pct"/>
            <w:tcBorders>
              <w:top w:val="nil"/>
              <w:left w:val="nil"/>
              <w:bottom w:val="nil"/>
              <w:right w:val="single" w:sz="4" w:space="0" w:color="auto"/>
            </w:tcBorders>
            <w:hideMark/>
          </w:tcPr>
          <w:p w14:paraId="49E5A9C3" w14:textId="77777777" w:rsidR="00A979D9" w:rsidRPr="000717E1" w:rsidRDefault="00A979D9" w:rsidP="00A73796">
            <w:pPr>
              <w:pStyle w:val="TableText0"/>
              <w:jc w:val="center"/>
              <w:rPr>
                <w:sz w:val="20"/>
                <w:szCs w:val="20"/>
              </w:rPr>
            </w:pPr>
            <w:r w:rsidRPr="000717E1">
              <w:rPr>
                <w:sz w:val="20"/>
                <w:szCs w:val="20"/>
              </w:rPr>
              <w:t>338 (36.0)</w:t>
            </w:r>
          </w:p>
        </w:tc>
        <w:tc>
          <w:tcPr>
            <w:tcW w:w="598" w:type="pct"/>
            <w:tcBorders>
              <w:top w:val="nil"/>
              <w:left w:val="nil"/>
              <w:bottom w:val="nil"/>
              <w:right w:val="single" w:sz="4" w:space="0" w:color="auto"/>
            </w:tcBorders>
            <w:hideMark/>
          </w:tcPr>
          <w:p w14:paraId="0AAE75CF" w14:textId="77777777" w:rsidR="00A979D9" w:rsidRPr="000717E1" w:rsidRDefault="00A979D9" w:rsidP="00A73796">
            <w:pPr>
              <w:pStyle w:val="TableText0"/>
              <w:jc w:val="center"/>
              <w:rPr>
                <w:sz w:val="20"/>
                <w:szCs w:val="20"/>
              </w:rPr>
            </w:pPr>
            <w:r w:rsidRPr="000717E1">
              <w:rPr>
                <w:sz w:val="20"/>
                <w:szCs w:val="20"/>
              </w:rPr>
              <w:t>394 (42.1)</w:t>
            </w:r>
          </w:p>
        </w:tc>
      </w:tr>
      <w:tr w:rsidR="001429A4" w:rsidRPr="000717E1" w14:paraId="530BACEE" w14:textId="77777777">
        <w:trPr>
          <w:trHeight w:val="53"/>
        </w:trPr>
        <w:tc>
          <w:tcPr>
            <w:tcW w:w="5000" w:type="pct"/>
            <w:gridSpan w:val="7"/>
            <w:tcBorders>
              <w:top w:val="single" w:sz="4" w:space="0" w:color="auto"/>
              <w:left w:val="single" w:sz="4" w:space="0" w:color="auto"/>
              <w:bottom w:val="single" w:sz="4" w:space="0" w:color="auto"/>
              <w:right w:val="single" w:sz="4" w:space="0" w:color="auto"/>
            </w:tcBorders>
            <w:hideMark/>
          </w:tcPr>
          <w:p w14:paraId="731DA339" w14:textId="77777777" w:rsidR="00A979D9" w:rsidRPr="000717E1" w:rsidRDefault="00A979D9" w:rsidP="00A73796">
            <w:pPr>
              <w:pStyle w:val="TableText0"/>
              <w:rPr>
                <w:rFonts w:ascii="Calibri" w:hAnsi="Calibri"/>
                <w:sz w:val="20"/>
                <w:szCs w:val="20"/>
              </w:rPr>
            </w:pPr>
            <w:r w:rsidRPr="000717E1">
              <w:rPr>
                <w:sz w:val="20"/>
                <w:szCs w:val="20"/>
              </w:rPr>
              <w:t>Number of moderate or severe exacerbation events</w:t>
            </w:r>
          </w:p>
        </w:tc>
      </w:tr>
      <w:tr w:rsidR="00552528" w:rsidRPr="000717E1" w14:paraId="29F0BF8E" w14:textId="77777777">
        <w:trPr>
          <w:trHeight w:val="53"/>
        </w:trPr>
        <w:tc>
          <w:tcPr>
            <w:tcW w:w="1097" w:type="pct"/>
            <w:tcBorders>
              <w:top w:val="nil"/>
              <w:left w:val="single" w:sz="4" w:space="0" w:color="auto"/>
              <w:bottom w:val="single" w:sz="4" w:space="0" w:color="auto"/>
              <w:right w:val="single" w:sz="4" w:space="0" w:color="auto"/>
            </w:tcBorders>
            <w:hideMark/>
          </w:tcPr>
          <w:p w14:paraId="01F5FD9B" w14:textId="77777777" w:rsidR="00A979D9" w:rsidRPr="000717E1" w:rsidRDefault="00A979D9" w:rsidP="00A73796">
            <w:pPr>
              <w:pStyle w:val="TableText0"/>
              <w:rPr>
                <w:sz w:val="20"/>
                <w:szCs w:val="20"/>
              </w:rPr>
            </w:pPr>
            <w:r w:rsidRPr="000717E1">
              <w:rPr>
                <w:sz w:val="20"/>
                <w:szCs w:val="20"/>
              </w:rPr>
              <w:t>0</w:t>
            </w:r>
          </w:p>
        </w:tc>
        <w:tc>
          <w:tcPr>
            <w:tcW w:w="594" w:type="pct"/>
            <w:tcBorders>
              <w:top w:val="nil"/>
              <w:left w:val="nil"/>
              <w:bottom w:val="single" w:sz="4" w:space="0" w:color="auto"/>
              <w:right w:val="single" w:sz="4" w:space="0" w:color="auto"/>
            </w:tcBorders>
            <w:hideMark/>
          </w:tcPr>
          <w:p w14:paraId="550EE04D" w14:textId="77777777" w:rsidR="00A979D9" w:rsidRPr="000717E1" w:rsidRDefault="00A979D9" w:rsidP="00A73796">
            <w:pPr>
              <w:pStyle w:val="TableText0"/>
              <w:jc w:val="center"/>
              <w:rPr>
                <w:sz w:val="20"/>
                <w:szCs w:val="20"/>
              </w:rPr>
            </w:pPr>
            <w:r w:rsidRPr="000717E1">
              <w:rPr>
                <w:sz w:val="20"/>
                <w:szCs w:val="20"/>
              </w:rPr>
              <w:t>286 (61.1)</w:t>
            </w:r>
          </w:p>
        </w:tc>
        <w:tc>
          <w:tcPr>
            <w:tcW w:w="595" w:type="pct"/>
            <w:tcBorders>
              <w:top w:val="nil"/>
              <w:left w:val="nil"/>
              <w:bottom w:val="single" w:sz="4" w:space="0" w:color="auto"/>
              <w:right w:val="single" w:sz="4" w:space="0" w:color="auto"/>
            </w:tcBorders>
            <w:hideMark/>
          </w:tcPr>
          <w:p w14:paraId="36BFBE45" w14:textId="77777777" w:rsidR="00A979D9" w:rsidRPr="000717E1" w:rsidRDefault="00A979D9" w:rsidP="00A73796">
            <w:pPr>
              <w:pStyle w:val="TableText0"/>
              <w:jc w:val="center"/>
              <w:rPr>
                <w:sz w:val="20"/>
                <w:szCs w:val="20"/>
              </w:rPr>
            </w:pPr>
            <w:r w:rsidRPr="000717E1">
              <w:rPr>
                <w:sz w:val="20"/>
                <w:szCs w:val="20"/>
              </w:rPr>
              <w:t>259 (55.0)</w:t>
            </w:r>
          </w:p>
        </w:tc>
        <w:tc>
          <w:tcPr>
            <w:tcW w:w="701" w:type="pct"/>
            <w:tcBorders>
              <w:top w:val="nil"/>
              <w:left w:val="nil"/>
              <w:bottom w:val="single" w:sz="4" w:space="0" w:color="auto"/>
              <w:right w:val="nil"/>
            </w:tcBorders>
            <w:hideMark/>
          </w:tcPr>
          <w:p w14:paraId="74F334CE" w14:textId="77777777" w:rsidR="00A979D9" w:rsidRPr="000717E1" w:rsidRDefault="00A979D9" w:rsidP="00A73796">
            <w:pPr>
              <w:pStyle w:val="TableText0"/>
              <w:jc w:val="center"/>
              <w:rPr>
                <w:sz w:val="20"/>
                <w:szCs w:val="20"/>
              </w:rPr>
            </w:pPr>
            <w:r w:rsidRPr="000717E1">
              <w:rPr>
                <w:sz w:val="20"/>
                <w:szCs w:val="20"/>
              </w:rPr>
              <w:t>314 (66.8)</w:t>
            </w:r>
          </w:p>
        </w:tc>
        <w:tc>
          <w:tcPr>
            <w:tcW w:w="787" w:type="pct"/>
            <w:tcBorders>
              <w:top w:val="nil"/>
              <w:left w:val="single" w:sz="4" w:space="0" w:color="auto"/>
              <w:bottom w:val="single" w:sz="4" w:space="0" w:color="auto"/>
              <w:right w:val="single" w:sz="4" w:space="0" w:color="auto"/>
            </w:tcBorders>
            <w:hideMark/>
          </w:tcPr>
          <w:p w14:paraId="313DB793" w14:textId="77777777" w:rsidR="00A979D9" w:rsidRPr="000717E1" w:rsidRDefault="00A979D9" w:rsidP="00A73796">
            <w:pPr>
              <w:pStyle w:val="TableText0"/>
              <w:jc w:val="center"/>
              <w:rPr>
                <w:sz w:val="20"/>
                <w:szCs w:val="20"/>
              </w:rPr>
            </w:pPr>
            <w:r w:rsidRPr="000717E1">
              <w:rPr>
                <w:sz w:val="20"/>
                <w:szCs w:val="20"/>
              </w:rPr>
              <w:t>283 (60.9)</w:t>
            </w:r>
          </w:p>
        </w:tc>
        <w:tc>
          <w:tcPr>
            <w:tcW w:w="628" w:type="pct"/>
            <w:tcBorders>
              <w:top w:val="nil"/>
              <w:left w:val="nil"/>
              <w:bottom w:val="single" w:sz="4" w:space="0" w:color="auto"/>
              <w:right w:val="single" w:sz="4" w:space="0" w:color="auto"/>
            </w:tcBorders>
            <w:hideMark/>
          </w:tcPr>
          <w:p w14:paraId="27B85C3E" w14:textId="77777777" w:rsidR="00A979D9" w:rsidRPr="000717E1" w:rsidRDefault="00A979D9" w:rsidP="00A73796">
            <w:pPr>
              <w:pStyle w:val="TableText0"/>
              <w:jc w:val="center"/>
              <w:rPr>
                <w:sz w:val="20"/>
                <w:szCs w:val="20"/>
              </w:rPr>
            </w:pPr>
            <w:r w:rsidRPr="000717E1">
              <w:rPr>
                <w:sz w:val="20"/>
                <w:szCs w:val="20"/>
              </w:rPr>
              <w:t>600 (64.0)</w:t>
            </w:r>
          </w:p>
        </w:tc>
        <w:tc>
          <w:tcPr>
            <w:tcW w:w="598" w:type="pct"/>
            <w:tcBorders>
              <w:top w:val="nil"/>
              <w:left w:val="nil"/>
              <w:bottom w:val="single" w:sz="4" w:space="0" w:color="auto"/>
              <w:right w:val="single" w:sz="4" w:space="0" w:color="auto"/>
            </w:tcBorders>
            <w:hideMark/>
          </w:tcPr>
          <w:p w14:paraId="66B78831" w14:textId="77777777" w:rsidR="00A979D9" w:rsidRPr="000717E1" w:rsidRDefault="00A979D9" w:rsidP="00A73796">
            <w:pPr>
              <w:pStyle w:val="TableText0"/>
              <w:jc w:val="center"/>
              <w:rPr>
                <w:sz w:val="20"/>
                <w:szCs w:val="20"/>
              </w:rPr>
            </w:pPr>
            <w:r w:rsidRPr="000717E1">
              <w:rPr>
                <w:sz w:val="20"/>
                <w:szCs w:val="20"/>
              </w:rPr>
              <w:t>542 (57.9)</w:t>
            </w:r>
          </w:p>
        </w:tc>
      </w:tr>
      <w:tr w:rsidR="00552528" w:rsidRPr="000717E1" w14:paraId="40EC4A78" w14:textId="77777777">
        <w:trPr>
          <w:trHeight w:val="53"/>
        </w:trPr>
        <w:tc>
          <w:tcPr>
            <w:tcW w:w="1097" w:type="pct"/>
            <w:tcBorders>
              <w:top w:val="nil"/>
              <w:left w:val="single" w:sz="4" w:space="0" w:color="auto"/>
              <w:bottom w:val="single" w:sz="4" w:space="0" w:color="auto"/>
              <w:right w:val="single" w:sz="4" w:space="0" w:color="auto"/>
            </w:tcBorders>
            <w:hideMark/>
          </w:tcPr>
          <w:p w14:paraId="13F178D0" w14:textId="77777777" w:rsidR="00A979D9" w:rsidRPr="000717E1" w:rsidRDefault="00A979D9" w:rsidP="00A73796">
            <w:pPr>
              <w:pStyle w:val="TableText0"/>
              <w:rPr>
                <w:sz w:val="20"/>
                <w:szCs w:val="20"/>
              </w:rPr>
            </w:pPr>
            <w:r w:rsidRPr="000717E1">
              <w:rPr>
                <w:sz w:val="20"/>
                <w:szCs w:val="20"/>
              </w:rPr>
              <w:t>1</w:t>
            </w:r>
          </w:p>
        </w:tc>
        <w:tc>
          <w:tcPr>
            <w:tcW w:w="594" w:type="pct"/>
            <w:tcBorders>
              <w:top w:val="nil"/>
              <w:left w:val="nil"/>
              <w:bottom w:val="single" w:sz="4" w:space="0" w:color="auto"/>
              <w:right w:val="single" w:sz="4" w:space="0" w:color="auto"/>
            </w:tcBorders>
            <w:hideMark/>
          </w:tcPr>
          <w:p w14:paraId="31B48F51" w14:textId="77777777" w:rsidR="00A979D9" w:rsidRPr="000717E1" w:rsidRDefault="00A979D9" w:rsidP="00A73796">
            <w:pPr>
              <w:pStyle w:val="TableText0"/>
              <w:jc w:val="center"/>
              <w:rPr>
                <w:sz w:val="20"/>
                <w:szCs w:val="20"/>
              </w:rPr>
            </w:pPr>
            <w:r w:rsidRPr="000717E1">
              <w:rPr>
                <w:sz w:val="20"/>
                <w:szCs w:val="20"/>
              </w:rPr>
              <w:t>113 (24.1)</w:t>
            </w:r>
          </w:p>
        </w:tc>
        <w:tc>
          <w:tcPr>
            <w:tcW w:w="595" w:type="pct"/>
            <w:tcBorders>
              <w:top w:val="nil"/>
              <w:left w:val="nil"/>
              <w:bottom w:val="single" w:sz="4" w:space="0" w:color="auto"/>
              <w:right w:val="single" w:sz="4" w:space="0" w:color="auto"/>
            </w:tcBorders>
            <w:hideMark/>
          </w:tcPr>
          <w:p w14:paraId="76EAE266" w14:textId="77777777" w:rsidR="00A979D9" w:rsidRPr="000717E1" w:rsidRDefault="00A979D9" w:rsidP="00A73796">
            <w:pPr>
              <w:pStyle w:val="TableText0"/>
              <w:jc w:val="center"/>
              <w:rPr>
                <w:sz w:val="20"/>
                <w:szCs w:val="20"/>
              </w:rPr>
            </w:pPr>
            <w:r w:rsidRPr="000717E1">
              <w:rPr>
                <w:sz w:val="20"/>
                <w:szCs w:val="20"/>
              </w:rPr>
              <w:t>106 (22.5)</w:t>
            </w:r>
          </w:p>
        </w:tc>
        <w:tc>
          <w:tcPr>
            <w:tcW w:w="701" w:type="pct"/>
            <w:tcBorders>
              <w:top w:val="nil"/>
              <w:left w:val="nil"/>
              <w:bottom w:val="single" w:sz="4" w:space="0" w:color="auto"/>
              <w:right w:val="nil"/>
            </w:tcBorders>
            <w:hideMark/>
          </w:tcPr>
          <w:p w14:paraId="2BFC6A4D" w14:textId="77777777" w:rsidR="00A979D9" w:rsidRPr="000717E1" w:rsidRDefault="00A979D9" w:rsidP="00A73796">
            <w:pPr>
              <w:pStyle w:val="TableText0"/>
              <w:jc w:val="center"/>
              <w:rPr>
                <w:sz w:val="20"/>
                <w:szCs w:val="20"/>
              </w:rPr>
            </w:pPr>
            <w:r w:rsidRPr="000717E1">
              <w:rPr>
                <w:sz w:val="20"/>
                <w:szCs w:val="20"/>
              </w:rPr>
              <w:t>93 (19.8)</w:t>
            </w:r>
          </w:p>
        </w:tc>
        <w:tc>
          <w:tcPr>
            <w:tcW w:w="787" w:type="pct"/>
            <w:tcBorders>
              <w:top w:val="nil"/>
              <w:left w:val="single" w:sz="4" w:space="0" w:color="auto"/>
              <w:bottom w:val="single" w:sz="4" w:space="0" w:color="auto"/>
              <w:right w:val="single" w:sz="4" w:space="0" w:color="auto"/>
            </w:tcBorders>
            <w:hideMark/>
          </w:tcPr>
          <w:p w14:paraId="0D86E092" w14:textId="77777777" w:rsidR="00A979D9" w:rsidRPr="000717E1" w:rsidRDefault="00A979D9" w:rsidP="00A73796">
            <w:pPr>
              <w:pStyle w:val="TableText0"/>
              <w:jc w:val="center"/>
              <w:rPr>
                <w:sz w:val="20"/>
                <w:szCs w:val="20"/>
              </w:rPr>
            </w:pPr>
            <w:r w:rsidRPr="000717E1">
              <w:rPr>
                <w:sz w:val="20"/>
                <w:szCs w:val="20"/>
              </w:rPr>
              <w:t>98 (21.1)</w:t>
            </w:r>
          </w:p>
        </w:tc>
        <w:tc>
          <w:tcPr>
            <w:tcW w:w="628" w:type="pct"/>
            <w:tcBorders>
              <w:top w:val="nil"/>
              <w:left w:val="nil"/>
              <w:bottom w:val="single" w:sz="4" w:space="0" w:color="auto"/>
              <w:right w:val="single" w:sz="4" w:space="0" w:color="auto"/>
            </w:tcBorders>
            <w:hideMark/>
          </w:tcPr>
          <w:p w14:paraId="0A61F74A" w14:textId="77777777" w:rsidR="00A979D9" w:rsidRPr="000717E1" w:rsidRDefault="00A979D9" w:rsidP="00A73796">
            <w:pPr>
              <w:pStyle w:val="TableText0"/>
              <w:jc w:val="center"/>
              <w:rPr>
                <w:sz w:val="20"/>
                <w:szCs w:val="20"/>
              </w:rPr>
            </w:pPr>
            <w:r w:rsidRPr="000717E1">
              <w:rPr>
                <w:sz w:val="20"/>
                <w:szCs w:val="20"/>
              </w:rPr>
              <w:t>206 (22.0)</w:t>
            </w:r>
          </w:p>
        </w:tc>
        <w:tc>
          <w:tcPr>
            <w:tcW w:w="598" w:type="pct"/>
            <w:tcBorders>
              <w:top w:val="nil"/>
              <w:left w:val="nil"/>
              <w:bottom w:val="single" w:sz="4" w:space="0" w:color="auto"/>
              <w:right w:val="single" w:sz="4" w:space="0" w:color="auto"/>
            </w:tcBorders>
            <w:hideMark/>
          </w:tcPr>
          <w:p w14:paraId="6B5898D6" w14:textId="77777777" w:rsidR="00A979D9" w:rsidRPr="000717E1" w:rsidRDefault="00A979D9" w:rsidP="00A73796">
            <w:pPr>
              <w:pStyle w:val="TableText0"/>
              <w:jc w:val="center"/>
              <w:rPr>
                <w:sz w:val="20"/>
                <w:szCs w:val="20"/>
              </w:rPr>
            </w:pPr>
            <w:r w:rsidRPr="000717E1">
              <w:rPr>
                <w:sz w:val="20"/>
                <w:szCs w:val="20"/>
              </w:rPr>
              <w:t>204 (21.8)</w:t>
            </w:r>
          </w:p>
        </w:tc>
      </w:tr>
      <w:tr w:rsidR="00552528" w:rsidRPr="000717E1" w14:paraId="64D5180C" w14:textId="77777777">
        <w:trPr>
          <w:trHeight w:val="53"/>
        </w:trPr>
        <w:tc>
          <w:tcPr>
            <w:tcW w:w="1097" w:type="pct"/>
            <w:tcBorders>
              <w:top w:val="nil"/>
              <w:left w:val="single" w:sz="4" w:space="0" w:color="auto"/>
              <w:bottom w:val="single" w:sz="4" w:space="0" w:color="auto"/>
              <w:right w:val="single" w:sz="4" w:space="0" w:color="auto"/>
            </w:tcBorders>
            <w:hideMark/>
          </w:tcPr>
          <w:p w14:paraId="43F1B9D5" w14:textId="77777777" w:rsidR="00A979D9" w:rsidRPr="000717E1" w:rsidRDefault="00A979D9" w:rsidP="00A73796">
            <w:pPr>
              <w:pStyle w:val="TableText0"/>
              <w:rPr>
                <w:sz w:val="20"/>
                <w:szCs w:val="20"/>
              </w:rPr>
            </w:pPr>
            <w:r w:rsidRPr="000717E1">
              <w:rPr>
                <w:sz w:val="20"/>
                <w:szCs w:val="20"/>
              </w:rPr>
              <w:t>2</w:t>
            </w:r>
          </w:p>
        </w:tc>
        <w:tc>
          <w:tcPr>
            <w:tcW w:w="594" w:type="pct"/>
            <w:tcBorders>
              <w:top w:val="nil"/>
              <w:left w:val="nil"/>
              <w:bottom w:val="single" w:sz="4" w:space="0" w:color="auto"/>
              <w:right w:val="single" w:sz="4" w:space="0" w:color="auto"/>
            </w:tcBorders>
            <w:hideMark/>
          </w:tcPr>
          <w:p w14:paraId="2B72EADC" w14:textId="77777777" w:rsidR="00A979D9" w:rsidRPr="000717E1" w:rsidRDefault="00A979D9" w:rsidP="00A73796">
            <w:pPr>
              <w:pStyle w:val="TableText0"/>
              <w:jc w:val="center"/>
              <w:rPr>
                <w:sz w:val="20"/>
                <w:szCs w:val="20"/>
              </w:rPr>
            </w:pPr>
            <w:r w:rsidRPr="000717E1">
              <w:rPr>
                <w:sz w:val="20"/>
                <w:szCs w:val="20"/>
              </w:rPr>
              <w:t>47 (10.0)</w:t>
            </w:r>
          </w:p>
        </w:tc>
        <w:tc>
          <w:tcPr>
            <w:tcW w:w="595" w:type="pct"/>
            <w:tcBorders>
              <w:top w:val="nil"/>
              <w:left w:val="nil"/>
              <w:bottom w:val="single" w:sz="4" w:space="0" w:color="auto"/>
              <w:right w:val="single" w:sz="4" w:space="0" w:color="auto"/>
            </w:tcBorders>
            <w:hideMark/>
          </w:tcPr>
          <w:p w14:paraId="72A8C286" w14:textId="77777777" w:rsidR="00A979D9" w:rsidRPr="000717E1" w:rsidRDefault="00A979D9" w:rsidP="00A73796">
            <w:pPr>
              <w:pStyle w:val="TableText0"/>
              <w:jc w:val="center"/>
              <w:rPr>
                <w:sz w:val="20"/>
                <w:szCs w:val="20"/>
              </w:rPr>
            </w:pPr>
            <w:r w:rsidRPr="000717E1">
              <w:rPr>
                <w:sz w:val="20"/>
                <w:szCs w:val="20"/>
              </w:rPr>
              <w:t>55 (11.7)</w:t>
            </w:r>
          </w:p>
        </w:tc>
        <w:tc>
          <w:tcPr>
            <w:tcW w:w="701" w:type="pct"/>
            <w:tcBorders>
              <w:top w:val="nil"/>
              <w:left w:val="nil"/>
              <w:bottom w:val="single" w:sz="4" w:space="0" w:color="auto"/>
              <w:right w:val="nil"/>
            </w:tcBorders>
            <w:hideMark/>
          </w:tcPr>
          <w:p w14:paraId="4F3B8F42" w14:textId="77777777" w:rsidR="00A979D9" w:rsidRPr="000717E1" w:rsidRDefault="00A979D9" w:rsidP="00A73796">
            <w:pPr>
              <w:pStyle w:val="TableText0"/>
              <w:jc w:val="center"/>
              <w:rPr>
                <w:sz w:val="20"/>
                <w:szCs w:val="20"/>
              </w:rPr>
            </w:pPr>
            <w:r w:rsidRPr="000717E1">
              <w:rPr>
                <w:sz w:val="20"/>
                <w:szCs w:val="20"/>
              </w:rPr>
              <w:t>36 (7.7)</w:t>
            </w:r>
          </w:p>
        </w:tc>
        <w:tc>
          <w:tcPr>
            <w:tcW w:w="787" w:type="pct"/>
            <w:tcBorders>
              <w:top w:val="nil"/>
              <w:left w:val="single" w:sz="4" w:space="0" w:color="auto"/>
              <w:bottom w:val="single" w:sz="4" w:space="0" w:color="auto"/>
              <w:right w:val="single" w:sz="4" w:space="0" w:color="auto"/>
            </w:tcBorders>
            <w:hideMark/>
          </w:tcPr>
          <w:p w14:paraId="3AF3A521" w14:textId="77777777" w:rsidR="00A979D9" w:rsidRPr="000717E1" w:rsidRDefault="00A979D9" w:rsidP="00A73796">
            <w:pPr>
              <w:pStyle w:val="TableText0"/>
              <w:jc w:val="center"/>
              <w:rPr>
                <w:sz w:val="20"/>
                <w:szCs w:val="20"/>
              </w:rPr>
            </w:pPr>
            <w:r w:rsidRPr="000717E1">
              <w:rPr>
                <w:sz w:val="20"/>
                <w:szCs w:val="20"/>
              </w:rPr>
              <w:t>41 (8.8)</w:t>
            </w:r>
          </w:p>
        </w:tc>
        <w:tc>
          <w:tcPr>
            <w:tcW w:w="628" w:type="pct"/>
            <w:tcBorders>
              <w:top w:val="nil"/>
              <w:left w:val="nil"/>
              <w:bottom w:val="single" w:sz="4" w:space="0" w:color="auto"/>
              <w:right w:val="single" w:sz="4" w:space="0" w:color="auto"/>
            </w:tcBorders>
            <w:hideMark/>
          </w:tcPr>
          <w:p w14:paraId="3012A7C6" w14:textId="77777777" w:rsidR="00A979D9" w:rsidRPr="000717E1" w:rsidRDefault="00A979D9" w:rsidP="00A73796">
            <w:pPr>
              <w:pStyle w:val="TableText0"/>
              <w:jc w:val="center"/>
              <w:rPr>
                <w:sz w:val="20"/>
                <w:szCs w:val="20"/>
              </w:rPr>
            </w:pPr>
            <w:r w:rsidRPr="000717E1">
              <w:rPr>
                <w:sz w:val="20"/>
                <w:szCs w:val="20"/>
              </w:rPr>
              <w:t>83 (8.8)</w:t>
            </w:r>
          </w:p>
        </w:tc>
        <w:tc>
          <w:tcPr>
            <w:tcW w:w="598" w:type="pct"/>
            <w:tcBorders>
              <w:top w:val="nil"/>
              <w:left w:val="nil"/>
              <w:bottom w:val="single" w:sz="4" w:space="0" w:color="auto"/>
              <w:right w:val="single" w:sz="4" w:space="0" w:color="auto"/>
            </w:tcBorders>
            <w:hideMark/>
          </w:tcPr>
          <w:p w14:paraId="56BB2707" w14:textId="77777777" w:rsidR="00A979D9" w:rsidRPr="000717E1" w:rsidRDefault="00A979D9" w:rsidP="00A73796">
            <w:pPr>
              <w:pStyle w:val="TableText0"/>
              <w:jc w:val="center"/>
              <w:rPr>
                <w:sz w:val="20"/>
                <w:szCs w:val="20"/>
              </w:rPr>
            </w:pPr>
            <w:r w:rsidRPr="000717E1">
              <w:rPr>
                <w:sz w:val="20"/>
                <w:szCs w:val="20"/>
              </w:rPr>
              <w:t>96 (10.3)</w:t>
            </w:r>
          </w:p>
        </w:tc>
      </w:tr>
      <w:tr w:rsidR="00552528" w:rsidRPr="000717E1" w14:paraId="00134711" w14:textId="77777777">
        <w:trPr>
          <w:trHeight w:val="53"/>
        </w:trPr>
        <w:tc>
          <w:tcPr>
            <w:tcW w:w="1097" w:type="pct"/>
            <w:tcBorders>
              <w:top w:val="nil"/>
              <w:left w:val="single" w:sz="4" w:space="0" w:color="auto"/>
              <w:bottom w:val="single" w:sz="4" w:space="0" w:color="auto"/>
              <w:right w:val="single" w:sz="4" w:space="0" w:color="auto"/>
            </w:tcBorders>
            <w:hideMark/>
          </w:tcPr>
          <w:p w14:paraId="5E0882C3" w14:textId="77777777" w:rsidR="00A979D9" w:rsidRPr="000717E1" w:rsidRDefault="00A979D9" w:rsidP="00A73796">
            <w:pPr>
              <w:pStyle w:val="TableText0"/>
              <w:rPr>
                <w:sz w:val="20"/>
                <w:szCs w:val="20"/>
              </w:rPr>
            </w:pPr>
            <w:r w:rsidRPr="000717E1">
              <w:rPr>
                <w:sz w:val="20"/>
                <w:szCs w:val="20"/>
              </w:rPr>
              <w:t>3</w:t>
            </w:r>
          </w:p>
        </w:tc>
        <w:tc>
          <w:tcPr>
            <w:tcW w:w="594" w:type="pct"/>
            <w:tcBorders>
              <w:top w:val="nil"/>
              <w:left w:val="nil"/>
              <w:bottom w:val="single" w:sz="4" w:space="0" w:color="auto"/>
              <w:right w:val="single" w:sz="4" w:space="0" w:color="auto"/>
            </w:tcBorders>
            <w:hideMark/>
          </w:tcPr>
          <w:p w14:paraId="078D5D18" w14:textId="77777777" w:rsidR="00A979D9" w:rsidRPr="000717E1" w:rsidRDefault="00A979D9" w:rsidP="00A73796">
            <w:pPr>
              <w:pStyle w:val="TableText0"/>
              <w:jc w:val="center"/>
              <w:rPr>
                <w:sz w:val="20"/>
                <w:szCs w:val="20"/>
              </w:rPr>
            </w:pPr>
            <w:r w:rsidRPr="000717E1">
              <w:rPr>
                <w:sz w:val="20"/>
                <w:szCs w:val="20"/>
              </w:rPr>
              <w:t>9 (1.9)</w:t>
            </w:r>
          </w:p>
        </w:tc>
        <w:tc>
          <w:tcPr>
            <w:tcW w:w="595" w:type="pct"/>
            <w:tcBorders>
              <w:top w:val="nil"/>
              <w:left w:val="nil"/>
              <w:bottom w:val="single" w:sz="4" w:space="0" w:color="auto"/>
              <w:right w:val="single" w:sz="4" w:space="0" w:color="auto"/>
            </w:tcBorders>
            <w:hideMark/>
          </w:tcPr>
          <w:p w14:paraId="5539048F" w14:textId="77777777" w:rsidR="00A979D9" w:rsidRPr="000717E1" w:rsidRDefault="00A979D9" w:rsidP="00A73796">
            <w:pPr>
              <w:pStyle w:val="TableText0"/>
              <w:jc w:val="center"/>
              <w:rPr>
                <w:sz w:val="20"/>
                <w:szCs w:val="20"/>
              </w:rPr>
            </w:pPr>
            <w:r w:rsidRPr="000717E1">
              <w:rPr>
                <w:sz w:val="20"/>
                <w:szCs w:val="20"/>
              </w:rPr>
              <w:t>25 (5.3)</w:t>
            </w:r>
          </w:p>
        </w:tc>
        <w:tc>
          <w:tcPr>
            <w:tcW w:w="701" w:type="pct"/>
            <w:tcBorders>
              <w:top w:val="nil"/>
              <w:left w:val="nil"/>
              <w:bottom w:val="single" w:sz="4" w:space="0" w:color="auto"/>
              <w:right w:val="nil"/>
            </w:tcBorders>
            <w:hideMark/>
          </w:tcPr>
          <w:p w14:paraId="0770CD8D" w14:textId="77777777" w:rsidR="00A979D9" w:rsidRPr="000717E1" w:rsidRDefault="00A979D9" w:rsidP="00A73796">
            <w:pPr>
              <w:pStyle w:val="TableText0"/>
              <w:jc w:val="center"/>
              <w:rPr>
                <w:sz w:val="20"/>
                <w:szCs w:val="20"/>
              </w:rPr>
            </w:pPr>
            <w:r w:rsidRPr="000717E1">
              <w:rPr>
                <w:sz w:val="20"/>
                <w:szCs w:val="20"/>
              </w:rPr>
              <w:t>15 (3.2)</w:t>
            </w:r>
          </w:p>
        </w:tc>
        <w:tc>
          <w:tcPr>
            <w:tcW w:w="787" w:type="pct"/>
            <w:tcBorders>
              <w:top w:val="nil"/>
              <w:left w:val="single" w:sz="4" w:space="0" w:color="auto"/>
              <w:bottom w:val="single" w:sz="4" w:space="0" w:color="auto"/>
              <w:right w:val="single" w:sz="4" w:space="0" w:color="auto"/>
            </w:tcBorders>
            <w:hideMark/>
          </w:tcPr>
          <w:p w14:paraId="0D8A4768" w14:textId="77777777" w:rsidR="00A979D9" w:rsidRPr="000717E1" w:rsidRDefault="00A979D9" w:rsidP="00A73796">
            <w:pPr>
              <w:pStyle w:val="TableText0"/>
              <w:jc w:val="center"/>
              <w:rPr>
                <w:sz w:val="20"/>
                <w:szCs w:val="20"/>
              </w:rPr>
            </w:pPr>
            <w:r w:rsidRPr="000717E1">
              <w:rPr>
                <w:sz w:val="20"/>
                <w:szCs w:val="20"/>
              </w:rPr>
              <w:t>18 (3.9)</w:t>
            </w:r>
          </w:p>
        </w:tc>
        <w:tc>
          <w:tcPr>
            <w:tcW w:w="628" w:type="pct"/>
            <w:tcBorders>
              <w:top w:val="nil"/>
              <w:left w:val="nil"/>
              <w:bottom w:val="single" w:sz="4" w:space="0" w:color="auto"/>
              <w:right w:val="single" w:sz="4" w:space="0" w:color="auto"/>
            </w:tcBorders>
            <w:hideMark/>
          </w:tcPr>
          <w:p w14:paraId="0CE22891" w14:textId="77777777" w:rsidR="00A979D9" w:rsidRPr="000717E1" w:rsidRDefault="00A979D9" w:rsidP="00A73796">
            <w:pPr>
              <w:pStyle w:val="TableText0"/>
              <w:jc w:val="center"/>
              <w:rPr>
                <w:sz w:val="20"/>
                <w:szCs w:val="20"/>
              </w:rPr>
            </w:pPr>
            <w:r w:rsidRPr="000717E1">
              <w:rPr>
                <w:sz w:val="20"/>
                <w:szCs w:val="20"/>
              </w:rPr>
              <w:t>24 (2.6)</w:t>
            </w:r>
          </w:p>
        </w:tc>
        <w:tc>
          <w:tcPr>
            <w:tcW w:w="598" w:type="pct"/>
            <w:tcBorders>
              <w:top w:val="nil"/>
              <w:left w:val="nil"/>
              <w:bottom w:val="single" w:sz="4" w:space="0" w:color="auto"/>
              <w:right w:val="single" w:sz="4" w:space="0" w:color="auto"/>
            </w:tcBorders>
            <w:hideMark/>
          </w:tcPr>
          <w:p w14:paraId="5B3AF69A" w14:textId="77777777" w:rsidR="00A979D9" w:rsidRPr="000717E1" w:rsidRDefault="00A979D9" w:rsidP="00A73796">
            <w:pPr>
              <w:pStyle w:val="TableText0"/>
              <w:jc w:val="center"/>
              <w:rPr>
                <w:sz w:val="20"/>
                <w:szCs w:val="20"/>
              </w:rPr>
            </w:pPr>
            <w:r w:rsidRPr="000717E1">
              <w:rPr>
                <w:sz w:val="20"/>
                <w:szCs w:val="20"/>
              </w:rPr>
              <w:t>43 (4.6)</w:t>
            </w:r>
          </w:p>
        </w:tc>
      </w:tr>
      <w:tr w:rsidR="00552528" w:rsidRPr="000717E1" w14:paraId="0690B6EF" w14:textId="77777777">
        <w:trPr>
          <w:trHeight w:val="53"/>
        </w:trPr>
        <w:tc>
          <w:tcPr>
            <w:tcW w:w="1097" w:type="pct"/>
            <w:tcBorders>
              <w:top w:val="single" w:sz="4" w:space="0" w:color="auto"/>
              <w:left w:val="single" w:sz="4" w:space="0" w:color="auto"/>
              <w:bottom w:val="single" w:sz="4" w:space="0" w:color="auto"/>
              <w:right w:val="single" w:sz="4" w:space="0" w:color="auto"/>
            </w:tcBorders>
            <w:hideMark/>
          </w:tcPr>
          <w:p w14:paraId="7E9A17D6" w14:textId="77777777" w:rsidR="00A979D9" w:rsidRPr="000717E1" w:rsidRDefault="00A979D9" w:rsidP="00A73796">
            <w:pPr>
              <w:pStyle w:val="TableText0"/>
              <w:rPr>
                <w:sz w:val="20"/>
                <w:szCs w:val="20"/>
              </w:rPr>
            </w:pPr>
            <w:r w:rsidRPr="000717E1">
              <w:rPr>
                <w:sz w:val="20"/>
                <w:szCs w:val="20"/>
              </w:rPr>
              <w:t>≥ 4</w:t>
            </w:r>
          </w:p>
        </w:tc>
        <w:tc>
          <w:tcPr>
            <w:tcW w:w="594" w:type="pct"/>
            <w:tcBorders>
              <w:top w:val="single" w:sz="4" w:space="0" w:color="auto"/>
              <w:left w:val="nil"/>
              <w:bottom w:val="single" w:sz="4" w:space="0" w:color="auto"/>
              <w:right w:val="single" w:sz="4" w:space="0" w:color="auto"/>
            </w:tcBorders>
            <w:hideMark/>
          </w:tcPr>
          <w:p w14:paraId="78916394" w14:textId="77777777" w:rsidR="00A979D9" w:rsidRPr="000717E1" w:rsidRDefault="00A979D9" w:rsidP="00A73796">
            <w:pPr>
              <w:pStyle w:val="TableText0"/>
              <w:jc w:val="center"/>
              <w:rPr>
                <w:sz w:val="20"/>
                <w:szCs w:val="20"/>
              </w:rPr>
            </w:pPr>
            <w:r w:rsidRPr="000717E1">
              <w:rPr>
                <w:sz w:val="20"/>
                <w:szCs w:val="20"/>
              </w:rPr>
              <w:t>13 (2.8)</w:t>
            </w:r>
          </w:p>
        </w:tc>
        <w:tc>
          <w:tcPr>
            <w:tcW w:w="595" w:type="pct"/>
            <w:tcBorders>
              <w:top w:val="single" w:sz="4" w:space="0" w:color="auto"/>
              <w:left w:val="nil"/>
              <w:bottom w:val="single" w:sz="4" w:space="0" w:color="auto"/>
              <w:right w:val="single" w:sz="4" w:space="0" w:color="auto"/>
            </w:tcBorders>
            <w:hideMark/>
          </w:tcPr>
          <w:p w14:paraId="7CA60F89" w14:textId="77777777" w:rsidR="00A979D9" w:rsidRPr="000717E1" w:rsidRDefault="00A979D9" w:rsidP="00A73796">
            <w:pPr>
              <w:pStyle w:val="TableText0"/>
              <w:jc w:val="center"/>
              <w:rPr>
                <w:sz w:val="20"/>
                <w:szCs w:val="20"/>
              </w:rPr>
            </w:pPr>
            <w:r w:rsidRPr="000717E1">
              <w:rPr>
                <w:sz w:val="20"/>
                <w:szCs w:val="20"/>
              </w:rPr>
              <w:t>26 (5.5)</w:t>
            </w:r>
          </w:p>
        </w:tc>
        <w:tc>
          <w:tcPr>
            <w:tcW w:w="701" w:type="pct"/>
            <w:tcBorders>
              <w:top w:val="single" w:sz="4" w:space="0" w:color="auto"/>
              <w:left w:val="nil"/>
              <w:bottom w:val="single" w:sz="4" w:space="0" w:color="auto"/>
              <w:right w:val="nil"/>
            </w:tcBorders>
            <w:hideMark/>
          </w:tcPr>
          <w:p w14:paraId="09AEF4D5" w14:textId="77777777" w:rsidR="00A979D9" w:rsidRPr="000717E1" w:rsidRDefault="00A979D9" w:rsidP="00A73796">
            <w:pPr>
              <w:pStyle w:val="TableText0"/>
              <w:jc w:val="center"/>
              <w:rPr>
                <w:sz w:val="20"/>
                <w:szCs w:val="20"/>
              </w:rPr>
            </w:pPr>
            <w:r w:rsidRPr="000717E1">
              <w:rPr>
                <w:sz w:val="20"/>
                <w:szCs w:val="20"/>
              </w:rPr>
              <w:t>12 (2.6)</w:t>
            </w:r>
          </w:p>
        </w:tc>
        <w:tc>
          <w:tcPr>
            <w:tcW w:w="787" w:type="pct"/>
            <w:tcBorders>
              <w:top w:val="single" w:sz="4" w:space="0" w:color="auto"/>
              <w:left w:val="single" w:sz="4" w:space="0" w:color="auto"/>
              <w:bottom w:val="single" w:sz="4" w:space="0" w:color="auto"/>
              <w:right w:val="single" w:sz="4" w:space="0" w:color="auto"/>
            </w:tcBorders>
            <w:hideMark/>
          </w:tcPr>
          <w:p w14:paraId="17F33ED0" w14:textId="77777777" w:rsidR="00A979D9" w:rsidRPr="000717E1" w:rsidRDefault="00A979D9" w:rsidP="00A73796">
            <w:pPr>
              <w:pStyle w:val="TableText0"/>
              <w:jc w:val="center"/>
              <w:rPr>
                <w:sz w:val="20"/>
                <w:szCs w:val="20"/>
              </w:rPr>
            </w:pPr>
            <w:r w:rsidRPr="000717E1">
              <w:rPr>
                <w:sz w:val="20"/>
                <w:szCs w:val="20"/>
              </w:rPr>
              <w:t>25 (5.4)</w:t>
            </w:r>
          </w:p>
        </w:tc>
        <w:tc>
          <w:tcPr>
            <w:tcW w:w="628" w:type="pct"/>
            <w:tcBorders>
              <w:top w:val="single" w:sz="4" w:space="0" w:color="auto"/>
              <w:left w:val="nil"/>
              <w:bottom w:val="single" w:sz="4" w:space="0" w:color="auto"/>
              <w:right w:val="single" w:sz="4" w:space="0" w:color="auto"/>
            </w:tcBorders>
            <w:hideMark/>
          </w:tcPr>
          <w:p w14:paraId="69BD6436" w14:textId="77777777" w:rsidR="00A979D9" w:rsidRPr="000717E1" w:rsidRDefault="00A979D9" w:rsidP="00A73796">
            <w:pPr>
              <w:pStyle w:val="TableText0"/>
              <w:jc w:val="center"/>
              <w:rPr>
                <w:sz w:val="20"/>
                <w:szCs w:val="20"/>
              </w:rPr>
            </w:pPr>
            <w:r w:rsidRPr="000717E1">
              <w:rPr>
                <w:sz w:val="20"/>
                <w:szCs w:val="20"/>
              </w:rPr>
              <w:t>25 (2.7)</w:t>
            </w:r>
          </w:p>
        </w:tc>
        <w:tc>
          <w:tcPr>
            <w:tcW w:w="598" w:type="pct"/>
            <w:tcBorders>
              <w:top w:val="single" w:sz="4" w:space="0" w:color="auto"/>
              <w:left w:val="nil"/>
              <w:bottom w:val="single" w:sz="4" w:space="0" w:color="auto"/>
              <w:right w:val="single" w:sz="4" w:space="0" w:color="auto"/>
            </w:tcBorders>
            <w:hideMark/>
          </w:tcPr>
          <w:p w14:paraId="21BA63BB" w14:textId="77777777" w:rsidR="00A979D9" w:rsidRPr="000717E1" w:rsidRDefault="00A979D9" w:rsidP="00A73796">
            <w:pPr>
              <w:pStyle w:val="TableText0"/>
              <w:jc w:val="center"/>
              <w:rPr>
                <w:sz w:val="20"/>
                <w:szCs w:val="20"/>
              </w:rPr>
            </w:pPr>
            <w:r w:rsidRPr="000717E1">
              <w:rPr>
                <w:sz w:val="20"/>
                <w:szCs w:val="20"/>
              </w:rPr>
              <w:t>51 (5.4)</w:t>
            </w:r>
          </w:p>
        </w:tc>
      </w:tr>
      <w:tr w:rsidR="001037D4" w:rsidRPr="000717E1" w14:paraId="00E28E85" w14:textId="77777777">
        <w:trPr>
          <w:trHeight w:val="53"/>
        </w:trPr>
        <w:tc>
          <w:tcPr>
            <w:tcW w:w="1097" w:type="pct"/>
            <w:tcBorders>
              <w:top w:val="single" w:sz="4" w:space="0" w:color="auto"/>
              <w:left w:val="single" w:sz="4" w:space="0" w:color="auto"/>
              <w:bottom w:val="single" w:sz="4" w:space="0" w:color="auto"/>
              <w:right w:val="single" w:sz="4" w:space="0" w:color="auto"/>
            </w:tcBorders>
            <w:hideMark/>
          </w:tcPr>
          <w:p w14:paraId="78C69290" w14:textId="77777777" w:rsidR="00A979D9" w:rsidRPr="000717E1" w:rsidRDefault="00A979D9" w:rsidP="00A73796">
            <w:pPr>
              <w:pStyle w:val="TableText0"/>
              <w:rPr>
                <w:sz w:val="20"/>
                <w:szCs w:val="20"/>
              </w:rPr>
            </w:pPr>
            <w:r w:rsidRPr="000717E1">
              <w:rPr>
                <w:sz w:val="20"/>
                <w:szCs w:val="20"/>
              </w:rPr>
              <w:t>Total number of moderate or severe exacerbation events</w:t>
            </w:r>
          </w:p>
        </w:tc>
        <w:tc>
          <w:tcPr>
            <w:tcW w:w="594" w:type="pct"/>
            <w:tcBorders>
              <w:top w:val="single" w:sz="4" w:space="0" w:color="auto"/>
              <w:left w:val="nil"/>
              <w:bottom w:val="single" w:sz="4" w:space="0" w:color="auto"/>
              <w:right w:val="single" w:sz="4" w:space="0" w:color="auto"/>
            </w:tcBorders>
            <w:hideMark/>
          </w:tcPr>
          <w:p w14:paraId="74F190CD" w14:textId="77777777" w:rsidR="00A979D9" w:rsidRPr="000717E1" w:rsidRDefault="00A979D9" w:rsidP="00A73796">
            <w:pPr>
              <w:pStyle w:val="TableText0"/>
              <w:jc w:val="center"/>
              <w:rPr>
                <w:sz w:val="20"/>
                <w:szCs w:val="20"/>
              </w:rPr>
            </w:pPr>
            <w:r w:rsidRPr="000717E1">
              <w:rPr>
                <w:sz w:val="20"/>
                <w:szCs w:val="20"/>
              </w:rPr>
              <w:t>296</w:t>
            </w:r>
          </w:p>
        </w:tc>
        <w:tc>
          <w:tcPr>
            <w:tcW w:w="595" w:type="pct"/>
            <w:tcBorders>
              <w:top w:val="single" w:sz="4" w:space="0" w:color="auto"/>
              <w:left w:val="nil"/>
              <w:bottom w:val="single" w:sz="4" w:space="0" w:color="auto"/>
              <w:right w:val="single" w:sz="4" w:space="0" w:color="auto"/>
            </w:tcBorders>
            <w:hideMark/>
          </w:tcPr>
          <w:p w14:paraId="724CF74A" w14:textId="77777777" w:rsidR="00A979D9" w:rsidRPr="000717E1" w:rsidRDefault="00A979D9" w:rsidP="00A73796">
            <w:pPr>
              <w:pStyle w:val="TableText0"/>
              <w:jc w:val="center"/>
              <w:rPr>
                <w:sz w:val="20"/>
                <w:szCs w:val="20"/>
              </w:rPr>
            </w:pPr>
            <w:r w:rsidRPr="000717E1">
              <w:rPr>
                <w:sz w:val="20"/>
                <w:szCs w:val="20"/>
              </w:rPr>
              <w:t>422</w:t>
            </w:r>
          </w:p>
        </w:tc>
        <w:tc>
          <w:tcPr>
            <w:tcW w:w="701" w:type="pct"/>
            <w:tcBorders>
              <w:top w:val="single" w:sz="4" w:space="0" w:color="auto"/>
              <w:left w:val="nil"/>
              <w:bottom w:val="single" w:sz="4" w:space="0" w:color="auto"/>
              <w:right w:val="single" w:sz="4" w:space="0" w:color="auto"/>
            </w:tcBorders>
            <w:hideMark/>
          </w:tcPr>
          <w:p w14:paraId="0DB7C49A" w14:textId="77777777" w:rsidR="00A979D9" w:rsidRPr="000717E1" w:rsidRDefault="00A979D9" w:rsidP="00A73796">
            <w:pPr>
              <w:pStyle w:val="TableText0"/>
              <w:jc w:val="center"/>
              <w:rPr>
                <w:sz w:val="20"/>
                <w:szCs w:val="20"/>
              </w:rPr>
            </w:pPr>
            <w:r w:rsidRPr="000717E1">
              <w:rPr>
                <w:sz w:val="20"/>
                <w:szCs w:val="20"/>
              </w:rPr>
              <w:t>263</w:t>
            </w:r>
          </w:p>
        </w:tc>
        <w:tc>
          <w:tcPr>
            <w:tcW w:w="787" w:type="pct"/>
            <w:tcBorders>
              <w:top w:val="single" w:sz="4" w:space="0" w:color="auto"/>
              <w:left w:val="nil"/>
              <w:bottom w:val="single" w:sz="4" w:space="0" w:color="auto"/>
              <w:right w:val="single" w:sz="4" w:space="0" w:color="auto"/>
            </w:tcBorders>
            <w:hideMark/>
          </w:tcPr>
          <w:p w14:paraId="5DFDFF04" w14:textId="77777777" w:rsidR="00A979D9" w:rsidRPr="000717E1" w:rsidRDefault="00A979D9" w:rsidP="00A73796">
            <w:pPr>
              <w:pStyle w:val="TableText0"/>
              <w:jc w:val="center"/>
              <w:rPr>
                <w:sz w:val="20"/>
                <w:szCs w:val="20"/>
              </w:rPr>
            </w:pPr>
            <w:r w:rsidRPr="000717E1">
              <w:rPr>
                <w:sz w:val="20"/>
                <w:szCs w:val="20"/>
              </w:rPr>
              <w:t>352</w:t>
            </w:r>
          </w:p>
        </w:tc>
        <w:tc>
          <w:tcPr>
            <w:tcW w:w="628" w:type="pct"/>
            <w:tcBorders>
              <w:top w:val="single" w:sz="4" w:space="0" w:color="auto"/>
              <w:left w:val="nil"/>
              <w:bottom w:val="single" w:sz="4" w:space="0" w:color="auto"/>
              <w:right w:val="single" w:sz="4" w:space="0" w:color="auto"/>
            </w:tcBorders>
            <w:hideMark/>
          </w:tcPr>
          <w:p w14:paraId="742D29B2" w14:textId="77777777" w:rsidR="00A979D9" w:rsidRPr="000717E1" w:rsidRDefault="00A979D9" w:rsidP="00A73796">
            <w:pPr>
              <w:pStyle w:val="TableText0"/>
              <w:jc w:val="center"/>
              <w:rPr>
                <w:sz w:val="20"/>
                <w:szCs w:val="20"/>
              </w:rPr>
            </w:pPr>
            <w:r w:rsidRPr="000717E1">
              <w:rPr>
                <w:sz w:val="20"/>
                <w:szCs w:val="20"/>
              </w:rPr>
              <w:t>559</w:t>
            </w:r>
          </w:p>
        </w:tc>
        <w:tc>
          <w:tcPr>
            <w:tcW w:w="598" w:type="pct"/>
            <w:tcBorders>
              <w:top w:val="single" w:sz="4" w:space="0" w:color="auto"/>
              <w:left w:val="nil"/>
              <w:bottom w:val="single" w:sz="4" w:space="0" w:color="auto"/>
              <w:right w:val="single" w:sz="4" w:space="0" w:color="auto"/>
            </w:tcBorders>
            <w:hideMark/>
          </w:tcPr>
          <w:p w14:paraId="03A58B6D" w14:textId="77777777" w:rsidR="00A979D9" w:rsidRPr="000717E1" w:rsidRDefault="00A979D9" w:rsidP="00A73796">
            <w:pPr>
              <w:pStyle w:val="TableText0"/>
              <w:jc w:val="center"/>
              <w:rPr>
                <w:sz w:val="20"/>
                <w:szCs w:val="20"/>
              </w:rPr>
            </w:pPr>
            <w:r w:rsidRPr="000717E1">
              <w:rPr>
                <w:sz w:val="20"/>
                <w:szCs w:val="20"/>
              </w:rPr>
              <w:t>774</w:t>
            </w:r>
          </w:p>
        </w:tc>
      </w:tr>
      <w:tr w:rsidR="00655BA1" w:rsidRPr="000717E1" w14:paraId="50234571" w14:textId="77777777">
        <w:trPr>
          <w:trHeight w:val="53"/>
        </w:trPr>
        <w:tc>
          <w:tcPr>
            <w:tcW w:w="1097" w:type="pct"/>
            <w:tcBorders>
              <w:top w:val="nil"/>
              <w:left w:val="single" w:sz="4" w:space="0" w:color="auto"/>
              <w:bottom w:val="single" w:sz="4" w:space="0" w:color="auto"/>
              <w:right w:val="single" w:sz="4" w:space="0" w:color="auto"/>
            </w:tcBorders>
            <w:hideMark/>
          </w:tcPr>
          <w:p w14:paraId="0E824775" w14:textId="77777777" w:rsidR="00A979D9" w:rsidRPr="000717E1" w:rsidRDefault="00A979D9" w:rsidP="00A73796">
            <w:pPr>
              <w:pStyle w:val="TableText0"/>
              <w:rPr>
                <w:sz w:val="20"/>
                <w:szCs w:val="20"/>
              </w:rPr>
            </w:pPr>
            <w:r w:rsidRPr="000717E1">
              <w:rPr>
                <w:sz w:val="20"/>
                <w:szCs w:val="20"/>
              </w:rPr>
              <w:t>Total patient-years followed</w:t>
            </w:r>
          </w:p>
        </w:tc>
        <w:tc>
          <w:tcPr>
            <w:tcW w:w="594" w:type="pct"/>
            <w:tcBorders>
              <w:top w:val="nil"/>
              <w:left w:val="nil"/>
              <w:bottom w:val="single" w:sz="4" w:space="0" w:color="auto"/>
              <w:right w:val="single" w:sz="4" w:space="0" w:color="auto"/>
            </w:tcBorders>
            <w:hideMark/>
          </w:tcPr>
          <w:p w14:paraId="36FBFD64" w14:textId="77777777" w:rsidR="00A979D9" w:rsidRPr="000717E1" w:rsidRDefault="00A979D9" w:rsidP="00A73796">
            <w:pPr>
              <w:pStyle w:val="TableText0"/>
              <w:jc w:val="center"/>
              <w:rPr>
                <w:sz w:val="20"/>
                <w:szCs w:val="20"/>
              </w:rPr>
            </w:pPr>
            <w:r w:rsidRPr="000717E1">
              <w:rPr>
                <w:sz w:val="20"/>
                <w:szCs w:val="20"/>
              </w:rPr>
              <w:t>458.2</w:t>
            </w:r>
          </w:p>
        </w:tc>
        <w:tc>
          <w:tcPr>
            <w:tcW w:w="595" w:type="pct"/>
            <w:tcBorders>
              <w:top w:val="nil"/>
              <w:left w:val="nil"/>
              <w:bottom w:val="single" w:sz="4" w:space="0" w:color="auto"/>
              <w:right w:val="single" w:sz="4" w:space="0" w:color="auto"/>
            </w:tcBorders>
            <w:hideMark/>
          </w:tcPr>
          <w:p w14:paraId="7C34B8E8" w14:textId="77777777" w:rsidR="00A979D9" w:rsidRPr="000717E1" w:rsidRDefault="00A979D9" w:rsidP="00A73796">
            <w:pPr>
              <w:pStyle w:val="TableText0"/>
              <w:jc w:val="center"/>
              <w:rPr>
                <w:sz w:val="20"/>
                <w:szCs w:val="20"/>
              </w:rPr>
            </w:pPr>
            <w:r w:rsidRPr="000717E1">
              <w:rPr>
                <w:sz w:val="20"/>
                <w:szCs w:val="20"/>
              </w:rPr>
              <w:t>454.8</w:t>
            </w:r>
          </w:p>
        </w:tc>
        <w:tc>
          <w:tcPr>
            <w:tcW w:w="701" w:type="pct"/>
            <w:tcBorders>
              <w:top w:val="nil"/>
              <w:left w:val="nil"/>
              <w:bottom w:val="single" w:sz="4" w:space="0" w:color="auto"/>
              <w:right w:val="single" w:sz="4" w:space="0" w:color="auto"/>
            </w:tcBorders>
            <w:hideMark/>
          </w:tcPr>
          <w:p w14:paraId="0DA6A10F" w14:textId="77777777" w:rsidR="00A979D9" w:rsidRPr="000717E1" w:rsidRDefault="00A979D9" w:rsidP="00A73796">
            <w:pPr>
              <w:pStyle w:val="TableText0"/>
              <w:jc w:val="center"/>
              <w:rPr>
                <w:sz w:val="20"/>
                <w:szCs w:val="20"/>
              </w:rPr>
            </w:pPr>
            <w:r w:rsidRPr="000717E1">
              <w:rPr>
                <w:sz w:val="20"/>
                <w:szCs w:val="20"/>
              </w:rPr>
              <w:t>422.5</w:t>
            </w:r>
          </w:p>
        </w:tc>
        <w:tc>
          <w:tcPr>
            <w:tcW w:w="787" w:type="pct"/>
            <w:tcBorders>
              <w:top w:val="nil"/>
              <w:left w:val="nil"/>
              <w:bottom w:val="single" w:sz="4" w:space="0" w:color="auto"/>
              <w:right w:val="single" w:sz="4" w:space="0" w:color="auto"/>
            </w:tcBorders>
            <w:hideMark/>
          </w:tcPr>
          <w:p w14:paraId="4C7D6AD4" w14:textId="77777777" w:rsidR="00A979D9" w:rsidRPr="000717E1" w:rsidRDefault="00A979D9" w:rsidP="00A73796">
            <w:pPr>
              <w:pStyle w:val="TableText0"/>
              <w:jc w:val="center"/>
              <w:rPr>
                <w:sz w:val="20"/>
                <w:szCs w:val="20"/>
              </w:rPr>
            </w:pPr>
            <w:r w:rsidRPr="000717E1">
              <w:rPr>
                <w:sz w:val="20"/>
                <w:szCs w:val="20"/>
              </w:rPr>
              <w:t>417.3</w:t>
            </w:r>
          </w:p>
        </w:tc>
        <w:tc>
          <w:tcPr>
            <w:tcW w:w="628" w:type="pct"/>
            <w:tcBorders>
              <w:top w:val="nil"/>
              <w:left w:val="nil"/>
              <w:bottom w:val="single" w:sz="4" w:space="0" w:color="auto"/>
              <w:right w:val="single" w:sz="4" w:space="0" w:color="auto"/>
            </w:tcBorders>
            <w:hideMark/>
          </w:tcPr>
          <w:p w14:paraId="02783191" w14:textId="77777777" w:rsidR="00A979D9" w:rsidRPr="000717E1" w:rsidRDefault="00A979D9" w:rsidP="00A73796">
            <w:pPr>
              <w:pStyle w:val="TableText0"/>
              <w:jc w:val="center"/>
              <w:rPr>
                <w:sz w:val="20"/>
                <w:szCs w:val="20"/>
              </w:rPr>
            </w:pPr>
            <w:r w:rsidRPr="000717E1">
              <w:rPr>
                <w:sz w:val="20"/>
                <w:szCs w:val="20"/>
              </w:rPr>
              <w:t>880.7</w:t>
            </w:r>
          </w:p>
        </w:tc>
        <w:tc>
          <w:tcPr>
            <w:tcW w:w="598" w:type="pct"/>
            <w:tcBorders>
              <w:top w:val="nil"/>
              <w:left w:val="nil"/>
              <w:bottom w:val="single" w:sz="4" w:space="0" w:color="auto"/>
              <w:right w:val="single" w:sz="4" w:space="0" w:color="auto"/>
            </w:tcBorders>
            <w:hideMark/>
          </w:tcPr>
          <w:p w14:paraId="58124664" w14:textId="77777777" w:rsidR="00A979D9" w:rsidRPr="000717E1" w:rsidRDefault="00A979D9" w:rsidP="00A73796">
            <w:pPr>
              <w:pStyle w:val="TableText0"/>
              <w:jc w:val="center"/>
              <w:rPr>
                <w:sz w:val="20"/>
                <w:szCs w:val="20"/>
              </w:rPr>
            </w:pPr>
            <w:r w:rsidRPr="000717E1">
              <w:rPr>
                <w:sz w:val="20"/>
                <w:szCs w:val="20"/>
              </w:rPr>
              <w:t>872.1</w:t>
            </w:r>
          </w:p>
        </w:tc>
      </w:tr>
      <w:tr w:rsidR="00655BA1" w:rsidRPr="000717E1" w14:paraId="74FE0DD7" w14:textId="77777777">
        <w:trPr>
          <w:trHeight w:val="53"/>
        </w:trPr>
        <w:tc>
          <w:tcPr>
            <w:tcW w:w="1097" w:type="pct"/>
            <w:tcBorders>
              <w:top w:val="single" w:sz="4" w:space="0" w:color="auto"/>
              <w:left w:val="single" w:sz="4" w:space="0" w:color="auto"/>
              <w:bottom w:val="nil"/>
              <w:right w:val="single" w:sz="4" w:space="0" w:color="auto"/>
            </w:tcBorders>
            <w:hideMark/>
          </w:tcPr>
          <w:p w14:paraId="540D5213" w14:textId="3C60D539" w:rsidR="00A979D9" w:rsidRPr="000717E1" w:rsidRDefault="00A979D9" w:rsidP="00A73796">
            <w:pPr>
              <w:pStyle w:val="TableText0"/>
              <w:rPr>
                <w:sz w:val="20"/>
                <w:szCs w:val="20"/>
              </w:rPr>
            </w:pPr>
            <w:r w:rsidRPr="000717E1">
              <w:rPr>
                <w:sz w:val="20"/>
                <w:szCs w:val="20"/>
              </w:rPr>
              <w:t>Unadjusted annualised moderate or severe exacerbation event rate</w:t>
            </w:r>
            <w:r w:rsidR="008F25D9" w:rsidRPr="000717E1">
              <w:rPr>
                <w:sz w:val="20"/>
                <w:szCs w:val="20"/>
              </w:rPr>
              <w:t xml:space="preserve"> per year</w:t>
            </w:r>
          </w:p>
        </w:tc>
        <w:tc>
          <w:tcPr>
            <w:tcW w:w="594" w:type="pct"/>
            <w:tcBorders>
              <w:top w:val="single" w:sz="4" w:space="0" w:color="auto"/>
              <w:left w:val="nil"/>
              <w:bottom w:val="nil"/>
              <w:right w:val="single" w:sz="4" w:space="0" w:color="auto"/>
            </w:tcBorders>
            <w:hideMark/>
          </w:tcPr>
          <w:p w14:paraId="1E127866" w14:textId="77777777" w:rsidR="00A979D9" w:rsidRPr="000717E1" w:rsidRDefault="00A979D9" w:rsidP="00A73796">
            <w:pPr>
              <w:pStyle w:val="TableText0"/>
              <w:jc w:val="center"/>
              <w:rPr>
                <w:sz w:val="20"/>
                <w:szCs w:val="20"/>
              </w:rPr>
            </w:pPr>
            <w:r w:rsidRPr="000717E1">
              <w:rPr>
                <w:sz w:val="20"/>
                <w:szCs w:val="20"/>
              </w:rPr>
              <w:t>0.65</w:t>
            </w:r>
          </w:p>
        </w:tc>
        <w:tc>
          <w:tcPr>
            <w:tcW w:w="595" w:type="pct"/>
            <w:tcBorders>
              <w:top w:val="single" w:sz="4" w:space="0" w:color="auto"/>
              <w:left w:val="nil"/>
              <w:bottom w:val="nil"/>
              <w:right w:val="single" w:sz="4" w:space="0" w:color="auto"/>
            </w:tcBorders>
            <w:hideMark/>
          </w:tcPr>
          <w:p w14:paraId="45A19E32" w14:textId="77777777" w:rsidR="00A979D9" w:rsidRPr="000717E1" w:rsidRDefault="00A979D9" w:rsidP="00A73796">
            <w:pPr>
              <w:pStyle w:val="TableText0"/>
              <w:jc w:val="center"/>
              <w:rPr>
                <w:sz w:val="20"/>
                <w:szCs w:val="20"/>
              </w:rPr>
            </w:pPr>
            <w:r w:rsidRPr="000717E1">
              <w:rPr>
                <w:sz w:val="20"/>
                <w:szCs w:val="20"/>
              </w:rPr>
              <w:t>0.93</w:t>
            </w:r>
          </w:p>
        </w:tc>
        <w:tc>
          <w:tcPr>
            <w:tcW w:w="701" w:type="pct"/>
            <w:tcBorders>
              <w:top w:val="single" w:sz="4" w:space="0" w:color="auto"/>
              <w:left w:val="nil"/>
              <w:bottom w:val="nil"/>
              <w:right w:val="single" w:sz="4" w:space="0" w:color="auto"/>
            </w:tcBorders>
            <w:hideMark/>
          </w:tcPr>
          <w:p w14:paraId="643EC665" w14:textId="77777777" w:rsidR="00A979D9" w:rsidRPr="000717E1" w:rsidRDefault="00A979D9" w:rsidP="00A73796">
            <w:pPr>
              <w:pStyle w:val="TableText0"/>
              <w:jc w:val="center"/>
              <w:rPr>
                <w:sz w:val="20"/>
                <w:szCs w:val="20"/>
              </w:rPr>
            </w:pPr>
            <w:r w:rsidRPr="000717E1">
              <w:rPr>
                <w:sz w:val="20"/>
                <w:szCs w:val="20"/>
              </w:rPr>
              <w:t>0.62</w:t>
            </w:r>
          </w:p>
        </w:tc>
        <w:tc>
          <w:tcPr>
            <w:tcW w:w="787" w:type="pct"/>
            <w:tcBorders>
              <w:top w:val="single" w:sz="4" w:space="0" w:color="auto"/>
              <w:left w:val="nil"/>
              <w:bottom w:val="nil"/>
              <w:right w:val="single" w:sz="4" w:space="0" w:color="auto"/>
            </w:tcBorders>
            <w:hideMark/>
          </w:tcPr>
          <w:p w14:paraId="574DEF8D" w14:textId="77777777" w:rsidR="00A979D9" w:rsidRPr="000717E1" w:rsidRDefault="00A979D9" w:rsidP="00A73796">
            <w:pPr>
              <w:pStyle w:val="TableText0"/>
              <w:jc w:val="center"/>
              <w:rPr>
                <w:sz w:val="20"/>
                <w:szCs w:val="20"/>
              </w:rPr>
            </w:pPr>
            <w:r w:rsidRPr="000717E1">
              <w:rPr>
                <w:sz w:val="20"/>
                <w:szCs w:val="20"/>
              </w:rPr>
              <w:t>0.84</w:t>
            </w:r>
          </w:p>
        </w:tc>
        <w:tc>
          <w:tcPr>
            <w:tcW w:w="628" w:type="pct"/>
            <w:tcBorders>
              <w:top w:val="single" w:sz="4" w:space="0" w:color="auto"/>
              <w:left w:val="nil"/>
              <w:bottom w:val="nil"/>
              <w:right w:val="single" w:sz="4" w:space="0" w:color="auto"/>
            </w:tcBorders>
            <w:hideMark/>
          </w:tcPr>
          <w:p w14:paraId="63EBCC69" w14:textId="77777777" w:rsidR="00A979D9" w:rsidRPr="000717E1" w:rsidRDefault="00A979D9" w:rsidP="00A73796">
            <w:pPr>
              <w:pStyle w:val="TableText0"/>
              <w:jc w:val="center"/>
              <w:rPr>
                <w:sz w:val="20"/>
                <w:szCs w:val="20"/>
              </w:rPr>
            </w:pPr>
            <w:r w:rsidRPr="000717E1">
              <w:rPr>
                <w:sz w:val="20"/>
                <w:szCs w:val="20"/>
              </w:rPr>
              <w:t>0.63</w:t>
            </w:r>
          </w:p>
        </w:tc>
        <w:tc>
          <w:tcPr>
            <w:tcW w:w="598" w:type="pct"/>
            <w:tcBorders>
              <w:top w:val="single" w:sz="4" w:space="0" w:color="auto"/>
              <w:left w:val="nil"/>
              <w:bottom w:val="nil"/>
              <w:right w:val="single" w:sz="4" w:space="0" w:color="auto"/>
            </w:tcBorders>
            <w:hideMark/>
          </w:tcPr>
          <w:p w14:paraId="680DD054" w14:textId="77777777" w:rsidR="00A979D9" w:rsidRPr="000717E1" w:rsidRDefault="00A979D9" w:rsidP="00A73796">
            <w:pPr>
              <w:pStyle w:val="TableText0"/>
              <w:jc w:val="center"/>
              <w:rPr>
                <w:sz w:val="20"/>
                <w:szCs w:val="20"/>
              </w:rPr>
            </w:pPr>
            <w:r w:rsidRPr="000717E1">
              <w:rPr>
                <w:sz w:val="20"/>
                <w:szCs w:val="20"/>
              </w:rPr>
              <w:t>0.89</w:t>
            </w:r>
          </w:p>
        </w:tc>
      </w:tr>
      <w:tr w:rsidR="001429A4" w:rsidRPr="000717E1" w14:paraId="4BED77CB" w14:textId="77777777">
        <w:trPr>
          <w:trHeight w:val="53"/>
        </w:trPr>
        <w:tc>
          <w:tcPr>
            <w:tcW w:w="5000" w:type="pct"/>
            <w:gridSpan w:val="7"/>
            <w:tcBorders>
              <w:top w:val="single" w:sz="4" w:space="0" w:color="auto"/>
              <w:left w:val="single" w:sz="4" w:space="0" w:color="auto"/>
              <w:bottom w:val="single" w:sz="4" w:space="0" w:color="auto"/>
              <w:right w:val="single" w:sz="4" w:space="0" w:color="auto"/>
            </w:tcBorders>
            <w:hideMark/>
          </w:tcPr>
          <w:p w14:paraId="5165DD73" w14:textId="5D328F68" w:rsidR="00A979D9" w:rsidRPr="000717E1" w:rsidRDefault="00A979D9" w:rsidP="00A73796">
            <w:pPr>
              <w:pStyle w:val="TableText0"/>
              <w:rPr>
                <w:rFonts w:ascii="Calibri" w:hAnsi="Calibri"/>
                <w:sz w:val="20"/>
                <w:szCs w:val="20"/>
              </w:rPr>
            </w:pPr>
            <w:r w:rsidRPr="000717E1">
              <w:rPr>
                <w:sz w:val="20"/>
                <w:szCs w:val="20"/>
              </w:rPr>
              <w:t>Adjusted annualised moderate or severe exacerbation event rate</w:t>
            </w:r>
            <w:r w:rsidR="0024524A" w:rsidRPr="000717E1">
              <w:rPr>
                <w:sz w:val="20"/>
                <w:szCs w:val="20"/>
              </w:rPr>
              <w:t xml:space="preserve"> per </w:t>
            </w:r>
            <w:proofErr w:type="spellStart"/>
            <w:r w:rsidR="0024524A" w:rsidRPr="000717E1">
              <w:rPr>
                <w:sz w:val="20"/>
                <w:szCs w:val="20"/>
              </w:rPr>
              <w:t>year</w:t>
            </w:r>
            <w:r w:rsidRPr="000717E1">
              <w:rPr>
                <w:sz w:val="20"/>
                <w:szCs w:val="20"/>
                <w:vertAlign w:val="superscript"/>
              </w:rPr>
              <w:t>a</w:t>
            </w:r>
            <w:proofErr w:type="spellEnd"/>
          </w:p>
        </w:tc>
      </w:tr>
      <w:tr w:rsidR="00552528" w:rsidRPr="000717E1" w14:paraId="3E499707" w14:textId="77777777">
        <w:trPr>
          <w:trHeight w:val="498"/>
        </w:trPr>
        <w:tc>
          <w:tcPr>
            <w:tcW w:w="1097" w:type="pct"/>
            <w:tcBorders>
              <w:top w:val="nil"/>
              <w:left w:val="single" w:sz="4" w:space="0" w:color="auto"/>
              <w:bottom w:val="single" w:sz="4" w:space="0" w:color="auto"/>
              <w:right w:val="single" w:sz="4" w:space="0" w:color="auto"/>
            </w:tcBorders>
            <w:hideMark/>
          </w:tcPr>
          <w:p w14:paraId="7019799D" w14:textId="77777777" w:rsidR="00A979D9" w:rsidRPr="000717E1" w:rsidRDefault="00A979D9" w:rsidP="00A73796">
            <w:pPr>
              <w:pStyle w:val="TableText0"/>
              <w:rPr>
                <w:sz w:val="20"/>
                <w:szCs w:val="20"/>
              </w:rPr>
            </w:pPr>
            <w:r w:rsidRPr="000717E1">
              <w:rPr>
                <w:sz w:val="20"/>
                <w:szCs w:val="20"/>
              </w:rPr>
              <w:t xml:space="preserve">Estimate (95% CI)                                                           </w:t>
            </w:r>
          </w:p>
        </w:tc>
        <w:tc>
          <w:tcPr>
            <w:tcW w:w="594" w:type="pct"/>
            <w:tcBorders>
              <w:top w:val="nil"/>
              <w:left w:val="nil"/>
              <w:bottom w:val="single" w:sz="4" w:space="0" w:color="auto"/>
              <w:right w:val="single" w:sz="4" w:space="0" w:color="auto"/>
            </w:tcBorders>
            <w:hideMark/>
          </w:tcPr>
          <w:p w14:paraId="1C5B7832" w14:textId="587750FA" w:rsidR="00A979D9" w:rsidRPr="000717E1" w:rsidRDefault="00A979D9" w:rsidP="00A73796">
            <w:pPr>
              <w:pStyle w:val="TableText0"/>
              <w:jc w:val="center"/>
              <w:rPr>
                <w:sz w:val="20"/>
                <w:szCs w:val="20"/>
              </w:rPr>
            </w:pPr>
            <w:r w:rsidRPr="000717E1">
              <w:rPr>
                <w:sz w:val="20"/>
                <w:szCs w:val="20"/>
              </w:rPr>
              <w:t>0.78</w:t>
            </w:r>
          </w:p>
          <w:p w14:paraId="7C1EC8E3" w14:textId="743D9506" w:rsidR="00A979D9" w:rsidRPr="000717E1" w:rsidRDefault="00A979D9" w:rsidP="00A73796">
            <w:pPr>
              <w:pStyle w:val="TableText0"/>
              <w:jc w:val="center"/>
              <w:rPr>
                <w:sz w:val="20"/>
                <w:szCs w:val="20"/>
              </w:rPr>
            </w:pPr>
            <w:r w:rsidRPr="000717E1">
              <w:rPr>
                <w:sz w:val="20"/>
                <w:szCs w:val="20"/>
              </w:rPr>
              <w:t>(0.65</w:t>
            </w:r>
            <w:r w:rsidR="009E4E86" w:rsidRPr="000717E1">
              <w:rPr>
                <w:sz w:val="20"/>
                <w:szCs w:val="20"/>
              </w:rPr>
              <w:t>,</w:t>
            </w:r>
            <w:r w:rsidRPr="000717E1">
              <w:rPr>
                <w:sz w:val="20"/>
                <w:szCs w:val="20"/>
              </w:rPr>
              <w:t xml:space="preserve"> 0.93)</w:t>
            </w:r>
          </w:p>
        </w:tc>
        <w:tc>
          <w:tcPr>
            <w:tcW w:w="595" w:type="pct"/>
            <w:tcBorders>
              <w:top w:val="nil"/>
              <w:left w:val="nil"/>
              <w:bottom w:val="single" w:sz="4" w:space="0" w:color="auto"/>
              <w:right w:val="single" w:sz="4" w:space="0" w:color="auto"/>
            </w:tcBorders>
            <w:hideMark/>
          </w:tcPr>
          <w:p w14:paraId="440DAB8B" w14:textId="46D92073" w:rsidR="00A979D9" w:rsidRPr="000717E1" w:rsidRDefault="00A979D9" w:rsidP="00A73796">
            <w:pPr>
              <w:pStyle w:val="TableText0"/>
              <w:jc w:val="center"/>
              <w:rPr>
                <w:sz w:val="20"/>
                <w:szCs w:val="20"/>
              </w:rPr>
            </w:pPr>
            <w:r w:rsidRPr="000717E1">
              <w:rPr>
                <w:sz w:val="20"/>
                <w:szCs w:val="20"/>
              </w:rPr>
              <w:t>1.10</w:t>
            </w:r>
          </w:p>
          <w:p w14:paraId="5B7ACFBB" w14:textId="798B0D4C" w:rsidR="00A979D9" w:rsidRPr="000717E1" w:rsidRDefault="00A979D9" w:rsidP="00A73796">
            <w:pPr>
              <w:pStyle w:val="TableText0"/>
              <w:jc w:val="center"/>
              <w:rPr>
                <w:sz w:val="20"/>
                <w:szCs w:val="20"/>
              </w:rPr>
            </w:pPr>
            <w:r w:rsidRPr="000717E1">
              <w:rPr>
                <w:sz w:val="20"/>
                <w:szCs w:val="20"/>
              </w:rPr>
              <w:t>(0.91</w:t>
            </w:r>
            <w:r w:rsidR="009E4E86" w:rsidRPr="000717E1">
              <w:rPr>
                <w:sz w:val="20"/>
                <w:szCs w:val="20"/>
              </w:rPr>
              <w:t>,</w:t>
            </w:r>
            <w:r w:rsidRPr="000717E1">
              <w:rPr>
                <w:sz w:val="20"/>
                <w:szCs w:val="20"/>
              </w:rPr>
              <w:t xml:space="preserve"> 1.30)</w:t>
            </w:r>
          </w:p>
        </w:tc>
        <w:tc>
          <w:tcPr>
            <w:tcW w:w="701" w:type="pct"/>
            <w:tcBorders>
              <w:top w:val="single" w:sz="4" w:space="0" w:color="auto"/>
              <w:left w:val="nil"/>
              <w:bottom w:val="single" w:sz="4" w:space="0" w:color="auto"/>
              <w:right w:val="single" w:sz="4" w:space="0" w:color="auto"/>
            </w:tcBorders>
            <w:hideMark/>
          </w:tcPr>
          <w:p w14:paraId="118029C7" w14:textId="7E365FB1" w:rsidR="00A979D9" w:rsidRPr="000717E1" w:rsidRDefault="00A979D9" w:rsidP="00A73796">
            <w:pPr>
              <w:pStyle w:val="TableText0"/>
              <w:jc w:val="center"/>
              <w:rPr>
                <w:sz w:val="20"/>
                <w:szCs w:val="20"/>
              </w:rPr>
            </w:pPr>
            <w:r w:rsidRPr="000717E1">
              <w:rPr>
                <w:sz w:val="20"/>
                <w:szCs w:val="20"/>
              </w:rPr>
              <w:t>0.86</w:t>
            </w:r>
          </w:p>
          <w:p w14:paraId="7CCF7FE5" w14:textId="668A2234" w:rsidR="00A979D9" w:rsidRPr="000717E1" w:rsidRDefault="00A979D9" w:rsidP="00A73796">
            <w:pPr>
              <w:pStyle w:val="TableText0"/>
              <w:jc w:val="center"/>
              <w:rPr>
                <w:sz w:val="20"/>
                <w:szCs w:val="20"/>
              </w:rPr>
            </w:pPr>
            <w:r w:rsidRPr="000717E1">
              <w:rPr>
                <w:sz w:val="20"/>
                <w:szCs w:val="20"/>
              </w:rPr>
              <w:t>(0.70</w:t>
            </w:r>
            <w:r w:rsidR="009E4E86" w:rsidRPr="000717E1">
              <w:rPr>
                <w:sz w:val="20"/>
                <w:szCs w:val="20"/>
              </w:rPr>
              <w:t>,</w:t>
            </w:r>
            <w:r w:rsidRPr="000717E1">
              <w:rPr>
                <w:sz w:val="20"/>
                <w:szCs w:val="20"/>
              </w:rPr>
              <w:t xml:space="preserve"> 1.06)</w:t>
            </w:r>
          </w:p>
        </w:tc>
        <w:tc>
          <w:tcPr>
            <w:tcW w:w="787" w:type="pct"/>
            <w:tcBorders>
              <w:top w:val="nil"/>
              <w:left w:val="nil"/>
              <w:bottom w:val="single" w:sz="4" w:space="0" w:color="auto"/>
              <w:right w:val="single" w:sz="4" w:space="0" w:color="auto"/>
            </w:tcBorders>
            <w:hideMark/>
          </w:tcPr>
          <w:p w14:paraId="3F6A74C5" w14:textId="7375E5D0" w:rsidR="00A979D9" w:rsidRPr="000717E1" w:rsidRDefault="00A979D9" w:rsidP="00A73796">
            <w:pPr>
              <w:pStyle w:val="TableText0"/>
              <w:jc w:val="center"/>
              <w:rPr>
                <w:sz w:val="20"/>
                <w:szCs w:val="20"/>
              </w:rPr>
            </w:pPr>
            <w:r w:rsidRPr="000717E1">
              <w:rPr>
                <w:sz w:val="20"/>
                <w:szCs w:val="20"/>
              </w:rPr>
              <w:t>1.30</w:t>
            </w:r>
          </w:p>
          <w:p w14:paraId="720E77B7" w14:textId="5C4F1FFF" w:rsidR="00A979D9" w:rsidRPr="000717E1" w:rsidRDefault="00A979D9" w:rsidP="00A73796">
            <w:pPr>
              <w:pStyle w:val="TableText0"/>
              <w:jc w:val="center"/>
              <w:rPr>
                <w:sz w:val="20"/>
                <w:szCs w:val="20"/>
              </w:rPr>
            </w:pPr>
            <w:r w:rsidRPr="000717E1">
              <w:rPr>
                <w:sz w:val="20"/>
                <w:szCs w:val="20"/>
              </w:rPr>
              <w:t>(1.05</w:t>
            </w:r>
            <w:r w:rsidR="009E4E86" w:rsidRPr="000717E1">
              <w:rPr>
                <w:sz w:val="20"/>
                <w:szCs w:val="20"/>
              </w:rPr>
              <w:t>,</w:t>
            </w:r>
            <w:r w:rsidRPr="000717E1">
              <w:rPr>
                <w:sz w:val="20"/>
                <w:szCs w:val="20"/>
              </w:rPr>
              <w:t xml:space="preserve"> 1.60)</w:t>
            </w:r>
          </w:p>
        </w:tc>
        <w:tc>
          <w:tcPr>
            <w:tcW w:w="628" w:type="pct"/>
            <w:tcBorders>
              <w:top w:val="single" w:sz="4" w:space="0" w:color="auto"/>
              <w:left w:val="nil"/>
              <w:bottom w:val="single" w:sz="4" w:space="0" w:color="auto"/>
              <w:right w:val="single" w:sz="4" w:space="0" w:color="auto"/>
            </w:tcBorders>
            <w:hideMark/>
          </w:tcPr>
          <w:p w14:paraId="301392A1" w14:textId="5A792E82" w:rsidR="00A979D9" w:rsidRPr="000717E1" w:rsidRDefault="00A979D9" w:rsidP="00A73796">
            <w:pPr>
              <w:pStyle w:val="TableText0"/>
              <w:jc w:val="center"/>
              <w:rPr>
                <w:sz w:val="20"/>
                <w:szCs w:val="20"/>
              </w:rPr>
            </w:pPr>
            <w:r w:rsidRPr="000717E1">
              <w:rPr>
                <w:sz w:val="20"/>
                <w:szCs w:val="20"/>
              </w:rPr>
              <w:t>0.79</w:t>
            </w:r>
          </w:p>
          <w:p w14:paraId="79ECFABC" w14:textId="628B642F" w:rsidR="00A979D9" w:rsidRPr="000717E1" w:rsidRDefault="00A979D9" w:rsidP="00A73796">
            <w:pPr>
              <w:pStyle w:val="TableText0"/>
              <w:jc w:val="center"/>
              <w:rPr>
                <w:sz w:val="20"/>
                <w:szCs w:val="20"/>
              </w:rPr>
            </w:pPr>
            <w:r w:rsidRPr="000717E1">
              <w:rPr>
                <w:sz w:val="20"/>
                <w:szCs w:val="20"/>
              </w:rPr>
              <w:t>(0.69</w:t>
            </w:r>
            <w:r w:rsidR="009E4E86" w:rsidRPr="000717E1">
              <w:rPr>
                <w:sz w:val="20"/>
                <w:szCs w:val="20"/>
              </w:rPr>
              <w:t>,</w:t>
            </w:r>
            <w:r w:rsidRPr="000717E1">
              <w:rPr>
                <w:sz w:val="20"/>
                <w:szCs w:val="20"/>
              </w:rPr>
              <w:t xml:space="preserve"> 0.92)</w:t>
            </w:r>
          </w:p>
        </w:tc>
        <w:tc>
          <w:tcPr>
            <w:tcW w:w="598" w:type="pct"/>
            <w:tcBorders>
              <w:top w:val="nil"/>
              <w:left w:val="nil"/>
              <w:bottom w:val="single" w:sz="4" w:space="0" w:color="auto"/>
              <w:right w:val="single" w:sz="4" w:space="0" w:color="auto"/>
            </w:tcBorders>
            <w:hideMark/>
          </w:tcPr>
          <w:p w14:paraId="135BECBF" w14:textId="2C0DCC91" w:rsidR="00A979D9" w:rsidRPr="000717E1" w:rsidRDefault="00A979D9" w:rsidP="00A73796">
            <w:pPr>
              <w:pStyle w:val="TableText0"/>
              <w:jc w:val="center"/>
              <w:rPr>
                <w:sz w:val="20"/>
                <w:szCs w:val="20"/>
              </w:rPr>
            </w:pPr>
            <w:r w:rsidRPr="000717E1">
              <w:rPr>
                <w:sz w:val="20"/>
                <w:szCs w:val="20"/>
              </w:rPr>
              <w:t>1.16</w:t>
            </w:r>
          </w:p>
          <w:p w14:paraId="489604F9" w14:textId="4B366748" w:rsidR="00A979D9" w:rsidRPr="000717E1" w:rsidRDefault="00A979D9" w:rsidP="00A73796">
            <w:pPr>
              <w:pStyle w:val="TableText0"/>
              <w:jc w:val="center"/>
              <w:rPr>
                <w:sz w:val="20"/>
                <w:szCs w:val="20"/>
              </w:rPr>
            </w:pPr>
            <w:r w:rsidRPr="000717E1">
              <w:rPr>
                <w:sz w:val="20"/>
                <w:szCs w:val="20"/>
              </w:rPr>
              <w:t>(1.01</w:t>
            </w:r>
            <w:r w:rsidR="009E4E86" w:rsidRPr="000717E1">
              <w:rPr>
                <w:sz w:val="20"/>
                <w:szCs w:val="20"/>
              </w:rPr>
              <w:t>,</w:t>
            </w:r>
            <w:r w:rsidRPr="000717E1">
              <w:rPr>
                <w:sz w:val="20"/>
                <w:szCs w:val="20"/>
              </w:rPr>
              <w:t xml:space="preserve"> 1.33)</w:t>
            </w:r>
          </w:p>
        </w:tc>
      </w:tr>
      <w:tr w:rsidR="001037D4" w:rsidRPr="000717E1" w14:paraId="05DD8890" w14:textId="77777777">
        <w:trPr>
          <w:trHeight w:val="53"/>
        </w:trPr>
        <w:tc>
          <w:tcPr>
            <w:tcW w:w="1097" w:type="pct"/>
            <w:tcBorders>
              <w:top w:val="nil"/>
              <w:left w:val="single" w:sz="4" w:space="0" w:color="auto"/>
              <w:bottom w:val="single" w:sz="4" w:space="0" w:color="auto"/>
              <w:right w:val="nil"/>
            </w:tcBorders>
            <w:hideMark/>
          </w:tcPr>
          <w:p w14:paraId="2833C7D4" w14:textId="77777777" w:rsidR="00A979D9" w:rsidRPr="000717E1" w:rsidRDefault="00A979D9" w:rsidP="00A73796">
            <w:pPr>
              <w:pStyle w:val="TableText0"/>
              <w:rPr>
                <w:sz w:val="20"/>
                <w:szCs w:val="20"/>
              </w:rPr>
            </w:pPr>
            <w:r w:rsidRPr="000717E1">
              <w:rPr>
                <w:sz w:val="20"/>
                <w:szCs w:val="20"/>
              </w:rPr>
              <w:t>Relative risk vs. placebo (95% CI), p-value</w:t>
            </w:r>
          </w:p>
        </w:tc>
        <w:tc>
          <w:tcPr>
            <w:tcW w:w="1189" w:type="pct"/>
            <w:gridSpan w:val="2"/>
            <w:tcBorders>
              <w:top w:val="single" w:sz="4" w:space="0" w:color="auto"/>
              <w:left w:val="single" w:sz="4" w:space="0" w:color="auto"/>
              <w:bottom w:val="single" w:sz="4" w:space="0" w:color="auto"/>
              <w:right w:val="single" w:sz="4" w:space="0" w:color="auto"/>
            </w:tcBorders>
            <w:hideMark/>
          </w:tcPr>
          <w:p w14:paraId="6585D326" w14:textId="77777777" w:rsidR="00A979D9" w:rsidRPr="000717E1" w:rsidRDefault="00A979D9" w:rsidP="00A73796">
            <w:pPr>
              <w:pStyle w:val="TableText0"/>
              <w:jc w:val="center"/>
              <w:rPr>
                <w:b/>
                <w:bCs/>
                <w:sz w:val="20"/>
                <w:szCs w:val="20"/>
              </w:rPr>
            </w:pPr>
            <w:r w:rsidRPr="000717E1">
              <w:rPr>
                <w:b/>
                <w:sz w:val="20"/>
                <w:szCs w:val="20"/>
              </w:rPr>
              <w:t>0.705</w:t>
            </w:r>
          </w:p>
          <w:p w14:paraId="5A024F6A" w14:textId="01250A34" w:rsidR="00A979D9" w:rsidRPr="000717E1" w:rsidRDefault="00A979D9" w:rsidP="00A73796">
            <w:pPr>
              <w:pStyle w:val="TableText0"/>
              <w:jc w:val="center"/>
              <w:rPr>
                <w:b/>
                <w:bCs/>
                <w:sz w:val="20"/>
                <w:szCs w:val="20"/>
              </w:rPr>
            </w:pPr>
            <w:r w:rsidRPr="000717E1">
              <w:rPr>
                <w:b/>
                <w:sz w:val="20"/>
                <w:szCs w:val="20"/>
              </w:rPr>
              <w:t>(0.58</w:t>
            </w:r>
            <w:r w:rsidR="00F32485" w:rsidRPr="000717E1">
              <w:rPr>
                <w:b/>
                <w:sz w:val="20"/>
                <w:szCs w:val="20"/>
              </w:rPr>
              <w:t>,</w:t>
            </w:r>
            <w:r w:rsidRPr="000717E1">
              <w:rPr>
                <w:b/>
                <w:sz w:val="20"/>
                <w:szCs w:val="20"/>
              </w:rPr>
              <w:t xml:space="preserve"> 0.86)</w:t>
            </w:r>
          </w:p>
          <w:p w14:paraId="25AD83F4" w14:textId="77777777" w:rsidR="00A979D9" w:rsidRPr="000717E1" w:rsidRDefault="00A979D9" w:rsidP="00A73796">
            <w:pPr>
              <w:pStyle w:val="TableText0"/>
              <w:jc w:val="center"/>
              <w:rPr>
                <w:b/>
                <w:bCs/>
                <w:sz w:val="20"/>
                <w:szCs w:val="20"/>
              </w:rPr>
            </w:pPr>
            <w:r w:rsidRPr="000717E1">
              <w:rPr>
                <w:b/>
                <w:sz w:val="20"/>
                <w:szCs w:val="20"/>
              </w:rPr>
              <w:t>p=0.0005</w:t>
            </w:r>
          </w:p>
        </w:tc>
        <w:tc>
          <w:tcPr>
            <w:tcW w:w="1488" w:type="pct"/>
            <w:gridSpan w:val="2"/>
            <w:tcBorders>
              <w:top w:val="single" w:sz="4" w:space="0" w:color="auto"/>
              <w:left w:val="single" w:sz="4" w:space="0" w:color="auto"/>
              <w:bottom w:val="single" w:sz="4" w:space="0" w:color="auto"/>
              <w:right w:val="single" w:sz="4" w:space="0" w:color="auto"/>
            </w:tcBorders>
            <w:hideMark/>
          </w:tcPr>
          <w:p w14:paraId="0CABF771" w14:textId="77777777" w:rsidR="00A979D9" w:rsidRPr="000717E1" w:rsidRDefault="00A979D9" w:rsidP="00A73796">
            <w:pPr>
              <w:pStyle w:val="TableText0"/>
              <w:jc w:val="center"/>
              <w:rPr>
                <w:b/>
                <w:bCs/>
                <w:sz w:val="20"/>
                <w:szCs w:val="20"/>
              </w:rPr>
            </w:pPr>
            <w:r w:rsidRPr="000717E1">
              <w:rPr>
                <w:b/>
                <w:sz w:val="20"/>
                <w:szCs w:val="20"/>
              </w:rPr>
              <w:t>0.664</w:t>
            </w:r>
          </w:p>
          <w:p w14:paraId="3C406EB0" w14:textId="05052697" w:rsidR="00A979D9" w:rsidRPr="000717E1" w:rsidRDefault="00A979D9" w:rsidP="00A73796">
            <w:pPr>
              <w:pStyle w:val="TableText0"/>
              <w:jc w:val="center"/>
              <w:rPr>
                <w:b/>
                <w:bCs/>
                <w:sz w:val="20"/>
                <w:szCs w:val="20"/>
              </w:rPr>
            </w:pPr>
            <w:r w:rsidRPr="000717E1">
              <w:rPr>
                <w:b/>
                <w:sz w:val="20"/>
                <w:szCs w:val="20"/>
              </w:rPr>
              <w:t>(0.54</w:t>
            </w:r>
            <w:r w:rsidR="00F32485" w:rsidRPr="000717E1">
              <w:rPr>
                <w:b/>
                <w:sz w:val="20"/>
                <w:szCs w:val="20"/>
              </w:rPr>
              <w:t>,</w:t>
            </w:r>
            <w:r w:rsidRPr="000717E1">
              <w:rPr>
                <w:b/>
                <w:sz w:val="20"/>
                <w:szCs w:val="20"/>
              </w:rPr>
              <w:t xml:space="preserve"> 0.82)</w:t>
            </w:r>
          </w:p>
          <w:p w14:paraId="0EE3181A" w14:textId="77777777" w:rsidR="00A979D9" w:rsidRPr="000717E1" w:rsidRDefault="00A979D9" w:rsidP="00A73796">
            <w:pPr>
              <w:pStyle w:val="TableText0"/>
              <w:jc w:val="center"/>
              <w:rPr>
                <w:b/>
                <w:bCs/>
                <w:sz w:val="20"/>
                <w:szCs w:val="20"/>
              </w:rPr>
            </w:pPr>
            <w:r w:rsidRPr="000717E1">
              <w:rPr>
                <w:b/>
                <w:sz w:val="20"/>
                <w:szCs w:val="20"/>
              </w:rPr>
              <w:t>p=0.0002</w:t>
            </w:r>
          </w:p>
        </w:tc>
        <w:tc>
          <w:tcPr>
            <w:tcW w:w="1226" w:type="pct"/>
            <w:gridSpan w:val="2"/>
            <w:tcBorders>
              <w:top w:val="single" w:sz="4" w:space="0" w:color="auto"/>
              <w:left w:val="single" w:sz="4" w:space="0" w:color="auto"/>
              <w:bottom w:val="single" w:sz="4" w:space="0" w:color="auto"/>
              <w:right w:val="single" w:sz="4" w:space="0" w:color="auto"/>
            </w:tcBorders>
            <w:hideMark/>
          </w:tcPr>
          <w:p w14:paraId="39205FD5" w14:textId="77777777" w:rsidR="00A979D9" w:rsidRPr="000717E1" w:rsidRDefault="00A979D9" w:rsidP="00A73796">
            <w:pPr>
              <w:pStyle w:val="TableText0"/>
              <w:jc w:val="center"/>
              <w:rPr>
                <w:b/>
                <w:bCs/>
                <w:sz w:val="20"/>
                <w:szCs w:val="20"/>
              </w:rPr>
            </w:pPr>
            <w:r w:rsidRPr="000717E1">
              <w:rPr>
                <w:b/>
                <w:sz w:val="20"/>
                <w:szCs w:val="20"/>
              </w:rPr>
              <w:t>0.687</w:t>
            </w:r>
          </w:p>
          <w:p w14:paraId="2A0945AC" w14:textId="31A61D17" w:rsidR="00A979D9" w:rsidRPr="000717E1" w:rsidRDefault="00A979D9" w:rsidP="00A73796">
            <w:pPr>
              <w:pStyle w:val="TableText0"/>
              <w:jc w:val="center"/>
              <w:rPr>
                <w:b/>
                <w:bCs/>
                <w:sz w:val="20"/>
                <w:szCs w:val="20"/>
              </w:rPr>
            </w:pPr>
            <w:r w:rsidRPr="000717E1">
              <w:rPr>
                <w:b/>
                <w:sz w:val="20"/>
                <w:szCs w:val="20"/>
              </w:rPr>
              <w:t>(0.60</w:t>
            </w:r>
            <w:r w:rsidR="00F32485" w:rsidRPr="000717E1">
              <w:rPr>
                <w:b/>
                <w:sz w:val="20"/>
                <w:szCs w:val="20"/>
              </w:rPr>
              <w:t>,</w:t>
            </w:r>
            <w:r w:rsidRPr="000717E1">
              <w:rPr>
                <w:b/>
                <w:sz w:val="20"/>
                <w:szCs w:val="20"/>
              </w:rPr>
              <w:t xml:space="preserve"> 0.79)</w:t>
            </w:r>
          </w:p>
          <w:p w14:paraId="40C2A26A" w14:textId="77777777" w:rsidR="00A979D9" w:rsidRPr="000717E1" w:rsidRDefault="00A979D9" w:rsidP="00A73796">
            <w:pPr>
              <w:pStyle w:val="TableText0"/>
              <w:jc w:val="center"/>
              <w:rPr>
                <w:b/>
                <w:bCs/>
                <w:sz w:val="20"/>
                <w:szCs w:val="20"/>
              </w:rPr>
            </w:pPr>
            <w:r w:rsidRPr="000717E1">
              <w:rPr>
                <w:b/>
                <w:sz w:val="20"/>
                <w:szCs w:val="20"/>
              </w:rPr>
              <w:t>p&lt;0.0001</w:t>
            </w:r>
          </w:p>
        </w:tc>
      </w:tr>
      <w:tr w:rsidR="00342349" w:rsidRPr="000717E1" w14:paraId="1E6D3F99" w14:textId="77777777">
        <w:trPr>
          <w:trHeight w:val="53"/>
        </w:trPr>
        <w:tc>
          <w:tcPr>
            <w:tcW w:w="1097" w:type="pct"/>
            <w:tcBorders>
              <w:top w:val="single" w:sz="4" w:space="0" w:color="auto"/>
              <w:left w:val="single" w:sz="4" w:space="0" w:color="auto"/>
              <w:bottom w:val="single" w:sz="4" w:space="0" w:color="auto"/>
              <w:right w:val="nil"/>
            </w:tcBorders>
            <w:hideMark/>
          </w:tcPr>
          <w:p w14:paraId="1ECCBDCD" w14:textId="77777777" w:rsidR="00A979D9" w:rsidRPr="000717E1" w:rsidRDefault="00A979D9" w:rsidP="00A73796">
            <w:pPr>
              <w:pStyle w:val="TableText0"/>
              <w:rPr>
                <w:sz w:val="20"/>
                <w:szCs w:val="20"/>
              </w:rPr>
            </w:pPr>
            <w:r w:rsidRPr="000717E1">
              <w:rPr>
                <w:sz w:val="20"/>
                <w:szCs w:val="20"/>
              </w:rPr>
              <w:t>Risk difference vs.  placebo (95% Cl)</w:t>
            </w:r>
            <w:r w:rsidRPr="000717E1">
              <w:rPr>
                <w:sz w:val="20"/>
                <w:szCs w:val="20"/>
                <w:vertAlign w:val="superscript"/>
              </w:rPr>
              <w:t>b</w:t>
            </w:r>
          </w:p>
        </w:tc>
        <w:tc>
          <w:tcPr>
            <w:tcW w:w="1189" w:type="pct"/>
            <w:gridSpan w:val="2"/>
            <w:tcBorders>
              <w:top w:val="single" w:sz="4" w:space="0" w:color="auto"/>
              <w:left w:val="single" w:sz="4" w:space="0" w:color="auto"/>
              <w:bottom w:val="single" w:sz="4" w:space="0" w:color="auto"/>
              <w:right w:val="single" w:sz="4" w:space="0" w:color="auto"/>
            </w:tcBorders>
            <w:hideMark/>
          </w:tcPr>
          <w:p w14:paraId="2F9A31DF" w14:textId="56A7FD2B" w:rsidR="00A979D9" w:rsidRPr="000717E1" w:rsidRDefault="00A979D9" w:rsidP="00A73796">
            <w:pPr>
              <w:pStyle w:val="TableText0"/>
              <w:jc w:val="center"/>
              <w:rPr>
                <w:sz w:val="20"/>
                <w:szCs w:val="20"/>
              </w:rPr>
            </w:pPr>
            <w:r w:rsidRPr="000717E1">
              <w:rPr>
                <w:sz w:val="20"/>
                <w:szCs w:val="20"/>
              </w:rPr>
              <w:t>-0.32</w:t>
            </w:r>
          </w:p>
          <w:p w14:paraId="49780E07" w14:textId="77777777" w:rsidR="00A979D9" w:rsidRPr="000717E1" w:rsidRDefault="00A979D9" w:rsidP="00A73796">
            <w:pPr>
              <w:pStyle w:val="TableText0"/>
              <w:jc w:val="center"/>
              <w:rPr>
                <w:rFonts w:ascii="Calibri" w:hAnsi="Calibri"/>
                <w:sz w:val="20"/>
                <w:szCs w:val="20"/>
              </w:rPr>
            </w:pPr>
            <w:r w:rsidRPr="000717E1">
              <w:rPr>
                <w:sz w:val="20"/>
                <w:szCs w:val="20"/>
              </w:rPr>
              <w:t>(-0.508, -0.140)</w:t>
            </w:r>
          </w:p>
        </w:tc>
        <w:tc>
          <w:tcPr>
            <w:tcW w:w="1488" w:type="pct"/>
            <w:gridSpan w:val="2"/>
            <w:tcBorders>
              <w:top w:val="single" w:sz="4" w:space="0" w:color="auto"/>
              <w:left w:val="single" w:sz="4" w:space="0" w:color="auto"/>
              <w:bottom w:val="single" w:sz="4" w:space="0" w:color="auto"/>
              <w:right w:val="single" w:sz="4" w:space="0" w:color="auto"/>
            </w:tcBorders>
            <w:hideMark/>
          </w:tcPr>
          <w:p w14:paraId="1DBF1077" w14:textId="05A82FAB" w:rsidR="00A979D9" w:rsidRPr="000717E1" w:rsidRDefault="00A979D9" w:rsidP="00A73796">
            <w:pPr>
              <w:pStyle w:val="TableText0"/>
              <w:jc w:val="center"/>
              <w:rPr>
                <w:sz w:val="20"/>
                <w:szCs w:val="20"/>
              </w:rPr>
            </w:pPr>
            <w:r w:rsidRPr="000717E1">
              <w:rPr>
                <w:sz w:val="20"/>
                <w:szCs w:val="20"/>
              </w:rPr>
              <w:t>-0.44</w:t>
            </w:r>
          </w:p>
          <w:p w14:paraId="45E76A9D" w14:textId="77777777" w:rsidR="00A979D9" w:rsidRPr="000717E1" w:rsidRDefault="00A979D9" w:rsidP="00A73796">
            <w:pPr>
              <w:pStyle w:val="TableText0"/>
              <w:jc w:val="center"/>
              <w:rPr>
                <w:rFonts w:ascii="Calibri" w:hAnsi="Calibri"/>
                <w:sz w:val="20"/>
                <w:szCs w:val="20"/>
              </w:rPr>
            </w:pPr>
            <w:r w:rsidRPr="000717E1">
              <w:rPr>
                <w:sz w:val="20"/>
                <w:szCs w:val="20"/>
              </w:rPr>
              <w:t>(-0.682, -0.188)</w:t>
            </w:r>
          </w:p>
        </w:tc>
        <w:tc>
          <w:tcPr>
            <w:tcW w:w="1226" w:type="pct"/>
            <w:gridSpan w:val="2"/>
            <w:tcBorders>
              <w:top w:val="single" w:sz="4" w:space="0" w:color="auto"/>
              <w:left w:val="single" w:sz="4" w:space="0" w:color="auto"/>
              <w:bottom w:val="single" w:sz="4" w:space="0" w:color="auto"/>
              <w:right w:val="single" w:sz="4" w:space="0" w:color="auto"/>
            </w:tcBorders>
            <w:hideMark/>
          </w:tcPr>
          <w:p w14:paraId="59F1EA84" w14:textId="20396CD1" w:rsidR="00A979D9" w:rsidRPr="000717E1" w:rsidRDefault="00A979D9" w:rsidP="00A73796">
            <w:pPr>
              <w:pStyle w:val="TableText0"/>
              <w:jc w:val="center"/>
              <w:rPr>
                <w:sz w:val="20"/>
                <w:szCs w:val="20"/>
              </w:rPr>
            </w:pPr>
            <w:r w:rsidRPr="000717E1">
              <w:rPr>
                <w:sz w:val="20"/>
                <w:szCs w:val="20"/>
              </w:rPr>
              <w:t>-0.36</w:t>
            </w:r>
          </w:p>
          <w:p w14:paraId="30BEAFDB" w14:textId="77777777" w:rsidR="00A979D9" w:rsidRPr="000717E1" w:rsidRDefault="00A979D9" w:rsidP="00A73796">
            <w:pPr>
              <w:pStyle w:val="TableText0"/>
              <w:jc w:val="center"/>
              <w:rPr>
                <w:rFonts w:ascii="Calibri" w:hAnsi="Calibri"/>
                <w:sz w:val="20"/>
                <w:szCs w:val="20"/>
              </w:rPr>
            </w:pPr>
            <w:r w:rsidRPr="000717E1">
              <w:rPr>
                <w:sz w:val="20"/>
                <w:szCs w:val="20"/>
              </w:rPr>
              <w:t>(-0.508, -0.217)</w:t>
            </w:r>
          </w:p>
        </w:tc>
      </w:tr>
    </w:tbl>
    <w:p w14:paraId="602D9EA8" w14:textId="77777777" w:rsidR="00A979D9" w:rsidRPr="000717E1" w:rsidRDefault="00A979D9" w:rsidP="00A979D9">
      <w:pPr>
        <w:pStyle w:val="FooterTableFigure"/>
        <w:rPr>
          <w:sz w:val="20"/>
        </w:rPr>
      </w:pPr>
      <w:r w:rsidRPr="000717E1">
        <w:t>Source: Table 2.5-3 p73 of the submission.</w:t>
      </w:r>
    </w:p>
    <w:p w14:paraId="512C7736" w14:textId="31CD607F" w:rsidR="00A979D9" w:rsidRPr="000717E1" w:rsidRDefault="00A979D9" w:rsidP="00A979D9">
      <w:pPr>
        <w:pStyle w:val="FooterTableFigure"/>
        <w:rPr>
          <w:rFonts w:eastAsia="Calibri"/>
        </w:rPr>
      </w:pPr>
      <w:r w:rsidRPr="000717E1">
        <w:rPr>
          <w:rFonts w:eastAsia="Calibri"/>
        </w:rPr>
        <w:t>AECOPD = acute exacerbation</w:t>
      </w:r>
      <w:r w:rsidR="003D6144" w:rsidRPr="000717E1">
        <w:rPr>
          <w:rFonts w:eastAsia="Calibri"/>
        </w:rPr>
        <w:t>(s)</w:t>
      </w:r>
      <w:r w:rsidRPr="000717E1">
        <w:rPr>
          <w:rFonts w:eastAsia="Calibri"/>
        </w:rPr>
        <w:t xml:space="preserve"> of chronic obstructive pulmonary disease; CI = confidence interval; ICS = inhaled corticosteroid; ITT = intention to treat; n = number of patients with event; N = total patients in group.</w:t>
      </w:r>
    </w:p>
    <w:p w14:paraId="31E626D6" w14:textId="77777777" w:rsidR="00A979D9" w:rsidRPr="000717E1" w:rsidRDefault="00A979D9" w:rsidP="00A979D9">
      <w:pPr>
        <w:pStyle w:val="FooterTableFigure"/>
        <w:rPr>
          <w:rFonts w:eastAsia="Calibri"/>
        </w:rPr>
      </w:pPr>
      <w:r w:rsidRPr="000717E1">
        <w:rPr>
          <w:rFonts w:eastAsia="Calibri"/>
        </w:rPr>
        <w:t>Bold indicates a significant result.</w:t>
      </w:r>
    </w:p>
    <w:p w14:paraId="656CBFE0" w14:textId="77777777" w:rsidR="00A979D9" w:rsidRPr="000717E1" w:rsidRDefault="00A979D9" w:rsidP="00A979D9">
      <w:pPr>
        <w:pStyle w:val="FooterTableFigure"/>
      </w:pPr>
      <w:r w:rsidRPr="000717E1">
        <w:rPr>
          <w:rFonts w:eastAsia="Calibri"/>
          <w:vertAlign w:val="superscript"/>
        </w:rPr>
        <w:t>a</w:t>
      </w:r>
      <w:r w:rsidRPr="000717E1">
        <w:rPr>
          <w:rFonts w:eastAsia="Calibri"/>
        </w:rPr>
        <w:t xml:space="preserve"> </w:t>
      </w:r>
      <w:r w:rsidRPr="000717E1">
        <w:t>Derived using negative binomial model with the total number of the events occurring during the 52-week treatment period as the response variable, and treatment group, study (if pooled), region (pooled country), ICS dose, smoking status at screening, baseline disease severity, and number of moderate or severe COPD exacerbation events within one year prior to the study as covariates, and log-transformed treatment duration as an offset variable.</w:t>
      </w:r>
    </w:p>
    <w:p w14:paraId="4B7B02AD" w14:textId="7400F7CA" w:rsidR="00A979D9" w:rsidRPr="000717E1" w:rsidRDefault="00A979D9" w:rsidP="00A979D9">
      <w:pPr>
        <w:pStyle w:val="FooterTableFigure"/>
      </w:pPr>
      <w:r w:rsidRPr="000717E1">
        <w:rPr>
          <w:vertAlign w:val="superscript"/>
        </w:rPr>
        <w:t>b</w:t>
      </w:r>
      <w:r w:rsidRPr="000717E1">
        <w:t xml:space="preserve"> Derived using delta method.</w:t>
      </w:r>
    </w:p>
    <w:p w14:paraId="4922948B" w14:textId="7C1DDDA6" w:rsidR="00A979D9" w:rsidRPr="000717E1" w:rsidRDefault="00A979D9" w:rsidP="00A979D9">
      <w:pPr>
        <w:pStyle w:val="3-BodyText"/>
      </w:pPr>
      <w:proofErr w:type="gramStart"/>
      <w:r w:rsidRPr="000717E1">
        <w:t>The majority of</w:t>
      </w:r>
      <w:proofErr w:type="gramEnd"/>
      <w:r w:rsidRPr="000717E1">
        <w:t xml:space="preserve"> exacerbation events were moderate in nature (see </w:t>
      </w:r>
      <w:r w:rsidRPr="000717E1">
        <w:fldChar w:fldCharType="begin"/>
      </w:r>
      <w:r w:rsidRPr="000717E1">
        <w:instrText xml:space="preserve"> REF _Ref216028010 \h  \* MERGEFORMAT </w:instrText>
      </w:r>
      <w:r w:rsidRPr="000717E1">
        <w:fldChar w:fldCharType="separate"/>
      </w:r>
      <w:r w:rsidR="00281F45" w:rsidRPr="000717E1">
        <w:t xml:space="preserve">Table </w:t>
      </w:r>
      <w:r w:rsidR="00281F45">
        <w:rPr>
          <w:noProof/>
        </w:rPr>
        <w:t>5</w:t>
      </w:r>
      <w:r w:rsidRPr="000717E1">
        <w:fldChar w:fldCharType="end"/>
      </w:r>
      <w:r w:rsidRPr="000717E1">
        <w:t>).</w:t>
      </w:r>
      <w:r w:rsidR="00035721" w:rsidRPr="000717E1">
        <w:t xml:space="preserve"> </w:t>
      </w:r>
      <w:r w:rsidR="00DE61D1" w:rsidRPr="001F3F0F">
        <w:rPr>
          <w:iCs/>
        </w:rPr>
        <w:t xml:space="preserve"> The Sub</w:t>
      </w:r>
      <w:r w:rsidR="003E4A86">
        <w:rPr>
          <w:iCs/>
        </w:rPr>
        <w:noBreakHyphen/>
      </w:r>
      <w:r w:rsidR="00DE61D1" w:rsidRPr="001F3F0F">
        <w:rPr>
          <w:iCs/>
        </w:rPr>
        <w:t>Committees noted that</w:t>
      </w:r>
      <w:r w:rsidR="00DE61D1" w:rsidRPr="000717E1">
        <w:t xml:space="preserve"> </w:t>
      </w:r>
      <w:r w:rsidR="00DE61D1" w:rsidRPr="001F3F0F">
        <w:rPr>
          <w:iCs/>
        </w:rPr>
        <w:t xml:space="preserve">the submission stated that the COVID-19 pandemic affected the conduct of the trials, and it is likely that enhanced public health initiatives resulted in fewer exacerbations overall (paragraph </w:t>
      </w:r>
      <w:r w:rsidR="00DE61D1" w:rsidRPr="001F3F0F">
        <w:rPr>
          <w:iCs/>
        </w:rPr>
        <w:fldChar w:fldCharType="begin"/>
      </w:r>
      <w:r w:rsidR="00DE61D1" w:rsidRPr="001F3F0F">
        <w:rPr>
          <w:iCs/>
        </w:rPr>
        <w:instrText xml:space="preserve"> REF _Ref221615932 \r \h </w:instrText>
      </w:r>
      <w:r w:rsidR="00DE61D1" w:rsidRPr="001F3F0F">
        <w:rPr>
          <w:iCs/>
        </w:rPr>
      </w:r>
      <w:r w:rsidR="00DE61D1" w:rsidRPr="001F3F0F">
        <w:rPr>
          <w:iCs/>
        </w:rPr>
        <w:fldChar w:fldCharType="separate"/>
      </w:r>
      <w:r w:rsidR="00D02134">
        <w:rPr>
          <w:iCs/>
        </w:rPr>
        <w:t>6.8</w:t>
      </w:r>
      <w:r w:rsidR="00DE61D1" w:rsidRPr="001F3F0F">
        <w:rPr>
          <w:iCs/>
        </w:rPr>
        <w:fldChar w:fldCharType="end"/>
      </w:r>
      <w:r w:rsidR="00DE61D1" w:rsidRPr="001F3F0F">
        <w:rPr>
          <w:iCs/>
        </w:rPr>
        <w:t>).</w:t>
      </w:r>
      <w:r w:rsidR="009A00B9" w:rsidRPr="001F3F0F">
        <w:rPr>
          <w:iCs/>
        </w:rPr>
        <w:t xml:space="preserve"> The Sub-Committees considered that</w:t>
      </w:r>
      <w:r w:rsidR="006C41DD" w:rsidRPr="001F3F0F">
        <w:rPr>
          <w:iCs/>
        </w:rPr>
        <w:t xml:space="preserve"> it was unclear whether the pandemic </w:t>
      </w:r>
      <w:r w:rsidR="00D002A1" w:rsidRPr="001F3F0F">
        <w:rPr>
          <w:iCs/>
        </w:rPr>
        <w:t xml:space="preserve">had also </w:t>
      </w:r>
      <w:r w:rsidR="006C41DD" w:rsidRPr="001F3F0F">
        <w:rPr>
          <w:iCs/>
        </w:rPr>
        <w:t xml:space="preserve">led to </w:t>
      </w:r>
      <w:r w:rsidR="00655708" w:rsidRPr="001F3F0F">
        <w:rPr>
          <w:iCs/>
        </w:rPr>
        <w:t>the</w:t>
      </w:r>
      <w:r w:rsidR="004F7E6F" w:rsidRPr="001F3F0F">
        <w:rPr>
          <w:iCs/>
        </w:rPr>
        <w:t xml:space="preserve"> small </w:t>
      </w:r>
      <w:r w:rsidR="00D002A1" w:rsidRPr="001F3F0F">
        <w:rPr>
          <w:iCs/>
        </w:rPr>
        <w:t>number of</w:t>
      </w:r>
      <w:r w:rsidR="006C41DD" w:rsidRPr="001F3F0F">
        <w:rPr>
          <w:iCs/>
        </w:rPr>
        <w:t xml:space="preserve"> severe events</w:t>
      </w:r>
      <w:r w:rsidR="004F7E6F" w:rsidRPr="001F3F0F">
        <w:rPr>
          <w:iCs/>
        </w:rPr>
        <w:t xml:space="preserve"> observed</w:t>
      </w:r>
      <w:r w:rsidR="00911F77" w:rsidRPr="001F3F0F">
        <w:rPr>
          <w:iCs/>
        </w:rPr>
        <w:t xml:space="preserve"> in the trials</w:t>
      </w:r>
      <w:r w:rsidR="006C41DD" w:rsidRPr="001F3F0F">
        <w:rPr>
          <w:iCs/>
        </w:rPr>
        <w:t xml:space="preserve">. </w:t>
      </w:r>
    </w:p>
    <w:p w14:paraId="4EA96F56" w14:textId="6D625C66" w:rsidR="00A979D9" w:rsidRPr="000717E1" w:rsidRDefault="00A979D9" w:rsidP="00A979D9">
      <w:pPr>
        <w:pStyle w:val="Caption"/>
        <w:rPr>
          <w:rFonts w:eastAsia="Calibri"/>
        </w:rPr>
      </w:pPr>
      <w:bookmarkStart w:id="43" w:name="_Ref216028010"/>
      <w:r w:rsidRPr="000717E1">
        <w:lastRenderedPageBreak/>
        <w:t xml:space="preserve">Table </w:t>
      </w:r>
      <w:fldSimple w:instr=" SEQ Table \* ARABIC ">
        <w:r w:rsidR="00281F45">
          <w:rPr>
            <w:noProof/>
          </w:rPr>
          <w:t>5</w:t>
        </w:r>
      </w:fldSimple>
      <w:bookmarkEnd w:id="43"/>
      <w:r w:rsidRPr="000717E1">
        <w:t>: Summary of occurrence of moderate or severe COPD exacerbations during the 52-week intervention period</w:t>
      </w:r>
      <w:r w:rsidR="00000FBE" w:rsidRPr="000717E1">
        <w:t xml:space="preserve"> (ITT)</w:t>
      </w:r>
    </w:p>
    <w:tbl>
      <w:tblPr>
        <w:tblStyle w:val="TableGrid"/>
        <w:tblW w:w="0" w:type="auto"/>
        <w:tblInd w:w="-5" w:type="dxa"/>
        <w:tblLook w:val="04A0" w:firstRow="1" w:lastRow="0" w:firstColumn="1" w:lastColumn="0" w:noHBand="0" w:noVBand="1"/>
        <w:tblCaption w:val="Table 5: Summary of occurrence of moderate or severe COPD exacerbations during the 52-week intervention period (ITT)"/>
      </w:tblPr>
      <w:tblGrid>
        <w:gridCol w:w="2466"/>
        <w:gridCol w:w="1091"/>
        <w:gridCol w:w="1092"/>
        <w:gridCol w:w="1091"/>
        <w:gridCol w:w="1092"/>
        <w:gridCol w:w="1091"/>
        <w:gridCol w:w="1092"/>
      </w:tblGrid>
      <w:tr w:rsidR="009906A2" w:rsidRPr="000717E1" w14:paraId="5CAB825D" w14:textId="77777777" w:rsidTr="006D6952">
        <w:tc>
          <w:tcPr>
            <w:tcW w:w="2466" w:type="dxa"/>
            <w:vMerge w:val="restart"/>
          </w:tcPr>
          <w:p w14:paraId="55212416" w14:textId="77777777" w:rsidR="00A979D9" w:rsidRPr="000717E1" w:rsidRDefault="00A979D9">
            <w:pPr>
              <w:pStyle w:val="TableText0"/>
              <w:rPr>
                <w:sz w:val="20"/>
                <w:szCs w:val="20"/>
              </w:rPr>
            </w:pPr>
          </w:p>
        </w:tc>
        <w:tc>
          <w:tcPr>
            <w:tcW w:w="2183" w:type="dxa"/>
            <w:gridSpan w:val="2"/>
          </w:tcPr>
          <w:p w14:paraId="737244C5" w14:textId="77777777" w:rsidR="00A979D9" w:rsidRPr="000717E1" w:rsidRDefault="00A979D9" w:rsidP="00510E0E">
            <w:pPr>
              <w:pStyle w:val="TableText0"/>
              <w:jc w:val="center"/>
              <w:rPr>
                <w:b/>
                <w:bCs/>
                <w:sz w:val="20"/>
                <w:szCs w:val="20"/>
              </w:rPr>
            </w:pPr>
            <w:r w:rsidRPr="000717E1">
              <w:rPr>
                <w:b/>
                <w:sz w:val="20"/>
                <w:szCs w:val="20"/>
              </w:rPr>
              <w:t>BOREAS (data cut-off 8 Feb 2023)</w:t>
            </w:r>
          </w:p>
        </w:tc>
        <w:tc>
          <w:tcPr>
            <w:tcW w:w="2183" w:type="dxa"/>
            <w:gridSpan w:val="2"/>
          </w:tcPr>
          <w:p w14:paraId="01C51F2C" w14:textId="77777777" w:rsidR="00A979D9" w:rsidRPr="000717E1" w:rsidRDefault="00A979D9" w:rsidP="00510E0E">
            <w:pPr>
              <w:pStyle w:val="TableText0"/>
              <w:jc w:val="center"/>
              <w:rPr>
                <w:b/>
                <w:bCs/>
                <w:sz w:val="20"/>
                <w:szCs w:val="20"/>
              </w:rPr>
            </w:pPr>
            <w:r w:rsidRPr="000717E1">
              <w:rPr>
                <w:b/>
                <w:sz w:val="20"/>
                <w:szCs w:val="20"/>
              </w:rPr>
              <w:t>NOTUS (data cut-off 29 Sept 2023)</w:t>
            </w:r>
          </w:p>
        </w:tc>
        <w:tc>
          <w:tcPr>
            <w:tcW w:w="2183" w:type="dxa"/>
            <w:gridSpan w:val="2"/>
          </w:tcPr>
          <w:p w14:paraId="02499A27" w14:textId="77777777" w:rsidR="00A979D9" w:rsidRPr="000717E1" w:rsidRDefault="00A979D9" w:rsidP="00510E0E">
            <w:pPr>
              <w:pStyle w:val="TableText0"/>
              <w:jc w:val="center"/>
              <w:rPr>
                <w:b/>
                <w:bCs/>
                <w:sz w:val="20"/>
                <w:szCs w:val="20"/>
              </w:rPr>
            </w:pPr>
            <w:r w:rsidRPr="000717E1">
              <w:rPr>
                <w:b/>
                <w:sz w:val="20"/>
                <w:szCs w:val="20"/>
              </w:rPr>
              <w:t>Pooled ITT</w:t>
            </w:r>
          </w:p>
        </w:tc>
      </w:tr>
      <w:tr w:rsidR="00200C35" w:rsidRPr="000717E1" w14:paraId="63755F37" w14:textId="77777777" w:rsidTr="006D6952">
        <w:tc>
          <w:tcPr>
            <w:tcW w:w="2466" w:type="dxa"/>
            <w:vMerge/>
          </w:tcPr>
          <w:p w14:paraId="3AB52377" w14:textId="77777777" w:rsidR="00A979D9" w:rsidRPr="000717E1" w:rsidRDefault="00A979D9">
            <w:pPr>
              <w:pStyle w:val="TableText0"/>
              <w:rPr>
                <w:sz w:val="20"/>
                <w:szCs w:val="20"/>
              </w:rPr>
            </w:pPr>
          </w:p>
        </w:tc>
        <w:tc>
          <w:tcPr>
            <w:tcW w:w="1091" w:type="dxa"/>
          </w:tcPr>
          <w:p w14:paraId="521E5DD4" w14:textId="77777777" w:rsidR="00A979D9" w:rsidRPr="000717E1" w:rsidRDefault="00A979D9" w:rsidP="00510E0E">
            <w:pPr>
              <w:pStyle w:val="TableText0"/>
              <w:jc w:val="center"/>
              <w:rPr>
                <w:sz w:val="20"/>
                <w:szCs w:val="20"/>
              </w:rPr>
            </w:pPr>
            <w:r w:rsidRPr="000717E1">
              <w:rPr>
                <w:sz w:val="20"/>
                <w:szCs w:val="20"/>
              </w:rPr>
              <w:t>Dupilumab (N=468)</w:t>
            </w:r>
          </w:p>
        </w:tc>
        <w:tc>
          <w:tcPr>
            <w:tcW w:w="1092" w:type="dxa"/>
          </w:tcPr>
          <w:p w14:paraId="7202606F" w14:textId="77777777" w:rsidR="00A979D9" w:rsidRPr="000717E1" w:rsidRDefault="00A979D9" w:rsidP="00510E0E">
            <w:pPr>
              <w:pStyle w:val="TableText0"/>
              <w:jc w:val="center"/>
              <w:rPr>
                <w:sz w:val="20"/>
                <w:szCs w:val="20"/>
              </w:rPr>
            </w:pPr>
            <w:r w:rsidRPr="000717E1">
              <w:rPr>
                <w:sz w:val="20"/>
                <w:szCs w:val="20"/>
              </w:rPr>
              <w:t>Placebo (N=471)</w:t>
            </w:r>
          </w:p>
        </w:tc>
        <w:tc>
          <w:tcPr>
            <w:tcW w:w="1091" w:type="dxa"/>
          </w:tcPr>
          <w:p w14:paraId="603A7B08" w14:textId="77777777" w:rsidR="00A979D9" w:rsidRPr="000717E1" w:rsidRDefault="00A979D9" w:rsidP="00510E0E">
            <w:pPr>
              <w:pStyle w:val="TableText0"/>
              <w:jc w:val="center"/>
              <w:rPr>
                <w:sz w:val="20"/>
                <w:szCs w:val="20"/>
              </w:rPr>
            </w:pPr>
            <w:r w:rsidRPr="000717E1">
              <w:rPr>
                <w:sz w:val="20"/>
                <w:szCs w:val="20"/>
              </w:rPr>
              <w:t>Dupilumab (N=470)</w:t>
            </w:r>
          </w:p>
        </w:tc>
        <w:tc>
          <w:tcPr>
            <w:tcW w:w="1092" w:type="dxa"/>
          </w:tcPr>
          <w:p w14:paraId="3E8ED3B9" w14:textId="77777777" w:rsidR="00A979D9" w:rsidRPr="000717E1" w:rsidRDefault="00A979D9" w:rsidP="00510E0E">
            <w:pPr>
              <w:pStyle w:val="TableText0"/>
              <w:jc w:val="center"/>
              <w:rPr>
                <w:sz w:val="20"/>
                <w:szCs w:val="20"/>
              </w:rPr>
            </w:pPr>
            <w:r w:rsidRPr="000717E1">
              <w:rPr>
                <w:sz w:val="20"/>
                <w:szCs w:val="20"/>
              </w:rPr>
              <w:t>Placebo (N=465)</w:t>
            </w:r>
          </w:p>
        </w:tc>
        <w:tc>
          <w:tcPr>
            <w:tcW w:w="1091" w:type="dxa"/>
          </w:tcPr>
          <w:p w14:paraId="085D36AE" w14:textId="77777777" w:rsidR="00A979D9" w:rsidRPr="000717E1" w:rsidRDefault="00A979D9" w:rsidP="00510E0E">
            <w:pPr>
              <w:pStyle w:val="TableText0"/>
              <w:jc w:val="center"/>
              <w:rPr>
                <w:sz w:val="20"/>
                <w:szCs w:val="20"/>
              </w:rPr>
            </w:pPr>
            <w:r w:rsidRPr="000717E1">
              <w:rPr>
                <w:sz w:val="20"/>
                <w:szCs w:val="20"/>
              </w:rPr>
              <w:t>Dupilumab (N=936)</w:t>
            </w:r>
          </w:p>
        </w:tc>
        <w:tc>
          <w:tcPr>
            <w:tcW w:w="1092" w:type="dxa"/>
          </w:tcPr>
          <w:p w14:paraId="7B0755D9" w14:textId="77777777" w:rsidR="00A979D9" w:rsidRPr="000717E1" w:rsidRDefault="00A979D9" w:rsidP="00510E0E">
            <w:pPr>
              <w:pStyle w:val="TableText0"/>
              <w:jc w:val="center"/>
              <w:rPr>
                <w:sz w:val="20"/>
                <w:szCs w:val="20"/>
              </w:rPr>
            </w:pPr>
            <w:r w:rsidRPr="000717E1">
              <w:rPr>
                <w:sz w:val="20"/>
                <w:szCs w:val="20"/>
              </w:rPr>
              <w:t>Placebo (N=938)</w:t>
            </w:r>
          </w:p>
        </w:tc>
      </w:tr>
      <w:tr w:rsidR="00200C35" w:rsidRPr="000717E1" w14:paraId="7012D87B" w14:textId="77777777" w:rsidTr="006D6952">
        <w:tc>
          <w:tcPr>
            <w:tcW w:w="2466" w:type="dxa"/>
          </w:tcPr>
          <w:p w14:paraId="28D2A4B6" w14:textId="77777777" w:rsidR="00A979D9" w:rsidRPr="000717E1" w:rsidRDefault="00A979D9">
            <w:pPr>
              <w:pStyle w:val="TableText0"/>
              <w:rPr>
                <w:sz w:val="20"/>
                <w:szCs w:val="20"/>
              </w:rPr>
            </w:pPr>
            <w:r w:rsidRPr="000717E1">
              <w:rPr>
                <w:sz w:val="20"/>
                <w:szCs w:val="20"/>
              </w:rPr>
              <w:t>Total number of moderate or severe events</w:t>
            </w:r>
          </w:p>
        </w:tc>
        <w:tc>
          <w:tcPr>
            <w:tcW w:w="1091" w:type="dxa"/>
          </w:tcPr>
          <w:p w14:paraId="3405AAE4" w14:textId="77777777" w:rsidR="00A979D9" w:rsidRPr="000717E1" w:rsidRDefault="00A979D9" w:rsidP="00510E0E">
            <w:pPr>
              <w:pStyle w:val="TableText0"/>
              <w:jc w:val="center"/>
              <w:rPr>
                <w:sz w:val="20"/>
                <w:szCs w:val="20"/>
              </w:rPr>
            </w:pPr>
            <w:r w:rsidRPr="000717E1">
              <w:rPr>
                <w:sz w:val="20"/>
                <w:szCs w:val="20"/>
              </w:rPr>
              <w:t>296</w:t>
            </w:r>
          </w:p>
        </w:tc>
        <w:tc>
          <w:tcPr>
            <w:tcW w:w="1092" w:type="dxa"/>
          </w:tcPr>
          <w:p w14:paraId="5879BF53" w14:textId="77777777" w:rsidR="00A979D9" w:rsidRPr="000717E1" w:rsidRDefault="00A979D9" w:rsidP="00510E0E">
            <w:pPr>
              <w:pStyle w:val="TableText0"/>
              <w:jc w:val="center"/>
              <w:rPr>
                <w:sz w:val="20"/>
                <w:szCs w:val="20"/>
              </w:rPr>
            </w:pPr>
            <w:r w:rsidRPr="000717E1">
              <w:rPr>
                <w:sz w:val="20"/>
                <w:szCs w:val="20"/>
              </w:rPr>
              <w:t>422</w:t>
            </w:r>
          </w:p>
        </w:tc>
        <w:tc>
          <w:tcPr>
            <w:tcW w:w="1091" w:type="dxa"/>
          </w:tcPr>
          <w:p w14:paraId="51ADAC77" w14:textId="77777777" w:rsidR="00A979D9" w:rsidRPr="000717E1" w:rsidRDefault="00A979D9" w:rsidP="00510E0E">
            <w:pPr>
              <w:pStyle w:val="TableText0"/>
              <w:jc w:val="center"/>
              <w:rPr>
                <w:sz w:val="20"/>
                <w:szCs w:val="20"/>
              </w:rPr>
            </w:pPr>
            <w:r w:rsidRPr="000717E1">
              <w:rPr>
                <w:sz w:val="20"/>
                <w:szCs w:val="20"/>
              </w:rPr>
              <w:t>263</w:t>
            </w:r>
          </w:p>
        </w:tc>
        <w:tc>
          <w:tcPr>
            <w:tcW w:w="1092" w:type="dxa"/>
          </w:tcPr>
          <w:p w14:paraId="0EBE3EDB" w14:textId="77777777" w:rsidR="00A979D9" w:rsidRPr="000717E1" w:rsidRDefault="00A979D9" w:rsidP="00510E0E">
            <w:pPr>
              <w:pStyle w:val="TableText0"/>
              <w:jc w:val="center"/>
              <w:rPr>
                <w:sz w:val="20"/>
                <w:szCs w:val="20"/>
              </w:rPr>
            </w:pPr>
            <w:r w:rsidRPr="000717E1">
              <w:rPr>
                <w:sz w:val="20"/>
                <w:szCs w:val="20"/>
              </w:rPr>
              <w:t>352</w:t>
            </w:r>
          </w:p>
        </w:tc>
        <w:tc>
          <w:tcPr>
            <w:tcW w:w="1091" w:type="dxa"/>
          </w:tcPr>
          <w:p w14:paraId="337E0112" w14:textId="77777777" w:rsidR="00A979D9" w:rsidRPr="000717E1" w:rsidRDefault="00A979D9" w:rsidP="00510E0E">
            <w:pPr>
              <w:pStyle w:val="TableText0"/>
              <w:jc w:val="center"/>
              <w:rPr>
                <w:sz w:val="20"/>
                <w:szCs w:val="20"/>
              </w:rPr>
            </w:pPr>
            <w:r w:rsidRPr="000717E1">
              <w:rPr>
                <w:sz w:val="20"/>
                <w:szCs w:val="20"/>
              </w:rPr>
              <w:t>559</w:t>
            </w:r>
          </w:p>
        </w:tc>
        <w:tc>
          <w:tcPr>
            <w:tcW w:w="1092" w:type="dxa"/>
          </w:tcPr>
          <w:p w14:paraId="03FBDB25" w14:textId="77777777" w:rsidR="00A979D9" w:rsidRPr="000717E1" w:rsidRDefault="00A979D9" w:rsidP="00510E0E">
            <w:pPr>
              <w:pStyle w:val="TableText0"/>
              <w:jc w:val="center"/>
              <w:rPr>
                <w:sz w:val="20"/>
                <w:szCs w:val="20"/>
              </w:rPr>
            </w:pPr>
            <w:r w:rsidRPr="000717E1">
              <w:rPr>
                <w:sz w:val="20"/>
                <w:szCs w:val="20"/>
              </w:rPr>
              <w:t>774</w:t>
            </w:r>
          </w:p>
        </w:tc>
      </w:tr>
      <w:tr w:rsidR="00200C35" w:rsidRPr="000717E1" w14:paraId="3BB9A5FB" w14:textId="77777777" w:rsidTr="006D6952">
        <w:tc>
          <w:tcPr>
            <w:tcW w:w="2466" w:type="dxa"/>
          </w:tcPr>
          <w:p w14:paraId="1E07CFCF" w14:textId="5CC63A3C" w:rsidR="00A979D9" w:rsidRPr="000717E1" w:rsidRDefault="00A979D9">
            <w:pPr>
              <w:pStyle w:val="TableText0"/>
              <w:rPr>
                <w:sz w:val="20"/>
                <w:szCs w:val="20"/>
              </w:rPr>
            </w:pPr>
            <w:r w:rsidRPr="000717E1">
              <w:rPr>
                <w:sz w:val="20"/>
                <w:szCs w:val="20"/>
              </w:rPr>
              <w:t>Number of severe events</w:t>
            </w:r>
            <w:r w:rsidR="00070119" w:rsidRPr="000717E1">
              <w:rPr>
                <w:sz w:val="20"/>
                <w:szCs w:val="20"/>
              </w:rPr>
              <w:t xml:space="preserve"> (% of </w:t>
            </w:r>
            <w:r w:rsidR="0025315E" w:rsidRPr="000717E1">
              <w:rPr>
                <w:sz w:val="20"/>
                <w:szCs w:val="20"/>
              </w:rPr>
              <w:t xml:space="preserve">all </w:t>
            </w:r>
            <w:r w:rsidR="00070119" w:rsidRPr="000717E1">
              <w:rPr>
                <w:sz w:val="20"/>
                <w:szCs w:val="20"/>
              </w:rPr>
              <w:t>events)</w:t>
            </w:r>
          </w:p>
        </w:tc>
        <w:tc>
          <w:tcPr>
            <w:tcW w:w="1091" w:type="dxa"/>
          </w:tcPr>
          <w:p w14:paraId="2CBC0C0C" w14:textId="77777777" w:rsidR="00A979D9" w:rsidRPr="000717E1" w:rsidRDefault="00A979D9" w:rsidP="00510E0E">
            <w:pPr>
              <w:pStyle w:val="TableText0"/>
              <w:jc w:val="center"/>
              <w:rPr>
                <w:sz w:val="20"/>
                <w:szCs w:val="20"/>
              </w:rPr>
            </w:pPr>
            <w:r w:rsidRPr="000717E1">
              <w:rPr>
                <w:sz w:val="20"/>
                <w:szCs w:val="20"/>
              </w:rPr>
              <w:t>28 (9.5)</w:t>
            </w:r>
          </w:p>
        </w:tc>
        <w:tc>
          <w:tcPr>
            <w:tcW w:w="1092" w:type="dxa"/>
          </w:tcPr>
          <w:p w14:paraId="4526E5A7" w14:textId="77777777" w:rsidR="00A979D9" w:rsidRPr="000717E1" w:rsidRDefault="00A979D9" w:rsidP="00510E0E">
            <w:pPr>
              <w:pStyle w:val="TableText0"/>
              <w:jc w:val="center"/>
              <w:rPr>
                <w:sz w:val="20"/>
                <w:szCs w:val="20"/>
              </w:rPr>
            </w:pPr>
            <w:r w:rsidRPr="000717E1">
              <w:rPr>
                <w:sz w:val="20"/>
                <w:szCs w:val="20"/>
              </w:rPr>
              <w:t>37 (8.8)</w:t>
            </w:r>
          </w:p>
        </w:tc>
        <w:tc>
          <w:tcPr>
            <w:tcW w:w="1091" w:type="dxa"/>
          </w:tcPr>
          <w:p w14:paraId="0045017A" w14:textId="77777777" w:rsidR="00A979D9" w:rsidRPr="000717E1" w:rsidRDefault="00A979D9" w:rsidP="00510E0E">
            <w:pPr>
              <w:pStyle w:val="TableText0"/>
              <w:jc w:val="center"/>
              <w:rPr>
                <w:sz w:val="20"/>
                <w:szCs w:val="20"/>
              </w:rPr>
            </w:pPr>
            <w:r w:rsidRPr="000717E1">
              <w:rPr>
                <w:sz w:val="20"/>
                <w:szCs w:val="20"/>
              </w:rPr>
              <w:t>26 (9.9)</w:t>
            </w:r>
          </w:p>
        </w:tc>
        <w:tc>
          <w:tcPr>
            <w:tcW w:w="1092" w:type="dxa"/>
          </w:tcPr>
          <w:p w14:paraId="72565592" w14:textId="77777777" w:rsidR="00A979D9" w:rsidRPr="000717E1" w:rsidRDefault="00A979D9" w:rsidP="00510E0E">
            <w:pPr>
              <w:pStyle w:val="TableText0"/>
              <w:jc w:val="center"/>
              <w:rPr>
                <w:sz w:val="20"/>
                <w:szCs w:val="20"/>
              </w:rPr>
            </w:pPr>
            <w:r w:rsidRPr="000717E1">
              <w:rPr>
                <w:sz w:val="20"/>
                <w:szCs w:val="20"/>
              </w:rPr>
              <w:t>39 (11.1)</w:t>
            </w:r>
          </w:p>
        </w:tc>
        <w:tc>
          <w:tcPr>
            <w:tcW w:w="1091" w:type="dxa"/>
          </w:tcPr>
          <w:p w14:paraId="751DC157" w14:textId="77777777" w:rsidR="00A979D9" w:rsidRPr="000717E1" w:rsidRDefault="00A979D9" w:rsidP="00510E0E">
            <w:pPr>
              <w:pStyle w:val="TableText0"/>
              <w:jc w:val="center"/>
              <w:rPr>
                <w:sz w:val="20"/>
                <w:szCs w:val="20"/>
              </w:rPr>
            </w:pPr>
            <w:r w:rsidRPr="000717E1">
              <w:rPr>
                <w:sz w:val="20"/>
                <w:szCs w:val="20"/>
              </w:rPr>
              <w:t>54 (9.7)</w:t>
            </w:r>
          </w:p>
        </w:tc>
        <w:tc>
          <w:tcPr>
            <w:tcW w:w="1092" w:type="dxa"/>
          </w:tcPr>
          <w:p w14:paraId="118F2636" w14:textId="77777777" w:rsidR="00A979D9" w:rsidRPr="000717E1" w:rsidRDefault="00A979D9" w:rsidP="00510E0E">
            <w:pPr>
              <w:pStyle w:val="TableText0"/>
              <w:jc w:val="center"/>
              <w:rPr>
                <w:sz w:val="20"/>
                <w:szCs w:val="20"/>
              </w:rPr>
            </w:pPr>
            <w:r w:rsidRPr="000717E1">
              <w:rPr>
                <w:sz w:val="20"/>
                <w:szCs w:val="20"/>
              </w:rPr>
              <w:t>76 (9.8)</w:t>
            </w:r>
          </w:p>
        </w:tc>
      </w:tr>
      <w:tr w:rsidR="00200C35" w:rsidRPr="000717E1" w14:paraId="733F8586" w14:textId="77777777" w:rsidTr="006D6952">
        <w:tc>
          <w:tcPr>
            <w:tcW w:w="2466" w:type="dxa"/>
          </w:tcPr>
          <w:p w14:paraId="5C216925" w14:textId="0F25C215" w:rsidR="00A979D9" w:rsidRPr="000717E1" w:rsidRDefault="00A979D9">
            <w:pPr>
              <w:pStyle w:val="TableText0"/>
              <w:rPr>
                <w:sz w:val="20"/>
                <w:szCs w:val="20"/>
              </w:rPr>
            </w:pPr>
            <w:r w:rsidRPr="000717E1">
              <w:rPr>
                <w:sz w:val="20"/>
                <w:szCs w:val="20"/>
              </w:rPr>
              <w:t>Number of moderate events</w:t>
            </w:r>
            <w:r w:rsidR="00070119" w:rsidRPr="000717E1">
              <w:rPr>
                <w:sz w:val="20"/>
                <w:szCs w:val="20"/>
              </w:rPr>
              <w:t xml:space="preserve"> (% of </w:t>
            </w:r>
            <w:r w:rsidR="0025315E" w:rsidRPr="000717E1">
              <w:rPr>
                <w:sz w:val="20"/>
                <w:szCs w:val="20"/>
              </w:rPr>
              <w:t xml:space="preserve">all </w:t>
            </w:r>
            <w:r w:rsidR="00070119" w:rsidRPr="000717E1">
              <w:rPr>
                <w:sz w:val="20"/>
                <w:szCs w:val="20"/>
              </w:rPr>
              <w:t>events)</w:t>
            </w:r>
          </w:p>
        </w:tc>
        <w:tc>
          <w:tcPr>
            <w:tcW w:w="1091" w:type="dxa"/>
          </w:tcPr>
          <w:p w14:paraId="08CB9DEA" w14:textId="77777777" w:rsidR="00A979D9" w:rsidRPr="000717E1" w:rsidRDefault="00A979D9" w:rsidP="00510E0E">
            <w:pPr>
              <w:pStyle w:val="TableText0"/>
              <w:jc w:val="center"/>
              <w:rPr>
                <w:sz w:val="20"/>
                <w:szCs w:val="20"/>
              </w:rPr>
            </w:pPr>
            <w:r w:rsidRPr="000717E1">
              <w:rPr>
                <w:sz w:val="20"/>
                <w:szCs w:val="20"/>
              </w:rPr>
              <w:t>268 (90.6)</w:t>
            </w:r>
          </w:p>
        </w:tc>
        <w:tc>
          <w:tcPr>
            <w:tcW w:w="1092" w:type="dxa"/>
          </w:tcPr>
          <w:p w14:paraId="0675DBF3" w14:textId="77777777" w:rsidR="00A979D9" w:rsidRPr="000717E1" w:rsidRDefault="00A979D9" w:rsidP="00510E0E">
            <w:pPr>
              <w:pStyle w:val="TableText0"/>
              <w:jc w:val="center"/>
              <w:rPr>
                <w:sz w:val="20"/>
                <w:szCs w:val="20"/>
              </w:rPr>
            </w:pPr>
            <w:r w:rsidRPr="000717E1">
              <w:rPr>
                <w:sz w:val="20"/>
                <w:szCs w:val="20"/>
              </w:rPr>
              <w:t>385 (91.2)</w:t>
            </w:r>
          </w:p>
        </w:tc>
        <w:tc>
          <w:tcPr>
            <w:tcW w:w="1091" w:type="dxa"/>
          </w:tcPr>
          <w:p w14:paraId="7283A6C2" w14:textId="77777777" w:rsidR="00A979D9" w:rsidRPr="000717E1" w:rsidRDefault="00A979D9" w:rsidP="00510E0E">
            <w:pPr>
              <w:pStyle w:val="TableText0"/>
              <w:jc w:val="center"/>
              <w:rPr>
                <w:sz w:val="20"/>
                <w:szCs w:val="20"/>
              </w:rPr>
            </w:pPr>
            <w:r w:rsidRPr="000717E1">
              <w:rPr>
                <w:sz w:val="20"/>
                <w:szCs w:val="20"/>
              </w:rPr>
              <w:t>237 (90.1)</w:t>
            </w:r>
          </w:p>
        </w:tc>
        <w:tc>
          <w:tcPr>
            <w:tcW w:w="1092" w:type="dxa"/>
          </w:tcPr>
          <w:p w14:paraId="3FA14422" w14:textId="77777777" w:rsidR="00A979D9" w:rsidRPr="000717E1" w:rsidRDefault="00A979D9" w:rsidP="00510E0E">
            <w:pPr>
              <w:pStyle w:val="TableText0"/>
              <w:jc w:val="center"/>
              <w:rPr>
                <w:sz w:val="20"/>
                <w:szCs w:val="20"/>
              </w:rPr>
            </w:pPr>
            <w:r w:rsidRPr="000717E1">
              <w:rPr>
                <w:sz w:val="20"/>
                <w:szCs w:val="20"/>
              </w:rPr>
              <w:t>313 (88.9)</w:t>
            </w:r>
          </w:p>
        </w:tc>
        <w:tc>
          <w:tcPr>
            <w:tcW w:w="1091" w:type="dxa"/>
          </w:tcPr>
          <w:p w14:paraId="28BF964F" w14:textId="77777777" w:rsidR="00A979D9" w:rsidRPr="000717E1" w:rsidRDefault="00A979D9" w:rsidP="00510E0E">
            <w:pPr>
              <w:pStyle w:val="TableText0"/>
              <w:jc w:val="center"/>
              <w:rPr>
                <w:sz w:val="20"/>
                <w:szCs w:val="20"/>
              </w:rPr>
            </w:pPr>
            <w:r w:rsidRPr="000717E1">
              <w:rPr>
                <w:sz w:val="20"/>
                <w:szCs w:val="20"/>
              </w:rPr>
              <w:t>505 (90.3)</w:t>
            </w:r>
          </w:p>
        </w:tc>
        <w:tc>
          <w:tcPr>
            <w:tcW w:w="1092" w:type="dxa"/>
          </w:tcPr>
          <w:p w14:paraId="58F612E3" w14:textId="77777777" w:rsidR="00A979D9" w:rsidRPr="000717E1" w:rsidRDefault="00A979D9" w:rsidP="00F41FF6">
            <w:pPr>
              <w:pStyle w:val="TableText0"/>
              <w:jc w:val="center"/>
              <w:rPr>
                <w:sz w:val="20"/>
                <w:szCs w:val="20"/>
              </w:rPr>
            </w:pPr>
            <w:r w:rsidRPr="000717E1">
              <w:rPr>
                <w:sz w:val="20"/>
                <w:szCs w:val="20"/>
              </w:rPr>
              <w:t>698 (90.2)</w:t>
            </w:r>
          </w:p>
        </w:tc>
      </w:tr>
      <w:tr w:rsidR="00200C35" w:rsidRPr="000717E1" w14:paraId="48D2F15F" w14:textId="77777777" w:rsidTr="006D6952">
        <w:tc>
          <w:tcPr>
            <w:tcW w:w="2466" w:type="dxa"/>
          </w:tcPr>
          <w:p w14:paraId="66F25792" w14:textId="57AD2BE0" w:rsidR="00A979D9" w:rsidRPr="000717E1" w:rsidRDefault="009E6AC0" w:rsidP="009E6AC0">
            <w:pPr>
              <w:pStyle w:val="TableText0"/>
              <w:rPr>
                <w:sz w:val="20"/>
                <w:szCs w:val="20"/>
              </w:rPr>
            </w:pPr>
            <w:r w:rsidRPr="000717E1">
              <w:rPr>
                <w:sz w:val="20"/>
                <w:szCs w:val="20"/>
              </w:rPr>
              <w:t>-</w:t>
            </w:r>
            <w:r w:rsidR="004E76AC" w:rsidRPr="000717E1">
              <w:rPr>
                <w:sz w:val="20"/>
                <w:szCs w:val="20"/>
              </w:rPr>
              <w:t xml:space="preserve"> </w:t>
            </w:r>
            <w:r w:rsidR="00A979D9" w:rsidRPr="000717E1">
              <w:rPr>
                <w:sz w:val="20"/>
                <w:szCs w:val="20"/>
              </w:rPr>
              <w:t>Only requiring use of SCS</w:t>
            </w:r>
            <w:r w:rsidR="0025315E" w:rsidRPr="000717E1">
              <w:rPr>
                <w:sz w:val="20"/>
                <w:szCs w:val="20"/>
              </w:rPr>
              <w:t xml:space="preserve"> </w:t>
            </w:r>
            <w:r w:rsidR="00837C00" w:rsidRPr="000717E1">
              <w:rPr>
                <w:sz w:val="20"/>
                <w:szCs w:val="20"/>
              </w:rPr>
              <w:br/>
            </w:r>
            <w:r w:rsidR="0025315E" w:rsidRPr="000717E1">
              <w:rPr>
                <w:sz w:val="20"/>
                <w:szCs w:val="20"/>
              </w:rPr>
              <w:t>(% of moderate events)</w:t>
            </w:r>
          </w:p>
        </w:tc>
        <w:tc>
          <w:tcPr>
            <w:tcW w:w="1091" w:type="dxa"/>
          </w:tcPr>
          <w:p w14:paraId="7A165979" w14:textId="77777777" w:rsidR="00A979D9" w:rsidRPr="000717E1" w:rsidRDefault="00A979D9" w:rsidP="00510E0E">
            <w:pPr>
              <w:pStyle w:val="TableText0"/>
              <w:jc w:val="center"/>
              <w:rPr>
                <w:sz w:val="20"/>
                <w:szCs w:val="20"/>
              </w:rPr>
            </w:pPr>
            <w:r w:rsidRPr="000717E1">
              <w:rPr>
                <w:sz w:val="20"/>
                <w:szCs w:val="20"/>
              </w:rPr>
              <w:t>84 (31.3)</w:t>
            </w:r>
          </w:p>
        </w:tc>
        <w:tc>
          <w:tcPr>
            <w:tcW w:w="1092" w:type="dxa"/>
          </w:tcPr>
          <w:p w14:paraId="46736434" w14:textId="77777777" w:rsidR="00A979D9" w:rsidRPr="000717E1" w:rsidRDefault="00A979D9" w:rsidP="00510E0E">
            <w:pPr>
              <w:pStyle w:val="TableText0"/>
              <w:jc w:val="center"/>
              <w:rPr>
                <w:sz w:val="20"/>
                <w:szCs w:val="20"/>
              </w:rPr>
            </w:pPr>
            <w:r w:rsidRPr="000717E1">
              <w:rPr>
                <w:sz w:val="20"/>
                <w:szCs w:val="20"/>
              </w:rPr>
              <w:t>130 (33.8)</w:t>
            </w:r>
          </w:p>
        </w:tc>
        <w:tc>
          <w:tcPr>
            <w:tcW w:w="1091" w:type="dxa"/>
          </w:tcPr>
          <w:p w14:paraId="53D7F26F" w14:textId="77777777" w:rsidR="00A979D9" w:rsidRPr="000717E1" w:rsidRDefault="00A979D9" w:rsidP="00510E0E">
            <w:pPr>
              <w:pStyle w:val="TableText0"/>
              <w:jc w:val="center"/>
              <w:rPr>
                <w:sz w:val="20"/>
                <w:szCs w:val="20"/>
              </w:rPr>
            </w:pPr>
            <w:r w:rsidRPr="000717E1">
              <w:rPr>
                <w:sz w:val="20"/>
                <w:szCs w:val="20"/>
              </w:rPr>
              <w:t>70 (29.5)</w:t>
            </w:r>
          </w:p>
        </w:tc>
        <w:tc>
          <w:tcPr>
            <w:tcW w:w="1092" w:type="dxa"/>
          </w:tcPr>
          <w:p w14:paraId="1E7C7A79" w14:textId="77777777" w:rsidR="00A979D9" w:rsidRPr="000717E1" w:rsidRDefault="00A979D9" w:rsidP="00510E0E">
            <w:pPr>
              <w:pStyle w:val="TableText0"/>
              <w:jc w:val="center"/>
              <w:rPr>
                <w:sz w:val="20"/>
                <w:szCs w:val="20"/>
              </w:rPr>
            </w:pPr>
            <w:r w:rsidRPr="000717E1">
              <w:rPr>
                <w:sz w:val="20"/>
                <w:szCs w:val="20"/>
              </w:rPr>
              <w:t>107 (34.2)</w:t>
            </w:r>
          </w:p>
        </w:tc>
        <w:tc>
          <w:tcPr>
            <w:tcW w:w="1091" w:type="dxa"/>
          </w:tcPr>
          <w:p w14:paraId="287327E2" w14:textId="77777777" w:rsidR="00A979D9" w:rsidRPr="000717E1" w:rsidRDefault="00A979D9" w:rsidP="00510E0E">
            <w:pPr>
              <w:pStyle w:val="TableText0"/>
              <w:jc w:val="center"/>
              <w:rPr>
                <w:sz w:val="20"/>
                <w:szCs w:val="20"/>
              </w:rPr>
            </w:pPr>
            <w:r w:rsidRPr="000717E1">
              <w:rPr>
                <w:sz w:val="20"/>
                <w:szCs w:val="20"/>
              </w:rPr>
              <w:t>154 (30.5)</w:t>
            </w:r>
          </w:p>
        </w:tc>
        <w:tc>
          <w:tcPr>
            <w:tcW w:w="1092" w:type="dxa"/>
          </w:tcPr>
          <w:p w14:paraId="64CDDE38" w14:textId="77777777" w:rsidR="00A979D9" w:rsidRPr="000717E1" w:rsidRDefault="00A979D9" w:rsidP="00510E0E">
            <w:pPr>
              <w:pStyle w:val="TableText0"/>
              <w:jc w:val="center"/>
              <w:rPr>
                <w:sz w:val="20"/>
                <w:szCs w:val="20"/>
              </w:rPr>
            </w:pPr>
            <w:r w:rsidRPr="000717E1">
              <w:rPr>
                <w:sz w:val="20"/>
                <w:szCs w:val="20"/>
              </w:rPr>
              <w:t>237 (34.0)</w:t>
            </w:r>
          </w:p>
        </w:tc>
      </w:tr>
      <w:tr w:rsidR="00200C35" w:rsidRPr="000717E1" w14:paraId="73DB62B2" w14:textId="77777777" w:rsidTr="006D6952">
        <w:tc>
          <w:tcPr>
            <w:tcW w:w="2466" w:type="dxa"/>
          </w:tcPr>
          <w:p w14:paraId="5F8299FC" w14:textId="6FD5E61A" w:rsidR="00A979D9" w:rsidRPr="000717E1" w:rsidRDefault="004E76AC">
            <w:pPr>
              <w:pStyle w:val="TableText0"/>
              <w:rPr>
                <w:sz w:val="20"/>
                <w:szCs w:val="20"/>
              </w:rPr>
            </w:pPr>
            <w:r w:rsidRPr="000717E1">
              <w:rPr>
                <w:sz w:val="20"/>
                <w:szCs w:val="20"/>
              </w:rPr>
              <w:t xml:space="preserve">- </w:t>
            </w:r>
            <w:r w:rsidR="00A979D9" w:rsidRPr="000717E1">
              <w:rPr>
                <w:sz w:val="20"/>
                <w:szCs w:val="20"/>
              </w:rPr>
              <w:t>Only requiring use of systemic antibiotics</w:t>
            </w:r>
            <w:r w:rsidR="0025315E" w:rsidRPr="000717E1">
              <w:rPr>
                <w:sz w:val="20"/>
                <w:szCs w:val="20"/>
              </w:rPr>
              <w:t xml:space="preserve"> </w:t>
            </w:r>
            <w:r w:rsidR="00837C00" w:rsidRPr="000717E1">
              <w:rPr>
                <w:sz w:val="20"/>
                <w:szCs w:val="20"/>
              </w:rPr>
              <w:br/>
            </w:r>
            <w:r w:rsidR="0025315E" w:rsidRPr="000717E1">
              <w:rPr>
                <w:sz w:val="20"/>
                <w:szCs w:val="20"/>
              </w:rPr>
              <w:t>(% of moderate events)</w:t>
            </w:r>
          </w:p>
        </w:tc>
        <w:tc>
          <w:tcPr>
            <w:tcW w:w="1091" w:type="dxa"/>
          </w:tcPr>
          <w:p w14:paraId="305A3589" w14:textId="77777777" w:rsidR="00A979D9" w:rsidRPr="000717E1" w:rsidRDefault="00A979D9" w:rsidP="00510E0E">
            <w:pPr>
              <w:pStyle w:val="TableText0"/>
              <w:jc w:val="center"/>
              <w:rPr>
                <w:sz w:val="20"/>
                <w:szCs w:val="20"/>
              </w:rPr>
            </w:pPr>
            <w:r w:rsidRPr="000717E1">
              <w:rPr>
                <w:sz w:val="20"/>
                <w:szCs w:val="20"/>
              </w:rPr>
              <w:t>52 (19.4)</w:t>
            </w:r>
          </w:p>
        </w:tc>
        <w:tc>
          <w:tcPr>
            <w:tcW w:w="1092" w:type="dxa"/>
          </w:tcPr>
          <w:p w14:paraId="0FC48C35" w14:textId="77777777" w:rsidR="00A979D9" w:rsidRPr="000717E1" w:rsidRDefault="00A979D9" w:rsidP="00510E0E">
            <w:pPr>
              <w:pStyle w:val="TableText0"/>
              <w:jc w:val="center"/>
              <w:rPr>
                <w:sz w:val="20"/>
                <w:szCs w:val="20"/>
              </w:rPr>
            </w:pPr>
            <w:r w:rsidRPr="000717E1">
              <w:rPr>
                <w:sz w:val="20"/>
                <w:szCs w:val="20"/>
              </w:rPr>
              <w:t>68 (17.7)</w:t>
            </w:r>
          </w:p>
        </w:tc>
        <w:tc>
          <w:tcPr>
            <w:tcW w:w="1091" w:type="dxa"/>
          </w:tcPr>
          <w:p w14:paraId="02439304" w14:textId="77777777" w:rsidR="00A979D9" w:rsidRPr="000717E1" w:rsidRDefault="00A979D9" w:rsidP="00510E0E">
            <w:pPr>
              <w:pStyle w:val="TableText0"/>
              <w:jc w:val="center"/>
              <w:rPr>
                <w:sz w:val="20"/>
                <w:szCs w:val="20"/>
              </w:rPr>
            </w:pPr>
            <w:r w:rsidRPr="000717E1">
              <w:rPr>
                <w:sz w:val="20"/>
                <w:szCs w:val="20"/>
              </w:rPr>
              <w:t>40 (16.9)</w:t>
            </w:r>
          </w:p>
        </w:tc>
        <w:tc>
          <w:tcPr>
            <w:tcW w:w="1092" w:type="dxa"/>
          </w:tcPr>
          <w:p w14:paraId="756BB80C" w14:textId="77777777" w:rsidR="00A979D9" w:rsidRPr="000717E1" w:rsidRDefault="00A979D9" w:rsidP="00510E0E">
            <w:pPr>
              <w:pStyle w:val="TableText0"/>
              <w:jc w:val="center"/>
              <w:rPr>
                <w:sz w:val="20"/>
                <w:szCs w:val="20"/>
              </w:rPr>
            </w:pPr>
            <w:r w:rsidRPr="000717E1">
              <w:rPr>
                <w:sz w:val="20"/>
                <w:szCs w:val="20"/>
              </w:rPr>
              <w:t>56 (17.9)</w:t>
            </w:r>
          </w:p>
        </w:tc>
        <w:tc>
          <w:tcPr>
            <w:tcW w:w="1091" w:type="dxa"/>
          </w:tcPr>
          <w:p w14:paraId="40809C06" w14:textId="77777777" w:rsidR="00A979D9" w:rsidRPr="000717E1" w:rsidRDefault="00A979D9" w:rsidP="00510E0E">
            <w:pPr>
              <w:pStyle w:val="TableText0"/>
              <w:jc w:val="center"/>
              <w:rPr>
                <w:sz w:val="20"/>
                <w:szCs w:val="20"/>
              </w:rPr>
            </w:pPr>
            <w:r w:rsidRPr="000717E1">
              <w:rPr>
                <w:sz w:val="20"/>
                <w:szCs w:val="20"/>
              </w:rPr>
              <w:t>92 (18.2)</w:t>
            </w:r>
          </w:p>
        </w:tc>
        <w:tc>
          <w:tcPr>
            <w:tcW w:w="1092" w:type="dxa"/>
          </w:tcPr>
          <w:p w14:paraId="20EE5FBC" w14:textId="77777777" w:rsidR="00A979D9" w:rsidRPr="000717E1" w:rsidRDefault="00A979D9" w:rsidP="00510E0E">
            <w:pPr>
              <w:pStyle w:val="TableText0"/>
              <w:jc w:val="center"/>
              <w:rPr>
                <w:sz w:val="20"/>
                <w:szCs w:val="20"/>
              </w:rPr>
            </w:pPr>
            <w:r w:rsidRPr="000717E1">
              <w:rPr>
                <w:sz w:val="20"/>
                <w:szCs w:val="20"/>
              </w:rPr>
              <w:t>124 (17.8)</w:t>
            </w:r>
          </w:p>
        </w:tc>
      </w:tr>
      <w:tr w:rsidR="00200C35" w:rsidRPr="000717E1" w14:paraId="19E8CD4F" w14:textId="77777777" w:rsidTr="006D6952">
        <w:tc>
          <w:tcPr>
            <w:tcW w:w="2466" w:type="dxa"/>
          </w:tcPr>
          <w:p w14:paraId="426637BB" w14:textId="09BB8B4A" w:rsidR="00A979D9" w:rsidRPr="000717E1" w:rsidRDefault="004E76AC">
            <w:pPr>
              <w:pStyle w:val="TableText0"/>
              <w:rPr>
                <w:sz w:val="20"/>
                <w:szCs w:val="20"/>
              </w:rPr>
            </w:pPr>
            <w:r w:rsidRPr="000717E1">
              <w:rPr>
                <w:sz w:val="20"/>
                <w:szCs w:val="20"/>
              </w:rPr>
              <w:t xml:space="preserve">- </w:t>
            </w:r>
            <w:r w:rsidR="00A979D9" w:rsidRPr="000717E1">
              <w:rPr>
                <w:sz w:val="20"/>
                <w:szCs w:val="20"/>
              </w:rPr>
              <w:t>Requiring use of both SCS and systemic antibiotics</w:t>
            </w:r>
            <w:r w:rsidR="0025315E" w:rsidRPr="000717E1">
              <w:rPr>
                <w:sz w:val="20"/>
                <w:szCs w:val="20"/>
              </w:rPr>
              <w:t xml:space="preserve"> </w:t>
            </w:r>
            <w:r w:rsidR="00837C00" w:rsidRPr="000717E1">
              <w:rPr>
                <w:sz w:val="20"/>
                <w:szCs w:val="20"/>
              </w:rPr>
              <w:br/>
            </w:r>
            <w:r w:rsidR="0025315E" w:rsidRPr="000717E1">
              <w:rPr>
                <w:sz w:val="20"/>
                <w:szCs w:val="20"/>
              </w:rPr>
              <w:t>(% of moderate events)</w:t>
            </w:r>
          </w:p>
        </w:tc>
        <w:tc>
          <w:tcPr>
            <w:tcW w:w="1091" w:type="dxa"/>
          </w:tcPr>
          <w:p w14:paraId="6674DE84" w14:textId="77777777" w:rsidR="00A979D9" w:rsidRPr="000717E1" w:rsidRDefault="00A979D9" w:rsidP="00510E0E">
            <w:pPr>
              <w:pStyle w:val="TableText0"/>
              <w:jc w:val="center"/>
              <w:rPr>
                <w:sz w:val="20"/>
                <w:szCs w:val="20"/>
              </w:rPr>
            </w:pPr>
            <w:r w:rsidRPr="000717E1">
              <w:rPr>
                <w:sz w:val="20"/>
                <w:szCs w:val="20"/>
              </w:rPr>
              <w:t>132 (49.3)</w:t>
            </w:r>
          </w:p>
        </w:tc>
        <w:tc>
          <w:tcPr>
            <w:tcW w:w="1092" w:type="dxa"/>
          </w:tcPr>
          <w:p w14:paraId="2C896923" w14:textId="77777777" w:rsidR="00A979D9" w:rsidRPr="000717E1" w:rsidRDefault="00A979D9" w:rsidP="00510E0E">
            <w:pPr>
              <w:pStyle w:val="TableText0"/>
              <w:jc w:val="center"/>
              <w:rPr>
                <w:sz w:val="20"/>
                <w:szCs w:val="20"/>
              </w:rPr>
            </w:pPr>
            <w:r w:rsidRPr="000717E1">
              <w:rPr>
                <w:sz w:val="20"/>
                <w:szCs w:val="20"/>
              </w:rPr>
              <w:t>187 (48.6)</w:t>
            </w:r>
          </w:p>
        </w:tc>
        <w:tc>
          <w:tcPr>
            <w:tcW w:w="1091" w:type="dxa"/>
          </w:tcPr>
          <w:p w14:paraId="2E932EDF" w14:textId="77777777" w:rsidR="00A979D9" w:rsidRPr="000717E1" w:rsidRDefault="00A979D9" w:rsidP="00510E0E">
            <w:pPr>
              <w:pStyle w:val="TableText0"/>
              <w:jc w:val="center"/>
              <w:rPr>
                <w:sz w:val="20"/>
                <w:szCs w:val="20"/>
              </w:rPr>
            </w:pPr>
            <w:r w:rsidRPr="000717E1">
              <w:rPr>
                <w:sz w:val="20"/>
                <w:szCs w:val="20"/>
              </w:rPr>
              <w:t>127 (53.6)</w:t>
            </w:r>
          </w:p>
        </w:tc>
        <w:tc>
          <w:tcPr>
            <w:tcW w:w="1092" w:type="dxa"/>
          </w:tcPr>
          <w:p w14:paraId="5F79DB9B" w14:textId="77777777" w:rsidR="00A979D9" w:rsidRPr="000717E1" w:rsidRDefault="00A979D9" w:rsidP="00510E0E">
            <w:pPr>
              <w:pStyle w:val="TableText0"/>
              <w:jc w:val="center"/>
              <w:rPr>
                <w:sz w:val="20"/>
                <w:szCs w:val="20"/>
              </w:rPr>
            </w:pPr>
            <w:r w:rsidRPr="000717E1">
              <w:rPr>
                <w:sz w:val="20"/>
                <w:szCs w:val="20"/>
              </w:rPr>
              <w:t>150 (47.9)</w:t>
            </w:r>
          </w:p>
        </w:tc>
        <w:tc>
          <w:tcPr>
            <w:tcW w:w="1091" w:type="dxa"/>
          </w:tcPr>
          <w:p w14:paraId="60EAA4CB" w14:textId="77777777" w:rsidR="00A979D9" w:rsidRPr="000717E1" w:rsidRDefault="00A979D9" w:rsidP="00510E0E">
            <w:pPr>
              <w:pStyle w:val="TableText0"/>
              <w:jc w:val="center"/>
              <w:rPr>
                <w:sz w:val="20"/>
                <w:szCs w:val="20"/>
              </w:rPr>
            </w:pPr>
            <w:r w:rsidRPr="000717E1">
              <w:rPr>
                <w:sz w:val="20"/>
                <w:szCs w:val="20"/>
              </w:rPr>
              <w:t>259 (51.3)</w:t>
            </w:r>
          </w:p>
        </w:tc>
        <w:tc>
          <w:tcPr>
            <w:tcW w:w="1092" w:type="dxa"/>
          </w:tcPr>
          <w:p w14:paraId="24C0F7A2" w14:textId="77777777" w:rsidR="00A979D9" w:rsidRPr="000717E1" w:rsidRDefault="00A979D9" w:rsidP="00510E0E">
            <w:pPr>
              <w:pStyle w:val="TableText0"/>
              <w:jc w:val="center"/>
              <w:rPr>
                <w:sz w:val="20"/>
                <w:szCs w:val="20"/>
              </w:rPr>
            </w:pPr>
            <w:r w:rsidRPr="000717E1">
              <w:rPr>
                <w:sz w:val="20"/>
                <w:szCs w:val="20"/>
              </w:rPr>
              <w:t>337 (48.3)</w:t>
            </w:r>
          </w:p>
        </w:tc>
      </w:tr>
    </w:tbl>
    <w:p w14:paraId="1318FFCE" w14:textId="77777777" w:rsidR="00A979D9" w:rsidRPr="000717E1" w:rsidRDefault="00A979D9" w:rsidP="005B63F4">
      <w:pPr>
        <w:pStyle w:val="TableFigureFooter"/>
      </w:pPr>
      <w:r w:rsidRPr="000717E1">
        <w:t>Source: Table 24 p72 BOREAS CSR; Table 23 p73 NOTUS CSR; Table 16 2.7.3 p78 Summary of Clinical Efficacy (COPD).</w:t>
      </w:r>
    </w:p>
    <w:p w14:paraId="411A4CD7" w14:textId="77777777" w:rsidR="00A979D9" w:rsidRPr="000717E1" w:rsidRDefault="00A979D9" w:rsidP="005B63F4">
      <w:pPr>
        <w:pStyle w:val="TableFigureFooter"/>
      </w:pPr>
      <w:r w:rsidRPr="000717E1">
        <w:t>COPD = chronic obstructive pulmonary disease; ITT = intention to treat; n = number of patients with event; N = total patients in group; SCS = systemic corticosteroids.</w:t>
      </w:r>
    </w:p>
    <w:p w14:paraId="2902A721" w14:textId="77777777" w:rsidR="00A979D9" w:rsidRPr="000717E1" w:rsidRDefault="00A979D9" w:rsidP="005B63F4">
      <w:pPr>
        <w:pStyle w:val="TableFigureFooter"/>
      </w:pPr>
      <w:r w:rsidRPr="000717E1">
        <w:t>Percentages are calculated using the number of events as the denominator.</w:t>
      </w:r>
    </w:p>
    <w:p w14:paraId="3A3CE9B7" w14:textId="4D89EEF0" w:rsidR="003541F7" w:rsidRPr="000717E1" w:rsidRDefault="00A979D9" w:rsidP="0021156D">
      <w:pPr>
        <w:pStyle w:val="3-BodyText"/>
      </w:pPr>
      <w:r w:rsidRPr="000717E1">
        <w:t>Dupilumab treatment delayed the time to first moderate or severe COPD exacerbation event compared to placebo in BOREAS (hazard ratio</w:t>
      </w:r>
      <w:r w:rsidR="00365B19">
        <w:t xml:space="preserve"> [HR]</w:t>
      </w:r>
      <w:r w:rsidRPr="000717E1">
        <w:t>: 0.803</w:t>
      </w:r>
      <w:r w:rsidR="00405AD4" w:rsidRPr="000717E1">
        <w:t xml:space="preserve">, </w:t>
      </w:r>
      <w:r w:rsidRPr="000717E1">
        <w:t>95%</w:t>
      </w:r>
      <w:r w:rsidR="009C66D3" w:rsidRPr="000717E1">
        <w:t xml:space="preserve"> confidence interval</w:t>
      </w:r>
      <w:r w:rsidRPr="000717E1">
        <w:t xml:space="preserve"> </w:t>
      </w:r>
      <w:r w:rsidR="009C66D3" w:rsidRPr="000717E1">
        <w:t>[</w:t>
      </w:r>
      <w:r w:rsidRPr="000717E1">
        <w:t>CI</w:t>
      </w:r>
      <w:r w:rsidR="009C66D3" w:rsidRPr="000717E1">
        <w:t>]</w:t>
      </w:r>
      <w:r w:rsidRPr="000717E1">
        <w:t>: 0.658 to 0.980; p=0.0309) and NOTUS (</w:t>
      </w:r>
      <w:r w:rsidR="008A63A6" w:rsidRPr="000717E1">
        <w:t>HR</w:t>
      </w:r>
      <w:r w:rsidRPr="000717E1">
        <w:t>: 0.714</w:t>
      </w:r>
      <w:r w:rsidR="00405AD4" w:rsidRPr="000717E1">
        <w:t xml:space="preserve">, </w:t>
      </w:r>
      <w:r w:rsidRPr="000717E1">
        <w:t xml:space="preserve">95% CI: 0.574 to 0.887; p=0.0024). </w:t>
      </w:r>
    </w:p>
    <w:p w14:paraId="51E125D5" w14:textId="77777777" w:rsidR="00A979D9" w:rsidRPr="000717E1" w:rsidRDefault="00A979D9" w:rsidP="00A979D9">
      <w:pPr>
        <w:pStyle w:val="3-BodyText"/>
        <w:numPr>
          <w:ilvl w:val="0"/>
          <w:numId w:val="0"/>
        </w:numPr>
        <w:rPr>
          <w:u w:val="single"/>
        </w:rPr>
      </w:pPr>
      <w:r w:rsidRPr="000717E1">
        <w:rPr>
          <w:u w:val="single"/>
        </w:rPr>
        <w:t>Change from baseline in pre-BD FEV</w:t>
      </w:r>
      <w:r w:rsidRPr="000717E1">
        <w:rPr>
          <w:u w:val="single"/>
          <w:vertAlign w:val="subscript"/>
        </w:rPr>
        <w:t>1</w:t>
      </w:r>
      <w:r w:rsidRPr="000717E1">
        <w:rPr>
          <w:u w:val="single"/>
        </w:rPr>
        <w:t xml:space="preserve"> at Week 12</w:t>
      </w:r>
    </w:p>
    <w:p w14:paraId="45752EE0" w14:textId="3DDA763C" w:rsidR="00A979D9" w:rsidRPr="000717E1" w:rsidRDefault="00A979D9" w:rsidP="00A979D9">
      <w:pPr>
        <w:pStyle w:val="3-BodyText"/>
      </w:pPr>
      <w:r w:rsidRPr="000717E1">
        <w:t>Dupilumab led to a statistically significant improvement in pre-BD FEV</w:t>
      </w:r>
      <w:r w:rsidRPr="000717E1">
        <w:rPr>
          <w:vertAlign w:val="subscript"/>
        </w:rPr>
        <w:t>1</w:t>
      </w:r>
      <w:r w:rsidRPr="000717E1">
        <w:t xml:space="preserve"> at Week 12 (</w:t>
      </w:r>
      <w:r w:rsidR="00B01162" w:rsidRPr="000717E1">
        <w:t xml:space="preserve">least squares </w:t>
      </w:r>
      <w:r w:rsidR="00BD0FEE" w:rsidRPr="000717E1">
        <w:t xml:space="preserve">[LS] mean difference: </w:t>
      </w:r>
      <w:r w:rsidRPr="000717E1">
        <w:t xml:space="preserve">0.083 </w:t>
      </w:r>
      <w:r w:rsidR="006E5BB8" w:rsidRPr="000717E1">
        <w:t>lit</w:t>
      </w:r>
      <w:r w:rsidR="00362FBE" w:rsidRPr="000717E1">
        <w:t>re</w:t>
      </w:r>
      <w:r w:rsidR="006E5BB8" w:rsidRPr="000717E1">
        <w:t>s [</w:t>
      </w:r>
      <w:r w:rsidRPr="000717E1">
        <w:t>L</w:t>
      </w:r>
      <w:r w:rsidR="006E5BB8" w:rsidRPr="000717E1">
        <w:t>]</w:t>
      </w:r>
      <w:r w:rsidR="00F33702" w:rsidRPr="000717E1">
        <w:t>,</w:t>
      </w:r>
      <w:r w:rsidRPr="000717E1">
        <w:t xml:space="preserve"> p&lt;0.0001, Pooled</w:t>
      </w:r>
      <w:r w:rsidR="00E041E0" w:rsidRPr="000717E1">
        <w:t xml:space="preserve">; </w:t>
      </w:r>
      <w:r w:rsidRPr="000717E1">
        <w:t xml:space="preserve"> </w:t>
      </w:r>
      <w:r w:rsidRPr="000717E1">
        <w:fldChar w:fldCharType="begin"/>
      </w:r>
      <w:r w:rsidRPr="000717E1">
        <w:instrText xml:space="preserve"> REF _Ref216028697 \h </w:instrText>
      </w:r>
      <w:r w:rsidR="0021156D" w:rsidRPr="000717E1">
        <w:instrText xml:space="preserve"> \* MERGEFORMAT </w:instrText>
      </w:r>
      <w:r w:rsidRPr="000717E1">
        <w:fldChar w:fldCharType="separate"/>
      </w:r>
      <w:r w:rsidR="00281F45" w:rsidRPr="000717E1">
        <w:t xml:space="preserve">Table </w:t>
      </w:r>
      <w:r w:rsidR="00281F45">
        <w:rPr>
          <w:noProof/>
        </w:rPr>
        <w:t>6</w:t>
      </w:r>
      <w:r w:rsidRPr="000717E1">
        <w:fldChar w:fldCharType="end"/>
      </w:r>
      <w:r w:rsidR="00E041E0" w:rsidRPr="000717E1">
        <w:t>)</w:t>
      </w:r>
      <w:r w:rsidRPr="000717E1">
        <w:t>. Subgroup analyses demonstrated a greater treatment benefit for dupilumab versus placebo in patients with higher levels of eosinophils (≥ 500 cells/µL during screening</w:t>
      </w:r>
      <w:r w:rsidR="00AC7EE6" w:rsidRPr="000717E1">
        <w:t>)</w:t>
      </w:r>
      <w:r w:rsidRPr="000717E1">
        <w:t>, noting that the trial was not powered to assess this. While these results were statistically significant, it was not clear whether the improvements in pre-BD FEV</w:t>
      </w:r>
      <w:r w:rsidRPr="000717E1">
        <w:rPr>
          <w:vertAlign w:val="subscript"/>
        </w:rPr>
        <w:t>1</w:t>
      </w:r>
      <w:r w:rsidRPr="000717E1">
        <w:t xml:space="preserve"> indicated a clinically meaningful improvement in overall lung function or COPD management. At Week 52, the reduction in pre-BD FEV</w:t>
      </w:r>
      <w:r w:rsidRPr="000717E1">
        <w:rPr>
          <w:vertAlign w:val="subscript"/>
        </w:rPr>
        <w:t>1</w:t>
      </w:r>
      <w:r w:rsidRPr="000717E1">
        <w:t xml:space="preserve"> was maintained (</w:t>
      </w:r>
      <w:r w:rsidR="00B32A23" w:rsidRPr="000717E1">
        <w:t xml:space="preserve">LS mean difference: </w:t>
      </w:r>
      <w:r w:rsidRPr="000717E1">
        <w:t>0.073</w:t>
      </w:r>
      <w:r w:rsidR="0001602B" w:rsidRPr="000717E1">
        <w:t xml:space="preserve"> L</w:t>
      </w:r>
      <w:r w:rsidR="00F33702" w:rsidRPr="000717E1">
        <w:t>,</w:t>
      </w:r>
      <w:r w:rsidRPr="000717E1">
        <w:t xml:space="preserve"> p&lt;0.0001, Pooled).</w:t>
      </w:r>
    </w:p>
    <w:p w14:paraId="3B9420B1" w14:textId="20BCE6DE" w:rsidR="00A979D9" w:rsidRPr="000717E1" w:rsidRDefault="00A979D9" w:rsidP="00A979D9">
      <w:pPr>
        <w:pStyle w:val="Caption"/>
      </w:pPr>
      <w:bookmarkStart w:id="44" w:name="_Ref216028697"/>
      <w:r w:rsidRPr="000717E1">
        <w:lastRenderedPageBreak/>
        <w:t xml:space="preserve">Table </w:t>
      </w:r>
      <w:fldSimple w:instr=" SEQ Table \* ARABIC ">
        <w:r w:rsidR="00281F45">
          <w:rPr>
            <w:noProof/>
          </w:rPr>
          <w:t>6</w:t>
        </w:r>
      </w:fldSimple>
      <w:bookmarkEnd w:id="44"/>
      <w:r w:rsidRPr="000717E1">
        <w:t>: Change from baseline in pre-bronchodilator FEV</w:t>
      </w:r>
      <w:r w:rsidRPr="000717E1">
        <w:rPr>
          <w:vertAlign w:val="subscript"/>
        </w:rPr>
        <w:t>1</w:t>
      </w:r>
      <w:r w:rsidRPr="000717E1">
        <w:t xml:space="preserve"> (L) at Week 12 - ITT population</w:t>
      </w:r>
    </w:p>
    <w:tbl>
      <w:tblPr>
        <w:tblW w:w="5000" w:type="pct"/>
        <w:tblLook w:val="04A0" w:firstRow="1" w:lastRow="0" w:firstColumn="1" w:lastColumn="0" w:noHBand="0" w:noVBand="1"/>
        <w:tblCaption w:val="Table 6: Change from baseline in pre-bronchodilator FEV1 (L) at Week 12 - ITT population"/>
      </w:tblPr>
      <w:tblGrid>
        <w:gridCol w:w="1555"/>
        <w:gridCol w:w="1242"/>
        <w:gridCol w:w="1243"/>
        <w:gridCol w:w="1242"/>
        <w:gridCol w:w="1243"/>
        <w:gridCol w:w="1242"/>
        <w:gridCol w:w="1243"/>
      </w:tblGrid>
      <w:tr w:rsidR="00A803ED" w:rsidRPr="000717E1" w14:paraId="50692575" w14:textId="77777777">
        <w:trPr>
          <w:trHeight w:val="20"/>
          <w:tblHeader/>
        </w:trPr>
        <w:tc>
          <w:tcPr>
            <w:tcW w:w="863" w:type="pct"/>
            <w:tcBorders>
              <w:top w:val="single" w:sz="4" w:space="0" w:color="auto"/>
              <w:left w:val="single" w:sz="4" w:space="0" w:color="auto"/>
              <w:right w:val="single" w:sz="4" w:space="0" w:color="auto"/>
            </w:tcBorders>
          </w:tcPr>
          <w:p w14:paraId="3CB6ED8F" w14:textId="77777777" w:rsidR="00A979D9" w:rsidRPr="000717E1" w:rsidRDefault="00A979D9">
            <w:pPr>
              <w:pStyle w:val="TableText0"/>
              <w:rPr>
                <w:sz w:val="20"/>
                <w:szCs w:val="20"/>
              </w:rPr>
            </w:pPr>
          </w:p>
        </w:tc>
        <w:tc>
          <w:tcPr>
            <w:tcW w:w="1379" w:type="pct"/>
            <w:gridSpan w:val="2"/>
            <w:tcBorders>
              <w:top w:val="single" w:sz="4" w:space="0" w:color="auto"/>
              <w:left w:val="single" w:sz="4" w:space="0" w:color="auto"/>
              <w:bottom w:val="single" w:sz="4" w:space="0" w:color="auto"/>
              <w:right w:val="single" w:sz="4" w:space="0" w:color="auto"/>
            </w:tcBorders>
          </w:tcPr>
          <w:p w14:paraId="50C456D2" w14:textId="77777777" w:rsidR="00A979D9" w:rsidRPr="001F3F0F" w:rsidRDefault="00A979D9">
            <w:pPr>
              <w:pStyle w:val="TableText0"/>
              <w:jc w:val="center"/>
              <w:rPr>
                <w:b/>
                <w:bCs/>
                <w:sz w:val="20"/>
                <w:szCs w:val="20"/>
              </w:rPr>
            </w:pPr>
            <w:r w:rsidRPr="000717E1">
              <w:rPr>
                <w:b/>
                <w:sz w:val="20"/>
                <w:szCs w:val="20"/>
              </w:rPr>
              <w:t>BOREAS</w:t>
            </w:r>
          </w:p>
          <w:p w14:paraId="1743A842" w14:textId="77777777" w:rsidR="00A979D9" w:rsidRPr="000717E1" w:rsidRDefault="00A979D9">
            <w:pPr>
              <w:pStyle w:val="TableText0"/>
              <w:jc w:val="center"/>
              <w:rPr>
                <w:b/>
                <w:bCs/>
                <w:sz w:val="20"/>
                <w:szCs w:val="20"/>
              </w:rPr>
            </w:pPr>
            <w:r w:rsidRPr="000717E1">
              <w:rPr>
                <w:b/>
                <w:sz w:val="20"/>
                <w:szCs w:val="20"/>
              </w:rPr>
              <w:t>(data cut-off 8 Feb 2023)</w:t>
            </w:r>
          </w:p>
        </w:tc>
        <w:tc>
          <w:tcPr>
            <w:tcW w:w="1379" w:type="pct"/>
            <w:gridSpan w:val="2"/>
            <w:tcBorders>
              <w:top w:val="single" w:sz="4" w:space="0" w:color="auto"/>
              <w:left w:val="nil"/>
              <w:bottom w:val="single" w:sz="4" w:space="0" w:color="auto"/>
              <w:right w:val="single" w:sz="4" w:space="0" w:color="auto"/>
            </w:tcBorders>
          </w:tcPr>
          <w:p w14:paraId="199AAA05" w14:textId="77777777" w:rsidR="00A979D9" w:rsidRPr="001F3F0F" w:rsidRDefault="00A979D9">
            <w:pPr>
              <w:pStyle w:val="TableText0"/>
              <w:jc w:val="center"/>
              <w:rPr>
                <w:b/>
                <w:bCs/>
                <w:sz w:val="20"/>
                <w:szCs w:val="20"/>
              </w:rPr>
            </w:pPr>
            <w:r w:rsidRPr="000717E1">
              <w:rPr>
                <w:b/>
                <w:sz w:val="20"/>
                <w:szCs w:val="20"/>
              </w:rPr>
              <w:t>NOTUS</w:t>
            </w:r>
          </w:p>
          <w:p w14:paraId="5D794493" w14:textId="77777777" w:rsidR="00A979D9" w:rsidRPr="000717E1" w:rsidRDefault="00A979D9">
            <w:pPr>
              <w:pStyle w:val="TableText0"/>
              <w:jc w:val="center"/>
              <w:rPr>
                <w:b/>
                <w:bCs/>
                <w:sz w:val="20"/>
                <w:szCs w:val="20"/>
              </w:rPr>
            </w:pPr>
            <w:r w:rsidRPr="000717E1">
              <w:rPr>
                <w:b/>
                <w:sz w:val="20"/>
                <w:szCs w:val="20"/>
              </w:rPr>
              <w:t>(data cut-off 29 Sept 2023)</w:t>
            </w:r>
          </w:p>
        </w:tc>
        <w:tc>
          <w:tcPr>
            <w:tcW w:w="1379" w:type="pct"/>
            <w:gridSpan w:val="2"/>
            <w:tcBorders>
              <w:top w:val="single" w:sz="4" w:space="0" w:color="auto"/>
              <w:left w:val="nil"/>
              <w:bottom w:val="single" w:sz="4" w:space="0" w:color="auto"/>
              <w:right w:val="single" w:sz="4" w:space="0" w:color="auto"/>
            </w:tcBorders>
          </w:tcPr>
          <w:p w14:paraId="1048B58A" w14:textId="77777777" w:rsidR="00A979D9" w:rsidRPr="000717E1" w:rsidRDefault="00A979D9">
            <w:pPr>
              <w:pStyle w:val="TableText0"/>
              <w:jc w:val="center"/>
              <w:rPr>
                <w:b/>
                <w:bCs/>
                <w:sz w:val="20"/>
                <w:szCs w:val="20"/>
              </w:rPr>
            </w:pPr>
            <w:r w:rsidRPr="000717E1">
              <w:rPr>
                <w:b/>
                <w:sz w:val="20"/>
                <w:szCs w:val="20"/>
              </w:rPr>
              <w:t>ITT POOLED</w:t>
            </w:r>
          </w:p>
        </w:tc>
      </w:tr>
      <w:tr w:rsidR="00342349" w:rsidRPr="000717E1" w14:paraId="242D4F8B" w14:textId="77777777">
        <w:trPr>
          <w:trHeight w:val="469"/>
          <w:tblHeader/>
        </w:trPr>
        <w:tc>
          <w:tcPr>
            <w:tcW w:w="863" w:type="pct"/>
            <w:tcBorders>
              <w:left w:val="single" w:sz="4" w:space="0" w:color="auto"/>
              <w:right w:val="single" w:sz="4" w:space="0" w:color="auto"/>
            </w:tcBorders>
            <w:hideMark/>
          </w:tcPr>
          <w:p w14:paraId="6CCEC76D" w14:textId="77777777" w:rsidR="00A979D9" w:rsidRPr="000717E1" w:rsidRDefault="00A979D9">
            <w:pPr>
              <w:pStyle w:val="TableText0"/>
              <w:rPr>
                <w:sz w:val="20"/>
                <w:szCs w:val="20"/>
              </w:rPr>
            </w:pPr>
          </w:p>
        </w:tc>
        <w:tc>
          <w:tcPr>
            <w:tcW w:w="689" w:type="pct"/>
            <w:tcBorders>
              <w:top w:val="single" w:sz="4" w:space="0" w:color="auto"/>
              <w:left w:val="single" w:sz="4" w:space="0" w:color="auto"/>
              <w:right w:val="single" w:sz="4" w:space="0" w:color="auto"/>
            </w:tcBorders>
            <w:hideMark/>
          </w:tcPr>
          <w:p w14:paraId="53C59D34" w14:textId="77777777" w:rsidR="00A979D9" w:rsidRPr="000717E1" w:rsidRDefault="00A979D9">
            <w:pPr>
              <w:pStyle w:val="TableText0"/>
              <w:jc w:val="center"/>
              <w:rPr>
                <w:sz w:val="20"/>
                <w:szCs w:val="20"/>
              </w:rPr>
            </w:pPr>
            <w:r w:rsidRPr="000717E1">
              <w:rPr>
                <w:sz w:val="20"/>
                <w:szCs w:val="20"/>
              </w:rPr>
              <w:t>Dupilumab</w:t>
            </w:r>
          </w:p>
          <w:p w14:paraId="5F2CB06D" w14:textId="77777777" w:rsidR="00A979D9" w:rsidRPr="000717E1" w:rsidRDefault="00A979D9">
            <w:pPr>
              <w:pStyle w:val="TableText0"/>
              <w:jc w:val="center"/>
              <w:rPr>
                <w:sz w:val="20"/>
                <w:szCs w:val="20"/>
              </w:rPr>
            </w:pPr>
            <w:r w:rsidRPr="000717E1">
              <w:rPr>
                <w:sz w:val="20"/>
                <w:szCs w:val="20"/>
              </w:rPr>
              <w:t>N=468</w:t>
            </w:r>
          </w:p>
        </w:tc>
        <w:tc>
          <w:tcPr>
            <w:tcW w:w="690" w:type="pct"/>
            <w:tcBorders>
              <w:top w:val="single" w:sz="4" w:space="0" w:color="auto"/>
              <w:left w:val="nil"/>
              <w:right w:val="single" w:sz="4" w:space="0" w:color="auto"/>
            </w:tcBorders>
            <w:hideMark/>
          </w:tcPr>
          <w:p w14:paraId="50792BF3" w14:textId="77777777" w:rsidR="00A979D9" w:rsidRPr="000717E1" w:rsidRDefault="00A979D9">
            <w:pPr>
              <w:pStyle w:val="TableText0"/>
              <w:jc w:val="center"/>
              <w:rPr>
                <w:sz w:val="20"/>
                <w:szCs w:val="20"/>
              </w:rPr>
            </w:pPr>
            <w:r w:rsidRPr="000717E1">
              <w:rPr>
                <w:sz w:val="20"/>
                <w:szCs w:val="20"/>
              </w:rPr>
              <w:t>Placebo</w:t>
            </w:r>
          </w:p>
          <w:p w14:paraId="5397E7C3" w14:textId="77777777" w:rsidR="00A979D9" w:rsidRPr="000717E1" w:rsidRDefault="00A979D9">
            <w:pPr>
              <w:pStyle w:val="TableText0"/>
              <w:jc w:val="center"/>
              <w:rPr>
                <w:sz w:val="20"/>
                <w:szCs w:val="20"/>
              </w:rPr>
            </w:pPr>
            <w:r w:rsidRPr="000717E1">
              <w:rPr>
                <w:sz w:val="20"/>
                <w:szCs w:val="20"/>
              </w:rPr>
              <w:t>N=471</w:t>
            </w:r>
          </w:p>
        </w:tc>
        <w:tc>
          <w:tcPr>
            <w:tcW w:w="689" w:type="pct"/>
            <w:tcBorders>
              <w:top w:val="single" w:sz="4" w:space="0" w:color="auto"/>
              <w:left w:val="nil"/>
              <w:right w:val="nil"/>
            </w:tcBorders>
            <w:hideMark/>
          </w:tcPr>
          <w:p w14:paraId="05A2FF8E" w14:textId="77777777" w:rsidR="00A979D9" w:rsidRPr="000717E1" w:rsidRDefault="00A979D9">
            <w:pPr>
              <w:pStyle w:val="TableText0"/>
              <w:jc w:val="center"/>
              <w:rPr>
                <w:sz w:val="20"/>
                <w:szCs w:val="20"/>
              </w:rPr>
            </w:pPr>
            <w:r w:rsidRPr="000717E1">
              <w:rPr>
                <w:sz w:val="20"/>
                <w:szCs w:val="20"/>
              </w:rPr>
              <w:t>Dupilumab</w:t>
            </w:r>
          </w:p>
          <w:p w14:paraId="5932AAA6" w14:textId="77777777" w:rsidR="00A979D9" w:rsidRPr="000717E1" w:rsidRDefault="00A979D9">
            <w:pPr>
              <w:pStyle w:val="TableText0"/>
              <w:jc w:val="center"/>
              <w:rPr>
                <w:sz w:val="20"/>
                <w:szCs w:val="20"/>
              </w:rPr>
            </w:pPr>
            <w:r w:rsidRPr="000717E1">
              <w:rPr>
                <w:sz w:val="20"/>
                <w:szCs w:val="20"/>
              </w:rPr>
              <w:t>N=470</w:t>
            </w:r>
          </w:p>
        </w:tc>
        <w:tc>
          <w:tcPr>
            <w:tcW w:w="690" w:type="pct"/>
            <w:tcBorders>
              <w:top w:val="single" w:sz="4" w:space="0" w:color="auto"/>
              <w:left w:val="single" w:sz="4" w:space="0" w:color="auto"/>
              <w:right w:val="single" w:sz="4" w:space="0" w:color="auto"/>
            </w:tcBorders>
            <w:hideMark/>
          </w:tcPr>
          <w:p w14:paraId="07C987C3" w14:textId="77777777" w:rsidR="00A979D9" w:rsidRPr="000717E1" w:rsidRDefault="00A979D9">
            <w:pPr>
              <w:pStyle w:val="TableText0"/>
              <w:jc w:val="center"/>
              <w:rPr>
                <w:sz w:val="20"/>
                <w:szCs w:val="20"/>
              </w:rPr>
            </w:pPr>
            <w:r w:rsidRPr="000717E1">
              <w:rPr>
                <w:sz w:val="20"/>
                <w:szCs w:val="20"/>
              </w:rPr>
              <w:t>Placebo</w:t>
            </w:r>
          </w:p>
          <w:p w14:paraId="5969F511" w14:textId="77777777" w:rsidR="00A979D9" w:rsidRPr="000717E1" w:rsidRDefault="00A979D9">
            <w:pPr>
              <w:pStyle w:val="TableText0"/>
              <w:jc w:val="center"/>
              <w:rPr>
                <w:sz w:val="20"/>
                <w:szCs w:val="20"/>
              </w:rPr>
            </w:pPr>
            <w:r w:rsidRPr="000717E1">
              <w:rPr>
                <w:sz w:val="20"/>
                <w:szCs w:val="20"/>
              </w:rPr>
              <w:t>N=465</w:t>
            </w:r>
          </w:p>
        </w:tc>
        <w:tc>
          <w:tcPr>
            <w:tcW w:w="689" w:type="pct"/>
            <w:tcBorders>
              <w:top w:val="single" w:sz="4" w:space="0" w:color="auto"/>
              <w:left w:val="nil"/>
              <w:right w:val="single" w:sz="4" w:space="0" w:color="auto"/>
            </w:tcBorders>
            <w:hideMark/>
          </w:tcPr>
          <w:p w14:paraId="50EB73FA" w14:textId="77777777" w:rsidR="00A979D9" w:rsidRPr="000717E1" w:rsidRDefault="00A979D9">
            <w:pPr>
              <w:pStyle w:val="TableText0"/>
              <w:jc w:val="center"/>
              <w:rPr>
                <w:sz w:val="20"/>
                <w:szCs w:val="20"/>
              </w:rPr>
            </w:pPr>
            <w:r w:rsidRPr="000717E1">
              <w:rPr>
                <w:sz w:val="20"/>
                <w:szCs w:val="20"/>
              </w:rPr>
              <w:t>Dupilumab</w:t>
            </w:r>
          </w:p>
          <w:p w14:paraId="73CD1FC0" w14:textId="77777777" w:rsidR="00A979D9" w:rsidRPr="000717E1" w:rsidRDefault="00A979D9">
            <w:pPr>
              <w:pStyle w:val="TableText0"/>
              <w:jc w:val="center"/>
              <w:rPr>
                <w:sz w:val="20"/>
                <w:szCs w:val="20"/>
              </w:rPr>
            </w:pPr>
            <w:r w:rsidRPr="000717E1">
              <w:rPr>
                <w:sz w:val="20"/>
                <w:szCs w:val="20"/>
              </w:rPr>
              <w:t>N=938</w:t>
            </w:r>
          </w:p>
        </w:tc>
        <w:tc>
          <w:tcPr>
            <w:tcW w:w="690" w:type="pct"/>
            <w:tcBorders>
              <w:top w:val="single" w:sz="4" w:space="0" w:color="auto"/>
              <w:left w:val="nil"/>
              <w:right w:val="single" w:sz="4" w:space="0" w:color="auto"/>
            </w:tcBorders>
            <w:hideMark/>
          </w:tcPr>
          <w:p w14:paraId="1F47F21A" w14:textId="77777777" w:rsidR="00A979D9" w:rsidRPr="000717E1" w:rsidRDefault="00A979D9">
            <w:pPr>
              <w:pStyle w:val="TableText0"/>
              <w:jc w:val="center"/>
              <w:rPr>
                <w:sz w:val="20"/>
                <w:szCs w:val="20"/>
              </w:rPr>
            </w:pPr>
            <w:r w:rsidRPr="000717E1">
              <w:rPr>
                <w:sz w:val="20"/>
                <w:szCs w:val="20"/>
              </w:rPr>
              <w:t>Placebo</w:t>
            </w:r>
          </w:p>
          <w:p w14:paraId="261F91E9" w14:textId="77777777" w:rsidR="00A979D9" w:rsidRPr="000717E1" w:rsidRDefault="00A979D9">
            <w:pPr>
              <w:pStyle w:val="TableText0"/>
              <w:jc w:val="center"/>
              <w:rPr>
                <w:sz w:val="20"/>
                <w:szCs w:val="20"/>
              </w:rPr>
            </w:pPr>
            <w:r w:rsidRPr="000717E1">
              <w:rPr>
                <w:sz w:val="20"/>
                <w:szCs w:val="20"/>
              </w:rPr>
              <w:t>N=936</w:t>
            </w:r>
          </w:p>
        </w:tc>
      </w:tr>
      <w:tr w:rsidR="00342349" w:rsidRPr="000717E1" w14:paraId="621920FE" w14:textId="77777777">
        <w:trPr>
          <w:trHeight w:val="20"/>
        </w:trPr>
        <w:tc>
          <w:tcPr>
            <w:tcW w:w="863" w:type="pct"/>
            <w:tcBorders>
              <w:top w:val="single" w:sz="4" w:space="0" w:color="auto"/>
              <w:left w:val="single" w:sz="4" w:space="0" w:color="auto"/>
              <w:bottom w:val="single" w:sz="4" w:space="0" w:color="auto"/>
              <w:right w:val="single" w:sz="4" w:space="0" w:color="auto"/>
            </w:tcBorders>
            <w:hideMark/>
          </w:tcPr>
          <w:p w14:paraId="79514E4D" w14:textId="77777777" w:rsidR="00A979D9" w:rsidRPr="000717E1" w:rsidRDefault="00A979D9">
            <w:pPr>
              <w:pStyle w:val="TableText0"/>
              <w:rPr>
                <w:sz w:val="20"/>
                <w:szCs w:val="20"/>
              </w:rPr>
            </w:pPr>
            <w:r w:rsidRPr="000717E1">
              <w:rPr>
                <w:sz w:val="20"/>
                <w:szCs w:val="20"/>
              </w:rPr>
              <w:t>Baseline pre-BD FEV</w:t>
            </w:r>
            <w:r w:rsidRPr="000717E1">
              <w:rPr>
                <w:sz w:val="20"/>
                <w:szCs w:val="20"/>
                <w:vertAlign w:val="subscript"/>
              </w:rPr>
              <w:t xml:space="preserve">1 </w:t>
            </w:r>
            <w:r w:rsidRPr="000717E1">
              <w:rPr>
                <w:sz w:val="20"/>
                <w:szCs w:val="20"/>
              </w:rPr>
              <w:t>(L),</w:t>
            </w:r>
            <w:r w:rsidRPr="000717E1">
              <w:rPr>
                <w:sz w:val="20"/>
                <w:szCs w:val="20"/>
                <w:vertAlign w:val="subscript"/>
              </w:rPr>
              <w:t xml:space="preserve"> </w:t>
            </w:r>
            <w:r w:rsidRPr="000717E1">
              <w:rPr>
                <w:sz w:val="20"/>
                <w:szCs w:val="20"/>
              </w:rPr>
              <w:t>mean (SD)</w:t>
            </w:r>
          </w:p>
        </w:tc>
        <w:tc>
          <w:tcPr>
            <w:tcW w:w="689" w:type="pct"/>
            <w:tcBorders>
              <w:top w:val="single" w:sz="4" w:space="0" w:color="auto"/>
              <w:left w:val="nil"/>
              <w:bottom w:val="single" w:sz="4" w:space="0" w:color="auto"/>
              <w:right w:val="single" w:sz="4" w:space="0" w:color="auto"/>
            </w:tcBorders>
            <w:hideMark/>
          </w:tcPr>
          <w:p w14:paraId="3F35D2C3" w14:textId="77777777" w:rsidR="00A979D9" w:rsidRPr="000717E1" w:rsidRDefault="00A979D9">
            <w:pPr>
              <w:pStyle w:val="TableText0"/>
              <w:jc w:val="center"/>
              <w:rPr>
                <w:sz w:val="20"/>
                <w:szCs w:val="20"/>
              </w:rPr>
            </w:pPr>
            <w:r w:rsidRPr="000717E1">
              <w:rPr>
                <w:sz w:val="20"/>
                <w:szCs w:val="20"/>
              </w:rPr>
              <w:t>1.28 (0.45)</w:t>
            </w:r>
          </w:p>
        </w:tc>
        <w:tc>
          <w:tcPr>
            <w:tcW w:w="690" w:type="pct"/>
            <w:tcBorders>
              <w:top w:val="single" w:sz="4" w:space="0" w:color="auto"/>
              <w:left w:val="nil"/>
              <w:bottom w:val="single" w:sz="4" w:space="0" w:color="auto"/>
              <w:right w:val="single" w:sz="4" w:space="0" w:color="auto"/>
            </w:tcBorders>
            <w:hideMark/>
          </w:tcPr>
          <w:p w14:paraId="0EE3672C" w14:textId="77777777" w:rsidR="00A979D9" w:rsidRPr="000717E1" w:rsidRDefault="00A979D9">
            <w:pPr>
              <w:pStyle w:val="TableText0"/>
              <w:jc w:val="center"/>
              <w:rPr>
                <w:sz w:val="20"/>
                <w:szCs w:val="20"/>
              </w:rPr>
            </w:pPr>
            <w:r w:rsidRPr="000717E1">
              <w:rPr>
                <w:sz w:val="20"/>
                <w:szCs w:val="20"/>
              </w:rPr>
              <w:t>1.32 (0.46)</w:t>
            </w:r>
          </w:p>
        </w:tc>
        <w:tc>
          <w:tcPr>
            <w:tcW w:w="689" w:type="pct"/>
            <w:tcBorders>
              <w:top w:val="single" w:sz="4" w:space="0" w:color="auto"/>
              <w:left w:val="nil"/>
              <w:bottom w:val="single" w:sz="4" w:space="0" w:color="auto"/>
              <w:right w:val="single" w:sz="4" w:space="0" w:color="auto"/>
            </w:tcBorders>
            <w:hideMark/>
          </w:tcPr>
          <w:p w14:paraId="44F9BEC7" w14:textId="77777777" w:rsidR="00A979D9" w:rsidRPr="000717E1" w:rsidRDefault="00A979D9">
            <w:pPr>
              <w:pStyle w:val="TableText0"/>
              <w:jc w:val="center"/>
              <w:rPr>
                <w:sz w:val="20"/>
                <w:szCs w:val="20"/>
              </w:rPr>
            </w:pPr>
            <w:r w:rsidRPr="000717E1">
              <w:rPr>
                <w:sz w:val="20"/>
                <w:szCs w:val="20"/>
              </w:rPr>
              <w:t>1.35 (0.49)</w:t>
            </w:r>
          </w:p>
        </w:tc>
        <w:tc>
          <w:tcPr>
            <w:tcW w:w="690" w:type="pct"/>
            <w:tcBorders>
              <w:top w:val="single" w:sz="4" w:space="0" w:color="auto"/>
              <w:left w:val="nil"/>
              <w:bottom w:val="single" w:sz="4" w:space="0" w:color="auto"/>
              <w:right w:val="single" w:sz="4" w:space="0" w:color="auto"/>
            </w:tcBorders>
            <w:hideMark/>
          </w:tcPr>
          <w:p w14:paraId="3C18B02F" w14:textId="77777777" w:rsidR="00A979D9" w:rsidRPr="000717E1" w:rsidRDefault="00A979D9">
            <w:pPr>
              <w:pStyle w:val="TableText0"/>
              <w:jc w:val="center"/>
              <w:rPr>
                <w:sz w:val="20"/>
                <w:szCs w:val="20"/>
              </w:rPr>
            </w:pPr>
            <w:r w:rsidRPr="000717E1">
              <w:rPr>
                <w:sz w:val="20"/>
                <w:szCs w:val="20"/>
              </w:rPr>
              <w:t>1.38 (0.50)</w:t>
            </w:r>
          </w:p>
        </w:tc>
        <w:tc>
          <w:tcPr>
            <w:tcW w:w="689" w:type="pct"/>
            <w:tcBorders>
              <w:top w:val="single" w:sz="4" w:space="0" w:color="auto"/>
              <w:left w:val="nil"/>
              <w:bottom w:val="single" w:sz="4" w:space="0" w:color="auto"/>
              <w:right w:val="single" w:sz="4" w:space="0" w:color="auto"/>
            </w:tcBorders>
            <w:hideMark/>
          </w:tcPr>
          <w:p w14:paraId="1A2BD763" w14:textId="77777777" w:rsidR="00A979D9" w:rsidRPr="000717E1" w:rsidRDefault="00A979D9">
            <w:pPr>
              <w:pStyle w:val="TableText0"/>
              <w:jc w:val="center"/>
              <w:rPr>
                <w:sz w:val="20"/>
                <w:szCs w:val="20"/>
              </w:rPr>
            </w:pPr>
            <w:r w:rsidRPr="000717E1">
              <w:rPr>
                <w:sz w:val="20"/>
                <w:szCs w:val="20"/>
              </w:rPr>
              <w:t>1.32 (0.47)</w:t>
            </w:r>
          </w:p>
        </w:tc>
        <w:tc>
          <w:tcPr>
            <w:tcW w:w="690" w:type="pct"/>
            <w:tcBorders>
              <w:top w:val="single" w:sz="4" w:space="0" w:color="auto"/>
              <w:left w:val="nil"/>
              <w:bottom w:val="single" w:sz="4" w:space="0" w:color="auto"/>
              <w:right w:val="single" w:sz="4" w:space="0" w:color="auto"/>
            </w:tcBorders>
            <w:hideMark/>
          </w:tcPr>
          <w:p w14:paraId="1EF2C26A" w14:textId="77777777" w:rsidR="00A979D9" w:rsidRPr="000717E1" w:rsidRDefault="00A979D9">
            <w:pPr>
              <w:pStyle w:val="TableText0"/>
              <w:jc w:val="center"/>
              <w:rPr>
                <w:sz w:val="20"/>
                <w:szCs w:val="20"/>
              </w:rPr>
            </w:pPr>
            <w:r w:rsidRPr="000717E1">
              <w:rPr>
                <w:sz w:val="20"/>
                <w:szCs w:val="20"/>
              </w:rPr>
              <w:t>1.35 (0.48)</w:t>
            </w:r>
          </w:p>
        </w:tc>
      </w:tr>
      <w:tr w:rsidR="0086255B" w:rsidRPr="000717E1" w14:paraId="7DC30AE9" w14:textId="77777777">
        <w:trPr>
          <w:trHeight w:val="20"/>
        </w:trPr>
        <w:tc>
          <w:tcPr>
            <w:tcW w:w="5000" w:type="pct"/>
            <w:gridSpan w:val="7"/>
            <w:tcBorders>
              <w:top w:val="single" w:sz="4" w:space="0" w:color="auto"/>
              <w:left w:val="single" w:sz="4" w:space="0" w:color="auto"/>
              <w:bottom w:val="single" w:sz="4" w:space="0" w:color="auto"/>
              <w:right w:val="single" w:sz="4" w:space="0" w:color="auto"/>
            </w:tcBorders>
          </w:tcPr>
          <w:p w14:paraId="79138ADC" w14:textId="77777777" w:rsidR="00A979D9" w:rsidRPr="000717E1" w:rsidRDefault="00A979D9">
            <w:pPr>
              <w:pStyle w:val="TableText0"/>
              <w:rPr>
                <w:sz w:val="20"/>
                <w:szCs w:val="20"/>
              </w:rPr>
            </w:pPr>
            <w:r w:rsidRPr="000717E1">
              <w:rPr>
                <w:sz w:val="20"/>
                <w:szCs w:val="20"/>
              </w:rPr>
              <w:t>Change from baseline at Week 12</w:t>
            </w:r>
          </w:p>
        </w:tc>
      </w:tr>
      <w:tr w:rsidR="00342349" w:rsidRPr="000717E1" w14:paraId="4253B9E5" w14:textId="77777777">
        <w:trPr>
          <w:trHeight w:val="20"/>
        </w:trPr>
        <w:tc>
          <w:tcPr>
            <w:tcW w:w="863" w:type="pct"/>
            <w:tcBorders>
              <w:top w:val="single" w:sz="4" w:space="0" w:color="auto"/>
              <w:left w:val="single" w:sz="4" w:space="0" w:color="auto"/>
              <w:bottom w:val="single" w:sz="4" w:space="0" w:color="auto"/>
              <w:right w:val="single" w:sz="4" w:space="0" w:color="auto"/>
            </w:tcBorders>
            <w:hideMark/>
          </w:tcPr>
          <w:p w14:paraId="3E86898D" w14:textId="77777777" w:rsidR="00A979D9" w:rsidRPr="000717E1" w:rsidRDefault="00A979D9">
            <w:pPr>
              <w:pStyle w:val="TableText0"/>
              <w:rPr>
                <w:sz w:val="20"/>
                <w:szCs w:val="20"/>
              </w:rPr>
            </w:pPr>
            <w:r w:rsidRPr="000717E1">
              <w:rPr>
                <w:sz w:val="20"/>
                <w:szCs w:val="20"/>
              </w:rPr>
              <w:t>n</w:t>
            </w:r>
          </w:p>
        </w:tc>
        <w:tc>
          <w:tcPr>
            <w:tcW w:w="689" w:type="pct"/>
            <w:tcBorders>
              <w:top w:val="single" w:sz="4" w:space="0" w:color="auto"/>
              <w:left w:val="nil"/>
              <w:bottom w:val="single" w:sz="4" w:space="0" w:color="auto"/>
              <w:right w:val="single" w:sz="4" w:space="0" w:color="auto"/>
            </w:tcBorders>
            <w:hideMark/>
          </w:tcPr>
          <w:p w14:paraId="4A57B845" w14:textId="77777777" w:rsidR="00A979D9" w:rsidRPr="000717E1" w:rsidRDefault="00A979D9">
            <w:pPr>
              <w:pStyle w:val="TableText0"/>
              <w:jc w:val="center"/>
              <w:rPr>
                <w:sz w:val="20"/>
                <w:szCs w:val="20"/>
              </w:rPr>
            </w:pPr>
            <w:r w:rsidRPr="000717E1">
              <w:rPr>
                <w:sz w:val="20"/>
                <w:szCs w:val="20"/>
              </w:rPr>
              <w:t>449</w:t>
            </w:r>
          </w:p>
        </w:tc>
        <w:tc>
          <w:tcPr>
            <w:tcW w:w="690" w:type="pct"/>
            <w:tcBorders>
              <w:top w:val="single" w:sz="4" w:space="0" w:color="auto"/>
              <w:left w:val="nil"/>
              <w:bottom w:val="single" w:sz="4" w:space="0" w:color="auto"/>
              <w:right w:val="single" w:sz="4" w:space="0" w:color="auto"/>
            </w:tcBorders>
            <w:hideMark/>
          </w:tcPr>
          <w:p w14:paraId="224504F0" w14:textId="77777777" w:rsidR="00A979D9" w:rsidRPr="000717E1" w:rsidRDefault="00A979D9">
            <w:pPr>
              <w:pStyle w:val="TableText0"/>
              <w:jc w:val="center"/>
              <w:rPr>
                <w:sz w:val="20"/>
                <w:szCs w:val="20"/>
              </w:rPr>
            </w:pPr>
            <w:r w:rsidRPr="000717E1">
              <w:rPr>
                <w:sz w:val="20"/>
                <w:szCs w:val="20"/>
              </w:rPr>
              <w:t>439</w:t>
            </w:r>
          </w:p>
        </w:tc>
        <w:tc>
          <w:tcPr>
            <w:tcW w:w="689" w:type="pct"/>
            <w:tcBorders>
              <w:top w:val="single" w:sz="4" w:space="0" w:color="auto"/>
              <w:left w:val="nil"/>
              <w:bottom w:val="single" w:sz="4" w:space="0" w:color="auto"/>
              <w:right w:val="single" w:sz="4" w:space="0" w:color="auto"/>
            </w:tcBorders>
            <w:hideMark/>
          </w:tcPr>
          <w:p w14:paraId="4CDB24CF" w14:textId="77777777" w:rsidR="00A979D9" w:rsidRPr="000717E1" w:rsidRDefault="00A979D9">
            <w:pPr>
              <w:pStyle w:val="TableText0"/>
              <w:jc w:val="center"/>
              <w:rPr>
                <w:sz w:val="20"/>
                <w:szCs w:val="20"/>
              </w:rPr>
            </w:pPr>
            <w:r w:rsidRPr="000717E1">
              <w:rPr>
                <w:sz w:val="20"/>
                <w:szCs w:val="20"/>
              </w:rPr>
              <w:t>449</w:t>
            </w:r>
          </w:p>
        </w:tc>
        <w:tc>
          <w:tcPr>
            <w:tcW w:w="690" w:type="pct"/>
            <w:tcBorders>
              <w:top w:val="single" w:sz="4" w:space="0" w:color="auto"/>
              <w:left w:val="nil"/>
              <w:bottom w:val="single" w:sz="4" w:space="0" w:color="auto"/>
              <w:right w:val="single" w:sz="4" w:space="0" w:color="auto"/>
            </w:tcBorders>
            <w:hideMark/>
          </w:tcPr>
          <w:p w14:paraId="0E1FE6D4" w14:textId="77777777" w:rsidR="00A979D9" w:rsidRPr="000717E1" w:rsidRDefault="00A979D9">
            <w:pPr>
              <w:pStyle w:val="TableText0"/>
              <w:jc w:val="center"/>
              <w:rPr>
                <w:sz w:val="20"/>
                <w:szCs w:val="20"/>
              </w:rPr>
            </w:pPr>
            <w:r w:rsidRPr="000717E1">
              <w:rPr>
                <w:sz w:val="20"/>
                <w:szCs w:val="20"/>
              </w:rPr>
              <w:t>444</w:t>
            </w:r>
          </w:p>
        </w:tc>
        <w:tc>
          <w:tcPr>
            <w:tcW w:w="689" w:type="pct"/>
            <w:tcBorders>
              <w:top w:val="single" w:sz="4" w:space="0" w:color="auto"/>
              <w:left w:val="nil"/>
              <w:bottom w:val="single" w:sz="4" w:space="0" w:color="auto"/>
              <w:right w:val="single" w:sz="4" w:space="0" w:color="auto"/>
            </w:tcBorders>
            <w:hideMark/>
          </w:tcPr>
          <w:p w14:paraId="78E70D62" w14:textId="77777777" w:rsidR="00A979D9" w:rsidRPr="000717E1" w:rsidRDefault="00A979D9">
            <w:pPr>
              <w:pStyle w:val="TableText0"/>
              <w:jc w:val="center"/>
              <w:rPr>
                <w:sz w:val="20"/>
                <w:szCs w:val="20"/>
              </w:rPr>
            </w:pPr>
            <w:r w:rsidRPr="000717E1">
              <w:rPr>
                <w:sz w:val="20"/>
                <w:szCs w:val="20"/>
              </w:rPr>
              <w:t>898</w:t>
            </w:r>
          </w:p>
        </w:tc>
        <w:tc>
          <w:tcPr>
            <w:tcW w:w="690" w:type="pct"/>
            <w:tcBorders>
              <w:top w:val="single" w:sz="4" w:space="0" w:color="auto"/>
              <w:left w:val="nil"/>
              <w:bottom w:val="single" w:sz="4" w:space="0" w:color="auto"/>
              <w:right w:val="single" w:sz="4" w:space="0" w:color="auto"/>
            </w:tcBorders>
            <w:hideMark/>
          </w:tcPr>
          <w:p w14:paraId="52F9558C" w14:textId="77777777" w:rsidR="00A979D9" w:rsidRPr="000717E1" w:rsidRDefault="00A979D9">
            <w:pPr>
              <w:pStyle w:val="TableText0"/>
              <w:jc w:val="center"/>
              <w:rPr>
                <w:sz w:val="20"/>
                <w:szCs w:val="20"/>
              </w:rPr>
            </w:pPr>
            <w:r w:rsidRPr="000717E1">
              <w:rPr>
                <w:sz w:val="20"/>
                <w:szCs w:val="20"/>
              </w:rPr>
              <w:t>883</w:t>
            </w:r>
          </w:p>
        </w:tc>
      </w:tr>
      <w:tr w:rsidR="009906A2" w:rsidRPr="000717E1" w14:paraId="728C56AD" w14:textId="77777777">
        <w:trPr>
          <w:trHeight w:val="20"/>
        </w:trPr>
        <w:tc>
          <w:tcPr>
            <w:tcW w:w="863" w:type="pct"/>
            <w:tcBorders>
              <w:top w:val="single" w:sz="4" w:space="0" w:color="auto"/>
              <w:left w:val="single" w:sz="4" w:space="0" w:color="auto"/>
              <w:bottom w:val="single" w:sz="4" w:space="0" w:color="auto"/>
              <w:right w:val="nil"/>
            </w:tcBorders>
            <w:hideMark/>
          </w:tcPr>
          <w:p w14:paraId="210F5E76" w14:textId="77777777" w:rsidR="00A979D9" w:rsidRPr="000717E1" w:rsidRDefault="00A979D9">
            <w:pPr>
              <w:pStyle w:val="TableText0"/>
              <w:rPr>
                <w:sz w:val="20"/>
                <w:szCs w:val="20"/>
              </w:rPr>
            </w:pPr>
            <w:r w:rsidRPr="000717E1">
              <w:rPr>
                <w:sz w:val="20"/>
                <w:szCs w:val="20"/>
              </w:rPr>
              <w:t>Mean (SD)</w:t>
            </w:r>
          </w:p>
        </w:tc>
        <w:tc>
          <w:tcPr>
            <w:tcW w:w="689" w:type="pct"/>
            <w:tcBorders>
              <w:top w:val="single" w:sz="4" w:space="0" w:color="auto"/>
              <w:left w:val="single" w:sz="4" w:space="0" w:color="auto"/>
              <w:bottom w:val="single" w:sz="4" w:space="0" w:color="auto"/>
              <w:right w:val="single" w:sz="4" w:space="0" w:color="auto"/>
            </w:tcBorders>
          </w:tcPr>
          <w:p w14:paraId="65A7874B" w14:textId="77777777" w:rsidR="00A979D9" w:rsidRPr="000717E1" w:rsidRDefault="00A979D9">
            <w:pPr>
              <w:pStyle w:val="TableText0"/>
              <w:jc w:val="center"/>
              <w:rPr>
                <w:sz w:val="20"/>
                <w:szCs w:val="20"/>
              </w:rPr>
            </w:pPr>
            <w:r w:rsidRPr="000717E1">
              <w:rPr>
                <w:sz w:val="20"/>
                <w:szCs w:val="20"/>
              </w:rPr>
              <w:t>0.15 (0.37)</w:t>
            </w:r>
          </w:p>
        </w:tc>
        <w:tc>
          <w:tcPr>
            <w:tcW w:w="690" w:type="pct"/>
            <w:tcBorders>
              <w:top w:val="single" w:sz="4" w:space="0" w:color="auto"/>
              <w:left w:val="nil"/>
              <w:bottom w:val="single" w:sz="4" w:space="0" w:color="auto"/>
              <w:right w:val="single" w:sz="4" w:space="0" w:color="auto"/>
            </w:tcBorders>
          </w:tcPr>
          <w:p w14:paraId="66FE2B73" w14:textId="77777777" w:rsidR="00A979D9" w:rsidRPr="000717E1" w:rsidRDefault="00A979D9">
            <w:pPr>
              <w:pStyle w:val="TableText0"/>
              <w:jc w:val="center"/>
              <w:rPr>
                <w:sz w:val="20"/>
                <w:szCs w:val="20"/>
              </w:rPr>
            </w:pPr>
            <w:r w:rsidRPr="000717E1">
              <w:rPr>
                <w:sz w:val="20"/>
                <w:szCs w:val="20"/>
              </w:rPr>
              <w:t>0.06 (0.30)</w:t>
            </w:r>
          </w:p>
        </w:tc>
        <w:tc>
          <w:tcPr>
            <w:tcW w:w="689" w:type="pct"/>
            <w:tcBorders>
              <w:top w:val="single" w:sz="4" w:space="0" w:color="auto"/>
              <w:left w:val="nil"/>
              <w:bottom w:val="single" w:sz="4" w:space="0" w:color="auto"/>
              <w:right w:val="single" w:sz="4" w:space="0" w:color="auto"/>
            </w:tcBorders>
          </w:tcPr>
          <w:p w14:paraId="3FD5C780" w14:textId="77777777" w:rsidR="00A979D9" w:rsidRPr="000717E1" w:rsidRDefault="00A979D9">
            <w:pPr>
              <w:pStyle w:val="TableText0"/>
              <w:jc w:val="center"/>
              <w:rPr>
                <w:sz w:val="20"/>
                <w:szCs w:val="20"/>
              </w:rPr>
            </w:pPr>
            <w:r w:rsidRPr="000717E1">
              <w:rPr>
                <w:sz w:val="20"/>
                <w:szCs w:val="20"/>
              </w:rPr>
              <w:t>0.14 (0.35)</w:t>
            </w:r>
          </w:p>
        </w:tc>
        <w:tc>
          <w:tcPr>
            <w:tcW w:w="690" w:type="pct"/>
            <w:tcBorders>
              <w:top w:val="single" w:sz="4" w:space="0" w:color="auto"/>
              <w:left w:val="nil"/>
              <w:bottom w:val="single" w:sz="4" w:space="0" w:color="auto"/>
              <w:right w:val="single" w:sz="4" w:space="0" w:color="auto"/>
            </w:tcBorders>
          </w:tcPr>
          <w:p w14:paraId="0753427C" w14:textId="77777777" w:rsidR="00A979D9" w:rsidRPr="000717E1" w:rsidRDefault="00A979D9">
            <w:pPr>
              <w:pStyle w:val="TableText0"/>
              <w:jc w:val="center"/>
              <w:rPr>
                <w:sz w:val="20"/>
                <w:szCs w:val="20"/>
              </w:rPr>
            </w:pPr>
            <w:r w:rsidRPr="000717E1">
              <w:rPr>
                <w:sz w:val="20"/>
                <w:szCs w:val="20"/>
              </w:rPr>
              <w:t>0.05 (0.31)</w:t>
            </w:r>
          </w:p>
        </w:tc>
        <w:tc>
          <w:tcPr>
            <w:tcW w:w="689" w:type="pct"/>
            <w:tcBorders>
              <w:top w:val="single" w:sz="4" w:space="0" w:color="auto"/>
              <w:left w:val="nil"/>
              <w:bottom w:val="single" w:sz="4" w:space="0" w:color="auto"/>
              <w:right w:val="single" w:sz="4" w:space="0" w:color="auto"/>
            </w:tcBorders>
          </w:tcPr>
          <w:p w14:paraId="202A3F61" w14:textId="77777777" w:rsidR="00A979D9" w:rsidRPr="000717E1" w:rsidRDefault="00A979D9">
            <w:pPr>
              <w:pStyle w:val="TableText0"/>
              <w:jc w:val="center"/>
              <w:rPr>
                <w:sz w:val="20"/>
                <w:szCs w:val="20"/>
              </w:rPr>
            </w:pPr>
            <w:r w:rsidRPr="000717E1">
              <w:rPr>
                <w:sz w:val="20"/>
                <w:szCs w:val="20"/>
              </w:rPr>
              <w:t>0.14 (0.36)</w:t>
            </w:r>
          </w:p>
        </w:tc>
        <w:tc>
          <w:tcPr>
            <w:tcW w:w="690" w:type="pct"/>
            <w:tcBorders>
              <w:top w:val="single" w:sz="4" w:space="0" w:color="auto"/>
              <w:left w:val="nil"/>
              <w:bottom w:val="single" w:sz="4" w:space="0" w:color="auto"/>
              <w:right w:val="single" w:sz="4" w:space="0" w:color="auto"/>
            </w:tcBorders>
          </w:tcPr>
          <w:p w14:paraId="0FCE25C9" w14:textId="77777777" w:rsidR="00A979D9" w:rsidRPr="000717E1" w:rsidRDefault="00A979D9">
            <w:pPr>
              <w:pStyle w:val="TableText0"/>
              <w:jc w:val="center"/>
              <w:rPr>
                <w:sz w:val="20"/>
                <w:szCs w:val="20"/>
              </w:rPr>
            </w:pPr>
            <w:r w:rsidRPr="000717E1">
              <w:rPr>
                <w:sz w:val="20"/>
                <w:szCs w:val="20"/>
              </w:rPr>
              <w:t>0.05 (0.31)</w:t>
            </w:r>
          </w:p>
        </w:tc>
      </w:tr>
      <w:tr w:rsidR="009906A2" w:rsidRPr="000717E1" w14:paraId="09AF3A76" w14:textId="77777777">
        <w:trPr>
          <w:trHeight w:val="20"/>
        </w:trPr>
        <w:tc>
          <w:tcPr>
            <w:tcW w:w="863" w:type="pct"/>
            <w:tcBorders>
              <w:top w:val="single" w:sz="4" w:space="0" w:color="auto"/>
              <w:left w:val="single" w:sz="4" w:space="0" w:color="auto"/>
              <w:bottom w:val="single" w:sz="4" w:space="0" w:color="auto"/>
              <w:right w:val="nil"/>
            </w:tcBorders>
            <w:hideMark/>
          </w:tcPr>
          <w:p w14:paraId="0CE60FB4" w14:textId="77777777" w:rsidR="00A979D9" w:rsidRPr="000717E1" w:rsidRDefault="00A979D9">
            <w:pPr>
              <w:pStyle w:val="TableText0"/>
              <w:rPr>
                <w:sz w:val="20"/>
                <w:szCs w:val="20"/>
              </w:rPr>
            </w:pPr>
            <w:r w:rsidRPr="000717E1">
              <w:rPr>
                <w:sz w:val="20"/>
                <w:szCs w:val="20"/>
              </w:rPr>
              <w:t>LS mean (SE)</w:t>
            </w:r>
            <w:r w:rsidRPr="000717E1">
              <w:rPr>
                <w:sz w:val="20"/>
                <w:szCs w:val="20"/>
                <w:vertAlign w:val="superscript"/>
              </w:rPr>
              <w:t>a</w:t>
            </w:r>
          </w:p>
        </w:tc>
        <w:tc>
          <w:tcPr>
            <w:tcW w:w="689" w:type="pct"/>
            <w:tcBorders>
              <w:top w:val="single" w:sz="4" w:space="0" w:color="auto"/>
              <w:left w:val="single" w:sz="4" w:space="0" w:color="auto"/>
              <w:bottom w:val="single" w:sz="4" w:space="0" w:color="auto"/>
              <w:right w:val="single" w:sz="4" w:space="0" w:color="auto"/>
            </w:tcBorders>
            <w:hideMark/>
          </w:tcPr>
          <w:p w14:paraId="70F532BF" w14:textId="3904E3DE" w:rsidR="00A979D9" w:rsidRPr="000717E1" w:rsidRDefault="00A979D9">
            <w:pPr>
              <w:pStyle w:val="TableText0"/>
              <w:jc w:val="center"/>
              <w:rPr>
                <w:sz w:val="20"/>
                <w:szCs w:val="20"/>
              </w:rPr>
            </w:pPr>
            <w:r w:rsidRPr="000717E1">
              <w:rPr>
                <w:sz w:val="20"/>
                <w:szCs w:val="20"/>
              </w:rPr>
              <w:t>0.160 (0.02)</w:t>
            </w:r>
          </w:p>
        </w:tc>
        <w:tc>
          <w:tcPr>
            <w:tcW w:w="690" w:type="pct"/>
            <w:tcBorders>
              <w:top w:val="single" w:sz="4" w:space="0" w:color="auto"/>
              <w:left w:val="nil"/>
              <w:bottom w:val="single" w:sz="4" w:space="0" w:color="auto"/>
              <w:right w:val="single" w:sz="4" w:space="0" w:color="auto"/>
            </w:tcBorders>
            <w:hideMark/>
          </w:tcPr>
          <w:p w14:paraId="09A8B8BC" w14:textId="0BA690D8" w:rsidR="00A979D9" w:rsidRPr="000717E1" w:rsidRDefault="00A979D9">
            <w:pPr>
              <w:pStyle w:val="TableText0"/>
              <w:jc w:val="center"/>
              <w:rPr>
                <w:sz w:val="20"/>
                <w:szCs w:val="20"/>
              </w:rPr>
            </w:pPr>
            <w:r w:rsidRPr="000717E1">
              <w:rPr>
                <w:sz w:val="20"/>
                <w:szCs w:val="20"/>
              </w:rPr>
              <w:t>0.077 (0.02)</w:t>
            </w:r>
          </w:p>
        </w:tc>
        <w:tc>
          <w:tcPr>
            <w:tcW w:w="689" w:type="pct"/>
            <w:tcBorders>
              <w:top w:val="single" w:sz="4" w:space="0" w:color="auto"/>
              <w:left w:val="nil"/>
              <w:bottom w:val="single" w:sz="4" w:space="0" w:color="auto"/>
              <w:right w:val="single" w:sz="4" w:space="0" w:color="auto"/>
            </w:tcBorders>
            <w:hideMark/>
          </w:tcPr>
          <w:p w14:paraId="28C3B4C7" w14:textId="100F761A" w:rsidR="00A979D9" w:rsidRPr="000717E1" w:rsidRDefault="00A979D9">
            <w:pPr>
              <w:pStyle w:val="TableText0"/>
              <w:jc w:val="center"/>
              <w:rPr>
                <w:sz w:val="20"/>
                <w:szCs w:val="20"/>
              </w:rPr>
            </w:pPr>
            <w:r w:rsidRPr="000717E1">
              <w:rPr>
                <w:sz w:val="20"/>
                <w:szCs w:val="20"/>
              </w:rPr>
              <w:t>0.139 (0.02)</w:t>
            </w:r>
          </w:p>
        </w:tc>
        <w:tc>
          <w:tcPr>
            <w:tcW w:w="690" w:type="pct"/>
            <w:tcBorders>
              <w:top w:val="single" w:sz="4" w:space="0" w:color="auto"/>
              <w:left w:val="nil"/>
              <w:bottom w:val="single" w:sz="4" w:space="0" w:color="auto"/>
              <w:right w:val="single" w:sz="4" w:space="0" w:color="auto"/>
            </w:tcBorders>
            <w:hideMark/>
          </w:tcPr>
          <w:p w14:paraId="76FAFDC6" w14:textId="3C328FCC" w:rsidR="00A979D9" w:rsidRPr="000717E1" w:rsidRDefault="00A979D9">
            <w:pPr>
              <w:pStyle w:val="TableText0"/>
              <w:jc w:val="center"/>
              <w:rPr>
                <w:sz w:val="20"/>
                <w:szCs w:val="20"/>
              </w:rPr>
            </w:pPr>
            <w:r w:rsidRPr="000717E1">
              <w:rPr>
                <w:sz w:val="20"/>
                <w:szCs w:val="20"/>
              </w:rPr>
              <w:t>0.057 (0.02)</w:t>
            </w:r>
          </w:p>
        </w:tc>
        <w:tc>
          <w:tcPr>
            <w:tcW w:w="689" w:type="pct"/>
            <w:tcBorders>
              <w:top w:val="single" w:sz="4" w:space="0" w:color="auto"/>
              <w:left w:val="nil"/>
              <w:bottom w:val="single" w:sz="4" w:space="0" w:color="auto"/>
              <w:right w:val="single" w:sz="4" w:space="0" w:color="auto"/>
            </w:tcBorders>
            <w:hideMark/>
          </w:tcPr>
          <w:p w14:paraId="15E679B6" w14:textId="7AC36277" w:rsidR="00A979D9" w:rsidRPr="000717E1" w:rsidRDefault="00A979D9">
            <w:pPr>
              <w:pStyle w:val="TableText0"/>
              <w:jc w:val="center"/>
              <w:rPr>
                <w:sz w:val="20"/>
                <w:szCs w:val="20"/>
              </w:rPr>
            </w:pPr>
            <w:r w:rsidRPr="000717E1">
              <w:rPr>
                <w:sz w:val="20"/>
                <w:szCs w:val="20"/>
              </w:rPr>
              <w:t>0.147 (0.01)</w:t>
            </w:r>
          </w:p>
        </w:tc>
        <w:tc>
          <w:tcPr>
            <w:tcW w:w="690" w:type="pct"/>
            <w:tcBorders>
              <w:top w:val="single" w:sz="4" w:space="0" w:color="auto"/>
              <w:left w:val="nil"/>
              <w:bottom w:val="single" w:sz="4" w:space="0" w:color="auto"/>
              <w:right w:val="single" w:sz="4" w:space="0" w:color="auto"/>
            </w:tcBorders>
            <w:hideMark/>
          </w:tcPr>
          <w:p w14:paraId="45D7FA6E" w14:textId="34A57BDF" w:rsidR="00A979D9" w:rsidRPr="000717E1" w:rsidRDefault="00A979D9">
            <w:pPr>
              <w:pStyle w:val="TableText0"/>
              <w:jc w:val="center"/>
              <w:rPr>
                <w:sz w:val="20"/>
                <w:szCs w:val="20"/>
              </w:rPr>
            </w:pPr>
            <w:r w:rsidRPr="000717E1">
              <w:rPr>
                <w:sz w:val="20"/>
                <w:szCs w:val="20"/>
              </w:rPr>
              <w:t>0.064 (0.01)</w:t>
            </w:r>
          </w:p>
        </w:tc>
      </w:tr>
      <w:tr w:rsidR="00342349" w:rsidRPr="000717E1" w14:paraId="2A6E07C1" w14:textId="77777777">
        <w:trPr>
          <w:trHeight w:val="20"/>
        </w:trPr>
        <w:tc>
          <w:tcPr>
            <w:tcW w:w="863" w:type="pct"/>
            <w:tcBorders>
              <w:top w:val="single" w:sz="4" w:space="0" w:color="auto"/>
              <w:left w:val="single" w:sz="4" w:space="0" w:color="auto"/>
              <w:bottom w:val="single" w:sz="4" w:space="0" w:color="auto"/>
              <w:right w:val="nil"/>
            </w:tcBorders>
            <w:hideMark/>
          </w:tcPr>
          <w:p w14:paraId="226274F2" w14:textId="77777777" w:rsidR="00A979D9" w:rsidRPr="000717E1" w:rsidRDefault="00A979D9">
            <w:pPr>
              <w:pStyle w:val="TableText0"/>
              <w:rPr>
                <w:sz w:val="20"/>
                <w:szCs w:val="20"/>
              </w:rPr>
            </w:pPr>
            <w:r w:rsidRPr="000717E1">
              <w:rPr>
                <w:sz w:val="20"/>
                <w:szCs w:val="20"/>
              </w:rPr>
              <w:t>LS mean difference (95% CI), p-</w:t>
            </w:r>
            <w:proofErr w:type="spellStart"/>
            <w:r w:rsidRPr="000717E1">
              <w:rPr>
                <w:sz w:val="20"/>
                <w:szCs w:val="20"/>
              </w:rPr>
              <w:t>value</w:t>
            </w:r>
            <w:r w:rsidRPr="000717E1">
              <w:rPr>
                <w:sz w:val="20"/>
                <w:szCs w:val="20"/>
                <w:vertAlign w:val="superscript"/>
              </w:rPr>
              <w:t>a</w:t>
            </w:r>
            <w:proofErr w:type="spellEnd"/>
          </w:p>
        </w:tc>
        <w:tc>
          <w:tcPr>
            <w:tcW w:w="1379" w:type="pct"/>
            <w:gridSpan w:val="2"/>
            <w:tcBorders>
              <w:top w:val="single" w:sz="4" w:space="0" w:color="auto"/>
              <w:left w:val="single" w:sz="4" w:space="0" w:color="auto"/>
              <w:bottom w:val="single" w:sz="4" w:space="0" w:color="auto"/>
              <w:right w:val="single" w:sz="4" w:space="0" w:color="auto"/>
            </w:tcBorders>
            <w:hideMark/>
          </w:tcPr>
          <w:p w14:paraId="362D249B" w14:textId="24FC5C0B" w:rsidR="00A979D9" w:rsidRPr="000717E1" w:rsidRDefault="00A979D9">
            <w:pPr>
              <w:pStyle w:val="TableText0"/>
              <w:jc w:val="center"/>
              <w:rPr>
                <w:b/>
                <w:bCs/>
                <w:sz w:val="20"/>
                <w:szCs w:val="20"/>
              </w:rPr>
            </w:pPr>
            <w:r w:rsidRPr="000717E1">
              <w:rPr>
                <w:b/>
                <w:sz w:val="20"/>
                <w:szCs w:val="20"/>
              </w:rPr>
              <w:t>0.083 (0.04</w:t>
            </w:r>
            <w:r w:rsidR="00EF6942" w:rsidRPr="000717E1">
              <w:rPr>
                <w:b/>
                <w:sz w:val="20"/>
                <w:szCs w:val="20"/>
              </w:rPr>
              <w:t>,</w:t>
            </w:r>
            <w:r w:rsidRPr="000717E1">
              <w:rPr>
                <w:b/>
                <w:sz w:val="20"/>
                <w:szCs w:val="20"/>
              </w:rPr>
              <w:t xml:space="preserve"> 0.13)</w:t>
            </w:r>
          </w:p>
          <w:p w14:paraId="7CE22D17" w14:textId="77777777" w:rsidR="00A979D9" w:rsidRPr="000717E1" w:rsidRDefault="00A979D9">
            <w:pPr>
              <w:pStyle w:val="TableText0"/>
              <w:jc w:val="center"/>
              <w:rPr>
                <w:b/>
                <w:bCs/>
                <w:sz w:val="20"/>
                <w:szCs w:val="20"/>
              </w:rPr>
            </w:pPr>
            <w:r w:rsidRPr="000717E1">
              <w:rPr>
                <w:b/>
                <w:sz w:val="20"/>
                <w:szCs w:val="20"/>
              </w:rPr>
              <w:t>p&lt;0.0001</w:t>
            </w:r>
          </w:p>
        </w:tc>
        <w:tc>
          <w:tcPr>
            <w:tcW w:w="1379" w:type="pct"/>
            <w:gridSpan w:val="2"/>
            <w:tcBorders>
              <w:top w:val="single" w:sz="4" w:space="0" w:color="auto"/>
              <w:left w:val="single" w:sz="4" w:space="0" w:color="auto"/>
              <w:bottom w:val="single" w:sz="4" w:space="0" w:color="auto"/>
              <w:right w:val="single" w:sz="4" w:space="0" w:color="auto"/>
            </w:tcBorders>
            <w:hideMark/>
          </w:tcPr>
          <w:p w14:paraId="0BE8C2F2" w14:textId="0063E180" w:rsidR="00A979D9" w:rsidRPr="000717E1" w:rsidRDefault="00A979D9">
            <w:pPr>
              <w:pStyle w:val="TableText0"/>
              <w:jc w:val="center"/>
              <w:rPr>
                <w:b/>
                <w:bCs/>
                <w:sz w:val="20"/>
                <w:szCs w:val="20"/>
              </w:rPr>
            </w:pPr>
            <w:r w:rsidRPr="000717E1">
              <w:rPr>
                <w:b/>
                <w:sz w:val="20"/>
                <w:szCs w:val="20"/>
              </w:rPr>
              <w:t>0.082 (0.04</w:t>
            </w:r>
            <w:r w:rsidR="00EF6942" w:rsidRPr="000717E1">
              <w:rPr>
                <w:b/>
                <w:sz w:val="20"/>
                <w:szCs w:val="20"/>
              </w:rPr>
              <w:t>,</w:t>
            </w:r>
            <w:r w:rsidRPr="000717E1">
              <w:rPr>
                <w:b/>
                <w:sz w:val="20"/>
                <w:szCs w:val="20"/>
              </w:rPr>
              <w:t xml:space="preserve"> 0.12)</w:t>
            </w:r>
          </w:p>
          <w:p w14:paraId="7B8B6D7D" w14:textId="77777777" w:rsidR="00A979D9" w:rsidRPr="000717E1" w:rsidRDefault="00A979D9">
            <w:pPr>
              <w:pStyle w:val="TableText0"/>
              <w:jc w:val="center"/>
              <w:rPr>
                <w:b/>
                <w:bCs/>
                <w:sz w:val="20"/>
                <w:szCs w:val="20"/>
              </w:rPr>
            </w:pPr>
            <w:r w:rsidRPr="000717E1">
              <w:rPr>
                <w:b/>
                <w:sz w:val="20"/>
                <w:szCs w:val="20"/>
              </w:rPr>
              <w:t>p=0.0001</w:t>
            </w:r>
          </w:p>
        </w:tc>
        <w:tc>
          <w:tcPr>
            <w:tcW w:w="1379" w:type="pct"/>
            <w:gridSpan w:val="2"/>
            <w:tcBorders>
              <w:top w:val="single" w:sz="4" w:space="0" w:color="auto"/>
              <w:left w:val="single" w:sz="4" w:space="0" w:color="auto"/>
              <w:bottom w:val="single" w:sz="4" w:space="0" w:color="auto"/>
              <w:right w:val="single" w:sz="4" w:space="0" w:color="auto"/>
            </w:tcBorders>
            <w:hideMark/>
          </w:tcPr>
          <w:p w14:paraId="2EF461BA" w14:textId="2B0AF6A2" w:rsidR="00A979D9" w:rsidRPr="000717E1" w:rsidRDefault="00A979D9">
            <w:pPr>
              <w:pStyle w:val="TableText0"/>
              <w:jc w:val="center"/>
              <w:rPr>
                <w:b/>
                <w:bCs/>
                <w:sz w:val="20"/>
                <w:szCs w:val="20"/>
              </w:rPr>
            </w:pPr>
            <w:r w:rsidRPr="000717E1">
              <w:rPr>
                <w:b/>
                <w:sz w:val="20"/>
                <w:szCs w:val="20"/>
              </w:rPr>
              <w:t>0.083 (0.05 to 0.11)</w:t>
            </w:r>
          </w:p>
          <w:p w14:paraId="7055E639" w14:textId="77777777" w:rsidR="00A979D9" w:rsidRPr="000717E1" w:rsidRDefault="00A979D9">
            <w:pPr>
              <w:pStyle w:val="TableText0"/>
              <w:jc w:val="center"/>
              <w:rPr>
                <w:b/>
                <w:bCs/>
                <w:sz w:val="20"/>
                <w:szCs w:val="20"/>
              </w:rPr>
            </w:pPr>
            <w:r w:rsidRPr="000717E1">
              <w:rPr>
                <w:b/>
                <w:sz w:val="20"/>
                <w:szCs w:val="20"/>
              </w:rPr>
              <w:t>p&lt;0.0001</w:t>
            </w:r>
          </w:p>
        </w:tc>
      </w:tr>
    </w:tbl>
    <w:p w14:paraId="5A2C3215" w14:textId="77777777" w:rsidR="00A979D9" w:rsidRPr="000717E1" w:rsidRDefault="00A979D9" w:rsidP="005B63F4">
      <w:pPr>
        <w:pStyle w:val="TableFigureFooter"/>
      </w:pPr>
      <w:r w:rsidRPr="000717E1">
        <w:t>Source: Table 2.5-5 p78 of the submission.</w:t>
      </w:r>
    </w:p>
    <w:p w14:paraId="6C8A2798" w14:textId="77777777" w:rsidR="00A979D9" w:rsidRPr="000717E1" w:rsidRDefault="00A979D9" w:rsidP="005B63F4">
      <w:pPr>
        <w:pStyle w:val="TableFigureFooter"/>
      </w:pPr>
      <w:r w:rsidRPr="000717E1">
        <w:t>CI = confidence interval; ITT = intention to treat; L = litres; LS = least squares; MMRM: Mixed-effect Model with Repeated Measures; n = number of patients with event; N = total patients in group; pre-BD FEV</w:t>
      </w:r>
      <w:r w:rsidRPr="000717E1">
        <w:rPr>
          <w:vertAlign w:val="subscript"/>
        </w:rPr>
        <w:t xml:space="preserve">1 </w:t>
      </w:r>
      <w:r w:rsidRPr="000717E1">
        <w:t>= pre-bronchodilator forced expiratory volume in 1 second; SD = standard deviation; SE = standard error.</w:t>
      </w:r>
    </w:p>
    <w:p w14:paraId="0B1DD581" w14:textId="77777777" w:rsidR="00A979D9" w:rsidRPr="000717E1" w:rsidRDefault="00A979D9" w:rsidP="005B63F4">
      <w:pPr>
        <w:pStyle w:val="TableFigureFooter"/>
      </w:pPr>
      <w:r w:rsidRPr="000717E1">
        <w:t>Bold indicates a significant result.</w:t>
      </w:r>
    </w:p>
    <w:p w14:paraId="12945CE7" w14:textId="77777777" w:rsidR="00A979D9" w:rsidRPr="000717E1" w:rsidRDefault="00A979D9" w:rsidP="005B63F4">
      <w:pPr>
        <w:pStyle w:val="TableFigureFooter"/>
      </w:pPr>
      <w:r w:rsidRPr="000717E1">
        <w:rPr>
          <w:vertAlign w:val="superscript"/>
        </w:rPr>
        <w:t>a</w:t>
      </w:r>
      <w:r w:rsidRPr="000717E1">
        <w:t xml:space="preserve"> Derived from MMRM model.</w:t>
      </w:r>
    </w:p>
    <w:p w14:paraId="4760D355" w14:textId="416415B8" w:rsidR="00A979D9" w:rsidRPr="000717E1" w:rsidRDefault="00DF6BC3" w:rsidP="00A979D9">
      <w:pPr>
        <w:pStyle w:val="3-BodyText"/>
      </w:pPr>
      <w:r w:rsidRPr="001F3F0F">
        <w:rPr>
          <w:iCs/>
        </w:rPr>
        <w:t>The Sub-Committees noted that a</w:t>
      </w:r>
      <w:r w:rsidR="007717B7" w:rsidRPr="001F3F0F">
        <w:rPr>
          <w:iCs/>
        </w:rPr>
        <w:t xml:space="preserve">n </w:t>
      </w:r>
      <w:r w:rsidR="00A979D9" w:rsidRPr="001F3F0F">
        <w:rPr>
          <w:iCs/>
        </w:rPr>
        <w:t>improvement in pre-BD FEV</w:t>
      </w:r>
      <w:r w:rsidR="00A979D9" w:rsidRPr="001F3F0F">
        <w:rPr>
          <w:iCs/>
          <w:vertAlign w:val="subscript"/>
        </w:rPr>
        <w:t>1</w:t>
      </w:r>
      <w:r w:rsidR="00A979D9" w:rsidRPr="001F3F0F">
        <w:rPr>
          <w:iCs/>
        </w:rPr>
        <w:t xml:space="preserve"> can be observed </w:t>
      </w:r>
      <w:r w:rsidR="00AA6A32" w:rsidRPr="001F3F0F">
        <w:rPr>
          <w:iCs/>
        </w:rPr>
        <w:t>from</w:t>
      </w:r>
      <w:r w:rsidR="00A979D9" w:rsidRPr="001F3F0F">
        <w:rPr>
          <w:iCs/>
        </w:rPr>
        <w:t xml:space="preserve"> Week 2</w:t>
      </w:r>
      <w:r w:rsidR="007717B7" w:rsidRPr="001F3F0F">
        <w:rPr>
          <w:iCs/>
        </w:rPr>
        <w:t xml:space="preserve"> and</w:t>
      </w:r>
      <w:r w:rsidR="003928AB" w:rsidRPr="001F3F0F">
        <w:rPr>
          <w:iCs/>
        </w:rPr>
        <w:t xml:space="preserve"> considered that this</w:t>
      </w:r>
      <w:r w:rsidR="007717B7" w:rsidRPr="001F3F0F">
        <w:rPr>
          <w:iCs/>
        </w:rPr>
        <w:t xml:space="preserve"> </w:t>
      </w:r>
      <w:r w:rsidR="0045681D" w:rsidRPr="001F3F0F">
        <w:rPr>
          <w:iCs/>
        </w:rPr>
        <w:t>wa</w:t>
      </w:r>
      <w:r w:rsidR="007717B7" w:rsidRPr="001F3F0F">
        <w:rPr>
          <w:iCs/>
        </w:rPr>
        <w:t>s</w:t>
      </w:r>
      <w:r w:rsidR="00A979D9" w:rsidRPr="001F3F0F">
        <w:rPr>
          <w:iCs/>
        </w:rPr>
        <w:t xml:space="preserve"> maintained </w:t>
      </w:r>
      <w:r w:rsidR="005F7DF9" w:rsidRPr="001F3F0F">
        <w:rPr>
          <w:iCs/>
        </w:rPr>
        <w:t>until ar</w:t>
      </w:r>
      <w:r w:rsidR="00A44ED0" w:rsidRPr="001F3F0F">
        <w:rPr>
          <w:iCs/>
        </w:rPr>
        <w:t xml:space="preserve">ound week 44 </w:t>
      </w:r>
      <w:r w:rsidR="003928AB" w:rsidRPr="001F3F0F">
        <w:rPr>
          <w:iCs/>
        </w:rPr>
        <w:t xml:space="preserve">with a </w:t>
      </w:r>
      <w:r w:rsidR="00A031A5" w:rsidRPr="001F3F0F">
        <w:rPr>
          <w:iCs/>
        </w:rPr>
        <w:t>decline evident thereafter</w:t>
      </w:r>
      <w:r w:rsidR="00A979D9" w:rsidRPr="001F3F0F">
        <w:rPr>
          <w:iCs/>
        </w:rPr>
        <w:t xml:space="preserve"> (</w:t>
      </w:r>
      <w:r w:rsidR="00A979D9" w:rsidRPr="001F3F0F">
        <w:rPr>
          <w:iCs/>
        </w:rPr>
        <w:fldChar w:fldCharType="begin"/>
      </w:r>
      <w:r w:rsidR="00A979D9" w:rsidRPr="001F3F0F">
        <w:rPr>
          <w:iCs/>
        </w:rPr>
        <w:instrText xml:space="preserve"> REF _Ref216029193 \h </w:instrText>
      </w:r>
      <w:r w:rsidR="00A031A5" w:rsidRPr="001F3F0F">
        <w:rPr>
          <w:iCs/>
        </w:rPr>
        <w:instrText xml:space="preserve"> \* MERGEFORMAT </w:instrText>
      </w:r>
      <w:r w:rsidR="00A979D9" w:rsidRPr="001F3F0F">
        <w:rPr>
          <w:iCs/>
        </w:rPr>
      </w:r>
      <w:r w:rsidR="00A979D9" w:rsidRPr="001F3F0F">
        <w:rPr>
          <w:iCs/>
        </w:rPr>
        <w:fldChar w:fldCharType="separate"/>
      </w:r>
      <w:r w:rsidR="00281F45" w:rsidRPr="00281F45">
        <w:rPr>
          <w:iCs/>
        </w:rPr>
        <w:t xml:space="preserve">Figure </w:t>
      </w:r>
      <w:r w:rsidR="00281F45" w:rsidRPr="00281F45">
        <w:rPr>
          <w:iCs/>
          <w:noProof/>
        </w:rPr>
        <w:t>1</w:t>
      </w:r>
      <w:r w:rsidR="00A979D9" w:rsidRPr="001F3F0F">
        <w:rPr>
          <w:iCs/>
        </w:rPr>
        <w:fldChar w:fldCharType="end"/>
      </w:r>
      <w:r w:rsidR="00A979D9" w:rsidRPr="001F3F0F">
        <w:rPr>
          <w:iCs/>
        </w:rPr>
        <w:t xml:space="preserve">). </w:t>
      </w:r>
    </w:p>
    <w:p w14:paraId="689840A3" w14:textId="2A5F2719" w:rsidR="00A979D9" w:rsidRPr="000717E1" w:rsidRDefault="00A979D9" w:rsidP="00A979D9">
      <w:pPr>
        <w:pStyle w:val="Caption"/>
        <w:rPr>
          <w:color w:val="0066FF"/>
        </w:rPr>
      </w:pPr>
      <w:bookmarkStart w:id="45" w:name="_Ref216029193"/>
      <w:r w:rsidRPr="000717E1">
        <w:t xml:space="preserve">Figure </w:t>
      </w:r>
      <w:fldSimple w:instr=" SEQ Figure \* ARABIC ">
        <w:r w:rsidR="00281F45">
          <w:rPr>
            <w:noProof/>
          </w:rPr>
          <w:t>1</w:t>
        </w:r>
      </w:fldSimple>
      <w:bookmarkEnd w:id="45"/>
      <w:r w:rsidRPr="000717E1">
        <w:t>: Mean change from baseline in pre-BD FEV</w:t>
      </w:r>
      <w:r w:rsidRPr="000717E1">
        <w:rPr>
          <w:vertAlign w:val="subscript"/>
        </w:rPr>
        <w:t>1</w:t>
      </w:r>
      <w:r w:rsidRPr="000717E1">
        <w:t xml:space="preserve"> (L) up to Week 64 - Pooled ITT population with an opportunity to reach Week 52</w:t>
      </w:r>
    </w:p>
    <w:p w14:paraId="33F4A879" w14:textId="77777777" w:rsidR="00A979D9" w:rsidRPr="000717E1" w:rsidRDefault="00A979D9" w:rsidP="00A979D9">
      <w:pPr>
        <w:pStyle w:val="3-BodyText"/>
        <w:numPr>
          <w:ilvl w:val="0"/>
          <w:numId w:val="0"/>
        </w:numPr>
        <w:rPr>
          <w:color w:val="0066FF"/>
        </w:rPr>
      </w:pPr>
      <w:r w:rsidRPr="000717E1">
        <w:rPr>
          <w:noProof/>
        </w:rPr>
        <w:drawing>
          <wp:inline distT="0" distB="0" distL="0" distR="0" wp14:anchorId="110C99EA" wp14:editId="5EF42B96">
            <wp:extent cx="5002599" cy="2560320"/>
            <wp:effectExtent l="0" t="0" r="7620" b="0"/>
            <wp:docPr id="499881136" name="Picture 1" descr="Figure 1: Mean change from baseline in pre-BD FEV1 (L) up to Week 64 - Pooled ITT population with an opportunity to reach Week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881136" name="Picture 1" descr="Figure 1: Mean change from baseline in pre-BD FEV1 (L) up to Week 64 - Pooled ITT population with an opportunity to reach Week 52"/>
                    <pic:cNvPicPr/>
                  </pic:nvPicPr>
                  <pic:blipFill>
                    <a:blip r:embed="rId11"/>
                    <a:stretch>
                      <a:fillRect/>
                    </a:stretch>
                  </pic:blipFill>
                  <pic:spPr>
                    <a:xfrm>
                      <a:off x="0" y="0"/>
                      <a:ext cx="5009068" cy="2563631"/>
                    </a:xfrm>
                    <a:prstGeom prst="rect">
                      <a:avLst/>
                    </a:prstGeom>
                  </pic:spPr>
                </pic:pic>
              </a:graphicData>
            </a:graphic>
          </wp:inline>
        </w:drawing>
      </w:r>
    </w:p>
    <w:p w14:paraId="4BEFFC14" w14:textId="77777777" w:rsidR="00A979D9" w:rsidRPr="000717E1" w:rsidRDefault="00A979D9" w:rsidP="005B63F4">
      <w:pPr>
        <w:pStyle w:val="TableFigureFooter"/>
      </w:pPr>
      <w:r w:rsidRPr="000717E1">
        <w:t>Source: Figure 40 p155, 2.7.3 Summary of clinical efficacy pooled.</w:t>
      </w:r>
    </w:p>
    <w:p w14:paraId="50A6681A" w14:textId="77777777" w:rsidR="00A979D9" w:rsidRPr="000717E1" w:rsidRDefault="00A979D9" w:rsidP="005B63F4">
      <w:pPr>
        <w:pStyle w:val="TableFigureFooter"/>
      </w:pPr>
      <w:r w:rsidRPr="000717E1">
        <w:t>BL = baseline; ITT = intention to treat; L = litre; pre-BD FEV</w:t>
      </w:r>
      <w:r w:rsidRPr="000717E1">
        <w:rPr>
          <w:vertAlign w:val="subscript"/>
        </w:rPr>
        <w:t>1</w:t>
      </w:r>
      <w:r w:rsidRPr="000717E1">
        <w:t xml:space="preserve"> = pre bronchodilator forced expiratory volume in 1 second; q2w = every 2 weeks; SE = standard error.</w:t>
      </w:r>
    </w:p>
    <w:p w14:paraId="1AF4894F" w14:textId="77777777" w:rsidR="00A979D9" w:rsidRPr="000717E1" w:rsidRDefault="00A979D9" w:rsidP="00A979D9">
      <w:pPr>
        <w:rPr>
          <w:u w:val="single"/>
        </w:rPr>
      </w:pPr>
      <w:r w:rsidRPr="000717E1">
        <w:rPr>
          <w:u w:val="single"/>
        </w:rPr>
        <w:t>QoL outcome changes</w:t>
      </w:r>
    </w:p>
    <w:p w14:paraId="324469B3" w14:textId="0674D639" w:rsidR="00A979D9" w:rsidRPr="000717E1" w:rsidRDefault="00A979D9" w:rsidP="00A979D9">
      <w:pPr>
        <w:pStyle w:val="3-BodyText"/>
      </w:pPr>
      <w:r w:rsidRPr="000717E1">
        <w:t xml:space="preserve">Improvements in health related QoL, as measured by the change from baseline in the SGRQ total score, were reported for both dupilumab and placebo (see </w:t>
      </w:r>
      <w:r w:rsidRPr="000717E1">
        <w:fldChar w:fldCharType="begin"/>
      </w:r>
      <w:r w:rsidRPr="000717E1">
        <w:instrText xml:space="preserve"> REF _Ref216030457 \h </w:instrText>
      </w:r>
      <w:r w:rsidRPr="000717E1">
        <w:fldChar w:fldCharType="separate"/>
      </w:r>
      <w:r w:rsidR="00281F45" w:rsidRPr="000717E1">
        <w:t xml:space="preserve">Table </w:t>
      </w:r>
      <w:r w:rsidR="00281F45">
        <w:rPr>
          <w:noProof/>
        </w:rPr>
        <w:t>7</w:t>
      </w:r>
      <w:r w:rsidRPr="000717E1">
        <w:fldChar w:fldCharType="end"/>
      </w:r>
      <w:r w:rsidRPr="000717E1">
        <w:t xml:space="preserve">). The mean improvement (a numerical reduction in SGRQ) was greater for patients in the dupilumab arm compared to the placebo arms in the BOREAS, NOTUS and </w:t>
      </w:r>
      <w:r w:rsidR="00691153" w:rsidRPr="000717E1">
        <w:t>p</w:t>
      </w:r>
      <w:r w:rsidRPr="000717E1">
        <w:t xml:space="preserve">ooled </w:t>
      </w:r>
      <w:r w:rsidRPr="000717E1">
        <w:lastRenderedPageBreak/>
        <w:t xml:space="preserve">results. The LS mean treatment difference between </w:t>
      </w:r>
      <w:r w:rsidR="005B4F34" w:rsidRPr="000717E1">
        <w:t xml:space="preserve">the </w:t>
      </w:r>
      <w:r w:rsidRPr="000717E1">
        <w:t xml:space="preserve">dupilumab and placebo was significant but did not meet the submission’s nominated MCID of </w:t>
      </w:r>
      <w:r w:rsidRPr="000717E1">
        <w:rPr>
          <w:rFonts w:cstheme="minorHAnsi"/>
        </w:rPr>
        <w:t>≥</w:t>
      </w:r>
      <w:r w:rsidRPr="000717E1">
        <w:t xml:space="preserve"> 4 points for the SGRQ.</w:t>
      </w:r>
    </w:p>
    <w:p w14:paraId="0597D53E" w14:textId="196FCF3B" w:rsidR="00A979D9" w:rsidRPr="000717E1" w:rsidRDefault="00A979D9" w:rsidP="00A979D9">
      <w:pPr>
        <w:pStyle w:val="3-BodyText"/>
      </w:pPr>
      <w:r w:rsidRPr="000717E1">
        <w:t>Of the patients who achieved a clinically meaningful change from baseline in SGRQ total score (≥ 4 point reduction), the odds ratio (OR) for the between treatment effect was significant in BOREAS (OR=1.439, p=0.0089) but not NOTUS (OR=1.164, p=0.3329), suggesting that the likelihood of meeting the MCID</w:t>
      </w:r>
      <w:r w:rsidR="009529C7" w:rsidRPr="000717E1">
        <w:t xml:space="preserve"> in NOTUS</w:t>
      </w:r>
      <w:r w:rsidRPr="000717E1">
        <w:t xml:space="preserve"> was independent of the treatment arm.</w:t>
      </w:r>
    </w:p>
    <w:p w14:paraId="2CDC5D81" w14:textId="5526A89E" w:rsidR="00A979D9" w:rsidRPr="000717E1" w:rsidRDefault="00A979D9" w:rsidP="00A979D9">
      <w:pPr>
        <w:pStyle w:val="Caption"/>
      </w:pPr>
      <w:bookmarkStart w:id="46" w:name="_Ref216030457"/>
      <w:r w:rsidRPr="000717E1">
        <w:t xml:space="preserve">Table </w:t>
      </w:r>
      <w:fldSimple w:instr=" SEQ Table \* ARABIC ">
        <w:r w:rsidR="00281F45">
          <w:rPr>
            <w:noProof/>
          </w:rPr>
          <w:t>7</w:t>
        </w:r>
      </w:fldSimple>
      <w:bookmarkEnd w:id="46"/>
      <w:r w:rsidRPr="000717E1">
        <w:t>: Change from baseline in SGRQ total score at Week 52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7: Change from baseline in SGRQ total score at Week 52"/>
      </w:tblPr>
      <w:tblGrid>
        <w:gridCol w:w="1413"/>
        <w:gridCol w:w="1161"/>
        <w:gridCol w:w="1287"/>
        <w:gridCol w:w="1287"/>
        <w:gridCol w:w="1287"/>
        <w:gridCol w:w="1287"/>
        <w:gridCol w:w="1288"/>
      </w:tblGrid>
      <w:tr w:rsidR="00770CFB" w:rsidRPr="000717E1" w14:paraId="37D4DFAC" w14:textId="77777777" w:rsidTr="005E214F">
        <w:trPr>
          <w:trHeight w:val="57"/>
          <w:tblHeader/>
        </w:trPr>
        <w:tc>
          <w:tcPr>
            <w:tcW w:w="1413" w:type="dxa"/>
            <w:vMerge w:val="restart"/>
            <w:hideMark/>
          </w:tcPr>
          <w:p w14:paraId="1CFBD743" w14:textId="77777777" w:rsidR="00A979D9" w:rsidRPr="000717E1" w:rsidRDefault="00A979D9" w:rsidP="0006296B">
            <w:pPr>
              <w:pStyle w:val="TableText0"/>
              <w:rPr>
                <w:sz w:val="20"/>
                <w:szCs w:val="20"/>
              </w:rPr>
            </w:pPr>
          </w:p>
        </w:tc>
        <w:tc>
          <w:tcPr>
            <w:tcW w:w="2448" w:type="dxa"/>
            <w:gridSpan w:val="2"/>
            <w:hideMark/>
          </w:tcPr>
          <w:p w14:paraId="047DDE11" w14:textId="77777777" w:rsidR="00A979D9" w:rsidRPr="000717E1" w:rsidRDefault="00A979D9" w:rsidP="0006296B">
            <w:pPr>
              <w:pStyle w:val="TableText0"/>
              <w:jc w:val="center"/>
              <w:rPr>
                <w:b/>
                <w:bCs/>
                <w:sz w:val="20"/>
                <w:szCs w:val="20"/>
              </w:rPr>
            </w:pPr>
            <w:r w:rsidRPr="000717E1">
              <w:rPr>
                <w:b/>
                <w:sz w:val="20"/>
                <w:szCs w:val="20"/>
              </w:rPr>
              <w:t xml:space="preserve">BOREAS </w:t>
            </w:r>
            <w:r w:rsidRPr="000717E1">
              <w:rPr>
                <w:b/>
                <w:sz w:val="20"/>
                <w:szCs w:val="20"/>
              </w:rPr>
              <w:br/>
              <w:t>(ITT)</w:t>
            </w:r>
          </w:p>
          <w:p w14:paraId="6BBCD28B" w14:textId="77777777" w:rsidR="00A979D9" w:rsidRPr="000717E1" w:rsidRDefault="00A979D9" w:rsidP="0006296B">
            <w:pPr>
              <w:pStyle w:val="TableText0"/>
              <w:jc w:val="center"/>
              <w:rPr>
                <w:b/>
                <w:bCs/>
                <w:sz w:val="20"/>
                <w:szCs w:val="20"/>
              </w:rPr>
            </w:pPr>
            <w:r w:rsidRPr="000717E1">
              <w:rPr>
                <w:b/>
                <w:sz w:val="20"/>
                <w:szCs w:val="20"/>
              </w:rPr>
              <w:t>Data cut-off 8 Feb 2023</w:t>
            </w:r>
          </w:p>
        </w:tc>
        <w:tc>
          <w:tcPr>
            <w:tcW w:w="2574" w:type="dxa"/>
            <w:gridSpan w:val="2"/>
            <w:noWrap/>
            <w:hideMark/>
          </w:tcPr>
          <w:p w14:paraId="45E60A51" w14:textId="77777777" w:rsidR="00A979D9" w:rsidRPr="000717E1" w:rsidRDefault="00A979D9" w:rsidP="0006296B">
            <w:pPr>
              <w:pStyle w:val="TableText0"/>
              <w:jc w:val="center"/>
              <w:rPr>
                <w:b/>
                <w:bCs/>
                <w:sz w:val="20"/>
                <w:szCs w:val="20"/>
              </w:rPr>
            </w:pPr>
            <w:r w:rsidRPr="000717E1">
              <w:rPr>
                <w:b/>
                <w:sz w:val="20"/>
                <w:szCs w:val="20"/>
              </w:rPr>
              <w:t>NOTUS</w:t>
            </w:r>
          </w:p>
          <w:p w14:paraId="2526ADF4" w14:textId="77777777" w:rsidR="00A979D9" w:rsidRPr="000717E1" w:rsidRDefault="00A979D9" w:rsidP="0006296B">
            <w:pPr>
              <w:pStyle w:val="TableText0"/>
              <w:jc w:val="center"/>
              <w:rPr>
                <w:b/>
                <w:bCs/>
                <w:sz w:val="20"/>
                <w:szCs w:val="20"/>
              </w:rPr>
            </w:pPr>
            <w:r w:rsidRPr="000717E1">
              <w:rPr>
                <w:b/>
                <w:sz w:val="20"/>
                <w:szCs w:val="20"/>
              </w:rPr>
              <w:t>(ITT population with opportunity to reach Week 52)</w:t>
            </w:r>
          </w:p>
          <w:p w14:paraId="57EC2C07" w14:textId="77777777" w:rsidR="00A979D9" w:rsidRPr="000717E1" w:rsidRDefault="00A979D9" w:rsidP="0006296B">
            <w:pPr>
              <w:pStyle w:val="TableText0"/>
              <w:jc w:val="center"/>
              <w:rPr>
                <w:b/>
                <w:bCs/>
                <w:sz w:val="20"/>
                <w:szCs w:val="20"/>
              </w:rPr>
            </w:pPr>
            <w:r w:rsidRPr="000717E1">
              <w:rPr>
                <w:b/>
                <w:sz w:val="20"/>
                <w:szCs w:val="20"/>
              </w:rPr>
              <w:t>Data cut-off 29 Sept 2023</w:t>
            </w:r>
          </w:p>
        </w:tc>
        <w:tc>
          <w:tcPr>
            <w:tcW w:w="2575" w:type="dxa"/>
            <w:gridSpan w:val="2"/>
            <w:hideMark/>
          </w:tcPr>
          <w:p w14:paraId="1A61DFD6" w14:textId="77777777" w:rsidR="00A979D9" w:rsidRPr="000717E1" w:rsidRDefault="00A979D9" w:rsidP="0006296B">
            <w:pPr>
              <w:pStyle w:val="TableText0"/>
              <w:jc w:val="center"/>
              <w:rPr>
                <w:b/>
                <w:bCs/>
                <w:sz w:val="20"/>
                <w:szCs w:val="20"/>
              </w:rPr>
            </w:pPr>
            <w:r w:rsidRPr="000717E1">
              <w:rPr>
                <w:b/>
                <w:sz w:val="20"/>
                <w:szCs w:val="20"/>
              </w:rPr>
              <w:t>POOLED (ITT population with opportunity to reach Week 52)</w:t>
            </w:r>
          </w:p>
        </w:tc>
      </w:tr>
      <w:tr w:rsidR="00A803ED" w:rsidRPr="000717E1" w14:paraId="1AE88162" w14:textId="77777777" w:rsidTr="005E214F">
        <w:trPr>
          <w:trHeight w:val="64"/>
          <w:tblHeader/>
        </w:trPr>
        <w:tc>
          <w:tcPr>
            <w:tcW w:w="1413" w:type="dxa"/>
            <w:vMerge/>
            <w:hideMark/>
          </w:tcPr>
          <w:p w14:paraId="7C959589" w14:textId="77777777" w:rsidR="00A979D9" w:rsidRPr="000717E1" w:rsidRDefault="00A979D9" w:rsidP="0006296B">
            <w:pPr>
              <w:pStyle w:val="TableText0"/>
              <w:rPr>
                <w:sz w:val="20"/>
                <w:szCs w:val="20"/>
              </w:rPr>
            </w:pPr>
          </w:p>
        </w:tc>
        <w:tc>
          <w:tcPr>
            <w:tcW w:w="1161" w:type="dxa"/>
            <w:hideMark/>
          </w:tcPr>
          <w:p w14:paraId="119690A0" w14:textId="77777777" w:rsidR="00A979D9" w:rsidRPr="000717E1" w:rsidRDefault="00A979D9" w:rsidP="0006296B">
            <w:pPr>
              <w:pStyle w:val="TableText0"/>
              <w:jc w:val="center"/>
              <w:rPr>
                <w:b/>
                <w:sz w:val="20"/>
                <w:szCs w:val="20"/>
              </w:rPr>
            </w:pPr>
            <w:r w:rsidRPr="000717E1">
              <w:rPr>
                <w:sz w:val="20"/>
                <w:szCs w:val="20"/>
              </w:rPr>
              <w:t>Dupilumab</w:t>
            </w:r>
          </w:p>
          <w:p w14:paraId="5836F44F" w14:textId="77777777" w:rsidR="00A979D9" w:rsidRPr="000717E1" w:rsidRDefault="00A979D9" w:rsidP="0006296B">
            <w:pPr>
              <w:pStyle w:val="TableText0"/>
              <w:jc w:val="center"/>
              <w:rPr>
                <w:b/>
                <w:sz w:val="20"/>
                <w:szCs w:val="20"/>
              </w:rPr>
            </w:pPr>
            <w:r w:rsidRPr="000717E1">
              <w:rPr>
                <w:sz w:val="20"/>
                <w:szCs w:val="20"/>
              </w:rPr>
              <w:t>N=468</w:t>
            </w:r>
          </w:p>
        </w:tc>
        <w:tc>
          <w:tcPr>
            <w:tcW w:w="1287" w:type="dxa"/>
            <w:hideMark/>
          </w:tcPr>
          <w:p w14:paraId="4F475EA7" w14:textId="77777777" w:rsidR="00A979D9" w:rsidRPr="000717E1" w:rsidRDefault="00A979D9" w:rsidP="0006296B">
            <w:pPr>
              <w:pStyle w:val="TableText0"/>
              <w:jc w:val="center"/>
              <w:rPr>
                <w:b/>
                <w:sz w:val="20"/>
                <w:szCs w:val="20"/>
              </w:rPr>
            </w:pPr>
            <w:r w:rsidRPr="000717E1">
              <w:rPr>
                <w:sz w:val="20"/>
                <w:szCs w:val="20"/>
              </w:rPr>
              <w:t>Placebo</w:t>
            </w:r>
          </w:p>
          <w:p w14:paraId="0007125A" w14:textId="77777777" w:rsidR="00A979D9" w:rsidRPr="000717E1" w:rsidRDefault="00A979D9" w:rsidP="0006296B">
            <w:pPr>
              <w:pStyle w:val="TableText0"/>
              <w:jc w:val="center"/>
              <w:rPr>
                <w:b/>
                <w:sz w:val="20"/>
                <w:szCs w:val="20"/>
              </w:rPr>
            </w:pPr>
            <w:r w:rsidRPr="000717E1">
              <w:rPr>
                <w:sz w:val="20"/>
                <w:szCs w:val="20"/>
              </w:rPr>
              <w:t>N=471</w:t>
            </w:r>
          </w:p>
        </w:tc>
        <w:tc>
          <w:tcPr>
            <w:tcW w:w="1287" w:type="dxa"/>
            <w:hideMark/>
          </w:tcPr>
          <w:p w14:paraId="2A57A677" w14:textId="77777777" w:rsidR="00A979D9" w:rsidRPr="000717E1" w:rsidRDefault="00A979D9" w:rsidP="0006296B">
            <w:pPr>
              <w:pStyle w:val="TableText0"/>
              <w:jc w:val="center"/>
              <w:rPr>
                <w:b/>
                <w:sz w:val="20"/>
                <w:szCs w:val="20"/>
              </w:rPr>
            </w:pPr>
            <w:r w:rsidRPr="000717E1">
              <w:rPr>
                <w:sz w:val="20"/>
                <w:szCs w:val="20"/>
              </w:rPr>
              <w:t>Dupilumab</w:t>
            </w:r>
          </w:p>
          <w:p w14:paraId="7F99FDAB" w14:textId="77777777" w:rsidR="00A979D9" w:rsidRPr="000717E1" w:rsidRDefault="00A979D9" w:rsidP="0006296B">
            <w:pPr>
              <w:pStyle w:val="TableText0"/>
              <w:jc w:val="center"/>
              <w:rPr>
                <w:b/>
                <w:sz w:val="20"/>
                <w:szCs w:val="20"/>
              </w:rPr>
            </w:pPr>
            <w:r w:rsidRPr="000717E1">
              <w:rPr>
                <w:sz w:val="20"/>
                <w:szCs w:val="20"/>
              </w:rPr>
              <w:t>N=362</w:t>
            </w:r>
          </w:p>
        </w:tc>
        <w:tc>
          <w:tcPr>
            <w:tcW w:w="1287" w:type="dxa"/>
            <w:hideMark/>
          </w:tcPr>
          <w:p w14:paraId="51A579D0" w14:textId="77777777" w:rsidR="00A979D9" w:rsidRPr="000717E1" w:rsidRDefault="00A979D9" w:rsidP="0006296B">
            <w:pPr>
              <w:pStyle w:val="TableText0"/>
              <w:jc w:val="center"/>
              <w:rPr>
                <w:b/>
                <w:sz w:val="20"/>
                <w:szCs w:val="20"/>
              </w:rPr>
            </w:pPr>
            <w:r w:rsidRPr="000717E1">
              <w:rPr>
                <w:sz w:val="20"/>
                <w:szCs w:val="20"/>
              </w:rPr>
              <w:t>Placebo</w:t>
            </w:r>
          </w:p>
          <w:p w14:paraId="543F0198" w14:textId="77777777" w:rsidR="00A979D9" w:rsidRPr="000717E1" w:rsidRDefault="00A979D9" w:rsidP="0006296B">
            <w:pPr>
              <w:pStyle w:val="TableText0"/>
              <w:jc w:val="center"/>
              <w:rPr>
                <w:b/>
                <w:sz w:val="20"/>
                <w:szCs w:val="20"/>
              </w:rPr>
            </w:pPr>
            <w:r w:rsidRPr="000717E1">
              <w:rPr>
                <w:sz w:val="20"/>
                <w:szCs w:val="20"/>
              </w:rPr>
              <w:t>N=359</w:t>
            </w:r>
          </w:p>
        </w:tc>
        <w:tc>
          <w:tcPr>
            <w:tcW w:w="1287" w:type="dxa"/>
            <w:hideMark/>
          </w:tcPr>
          <w:p w14:paraId="102D06AE" w14:textId="77777777" w:rsidR="00A979D9" w:rsidRPr="000717E1" w:rsidRDefault="00A979D9" w:rsidP="0006296B">
            <w:pPr>
              <w:pStyle w:val="TableText0"/>
              <w:jc w:val="center"/>
              <w:rPr>
                <w:b/>
                <w:sz w:val="20"/>
                <w:szCs w:val="20"/>
              </w:rPr>
            </w:pPr>
            <w:r w:rsidRPr="000717E1">
              <w:rPr>
                <w:sz w:val="20"/>
                <w:szCs w:val="20"/>
              </w:rPr>
              <w:t>Dupilumab</w:t>
            </w:r>
          </w:p>
          <w:p w14:paraId="2A65E840" w14:textId="77777777" w:rsidR="00A979D9" w:rsidRPr="000717E1" w:rsidRDefault="00A979D9" w:rsidP="0006296B">
            <w:pPr>
              <w:pStyle w:val="TableText0"/>
              <w:jc w:val="center"/>
              <w:rPr>
                <w:b/>
                <w:sz w:val="20"/>
                <w:szCs w:val="20"/>
              </w:rPr>
            </w:pPr>
            <w:r w:rsidRPr="000717E1">
              <w:rPr>
                <w:sz w:val="20"/>
                <w:szCs w:val="20"/>
              </w:rPr>
              <w:t>N=830</w:t>
            </w:r>
          </w:p>
        </w:tc>
        <w:tc>
          <w:tcPr>
            <w:tcW w:w="1288" w:type="dxa"/>
            <w:hideMark/>
          </w:tcPr>
          <w:p w14:paraId="228BAB14" w14:textId="77777777" w:rsidR="00A979D9" w:rsidRPr="000717E1" w:rsidRDefault="00A979D9" w:rsidP="0006296B">
            <w:pPr>
              <w:pStyle w:val="TableText0"/>
              <w:jc w:val="center"/>
              <w:rPr>
                <w:b/>
                <w:sz w:val="20"/>
                <w:szCs w:val="20"/>
              </w:rPr>
            </w:pPr>
            <w:r w:rsidRPr="000717E1">
              <w:rPr>
                <w:sz w:val="20"/>
                <w:szCs w:val="20"/>
              </w:rPr>
              <w:t>Placebo</w:t>
            </w:r>
          </w:p>
          <w:p w14:paraId="632EF136" w14:textId="77777777" w:rsidR="00A979D9" w:rsidRPr="000717E1" w:rsidRDefault="00A979D9" w:rsidP="0006296B">
            <w:pPr>
              <w:pStyle w:val="TableText0"/>
              <w:jc w:val="center"/>
              <w:rPr>
                <w:b/>
                <w:sz w:val="20"/>
                <w:szCs w:val="20"/>
              </w:rPr>
            </w:pPr>
            <w:r w:rsidRPr="000717E1">
              <w:rPr>
                <w:sz w:val="20"/>
                <w:szCs w:val="20"/>
              </w:rPr>
              <w:t>N=830</w:t>
            </w:r>
          </w:p>
        </w:tc>
      </w:tr>
      <w:tr w:rsidR="00A803ED" w:rsidRPr="000717E1" w14:paraId="5CC9061F" w14:textId="77777777" w:rsidTr="005E214F">
        <w:trPr>
          <w:trHeight w:val="57"/>
        </w:trPr>
        <w:tc>
          <w:tcPr>
            <w:tcW w:w="1413" w:type="dxa"/>
            <w:hideMark/>
          </w:tcPr>
          <w:p w14:paraId="64B83B21" w14:textId="77777777" w:rsidR="00A979D9" w:rsidRPr="000717E1" w:rsidRDefault="00A979D9" w:rsidP="0006296B">
            <w:pPr>
              <w:pStyle w:val="TableText0"/>
              <w:rPr>
                <w:sz w:val="20"/>
                <w:szCs w:val="20"/>
              </w:rPr>
            </w:pPr>
            <w:r w:rsidRPr="000717E1">
              <w:rPr>
                <w:sz w:val="20"/>
                <w:szCs w:val="20"/>
              </w:rPr>
              <w:t>Baseline SGRQ mean total score (SD)</w:t>
            </w:r>
          </w:p>
        </w:tc>
        <w:tc>
          <w:tcPr>
            <w:tcW w:w="1161" w:type="dxa"/>
            <w:hideMark/>
          </w:tcPr>
          <w:p w14:paraId="0AC1597A" w14:textId="77777777" w:rsidR="00A979D9" w:rsidRPr="000717E1" w:rsidRDefault="00A979D9" w:rsidP="0006296B">
            <w:pPr>
              <w:pStyle w:val="TableText0"/>
              <w:jc w:val="center"/>
              <w:rPr>
                <w:iCs/>
                <w:sz w:val="20"/>
                <w:szCs w:val="20"/>
              </w:rPr>
            </w:pPr>
            <w:r w:rsidRPr="000717E1">
              <w:rPr>
                <w:sz w:val="20"/>
                <w:szCs w:val="20"/>
              </w:rPr>
              <w:t>48.42 (17.04)</w:t>
            </w:r>
          </w:p>
        </w:tc>
        <w:tc>
          <w:tcPr>
            <w:tcW w:w="1287" w:type="dxa"/>
            <w:hideMark/>
          </w:tcPr>
          <w:p w14:paraId="369253CB" w14:textId="77777777" w:rsidR="00A979D9" w:rsidRPr="000717E1" w:rsidRDefault="00A979D9" w:rsidP="0006296B">
            <w:pPr>
              <w:pStyle w:val="TableText0"/>
              <w:jc w:val="center"/>
              <w:rPr>
                <w:iCs/>
                <w:sz w:val="20"/>
                <w:szCs w:val="20"/>
              </w:rPr>
            </w:pPr>
            <w:r w:rsidRPr="000717E1">
              <w:rPr>
                <w:sz w:val="20"/>
                <w:szCs w:val="20"/>
              </w:rPr>
              <w:t>48.41 (17.80)</w:t>
            </w:r>
          </w:p>
        </w:tc>
        <w:tc>
          <w:tcPr>
            <w:tcW w:w="1287" w:type="dxa"/>
            <w:hideMark/>
          </w:tcPr>
          <w:p w14:paraId="26A56E9C" w14:textId="77777777" w:rsidR="00A979D9" w:rsidRPr="000717E1" w:rsidRDefault="00A979D9" w:rsidP="0006296B">
            <w:pPr>
              <w:pStyle w:val="TableText0"/>
              <w:jc w:val="center"/>
              <w:rPr>
                <w:iCs/>
                <w:sz w:val="20"/>
                <w:szCs w:val="20"/>
              </w:rPr>
            </w:pPr>
            <w:r w:rsidRPr="000717E1">
              <w:rPr>
                <w:sz w:val="20"/>
                <w:szCs w:val="20"/>
              </w:rPr>
              <w:t>52.66 (17.03)</w:t>
            </w:r>
          </w:p>
        </w:tc>
        <w:tc>
          <w:tcPr>
            <w:tcW w:w="1287" w:type="dxa"/>
            <w:hideMark/>
          </w:tcPr>
          <w:p w14:paraId="339124AC" w14:textId="77777777" w:rsidR="00A979D9" w:rsidRPr="000717E1" w:rsidRDefault="00A979D9" w:rsidP="0006296B">
            <w:pPr>
              <w:pStyle w:val="TableText0"/>
              <w:jc w:val="center"/>
              <w:rPr>
                <w:iCs/>
                <w:sz w:val="20"/>
                <w:szCs w:val="20"/>
              </w:rPr>
            </w:pPr>
            <w:r w:rsidRPr="000717E1">
              <w:rPr>
                <w:sz w:val="20"/>
                <w:szCs w:val="20"/>
              </w:rPr>
              <w:t>51.01 (16.14)</w:t>
            </w:r>
          </w:p>
        </w:tc>
        <w:tc>
          <w:tcPr>
            <w:tcW w:w="1287" w:type="dxa"/>
            <w:hideMark/>
          </w:tcPr>
          <w:p w14:paraId="6238B7B2" w14:textId="77777777" w:rsidR="00A979D9" w:rsidRPr="000717E1" w:rsidRDefault="00A979D9" w:rsidP="0006296B">
            <w:pPr>
              <w:pStyle w:val="TableText0"/>
              <w:jc w:val="center"/>
              <w:rPr>
                <w:iCs/>
                <w:sz w:val="20"/>
                <w:szCs w:val="20"/>
              </w:rPr>
            </w:pPr>
            <w:r w:rsidRPr="000717E1">
              <w:rPr>
                <w:sz w:val="20"/>
                <w:szCs w:val="20"/>
              </w:rPr>
              <w:t>50.26 (17.16)</w:t>
            </w:r>
          </w:p>
        </w:tc>
        <w:tc>
          <w:tcPr>
            <w:tcW w:w="1288" w:type="dxa"/>
            <w:hideMark/>
          </w:tcPr>
          <w:p w14:paraId="34EC0001" w14:textId="77777777" w:rsidR="00A979D9" w:rsidRPr="000717E1" w:rsidRDefault="00A979D9" w:rsidP="0006296B">
            <w:pPr>
              <w:pStyle w:val="TableText0"/>
              <w:jc w:val="center"/>
              <w:rPr>
                <w:iCs/>
                <w:sz w:val="20"/>
                <w:szCs w:val="20"/>
              </w:rPr>
            </w:pPr>
            <w:r w:rsidRPr="000717E1">
              <w:rPr>
                <w:sz w:val="20"/>
                <w:szCs w:val="20"/>
              </w:rPr>
              <w:t>49.53 (17.15)</w:t>
            </w:r>
          </w:p>
        </w:tc>
      </w:tr>
      <w:tr w:rsidR="005022B5" w:rsidRPr="000717E1" w14:paraId="4752C710" w14:textId="77777777">
        <w:trPr>
          <w:trHeight w:val="57"/>
        </w:trPr>
        <w:tc>
          <w:tcPr>
            <w:tcW w:w="9010" w:type="dxa"/>
            <w:gridSpan w:val="7"/>
            <w:hideMark/>
          </w:tcPr>
          <w:p w14:paraId="26FCB259" w14:textId="77777777" w:rsidR="00A979D9" w:rsidRPr="000717E1" w:rsidRDefault="00A979D9" w:rsidP="0006296B">
            <w:pPr>
              <w:pStyle w:val="TableText0"/>
              <w:rPr>
                <w:sz w:val="20"/>
                <w:szCs w:val="20"/>
              </w:rPr>
            </w:pPr>
            <w:r w:rsidRPr="000717E1">
              <w:rPr>
                <w:sz w:val="20"/>
                <w:szCs w:val="20"/>
              </w:rPr>
              <w:t>Change from baseline at Week 52</w:t>
            </w:r>
          </w:p>
        </w:tc>
      </w:tr>
      <w:tr w:rsidR="00A803ED" w:rsidRPr="000717E1" w14:paraId="19FE33A7" w14:textId="77777777" w:rsidTr="005E214F">
        <w:trPr>
          <w:trHeight w:val="57"/>
        </w:trPr>
        <w:tc>
          <w:tcPr>
            <w:tcW w:w="1413" w:type="dxa"/>
          </w:tcPr>
          <w:p w14:paraId="4DAB9CA2" w14:textId="77777777" w:rsidR="00A979D9" w:rsidRPr="000717E1" w:rsidRDefault="00A979D9" w:rsidP="0006296B">
            <w:pPr>
              <w:pStyle w:val="TableText0"/>
              <w:rPr>
                <w:sz w:val="20"/>
                <w:szCs w:val="20"/>
              </w:rPr>
            </w:pPr>
            <w:r w:rsidRPr="000717E1">
              <w:rPr>
                <w:sz w:val="20"/>
                <w:szCs w:val="20"/>
              </w:rPr>
              <w:t>n</w:t>
            </w:r>
          </w:p>
        </w:tc>
        <w:tc>
          <w:tcPr>
            <w:tcW w:w="1161" w:type="dxa"/>
          </w:tcPr>
          <w:p w14:paraId="4BA4DB4D" w14:textId="77777777" w:rsidR="00A979D9" w:rsidRPr="000717E1" w:rsidRDefault="00A979D9" w:rsidP="0006296B">
            <w:pPr>
              <w:pStyle w:val="TableText0"/>
              <w:jc w:val="center"/>
              <w:rPr>
                <w:iCs/>
                <w:sz w:val="20"/>
                <w:szCs w:val="20"/>
              </w:rPr>
            </w:pPr>
            <w:r w:rsidRPr="000717E1">
              <w:rPr>
                <w:sz w:val="20"/>
                <w:szCs w:val="20"/>
              </w:rPr>
              <w:t>415</w:t>
            </w:r>
          </w:p>
        </w:tc>
        <w:tc>
          <w:tcPr>
            <w:tcW w:w="1287" w:type="dxa"/>
          </w:tcPr>
          <w:p w14:paraId="0E7DFAC2" w14:textId="77777777" w:rsidR="00A979D9" w:rsidRPr="000717E1" w:rsidRDefault="00A979D9" w:rsidP="0006296B">
            <w:pPr>
              <w:pStyle w:val="TableText0"/>
              <w:jc w:val="center"/>
              <w:rPr>
                <w:iCs/>
                <w:sz w:val="20"/>
                <w:szCs w:val="20"/>
              </w:rPr>
            </w:pPr>
            <w:r w:rsidRPr="000717E1">
              <w:rPr>
                <w:sz w:val="20"/>
                <w:szCs w:val="20"/>
              </w:rPr>
              <w:t>400</w:t>
            </w:r>
          </w:p>
        </w:tc>
        <w:tc>
          <w:tcPr>
            <w:tcW w:w="1287" w:type="dxa"/>
          </w:tcPr>
          <w:p w14:paraId="12099987" w14:textId="77777777" w:rsidR="00A979D9" w:rsidRPr="000717E1" w:rsidRDefault="00A979D9" w:rsidP="0006296B">
            <w:pPr>
              <w:pStyle w:val="TableText0"/>
              <w:jc w:val="center"/>
              <w:rPr>
                <w:iCs/>
                <w:sz w:val="20"/>
                <w:szCs w:val="20"/>
              </w:rPr>
            </w:pPr>
            <w:r w:rsidRPr="000717E1">
              <w:rPr>
                <w:sz w:val="20"/>
                <w:szCs w:val="20"/>
              </w:rPr>
              <w:t>317</w:t>
            </w:r>
          </w:p>
        </w:tc>
        <w:tc>
          <w:tcPr>
            <w:tcW w:w="1287" w:type="dxa"/>
          </w:tcPr>
          <w:p w14:paraId="15539A99" w14:textId="77777777" w:rsidR="00A979D9" w:rsidRPr="000717E1" w:rsidRDefault="00A979D9" w:rsidP="0006296B">
            <w:pPr>
              <w:pStyle w:val="TableText0"/>
              <w:jc w:val="center"/>
              <w:rPr>
                <w:iCs/>
                <w:sz w:val="20"/>
                <w:szCs w:val="20"/>
              </w:rPr>
            </w:pPr>
            <w:r w:rsidRPr="000717E1">
              <w:rPr>
                <w:sz w:val="20"/>
                <w:szCs w:val="20"/>
              </w:rPr>
              <w:t>310</w:t>
            </w:r>
          </w:p>
        </w:tc>
        <w:tc>
          <w:tcPr>
            <w:tcW w:w="1287" w:type="dxa"/>
          </w:tcPr>
          <w:p w14:paraId="435EAF28" w14:textId="77777777" w:rsidR="00A979D9" w:rsidRPr="000717E1" w:rsidRDefault="00A979D9" w:rsidP="0006296B">
            <w:pPr>
              <w:pStyle w:val="TableText0"/>
              <w:jc w:val="center"/>
              <w:rPr>
                <w:iCs/>
                <w:sz w:val="20"/>
                <w:szCs w:val="20"/>
              </w:rPr>
            </w:pPr>
            <w:r w:rsidRPr="000717E1">
              <w:rPr>
                <w:sz w:val="20"/>
                <w:szCs w:val="20"/>
              </w:rPr>
              <w:t>732</w:t>
            </w:r>
          </w:p>
        </w:tc>
        <w:tc>
          <w:tcPr>
            <w:tcW w:w="1288" w:type="dxa"/>
          </w:tcPr>
          <w:p w14:paraId="227267A0" w14:textId="77777777" w:rsidR="00A979D9" w:rsidRPr="000717E1" w:rsidRDefault="00A979D9" w:rsidP="0006296B">
            <w:pPr>
              <w:pStyle w:val="TableText0"/>
              <w:jc w:val="center"/>
              <w:rPr>
                <w:iCs/>
                <w:sz w:val="20"/>
                <w:szCs w:val="20"/>
              </w:rPr>
            </w:pPr>
            <w:r w:rsidRPr="000717E1">
              <w:rPr>
                <w:sz w:val="20"/>
                <w:szCs w:val="20"/>
              </w:rPr>
              <w:t>710</w:t>
            </w:r>
          </w:p>
        </w:tc>
      </w:tr>
      <w:tr w:rsidR="00A803ED" w:rsidRPr="000717E1" w14:paraId="223C6370" w14:textId="77777777" w:rsidTr="005E214F">
        <w:trPr>
          <w:trHeight w:val="57"/>
        </w:trPr>
        <w:tc>
          <w:tcPr>
            <w:tcW w:w="1413" w:type="dxa"/>
            <w:hideMark/>
          </w:tcPr>
          <w:p w14:paraId="48104EEE" w14:textId="77777777" w:rsidR="00A979D9" w:rsidRPr="000717E1" w:rsidRDefault="00A979D9" w:rsidP="0006296B">
            <w:pPr>
              <w:pStyle w:val="TableText0"/>
              <w:rPr>
                <w:sz w:val="20"/>
                <w:szCs w:val="20"/>
              </w:rPr>
            </w:pPr>
            <w:r w:rsidRPr="000717E1">
              <w:rPr>
                <w:sz w:val="20"/>
                <w:szCs w:val="20"/>
              </w:rPr>
              <w:t>Mean (SD)</w:t>
            </w:r>
          </w:p>
        </w:tc>
        <w:tc>
          <w:tcPr>
            <w:tcW w:w="1161" w:type="dxa"/>
            <w:hideMark/>
          </w:tcPr>
          <w:p w14:paraId="34B0E251" w14:textId="77777777" w:rsidR="00A979D9" w:rsidRPr="000717E1" w:rsidRDefault="00A979D9" w:rsidP="0006296B">
            <w:pPr>
              <w:pStyle w:val="TableText0"/>
              <w:jc w:val="center"/>
              <w:rPr>
                <w:iCs/>
                <w:sz w:val="20"/>
                <w:szCs w:val="20"/>
              </w:rPr>
            </w:pPr>
            <w:r w:rsidRPr="000717E1">
              <w:rPr>
                <w:sz w:val="20"/>
                <w:szCs w:val="20"/>
              </w:rPr>
              <w:t>-9.44 (18.30)</w:t>
            </w:r>
          </w:p>
        </w:tc>
        <w:tc>
          <w:tcPr>
            <w:tcW w:w="1287" w:type="dxa"/>
            <w:hideMark/>
          </w:tcPr>
          <w:p w14:paraId="00E71FD0" w14:textId="77777777" w:rsidR="00A979D9" w:rsidRPr="000717E1" w:rsidRDefault="00A979D9" w:rsidP="0006296B">
            <w:pPr>
              <w:pStyle w:val="TableText0"/>
              <w:jc w:val="center"/>
              <w:rPr>
                <w:iCs/>
                <w:sz w:val="20"/>
                <w:szCs w:val="20"/>
              </w:rPr>
            </w:pPr>
            <w:r w:rsidRPr="000717E1">
              <w:rPr>
                <w:sz w:val="20"/>
                <w:szCs w:val="20"/>
              </w:rPr>
              <w:t>-6.16 (17.59)</w:t>
            </w:r>
          </w:p>
        </w:tc>
        <w:tc>
          <w:tcPr>
            <w:tcW w:w="1287" w:type="dxa"/>
            <w:hideMark/>
          </w:tcPr>
          <w:p w14:paraId="3DBC0EA2" w14:textId="77777777" w:rsidR="00A979D9" w:rsidRPr="000717E1" w:rsidRDefault="00A979D9" w:rsidP="0006296B">
            <w:pPr>
              <w:pStyle w:val="TableText0"/>
              <w:jc w:val="center"/>
              <w:rPr>
                <w:iCs/>
                <w:sz w:val="20"/>
                <w:szCs w:val="20"/>
              </w:rPr>
            </w:pPr>
            <w:r w:rsidRPr="000717E1">
              <w:rPr>
                <w:sz w:val="20"/>
                <w:szCs w:val="20"/>
              </w:rPr>
              <w:t>-9.87 (18.04)</w:t>
            </w:r>
          </w:p>
        </w:tc>
        <w:tc>
          <w:tcPr>
            <w:tcW w:w="1287" w:type="dxa"/>
            <w:hideMark/>
          </w:tcPr>
          <w:p w14:paraId="728A2CCC" w14:textId="77777777" w:rsidR="00A979D9" w:rsidRPr="000717E1" w:rsidRDefault="00A979D9" w:rsidP="0006296B">
            <w:pPr>
              <w:pStyle w:val="TableText0"/>
              <w:jc w:val="center"/>
              <w:rPr>
                <w:iCs/>
                <w:sz w:val="20"/>
                <w:szCs w:val="20"/>
              </w:rPr>
            </w:pPr>
            <w:r w:rsidRPr="000717E1">
              <w:rPr>
                <w:sz w:val="20"/>
                <w:szCs w:val="20"/>
              </w:rPr>
              <w:t>-5.86 (15.76)</w:t>
            </w:r>
          </w:p>
        </w:tc>
        <w:tc>
          <w:tcPr>
            <w:tcW w:w="1287" w:type="dxa"/>
            <w:hideMark/>
          </w:tcPr>
          <w:p w14:paraId="39E59282" w14:textId="77777777" w:rsidR="00A979D9" w:rsidRPr="000717E1" w:rsidRDefault="00A979D9" w:rsidP="0006296B">
            <w:pPr>
              <w:pStyle w:val="TableText0"/>
              <w:jc w:val="center"/>
              <w:rPr>
                <w:iCs/>
                <w:sz w:val="20"/>
                <w:szCs w:val="20"/>
              </w:rPr>
            </w:pPr>
            <w:r w:rsidRPr="000717E1">
              <w:rPr>
                <w:sz w:val="20"/>
                <w:szCs w:val="20"/>
              </w:rPr>
              <w:t>-9.63 (18.18)</w:t>
            </w:r>
          </w:p>
        </w:tc>
        <w:tc>
          <w:tcPr>
            <w:tcW w:w="1288" w:type="dxa"/>
            <w:hideMark/>
          </w:tcPr>
          <w:p w14:paraId="37325D91" w14:textId="77777777" w:rsidR="00A979D9" w:rsidRPr="000717E1" w:rsidRDefault="00A979D9" w:rsidP="0006296B">
            <w:pPr>
              <w:pStyle w:val="TableText0"/>
              <w:jc w:val="center"/>
              <w:rPr>
                <w:iCs/>
                <w:sz w:val="20"/>
                <w:szCs w:val="20"/>
              </w:rPr>
            </w:pPr>
            <w:r w:rsidRPr="000717E1">
              <w:rPr>
                <w:sz w:val="20"/>
                <w:szCs w:val="20"/>
              </w:rPr>
              <w:t>-6.03 (16.80)</w:t>
            </w:r>
          </w:p>
        </w:tc>
      </w:tr>
      <w:tr w:rsidR="00A803ED" w:rsidRPr="000717E1" w14:paraId="5EA674F4" w14:textId="77777777" w:rsidTr="005E214F">
        <w:trPr>
          <w:trHeight w:val="57"/>
        </w:trPr>
        <w:tc>
          <w:tcPr>
            <w:tcW w:w="1413" w:type="dxa"/>
            <w:hideMark/>
          </w:tcPr>
          <w:p w14:paraId="01BF786A" w14:textId="77777777" w:rsidR="00A979D9" w:rsidRPr="000717E1" w:rsidRDefault="00A979D9" w:rsidP="0006296B">
            <w:pPr>
              <w:pStyle w:val="TableText0"/>
              <w:rPr>
                <w:sz w:val="20"/>
                <w:szCs w:val="20"/>
              </w:rPr>
            </w:pPr>
            <w:r w:rsidRPr="000717E1">
              <w:rPr>
                <w:sz w:val="20"/>
                <w:szCs w:val="20"/>
              </w:rPr>
              <w:t>LS mean (SE)</w:t>
            </w:r>
            <w:r w:rsidRPr="000717E1">
              <w:rPr>
                <w:sz w:val="20"/>
                <w:szCs w:val="20"/>
                <w:vertAlign w:val="superscript"/>
              </w:rPr>
              <w:t>a</w:t>
            </w:r>
          </w:p>
        </w:tc>
        <w:tc>
          <w:tcPr>
            <w:tcW w:w="1161" w:type="dxa"/>
            <w:hideMark/>
          </w:tcPr>
          <w:p w14:paraId="297B1AE1" w14:textId="77777777" w:rsidR="00A979D9" w:rsidRPr="000717E1" w:rsidRDefault="00A979D9" w:rsidP="0006296B">
            <w:pPr>
              <w:pStyle w:val="TableText0"/>
              <w:jc w:val="center"/>
              <w:rPr>
                <w:iCs/>
                <w:sz w:val="20"/>
                <w:szCs w:val="20"/>
              </w:rPr>
            </w:pPr>
            <w:r w:rsidRPr="000717E1">
              <w:rPr>
                <w:sz w:val="20"/>
                <w:szCs w:val="20"/>
              </w:rPr>
              <w:t>-9.732 (0.810)</w:t>
            </w:r>
          </w:p>
        </w:tc>
        <w:tc>
          <w:tcPr>
            <w:tcW w:w="1287" w:type="dxa"/>
            <w:hideMark/>
          </w:tcPr>
          <w:p w14:paraId="72C2EF32" w14:textId="77777777" w:rsidR="00A979D9" w:rsidRPr="000717E1" w:rsidRDefault="00A979D9" w:rsidP="0006296B">
            <w:pPr>
              <w:pStyle w:val="TableText0"/>
              <w:jc w:val="center"/>
              <w:rPr>
                <w:iCs/>
                <w:sz w:val="20"/>
                <w:szCs w:val="20"/>
              </w:rPr>
            </w:pPr>
            <w:r w:rsidRPr="000717E1">
              <w:rPr>
                <w:sz w:val="20"/>
                <w:szCs w:val="20"/>
              </w:rPr>
              <w:t>-6.369 (0.816)</w:t>
            </w:r>
          </w:p>
        </w:tc>
        <w:tc>
          <w:tcPr>
            <w:tcW w:w="1287" w:type="dxa"/>
            <w:hideMark/>
          </w:tcPr>
          <w:p w14:paraId="3B5F509E" w14:textId="77777777" w:rsidR="00A979D9" w:rsidRPr="000717E1" w:rsidRDefault="00A979D9" w:rsidP="0006296B">
            <w:pPr>
              <w:pStyle w:val="TableText0"/>
              <w:jc w:val="center"/>
              <w:rPr>
                <w:iCs/>
                <w:sz w:val="20"/>
                <w:szCs w:val="20"/>
              </w:rPr>
            </w:pPr>
            <w:r w:rsidRPr="000717E1">
              <w:rPr>
                <w:sz w:val="20"/>
                <w:szCs w:val="20"/>
              </w:rPr>
              <w:t>-9.816 (0.920)</w:t>
            </w:r>
          </w:p>
        </w:tc>
        <w:tc>
          <w:tcPr>
            <w:tcW w:w="1287" w:type="dxa"/>
            <w:hideMark/>
          </w:tcPr>
          <w:p w14:paraId="52A49630" w14:textId="77777777" w:rsidR="00A979D9" w:rsidRPr="000717E1" w:rsidRDefault="00A979D9" w:rsidP="0006296B">
            <w:pPr>
              <w:pStyle w:val="TableText0"/>
              <w:jc w:val="center"/>
              <w:rPr>
                <w:iCs/>
                <w:sz w:val="20"/>
                <w:szCs w:val="20"/>
              </w:rPr>
            </w:pPr>
            <w:r w:rsidRPr="000717E1">
              <w:rPr>
                <w:sz w:val="20"/>
                <w:szCs w:val="20"/>
              </w:rPr>
              <w:t>-6.444 (0.922)</w:t>
            </w:r>
          </w:p>
        </w:tc>
        <w:tc>
          <w:tcPr>
            <w:tcW w:w="1287" w:type="dxa"/>
            <w:hideMark/>
          </w:tcPr>
          <w:p w14:paraId="0F2292A5" w14:textId="77777777" w:rsidR="00A979D9" w:rsidRPr="000717E1" w:rsidRDefault="00A979D9" w:rsidP="0006296B">
            <w:pPr>
              <w:pStyle w:val="TableText0"/>
              <w:jc w:val="center"/>
              <w:rPr>
                <w:iCs/>
                <w:sz w:val="20"/>
                <w:szCs w:val="20"/>
              </w:rPr>
            </w:pPr>
            <w:r w:rsidRPr="000717E1">
              <w:rPr>
                <w:sz w:val="20"/>
                <w:szCs w:val="20"/>
              </w:rPr>
              <w:t>-9.945 (0.636)</w:t>
            </w:r>
          </w:p>
        </w:tc>
        <w:tc>
          <w:tcPr>
            <w:tcW w:w="1288" w:type="dxa"/>
            <w:hideMark/>
          </w:tcPr>
          <w:p w14:paraId="3C608A4D" w14:textId="77777777" w:rsidR="00A979D9" w:rsidRPr="000717E1" w:rsidRDefault="00A979D9" w:rsidP="0006296B">
            <w:pPr>
              <w:pStyle w:val="TableText0"/>
              <w:jc w:val="center"/>
              <w:rPr>
                <w:iCs/>
                <w:sz w:val="20"/>
                <w:szCs w:val="20"/>
              </w:rPr>
            </w:pPr>
            <w:r w:rsidRPr="000717E1">
              <w:rPr>
                <w:sz w:val="20"/>
                <w:szCs w:val="20"/>
              </w:rPr>
              <w:t>-6.579 (0.640)</w:t>
            </w:r>
          </w:p>
        </w:tc>
      </w:tr>
      <w:tr w:rsidR="00770CFB" w:rsidRPr="000717E1" w14:paraId="47EF1421" w14:textId="77777777" w:rsidTr="005E214F">
        <w:trPr>
          <w:trHeight w:val="57"/>
        </w:trPr>
        <w:tc>
          <w:tcPr>
            <w:tcW w:w="1413" w:type="dxa"/>
            <w:hideMark/>
          </w:tcPr>
          <w:p w14:paraId="32E18B55" w14:textId="77777777" w:rsidR="00A979D9" w:rsidRPr="000717E1" w:rsidRDefault="00A979D9" w:rsidP="0006296B">
            <w:pPr>
              <w:pStyle w:val="TableText0"/>
              <w:rPr>
                <w:sz w:val="20"/>
                <w:szCs w:val="20"/>
              </w:rPr>
            </w:pPr>
            <w:r w:rsidRPr="000717E1">
              <w:rPr>
                <w:sz w:val="20"/>
                <w:szCs w:val="20"/>
              </w:rPr>
              <w:t>LS mean difference, 95% CI p-</w:t>
            </w:r>
            <w:proofErr w:type="spellStart"/>
            <w:r w:rsidRPr="000717E1">
              <w:rPr>
                <w:sz w:val="20"/>
                <w:szCs w:val="20"/>
              </w:rPr>
              <w:t>value</w:t>
            </w:r>
            <w:r w:rsidRPr="000717E1">
              <w:rPr>
                <w:sz w:val="20"/>
                <w:szCs w:val="20"/>
                <w:vertAlign w:val="superscript"/>
              </w:rPr>
              <w:t>a</w:t>
            </w:r>
            <w:proofErr w:type="spellEnd"/>
          </w:p>
        </w:tc>
        <w:tc>
          <w:tcPr>
            <w:tcW w:w="2448" w:type="dxa"/>
            <w:gridSpan w:val="2"/>
            <w:hideMark/>
          </w:tcPr>
          <w:p w14:paraId="11AB1BCA" w14:textId="77777777" w:rsidR="00A979D9" w:rsidRPr="000717E1" w:rsidRDefault="00A979D9" w:rsidP="0006296B">
            <w:pPr>
              <w:pStyle w:val="TableText0"/>
              <w:jc w:val="center"/>
              <w:rPr>
                <w:b/>
                <w:iCs/>
                <w:sz w:val="20"/>
                <w:szCs w:val="20"/>
              </w:rPr>
            </w:pPr>
            <w:r w:rsidRPr="000717E1">
              <w:rPr>
                <w:b/>
                <w:sz w:val="20"/>
                <w:szCs w:val="20"/>
              </w:rPr>
              <w:t>-3.363 (-5.459 to -1.266)</w:t>
            </w:r>
          </w:p>
          <w:p w14:paraId="6C55DB0A" w14:textId="77777777" w:rsidR="00A979D9" w:rsidRPr="000717E1" w:rsidRDefault="00A979D9" w:rsidP="0006296B">
            <w:pPr>
              <w:pStyle w:val="TableText0"/>
              <w:jc w:val="center"/>
              <w:rPr>
                <w:b/>
                <w:iCs/>
                <w:sz w:val="20"/>
                <w:szCs w:val="20"/>
              </w:rPr>
            </w:pPr>
            <w:r w:rsidRPr="000717E1">
              <w:rPr>
                <w:b/>
                <w:sz w:val="20"/>
                <w:szCs w:val="20"/>
              </w:rPr>
              <w:t>p=0.0017</w:t>
            </w:r>
          </w:p>
        </w:tc>
        <w:tc>
          <w:tcPr>
            <w:tcW w:w="2574" w:type="dxa"/>
            <w:gridSpan w:val="2"/>
            <w:hideMark/>
          </w:tcPr>
          <w:p w14:paraId="34C0F37D" w14:textId="77777777" w:rsidR="00A979D9" w:rsidRPr="000717E1" w:rsidRDefault="00A979D9" w:rsidP="0006296B">
            <w:pPr>
              <w:pStyle w:val="TableText0"/>
              <w:jc w:val="center"/>
              <w:rPr>
                <w:b/>
                <w:iCs/>
                <w:sz w:val="20"/>
                <w:szCs w:val="20"/>
              </w:rPr>
            </w:pPr>
            <w:r w:rsidRPr="000717E1">
              <w:rPr>
                <w:b/>
                <w:sz w:val="20"/>
                <w:szCs w:val="20"/>
              </w:rPr>
              <w:t>-3.371 (-5.811 to -0.931)</w:t>
            </w:r>
          </w:p>
          <w:p w14:paraId="6949C8C4" w14:textId="77777777" w:rsidR="00A979D9" w:rsidRPr="000717E1" w:rsidRDefault="00A979D9" w:rsidP="0006296B">
            <w:pPr>
              <w:pStyle w:val="TableText0"/>
              <w:jc w:val="center"/>
              <w:rPr>
                <w:b/>
                <w:iCs/>
                <w:sz w:val="20"/>
                <w:szCs w:val="20"/>
              </w:rPr>
            </w:pPr>
            <w:r w:rsidRPr="000717E1">
              <w:rPr>
                <w:b/>
                <w:sz w:val="20"/>
                <w:szCs w:val="20"/>
              </w:rPr>
              <w:t>p=0.0068</w:t>
            </w:r>
          </w:p>
        </w:tc>
        <w:tc>
          <w:tcPr>
            <w:tcW w:w="2575" w:type="dxa"/>
            <w:gridSpan w:val="2"/>
            <w:hideMark/>
          </w:tcPr>
          <w:p w14:paraId="4EA7F68C" w14:textId="77777777" w:rsidR="00A979D9" w:rsidRPr="000717E1" w:rsidRDefault="00A979D9" w:rsidP="0006296B">
            <w:pPr>
              <w:pStyle w:val="TableText0"/>
              <w:jc w:val="center"/>
              <w:rPr>
                <w:b/>
                <w:iCs/>
                <w:sz w:val="20"/>
                <w:szCs w:val="20"/>
              </w:rPr>
            </w:pPr>
            <w:r w:rsidRPr="000717E1">
              <w:rPr>
                <w:b/>
                <w:sz w:val="20"/>
                <w:szCs w:val="20"/>
              </w:rPr>
              <w:t>-3.366 (-4.953 to -1.778)</w:t>
            </w:r>
          </w:p>
          <w:p w14:paraId="1CAA2F8E" w14:textId="77777777" w:rsidR="00A979D9" w:rsidRPr="000717E1" w:rsidRDefault="00A979D9" w:rsidP="0006296B">
            <w:pPr>
              <w:pStyle w:val="TableText0"/>
              <w:jc w:val="center"/>
              <w:rPr>
                <w:b/>
                <w:iCs/>
                <w:sz w:val="20"/>
                <w:szCs w:val="20"/>
              </w:rPr>
            </w:pPr>
            <w:r w:rsidRPr="000717E1">
              <w:rPr>
                <w:b/>
                <w:sz w:val="20"/>
                <w:szCs w:val="20"/>
              </w:rPr>
              <w:t>p&lt;0.0001</w:t>
            </w:r>
          </w:p>
        </w:tc>
      </w:tr>
    </w:tbl>
    <w:p w14:paraId="39E42302" w14:textId="77777777" w:rsidR="00A979D9" w:rsidRPr="000717E1" w:rsidRDefault="00A979D9" w:rsidP="005B63F4">
      <w:pPr>
        <w:pStyle w:val="TableFigureFooter"/>
      </w:pPr>
      <w:r w:rsidRPr="000717E1">
        <w:t>Source: Table 2.5-8 p83 of the submission.</w:t>
      </w:r>
    </w:p>
    <w:p w14:paraId="001FE896" w14:textId="62BAC515" w:rsidR="00A979D9" w:rsidRPr="000717E1" w:rsidRDefault="00A979D9" w:rsidP="005B63F4">
      <w:pPr>
        <w:pStyle w:val="TableFigureFooter"/>
      </w:pPr>
      <w:r w:rsidRPr="000717E1">
        <w:t>CI = confidence interval; ITT = intention to treat; LS = least squares; MMRM</w:t>
      </w:r>
      <w:r w:rsidR="00186DE3" w:rsidRPr="000717E1">
        <w:t xml:space="preserve"> = </w:t>
      </w:r>
      <w:r w:rsidRPr="000717E1">
        <w:t>Mixed-effect Model with Repeated Measures; n = number of patients with event; N = total patients in group; pre-BD FEV</w:t>
      </w:r>
      <w:r w:rsidRPr="000717E1">
        <w:rPr>
          <w:vertAlign w:val="subscript"/>
        </w:rPr>
        <w:t xml:space="preserve">1 </w:t>
      </w:r>
      <w:r w:rsidRPr="000717E1">
        <w:t>= pre-bronchodilator forced expiratory volume in 1 second; SD = standard deviation; SE = standard error; SGRQ</w:t>
      </w:r>
      <w:r w:rsidR="00186DE3" w:rsidRPr="000717E1">
        <w:t xml:space="preserve"> =</w:t>
      </w:r>
      <w:r w:rsidRPr="000717E1">
        <w:t xml:space="preserve"> St. George's Respiratory Questionnaire.</w:t>
      </w:r>
    </w:p>
    <w:p w14:paraId="632A6256" w14:textId="77777777" w:rsidR="00A979D9" w:rsidRPr="000717E1" w:rsidRDefault="00A979D9" w:rsidP="005B63F4">
      <w:pPr>
        <w:pStyle w:val="TableFigureFooter"/>
      </w:pPr>
      <w:r w:rsidRPr="000717E1">
        <w:t>Bold indicates a significant result.</w:t>
      </w:r>
    </w:p>
    <w:p w14:paraId="6C0B5EA6" w14:textId="77777777" w:rsidR="00A979D9" w:rsidRPr="000717E1" w:rsidRDefault="00A979D9" w:rsidP="005B63F4">
      <w:pPr>
        <w:pStyle w:val="TableFigureFooter"/>
      </w:pPr>
      <w:r w:rsidRPr="000717E1">
        <w:rPr>
          <w:vertAlign w:val="superscript"/>
        </w:rPr>
        <w:t xml:space="preserve">a </w:t>
      </w:r>
      <w:r w:rsidRPr="000717E1">
        <w:t>Derived from MMRM model.</w:t>
      </w:r>
    </w:p>
    <w:p w14:paraId="46DBA853" w14:textId="2F0B372C" w:rsidR="00252C80" w:rsidRPr="000717E1" w:rsidRDefault="00A979D9" w:rsidP="002F63F1">
      <w:pPr>
        <w:pStyle w:val="3-BodyText"/>
      </w:pPr>
      <w:r w:rsidRPr="000717E1">
        <w:t xml:space="preserve">The mean </w:t>
      </w:r>
      <w:r w:rsidR="00DB02B0" w:rsidRPr="000717E1">
        <w:t>Evaluating Respiratory Symptoms (</w:t>
      </w:r>
      <w:r w:rsidRPr="000717E1">
        <w:t>E-RS</w:t>
      </w:r>
      <w:r w:rsidR="00E5418F" w:rsidRPr="000717E1">
        <w:t>)</w:t>
      </w:r>
      <w:r w:rsidRPr="000717E1">
        <w:t xml:space="preserve">: COPD </w:t>
      </w:r>
      <w:r w:rsidR="006A3192" w:rsidRPr="000717E1">
        <w:t>T</w:t>
      </w:r>
      <w:r w:rsidRPr="000717E1">
        <w:t xml:space="preserve">otal </w:t>
      </w:r>
      <w:r w:rsidR="006A3192" w:rsidRPr="000717E1">
        <w:t>S</w:t>
      </w:r>
      <w:r w:rsidRPr="000717E1">
        <w:t>core improved (reduction in total score) for both treatment arms in BOREAS and NOTUS, indicating an improvement in the severity of self-reported COPD-related respiratory symptoms. The LS mean difference between the dupilumab and placebo arms was significant for BOREAS (-1.137</w:t>
      </w:r>
      <w:r w:rsidR="001C09AC" w:rsidRPr="000717E1">
        <w:t>; 95% CI</w:t>
      </w:r>
      <w:r w:rsidR="00A944F0" w:rsidRPr="000717E1">
        <w:t xml:space="preserve"> </w:t>
      </w:r>
      <w:r w:rsidRPr="000717E1">
        <w:t>-1.823</w:t>
      </w:r>
      <w:r w:rsidR="009925C3" w:rsidRPr="000717E1">
        <w:t>,</w:t>
      </w:r>
      <w:r w:rsidRPr="000717E1">
        <w:t xml:space="preserve"> -0.450</w:t>
      </w:r>
      <w:r w:rsidR="001C09AC" w:rsidRPr="000717E1">
        <w:t>;</w:t>
      </w:r>
      <w:r w:rsidRPr="000717E1">
        <w:t xml:space="preserve"> p=0.0012) but not NOTUS (-0.618</w:t>
      </w:r>
      <w:r w:rsidR="001C09AC" w:rsidRPr="000717E1">
        <w:t>; 95% CI</w:t>
      </w:r>
      <w:r w:rsidR="00A944F0" w:rsidRPr="000717E1">
        <w:t xml:space="preserve"> </w:t>
      </w:r>
      <w:r w:rsidRPr="000717E1">
        <w:t>-1.430</w:t>
      </w:r>
      <w:r w:rsidR="009925C3" w:rsidRPr="000717E1">
        <w:t>,</w:t>
      </w:r>
      <w:r w:rsidRPr="000717E1">
        <w:t xml:space="preserve"> 0.193</w:t>
      </w:r>
      <w:r w:rsidR="001C09AC" w:rsidRPr="000717E1">
        <w:t>;</w:t>
      </w:r>
      <w:r w:rsidRPr="000717E1">
        <w:t xml:space="preserve"> p=0.1351).</w:t>
      </w:r>
    </w:p>
    <w:p w14:paraId="420D8EE3" w14:textId="7153ABD2" w:rsidR="00996444" w:rsidRPr="000717E1" w:rsidRDefault="00996444" w:rsidP="00996444">
      <w:pPr>
        <w:pStyle w:val="3-BodyText"/>
        <w:numPr>
          <w:ilvl w:val="0"/>
          <w:numId w:val="0"/>
        </w:numPr>
        <w:rPr>
          <w:u w:val="single"/>
          <w:lang w:eastAsia="en-US"/>
        </w:rPr>
      </w:pPr>
      <w:r w:rsidRPr="000717E1">
        <w:rPr>
          <w:u w:val="single"/>
          <w:lang w:eastAsia="en-US"/>
        </w:rPr>
        <w:t xml:space="preserve">Indirect treatment comparison: </w:t>
      </w:r>
      <w:r w:rsidR="00E0759F" w:rsidRPr="000717E1">
        <w:rPr>
          <w:u w:val="single"/>
          <w:lang w:eastAsia="en-US"/>
        </w:rPr>
        <w:t xml:space="preserve">dupilumab versus mepolizumab </w:t>
      </w:r>
    </w:p>
    <w:p w14:paraId="12AB465F" w14:textId="38936374" w:rsidR="00A979D9" w:rsidRPr="000717E1" w:rsidRDefault="00A15ED7" w:rsidP="00A979D9">
      <w:pPr>
        <w:pStyle w:val="3-BodyText"/>
      </w:pPr>
      <w:bookmarkStart w:id="47" w:name="_Ref221538395"/>
      <w:r w:rsidRPr="001F3F0F">
        <w:rPr>
          <w:iCs/>
        </w:rPr>
        <w:t>The Sub-Committees noted that m</w:t>
      </w:r>
      <w:r w:rsidR="00822609" w:rsidRPr="001F3F0F">
        <w:rPr>
          <w:iCs/>
        </w:rPr>
        <w:t>epolizumab was not identified as a near market comparator in the submission</w:t>
      </w:r>
      <w:r w:rsidR="00FF25F7" w:rsidRPr="001F3F0F">
        <w:rPr>
          <w:iCs/>
        </w:rPr>
        <w:t xml:space="preserve">. </w:t>
      </w:r>
      <w:r w:rsidR="009965AF" w:rsidRPr="001F3F0F">
        <w:rPr>
          <w:iCs/>
        </w:rPr>
        <w:t xml:space="preserve">The Sub-Committees noted that </w:t>
      </w:r>
      <w:r w:rsidR="001F7F29" w:rsidRPr="001F3F0F">
        <w:rPr>
          <w:iCs/>
        </w:rPr>
        <w:t>the evaluators identified</w:t>
      </w:r>
      <w:r w:rsidR="00A979D9" w:rsidRPr="000717E1">
        <w:t xml:space="preserve"> 2 </w:t>
      </w:r>
      <w:r w:rsidR="00F8636E" w:rsidRPr="000717E1">
        <w:t xml:space="preserve">published </w:t>
      </w:r>
      <w:r w:rsidR="00A979D9" w:rsidRPr="000717E1">
        <w:t>ITCs of dupilumab compared to mepol</w:t>
      </w:r>
      <w:r w:rsidR="009529C7" w:rsidRPr="000717E1">
        <w:t>izu</w:t>
      </w:r>
      <w:r w:rsidR="00A979D9" w:rsidRPr="000717E1">
        <w:t>mab.</w:t>
      </w:r>
      <w:bookmarkEnd w:id="47"/>
    </w:p>
    <w:p w14:paraId="4FB76315" w14:textId="46F92AE8" w:rsidR="00A979D9" w:rsidRPr="000717E1" w:rsidRDefault="00A979D9" w:rsidP="00217F91">
      <w:pPr>
        <w:pStyle w:val="ListParagraph"/>
        <w:numPr>
          <w:ilvl w:val="0"/>
          <w:numId w:val="24"/>
        </w:numPr>
      </w:pPr>
      <w:r w:rsidRPr="000717E1">
        <w:t>Bhatt et al. (2025) conducted a placebo-adjusted Butcher ITC using aggregate clinical trial data from BOREAS</w:t>
      </w:r>
      <w:r w:rsidR="00C41AED" w:rsidRPr="000717E1">
        <w:t xml:space="preserve"> </w:t>
      </w:r>
      <w:r w:rsidR="007D48AC" w:rsidRPr="000717E1">
        <w:t>and</w:t>
      </w:r>
      <w:r w:rsidRPr="000717E1">
        <w:t xml:space="preserve"> NOTUS</w:t>
      </w:r>
      <w:r w:rsidR="00C41AED" w:rsidRPr="000717E1">
        <w:t xml:space="preserve"> (dupilumab</w:t>
      </w:r>
      <w:r w:rsidR="005B4F34" w:rsidRPr="000717E1">
        <w:t>)</w:t>
      </w:r>
      <w:r w:rsidR="00C41AED" w:rsidRPr="000717E1">
        <w:t xml:space="preserve"> trials</w:t>
      </w:r>
      <w:r w:rsidRPr="000717E1">
        <w:t>,</w:t>
      </w:r>
      <w:r w:rsidR="00C41AED" w:rsidRPr="000717E1">
        <w:t xml:space="preserve"> and</w:t>
      </w:r>
      <w:r w:rsidRPr="000717E1">
        <w:t xml:space="preserve"> METREX, </w:t>
      </w:r>
      <w:r w:rsidR="00C031A6" w:rsidRPr="000717E1">
        <w:t xml:space="preserve">METREO </w:t>
      </w:r>
      <w:r w:rsidRPr="000717E1">
        <w:t>and MATINEE</w:t>
      </w:r>
      <w:r w:rsidR="00C41AED" w:rsidRPr="000717E1">
        <w:t xml:space="preserve"> (mepolizumab</w:t>
      </w:r>
      <w:r w:rsidR="005B4F34" w:rsidRPr="000717E1">
        <w:t>)</w:t>
      </w:r>
      <w:r w:rsidR="00C41AED" w:rsidRPr="000717E1">
        <w:t xml:space="preserve"> trials</w:t>
      </w:r>
      <w:r w:rsidRPr="000717E1">
        <w:t>. They found that dupilumab provided a numerically favourable reduction (rate ratio 0.82</w:t>
      </w:r>
      <w:r w:rsidR="00663D29" w:rsidRPr="000717E1">
        <w:t xml:space="preserve">; </w:t>
      </w:r>
      <w:r w:rsidRPr="000717E1">
        <w:t>95% CI 0.66, 1.01</w:t>
      </w:r>
      <w:r w:rsidR="009529C7" w:rsidRPr="000717E1">
        <w:t>)</w:t>
      </w:r>
      <w:r w:rsidRPr="000717E1">
        <w:t xml:space="preserve"> in the rate of moderate-to-severe exacerbations compared with mepolizumab (not </w:t>
      </w:r>
      <w:r w:rsidRPr="000717E1">
        <w:lastRenderedPageBreak/>
        <w:t>statistically significant</w:t>
      </w:r>
      <w:r w:rsidR="00C031A6" w:rsidRPr="000717E1">
        <w:t>, METREO results not included in the primary ITC analysis</w:t>
      </w:r>
      <w:r w:rsidRPr="000717E1">
        <w:t xml:space="preserve">). </w:t>
      </w:r>
      <w:r w:rsidR="002E3859" w:rsidRPr="000717E1">
        <w:t>The placebo-adjusted Bucher ITC evaluating the change in pre-bronchodilator FEV</w:t>
      </w:r>
      <w:r w:rsidR="002E3859" w:rsidRPr="000717E1">
        <w:rPr>
          <w:vertAlign w:val="subscript"/>
        </w:rPr>
        <w:t xml:space="preserve">1 </w:t>
      </w:r>
      <w:r w:rsidR="002E3859" w:rsidRPr="000717E1">
        <w:t xml:space="preserve">at week 52, the proportion of patients with SGRQ total score </w:t>
      </w:r>
      <w:r w:rsidR="002E3859" w:rsidRPr="000717E1">
        <w:rPr>
          <w:rFonts w:cstheme="minorHAnsi"/>
        </w:rPr>
        <w:t>≥</w:t>
      </w:r>
      <w:r w:rsidR="002E3859" w:rsidRPr="000717E1">
        <w:t xml:space="preserve"> 4 points, and the proportion of patients with E-RS: COPD total score improvement ≥ 2 points significantly favoured dupilumab versus mepolizumab. </w:t>
      </w:r>
      <w:r w:rsidR="00C41AED" w:rsidRPr="000717E1">
        <w:t xml:space="preserve">The trials differed in their eosinophil count inclusion criteria. BOREAS and NOTUS required </w:t>
      </w:r>
      <w:r w:rsidR="00246655">
        <w:t xml:space="preserve">BEC </w:t>
      </w:r>
      <w:r w:rsidR="00C41AED" w:rsidRPr="000717E1">
        <w:rPr>
          <w:rFonts w:cstheme="minorHAnsi"/>
        </w:rPr>
        <w:t>≥</w:t>
      </w:r>
      <w:r w:rsidR="00C41AED" w:rsidRPr="000717E1">
        <w:t xml:space="preserve"> 300 cells/</w:t>
      </w:r>
      <w:r w:rsidR="00C41AED" w:rsidRPr="000717E1">
        <w:rPr>
          <w:rFonts w:cstheme="minorHAnsi"/>
        </w:rPr>
        <w:t>µ</w:t>
      </w:r>
      <w:r w:rsidR="00C41AED" w:rsidRPr="000717E1">
        <w:t xml:space="preserve">L in the year prior. METREO allowed counts </w:t>
      </w:r>
      <w:r w:rsidR="00C41AED" w:rsidRPr="000717E1">
        <w:rPr>
          <w:rFonts w:cstheme="minorHAnsi"/>
        </w:rPr>
        <w:t>≥</w:t>
      </w:r>
      <w:r w:rsidR="00C41AED" w:rsidRPr="000717E1">
        <w:t xml:space="preserve"> 150 cells/</w:t>
      </w:r>
      <w:r w:rsidR="00C41AED" w:rsidRPr="000717E1">
        <w:rPr>
          <w:rFonts w:cstheme="minorHAnsi"/>
        </w:rPr>
        <w:t>µ</w:t>
      </w:r>
      <w:r w:rsidR="00C41AED" w:rsidRPr="000717E1">
        <w:t xml:space="preserve">L at screening but </w:t>
      </w:r>
      <w:r w:rsidR="00C41AED" w:rsidRPr="000717E1">
        <w:rPr>
          <w:rFonts w:cstheme="minorHAnsi"/>
        </w:rPr>
        <w:t>≥</w:t>
      </w:r>
      <w:r w:rsidR="00C41AED" w:rsidRPr="000717E1">
        <w:t xml:space="preserve"> 300 cells/</w:t>
      </w:r>
      <w:r w:rsidR="00C41AED" w:rsidRPr="000717E1">
        <w:rPr>
          <w:rFonts w:cstheme="minorHAnsi"/>
        </w:rPr>
        <w:t>µ</w:t>
      </w:r>
      <w:r w:rsidR="00C41AED" w:rsidRPr="000717E1">
        <w:t xml:space="preserve">L in the prior year. MATINEE required </w:t>
      </w:r>
      <w:r w:rsidR="00246655">
        <w:t xml:space="preserve">BEC </w:t>
      </w:r>
      <w:r w:rsidR="00C41AED" w:rsidRPr="000717E1">
        <w:rPr>
          <w:rFonts w:cstheme="minorHAnsi"/>
        </w:rPr>
        <w:t>≥</w:t>
      </w:r>
      <w:r w:rsidR="00C41AED" w:rsidRPr="000717E1">
        <w:t xml:space="preserve"> 300 cells/</w:t>
      </w:r>
      <w:r w:rsidR="00C41AED" w:rsidRPr="000717E1">
        <w:rPr>
          <w:rFonts w:cstheme="minorHAnsi"/>
        </w:rPr>
        <w:t>µ</w:t>
      </w:r>
      <w:r w:rsidR="00C41AED" w:rsidRPr="000717E1">
        <w:t xml:space="preserve">L at screening </w:t>
      </w:r>
      <w:r w:rsidR="005B4F34" w:rsidRPr="000717E1">
        <w:t>and</w:t>
      </w:r>
      <w:r w:rsidR="00C41AED" w:rsidRPr="000717E1">
        <w:t xml:space="preserve"> historical counts </w:t>
      </w:r>
      <w:r w:rsidR="00C41AED" w:rsidRPr="000717E1">
        <w:rPr>
          <w:rFonts w:cstheme="minorHAnsi"/>
        </w:rPr>
        <w:t>≥</w:t>
      </w:r>
      <w:r w:rsidR="00C41AED" w:rsidRPr="000717E1">
        <w:t xml:space="preserve"> 150 cells/</w:t>
      </w:r>
      <w:r w:rsidR="00C41AED" w:rsidRPr="000717E1">
        <w:rPr>
          <w:rFonts w:cstheme="minorHAnsi"/>
        </w:rPr>
        <w:t>µ</w:t>
      </w:r>
      <w:r w:rsidR="00C41AED" w:rsidRPr="000717E1">
        <w:t>L and METREX enrolled patients with and without elevated eosinophil counts.</w:t>
      </w:r>
      <w:r w:rsidR="002E3859" w:rsidRPr="000717E1">
        <w:t xml:space="preserve"> These variations may have influenced the trial outcomes.</w:t>
      </w:r>
      <w:r w:rsidRPr="000717E1">
        <w:rPr>
          <w:rStyle w:val="FootnoteReference"/>
        </w:rPr>
        <w:footnoteReference w:id="5"/>
      </w:r>
      <w:r w:rsidR="00064A91">
        <w:t xml:space="preserve"> The authors stated that a comparison of safety between dupilumab and mepolizumab was not included in the Butcher ITC because no meaningful differences in adverse events or severe adverse events were observed in the studies.</w:t>
      </w:r>
      <w:r w:rsidR="00BE016A">
        <w:t xml:space="preserve"> </w:t>
      </w:r>
      <w:r w:rsidR="00217F91">
        <w:t xml:space="preserve">The PBAC recalled that in its consideration of dupilumab for uncontrolled severe eosinophilic or allergic asthma the Committee had considered a claim of non-inferior comparative safety versus the nominated comparators (which included mepolizumab) was reasonable (paragraph 7.7, dupilumab PSD, November 2020 PBAC Meeting). </w:t>
      </w:r>
    </w:p>
    <w:p w14:paraId="4960FBCA" w14:textId="12537884" w:rsidR="00A979D9" w:rsidRPr="000717E1" w:rsidRDefault="00A979D9" w:rsidP="00E64392">
      <w:pPr>
        <w:pStyle w:val="ListParagraph"/>
        <w:numPr>
          <w:ilvl w:val="0"/>
          <w:numId w:val="14"/>
        </w:numPr>
        <w:rPr>
          <w:rFonts w:eastAsiaTheme="minorHAnsi" w:cstheme="minorBidi"/>
          <w:snapToGrid/>
          <w:szCs w:val="22"/>
        </w:rPr>
      </w:pPr>
      <w:r w:rsidRPr="000717E1">
        <w:rPr>
          <w:rFonts w:eastAsiaTheme="minorHAnsi" w:cstheme="minorBidi"/>
          <w:snapToGrid/>
          <w:szCs w:val="22"/>
        </w:rPr>
        <w:t xml:space="preserve">Suter et al. (2025) conducted an indirect comparison by comparing published crude data for rate ratios or mean differences and their corresponding 95% </w:t>
      </w:r>
      <w:r w:rsidR="009C66D3" w:rsidRPr="000717E1">
        <w:rPr>
          <w:rFonts w:eastAsiaTheme="minorHAnsi" w:cstheme="minorBidi"/>
          <w:snapToGrid/>
          <w:szCs w:val="22"/>
        </w:rPr>
        <w:t>CIs</w:t>
      </w:r>
      <w:r w:rsidRPr="000717E1">
        <w:rPr>
          <w:rFonts w:eastAsiaTheme="minorHAnsi" w:cstheme="minorBidi"/>
          <w:snapToGrid/>
          <w:szCs w:val="22"/>
        </w:rPr>
        <w:t xml:space="preserve"> for dupilumab (BOREAS and NOTUS) and mepolizumab (MATINEE). They concluded that both treatments were effective in reducing exacerbations. When comparing crude 95% CI for the primary outcome, no difference between dupilumab and mepolizumab was apparent, although there was a numerically shorter time interval required to prevent an exacerbation in patients receiving dupilumab (2.3 years in NOTUS and 3.1 years in BOREAS, compared to 4.8 years in MATINEE).</w:t>
      </w:r>
      <w:r w:rsidRPr="000717E1">
        <w:rPr>
          <w:rStyle w:val="FootnoteReference"/>
          <w:rFonts w:eastAsiaTheme="minorHAnsi" w:cstheme="minorBidi"/>
          <w:snapToGrid/>
          <w:szCs w:val="22"/>
        </w:rPr>
        <w:footnoteReference w:id="6"/>
      </w:r>
    </w:p>
    <w:p w14:paraId="28A84216" w14:textId="77777777" w:rsidR="00A979D9" w:rsidRPr="000717E1" w:rsidRDefault="00A979D9" w:rsidP="00A979D9">
      <w:pPr>
        <w:pStyle w:val="4-SubsectionHeading"/>
      </w:pPr>
      <w:bookmarkStart w:id="48" w:name="_Toc22897642"/>
      <w:bookmarkStart w:id="49" w:name="_Toc216174092"/>
      <w:bookmarkStart w:id="50" w:name="_Toc219880042"/>
      <w:r w:rsidRPr="000717E1">
        <w:t>Comparative harms</w:t>
      </w:r>
      <w:bookmarkEnd w:id="48"/>
      <w:bookmarkEnd w:id="49"/>
      <w:bookmarkEnd w:id="50"/>
    </w:p>
    <w:p w14:paraId="047A488B" w14:textId="38F442E9" w:rsidR="008E13F3" w:rsidRPr="000717E1" w:rsidRDefault="005B4F34" w:rsidP="009F3FAD">
      <w:pPr>
        <w:pStyle w:val="3-BodyText"/>
      </w:pPr>
      <w:r w:rsidRPr="000717E1">
        <w:t xml:space="preserve">A summary of the treatment emergent adverse events (TEAEs) reported in the trials </w:t>
      </w:r>
      <w:r w:rsidR="006D263E" w:rsidRPr="000717E1">
        <w:t>is provided</w:t>
      </w:r>
      <w:r w:rsidR="008E13F3" w:rsidRPr="000717E1">
        <w:t xml:space="preserve"> in</w:t>
      </w:r>
      <w:r w:rsidR="009F3FAD" w:rsidRPr="000717E1">
        <w:t xml:space="preserve"> </w:t>
      </w:r>
      <w:r w:rsidR="009F3FAD" w:rsidRPr="000717E1">
        <w:fldChar w:fldCharType="begin"/>
      </w:r>
      <w:r w:rsidR="009F3FAD" w:rsidRPr="000717E1">
        <w:instrText xml:space="preserve"> REF _Ref221623070 \h </w:instrText>
      </w:r>
      <w:r w:rsidR="009F3FAD" w:rsidRPr="000717E1">
        <w:fldChar w:fldCharType="separate"/>
      </w:r>
      <w:r w:rsidR="00281F45" w:rsidRPr="000717E1">
        <w:t xml:space="preserve">Table </w:t>
      </w:r>
      <w:r w:rsidR="00281F45">
        <w:rPr>
          <w:noProof/>
        </w:rPr>
        <w:t>8</w:t>
      </w:r>
      <w:r w:rsidR="009F3FAD" w:rsidRPr="000717E1">
        <w:fldChar w:fldCharType="end"/>
      </w:r>
      <w:r w:rsidR="008E13F3" w:rsidRPr="000717E1">
        <w:t>.</w:t>
      </w:r>
      <w:r w:rsidR="00A45F73" w:rsidRPr="000717E1">
        <w:t xml:space="preserve"> </w:t>
      </w:r>
    </w:p>
    <w:p w14:paraId="039300AF" w14:textId="134563DA" w:rsidR="00594A34" w:rsidRPr="000717E1" w:rsidRDefault="00594A34">
      <w:pPr>
        <w:jc w:val="left"/>
        <w:rPr>
          <w:rFonts w:ascii="Arial Narrow" w:eastAsiaTheme="majorEastAsia" w:hAnsi="Arial Narrow" w:cstheme="majorBidi"/>
          <w:b/>
          <w:bCs/>
          <w:sz w:val="20"/>
        </w:rPr>
      </w:pPr>
      <w:bookmarkStart w:id="51" w:name="_Ref219113327"/>
    </w:p>
    <w:p w14:paraId="7D3B4BD8" w14:textId="77777777" w:rsidR="003541F7" w:rsidRPr="000717E1" w:rsidRDefault="003541F7">
      <w:pPr>
        <w:jc w:val="left"/>
        <w:rPr>
          <w:rFonts w:ascii="Arial Narrow" w:eastAsiaTheme="majorEastAsia" w:hAnsi="Arial Narrow" w:cstheme="majorBidi"/>
          <w:b/>
          <w:bCs/>
          <w:sz w:val="20"/>
        </w:rPr>
      </w:pPr>
      <w:r w:rsidRPr="000717E1">
        <w:br w:type="page"/>
      </w:r>
    </w:p>
    <w:p w14:paraId="6D5091E5" w14:textId="7C4530E5" w:rsidR="00B246CC" w:rsidRPr="000717E1" w:rsidRDefault="009F3FAD" w:rsidP="00B246CC">
      <w:pPr>
        <w:pStyle w:val="TableFigureHeading"/>
        <w:rPr>
          <w:rStyle w:val="CommentReference"/>
          <w:b/>
          <w:szCs w:val="24"/>
        </w:rPr>
      </w:pPr>
      <w:bookmarkStart w:id="52" w:name="_Ref221623070"/>
      <w:bookmarkEnd w:id="51"/>
      <w:r w:rsidRPr="000717E1">
        <w:lastRenderedPageBreak/>
        <w:t xml:space="preserve">Table </w:t>
      </w:r>
      <w:fldSimple w:instr=" SEQ Table \* ARABIC ">
        <w:r w:rsidR="00281F45">
          <w:rPr>
            <w:noProof/>
          </w:rPr>
          <w:t>8</w:t>
        </w:r>
      </w:fldSimple>
      <w:bookmarkEnd w:id="52"/>
      <w:r w:rsidRPr="000717E1">
        <w:t xml:space="preserve">: </w:t>
      </w:r>
      <w:r w:rsidR="00B246CC" w:rsidRPr="000717E1">
        <w:rPr>
          <w:rStyle w:val="CommentReference"/>
          <w:b/>
          <w:szCs w:val="24"/>
        </w:rPr>
        <w:t>Overview of TEAEs – Safety population</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8: Overview of TEAEs – Safety population"/>
      </w:tblPr>
      <w:tblGrid>
        <w:gridCol w:w="1412"/>
        <w:gridCol w:w="1135"/>
        <w:gridCol w:w="851"/>
        <w:gridCol w:w="1135"/>
        <w:gridCol w:w="851"/>
        <w:gridCol w:w="1135"/>
        <w:gridCol w:w="849"/>
        <w:gridCol w:w="708"/>
        <w:gridCol w:w="844"/>
      </w:tblGrid>
      <w:tr w:rsidR="008E13F3" w:rsidRPr="000717E1" w14:paraId="68BFDE59" w14:textId="77777777" w:rsidTr="00EA4A8D">
        <w:trPr>
          <w:cantSplit/>
          <w:trHeight w:val="103"/>
          <w:tblHeader/>
        </w:trPr>
        <w:tc>
          <w:tcPr>
            <w:tcW w:w="792" w:type="pct"/>
            <w:vMerge w:val="restart"/>
            <w:vAlign w:val="center"/>
          </w:tcPr>
          <w:p w14:paraId="40E92971" w14:textId="77777777" w:rsidR="008E13F3" w:rsidRPr="000717E1" w:rsidRDefault="008E13F3" w:rsidP="00E13A0D">
            <w:pPr>
              <w:pStyle w:val="TableText0"/>
              <w:keepNext w:val="0"/>
              <w:keepLines w:val="0"/>
              <w:rPr>
                <w:sz w:val="20"/>
                <w:szCs w:val="20"/>
              </w:rPr>
            </w:pPr>
          </w:p>
        </w:tc>
        <w:tc>
          <w:tcPr>
            <w:tcW w:w="1113" w:type="pct"/>
            <w:gridSpan w:val="2"/>
          </w:tcPr>
          <w:p w14:paraId="6976A256" w14:textId="77777777" w:rsidR="008E13F3" w:rsidRPr="000717E1" w:rsidRDefault="008E13F3" w:rsidP="00E13A0D">
            <w:pPr>
              <w:pStyle w:val="TableText0"/>
              <w:keepNext w:val="0"/>
              <w:keepLines w:val="0"/>
              <w:jc w:val="center"/>
              <w:rPr>
                <w:b/>
                <w:bCs/>
                <w:sz w:val="20"/>
                <w:szCs w:val="20"/>
              </w:rPr>
            </w:pPr>
            <w:r w:rsidRPr="000717E1">
              <w:rPr>
                <w:b/>
                <w:bCs/>
                <w:sz w:val="20"/>
                <w:szCs w:val="20"/>
              </w:rPr>
              <w:t>BOREAS</w:t>
            </w:r>
          </w:p>
          <w:p w14:paraId="0072424C" w14:textId="39436496" w:rsidR="008E13F3" w:rsidRPr="000717E1" w:rsidRDefault="008E13F3" w:rsidP="00E13A0D">
            <w:pPr>
              <w:pStyle w:val="TableText0"/>
              <w:keepNext w:val="0"/>
              <w:keepLines w:val="0"/>
              <w:jc w:val="center"/>
              <w:rPr>
                <w:sz w:val="20"/>
                <w:szCs w:val="20"/>
              </w:rPr>
            </w:pPr>
            <w:r w:rsidRPr="000717E1">
              <w:rPr>
                <w:b/>
                <w:bCs/>
                <w:sz w:val="20"/>
                <w:szCs w:val="20"/>
              </w:rPr>
              <w:t>Data cut-off 8 Feb 2023</w:t>
            </w:r>
          </w:p>
        </w:tc>
        <w:tc>
          <w:tcPr>
            <w:tcW w:w="1113" w:type="pct"/>
            <w:gridSpan w:val="2"/>
          </w:tcPr>
          <w:p w14:paraId="39130638" w14:textId="77777777" w:rsidR="008E13F3" w:rsidRPr="000717E1" w:rsidRDefault="008E13F3" w:rsidP="00E13A0D">
            <w:pPr>
              <w:pStyle w:val="TableText0"/>
              <w:keepNext w:val="0"/>
              <w:keepLines w:val="0"/>
              <w:jc w:val="center"/>
              <w:rPr>
                <w:b/>
                <w:bCs/>
                <w:sz w:val="20"/>
                <w:szCs w:val="20"/>
              </w:rPr>
            </w:pPr>
            <w:r w:rsidRPr="000717E1">
              <w:rPr>
                <w:b/>
                <w:bCs/>
                <w:sz w:val="20"/>
                <w:szCs w:val="20"/>
              </w:rPr>
              <w:t>NOTUS</w:t>
            </w:r>
          </w:p>
          <w:p w14:paraId="6FCC9BD6" w14:textId="71F0AC68" w:rsidR="008E13F3" w:rsidRPr="000717E1" w:rsidRDefault="008E13F3" w:rsidP="00E13A0D">
            <w:pPr>
              <w:pStyle w:val="TableText0"/>
              <w:keepNext w:val="0"/>
              <w:keepLines w:val="0"/>
              <w:jc w:val="center"/>
              <w:rPr>
                <w:b/>
                <w:bCs/>
                <w:sz w:val="20"/>
                <w:szCs w:val="20"/>
              </w:rPr>
            </w:pPr>
            <w:r w:rsidRPr="000717E1">
              <w:rPr>
                <w:b/>
                <w:bCs/>
                <w:sz w:val="20"/>
                <w:szCs w:val="20"/>
              </w:rPr>
              <w:t>Data cut-off 29 Sept 2023</w:t>
            </w:r>
          </w:p>
        </w:tc>
        <w:tc>
          <w:tcPr>
            <w:tcW w:w="1982" w:type="pct"/>
            <w:gridSpan w:val="4"/>
          </w:tcPr>
          <w:p w14:paraId="21D7A41E" w14:textId="4981680C" w:rsidR="008E13F3" w:rsidRPr="000717E1" w:rsidRDefault="008E13F3" w:rsidP="00E13A0D">
            <w:pPr>
              <w:pStyle w:val="TableText0"/>
              <w:keepNext w:val="0"/>
              <w:keepLines w:val="0"/>
              <w:jc w:val="center"/>
              <w:rPr>
                <w:b/>
                <w:bCs/>
                <w:sz w:val="20"/>
                <w:szCs w:val="20"/>
              </w:rPr>
            </w:pPr>
            <w:r w:rsidRPr="000717E1">
              <w:rPr>
                <w:b/>
                <w:bCs/>
                <w:sz w:val="20"/>
                <w:szCs w:val="20"/>
              </w:rPr>
              <w:t>Pooled Safety</w:t>
            </w:r>
          </w:p>
        </w:tc>
      </w:tr>
      <w:tr w:rsidR="00700A2D" w:rsidRPr="000717E1" w14:paraId="741C79E5" w14:textId="77777777" w:rsidTr="00EA4A8D">
        <w:trPr>
          <w:cantSplit/>
          <w:trHeight w:val="146"/>
          <w:tblHeader/>
        </w:trPr>
        <w:tc>
          <w:tcPr>
            <w:tcW w:w="792" w:type="pct"/>
            <w:vMerge/>
            <w:vAlign w:val="center"/>
          </w:tcPr>
          <w:p w14:paraId="23C1F92A" w14:textId="77777777" w:rsidR="008E13F3" w:rsidRPr="000717E1" w:rsidRDefault="008E13F3" w:rsidP="00E13A0D">
            <w:pPr>
              <w:pStyle w:val="TableText0"/>
              <w:keepNext w:val="0"/>
              <w:keepLines w:val="0"/>
              <w:rPr>
                <w:sz w:val="20"/>
                <w:szCs w:val="20"/>
              </w:rPr>
            </w:pPr>
          </w:p>
        </w:tc>
        <w:tc>
          <w:tcPr>
            <w:tcW w:w="636" w:type="pct"/>
          </w:tcPr>
          <w:p w14:paraId="63808B42" w14:textId="77777777" w:rsidR="008E13F3" w:rsidRPr="000717E1" w:rsidRDefault="008E13F3" w:rsidP="00E13A0D">
            <w:pPr>
              <w:pStyle w:val="TableText0"/>
              <w:keepNext w:val="0"/>
              <w:keepLines w:val="0"/>
              <w:jc w:val="center"/>
              <w:rPr>
                <w:iCs/>
                <w:sz w:val="20"/>
                <w:szCs w:val="20"/>
              </w:rPr>
            </w:pPr>
            <w:r w:rsidRPr="000717E1">
              <w:rPr>
                <w:sz w:val="20"/>
                <w:szCs w:val="20"/>
              </w:rPr>
              <w:t>Dupilumab</w:t>
            </w:r>
          </w:p>
          <w:p w14:paraId="556B5C5C" w14:textId="77777777" w:rsidR="008E13F3" w:rsidRPr="000717E1" w:rsidRDefault="008E13F3" w:rsidP="00E13A0D">
            <w:pPr>
              <w:pStyle w:val="TableText0"/>
              <w:keepNext w:val="0"/>
              <w:keepLines w:val="0"/>
              <w:jc w:val="center"/>
              <w:rPr>
                <w:sz w:val="20"/>
                <w:szCs w:val="20"/>
              </w:rPr>
            </w:pPr>
            <w:r w:rsidRPr="000717E1">
              <w:rPr>
                <w:sz w:val="20"/>
                <w:szCs w:val="20"/>
              </w:rPr>
              <w:t>N=469</w:t>
            </w:r>
          </w:p>
        </w:tc>
        <w:tc>
          <w:tcPr>
            <w:tcW w:w="477" w:type="pct"/>
          </w:tcPr>
          <w:p w14:paraId="12C31928" w14:textId="77777777" w:rsidR="008E13F3" w:rsidRPr="000717E1" w:rsidRDefault="008E13F3" w:rsidP="00E13A0D">
            <w:pPr>
              <w:pStyle w:val="TableText0"/>
              <w:keepNext w:val="0"/>
              <w:keepLines w:val="0"/>
              <w:jc w:val="center"/>
              <w:rPr>
                <w:iCs/>
                <w:sz w:val="20"/>
                <w:szCs w:val="20"/>
              </w:rPr>
            </w:pPr>
            <w:r w:rsidRPr="000717E1">
              <w:rPr>
                <w:sz w:val="20"/>
                <w:szCs w:val="20"/>
              </w:rPr>
              <w:t>Placebo</w:t>
            </w:r>
          </w:p>
          <w:p w14:paraId="61A8BDF0" w14:textId="77777777" w:rsidR="008E13F3" w:rsidRPr="000717E1" w:rsidRDefault="008E13F3" w:rsidP="00E13A0D">
            <w:pPr>
              <w:pStyle w:val="TableText0"/>
              <w:keepNext w:val="0"/>
              <w:keepLines w:val="0"/>
              <w:jc w:val="center"/>
              <w:rPr>
                <w:sz w:val="20"/>
                <w:szCs w:val="20"/>
              </w:rPr>
            </w:pPr>
            <w:r w:rsidRPr="000717E1">
              <w:rPr>
                <w:sz w:val="20"/>
                <w:szCs w:val="20"/>
              </w:rPr>
              <w:t>N=470</w:t>
            </w:r>
          </w:p>
        </w:tc>
        <w:tc>
          <w:tcPr>
            <w:tcW w:w="636" w:type="pct"/>
          </w:tcPr>
          <w:p w14:paraId="326AC9AF" w14:textId="77777777" w:rsidR="008E13F3" w:rsidRPr="000717E1" w:rsidRDefault="008E13F3" w:rsidP="00E13A0D">
            <w:pPr>
              <w:pStyle w:val="TableText0"/>
              <w:keepNext w:val="0"/>
              <w:keepLines w:val="0"/>
              <w:jc w:val="center"/>
              <w:rPr>
                <w:iCs/>
                <w:sz w:val="20"/>
                <w:szCs w:val="20"/>
              </w:rPr>
            </w:pPr>
            <w:r w:rsidRPr="000717E1">
              <w:rPr>
                <w:sz w:val="20"/>
                <w:szCs w:val="20"/>
              </w:rPr>
              <w:t>Dupilumab</w:t>
            </w:r>
          </w:p>
          <w:p w14:paraId="45C80A2D" w14:textId="77777777" w:rsidR="008E13F3" w:rsidRPr="000717E1" w:rsidRDefault="008E13F3" w:rsidP="00E13A0D">
            <w:pPr>
              <w:pStyle w:val="TableText0"/>
              <w:keepNext w:val="0"/>
              <w:keepLines w:val="0"/>
              <w:jc w:val="center"/>
              <w:rPr>
                <w:sz w:val="20"/>
                <w:szCs w:val="20"/>
              </w:rPr>
            </w:pPr>
            <w:r w:rsidRPr="000717E1">
              <w:rPr>
                <w:sz w:val="20"/>
                <w:szCs w:val="20"/>
              </w:rPr>
              <w:t>N=469</w:t>
            </w:r>
          </w:p>
        </w:tc>
        <w:tc>
          <w:tcPr>
            <w:tcW w:w="477" w:type="pct"/>
          </w:tcPr>
          <w:p w14:paraId="263B44C1" w14:textId="77777777" w:rsidR="008E13F3" w:rsidRPr="000717E1" w:rsidRDefault="008E13F3" w:rsidP="00E13A0D">
            <w:pPr>
              <w:pStyle w:val="TableText0"/>
              <w:keepNext w:val="0"/>
              <w:keepLines w:val="0"/>
              <w:jc w:val="center"/>
              <w:rPr>
                <w:iCs/>
                <w:sz w:val="20"/>
                <w:szCs w:val="20"/>
              </w:rPr>
            </w:pPr>
            <w:r w:rsidRPr="000717E1">
              <w:rPr>
                <w:sz w:val="20"/>
                <w:szCs w:val="20"/>
              </w:rPr>
              <w:t>Placebo</w:t>
            </w:r>
          </w:p>
          <w:p w14:paraId="4AC962E0" w14:textId="77777777" w:rsidR="008E13F3" w:rsidRPr="000717E1" w:rsidRDefault="008E13F3" w:rsidP="00E13A0D">
            <w:pPr>
              <w:pStyle w:val="TableText0"/>
              <w:keepNext w:val="0"/>
              <w:keepLines w:val="0"/>
              <w:jc w:val="center"/>
              <w:rPr>
                <w:sz w:val="20"/>
                <w:szCs w:val="20"/>
              </w:rPr>
            </w:pPr>
            <w:r w:rsidRPr="000717E1">
              <w:rPr>
                <w:sz w:val="20"/>
                <w:szCs w:val="20"/>
              </w:rPr>
              <w:t>N=464</w:t>
            </w:r>
          </w:p>
        </w:tc>
        <w:tc>
          <w:tcPr>
            <w:tcW w:w="636" w:type="pct"/>
          </w:tcPr>
          <w:p w14:paraId="5DDEED40" w14:textId="77777777" w:rsidR="008E13F3" w:rsidRPr="000717E1" w:rsidRDefault="008E13F3" w:rsidP="00E13A0D">
            <w:pPr>
              <w:pStyle w:val="TableText0"/>
              <w:keepNext w:val="0"/>
              <w:keepLines w:val="0"/>
              <w:jc w:val="center"/>
              <w:rPr>
                <w:iCs/>
                <w:sz w:val="20"/>
                <w:szCs w:val="20"/>
              </w:rPr>
            </w:pPr>
            <w:r w:rsidRPr="000717E1">
              <w:rPr>
                <w:sz w:val="20"/>
                <w:szCs w:val="20"/>
              </w:rPr>
              <w:t>Dupilumab</w:t>
            </w:r>
          </w:p>
          <w:p w14:paraId="4C408CB6" w14:textId="77777777" w:rsidR="008E13F3" w:rsidRPr="000717E1" w:rsidRDefault="008E13F3" w:rsidP="00E13A0D">
            <w:pPr>
              <w:pStyle w:val="TableText0"/>
              <w:keepNext w:val="0"/>
              <w:keepLines w:val="0"/>
              <w:jc w:val="center"/>
              <w:rPr>
                <w:sz w:val="20"/>
                <w:szCs w:val="20"/>
              </w:rPr>
            </w:pPr>
            <w:r w:rsidRPr="000717E1">
              <w:rPr>
                <w:sz w:val="20"/>
                <w:szCs w:val="20"/>
              </w:rPr>
              <w:t>N=938</w:t>
            </w:r>
          </w:p>
        </w:tc>
        <w:tc>
          <w:tcPr>
            <w:tcW w:w="476" w:type="pct"/>
          </w:tcPr>
          <w:p w14:paraId="63630180" w14:textId="77777777" w:rsidR="008E13F3" w:rsidRPr="000717E1" w:rsidRDefault="008E13F3" w:rsidP="00E13A0D">
            <w:pPr>
              <w:pStyle w:val="TableText0"/>
              <w:keepNext w:val="0"/>
              <w:keepLines w:val="0"/>
              <w:jc w:val="center"/>
              <w:rPr>
                <w:iCs/>
                <w:sz w:val="20"/>
                <w:szCs w:val="20"/>
              </w:rPr>
            </w:pPr>
            <w:r w:rsidRPr="000717E1">
              <w:rPr>
                <w:sz w:val="20"/>
                <w:szCs w:val="20"/>
              </w:rPr>
              <w:t>Placebo</w:t>
            </w:r>
          </w:p>
          <w:p w14:paraId="683D6E1A" w14:textId="77777777" w:rsidR="008E13F3" w:rsidRPr="000717E1" w:rsidRDefault="008E13F3" w:rsidP="00E13A0D">
            <w:pPr>
              <w:pStyle w:val="TableText0"/>
              <w:keepNext w:val="0"/>
              <w:keepLines w:val="0"/>
              <w:jc w:val="center"/>
              <w:rPr>
                <w:sz w:val="20"/>
                <w:szCs w:val="20"/>
              </w:rPr>
            </w:pPr>
            <w:r w:rsidRPr="000717E1">
              <w:rPr>
                <w:sz w:val="20"/>
                <w:szCs w:val="20"/>
              </w:rPr>
              <w:t>N=934</w:t>
            </w:r>
          </w:p>
        </w:tc>
        <w:tc>
          <w:tcPr>
            <w:tcW w:w="397" w:type="pct"/>
          </w:tcPr>
          <w:p w14:paraId="17B5DD26" w14:textId="194AA20A" w:rsidR="008E13F3" w:rsidRPr="000717E1" w:rsidRDefault="008E13F3" w:rsidP="00E13A0D">
            <w:pPr>
              <w:pStyle w:val="TableText0"/>
              <w:keepNext w:val="0"/>
              <w:keepLines w:val="0"/>
              <w:jc w:val="center"/>
              <w:rPr>
                <w:sz w:val="20"/>
                <w:szCs w:val="20"/>
                <w:vertAlign w:val="superscript"/>
              </w:rPr>
            </w:pPr>
            <w:proofErr w:type="spellStart"/>
            <w:r w:rsidRPr="000717E1">
              <w:rPr>
                <w:sz w:val="20"/>
                <w:szCs w:val="20"/>
              </w:rPr>
              <w:t>RR</w:t>
            </w:r>
            <w:r w:rsidR="001D1AF6" w:rsidRPr="000717E1">
              <w:rPr>
                <w:sz w:val="20"/>
                <w:szCs w:val="20"/>
                <w:vertAlign w:val="superscript"/>
              </w:rPr>
              <w:t>a</w:t>
            </w:r>
            <w:proofErr w:type="spellEnd"/>
          </w:p>
          <w:p w14:paraId="36F1BE64" w14:textId="77777777" w:rsidR="008E13F3" w:rsidRPr="000717E1" w:rsidRDefault="008E13F3" w:rsidP="00E13A0D">
            <w:pPr>
              <w:pStyle w:val="TableText0"/>
              <w:keepNext w:val="0"/>
              <w:keepLines w:val="0"/>
              <w:jc w:val="center"/>
              <w:rPr>
                <w:sz w:val="20"/>
                <w:szCs w:val="20"/>
              </w:rPr>
            </w:pPr>
            <w:r w:rsidRPr="000717E1">
              <w:rPr>
                <w:sz w:val="20"/>
                <w:szCs w:val="20"/>
              </w:rPr>
              <w:t>(95% CI)</w:t>
            </w:r>
          </w:p>
        </w:tc>
        <w:tc>
          <w:tcPr>
            <w:tcW w:w="473" w:type="pct"/>
          </w:tcPr>
          <w:p w14:paraId="7321D605" w14:textId="5F371486" w:rsidR="008E13F3" w:rsidRPr="000717E1" w:rsidRDefault="008E13F3" w:rsidP="00E13A0D">
            <w:pPr>
              <w:pStyle w:val="TableText0"/>
              <w:keepNext w:val="0"/>
              <w:keepLines w:val="0"/>
              <w:jc w:val="center"/>
              <w:rPr>
                <w:sz w:val="20"/>
                <w:szCs w:val="20"/>
                <w:vertAlign w:val="superscript"/>
              </w:rPr>
            </w:pPr>
            <w:r w:rsidRPr="000717E1">
              <w:rPr>
                <w:sz w:val="20"/>
                <w:szCs w:val="20"/>
              </w:rPr>
              <w:t>RD (95% CI)</w:t>
            </w:r>
            <w:r w:rsidR="001D1AF6" w:rsidRPr="000717E1">
              <w:rPr>
                <w:sz w:val="20"/>
                <w:szCs w:val="20"/>
                <w:vertAlign w:val="superscript"/>
              </w:rPr>
              <w:t>a</w:t>
            </w:r>
          </w:p>
        </w:tc>
      </w:tr>
      <w:tr w:rsidR="00700A2D" w:rsidRPr="000717E1" w14:paraId="74A136E1" w14:textId="77777777" w:rsidTr="00EA4A8D">
        <w:trPr>
          <w:cantSplit/>
          <w:trHeight w:val="131"/>
        </w:trPr>
        <w:tc>
          <w:tcPr>
            <w:tcW w:w="792" w:type="pct"/>
          </w:tcPr>
          <w:p w14:paraId="037D3E9B" w14:textId="77777777" w:rsidR="008E13F3" w:rsidRPr="000717E1" w:rsidRDefault="008E13F3" w:rsidP="00E13A0D">
            <w:pPr>
              <w:pStyle w:val="TableText0"/>
              <w:keepNext w:val="0"/>
              <w:keepLines w:val="0"/>
              <w:rPr>
                <w:sz w:val="20"/>
                <w:szCs w:val="20"/>
              </w:rPr>
            </w:pPr>
            <w:r w:rsidRPr="000717E1">
              <w:rPr>
                <w:sz w:val="20"/>
                <w:szCs w:val="20"/>
              </w:rPr>
              <w:t>Patients with any TEAE</w:t>
            </w:r>
          </w:p>
        </w:tc>
        <w:tc>
          <w:tcPr>
            <w:tcW w:w="636" w:type="pct"/>
          </w:tcPr>
          <w:p w14:paraId="76D76FE3" w14:textId="77777777" w:rsidR="008E13F3" w:rsidRPr="000717E1" w:rsidRDefault="008E13F3" w:rsidP="00E13A0D">
            <w:pPr>
              <w:pStyle w:val="TableText0"/>
              <w:keepNext w:val="0"/>
              <w:keepLines w:val="0"/>
              <w:jc w:val="center"/>
              <w:rPr>
                <w:sz w:val="20"/>
                <w:szCs w:val="20"/>
              </w:rPr>
            </w:pPr>
            <w:r w:rsidRPr="000717E1">
              <w:rPr>
                <w:sz w:val="20"/>
                <w:szCs w:val="20"/>
              </w:rPr>
              <w:t>363 (77.4)</w:t>
            </w:r>
          </w:p>
        </w:tc>
        <w:tc>
          <w:tcPr>
            <w:tcW w:w="477" w:type="pct"/>
          </w:tcPr>
          <w:p w14:paraId="41EC3E6B" w14:textId="77777777" w:rsidR="008E13F3" w:rsidRPr="000717E1" w:rsidRDefault="008E13F3" w:rsidP="00E13A0D">
            <w:pPr>
              <w:pStyle w:val="TableText0"/>
              <w:keepNext w:val="0"/>
              <w:keepLines w:val="0"/>
              <w:jc w:val="center"/>
              <w:rPr>
                <w:sz w:val="20"/>
                <w:szCs w:val="20"/>
              </w:rPr>
            </w:pPr>
            <w:r w:rsidRPr="000717E1">
              <w:rPr>
                <w:sz w:val="20"/>
                <w:szCs w:val="20"/>
              </w:rPr>
              <w:t>357 (76.0)</w:t>
            </w:r>
          </w:p>
        </w:tc>
        <w:tc>
          <w:tcPr>
            <w:tcW w:w="636" w:type="pct"/>
          </w:tcPr>
          <w:p w14:paraId="35684D95" w14:textId="77777777" w:rsidR="008E13F3" w:rsidRPr="000717E1" w:rsidRDefault="008E13F3" w:rsidP="00E13A0D">
            <w:pPr>
              <w:pStyle w:val="TableText0"/>
              <w:keepNext w:val="0"/>
              <w:keepLines w:val="0"/>
              <w:jc w:val="center"/>
              <w:rPr>
                <w:sz w:val="20"/>
                <w:szCs w:val="20"/>
              </w:rPr>
            </w:pPr>
            <w:r w:rsidRPr="000717E1">
              <w:rPr>
                <w:sz w:val="20"/>
                <w:szCs w:val="20"/>
              </w:rPr>
              <w:t>313 (66.7)</w:t>
            </w:r>
          </w:p>
        </w:tc>
        <w:tc>
          <w:tcPr>
            <w:tcW w:w="477" w:type="pct"/>
          </w:tcPr>
          <w:p w14:paraId="7D7519B4" w14:textId="77777777" w:rsidR="008E13F3" w:rsidRPr="000717E1" w:rsidRDefault="008E13F3" w:rsidP="00E13A0D">
            <w:pPr>
              <w:pStyle w:val="TableText0"/>
              <w:keepNext w:val="0"/>
              <w:keepLines w:val="0"/>
              <w:jc w:val="center"/>
              <w:rPr>
                <w:sz w:val="20"/>
                <w:szCs w:val="20"/>
              </w:rPr>
            </w:pPr>
            <w:r w:rsidRPr="000717E1">
              <w:rPr>
                <w:sz w:val="20"/>
                <w:szCs w:val="20"/>
              </w:rPr>
              <w:t>306 (65.9)</w:t>
            </w:r>
          </w:p>
        </w:tc>
        <w:tc>
          <w:tcPr>
            <w:tcW w:w="636" w:type="pct"/>
          </w:tcPr>
          <w:p w14:paraId="69C51EB5" w14:textId="77777777" w:rsidR="008E13F3" w:rsidRPr="000717E1" w:rsidRDefault="008E13F3" w:rsidP="00E13A0D">
            <w:pPr>
              <w:pStyle w:val="TableText0"/>
              <w:keepNext w:val="0"/>
              <w:keepLines w:val="0"/>
              <w:jc w:val="center"/>
              <w:rPr>
                <w:sz w:val="20"/>
                <w:szCs w:val="20"/>
              </w:rPr>
            </w:pPr>
            <w:r w:rsidRPr="000717E1">
              <w:rPr>
                <w:sz w:val="20"/>
                <w:szCs w:val="20"/>
              </w:rPr>
              <w:t>676 (72.1)</w:t>
            </w:r>
          </w:p>
        </w:tc>
        <w:tc>
          <w:tcPr>
            <w:tcW w:w="476" w:type="pct"/>
          </w:tcPr>
          <w:p w14:paraId="4A37E4B0" w14:textId="77777777" w:rsidR="008E13F3" w:rsidRPr="000717E1" w:rsidRDefault="008E13F3" w:rsidP="00E13A0D">
            <w:pPr>
              <w:pStyle w:val="TableText0"/>
              <w:keepNext w:val="0"/>
              <w:keepLines w:val="0"/>
              <w:jc w:val="center"/>
              <w:rPr>
                <w:sz w:val="20"/>
                <w:szCs w:val="20"/>
              </w:rPr>
            </w:pPr>
            <w:r w:rsidRPr="000717E1">
              <w:rPr>
                <w:sz w:val="20"/>
                <w:szCs w:val="20"/>
              </w:rPr>
              <w:t>663 (71.0)</w:t>
            </w:r>
          </w:p>
        </w:tc>
        <w:tc>
          <w:tcPr>
            <w:tcW w:w="397" w:type="pct"/>
          </w:tcPr>
          <w:p w14:paraId="5D4D1318" w14:textId="77777777" w:rsidR="008E13F3" w:rsidRPr="000717E1" w:rsidRDefault="008E13F3" w:rsidP="00E13A0D">
            <w:pPr>
              <w:pStyle w:val="TableText0"/>
              <w:keepNext w:val="0"/>
              <w:keepLines w:val="0"/>
              <w:jc w:val="center"/>
              <w:rPr>
                <w:sz w:val="20"/>
                <w:szCs w:val="20"/>
              </w:rPr>
            </w:pPr>
            <w:r w:rsidRPr="000717E1">
              <w:rPr>
                <w:sz w:val="20"/>
                <w:szCs w:val="20"/>
              </w:rPr>
              <w:t>1.02</w:t>
            </w:r>
          </w:p>
          <w:p w14:paraId="70E273C8" w14:textId="77777777" w:rsidR="008E13F3" w:rsidRPr="000717E1" w:rsidRDefault="008E13F3" w:rsidP="00E13A0D">
            <w:pPr>
              <w:pStyle w:val="TableText0"/>
              <w:keepNext w:val="0"/>
              <w:keepLines w:val="0"/>
              <w:jc w:val="center"/>
              <w:rPr>
                <w:sz w:val="20"/>
                <w:szCs w:val="20"/>
              </w:rPr>
            </w:pPr>
            <w:r w:rsidRPr="000717E1">
              <w:rPr>
                <w:sz w:val="20"/>
                <w:szCs w:val="20"/>
              </w:rPr>
              <w:t>(0.96, 1.07)</w:t>
            </w:r>
          </w:p>
        </w:tc>
        <w:tc>
          <w:tcPr>
            <w:tcW w:w="473" w:type="pct"/>
          </w:tcPr>
          <w:p w14:paraId="3A80A75C" w14:textId="4704697E" w:rsidR="008E13F3" w:rsidRPr="000717E1" w:rsidRDefault="008E13F3" w:rsidP="00E13A0D">
            <w:pPr>
              <w:pStyle w:val="TableText0"/>
              <w:keepNext w:val="0"/>
              <w:keepLines w:val="0"/>
              <w:jc w:val="center"/>
              <w:rPr>
                <w:sz w:val="20"/>
                <w:szCs w:val="20"/>
              </w:rPr>
            </w:pPr>
            <w:r w:rsidRPr="000717E1">
              <w:rPr>
                <w:sz w:val="20"/>
                <w:szCs w:val="20"/>
              </w:rPr>
              <w:t xml:space="preserve">0.01 </w:t>
            </w:r>
            <w:r w:rsidR="00A060D4" w:rsidRPr="000717E1">
              <w:rPr>
                <w:sz w:val="20"/>
                <w:szCs w:val="20"/>
              </w:rPr>
              <w:br/>
            </w:r>
            <w:r w:rsidRPr="000717E1">
              <w:rPr>
                <w:sz w:val="20"/>
                <w:szCs w:val="20"/>
              </w:rPr>
              <w:t>(-0.03, 0.05)</w:t>
            </w:r>
          </w:p>
        </w:tc>
      </w:tr>
      <w:tr w:rsidR="00700A2D" w:rsidRPr="000717E1" w14:paraId="04D401F3" w14:textId="77777777" w:rsidTr="00EA4A8D">
        <w:trPr>
          <w:cantSplit/>
          <w:trHeight w:val="60"/>
        </w:trPr>
        <w:tc>
          <w:tcPr>
            <w:tcW w:w="792" w:type="pct"/>
          </w:tcPr>
          <w:p w14:paraId="67C35A5C" w14:textId="77777777" w:rsidR="008E13F3" w:rsidRPr="000717E1" w:rsidRDefault="008E13F3" w:rsidP="00E13A0D">
            <w:pPr>
              <w:pStyle w:val="TableText0"/>
              <w:keepNext w:val="0"/>
              <w:keepLines w:val="0"/>
              <w:rPr>
                <w:sz w:val="20"/>
                <w:szCs w:val="20"/>
              </w:rPr>
            </w:pPr>
            <w:r w:rsidRPr="000717E1">
              <w:rPr>
                <w:sz w:val="20"/>
                <w:szCs w:val="20"/>
              </w:rPr>
              <w:t>Patients with any severe TEAE</w:t>
            </w:r>
          </w:p>
        </w:tc>
        <w:tc>
          <w:tcPr>
            <w:tcW w:w="636" w:type="pct"/>
          </w:tcPr>
          <w:p w14:paraId="4C6E68BE" w14:textId="77777777" w:rsidR="008E13F3" w:rsidRPr="000717E1" w:rsidRDefault="008E13F3" w:rsidP="00E13A0D">
            <w:pPr>
              <w:pStyle w:val="TableText0"/>
              <w:keepNext w:val="0"/>
              <w:keepLines w:val="0"/>
              <w:jc w:val="center"/>
              <w:rPr>
                <w:sz w:val="20"/>
                <w:szCs w:val="20"/>
              </w:rPr>
            </w:pPr>
            <w:r w:rsidRPr="000717E1">
              <w:rPr>
                <w:sz w:val="20"/>
                <w:szCs w:val="20"/>
              </w:rPr>
              <w:t>48 (10.2)</w:t>
            </w:r>
          </w:p>
        </w:tc>
        <w:tc>
          <w:tcPr>
            <w:tcW w:w="477" w:type="pct"/>
          </w:tcPr>
          <w:p w14:paraId="42B51B63" w14:textId="77777777" w:rsidR="008E13F3" w:rsidRPr="000717E1" w:rsidRDefault="008E13F3" w:rsidP="00E13A0D">
            <w:pPr>
              <w:pStyle w:val="TableText0"/>
              <w:keepNext w:val="0"/>
              <w:keepLines w:val="0"/>
              <w:jc w:val="center"/>
              <w:rPr>
                <w:sz w:val="20"/>
                <w:szCs w:val="20"/>
              </w:rPr>
            </w:pPr>
            <w:r w:rsidRPr="000717E1">
              <w:rPr>
                <w:sz w:val="20"/>
                <w:szCs w:val="20"/>
              </w:rPr>
              <w:t>55 (11.7)</w:t>
            </w:r>
          </w:p>
        </w:tc>
        <w:tc>
          <w:tcPr>
            <w:tcW w:w="636" w:type="pct"/>
          </w:tcPr>
          <w:p w14:paraId="78C1F3F2" w14:textId="77777777" w:rsidR="008E13F3" w:rsidRPr="000717E1" w:rsidRDefault="008E13F3" w:rsidP="00E13A0D">
            <w:pPr>
              <w:pStyle w:val="TableText0"/>
              <w:keepNext w:val="0"/>
              <w:keepLines w:val="0"/>
              <w:jc w:val="center"/>
              <w:rPr>
                <w:sz w:val="20"/>
                <w:szCs w:val="20"/>
              </w:rPr>
            </w:pPr>
            <w:r w:rsidRPr="000717E1">
              <w:rPr>
                <w:sz w:val="20"/>
                <w:szCs w:val="20"/>
              </w:rPr>
              <w:t>60 (12.8)</w:t>
            </w:r>
          </w:p>
        </w:tc>
        <w:tc>
          <w:tcPr>
            <w:tcW w:w="477" w:type="pct"/>
          </w:tcPr>
          <w:p w14:paraId="43B878E9" w14:textId="77777777" w:rsidR="008E13F3" w:rsidRPr="000717E1" w:rsidRDefault="008E13F3" w:rsidP="00E13A0D">
            <w:pPr>
              <w:pStyle w:val="TableText0"/>
              <w:keepNext w:val="0"/>
              <w:keepLines w:val="0"/>
              <w:jc w:val="center"/>
              <w:rPr>
                <w:sz w:val="20"/>
                <w:szCs w:val="20"/>
              </w:rPr>
            </w:pPr>
            <w:r w:rsidRPr="000717E1">
              <w:rPr>
                <w:sz w:val="20"/>
                <w:szCs w:val="20"/>
              </w:rPr>
              <w:t>62 (13.4)</w:t>
            </w:r>
          </w:p>
        </w:tc>
        <w:tc>
          <w:tcPr>
            <w:tcW w:w="636" w:type="pct"/>
          </w:tcPr>
          <w:p w14:paraId="08B42563" w14:textId="77777777" w:rsidR="008E13F3" w:rsidRPr="000717E1" w:rsidRDefault="008E13F3" w:rsidP="00E13A0D">
            <w:pPr>
              <w:pStyle w:val="TableText0"/>
              <w:keepNext w:val="0"/>
              <w:keepLines w:val="0"/>
              <w:jc w:val="center"/>
              <w:rPr>
                <w:sz w:val="20"/>
                <w:szCs w:val="20"/>
              </w:rPr>
            </w:pPr>
            <w:r w:rsidRPr="000717E1">
              <w:rPr>
                <w:sz w:val="20"/>
                <w:szCs w:val="20"/>
              </w:rPr>
              <w:t>108 (11.5)</w:t>
            </w:r>
          </w:p>
        </w:tc>
        <w:tc>
          <w:tcPr>
            <w:tcW w:w="476" w:type="pct"/>
          </w:tcPr>
          <w:p w14:paraId="020B0289" w14:textId="77777777" w:rsidR="008E13F3" w:rsidRPr="000717E1" w:rsidRDefault="008E13F3" w:rsidP="00E13A0D">
            <w:pPr>
              <w:pStyle w:val="TableText0"/>
              <w:keepNext w:val="0"/>
              <w:keepLines w:val="0"/>
              <w:jc w:val="center"/>
              <w:rPr>
                <w:sz w:val="20"/>
                <w:szCs w:val="20"/>
              </w:rPr>
            </w:pPr>
            <w:r w:rsidRPr="000717E1">
              <w:rPr>
                <w:sz w:val="20"/>
                <w:szCs w:val="20"/>
              </w:rPr>
              <w:t>117 (12.5)</w:t>
            </w:r>
          </w:p>
        </w:tc>
        <w:tc>
          <w:tcPr>
            <w:tcW w:w="397" w:type="pct"/>
          </w:tcPr>
          <w:p w14:paraId="7B6D04C1" w14:textId="77777777" w:rsidR="008E13F3" w:rsidRPr="000717E1" w:rsidRDefault="008E13F3" w:rsidP="00E13A0D">
            <w:pPr>
              <w:pStyle w:val="TableText0"/>
              <w:keepNext w:val="0"/>
              <w:keepLines w:val="0"/>
              <w:jc w:val="center"/>
              <w:rPr>
                <w:sz w:val="20"/>
                <w:szCs w:val="20"/>
              </w:rPr>
            </w:pPr>
            <w:r w:rsidRPr="000717E1">
              <w:rPr>
                <w:sz w:val="20"/>
                <w:szCs w:val="20"/>
              </w:rPr>
              <w:t>0.92</w:t>
            </w:r>
          </w:p>
          <w:p w14:paraId="205C48CB" w14:textId="77777777" w:rsidR="008E13F3" w:rsidRPr="000717E1" w:rsidRDefault="008E13F3" w:rsidP="00E13A0D">
            <w:pPr>
              <w:pStyle w:val="TableText0"/>
              <w:keepNext w:val="0"/>
              <w:keepLines w:val="0"/>
              <w:jc w:val="center"/>
              <w:rPr>
                <w:sz w:val="20"/>
                <w:szCs w:val="20"/>
              </w:rPr>
            </w:pPr>
            <w:r w:rsidRPr="000717E1">
              <w:rPr>
                <w:sz w:val="20"/>
                <w:szCs w:val="20"/>
              </w:rPr>
              <w:t>(0.72, 1.17)</w:t>
            </w:r>
          </w:p>
        </w:tc>
        <w:tc>
          <w:tcPr>
            <w:tcW w:w="473" w:type="pct"/>
          </w:tcPr>
          <w:p w14:paraId="0F6154B6" w14:textId="77777777" w:rsidR="008E13F3" w:rsidRPr="000717E1" w:rsidRDefault="008E13F3" w:rsidP="00E13A0D">
            <w:pPr>
              <w:pStyle w:val="TableText0"/>
              <w:keepNext w:val="0"/>
              <w:keepLines w:val="0"/>
              <w:jc w:val="center"/>
              <w:rPr>
                <w:sz w:val="20"/>
                <w:szCs w:val="20"/>
              </w:rPr>
            </w:pPr>
            <w:r w:rsidRPr="000717E1">
              <w:rPr>
                <w:sz w:val="20"/>
                <w:szCs w:val="20"/>
              </w:rPr>
              <w:t>-0.01</w:t>
            </w:r>
          </w:p>
          <w:p w14:paraId="23FB901A" w14:textId="77777777" w:rsidR="008E13F3" w:rsidRPr="000717E1" w:rsidRDefault="008E13F3" w:rsidP="00E13A0D">
            <w:pPr>
              <w:pStyle w:val="TableText0"/>
              <w:keepNext w:val="0"/>
              <w:keepLines w:val="0"/>
              <w:jc w:val="center"/>
              <w:rPr>
                <w:sz w:val="20"/>
                <w:szCs w:val="20"/>
              </w:rPr>
            </w:pPr>
            <w:r w:rsidRPr="000717E1">
              <w:rPr>
                <w:sz w:val="20"/>
                <w:szCs w:val="20"/>
              </w:rPr>
              <w:t>(-0.04, 0.02)</w:t>
            </w:r>
          </w:p>
        </w:tc>
      </w:tr>
      <w:tr w:rsidR="00700A2D" w:rsidRPr="000717E1" w14:paraId="6EB1F29A" w14:textId="77777777" w:rsidTr="00EA4A8D">
        <w:trPr>
          <w:cantSplit/>
          <w:trHeight w:val="499"/>
        </w:trPr>
        <w:tc>
          <w:tcPr>
            <w:tcW w:w="792" w:type="pct"/>
          </w:tcPr>
          <w:p w14:paraId="545B8C36" w14:textId="77777777" w:rsidR="008E13F3" w:rsidRPr="000717E1" w:rsidRDefault="008E13F3" w:rsidP="00E13A0D">
            <w:pPr>
              <w:pStyle w:val="TableText0"/>
              <w:keepNext w:val="0"/>
              <w:keepLines w:val="0"/>
              <w:rPr>
                <w:sz w:val="20"/>
                <w:szCs w:val="20"/>
              </w:rPr>
            </w:pPr>
            <w:r w:rsidRPr="000717E1">
              <w:rPr>
                <w:sz w:val="20"/>
                <w:szCs w:val="20"/>
              </w:rPr>
              <w:t>Patients with any treatment emergent SAE</w:t>
            </w:r>
          </w:p>
        </w:tc>
        <w:tc>
          <w:tcPr>
            <w:tcW w:w="636" w:type="pct"/>
          </w:tcPr>
          <w:p w14:paraId="571ED1A7" w14:textId="77777777" w:rsidR="008E13F3" w:rsidRPr="000717E1" w:rsidRDefault="008E13F3" w:rsidP="00E13A0D">
            <w:pPr>
              <w:pStyle w:val="TableText0"/>
              <w:keepNext w:val="0"/>
              <w:keepLines w:val="0"/>
              <w:jc w:val="center"/>
              <w:rPr>
                <w:sz w:val="20"/>
                <w:szCs w:val="20"/>
              </w:rPr>
            </w:pPr>
            <w:r w:rsidRPr="000717E1">
              <w:rPr>
                <w:sz w:val="20"/>
                <w:szCs w:val="20"/>
              </w:rPr>
              <w:t>64 (13.6)</w:t>
            </w:r>
          </w:p>
        </w:tc>
        <w:tc>
          <w:tcPr>
            <w:tcW w:w="477" w:type="pct"/>
          </w:tcPr>
          <w:p w14:paraId="545DCBEF" w14:textId="77777777" w:rsidR="008E13F3" w:rsidRPr="000717E1" w:rsidRDefault="008E13F3" w:rsidP="00E13A0D">
            <w:pPr>
              <w:pStyle w:val="TableText0"/>
              <w:keepNext w:val="0"/>
              <w:keepLines w:val="0"/>
              <w:jc w:val="center"/>
              <w:rPr>
                <w:sz w:val="20"/>
                <w:szCs w:val="20"/>
              </w:rPr>
            </w:pPr>
            <w:r w:rsidRPr="000717E1">
              <w:rPr>
                <w:sz w:val="20"/>
                <w:szCs w:val="20"/>
              </w:rPr>
              <w:t>73 (15.5)</w:t>
            </w:r>
          </w:p>
        </w:tc>
        <w:tc>
          <w:tcPr>
            <w:tcW w:w="636" w:type="pct"/>
          </w:tcPr>
          <w:p w14:paraId="54A6B915" w14:textId="77777777" w:rsidR="008E13F3" w:rsidRPr="000717E1" w:rsidRDefault="008E13F3" w:rsidP="00E13A0D">
            <w:pPr>
              <w:pStyle w:val="TableText0"/>
              <w:keepNext w:val="0"/>
              <w:keepLines w:val="0"/>
              <w:jc w:val="center"/>
              <w:rPr>
                <w:sz w:val="20"/>
                <w:szCs w:val="20"/>
              </w:rPr>
            </w:pPr>
            <w:r w:rsidRPr="000717E1">
              <w:rPr>
                <w:sz w:val="20"/>
                <w:szCs w:val="20"/>
              </w:rPr>
              <w:t>61 (13.0)</w:t>
            </w:r>
          </w:p>
        </w:tc>
        <w:tc>
          <w:tcPr>
            <w:tcW w:w="477" w:type="pct"/>
          </w:tcPr>
          <w:p w14:paraId="1B173179" w14:textId="77777777" w:rsidR="008E13F3" w:rsidRPr="000717E1" w:rsidRDefault="008E13F3" w:rsidP="00E13A0D">
            <w:pPr>
              <w:pStyle w:val="TableText0"/>
              <w:keepNext w:val="0"/>
              <w:keepLines w:val="0"/>
              <w:jc w:val="center"/>
              <w:rPr>
                <w:sz w:val="20"/>
                <w:szCs w:val="20"/>
              </w:rPr>
            </w:pPr>
            <w:r w:rsidRPr="000717E1">
              <w:rPr>
                <w:sz w:val="20"/>
                <w:szCs w:val="20"/>
              </w:rPr>
              <w:t>74 (15.9)</w:t>
            </w:r>
          </w:p>
        </w:tc>
        <w:tc>
          <w:tcPr>
            <w:tcW w:w="636" w:type="pct"/>
          </w:tcPr>
          <w:p w14:paraId="52D2A1C9" w14:textId="77777777" w:rsidR="008E13F3" w:rsidRPr="000717E1" w:rsidRDefault="008E13F3" w:rsidP="00E13A0D">
            <w:pPr>
              <w:pStyle w:val="TableText0"/>
              <w:keepNext w:val="0"/>
              <w:keepLines w:val="0"/>
              <w:jc w:val="center"/>
              <w:rPr>
                <w:sz w:val="20"/>
                <w:szCs w:val="20"/>
              </w:rPr>
            </w:pPr>
            <w:r w:rsidRPr="000717E1">
              <w:rPr>
                <w:sz w:val="20"/>
                <w:szCs w:val="20"/>
              </w:rPr>
              <w:t>125 (13.3)</w:t>
            </w:r>
          </w:p>
        </w:tc>
        <w:tc>
          <w:tcPr>
            <w:tcW w:w="476" w:type="pct"/>
          </w:tcPr>
          <w:p w14:paraId="75957E53" w14:textId="77777777" w:rsidR="008E13F3" w:rsidRPr="000717E1" w:rsidRDefault="008E13F3" w:rsidP="00E13A0D">
            <w:pPr>
              <w:pStyle w:val="TableText0"/>
              <w:keepNext w:val="0"/>
              <w:keepLines w:val="0"/>
              <w:jc w:val="center"/>
              <w:rPr>
                <w:sz w:val="20"/>
                <w:szCs w:val="20"/>
              </w:rPr>
            </w:pPr>
            <w:r w:rsidRPr="000717E1">
              <w:rPr>
                <w:sz w:val="20"/>
                <w:szCs w:val="20"/>
              </w:rPr>
              <w:t>147 (15.7)</w:t>
            </w:r>
          </w:p>
        </w:tc>
        <w:tc>
          <w:tcPr>
            <w:tcW w:w="397" w:type="pct"/>
          </w:tcPr>
          <w:p w14:paraId="031C1BFC" w14:textId="77777777" w:rsidR="008E13F3" w:rsidRPr="000717E1" w:rsidRDefault="008E13F3" w:rsidP="00E13A0D">
            <w:pPr>
              <w:pStyle w:val="TableText0"/>
              <w:keepNext w:val="0"/>
              <w:keepLines w:val="0"/>
              <w:jc w:val="center"/>
              <w:rPr>
                <w:sz w:val="20"/>
                <w:szCs w:val="20"/>
              </w:rPr>
            </w:pPr>
            <w:r w:rsidRPr="000717E1">
              <w:rPr>
                <w:sz w:val="20"/>
                <w:szCs w:val="20"/>
              </w:rPr>
              <w:t>0.85</w:t>
            </w:r>
          </w:p>
          <w:p w14:paraId="686A4053" w14:textId="77777777" w:rsidR="008E13F3" w:rsidRPr="000717E1" w:rsidRDefault="008E13F3" w:rsidP="00E13A0D">
            <w:pPr>
              <w:pStyle w:val="TableText0"/>
              <w:keepNext w:val="0"/>
              <w:keepLines w:val="0"/>
              <w:jc w:val="center"/>
              <w:rPr>
                <w:sz w:val="20"/>
                <w:szCs w:val="20"/>
              </w:rPr>
            </w:pPr>
            <w:r w:rsidRPr="000717E1">
              <w:rPr>
                <w:sz w:val="20"/>
                <w:szCs w:val="20"/>
              </w:rPr>
              <w:t>(0.68, 1.06)</w:t>
            </w:r>
          </w:p>
        </w:tc>
        <w:tc>
          <w:tcPr>
            <w:tcW w:w="473" w:type="pct"/>
          </w:tcPr>
          <w:p w14:paraId="4F32AFAF" w14:textId="77777777" w:rsidR="008E13F3" w:rsidRPr="000717E1" w:rsidRDefault="008E13F3" w:rsidP="00E13A0D">
            <w:pPr>
              <w:pStyle w:val="TableText0"/>
              <w:keepNext w:val="0"/>
              <w:keepLines w:val="0"/>
              <w:jc w:val="center"/>
              <w:rPr>
                <w:sz w:val="20"/>
                <w:szCs w:val="20"/>
              </w:rPr>
            </w:pPr>
            <w:r w:rsidRPr="000717E1">
              <w:rPr>
                <w:sz w:val="20"/>
                <w:szCs w:val="20"/>
              </w:rPr>
              <w:t>-0.02</w:t>
            </w:r>
          </w:p>
          <w:p w14:paraId="668A9CE5" w14:textId="77777777" w:rsidR="008E13F3" w:rsidRPr="000717E1" w:rsidRDefault="008E13F3" w:rsidP="00E13A0D">
            <w:pPr>
              <w:pStyle w:val="TableText0"/>
              <w:keepNext w:val="0"/>
              <w:keepLines w:val="0"/>
              <w:jc w:val="center"/>
              <w:rPr>
                <w:sz w:val="20"/>
                <w:szCs w:val="20"/>
              </w:rPr>
            </w:pPr>
            <w:r w:rsidRPr="000717E1">
              <w:rPr>
                <w:sz w:val="20"/>
                <w:szCs w:val="20"/>
              </w:rPr>
              <w:t>(-0.06, 0.01)</w:t>
            </w:r>
          </w:p>
        </w:tc>
      </w:tr>
      <w:tr w:rsidR="00700A2D" w:rsidRPr="000717E1" w14:paraId="792CA9D3" w14:textId="77777777" w:rsidTr="00EA4A8D">
        <w:trPr>
          <w:cantSplit/>
          <w:trHeight w:val="601"/>
        </w:trPr>
        <w:tc>
          <w:tcPr>
            <w:tcW w:w="792" w:type="pct"/>
          </w:tcPr>
          <w:p w14:paraId="3BB4EFFD" w14:textId="7572F739" w:rsidR="008E13F3" w:rsidRPr="000717E1" w:rsidRDefault="008E13F3" w:rsidP="00E13A0D">
            <w:pPr>
              <w:pStyle w:val="TableText0"/>
              <w:keepNext w:val="0"/>
              <w:keepLines w:val="0"/>
              <w:rPr>
                <w:sz w:val="20"/>
                <w:szCs w:val="20"/>
                <w:vertAlign w:val="superscript"/>
              </w:rPr>
            </w:pPr>
            <w:r w:rsidRPr="000717E1">
              <w:rPr>
                <w:sz w:val="20"/>
                <w:szCs w:val="20"/>
              </w:rPr>
              <w:t xml:space="preserve">Patients with any TEAE leading to </w:t>
            </w:r>
            <w:proofErr w:type="spellStart"/>
            <w:r w:rsidR="00A817A8" w:rsidRPr="000717E1">
              <w:rPr>
                <w:sz w:val="20"/>
                <w:szCs w:val="20"/>
              </w:rPr>
              <w:t>discontinuation</w:t>
            </w:r>
            <w:r w:rsidR="0019614A" w:rsidRPr="000717E1">
              <w:rPr>
                <w:sz w:val="20"/>
                <w:szCs w:val="20"/>
                <w:vertAlign w:val="superscript"/>
              </w:rPr>
              <w:t>b</w:t>
            </w:r>
            <w:proofErr w:type="spellEnd"/>
          </w:p>
        </w:tc>
        <w:tc>
          <w:tcPr>
            <w:tcW w:w="636" w:type="pct"/>
          </w:tcPr>
          <w:p w14:paraId="27678212" w14:textId="77777777" w:rsidR="008E13F3" w:rsidRPr="000717E1" w:rsidRDefault="008E13F3" w:rsidP="00E13A0D">
            <w:pPr>
              <w:pStyle w:val="TableText0"/>
              <w:keepNext w:val="0"/>
              <w:keepLines w:val="0"/>
              <w:jc w:val="center"/>
              <w:rPr>
                <w:sz w:val="20"/>
                <w:szCs w:val="20"/>
              </w:rPr>
            </w:pPr>
            <w:r w:rsidRPr="000717E1">
              <w:rPr>
                <w:sz w:val="20"/>
                <w:szCs w:val="20"/>
              </w:rPr>
              <w:t>14 (3.0)</w:t>
            </w:r>
          </w:p>
        </w:tc>
        <w:tc>
          <w:tcPr>
            <w:tcW w:w="477" w:type="pct"/>
          </w:tcPr>
          <w:p w14:paraId="48F5B91E" w14:textId="77777777" w:rsidR="008E13F3" w:rsidRPr="000717E1" w:rsidRDefault="008E13F3" w:rsidP="00E13A0D">
            <w:pPr>
              <w:pStyle w:val="TableText0"/>
              <w:keepNext w:val="0"/>
              <w:keepLines w:val="0"/>
              <w:jc w:val="center"/>
              <w:rPr>
                <w:sz w:val="20"/>
                <w:szCs w:val="20"/>
              </w:rPr>
            </w:pPr>
            <w:r w:rsidRPr="000717E1">
              <w:rPr>
                <w:sz w:val="20"/>
                <w:szCs w:val="20"/>
              </w:rPr>
              <w:t>16 (3.4)</w:t>
            </w:r>
          </w:p>
        </w:tc>
        <w:tc>
          <w:tcPr>
            <w:tcW w:w="636" w:type="pct"/>
          </w:tcPr>
          <w:p w14:paraId="4ECD965D" w14:textId="77777777" w:rsidR="008E13F3" w:rsidRPr="000717E1" w:rsidRDefault="008E13F3" w:rsidP="00E13A0D">
            <w:pPr>
              <w:pStyle w:val="TableText0"/>
              <w:keepNext w:val="0"/>
              <w:keepLines w:val="0"/>
              <w:jc w:val="center"/>
              <w:rPr>
                <w:sz w:val="20"/>
                <w:szCs w:val="20"/>
              </w:rPr>
            </w:pPr>
            <w:r w:rsidRPr="000717E1">
              <w:rPr>
                <w:sz w:val="20"/>
                <w:szCs w:val="20"/>
              </w:rPr>
              <w:t>18 (3.8)</w:t>
            </w:r>
          </w:p>
        </w:tc>
        <w:tc>
          <w:tcPr>
            <w:tcW w:w="477" w:type="pct"/>
          </w:tcPr>
          <w:p w14:paraId="400E5C61" w14:textId="77777777" w:rsidR="008E13F3" w:rsidRPr="000717E1" w:rsidRDefault="008E13F3" w:rsidP="00E13A0D">
            <w:pPr>
              <w:pStyle w:val="TableText0"/>
              <w:keepNext w:val="0"/>
              <w:keepLines w:val="0"/>
              <w:jc w:val="center"/>
              <w:rPr>
                <w:sz w:val="20"/>
                <w:szCs w:val="20"/>
              </w:rPr>
            </w:pPr>
            <w:r w:rsidRPr="000717E1">
              <w:rPr>
                <w:sz w:val="20"/>
                <w:szCs w:val="20"/>
              </w:rPr>
              <w:t>12 (2.6)</w:t>
            </w:r>
          </w:p>
        </w:tc>
        <w:tc>
          <w:tcPr>
            <w:tcW w:w="636" w:type="pct"/>
          </w:tcPr>
          <w:p w14:paraId="5006A183" w14:textId="77777777" w:rsidR="008E13F3" w:rsidRPr="000717E1" w:rsidRDefault="008E13F3" w:rsidP="00E13A0D">
            <w:pPr>
              <w:pStyle w:val="TableText0"/>
              <w:keepNext w:val="0"/>
              <w:keepLines w:val="0"/>
              <w:jc w:val="center"/>
              <w:rPr>
                <w:sz w:val="20"/>
                <w:szCs w:val="20"/>
              </w:rPr>
            </w:pPr>
            <w:r w:rsidRPr="000717E1">
              <w:rPr>
                <w:sz w:val="20"/>
                <w:szCs w:val="20"/>
              </w:rPr>
              <w:t>32 (3.4)</w:t>
            </w:r>
          </w:p>
        </w:tc>
        <w:tc>
          <w:tcPr>
            <w:tcW w:w="476" w:type="pct"/>
          </w:tcPr>
          <w:p w14:paraId="296EEE17" w14:textId="77777777" w:rsidR="008E13F3" w:rsidRPr="000717E1" w:rsidRDefault="008E13F3" w:rsidP="00E13A0D">
            <w:pPr>
              <w:pStyle w:val="TableText0"/>
              <w:keepNext w:val="0"/>
              <w:keepLines w:val="0"/>
              <w:jc w:val="center"/>
              <w:rPr>
                <w:sz w:val="20"/>
                <w:szCs w:val="20"/>
              </w:rPr>
            </w:pPr>
            <w:r w:rsidRPr="000717E1">
              <w:rPr>
                <w:sz w:val="20"/>
                <w:szCs w:val="20"/>
              </w:rPr>
              <w:t>28 (3.0)</w:t>
            </w:r>
          </w:p>
        </w:tc>
        <w:tc>
          <w:tcPr>
            <w:tcW w:w="397" w:type="pct"/>
          </w:tcPr>
          <w:p w14:paraId="1FB0B77B" w14:textId="77777777" w:rsidR="008E13F3" w:rsidRPr="000717E1" w:rsidRDefault="008E13F3" w:rsidP="00E13A0D">
            <w:pPr>
              <w:pStyle w:val="TableText0"/>
              <w:keepNext w:val="0"/>
              <w:keepLines w:val="0"/>
              <w:jc w:val="center"/>
              <w:rPr>
                <w:sz w:val="20"/>
                <w:szCs w:val="20"/>
              </w:rPr>
            </w:pPr>
            <w:r w:rsidRPr="000717E1">
              <w:rPr>
                <w:sz w:val="20"/>
                <w:szCs w:val="20"/>
              </w:rPr>
              <w:t>1.14</w:t>
            </w:r>
          </w:p>
          <w:p w14:paraId="597BBC54" w14:textId="77777777" w:rsidR="008E13F3" w:rsidRPr="000717E1" w:rsidRDefault="008E13F3" w:rsidP="00E13A0D">
            <w:pPr>
              <w:pStyle w:val="TableText0"/>
              <w:keepNext w:val="0"/>
              <w:keepLines w:val="0"/>
              <w:jc w:val="center"/>
              <w:rPr>
                <w:sz w:val="20"/>
                <w:szCs w:val="20"/>
              </w:rPr>
            </w:pPr>
            <w:r w:rsidRPr="000717E1">
              <w:rPr>
                <w:sz w:val="20"/>
                <w:szCs w:val="20"/>
              </w:rPr>
              <w:t>(0.69, 1.87)</w:t>
            </w:r>
          </w:p>
        </w:tc>
        <w:tc>
          <w:tcPr>
            <w:tcW w:w="473" w:type="pct"/>
          </w:tcPr>
          <w:p w14:paraId="7AF4C9C3" w14:textId="77777777" w:rsidR="008E13F3" w:rsidRPr="000717E1" w:rsidRDefault="008E13F3" w:rsidP="00E13A0D">
            <w:pPr>
              <w:pStyle w:val="TableText0"/>
              <w:keepNext w:val="0"/>
              <w:keepLines w:val="0"/>
              <w:jc w:val="center"/>
              <w:rPr>
                <w:sz w:val="20"/>
                <w:szCs w:val="20"/>
              </w:rPr>
            </w:pPr>
            <w:r w:rsidRPr="000717E1">
              <w:rPr>
                <w:sz w:val="20"/>
                <w:szCs w:val="20"/>
              </w:rPr>
              <w:t>0.00</w:t>
            </w:r>
          </w:p>
          <w:p w14:paraId="1BED4995" w14:textId="77777777" w:rsidR="008E13F3" w:rsidRPr="000717E1" w:rsidRDefault="008E13F3" w:rsidP="00E13A0D">
            <w:pPr>
              <w:pStyle w:val="TableText0"/>
              <w:keepNext w:val="0"/>
              <w:keepLines w:val="0"/>
              <w:jc w:val="center"/>
              <w:rPr>
                <w:sz w:val="20"/>
                <w:szCs w:val="20"/>
              </w:rPr>
            </w:pPr>
            <w:r w:rsidRPr="000717E1">
              <w:rPr>
                <w:sz w:val="20"/>
                <w:szCs w:val="20"/>
              </w:rPr>
              <w:t>(-0.01, 0.02)</w:t>
            </w:r>
          </w:p>
        </w:tc>
      </w:tr>
      <w:tr w:rsidR="00700A2D" w:rsidRPr="000717E1" w14:paraId="09FFF5B7" w14:textId="77777777" w:rsidTr="00EA4A8D">
        <w:trPr>
          <w:cantSplit/>
          <w:trHeight w:val="135"/>
        </w:trPr>
        <w:tc>
          <w:tcPr>
            <w:tcW w:w="792" w:type="pct"/>
          </w:tcPr>
          <w:p w14:paraId="417BF58B" w14:textId="77777777" w:rsidR="008E13F3" w:rsidRPr="000717E1" w:rsidRDefault="008E13F3" w:rsidP="00E13A0D">
            <w:pPr>
              <w:pStyle w:val="TableText0"/>
              <w:keepNext w:val="0"/>
              <w:keepLines w:val="0"/>
              <w:rPr>
                <w:sz w:val="20"/>
                <w:szCs w:val="20"/>
              </w:rPr>
            </w:pPr>
            <w:r w:rsidRPr="000717E1">
              <w:rPr>
                <w:sz w:val="20"/>
                <w:szCs w:val="20"/>
              </w:rPr>
              <w:t>Patients with any treatment emergent AESI</w:t>
            </w:r>
          </w:p>
        </w:tc>
        <w:tc>
          <w:tcPr>
            <w:tcW w:w="636" w:type="pct"/>
          </w:tcPr>
          <w:p w14:paraId="4B87B2EE" w14:textId="77777777" w:rsidR="008E13F3" w:rsidRPr="000717E1" w:rsidRDefault="008E13F3" w:rsidP="00E13A0D">
            <w:pPr>
              <w:pStyle w:val="TableText0"/>
              <w:keepNext w:val="0"/>
              <w:keepLines w:val="0"/>
              <w:jc w:val="center"/>
              <w:rPr>
                <w:sz w:val="20"/>
                <w:szCs w:val="20"/>
              </w:rPr>
            </w:pPr>
            <w:r w:rsidRPr="000717E1">
              <w:rPr>
                <w:sz w:val="20"/>
                <w:szCs w:val="20"/>
              </w:rPr>
              <w:t>40 (8.5)</w:t>
            </w:r>
          </w:p>
        </w:tc>
        <w:tc>
          <w:tcPr>
            <w:tcW w:w="477" w:type="pct"/>
          </w:tcPr>
          <w:p w14:paraId="2FE841B5" w14:textId="77777777" w:rsidR="008E13F3" w:rsidRPr="000717E1" w:rsidRDefault="008E13F3" w:rsidP="00E13A0D">
            <w:pPr>
              <w:pStyle w:val="TableText0"/>
              <w:keepNext w:val="0"/>
              <w:keepLines w:val="0"/>
              <w:jc w:val="center"/>
              <w:rPr>
                <w:sz w:val="20"/>
                <w:szCs w:val="20"/>
              </w:rPr>
            </w:pPr>
            <w:r w:rsidRPr="000717E1">
              <w:rPr>
                <w:sz w:val="20"/>
                <w:szCs w:val="20"/>
              </w:rPr>
              <w:t>43 (9.1)</w:t>
            </w:r>
          </w:p>
        </w:tc>
        <w:tc>
          <w:tcPr>
            <w:tcW w:w="636" w:type="pct"/>
          </w:tcPr>
          <w:p w14:paraId="7E1DEEED" w14:textId="77777777" w:rsidR="008E13F3" w:rsidRPr="000717E1" w:rsidRDefault="008E13F3" w:rsidP="00E13A0D">
            <w:pPr>
              <w:pStyle w:val="TableText0"/>
              <w:keepNext w:val="0"/>
              <w:keepLines w:val="0"/>
              <w:jc w:val="center"/>
              <w:rPr>
                <w:sz w:val="20"/>
                <w:szCs w:val="20"/>
              </w:rPr>
            </w:pPr>
            <w:r w:rsidRPr="000717E1">
              <w:rPr>
                <w:sz w:val="20"/>
                <w:szCs w:val="20"/>
              </w:rPr>
              <w:t>39 (8.3)</w:t>
            </w:r>
          </w:p>
        </w:tc>
        <w:tc>
          <w:tcPr>
            <w:tcW w:w="477" w:type="pct"/>
          </w:tcPr>
          <w:p w14:paraId="5D63EFA9" w14:textId="77777777" w:rsidR="008E13F3" w:rsidRPr="000717E1" w:rsidRDefault="008E13F3" w:rsidP="00E13A0D">
            <w:pPr>
              <w:pStyle w:val="TableText0"/>
              <w:keepNext w:val="0"/>
              <w:keepLines w:val="0"/>
              <w:jc w:val="center"/>
              <w:rPr>
                <w:sz w:val="20"/>
                <w:szCs w:val="20"/>
              </w:rPr>
            </w:pPr>
            <w:r w:rsidRPr="000717E1">
              <w:rPr>
                <w:sz w:val="20"/>
                <w:szCs w:val="20"/>
              </w:rPr>
              <w:t>33 (7.1)</w:t>
            </w:r>
          </w:p>
        </w:tc>
        <w:tc>
          <w:tcPr>
            <w:tcW w:w="636" w:type="pct"/>
          </w:tcPr>
          <w:p w14:paraId="49F8F4F2" w14:textId="77777777" w:rsidR="008E13F3" w:rsidRPr="000717E1" w:rsidRDefault="008E13F3" w:rsidP="00E13A0D">
            <w:pPr>
              <w:pStyle w:val="TableText0"/>
              <w:keepNext w:val="0"/>
              <w:keepLines w:val="0"/>
              <w:jc w:val="center"/>
              <w:rPr>
                <w:sz w:val="20"/>
                <w:szCs w:val="20"/>
              </w:rPr>
            </w:pPr>
            <w:r w:rsidRPr="000717E1">
              <w:rPr>
                <w:sz w:val="20"/>
                <w:szCs w:val="20"/>
              </w:rPr>
              <w:t>79 (8.4)</w:t>
            </w:r>
          </w:p>
        </w:tc>
        <w:tc>
          <w:tcPr>
            <w:tcW w:w="476" w:type="pct"/>
          </w:tcPr>
          <w:p w14:paraId="6ED9B6BC" w14:textId="77777777" w:rsidR="008E13F3" w:rsidRPr="000717E1" w:rsidRDefault="008E13F3" w:rsidP="00E13A0D">
            <w:pPr>
              <w:pStyle w:val="TableText0"/>
              <w:keepNext w:val="0"/>
              <w:keepLines w:val="0"/>
              <w:jc w:val="center"/>
              <w:rPr>
                <w:sz w:val="20"/>
                <w:szCs w:val="20"/>
              </w:rPr>
            </w:pPr>
            <w:r w:rsidRPr="000717E1">
              <w:rPr>
                <w:sz w:val="20"/>
                <w:szCs w:val="20"/>
              </w:rPr>
              <w:t>76 (8.1)</w:t>
            </w:r>
          </w:p>
        </w:tc>
        <w:tc>
          <w:tcPr>
            <w:tcW w:w="397" w:type="pct"/>
          </w:tcPr>
          <w:p w14:paraId="31444DCC" w14:textId="77777777" w:rsidR="008E13F3" w:rsidRPr="000717E1" w:rsidRDefault="008E13F3" w:rsidP="00E13A0D">
            <w:pPr>
              <w:pStyle w:val="TableText0"/>
              <w:keepNext w:val="0"/>
              <w:keepLines w:val="0"/>
              <w:jc w:val="center"/>
              <w:rPr>
                <w:sz w:val="20"/>
                <w:szCs w:val="20"/>
              </w:rPr>
            </w:pPr>
            <w:r w:rsidRPr="000717E1">
              <w:rPr>
                <w:sz w:val="20"/>
                <w:szCs w:val="20"/>
              </w:rPr>
              <w:t>1.04</w:t>
            </w:r>
          </w:p>
          <w:p w14:paraId="24695C8F" w14:textId="77777777" w:rsidR="008E13F3" w:rsidRPr="000717E1" w:rsidRDefault="008E13F3" w:rsidP="00E13A0D">
            <w:pPr>
              <w:pStyle w:val="TableText0"/>
              <w:keepNext w:val="0"/>
              <w:keepLines w:val="0"/>
              <w:jc w:val="center"/>
              <w:rPr>
                <w:sz w:val="20"/>
                <w:szCs w:val="20"/>
              </w:rPr>
            </w:pPr>
            <w:r w:rsidRPr="000717E1">
              <w:rPr>
                <w:sz w:val="20"/>
                <w:szCs w:val="20"/>
              </w:rPr>
              <w:t>(0.77, 1.40)</w:t>
            </w:r>
          </w:p>
        </w:tc>
        <w:tc>
          <w:tcPr>
            <w:tcW w:w="473" w:type="pct"/>
          </w:tcPr>
          <w:p w14:paraId="79109E6E" w14:textId="77777777" w:rsidR="008E13F3" w:rsidRPr="000717E1" w:rsidRDefault="008E13F3" w:rsidP="00E13A0D">
            <w:pPr>
              <w:pStyle w:val="TableText0"/>
              <w:keepNext w:val="0"/>
              <w:keepLines w:val="0"/>
              <w:jc w:val="center"/>
              <w:rPr>
                <w:sz w:val="20"/>
                <w:szCs w:val="20"/>
              </w:rPr>
            </w:pPr>
            <w:r w:rsidRPr="000717E1">
              <w:rPr>
                <w:sz w:val="20"/>
                <w:szCs w:val="20"/>
              </w:rPr>
              <w:t>0.00</w:t>
            </w:r>
          </w:p>
          <w:p w14:paraId="0D9AE2EA" w14:textId="77777777" w:rsidR="008E13F3" w:rsidRPr="000717E1" w:rsidRDefault="008E13F3" w:rsidP="00E13A0D">
            <w:pPr>
              <w:pStyle w:val="TableText0"/>
              <w:keepNext w:val="0"/>
              <w:keepLines w:val="0"/>
              <w:jc w:val="center"/>
              <w:rPr>
                <w:sz w:val="20"/>
                <w:szCs w:val="20"/>
              </w:rPr>
            </w:pPr>
            <w:r w:rsidRPr="000717E1">
              <w:rPr>
                <w:sz w:val="20"/>
                <w:szCs w:val="20"/>
              </w:rPr>
              <w:t>(0.77, 1.40)</w:t>
            </w:r>
          </w:p>
        </w:tc>
      </w:tr>
      <w:tr w:rsidR="00700A2D" w:rsidRPr="000717E1" w14:paraId="11F2EE3A" w14:textId="77777777" w:rsidTr="00EA4A8D">
        <w:trPr>
          <w:cantSplit/>
          <w:trHeight w:val="145"/>
        </w:trPr>
        <w:tc>
          <w:tcPr>
            <w:tcW w:w="792" w:type="pct"/>
          </w:tcPr>
          <w:p w14:paraId="3B8224A1" w14:textId="77777777" w:rsidR="008E13F3" w:rsidRPr="000717E1" w:rsidRDefault="008E13F3" w:rsidP="00E13A0D">
            <w:pPr>
              <w:pStyle w:val="TableText0"/>
              <w:keepNext w:val="0"/>
              <w:keepLines w:val="0"/>
              <w:rPr>
                <w:sz w:val="20"/>
                <w:szCs w:val="20"/>
              </w:rPr>
            </w:pPr>
            <w:r w:rsidRPr="000717E1">
              <w:rPr>
                <w:sz w:val="20"/>
                <w:szCs w:val="20"/>
              </w:rPr>
              <w:t>Patients with any TEAE related to IMP</w:t>
            </w:r>
          </w:p>
        </w:tc>
        <w:tc>
          <w:tcPr>
            <w:tcW w:w="636" w:type="pct"/>
          </w:tcPr>
          <w:p w14:paraId="0AC40258" w14:textId="77777777" w:rsidR="008E13F3" w:rsidRPr="000717E1" w:rsidRDefault="008E13F3" w:rsidP="00E13A0D">
            <w:pPr>
              <w:pStyle w:val="TableText0"/>
              <w:keepNext w:val="0"/>
              <w:keepLines w:val="0"/>
              <w:jc w:val="center"/>
              <w:rPr>
                <w:sz w:val="20"/>
                <w:szCs w:val="20"/>
              </w:rPr>
            </w:pPr>
            <w:r w:rsidRPr="000717E1">
              <w:rPr>
                <w:sz w:val="20"/>
                <w:szCs w:val="20"/>
              </w:rPr>
              <w:t>35 (7.5)</w:t>
            </w:r>
          </w:p>
        </w:tc>
        <w:tc>
          <w:tcPr>
            <w:tcW w:w="477" w:type="pct"/>
          </w:tcPr>
          <w:p w14:paraId="1C9A92E2" w14:textId="77777777" w:rsidR="008E13F3" w:rsidRPr="000717E1" w:rsidRDefault="008E13F3" w:rsidP="00E13A0D">
            <w:pPr>
              <w:pStyle w:val="TableText0"/>
              <w:keepNext w:val="0"/>
              <w:keepLines w:val="0"/>
              <w:jc w:val="center"/>
              <w:rPr>
                <w:sz w:val="20"/>
                <w:szCs w:val="20"/>
              </w:rPr>
            </w:pPr>
            <w:r w:rsidRPr="000717E1">
              <w:rPr>
                <w:sz w:val="20"/>
                <w:szCs w:val="20"/>
              </w:rPr>
              <w:t>18 (3.8)</w:t>
            </w:r>
          </w:p>
        </w:tc>
        <w:tc>
          <w:tcPr>
            <w:tcW w:w="636" w:type="pct"/>
          </w:tcPr>
          <w:p w14:paraId="794895E2" w14:textId="77777777" w:rsidR="008E13F3" w:rsidRPr="000717E1" w:rsidRDefault="008E13F3" w:rsidP="00E13A0D">
            <w:pPr>
              <w:pStyle w:val="TableText0"/>
              <w:keepNext w:val="0"/>
              <w:keepLines w:val="0"/>
              <w:jc w:val="center"/>
              <w:rPr>
                <w:sz w:val="20"/>
                <w:szCs w:val="20"/>
              </w:rPr>
            </w:pPr>
            <w:r w:rsidRPr="000717E1">
              <w:rPr>
                <w:sz w:val="20"/>
                <w:szCs w:val="20"/>
              </w:rPr>
              <w:t>15 (3.2)</w:t>
            </w:r>
          </w:p>
        </w:tc>
        <w:tc>
          <w:tcPr>
            <w:tcW w:w="477" w:type="pct"/>
          </w:tcPr>
          <w:p w14:paraId="70AAF257" w14:textId="77777777" w:rsidR="008E13F3" w:rsidRPr="000717E1" w:rsidRDefault="008E13F3" w:rsidP="00E13A0D">
            <w:pPr>
              <w:pStyle w:val="TableText0"/>
              <w:keepNext w:val="0"/>
              <w:keepLines w:val="0"/>
              <w:jc w:val="center"/>
              <w:rPr>
                <w:sz w:val="20"/>
                <w:szCs w:val="20"/>
              </w:rPr>
            </w:pPr>
            <w:r w:rsidRPr="000717E1">
              <w:rPr>
                <w:sz w:val="20"/>
                <w:szCs w:val="20"/>
              </w:rPr>
              <w:t>18 (3.9)</w:t>
            </w:r>
          </w:p>
        </w:tc>
        <w:tc>
          <w:tcPr>
            <w:tcW w:w="636" w:type="pct"/>
          </w:tcPr>
          <w:p w14:paraId="379E6058" w14:textId="77777777" w:rsidR="008E13F3" w:rsidRPr="000717E1" w:rsidRDefault="008E13F3" w:rsidP="00E13A0D">
            <w:pPr>
              <w:pStyle w:val="TableText0"/>
              <w:keepNext w:val="0"/>
              <w:keepLines w:val="0"/>
              <w:jc w:val="center"/>
              <w:rPr>
                <w:sz w:val="20"/>
                <w:szCs w:val="20"/>
              </w:rPr>
            </w:pPr>
            <w:r w:rsidRPr="000717E1">
              <w:rPr>
                <w:sz w:val="20"/>
                <w:szCs w:val="20"/>
              </w:rPr>
              <w:t>50 (5.3)</w:t>
            </w:r>
          </w:p>
        </w:tc>
        <w:tc>
          <w:tcPr>
            <w:tcW w:w="476" w:type="pct"/>
          </w:tcPr>
          <w:p w14:paraId="51E2D953" w14:textId="77777777" w:rsidR="008E13F3" w:rsidRPr="000717E1" w:rsidRDefault="008E13F3" w:rsidP="00E13A0D">
            <w:pPr>
              <w:pStyle w:val="TableText0"/>
              <w:keepNext w:val="0"/>
              <w:keepLines w:val="0"/>
              <w:jc w:val="center"/>
              <w:rPr>
                <w:sz w:val="20"/>
                <w:szCs w:val="20"/>
              </w:rPr>
            </w:pPr>
            <w:r w:rsidRPr="000717E1">
              <w:rPr>
                <w:sz w:val="20"/>
                <w:szCs w:val="20"/>
              </w:rPr>
              <w:t>36 (3.9)</w:t>
            </w:r>
          </w:p>
        </w:tc>
        <w:tc>
          <w:tcPr>
            <w:tcW w:w="397" w:type="pct"/>
          </w:tcPr>
          <w:p w14:paraId="06B81854" w14:textId="77777777" w:rsidR="008E13F3" w:rsidRPr="000717E1" w:rsidRDefault="008E13F3" w:rsidP="00E13A0D">
            <w:pPr>
              <w:pStyle w:val="TableText0"/>
              <w:keepNext w:val="0"/>
              <w:keepLines w:val="0"/>
              <w:jc w:val="center"/>
              <w:rPr>
                <w:sz w:val="20"/>
                <w:szCs w:val="20"/>
              </w:rPr>
            </w:pPr>
            <w:r w:rsidRPr="000717E1">
              <w:rPr>
                <w:sz w:val="20"/>
                <w:szCs w:val="20"/>
              </w:rPr>
              <w:t>1.38</w:t>
            </w:r>
          </w:p>
          <w:p w14:paraId="5F89F374" w14:textId="77777777" w:rsidR="008E13F3" w:rsidRPr="000717E1" w:rsidRDefault="008E13F3" w:rsidP="00E13A0D">
            <w:pPr>
              <w:pStyle w:val="TableText0"/>
              <w:keepNext w:val="0"/>
              <w:keepLines w:val="0"/>
              <w:jc w:val="center"/>
              <w:rPr>
                <w:sz w:val="20"/>
                <w:szCs w:val="20"/>
              </w:rPr>
            </w:pPr>
            <w:r w:rsidRPr="000717E1">
              <w:rPr>
                <w:sz w:val="20"/>
                <w:szCs w:val="20"/>
              </w:rPr>
              <w:t>(0.91, 2.10)</w:t>
            </w:r>
          </w:p>
        </w:tc>
        <w:tc>
          <w:tcPr>
            <w:tcW w:w="473" w:type="pct"/>
          </w:tcPr>
          <w:p w14:paraId="4A4D9809" w14:textId="77777777" w:rsidR="008E13F3" w:rsidRPr="000717E1" w:rsidRDefault="008E13F3" w:rsidP="00E13A0D">
            <w:pPr>
              <w:pStyle w:val="TableText0"/>
              <w:keepNext w:val="0"/>
              <w:keepLines w:val="0"/>
              <w:jc w:val="center"/>
              <w:rPr>
                <w:sz w:val="20"/>
                <w:szCs w:val="20"/>
              </w:rPr>
            </w:pPr>
            <w:r w:rsidRPr="000717E1">
              <w:rPr>
                <w:sz w:val="20"/>
                <w:szCs w:val="20"/>
              </w:rPr>
              <w:t>0.02</w:t>
            </w:r>
          </w:p>
          <w:p w14:paraId="1DCE6484" w14:textId="77777777" w:rsidR="008E13F3" w:rsidRPr="000717E1" w:rsidRDefault="008E13F3" w:rsidP="00E13A0D">
            <w:pPr>
              <w:pStyle w:val="TableText0"/>
              <w:keepNext w:val="0"/>
              <w:keepLines w:val="0"/>
              <w:jc w:val="center"/>
              <w:rPr>
                <w:sz w:val="20"/>
                <w:szCs w:val="20"/>
              </w:rPr>
            </w:pPr>
            <w:r w:rsidRPr="000717E1">
              <w:rPr>
                <w:sz w:val="20"/>
                <w:szCs w:val="20"/>
              </w:rPr>
              <w:t>(0.00, 0.03)</w:t>
            </w:r>
          </w:p>
        </w:tc>
      </w:tr>
      <w:tr w:rsidR="00700A2D" w:rsidRPr="000717E1" w14:paraId="0AF143F1" w14:textId="77777777" w:rsidTr="00EA4A8D">
        <w:trPr>
          <w:cantSplit/>
          <w:trHeight w:val="930"/>
        </w:trPr>
        <w:tc>
          <w:tcPr>
            <w:tcW w:w="792" w:type="pct"/>
          </w:tcPr>
          <w:p w14:paraId="2FA9EB7B" w14:textId="01124B2D" w:rsidR="008E13F3" w:rsidRPr="000717E1" w:rsidRDefault="008E13F3" w:rsidP="00E13A0D">
            <w:pPr>
              <w:pStyle w:val="TableText0"/>
              <w:keepNext w:val="0"/>
              <w:keepLines w:val="0"/>
              <w:rPr>
                <w:sz w:val="20"/>
                <w:szCs w:val="20"/>
              </w:rPr>
            </w:pPr>
            <w:r w:rsidRPr="000717E1">
              <w:rPr>
                <w:sz w:val="20"/>
                <w:szCs w:val="20"/>
              </w:rPr>
              <w:t xml:space="preserve">Death on </w:t>
            </w:r>
            <w:proofErr w:type="spellStart"/>
            <w:r w:rsidRPr="000717E1">
              <w:rPr>
                <w:sz w:val="20"/>
                <w:szCs w:val="20"/>
              </w:rPr>
              <w:t>study</w:t>
            </w:r>
            <w:r w:rsidR="002B4D68" w:rsidRPr="000717E1">
              <w:rPr>
                <w:sz w:val="20"/>
                <w:szCs w:val="20"/>
                <w:vertAlign w:val="superscript"/>
              </w:rPr>
              <w:t>c</w:t>
            </w:r>
            <w:proofErr w:type="spellEnd"/>
            <w:r w:rsidRPr="000717E1">
              <w:rPr>
                <w:sz w:val="20"/>
                <w:szCs w:val="20"/>
              </w:rPr>
              <w:t xml:space="preserve"> </w:t>
            </w:r>
          </w:p>
        </w:tc>
        <w:tc>
          <w:tcPr>
            <w:tcW w:w="636" w:type="pct"/>
          </w:tcPr>
          <w:p w14:paraId="24BBA14E" w14:textId="77777777" w:rsidR="008E13F3" w:rsidRPr="000717E1" w:rsidRDefault="008E13F3" w:rsidP="00E13A0D">
            <w:pPr>
              <w:pStyle w:val="TableText0"/>
              <w:keepNext w:val="0"/>
              <w:keepLines w:val="0"/>
              <w:jc w:val="center"/>
              <w:rPr>
                <w:sz w:val="20"/>
                <w:szCs w:val="20"/>
              </w:rPr>
            </w:pPr>
            <w:r w:rsidRPr="000717E1">
              <w:rPr>
                <w:sz w:val="20"/>
                <w:szCs w:val="20"/>
              </w:rPr>
              <w:t>8 (1.7)</w:t>
            </w:r>
          </w:p>
        </w:tc>
        <w:tc>
          <w:tcPr>
            <w:tcW w:w="477" w:type="pct"/>
          </w:tcPr>
          <w:p w14:paraId="4D27FC16" w14:textId="77777777" w:rsidR="008E13F3" w:rsidRPr="000717E1" w:rsidRDefault="008E13F3" w:rsidP="00E13A0D">
            <w:pPr>
              <w:pStyle w:val="TableText0"/>
              <w:keepNext w:val="0"/>
              <w:keepLines w:val="0"/>
              <w:jc w:val="center"/>
              <w:rPr>
                <w:sz w:val="20"/>
                <w:szCs w:val="20"/>
              </w:rPr>
            </w:pPr>
            <w:r w:rsidRPr="000717E1">
              <w:rPr>
                <w:sz w:val="20"/>
                <w:szCs w:val="20"/>
              </w:rPr>
              <w:t>8 (1.7)</w:t>
            </w:r>
          </w:p>
        </w:tc>
        <w:tc>
          <w:tcPr>
            <w:tcW w:w="636" w:type="pct"/>
          </w:tcPr>
          <w:p w14:paraId="2326F783" w14:textId="77777777" w:rsidR="008E13F3" w:rsidRPr="000717E1" w:rsidRDefault="008E13F3" w:rsidP="00E13A0D">
            <w:pPr>
              <w:pStyle w:val="TableText0"/>
              <w:keepNext w:val="0"/>
              <w:keepLines w:val="0"/>
              <w:jc w:val="center"/>
              <w:rPr>
                <w:sz w:val="20"/>
                <w:szCs w:val="20"/>
              </w:rPr>
            </w:pPr>
            <w:r w:rsidRPr="000717E1">
              <w:rPr>
                <w:sz w:val="20"/>
                <w:szCs w:val="20"/>
              </w:rPr>
              <w:t>13 (2.8)</w:t>
            </w:r>
          </w:p>
        </w:tc>
        <w:tc>
          <w:tcPr>
            <w:tcW w:w="477" w:type="pct"/>
          </w:tcPr>
          <w:p w14:paraId="28F234C8" w14:textId="77777777" w:rsidR="008E13F3" w:rsidRPr="000717E1" w:rsidRDefault="008E13F3" w:rsidP="00E13A0D">
            <w:pPr>
              <w:pStyle w:val="TableText0"/>
              <w:keepNext w:val="0"/>
              <w:keepLines w:val="0"/>
              <w:jc w:val="center"/>
              <w:rPr>
                <w:sz w:val="20"/>
                <w:szCs w:val="20"/>
              </w:rPr>
            </w:pPr>
            <w:r w:rsidRPr="000717E1">
              <w:rPr>
                <w:sz w:val="20"/>
                <w:szCs w:val="20"/>
              </w:rPr>
              <w:t>8 (1.7)</w:t>
            </w:r>
          </w:p>
        </w:tc>
        <w:tc>
          <w:tcPr>
            <w:tcW w:w="636" w:type="pct"/>
          </w:tcPr>
          <w:p w14:paraId="47D1CACA" w14:textId="77777777" w:rsidR="008E13F3" w:rsidRPr="000717E1" w:rsidRDefault="008E13F3" w:rsidP="00E13A0D">
            <w:pPr>
              <w:pStyle w:val="TableText0"/>
              <w:keepNext w:val="0"/>
              <w:keepLines w:val="0"/>
              <w:jc w:val="center"/>
              <w:rPr>
                <w:sz w:val="20"/>
                <w:szCs w:val="20"/>
              </w:rPr>
            </w:pPr>
            <w:r w:rsidRPr="000717E1">
              <w:rPr>
                <w:sz w:val="20"/>
                <w:szCs w:val="20"/>
              </w:rPr>
              <w:t>21 (2.2)</w:t>
            </w:r>
          </w:p>
        </w:tc>
        <w:tc>
          <w:tcPr>
            <w:tcW w:w="476" w:type="pct"/>
          </w:tcPr>
          <w:p w14:paraId="565D85CB" w14:textId="77777777" w:rsidR="008E13F3" w:rsidRPr="000717E1" w:rsidRDefault="008E13F3" w:rsidP="00E13A0D">
            <w:pPr>
              <w:pStyle w:val="TableText0"/>
              <w:keepNext w:val="0"/>
              <w:keepLines w:val="0"/>
              <w:jc w:val="center"/>
              <w:rPr>
                <w:sz w:val="20"/>
                <w:szCs w:val="20"/>
              </w:rPr>
            </w:pPr>
            <w:r w:rsidRPr="000717E1">
              <w:rPr>
                <w:sz w:val="20"/>
                <w:szCs w:val="20"/>
              </w:rPr>
              <w:t>16 (1.7)</w:t>
            </w:r>
          </w:p>
        </w:tc>
        <w:tc>
          <w:tcPr>
            <w:tcW w:w="397" w:type="pct"/>
          </w:tcPr>
          <w:p w14:paraId="5CE2917D" w14:textId="77777777" w:rsidR="008E13F3" w:rsidRPr="000717E1" w:rsidRDefault="008E13F3" w:rsidP="00E13A0D">
            <w:pPr>
              <w:pStyle w:val="TableText0"/>
              <w:keepNext w:val="0"/>
              <w:keepLines w:val="0"/>
              <w:jc w:val="center"/>
              <w:rPr>
                <w:sz w:val="20"/>
                <w:szCs w:val="20"/>
              </w:rPr>
            </w:pPr>
            <w:r w:rsidRPr="000717E1">
              <w:rPr>
                <w:sz w:val="20"/>
                <w:szCs w:val="20"/>
              </w:rPr>
              <w:t>1.31</w:t>
            </w:r>
          </w:p>
          <w:p w14:paraId="7AF452F4" w14:textId="77777777" w:rsidR="008E13F3" w:rsidRPr="000717E1" w:rsidRDefault="008E13F3" w:rsidP="00E13A0D">
            <w:pPr>
              <w:pStyle w:val="TableText0"/>
              <w:keepNext w:val="0"/>
              <w:keepLines w:val="0"/>
              <w:jc w:val="center"/>
              <w:rPr>
                <w:sz w:val="20"/>
                <w:szCs w:val="20"/>
              </w:rPr>
            </w:pPr>
            <w:r w:rsidRPr="000717E1">
              <w:rPr>
                <w:sz w:val="20"/>
                <w:szCs w:val="20"/>
              </w:rPr>
              <w:t>(0.69, 2.49)</w:t>
            </w:r>
          </w:p>
        </w:tc>
        <w:tc>
          <w:tcPr>
            <w:tcW w:w="473" w:type="pct"/>
          </w:tcPr>
          <w:p w14:paraId="0A1F6616" w14:textId="77777777" w:rsidR="008E13F3" w:rsidRPr="000717E1" w:rsidRDefault="008E13F3" w:rsidP="00E13A0D">
            <w:pPr>
              <w:pStyle w:val="TableText0"/>
              <w:keepNext w:val="0"/>
              <w:keepLines w:val="0"/>
              <w:jc w:val="center"/>
              <w:rPr>
                <w:sz w:val="20"/>
                <w:szCs w:val="20"/>
              </w:rPr>
            </w:pPr>
            <w:r w:rsidRPr="000717E1">
              <w:rPr>
                <w:sz w:val="20"/>
                <w:szCs w:val="20"/>
              </w:rPr>
              <w:t>0.01</w:t>
            </w:r>
          </w:p>
          <w:p w14:paraId="719C0ED0" w14:textId="77777777" w:rsidR="008E13F3" w:rsidRPr="000717E1" w:rsidRDefault="008E13F3" w:rsidP="00E13A0D">
            <w:pPr>
              <w:pStyle w:val="TableText0"/>
              <w:keepNext w:val="0"/>
              <w:keepLines w:val="0"/>
              <w:jc w:val="center"/>
              <w:rPr>
                <w:sz w:val="20"/>
                <w:szCs w:val="20"/>
              </w:rPr>
            </w:pPr>
            <w:r w:rsidRPr="000717E1">
              <w:rPr>
                <w:sz w:val="20"/>
                <w:szCs w:val="20"/>
              </w:rPr>
              <w:t>(-0.01, 0.02)</w:t>
            </w:r>
          </w:p>
        </w:tc>
      </w:tr>
      <w:tr w:rsidR="00700A2D" w:rsidRPr="000717E1" w14:paraId="7331B21B" w14:textId="77777777" w:rsidTr="00EA4A8D">
        <w:trPr>
          <w:cantSplit/>
          <w:trHeight w:val="930"/>
        </w:trPr>
        <w:tc>
          <w:tcPr>
            <w:tcW w:w="792" w:type="pct"/>
          </w:tcPr>
          <w:p w14:paraId="64C82A1F" w14:textId="73D2AD5A" w:rsidR="008E13F3" w:rsidRPr="000717E1" w:rsidRDefault="008E13F3" w:rsidP="00E13A0D">
            <w:pPr>
              <w:pStyle w:val="TableText0"/>
              <w:keepNext w:val="0"/>
              <w:keepLines w:val="0"/>
              <w:rPr>
                <w:sz w:val="20"/>
                <w:szCs w:val="20"/>
              </w:rPr>
            </w:pPr>
            <w:r w:rsidRPr="000717E1">
              <w:rPr>
                <w:sz w:val="20"/>
                <w:szCs w:val="20"/>
              </w:rPr>
              <w:t xml:space="preserve">Death during the TEAE </w:t>
            </w:r>
            <w:proofErr w:type="spellStart"/>
            <w:r w:rsidRPr="000717E1">
              <w:rPr>
                <w:sz w:val="20"/>
                <w:szCs w:val="20"/>
              </w:rPr>
              <w:t>period</w:t>
            </w:r>
            <w:r w:rsidR="002B4D68" w:rsidRPr="000717E1">
              <w:rPr>
                <w:sz w:val="20"/>
                <w:szCs w:val="20"/>
                <w:vertAlign w:val="superscript"/>
              </w:rPr>
              <w:t>d</w:t>
            </w:r>
            <w:proofErr w:type="spellEnd"/>
          </w:p>
        </w:tc>
        <w:tc>
          <w:tcPr>
            <w:tcW w:w="636" w:type="pct"/>
          </w:tcPr>
          <w:p w14:paraId="6E04E297" w14:textId="77777777" w:rsidR="008E13F3" w:rsidRPr="000717E1" w:rsidRDefault="008E13F3" w:rsidP="00E13A0D">
            <w:pPr>
              <w:pStyle w:val="TableText0"/>
              <w:keepNext w:val="0"/>
              <w:keepLines w:val="0"/>
              <w:jc w:val="center"/>
              <w:rPr>
                <w:sz w:val="20"/>
                <w:szCs w:val="20"/>
              </w:rPr>
            </w:pPr>
            <w:r w:rsidRPr="000717E1">
              <w:rPr>
                <w:sz w:val="20"/>
                <w:szCs w:val="20"/>
              </w:rPr>
              <w:t>4 (0.9)</w:t>
            </w:r>
          </w:p>
        </w:tc>
        <w:tc>
          <w:tcPr>
            <w:tcW w:w="477" w:type="pct"/>
          </w:tcPr>
          <w:p w14:paraId="4C75BA4F" w14:textId="77777777" w:rsidR="008E13F3" w:rsidRPr="000717E1" w:rsidRDefault="008E13F3" w:rsidP="00E13A0D">
            <w:pPr>
              <w:pStyle w:val="TableText0"/>
              <w:keepNext w:val="0"/>
              <w:keepLines w:val="0"/>
              <w:jc w:val="center"/>
              <w:rPr>
                <w:sz w:val="20"/>
                <w:szCs w:val="20"/>
              </w:rPr>
            </w:pPr>
            <w:r w:rsidRPr="000717E1">
              <w:rPr>
                <w:sz w:val="20"/>
                <w:szCs w:val="20"/>
              </w:rPr>
              <w:t>7 (1.5)</w:t>
            </w:r>
          </w:p>
        </w:tc>
        <w:tc>
          <w:tcPr>
            <w:tcW w:w="636" w:type="pct"/>
          </w:tcPr>
          <w:p w14:paraId="418D6059" w14:textId="77777777" w:rsidR="008E13F3" w:rsidRPr="000717E1" w:rsidRDefault="008E13F3" w:rsidP="00E13A0D">
            <w:pPr>
              <w:pStyle w:val="TableText0"/>
              <w:keepNext w:val="0"/>
              <w:keepLines w:val="0"/>
              <w:jc w:val="center"/>
              <w:rPr>
                <w:sz w:val="20"/>
                <w:szCs w:val="20"/>
              </w:rPr>
            </w:pPr>
            <w:r w:rsidRPr="000717E1">
              <w:rPr>
                <w:sz w:val="20"/>
                <w:szCs w:val="20"/>
              </w:rPr>
              <w:t>11 (2.3)</w:t>
            </w:r>
          </w:p>
        </w:tc>
        <w:tc>
          <w:tcPr>
            <w:tcW w:w="477" w:type="pct"/>
          </w:tcPr>
          <w:p w14:paraId="67B5FDE3" w14:textId="77777777" w:rsidR="008E13F3" w:rsidRPr="000717E1" w:rsidRDefault="008E13F3" w:rsidP="00E13A0D">
            <w:pPr>
              <w:pStyle w:val="TableText0"/>
              <w:keepNext w:val="0"/>
              <w:keepLines w:val="0"/>
              <w:jc w:val="center"/>
              <w:rPr>
                <w:sz w:val="20"/>
                <w:szCs w:val="20"/>
              </w:rPr>
            </w:pPr>
            <w:r w:rsidRPr="000717E1">
              <w:rPr>
                <w:sz w:val="20"/>
                <w:szCs w:val="20"/>
              </w:rPr>
              <w:t>7 (1.5)</w:t>
            </w:r>
          </w:p>
        </w:tc>
        <w:tc>
          <w:tcPr>
            <w:tcW w:w="636" w:type="pct"/>
          </w:tcPr>
          <w:p w14:paraId="3D397891" w14:textId="77777777" w:rsidR="008E13F3" w:rsidRPr="000717E1" w:rsidRDefault="008E13F3" w:rsidP="00E13A0D">
            <w:pPr>
              <w:pStyle w:val="TableText0"/>
              <w:keepNext w:val="0"/>
              <w:keepLines w:val="0"/>
              <w:jc w:val="center"/>
              <w:rPr>
                <w:sz w:val="20"/>
                <w:szCs w:val="20"/>
              </w:rPr>
            </w:pPr>
            <w:r w:rsidRPr="000717E1">
              <w:rPr>
                <w:sz w:val="20"/>
                <w:szCs w:val="20"/>
              </w:rPr>
              <w:t>15 (1.6)</w:t>
            </w:r>
          </w:p>
        </w:tc>
        <w:tc>
          <w:tcPr>
            <w:tcW w:w="476" w:type="pct"/>
          </w:tcPr>
          <w:p w14:paraId="60D33701" w14:textId="77777777" w:rsidR="008E13F3" w:rsidRPr="000717E1" w:rsidRDefault="008E13F3" w:rsidP="00E13A0D">
            <w:pPr>
              <w:pStyle w:val="TableText0"/>
              <w:keepNext w:val="0"/>
              <w:keepLines w:val="0"/>
              <w:jc w:val="center"/>
              <w:rPr>
                <w:sz w:val="20"/>
                <w:szCs w:val="20"/>
              </w:rPr>
            </w:pPr>
            <w:r w:rsidRPr="000717E1">
              <w:rPr>
                <w:sz w:val="20"/>
                <w:szCs w:val="20"/>
              </w:rPr>
              <w:t>14 (1.5)</w:t>
            </w:r>
          </w:p>
        </w:tc>
        <w:tc>
          <w:tcPr>
            <w:tcW w:w="397" w:type="pct"/>
          </w:tcPr>
          <w:p w14:paraId="21F20386" w14:textId="77777777" w:rsidR="008E13F3" w:rsidRPr="000717E1" w:rsidRDefault="008E13F3" w:rsidP="00E13A0D">
            <w:pPr>
              <w:pStyle w:val="TableText0"/>
              <w:keepNext w:val="0"/>
              <w:keepLines w:val="0"/>
              <w:jc w:val="center"/>
              <w:rPr>
                <w:sz w:val="20"/>
                <w:szCs w:val="20"/>
              </w:rPr>
            </w:pPr>
            <w:r w:rsidRPr="000717E1">
              <w:rPr>
                <w:sz w:val="20"/>
                <w:szCs w:val="20"/>
              </w:rPr>
              <w:t>1.07</w:t>
            </w:r>
          </w:p>
          <w:p w14:paraId="5C7DDD35" w14:textId="77777777" w:rsidR="008E13F3" w:rsidRPr="000717E1" w:rsidRDefault="008E13F3" w:rsidP="00E13A0D">
            <w:pPr>
              <w:pStyle w:val="TableText0"/>
              <w:keepNext w:val="0"/>
              <w:keepLines w:val="0"/>
              <w:jc w:val="center"/>
              <w:rPr>
                <w:sz w:val="20"/>
                <w:szCs w:val="20"/>
              </w:rPr>
            </w:pPr>
            <w:r w:rsidRPr="000717E1">
              <w:rPr>
                <w:sz w:val="20"/>
                <w:szCs w:val="20"/>
              </w:rPr>
              <w:t>(0.52, 2.20)</w:t>
            </w:r>
          </w:p>
        </w:tc>
        <w:tc>
          <w:tcPr>
            <w:tcW w:w="473" w:type="pct"/>
          </w:tcPr>
          <w:p w14:paraId="639C1690" w14:textId="77777777" w:rsidR="008E13F3" w:rsidRPr="000717E1" w:rsidRDefault="008E13F3" w:rsidP="00E13A0D">
            <w:pPr>
              <w:pStyle w:val="TableText0"/>
              <w:keepNext w:val="0"/>
              <w:keepLines w:val="0"/>
              <w:jc w:val="center"/>
              <w:rPr>
                <w:sz w:val="20"/>
                <w:szCs w:val="20"/>
              </w:rPr>
            </w:pPr>
            <w:r w:rsidRPr="000717E1">
              <w:rPr>
                <w:sz w:val="20"/>
                <w:szCs w:val="20"/>
              </w:rPr>
              <w:t>0.00</w:t>
            </w:r>
          </w:p>
          <w:p w14:paraId="761A8A1F" w14:textId="77777777" w:rsidR="008E13F3" w:rsidRPr="000717E1" w:rsidRDefault="008E13F3" w:rsidP="00E13A0D">
            <w:pPr>
              <w:pStyle w:val="TableText0"/>
              <w:keepNext w:val="0"/>
              <w:keepLines w:val="0"/>
              <w:jc w:val="center"/>
              <w:rPr>
                <w:sz w:val="20"/>
                <w:szCs w:val="20"/>
              </w:rPr>
            </w:pPr>
            <w:r w:rsidRPr="000717E1">
              <w:rPr>
                <w:sz w:val="20"/>
                <w:szCs w:val="20"/>
              </w:rPr>
              <w:t>(-0.01, 0.01)</w:t>
            </w:r>
          </w:p>
        </w:tc>
      </w:tr>
      <w:tr w:rsidR="00700A2D" w:rsidRPr="000717E1" w14:paraId="2349E51C" w14:textId="77777777" w:rsidTr="00EA4A8D">
        <w:trPr>
          <w:cantSplit/>
          <w:trHeight w:val="395"/>
        </w:trPr>
        <w:tc>
          <w:tcPr>
            <w:tcW w:w="792" w:type="pct"/>
          </w:tcPr>
          <w:p w14:paraId="548AB6E9" w14:textId="21A17C81" w:rsidR="008E13F3" w:rsidRPr="000717E1" w:rsidRDefault="008E13F3" w:rsidP="00E13A0D">
            <w:pPr>
              <w:pStyle w:val="TableText0"/>
              <w:keepNext w:val="0"/>
              <w:keepLines w:val="0"/>
              <w:rPr>
                <w:sz w:val="20"/>
                <w:szCs w:val="20"/>
              </w:rPr>
            </w:pPr>
            <w:r w:rsidRPr="000717E1">
              <w:rPr>
                <w:sz w:val="20"/>
                <w:szCs w:val="20"/>
              </w:rPr>
              <w:t xml:space="preserve">Death during the post treatment </w:t>
            </w:r>
            <w:proofErr w:type="spellStart"/>
            <w:r w:rsidRPr="000717E1">
              <w:rPr>
                <w:sz w:val="20"/>
                <w:szCs w:val="20"/>
              </w:rPr>
              <w:t>period</w:t>
            </w:r>
            <w:r w:rsidR="002B4D68" w:rsidRPr="000717E1">
              <w:rPr>
                <w:sz w:val="20"/>
                <w:szCs w:val="20"/>
                <w:vertAlign w:val="superscript"/>
              </w:rPr>
              <w:t>e</w:t>
            </w:r>
            <w:proofErr w:type="spellEnd"/>
          </w:p>
        </w:tc>
        <w:tc>
          <w:tcPr>
            <w:tcW w:w="636" w:type="pct"/>
          </w:tcPr>
          <w:p w14:paraId="6897E148" w14:textId="77777777" w:rsidR="008E13F3" w:rsidRPr="000717E1" w:rsidRDefault="008E13F3" w:rsidP="00E13A0D">
            <w:pPr>
              <w:pStyle w:val="TableText0"/>
              <w:keepNext w:val="0"/>
              <w:keepLines w:val="0"/>
              <w:jc w:val="center"/>
              <w:rPr>
                <w:sz w:val="20"/>
                <w:szCs w:val="20"/>
              </w:rPr>
            </w:pPr>
            <w:r w:rsidRPr="000717E1">
              <w:rPr>
                <w:sz w:val="20"/>
                <w:szCs w:val="20"/>
              </w:rPr>
              <w:t>4 (0.9)</w:t>
            </w:r>
          </w:p>
        </w:tc>
        <w:tc>
          <w:tcPr>
            <w:tcW w:w="477" w:type="pct"/>
          </w:tcPr>
          <w:p w14:paraId="25AA82CA" w14:textId="77777777" w:rsidR="008E13F3" w:rsidRPr="000717E1" w:rsidRDefault="008E13F3" w:rsidP="00E13A0D">
            <w:pPr>
              <w:pStyle w:val="TableText0"/>
              <w:keepNext w:val="0"/>
              <w:keepLines w:val="0"/>
              <w:jc w:val="center"/>
              <w:rPr>
                <w:sz w:val="20"/>
                <w:szCs w:val="20"/>
              </w:rPr>
            </w:pPr>
            <w:r w:rsidRPr="000717E1">
              <w:rPr>
                <w:sz w:val="20"/>
                <w:szCs w:val="20"/>
              </w:rPr>
              <w:t>1 (0.2)</w:t>
            </w:r>
          </w:p>
        </w:tc>
        <w:tc>
          <w:tcPr>
            <w:tcW w:w="636" w:type="pct"/>
          </w:tcPr>
          <w:p w14:paraId="13CCE3E3" w14:textId="77777777" w:rsidR="008E13F3" w:rsidRPr="000717E1" w:rsidRDefault="008E13F3" w:rsidP="00E13A0D">
            <w:pPr>
              <w:pStyle w:val="TableText0"/>
              <w:keepNext w:val="0"/>
              <w:keepLines w:val="0"/>
              <w:jc w:val="center"/>
              <w:rPr>
                <w:sz w:val="20"/>
                <w:szCs w:val="20"/>
              </w:rPr>
            </w:pPr>
            <w:r w:rsidRPr="000717E1">
              <w:rPr>
                <w:sz w:val="20"/>
                <w:szCs w:val="20"/>
              </w:rPr>
              <w:t>2 (0.4)</w:t>
            </w:r>
          </w:p>
        </w:tc>
        <w:tc>
          <w:tcPr>
            <w:tcW w:w="477" w:type="pct"/>
          </w:tcPr>
          <w:p w14:paraId="364F36CF" w14:textId="77777777" w:rsidR="008E13F3" w:rsidRPr="000717E1" w:rsidRDefault="008E13F3" w:rsidP="00E13A0D">
            <w:pPr>
              <w:pStyle w:val="TableText0"/>
              <w:keepNext w:val="0"/>
              <w:keepLines w:val="0"/>
              <w:jc w:val="center"/>
              <w:rPr>
                <w:sz w:val="20"/>
                <w:szCs w:val="20"/>
              </w:rPr>
            </w:pPr>
            <w:r w:rsidRPr="000717E1">
              <w:rPr>
                <w:sz w:val="20"/>
                <w:szCs w:val="20"/>
              </w:rPr>
              <w:t>1 (0.2)</w:t>
            </w:r>
          </w:p>
        </w:tc>
        <w:tc>
          <w:tcPr>
            <w:tcW w:w="636" w:type="pct"/>
          </w:tcPr>
          <w:p w14:paraId="3A6A3E13" w14:textId="77777777" w:rsidR="008E13F3" w:rsidRPr="000717E1" w:rsidRDefault="008E13F3" w:rsidP="00E13A0D">
            <w:pPr>
              <w:pStyle w:val="TableText0"/>
              <w:keepNext w:val="0"/>
              <w:keepLines w:val="0"/>
              <w:jc w:val="center"/>
              <w:rPr>
                <w:sz w:val="20"/>
                <w:szCs w:val="20"/>
              </w:rPr>
            </w:pPr>
            <w:r w:rsidRPr="000717E1">
              <w:rPr>
                <w:sz w:val="20"/>
                <w:szCs w:val="20"/>
              </w:rPr>
              <w:t>6 (0.6)</w:t>
            </w:r>
          </w:p>
        </w:tc>
        <w:tc>
          <w:tcPr>
            <w:tcW w:w="476" w:type="pct"/>
          </w:tcPr>
          <w:p w14:paraId="18DC32F9" w14:textId="77777777" w:rsidR="008E13F3" w:rsidRPr="000717E1" w:rsidRDefault="008E13F3" w:rsidP="00E13A0D">
            <w:pPr>
              <w:pStyle w:val="TableText0"/>
              <w:keepNext w:val="0"/>
              <w:keepLines w:val="0"/>
              <w:jc w:val="center"/>
              <w:rPr>
                <w:sz w:val="20"/>
                <w:szCs w:val="20"/>
              </w:rPr>
            </w:pPr>
            <w:r w:rsidRPr="000717E1">
              <w:rPr>
                <w:sz w:val="20"/>
                <w:szCs w:val="20"/>
              </w:rPr>
              <w:t>2 (0.2)</w:t>
            </w:r>
          </w:p>
        </w:tc>
        <w:tc>
          <w:tcPr>
            <w:tcW w:w="397" w:type="pct"/>
          </w:tcPr>
          <w:p w14:paraId="529C4CA7" w14:textId="77777777" w:rsidR="008E13F3" w:rsidRPr="000717E1" w:rsidRDefault="008E13F3" w:rsidP="00E13A0D">
            <w:pPr>
              <w:pStyle w:val="TableText0"/>
              <w:keepNext w:val="0"/>
              <w:keepLines w:val="0"/>
              <w:jc w:val="center"/>
              <w:rPr>
                <w:sz w:val="20"/>
                <w:szCs w:val="20"/>
              </w:rPr>
            </w:pPr>
            <w:r w:rsidRPr="000717E1">
              <w:rPr>
                <w:sz w:val="20"/>
                <w:szCs w:val="20"/>
              </w:rPr>
              <w:t>2.99</w:t>
            </w:r>
          </w:p>
          <w:p w14:paraId="51358679" w14:textId="77777777" w:rsidR="008E13F3" w:rsidRPr="000717E1" w:rsidRDefault="008E13F3" w:rsidP="00E13A0D">
            <w:pPr>
              <w:pStyle w:val="TableText0"/>
              <w:keepNext w:val="0"/>
              <w:keepLines w:val="0"/>
              <w:jc w:val="center"/>
              <w:rPr>
                <w:sz w:val="20"/>
                <w:szCs w:val="20"/>
              </w:rPr>
            </w:pPr>
            <w:r w:rsidRPr="000717E1">
              <w:rPr>
                <w:sz w:val="20"/>
                <w:szCs w:val="20"/>
              </w:rPr>
              <w:t>(0.60, 14.76)</w:t>
            </w:r>
          </w:p>
        </w:tc>
        <w:tc>
          <w:tcPr>
            <w:tcW w:w="473" w:type="pct"/>
          </w:tcPr>
          <w:p w14:paraId="0D74A7B4" w14:textId="77777777" w:rsidR="008E13F3" w:rsidRPr="000717E1" w:rsidRDefault="008E13F3" w:rsidP="00E13A0D">
            <w:pPr>
              <w:pStyle w:val="TableText0"/>
              <w:keepNext w:val="0"/>
              <w:keepLines w:val="0"/>
              <w:jc w:val="center"/>
              <w:rPr>
                <w:sz w:val="20"/>
                <w:szCs w:val="20"/>
              </w:rPr>
            </w:pPr>
            <w:r w:rsidRPr="000717E1">
              <w:rPr>
                <w:sz w:val="20"/>
                <w:szCs w:val="20"/>
              </w:rPr>
              <w:t>0.00</w:t>
            </w:r>
          </w:p>
          <w:p w14:paraId="4F524C67" w14:textId="77777777" w:rsidR="008E13F3" w:rsidRPr="000717E1" w:rsidRDefault="008E13F3" w:rsidP="00E13A0D">
            <w:pPr>
              <w:pStyle w:val="TableText0"/>
              <w:keepNext w:val="0"/>
              <w:keepLines w:val="0"/>
              <w:jc w:val="center"/>
              <w:rPr>
                <w:sz w:val="20"/>
                <w:szCs w:val="20"/>
              </w:rPr>
            </w:pPr>
            <w:r w:rsidRPr="000717E1">
              <w:rPr>
                <w:sz w:val="20"/>
                <w:szCs w:val="20"/>
              </w:rPr>
              <w:t>(0.00, 0.01)</w:t>
            </w:r>
          </w:p>
        </w:tc>
      </w:tr>
    </w:tbl>
    <w:p w14:paraId="409740E2" w14:textId="77777777" w:rsidR="00B246CC" w:rsidRPr="000717E1" w:rsidRDefault="00B246CC" w:rsidP="005B63F4">
      <w:pPr>
        <w:pStyle w:val="TableFigureFooter"/>
      </w:pPr>
      <w:r w:rsidRPr="000717E1">
        <w:t>Source: Table 43 p123, Table 45 p127 BOREAS CSR; Table 42 p121 NOTUS CSR, Table 44 p126 NOTUS CSR; Table 2.5-11 pp97-98 of the submission.</w:t>
      </w:r>
    </w:p>
    <w:p w14:paraId="05A0EE21" w14:textId="77777777" w:rsidR="00B246CC" w:rsidRPr="000717E1" w:rsidRDefault="00B246CC" w:rsidP="005B63F4">
      <w:pPr>
        <w:pStyle w:val="TableFigureFooter"/>
      </w:pPr>
      <w:r w:rsidRPr="000717E1">
        <w:t>AESI: adverse event of special interest; CI = confidence interval; CSR = clinical study report; IMP = investigational medicinal product; n = number of patients with event; N = total patients in group; RD = risk difference; RR = relative risk; SAE = serious adverse event; TEAE = treatment emergent adverse event.</w:t>
      </w:r>
    </w:p>
    <w:p w14:paraId="59FA33C3" w14:textId="09001884" w:rsidR="001D1AF6" w:rsidRPr="000717E1" w:rsidRDefault="001D1AF6" w:rsidP="001D1AF6">
      <w:pPr>
        <w:pStyle w:val="TableFigureFooter"/>
      </w:pPr>
      <w:proofErr w:type="spellStart"/>
      <w:r w:rsidRPr="000717E1">
        <w:rPr>
          <w:vertAlign w:val="superscript"/>
        </w:rPr>
        <w:t>a</w:t>
      </w:r>
      <w:proofErr w:type="spellEnd"/>
      <w:r w:rsidRPr="000717E1">
        <w:rPr>
          <w:vertAlign w:val="superscript"/>
        </w:rPr>
        <w:t xml:space="preserve"> </w:t>
      </w:r>
      <w:r w:rsidRPr="000717E1">
        <w:t xml:space="preserve">All measures of relative effect were estimated for the purposes of the </w:t>
      </w:r>
      <w:r w:rsidR="00630C92" w:rsidRPr="000717E1">
        <w:t xml:space="preserve">evaluation </w:t>
      </w:r>
      <w:r w:rsidRPr="000717E1">
        <w:t>using data noted above; these results should be considered as indicative only as the underlying studies were not powered to detect differences in safety outcomes.</w:t>
      </w:r>
    </w:p>
    <w:p w14:paraId="486DFFA5" w14:textId="77777777" w:rsidR="002B4D68" w:rsidRPr="000717E1" w:rsidRDefault="001D1AF6" w:rsidP="005B63F4">
      <w:pPr>
        <w:pStyle w:val="TableFigureFooter"/>
      </w:pPr>
      <w:r w:rsidRPr="000717E1">
        <w:rPr>
          <w:vertAlign w:val="superscript"/>
        </w:rPr>
        <w:t>b</w:t>
      </w:r>
      <w:r w:rsidR="00B246CC" w:rsidRPr="000717E1">
        <w:t xml:space="preserve"> </w:t>
      </w:r>
      <w:r w:rsidR="002B4D68" w:rsidRPr="000717E1">
        <w:t>Permanent</w:t>
      </w:r>
      <w:r w:rsidR="0019614A" w:rsidRPr="000717E1">
        <w:t xml:space="preserve"> </w:t>
      </w:r>
      <w:r w:rsidR="002B4D68" w:rsidRPr="000717E1">
        <w:t xml:space="preserve">study intervention discontinuation </w:t>
      </w:r>
    </w:p>
    <w:p w14:paraId="09DC1B2B" w14:textId="188FA45C" w:rsidR="00B246CC" w:rsidRPr="000717E1" w:rsidRDefault="002B4D68" w:rsidP="005B63F4">
      <w:pPr>
        <w:pStyle w:val="TableFigureFooter"/>
      </w:pPr>
      <w:r w:rsidRPr="000717E1">
        <w:rPr>
          <w:vertAlign w:val="superscript"/>
        </w:rPr>
        <w:t xml:space="preserve">c </w:t>
      </w:r>
      <w:r w:rsidR="00B246CC" w:rsidRPr="000717E1">
        <w:t>Includes all deaths that occurred after the start of treatment up to end of study (defined as last protocol planned visit or the</w:t>
      </w:r>
    </w:p>
    <w:p w14:paraId="5C0AF66B" w14:textId="77777777" w:rsidR="00B246CC" w:rsidRPr="000717E1" w:rsidRDefault="00B246CC" w:rsidP="005B63F4">
      <w:pPr>
        <w:pStyle w:val="TableFigureFooter"/>
      </w:pPr>
      <w:r w:rsidRPr="000717E1">
        <w:t>resolution/stabilisation of all treatment emergent SAE and adverse event of pre-specified monitoring).</w:t>
      </w:r>
    </w:p>
    <w:p w14:paraId="2B9C50BF" w14:textId="42E2ADAA" w:rsidR="00B246CC" w:rsidRPr="000717E1" w:rsidRDefault="002B4D68" w:rsidP="005B63F4">
      <w:pPr>
        <w:pStyle w:val="TableFigureFooter"/>
      </w:pPr>
      <w:r w:rsidRPr="000717E1">
        <w:rPr>
          <w:vertAlign w:val="superscript"/>
        </w:rPr>
        <w:t>d</w:t>
      </w:r>
      <w:r w:rsidR="00B246CC" w:rsidRPr="000717E1">
        <w:t xml:space="preserve"> Includes all deaths that occurred after the start of treatment up to last IMP date + 98 days.</w:t>
      </w:r>
    </w:p>
    <w:p w14:paraId="26D27C1D" w14:textId="76DA74F4" w:rsidR="00B246CC" w:rsidRPr="000717E1" w:rsidRDefault="002B4D68" w:rsidP="005B63F4">
      <w:pPr>
        <w:pStyle w:val="TableFigureFooter"/>
      </w:pPr>
      <w:r w:rsidRPr="000717E1">
        <w:rPr>
          <w:vertAlign w:val="superscript"/>
        </w:rPr>
        <w:t>e</w:t>
      </w:r>
      <w:r w:rsidR="00B246CC" w:rsidRPr="000717E1">
        <w:t xml:space="preserve"> Includes all deaths that occurred after the last IMP date + 98 days.</w:t>
      </w:r>
    </w:p>
    <w:p w14:paraId="7B0460CB" w14:textId="3BC6A738" w:rsidR="00505FC3" w:rsidRPr="000717E1" w:rsidRDefault="00A979D9" w:rsidP="00505FC3">
      <w:pPr>
        <w:pStyle w:val="3-BodyText"/>
      </w:pPr>
      <w:r w:rsidRPr="000717E1">
        <w:t xml:space="preserve">TEAEs that led to permanent study intervention discontinuation were higher in </w:t>
      </w:r>
      <w:r w:rsidR="00B246CC" w:rsidRPr="000717E1">
        <w:t xml:space="preserve">the dupilumab arm versus the placebo arm in </w:t>
      </w:r>
      <w:r w:rsidRPr="000717E1">
        <w:t xml:space="preserve">NOTUS </w:t>
      </w:r>
      <w:r w:rsidR="00B246CC" w:rsidRPr="000717E1">
        <w:t xml:space="preserve">(3.8% versus 2.6%) </w:t>
      </w:r>
      <w:r w:rsidRPr="000717E1">
        <w:t xml:space="preserve">and the </w:t>
      </w:r>
      <w:r w:rsidR="00C51472" w:rsidRPr="000717E1">
        <w:t>p</w:t>
      </w:r>
      <w:r w:rsidRPr="000717E1">
        <w:t>ooled safety data</w:t>
      </w:r>
      <w:r w:rsidR="00B246CC" w:rsidRPr="000717E1">
        <w:t xml:space="preserve"> (3.4% versus 3.0%)</w:t>
      </w:r>
      <w:r w:rsidR="00505FC3" w:rsidRPr="000717E1">
        <w:t xml:space="preserve">, but not in BOREAS. </w:t>
      </w:r>
      <w:r w:rsidR="00A12ABD" w:rsidRPr="001F3F0F">
        <w:rPr>
          <w:iCs/>
        </w:rPr>
        <w:t>The Sub-Committees noted that</w:t>
      </w:r>
      <w:r w:rsidR="00A12ABD" w:rsidRPr="000717E1">
        <w:t xml:space="preserve"> </w:t>
      </w:r>
      <w:r w:rsidRPr="000717E1">
        <w:t xml:space="preserve">TEAEs related to the investigational medicinal product were higher in the dupilumab </w:t>
      </w:r>
      <w:r w:rsidRPr="000717E1">
        <w:lastRenderedPageBreak/>
        <w:t xml:space="preserve">arm in BOREAS </w:t>
      </w:r>
      <w:r w:rsidR="00B246CC" w:rsidRPr="000717E1">
        <w:t xml:space="preserve">(7.5% versus 3.8%) </w:t>
      </w:r>
      <w:r w:rsidRPr="000717E1">
        <w:t>and the pooled safety data</w:t>
      </w:r>
      <w:r w:rsidR="00B246CC" w:rsidRPr="000717E1">
        <w:t xml:space="preserve"> (5.3% versus 3.9%)</w:t>
      </w:r>
      <w:r w:rsidRPr="000717E1">
        <w:t xml:space="preserve">. The submission attributed this to injection site reactions, which were reported in 14 </w:t>
      </w:r>
      <w:r w:rsidR="00AB239C" w:rsidRPr="000717E1">
        <w:t>patients</w:t>
      </w:r>
      <w:r w:rsidRPr="000717E1">
        <w:t xml:space="preserve"> (3.0%</w:t>
      </w:r>
      <w:r w:rsidR="00ED537D" w:rsidRPr="000717E1">
        <w:t>)</w:t>
      </w:r>
      <w:r w:rsidRPr="000717E1">
        <w:t xml:space="preserve"> in </w:t>
      </w:r>
      <w:r w:rsidR="00ED537D" w:rsidRPr="000717E1">
        <w:t>the</w:t>
      </w:r>
      <w:r w:rsidRPr="000717E1">
        <w:t xml:space="preserve"> dupilumab arm versus 2 </w:t>
      </w:r>
      <w:r w:rsidR="00AB239C" w:rsidRPr="000717E1">
        <w:t xml:space="preserve">patients </w:t>
      </w:r>
      <w:r w:rsidRPr="000717E1">
        <w:t>(0.4%</w:t>
      </w:r>
      <w:r w:rsidR="00ED537D" w:rsidRPr="000717E1">
        <w:t>)</w:t>
      </w:r>
      <w:r w:rsidRPr="000717E1">
        <w:t xml:space="preserve"> in placebo arm</w:t>
      </w:r>
      <w:r w:rsidR="00AB239C" w:rsidRPr="000717E1">
        <w:t xml:space="preserve"> </w:t>
      </w:r>
      <w:r w:rsidRPr="000717E1">
        <w:t xml:space="preserve">in BOREAS </w:t>
      </w:r>
      <w:r w:rsidR="00A15B59" w:rsidRPr="000717E1">
        <w:t>and</w:t>
      </w:r>
      <w:r w:rsidRPr="000717E1">
        <w:t xml:space="preserve"> 9 </w:t>
      </w:r>
      <w:r w:rsidR="00FC48FB" w:rsidRPr="000717E1">
        <w:t>patients</w:t>
      </w:r>
      <w:r w:rsidRPr="000717E1">
        <w:t xml:space="preserve"> (1.9%</w:t>
      </w:r>
      <w:r w:rsidR="00505FC3" w:rsidRPr="000717E1">
        <w:t>)</w:t>
      </w:r>
      <w:r w:rsidRPr="000717E1">
        <w:t xml:space="preserve"> in dupilumab arm versus 2 </w:t>
      </w:r>
      <w:r w:rsidR="00FC48FB" w:rsidRPr="000717E1">
        <w:t xml:space="preserve">patients </w:t>
      </w:r>
      <w:r w:rsidRPr="000717E1">
        <w:t>(0.4%</w:t>
      </w:r>
      <w:r w:rsidR="00FC48FB" w:rsidRPr="000717E1">
        <w:t>)</w:t>
      </w:r>
      <w:r w:rsidRPr="000717E1">
        <w:t xml:space="preserve"> in placebo arm NOTUS.</w:t>
      </w:r>
    </w:p>
    <w:p w14:paraId="2D4389DE" w14:textId="33266EC8" w:rsidR="00A979D9" w:rsidRPr="000717E1" w:rsidRDefault="00505FC3" w:rsidP="00505FC3">
      <w:pPr>
        <w:pStyle w:val="3-BodyText"/>
      </w:pPr>
      <w:r w:rsidRPr="000717E1">
        <w:t xml:space="preserve">The submission reported that treatment-emergent serious adverse events (SAEs) were assessed by the Investigator as related to the </w:t>
      </w:r>
      <w:r w:rsidR="00AF4573">
        <w:t>investigational medicinal product</w:t>
      </w:r>
      <w:r w:rsidRPr="000717E1">
        <w:t xml:space="preserve"> </w:t>
      </w:r>
      <w:r w:rsidR="00AF4573">
        <w:t>(</w:t>
      </w:r>
      <w:r w:rsidRPr="000717E1">
        <w:t>IMP</w:t>
      </w:r>
      <w:r w:rsidR="00AF4573">
        <w:t>)</w:t>
      </w:r>
      <w:r w:rsidRPr="000717E1">
        <w:t xml:space="preserve"> in 2 patients, both of whom were in the dupilumab arm. The most frequently reported treatment-emergent SAE by preferred-term was COPD (dupilumab: 5.3%; placebo: 6.6%, Pooled), pneumonia (dupilumab: 1.7%; placebo: 1.3%, Pooled), COVID-19 pneumonia (dupilumab: 0.9%; placebo: 0.7%, Pooled), and COVID-19 (dupilumab: 0.6%; placebo: 0.9%, Pooled).</w:t>
      </w:r>
    </w:p>
    <w:p w14:paraId="130CD075" w14:textId="43072E9E" w:rsidR="00A979D9" w:rsidRPr="000717E1" w:rsidRDefault="00A979D9" w:rsidP="00A979D9">
      <w:pPr>
        <w:pStyle w:val="3-BodyText"/>
      </w:pPr>
      <w:r w:rsidRPr="000717E1">
        <w:t>The total number of deaths reported w</w:t>
      </w:r>
      <w:r w:rsidR="00B532A5" w:rsidRPr="000717E1">
        <w:t>as</w:t>
      </w:r>
      <w:r w:rsidRPr="000717E1">
        <w:t xml:space="preserve"> numerically higher for dupilumab versus placebo in NOTUS (12</w:t>
      </w:r>
      <w:r w:rsidR="00B246CC" w:rsidRPr="000717E1">
        <w:t xml:space="preserve"> patients</w:t>
      </w:r>
      <w:r w:rsidRPr="000717E1">
        <w:t>, 2.6% versus 7</w:t>
      </w:r>
      <w:r w:rsidR="00B246CC" w:rsidRPr="000717E1">
        <w:t xml:space="preserve"> patients</w:t>
      </w:r>
      <w:r w:rsidRPr="000717E1">
        <w:t xml:space="preserve">, 1.5%) and </w:t>
      </w:r>
      <w:r w:rsidR="00B532A5" w:rsidRPr="000717E1">
        <w:t xml:space="preserve">the </w:t>
      </w:r>
      <w:r w:rsidR="006E3A00" w:rsidRPr="000717E1">
        <w:t>p</w:t>
      </w:r>
      <w:r w:rsidRPr="000717E1">
        <w:t xml:space="preserve">ooled </w:t>
      </w:r>
      <w:r w:rsidR="006E3A00" w:rsidRPr="000717E1">
        <w:t>s</w:t>
      </w:r>
      <w:r w:rsidRPr="000717E1">
        <w:t xml:space="preserve">afety data (21, 2.2% versus 16, 1.7%). None of the deaths reported in the trials </w:t>
      </w:r>
      <w:proofErr w:type="gramStart"/>
      <w:r w:rsidRPr="000717E1">
        <w:t>were considered to be</w:t>
      </w:r>
      <w:proofErr w:type="gramEnd"/>
      <w:r w:rsidRPr="000717E1">
        <w:t xml:space="preserve"> related to the IMP.</w:t>
      </w:r>
    </w:p>
    <w:p w14:paraId="1F7C45BD" w14:textId="77777777" w:rsidR="00A979D9" w:rsidRPr="000717E1" w:rsidRDefault="00A979D9" w:rsidP="00A979D9">
      <w:pPr>
        <w:pStyle w:val="4-SubsectionHeading"/>
      </w:pPr>
      <w:bookmarkStart w:id="53" w:name="_Toc216174093"/>
      <w:bookmarkStart w:id="54" w:name="_Toc219880043"/>
      <w:r w:rsidRPr="000717E1">
        <w:t>Benefits/harms</w:t>
      </w:r>
      <w:bookmarkEnd w:id="53"/>
      <w:bookmarkEnd w:id="54"/>
    </w:p>
    <w:p w14:paraId="7D8C27EB" w14:textId="713A6545" w:rsidR="00A979D9" w:rsidRPr="000717E1" w:rsidRDefault="00A979D9" w:rsidP="00A979D9">
      <w:pPr>
        <w:pStyle w:val="3-BodyText"/>
      </w:pPr>
      <w:bookmarkStart w:id="55" w:name="_Toc22897643"/>
      <w:r w:rsidRPr="000717E1">
        <w:t>A summary of the comparative benefits and harms for dupilumab versus placebo is presented in</w:t>
      </w:r>
      <w:r w:rsidR="00C50804" w:rsidRPr="000717E1">
        <w:t xml:space="preserve"> </w:t>
      </w:r>
      <w:r w:rsidR="00C50804" w:rsidRPr="000717E1">
        <w:fldChar w:fldCharType="begin"/>
      </w:r>
      <w:r w:rsidR="00C50804" w:rsidRPr="000717E1">
        <w:instrText xml:space="preserve"> REF _Ref104805037 \h </w:instrText>
      </w:r>
      <w:r w:rsidR="00C50804" w:rsidRPr="000717E1">
        <w:fldChar w:fldCharType="separate"/>
      </w:r>
      <w:r w:rsidR="00281F45" w:rsidRPr="000717E1">
        <w:t xml:space="preserve">Table </w:t>
      </w:r>
      <w:r w:rsidR="00281F45">
        <w:rPr>
          <w:noProof/>
        </w:rPr>
        <w:t>9</w:t>
      </w:r>
      <w:r w:rsidR="00C50804" w:rsidRPr="000717E1">
        <w:fldChar w:fldCharType="end"/>
      </w:r>
      <w:r w:rsidR="00C50804" w:rsidRPr="000717E1">
        <w:t>.</w:t>
      </w:r>
      <w:bookmarkEnd w:id="55"/>
    </w:p>
    <w:p w14:paraId="45A13603" w14:textId="766B8602" w:rsidR="00A979D9" w:rsidRPr="000717E1" w:rsidRDefault="00A979D9" w:rsidP="00A979D9">
      <w:pPr>
        <w:pStyle w:val="Caption"/>
        <w:rPr>
          <w:rStyle w:val="CommentReference"/>
          <w:b/>
          <w:szCs w:val="24"/>
        </w:rPr>
      </w:pPr>
      <w:bookmarkStart w:id="56" w:name="_Ref104805037"/>
      <w:r w:rsidRPr="000717E1">
        <w:lastRenderedPageBreak/>
        <w:t xml:space="preserve">Table </w:t>
      </w:r>
      <w:fldSimple w:instr=" SEQ Table \* ARABIC ">
        <w:r w:rsidR="00281F45">
          <w:rPr>
            <w:noProof/>
          </w:rPr>
          <w:t>9</w:t>
        </w:r>
      </w:fldSimple>
      <w:bookmarkEnd w:id="56"/>
      <w:r w:rsidRPr="000717E1">
        <w:t xml:space="preserve">: </w:t>
      </w:r>
      <w:r w:rsidRPr="000717E1">
        <w:rPr>
          <w:rStyle w:val="CommentReference"/>
          <w:b/>
          <w:szCs w:val="24"/>
        </w:rPr>
        <w:t>Summary of comparative benefits and harms for dupilumab versus placebo</w:t>
      </w:r>
    </w:p>
    <w:tbl>
      <w:tblPr>
        <w:tblW w:w="9017" w:type="dxa"/>
        <w:tblLayout w:type="fixed"/>
        <w:tblCellMar>
          <w:left w:w="28" w:type="dxa"/>
          <w:right w:w="28" w:type="dxa"/>
        </w:tblCellMar>
        <w:tblLook w:val="04A0" w:firstRow="1" w:lastRow="0" w:firstColumn="1" w:lastColumn="0" w:noHBand="0" w:noVBand="1"/>
        <w:tblCaption w:val="Table 9: Summary of comparative benefits and harms for dupilumab versus placebo"/>
      </w:tblPr>
      <w:tblGrid>
        <w:gridCol w:w="1142"/>
        <w:gridCol w:w="7"/>
        <w:gridCol w:w="7"/>
        <w:gridCol w:w="999"/>
        <w:gridCol w:w="137"/>
        <w:gridCol w:w="877"/>
        <w:gridCol w:w="407"/>
        <w:gridCol w:w="607"/>
        <w:gridCol w:w="948"/>
        <w:gridCol w:w="66"/>
        <w:gridCol w:w="1014"/>
        <w:gridCol w:w="53"/>
        <w:gridCol w:w="90"/>
        <w:gridCol w:w="871"/>
        <w:gridCol w:w="256"/>
        <w:gridCol w:w="144"/>
        <w:gridCol w:w="1392"/>
      </w:tblGrid>
      <w:tr w:rsidR="00A979D9" w:rsidRPr="000717E1" w14:paraId="51EA7863" w14:textId="77777777" w:rsidTr="00A3666F">
        <w:trPr>
          <w:trHeight w:val="150"/>
          <w:tblHeader/>
        </w:trPr>
        <w:tc>
          <w:tcPr>
            <w:tcW w:w="1142" w:type="dxa"/>
            <w:vMerge w:val="restart"/>
            <w:tcBorders>
              <w:top w:val="single" w:sz="4" w:space="0" w:color="auto"/>
              <w:left w:val="single" w:sz="4" w:space="0" w:color="auto"/>
              <w:bottom w:val="single" w:sz="4" w:space="0" w:color="auto"/>
              <w:right w:val="single" w:sz="4" w:space="0" w:color="auto"/>
            </w:tcBorders>
            <w:vAlign w:val="center"/>
          </w:tcPr>
          <w:p w14:paraId="54A1F472" w14:textId="77777777" w:rsidR="00A979D9" w:rsidRPr="000717E1" w:rsidRDefault="00A979D9" w:rsidP="00334AFB">
            <w:pPr>
              <w:pStyle w:val="In-tableHeading"/>
            </w:pPr>
            <w:r w:rsidRPr="000717E1">
              <w:t>Trial</w:t>
            </w:r>
          </w:p>
        </w:tc>
        <w:tc>
          <w:tcPr>
            <w:tcW w:w="1150" w:type="dxa"/>
            <w:gridSpan w:val="4"/>
            <w:vMerge w:val="restart"/>
            <w:tcBorders>
              <w:top w:val="single" w:sz="4" w:space="0" w:color="auto"/>
              <w:left w:val="single" w:sz="4" w:space="0" w:color="auto"/>
              <w:bottom w:val="single" w:sz="4" w:space="0" w:color="auto"/>
              <w:right w:val="single" w:sz="4" w:space="0" w:color="auto"/>
            </w:tcBorders>
            <w:vAlign w:val="center"/>
          </w:tcPr>
          <w:p w14:paraId="642B8DB5" w14:textId="77777777" w:rsidR="00A979D9" w:rsidRPr="000717E1" w:rsidRDefault="00A979D9" w:rsidP="00AF4573">
            <w:pPr>
              <w:pStyle w:val="In-tableHeading"/>
              <w:jc w:val="center"/>
            </w:pPr>
            <w:r w:rsidRPr="000717E1">
              <w:t>Dupilumab</w:t>
            </w:r>
          </w:p>
          <w:p w14:paraId="75E83FDA" w14:textId="77777777" w:rsidR="00A979D9" w:rsidRPr="000717E1" w:rsidRDefault="00A979D9" w:rsidP="00AF4573">
            <w:pPr>
              <w:pStyle w:val="In-tableHeading"/>
              <w:jc w:val="center"/>
            </w:pPr>
            <w:r w:rsidRPr="000717E1">
              <w:t>n/N</w:t>
            </w:r>
          </w:p>
        </w:tc>
        <w:tc>
          <w:tcPr>
            <w:tcW w:w="1284" w:type="dxa"/>
            <w:gridSpan w:val="2"/>
            <w:vMerge w:val="restart"/>
            <w:tcBorders>
              <w:top w:val="single" w:sz="4" w:space="0" w:color="auto"/>
              <w:left w:val="single" w:sz="4" w:space="0" w:color="auto"/>
              <w:bottom w:val="single" w:sz="4" w:space="0" w:color="auto"/>
              <w:right w:val="single" w:sz="4" w:space="0" w:color="auto"/>
            </w:tcBorders>
            <w:vAlign w:val="center"/>
          </w:tcPr>
          <w:p w14:paraId="69E68BFF" w14:textId="77777777" w:rsidR="00A979D9" w:rsidRPr="000717E1" w:rsidRDefault="00A979D9">
            <w:pPr>
              <w:pStyle w:val="SanofiTableText"/>
              <w:jc w:val="center"/>
              <w:rPr>
                <w:b/>
                <w:bCs w:val="0"/>
                <w:lang w:eastAsia="en-AU"/>
              </w:rPr>
            </w:pPr>
            <w:r w:rsidRPr="000717E1">
              <w:rPr>
                <w:b/>
                <w:bCs w:val="0"/>
                <w:lang w:eastAsia="en-AU"/>
              </w:rPr>
              <w:t>Placebo</w:t>
            </w:r>
          </w:p>
          <w:p w14:paraId="4C95B4F0" w14:textId="77777777" w:rsidR="00A979D9" w:rsidRPr="000717E1" w:rsidRDefault="00A979D9">
            <w:pPr>
              <w:pStyle w:val="SanofiTableText"/>
              <w:jc w:val="center"/>
              <w:rPr>
                <w:b/>
                <w:bCs w:val="0"/>
                <w:lang w:eastAsia="en-AU"/>
              </w:rPr>
            </w:pPr>
            <w:r w:rsidRPr="000717E1">
              <w:rPr>
                <w:b/>
                <w:bCs w:val="0"/>
              </w:rPr>
              <w:t>n/N</w:t>
            </w:r>
          </w:p>
        </w:tc>
        <w:tc>
          <w:tcPr>
            <w:tcW w:w="1555" w:type="dxa"/>
            <w:gridSpan w:val="2"/>
            <w:vMerge w:val="restart"/>
            <w:tcBorders>
              <w:top w:val="single" w:sz="4" w:space="0" w:color="auto"/>
              <w:left w:val="single" w:sz="4" w:space="0" w:color="auto"/>
              <w:bottom w:val="single" w:sz="4" w:space="0" w:color="auto"/>
              <w:right w:val="single" w:sz="4" w:space="0" w:color="auto"/>
            </w:tcBorders>
            <w:vAlign w:val="center"/>
          </w:tcPr>
          <w:p w14:paraId="264B4C55" w14:textId="77777777" w:rsidR="00A979D9" w:rsidRPr="000717E1" w:rsidRDefault="00A979D9" w:rsidP="00AF4573">
            <w:pPr>
              <w:pStyle w:val="In-tableHeading"/>
              <w:jc w:val="center"/>
            </w:pPr>
            <w:r w:rsidRPr="000717E1">
              <w:t>RR</w:t>
            </w:r>
          </w:p>
          <w:p w14:paraId="31BC16FF" w14:textId="77777777" w:rsidR="00A979D9" w:rsidRPr="000717E1" w:rsidRDefault="00A979D9" w:rsidP="00AF4573">
            <w:pPr>
              <w:pStyle w:val="In-tableHeading"/>
              <w:jc w:val="center"/>
            </w:pPr>
            <w:r w:rsidRPr="000717E1">
              <w:t>(95% CI)</w:t>
            </w:r>
          </w:p>
        </w:tc>
        <w:tc>
          <w:tcPr>
            <w:tcW w:w="2350" w:type="dxa"/>
            <w:gridSpan w:val="6"/>
            <w:tcBorders>
              <w:top w:val="single" w:sz="4" w:space="0" w:color="auto"/>
              <w:left w:val="single" w:sz="4" w:space="0" w:color="auto"/>
              <w:bottom w:val="single" w:sz="4" w:space="0" w:color="auto"/>
              <w:right w:val="single" w:sz="4" w:space="0" w:color="auto"/>
            </w:tcBorders>
            <w:vAlign w:val="center"/>
          </w:tcPr>
          <w:p w14:paraId="17CAFE5E" w14:textId="77777777" w:rsidR="00A979D9" w:rsidRPr="000717E1" w:rsidRDefault="00A979D9" w:rsidP="00334AFB">
            <w:pPr>
              <w:pStyle w:val="In-tableHeading"/>
            </w:pPr>
            <w:r w:rsidRPr="000717E1">
              <w:t>Event rate/patient year</w:t>
            </w:r>
          </w:p>
        </w:tc>
        <w:tc>
          <w:tcPr>
            <w:tcW w:w="1536" w:type="dxa"/>
            <w:gridSpan w:val="2"/>
            <w:vMerge w:val="restart"/>
            <w:tcBorders>
              <w:top w:val="single" w:sz="4" w:space="0" w:color="auto"/>
              <w:left w:val="single" w:sz="4" w:space="0" w:color="auto"/>
              <w:bottom w:val="single" w:sz="4" w:space="0" w:color="auto"/>
              <w:right w:val="single" w:sz="4" w:space="0" w:color="auto"/>
            </w:tcBorders>
            <w:vAlign w:val="center"/>
          </w:tcPr>
          <w:p w14:paraId="618D2BCC" w14:textId="77777777" w:rsidR="00A979D9" w:rsidRPr="000717E1" w:rsidRDefault="00A979D9" w:rsidP="00AF4573">
            <w:pPr>
              <w:pStyle w:val="In-tableHeading"/>
              <w:jc w:val="center"/>
            </w:pPr>
            <w:proofErr w:type="spellStart"/>
            <w:r w:rsidRPr="000717E1">
              <w:t>RD</w:t>
            </w:r>
            <w:r w:rsidRPr="000717E1">
              <w:rPr>
                <w:vertAlign w:val="superscript"/>
              </w:rPr>
              <w:t>b</w:t>
            </w:r>
            <w:proofErr w:type="spellEnd"/>
          </w:p>
          <w:p w14:paraId="7FD60E2B" w14:textId="77777777" w:rsidR="00A979D9" w:rsidRPr="000717E1" w:rsidRDefault="00A979D9" w:rsidP="00AF4573">
            <w:pPr>
              <w:pStyle w:val="In-tableHeading"/>
              <w:jc w:val="center"/>
            </w:pPr>
            <w:r w:rsidRPr="000717E1">
              <w:t>(95% CI)</w:t>
            </w:r>
          </w:p>
        </w:tc>
      </w:tr>
      <w:tr w:rsidR="00A979D9" w:rsidRPr="000717E1" w14:paraId="4ACDFAB2" w14:textId="77777777" w:rsidTr="00A3666F">
        <w:trPr>
          <w:trHeight w:val="315"/>
        </w:trPr>
        <w:tc>
          <w:tcPr>
            <w:tcW w:w="1142" w:type="dxa"/>
            <w:vMerge/>
            <w:tcBorders>
              <w:top w:val="single" w:sz="4" w:space="0" w:color="auto"/>
              <w:left w:val="single" w:sz="4" w:space="0" w:color="auto"/>
              <w:bottom w:val="single" w:sz="4" w:space="0" w:color="auto"/>
              <w:right w:val="single" w:sz="4" w:space="0" w:color="auto"/>
            </w:tcBorders>
            <w:vAlign w:val="center"/>
          </w:tcPr>
          <w:p w14:paraId="2B19560B" w14:textId="77777777" w:rsidR="00A979D9" w:rsidRPr="000717E1" w:rsidRDefault="00A979D9" w:rsidP="00334AFB">
            <w:pPr>
              <w:pStyle w:val="In-tableHeading"/>
            </w:pPr>
          </w:p>
        </w:tc>
        <w:tc>
          <w:tcPr>
            <w:tcW w:w="1150" w:type="dxa"/>
            <w:gridSpan w:val="4"/>
            <w:vMerge/>
            <w:tcBorders>
              <w:top w:val="single" w:sz="4" w:space="0" w:color="auto"/>
              <w:left w:val="single" w:sz="4" w:space="0" w:color="auto"/>
              <w:bottom w:val="single" w:sz="4" w:space="0" w:color="auto"/>
              <w:right w:val="single" w:sz="4" w:space="0" w:color="auto"/>
            </w:tcBorders>
            <w:vAlign w:val="center"/>
          </w:tcPr>
          <w:p w14:paraId="0606A2F1" w14:textId="77777777" w:rsidR="00A979D9" w:rsidRPr="000717E1" w:rsidRDefault="00A979D9" w:rsidP="00334AFB">
            <w:pPr>
              <w:pStyle w:val="In-tableHeading"/>
            </w:pPr>
          </w:p>
        </w:tc>
        <w:tc>
          <w:tcPr>
            <w:tcW w:w="1284" w:type="dxa"/>
            <w:gridSpan w:val="2"/>
            <w:vMerge/>
            <w:tcBorders>
              <w:top w:val="single" w:sz="4" w:space="0" w:color="auto"/>
              <w:left w:val="single" w:sz="4" w:space="0" w:color="auto"/>
              <w:bottom w:val="single" w:sz="4" w:space="0" w:color="auto"/>
              <w:right w:val="single" w:sz="4" w:space="0" w:color="auto"/>
            </w:tcBorders>
            <w:vAlign w:val="center"/>
          </w:tcPr>
          <w:p w14:paraId="47A59AD8" w14:textId="77777777" w:rsidR="00A979D9" w:rsidRPr="000717E1" w:rsidRDefault="00A979D9" w:rsidP="00334AFB">
            <w:pPr>
              <w:pStyle w:val="In-tableHeading"/>
            </w:pPr>
          </w:p>
        </w:tc>
        <w:tc>
          <w:tcPr>
            <w:tcW w:w="1555" w:type="dxa"/>
            <w:gridSpan w:val="2"/>
            <w:vMerge/>
            <w:tcBorders>
              <w:top w:val="single" w:sz="4" w:space="0" w:color="auto"/>
              <w:left w:val="single" w:sz="4" w:space="0" w:color="auto"/>
              <w:bottom w:val="single" w:sz="4" w:space="0" w:color="auto"/>
              <w:right w:val="single" w:sz="4" w:space="0" w:color="auto"/>
            </w:tcBorders>
            <w:vAlign w:val="center"/>
          </w:tcPr>
          <w:p w14:paraId="37321926" w14:textId="77777777" w:rsidR="00A979D9" w:rsidRPr="000717E1" w:rsidRDefault="00A979D9" w:rsidP="00334AFB">
            <w:pPr>
              <w:pStyle w:val="In-tableHeading"/>
            </w:pPr>
          </w:p>
        </w:tc>
        <w:tc>
          <w:tcPr>
            <w:tcW w:w="1223" w:type="dxa"/>
            <w:gridSpan w:val="4"/>
            <w:tcBorders>
              <w:top w:val="single" w:sz="4" w:space="0" w:color="auto"/>
              <w:left w:val="single" w:sz="4" w:space="0" w:color="auto"/>
              <w:bottom w:val="single" w:sz="4" w:space="0" w:color="auto"/>
              <w:right w:val="single" w:sz="4" w:space="0" w:color="auto"/>
            </w:tcBorders>
            <w:vAlign w:val="center"/>
          </w:tcPr>
          <w:p w14:paraId="17FBA7FD" w14:textId="77777777" w:rsidR="00A979D9" w:rsidRPr="000717E1" w:rsidRDefault="00A979D9" w:rsidP="00334AFB">
            <w:pPr>
              <w:pStyle w:val="In-tableHeading"/>
            </w:pPr>
            <w:r w:rsidRPr="000717E1">
              <w:t>Dupilumab</w:t>
            </w:r>
          </w:p>
        </w:tc>
        <w:tc>
          <w:tcPr>
            <w:tcW w:w="1127" w:type="dxa"/>
            <w:gridSpan w:val="2"/>
            <w:tcBorders>
              <w:top w:val="single" w:sz="4" w:space="0" w:color="auto"/>
              <w:left w:val="single" w:sz="4" w:space="0" w:color="auto"/>
              <w:bottom w:val="single" w:sz="4" w:space="0" w:color="auto"/>
              <w:right w:val="single" w:sz="4" w:space="0" w:color="auto"/>
            </w:tcBorders>
            <w:vAlign w:val="center"/>
          </w:tcPr>
          <w:p w14:paraId="2C685EF1" w14:textId="77777777" w:rsidR="00A979D9" w:rsidRPr="000717E1" w:rsidRDefault="00A979D9" w:rsidP="00334AFB">
            <w:pPr>
              <w:pStyle w:val="In-tableHeading"/>
            </w:pPr>
            <w:r w:rsidRPr="000717E1">
              <w:t>Placebo</w:t>
            </w:r>
          </w:p>
        </w:tc>
        <w:tc>
          <w:tcPr>
            <w:tcW w:w="1536" w:type="dxa"/>
            <w:gridSpan w:val="2"/>
            <w:vMerge/>
            <w:tcBorders>
              <w:top w:val="single" w:sz="4" w:space="0" w:color="auto"/>
              <w:left w:val="single" w:sz="4" w:space="0" w:color="auto"/>
              <w:bottom w:val="single" w:sz="4" w:space="0" w:color="auto"/>
              <w:right w:val="single" w:sz="4" w:space="0" w:color="auto"/>
            </w:tcBorders>
            <w:vAlign w:val="center"/>
          </w:tcPr>
          <w:p w14:paraId="3B0F08B6" w14:textId="77777777" w:rsidR="00A979D9" w:rsidRPr="000717E1" w:rsidRDefault="00A979D9" w:rsidP="00334AFB">
            <w:pPr>
              <w:pStyle w:val="In-tableHeading"/>
            </w:pPr>
          </w:p>
        </w:tc>
      </w:tr>
      <w:tr w:rsidR="00A979D9" w:rsidRPr="000717E1" w14:paraId="27947697" w14:textId="77777777" w:rsidTr="00A3666F">
        <w:tc>
          <w:tcPr>
            <w:tcW w:w="9017" w:type="dxa"/>
            <w:gridSpan w:val="17"/>
            <w:tcBorders>
              <w:top w:val="single" w:sz="4" w:space="0" w:color="auto"/>
              <w:left w:val="single" w:sz="4" w:space="0" w:color="auto"/>
              <w:bottom w:val="double" w:sz="4" w:space="0" w:color="auto"/>
              <w:right w:val="single" w:sz="4" w:space="0" w:color="auto"/>
            </w:tcBorders>
            <w:vAlign w:val="center"/>
          </w:tcPr>
          <w:p w14:paraId="5B174A91" w14:textId="77777777" w:rsidR="00A979D9" w:rsidRPr="000717E1" w:rsidRDefault="00A979D9" w:rsidP="00334AFB">
            <w:pPr>
              <w:pStyle w:val="In-tableHeading"/>
            </w:pPr>
            <w:r w:rsidRPr="000717E1">
              <w:t>Benefits</w:t>
            </w:r>
          </w:p>
        </w:tc>
      </w:tr>
      <w:tr w:rsidR="00A979D9" w:rsidRPr="000717E1" w14:paraId="73A77867" w14:textId="77777777" w:rsidTr="00A3666F">
        <w:tc>
          <w:tcPr>
            <w:tcW w:w="9017" w:type="dxa"/>
            <w:gridSpan w:val="17"/>
            <w:tcBorders>
              <w:top w:val="double" w:sz="4" w:space="0" w:color="auto"/>
              <w:left w:val="single" w:sz="4" w:space="0" w:color="auto"/>
              <w:bottom w:val="single" w:sz="4" w:space="0" w:color="auto"/>
              <w:right w:val="single" w:sz="4" w:space="0" w:color="auto"/>
            </w:tcBorders>
            <w:vAlign w:val="center"/>
          </w:tcPr>
          <w:p w14:paraId="05965780" w14:textId="77777777" w:rsidR="00A979D9" w:rsidRPr="000717E1" w:rsidRDefault="00A979D9" w:rsidP="00334AFB">
            <w:pPr>
              <w:pStyle w:val="In-tableHeading"/>
            </w:pPr>
            <w:r w:rsidRPr="000717E1">
              <w:t xml:space="preserve">Adjusted annualised rate of moderate to severe </w:t>
            </w:r>
            <w:proofErr w:type="spellStart"/>
            <w:r w:rsidRPr="000717E1">
              <w:t>AECOPD</w:t>
            </w:r>
            <w:r w:rsidRPr="000717E1">
              <w:rPr>
                <w:vertAlign w:val="superscript"/>
              </w:rPr>
              <w:t>a</w:t>
            </w:r>
            <w:proofErr w:type="spellEnd"/>
          </w:p>
        </w:tc>
      </w:tr>
      <w:tr w:rsidR="00A979D9" w:rsidRPr="000717E1" w14:paraId="3E9738B9" w14:textId="77777777" w:rsidTr="00A3666F">
        <w:tc>
          <w:tcPr>
            <w:tcW w:w="1142" w:type="dxa"/>
            <w:tcBorders>
              <w:top w:val="single" w:sz="4" w:space="0" w:color="auto"/>
              <w:left w:val="single" w:sz="4" w:space="0" w:color="auto"/>
              <w:bottom w:val="double" w:sz="4" w:space="0" w:color="auto"/>
              <w:right w:val="single" w:sz="4" w:space="0" w:color="auto"/>
            </w:tcBorders>
            <w:vAlign w:val="center"/>
          </w:tcPr>
          <w:p w14:paraId="7AC2FC61" w14:textId="77777777" w:rsidR="00A979D9" w:rsidRPr="000717E1" w:rsidRDefault="00A979D9">
            <w:pPr>
              <w:pStyle w:val="TableText0"/>
              <w:rPr>
                <w:sz w:val="20"/>
                <w:szCs w:val="20"/>
              </w:rPr>
            </w:pPr>
            <w:r w:rsidRPr="000717E1">
              <w:rPr>
                <w:sz w:val="20"/>
                <w:szCs w:val="20"/>
              </w:rPr>
              <w:t>Pooled</w:t>
            </w:r>
          </w:p>
        </w:tc>
        <w:tc>
          <w:tcPr>
            <w:tcW w:w="1150" w:type="dxa"/>
            <w:gridSpan w:val="4"/>
            <w:tcBorders>
              <w:top w:val="single" w:sz="4" w:space="0" w:color="auto"/>
              <w:left w:val="single" w:sz="4" w:space="0" w:color="auto"/>
              <w:bottom w:val="double" w:sz="4" w:space="0" w:color="auto"/>
              <w:right w:val="single" w:sz="4" w:space="0" w:color="auto"/>
            </w:tcBorders>
            <w:vAlign w:val="center"/>
          </w:tcPr>
          <w:p w14:paraId="255903E9" w14:textId="77777777" w:rsidR="00A979D9" w:rsidRPr="000717E1" w:rsidRDefault="00A979D9">
            <w:pPr>
              <w:pStyle w:val="TableText0"/>
              <w:jc w:val="center"/>
              <w:rPr>
                <w:sz w:val="20"/>
                <w:szCs w:val="20"/>
              </w:rPr>
            </w:pPr>
            <w:r w:rsidRPr="000717E1">
              <w:rPr>
                <w:sz w:val="20"/>
                <w:szCs w:val="20"/>
              </w:rPr>
              <w:t>338/938</w:t>
            </w:r>
          </w:p>
        </w:tc>
        <w:tc>
          <w:tcPr>
            <w:tcW w:w="1284" w:type="dxa"/>
            <w:gridSpan w:val="2"/>
            <w:tcBorders>
              <w:top w:val="single" w:sz="4" w:space="0" w:color="auto"/>
              <w:left w:val="single" w:sz="4" w:space="0" w:color="auto"/>
              <w:bottom w:val="double" w:sz="4" w:space="0" w:color="auto"/>
              <w:right w:val="single" w:sz="4" w:space="0" w:color="auto"/>
            </w:tcBorders>
            <w:vAlign w:val="center"/>
          </w:tcPr>
          <w:p w14:paraId="62F7C00F" w14:textId="77777777" w:rsidR="00A979D9" w:rsidRPr="000717E1" w:rsidRDefault="00A979D9">
            <w:pPr>
              <w:pStyle w:val="TableText0"/>
              <w:jc w:val="center"/>
              <w:rPr>
                <w:sz w:val="20"/>
                <w:szCs w:val="20"/>
              </w:rPr>
            </w:pPr>
            <w:r w:rsidRPr="000717E1">
              <w:rPr>
                <w:sz w:val="20"/>
                <w:szCs w:val="20"/>
              </w:rPr>
              <w:t>394/936</w:t>
            </w:r>
          </w:p>
        </w:tc>
        <w:tc>
          <w:tcPr>
            <w:tcW w:w="1555" w:type="dxa"/>
            <w:gridSpan w:val="2"/>
            <w:tcBorders>
              <w:top w:val="single" w:sz="4" w:space="0" w:color="auto"/>
              <w:left w:val="single" w:sz="4" w:space="0" w:color="auto"/>
              <w:bottom w:val="double" w:sz="4" w:space="0" w:color="auto"/>
              <w:right w:val="single" w:sz="4" w:space="0" w:color="auto"/>
            </w:tcBorders>
            <w:vAlign w:val="center"/>
          </w:tcPr>
          <w:p w14:paraId="558FE50D" w14:textId="77777777" w:rsidR="00A979D9" w:rsidRPr="000717E1" w:rsidRDefault="00A979D9">
            <w:pPr>
              <w:pStyle w:val="TableText0"/>
              <w:jc w:val="center"/>
              <w:rPr>
                <w:sz w:val="20"/>
                <w:szCs w:val="20"/>
              </w:rPr>
            </w:pPr>
            <w:r w:rsidRPr="000717E1">
              <w:rPr>
                <w:sz w:val="20"/>
                <w:szCs w:val="20"/>
              </w:rPr>
              <w:t>0.687</w:t>
            </w:r>
          </w:p>
          <w:p w14:paraId="0C530941" w14:textId="77777777" w:rsidR="00A979D9" w:rsidRPr="000717E1" w:rsidRDefault="00A979D9">
            <w:pPr>
              <w:pStyle w:val="TableText0"/>
              <w:jc w:val="center"/>
              <w:rPr>
                <w:sz w:val="20"/>
                <w:szCs w:val="20"/>
              </w:rPr>
            </w:pPr>
            <w:r w:rsidRPr="000717E1">
              <w:rPr>
                <w:sz w:val="20"/>
                <w:szCs w:val="20"/>
              </w:rPr>
              <w:t>(0.60 to 0.79)</w:t>
            </w:r>
          </w:p>
        </w:tc>
        <w:tc>
          <w:tcPr>
            <w:tcW w:w="1223" w:type="dxa"/>
            <w:gridSpan w:val="4"/>
            <w:tcBorders>
              <w:top w:val="single" w:sz="4" w:space="0" w:color="auto"/>
              <w:left w:val="single" w:sz="4" w:space="0" w:color="auto"/>
              <w:bottom w:val="double" w:sz="4" w:space="0" w:color="auto"/>
              <w:right w:val="single" w:sz="4" w:space="0" w:color="auto"/>
            </w:tcBorders>
            <w:vAlign w:val="center"/>
          </w:tcPr>
          <w:p w14:paraId="6896BACF" w14:textId="77777777" w:rsidR="00A979D9" w:rsidRPr="000717E1" w:rsidRDefault="00A979D9">
            <w:pPr>
              <w:pStyle w:val="TableText0"/>
              <w:jc w:val="center"/>
              <w:rPr>
                <w:sz w:val="20"/>
                <w:szCs w:val="20"/>
              </w:rPr>
            </w:pPr>
            <w:r w:rsidRPr="000717E1">
              <w:rPr>
                <w:sz w:val="20"/>
                <w:szCs w:val="20"/>
              </w:rPr>
              <w:t>0.794</w:t>
            </w:r>
          </w:p>
        </w:tc>
        <w:tc>
          <w:tcPr>
            <w:tcW w:w="1127" w:type="dxa"/>
            <w:gridSpan w:val="2"/>
            <w:tcBorders>
              <w:top w:val="single" w:sz="4" w:space="0" w:color="auto"/>
              <w:left w:val="single" w:sz="4" w:space="0" w:color="auto"/>
              <w:bottom w:val="double" w:sz="4" w:space="0" w:color="auto"/>
              <w:right w:val="single" w:sz="4" w:space="0" w:color="auto"/>
            </w:tcBorders>
            <w:vAlign w:val="center"/>
          </w:tcPr>
          <w:p w14:paraId="798979E0" w14:textId="77777777" w:rsidR="00A979D9" w:rsidRPr="000717E1" w:rsidRDefault="00A979D9">
            <w:pPr>
              <w:pStyle w:val="TableText0"/>
              <w:jc w:val="center"/>
              <w:rPr>
                <w:sz w:val="20"/>
                <w:szCs w:val="20"/>
              </w:rPr>
            </w:pPr>
            <w:r w:rsidRPr="000717E1">
              <w:rPr>
                <w:sz w:val="20"/>
                <w:szCs w:val="20"/>
              </w:rPr>
              <w:t>1.156</w:t>
            </w:r>
          </w:p>
        </w:tc>
        <w:tc>
          <w:tcPr>
            <w:tcW w:w="1536" w:type="dxa"/>
            <w:gridSpan w:val="2"/>
            <w:tcBorders>
              <w:top w:val="single" w:sz="4" w:space="0" w:color="auto"/>
              <w:left w:val="single" w:sz="4" w:space="0" w:color="auto"/>
              <w:bottom w:val="double" w:sz="4" w:space="0" w:color="auto"/>
              <w:right w:val="single" w:sz="4" w:space="0" w:color="auto"/>
            </w:tcBorders>
            <w:vAlign w:val="center"/>
          </w:tcPr>
          <w:p w14:paraId="2A158F0C" w14:textId="77777777" w:rsidR="00A979D9" w:rsidRPr="000717E1" w:rsidRDefault="00A979D9">
            <w:pPr>
              <w:pStyle w:val="TableText0"/>
              <w:jc w:val="center"/>
              <w:rPr>
                <w:sz w:val="20"/>
                <w:szCs w:val="20"/>
              </w:rPr>
            </w:pPr>
            <w:r w:rsidRPr="000717E1">
              <w:rPr>
                <w:sz w:val="20"/>
                <w:szCs w:val="20"/>
              </w:rPr>
              <w:t>-0.362</w:t>
            </w:r>
          </w:p>
          <w:p w14:paraId="181D7ED4" w14:textId="77777777" w:rsidR="00A979D9" w:rsidRPr="000717E1" w:rsidRDefault="00A979D9">
            <w:pPr>
              <w:pStyle w:val="TableText0"/>
              <w:jc w:val="center"/>
              <w:rPr>
                <w:sz w:val="20"/>
                <w:szCs w:val="20"/>
              </w:rPr>
            </w:pPr>
            <w:r w:rsidRPr="000717E1">
              <w:rPr>
                <w:sz w:val="20"/>
                <w:szCs w:val="20"/>
              </w:rPr>
              <w:t>(-0.51, -0.22)</w:t>
            </w:r>
          </w:p>
        </w:tc>
      </w:tr>
      <w:tr w:rsidR="00A979D9" w:rsidRPr="000717E1" w14:paraId="0E8BCA3A" w14:textId="77777777" w:rsidTr="00A3666F">
        <w:tc>
          <w:tcPr>
            <w:tcW w:w="9017" w:type="dxa"/>
            <w:gridSpan w:val="17"/>
            <w:tcBorders>
              <w:top w:val="double" w:sz="4" w:space="0" w:color="auto"/>
              <w:left w:val="single" w:sz="4" w:space="0" w:color="auto"/>
              <w:bottom w:val="single" w:sz="4" w:space="0" w:color="auto"/>
              <w:right w:val="single" w:sz="4" w:space="0" w:color="auto"/>
            </w:tcBorders>
            <w:vAlign w:val="center"/>
          </w:tcPr>
          <w:p w14:paraId="4A67E367" w14:textId="77777777" w:rsidR="00A979D9" w:rsidRPr="000717E1" w:rsidRDefault="00A979D9" w:rsidP="00334AFB">
            <w:pPr>
              <w:pStyle w:val="In-tableHeading"/>
            </w:pPr>
            <w:r w:rsidRPr="000717E1">
              <w:t>Change from baseline in SGRQ total score at Week 52</w:t>
            </w:r>
          </w:p>
        </w:tc>
      </w:tr>
      <w:tr w:rsidR="00A979D9" w:rsidRPr="000717E1" w14:paraId="612C77CC" w14:textId="77777777" w:rsidTr="00A3666F">
        <w:trPr>
          <w:trHeight w:val="225"/>
        </w:trPr>
        <w:tc>
          <w:tcPr>
            <w:tcW w:w="1142" w:type="dxa"/>
            <w:vMerge w:val="restart"/>
            <w:tcBorders>
              <w:top w:val="single" w:sz="4" w:space="0" w:color="auto"/>
              <w:left w:val="single" w:sz="4" w:space="0" w:color="auto"/>
              <w:bottom w:val="single" w:sz="4" w:space="0" w:color="auto"/>
              <w:right w:val="single" w:sz="4" w:space="0" w:color="auto"/>
            </w:tcBorders>
            <w:vAlign w:val="center"/>
          </w:tcPr>
          <w:p w14:paraId="23D9C473" w14:textId="77777777" w:rsidR="00A979D9" w:rsidRPr="000717E1" w:rsidRDefault="00A979D9">
            <w:pPr>
              <w:pStyle w:val="TableText0"/>
              <w:rPr>
                <w:sz w:val="20"/>
                <w:szCs w:val="20"/>
              </w:rPr>
            </w:pPr>
          </w:p>
        </w:tc>
        <w:tc>
          <w:tcPr>
            <w:tcW w:w="3041" w:type="dxa"/>
            <w:gridSpan w:val="7"/>
            <w:tcBorders>
              <w:top w:val="single" w:sz="4" w:space="0" w:color="auto"/>
              <w:left w:val="single" w:sz="4" w:space="0" w:color="auto"/>
              <w:bottom w:val="single" w:sz="4" w:space="0" w:color="auto"/>
              <w:right w:val="single" w:sz="4" w:space="0" w:color="auto"/>
            </w:tcBorders>
            <w:vAlign w:val="center"/>
          </w:tcPr>
          <w:p w14:paraId="74523E26" w14:textId="77777777" w:rsidR="00A979D9" w:rsidRPr="000717E1" w:rsidRDefault="00A979D9" w:rsidP="00AF4573">
            <w:pPr>
              <w:pStyle w:val="In-tableHeading"/>
              <w:jc w:val="center"/>
            </w:pPr>
            <w:r w:rsidRPr="000717E1">
              <w:t>Dupilumab</w:t>
            </w:r>
          </w:p>
        </w:tc>
        <w:tc>
          <w:tcPr>
            <w:tcW w:w="3042" w:type="dxa"/>
            <w:gridSpan w:val="6"/>
            <w:tcBorders>
              <w:top w:val="single" w:sz="4" w:space="0" w:color="auto"/>
              <w:left w:val="single" w:sz="4" w:space="0" w:color="auto"/>
              <w:bottom w:val="single" w:sz="4" w:space="0" w:color="auto"/>
              <w:right w:val="single" w:sz="4" w:space="0" w:color="auto"/>
            </w:tcBorders>
            <w:vAlign w:val="center"/>
          </w:tcPr>
          <w:p w14:paraId="122737DC" w14:textId="77777777" w:rsidR="00A979D9" w:rsidRPr="000717E1" w:rsidRDefault="00A979D9" w:rsidP="00AF4573">
            <w:pPr>
              <w:pStyle w:val="In-tableHeading"/>
              <w:jc w:val="center"/>
            </w:pPr>
            <w:r w:rsidRPr="000717E1">
              <w:t>Placebo</w:t>
            </w:r>
          </w:p>
        </w:tc>
        <w:tc>
          <w:tcPr>
            <w:tcW w:w="1792" w:type="dxa"/>
            <w:gridSpan w:val="3"/>
            <w:vMerge w:val="restart"/>
            <w:tcBorders>
              <w:top w:val="single" w:sz="4" w:space="0" w:color="auto"/>
              <w:left w:val="single" w:sz="4" w:space="0" w:color="auto"/>
              <w:bottom w:val="single" w:sz="4" w:space="0" w:color="auto"/>
              <w:right w:val="single" w:sz="4" w:space="0" w:color="auto"/>
            </w:tcBorders>
            <w:vAlign w:val="center"/>
          </w:tcPr>
          <w:p w14:paraId="0596B6BC" w14:textId="77777777" w:rsidR="00A979D9" w:rsidRPr="000717E1" w:rsidRDefault="00A979D9" w:rsidP="00AF4573">
            <w:pPr>
              <w:pStyle w:val="In-tableHeading"/>
              <w:jc w:val="center"/>
            </w:pPr>
            <w:r w:rsidRPr="000717E1">
              <w:t>Mean difference:</w:t>
            </w:r>
          </w:p>
          <w:p w14:paraId="01ED0C8A" w14:textId="77777777" w:rsidR="00A979D9" w:rsidRPr="000717E1" w:rsidRDefault="00A979D9" w:rsidP="00AF4573">
            <w:pPr>
              <w:pStyle w:val="In-tableHeading"/>
              <w:jc w:val="center"/>
            </w:pPr>
            <w:r w:rsidRPr="000717E1">
              <w:t>dupilumab vs. placebo</w:t>
            </w:r>
          </w:p>
          <w:p w14:paraId="7E06AD1F" w14:textId="77777777" w:rsidR="00A979D9" w:rsidRPr="000717E1" w:rsidRDefault="00A979D9" w:rsidP="00AF4573">
            <w:pPr>
              <w:pStyle w:val="In-tableHeading"/>
              <w:jc w:val="center"/>
            </w:pPr>
            <w:r w:rsidRPr="000717E1">
              <w:t>(95% CI)</w:t>
            </w:r>
          </w:p>
        </w:tc>
      </w:tr>
      <w:tr w:rsidR="00A979D9" w:rsidRPr="000717E1" w14:paraId="6C8EC65E" w14:textId="77777777" w:rsidTr="00A3666F">
        <w:trPr>
          <w:trHeight w:val="225"/>
        </w:trPr>
        <w:tc>
          <w:tcPr>
            <w:tcW w:w="1142" w:type="dxa"/>
            <w:vMerge/>
            <w:tcBorders>
              <w:top w:val="single" w:sz="4" w:space="0" w:color="auto"/>
              <w:left w:val="single" w:sz="4" w:space="0" w:color="auto"/>
              <w:bottom w:val="single" w:sz="4" w:space="0" w:color="auto"/>
              <w:right w:val="single" w:sz="4" w:space="0" w:color="auto"/>
            </w:tcBorders>
            <w:vAlign w:val="center"/>
          </w:tcPr>
          <w:p w14:paraId="01FCAF7F" w14:textId="77777777" w:rsidR="00A979D9" w:rsidRPr="000717E1" w:rsidRDefault="00A979D9">
            <w:pPr>
              <w:keepNext/>
              <w:keepLines/>
              <w:rPr>
                <w:rFonts w:ascii="Arial Narrow" w:hAnsi="Arial Narrow"/>
                <w:color w:val="000000"/>
                <w:sz w:val="20"/>
                <w:szCs w:val="20"/>
              </w:rPr>
            </w:pPr>
          </w:p>
        </w:tc>
        <w:tc>
          <w:tcPr>
            <w:tcW w:w="1013" w:type="dxa"/>
            <w:gridSpan w:val="3"/>
            <w:tcBorders>
              <w:top w:val="single" w:sz="4" w:space="0" w:color="auto"/>
              <w:left w:val="single" w:sz="4" w:space="0" w:color="auto"/>
              <w:bottom w:val="single" w:sz="4" w:space="0" w:color="auto"/>
              <w:right w:val="single" w:sz="4" w:space="0" w:color="auto"/>
            </w:tcBorders>
            <w:vAlign w:val="center"/>
          </w:tcPr>
          <w:p w14:paraId="55E53B34" w14:textId="77777777" w:rsidR="00A979D9" w:rsidRPr="000717E1" w:rsidRDefault="00A979D9" w:rsidP="00AF4573">
            <w:pPr>
              <w:pStyle w:val="In-tableHeading"/>
              <w:jc w:val="center"/>
            </w:pPr>
            <w:r w:rsidRPr="000717E1">
              <w:t>N</w:t>
            </w:r>
          </w:p>
        </w:tc>
        <w:tc>
          <w:tcPr>
            <w:tcW w:w="1014" w:type="dxa"/>
            <w:gridSpan w:val="2"/>
            <w:tcBorders>
              <w:top w:val="single" w:sz="4" w:space="0" w:color="auto"/>
              <w:left w:val="single" w:sz="4" w:space="0" w:color="auto"/>
              <w:bottom w:val="single" w:sz="4" w:space="0" w:color="auto"/>
              <w:right w:val="single" w:sz="4" w:space="0" w:color="auto"/>
            </w:tcBorders>
            <w:vAlign w:val="center"/>
          </w:tcPr>
          <w:p w14:paraId="561D3034" w14:textId="77777777" w:rsidR="00A979D9" w:rsidRPr="000717E1" w:rsidRDefault="00A979D9" w:rsidP="00AF4573">
            <w:pPr>
              <w:pStyle w:val="In-tableHeading"/>
              <w:jc w:val="center"/>
            </w:pPr>
            <w:r w:rsidRPr="000717E1">
              <w:t>LS mean ∆ baseline SGRQ total score</w:t>
            </w:r>
          </w:p>
        </w:tc>
        <w:tc>
          <w:tcPr>
            <w:tcW w:w="1014" w:type="dxa"/>
            <w:gridSpan w:val="2"/>
            <w:tcBorders>
              <w:top w:val="single" w:sz="4" w:space="0" w:color="auto"/>
              <w:left w:val="single" w:sz="4" w:space="0" w:color="auto"/>
              <w:bottom w:val="single" w:sz="4" w:space="0" w:color="auto"/>
              <w:right w:val="single" w:sz="4" w:space="0" w:color="auto"/>
            </w:tcBorders>
            <w:vAlign w:val="center"/>
          </w:tcPr>
          <w:p w14:paraId="38CF2477" w14:textId="77777777" w:rsidR="00A979D9" w:rsidRPr="000717E1" w:rsidRDefault="00A979D9" w:rsidP="00AF4573">
            <w:pPr>
              <w:pStyle w:val="In-tableHeading"/>
              <w:jc w:val="center"/>
            </w:pPr>
            <w:r w:rsidRPr="000717E1">
              <w:t>SE</w:t>
            </w:r>
          </w:p>
        </w:tc>
        <w:tc>
          <w:tcPr>
            <w:tcW w:w="1014" w:type="dxa"/>
            <w:gridSpan w:val="2"/>
            <w:tcBorders>
              <w:top w:val="single" w:sz="4" w:space="0" w:color="auto"/>
              <w:left w:val="single" w:sz="4" w:space="0" w:color="auto"/>
              <w:bottom w:val="single" w:sz="4" w:space="0" w:color="auto"/>
              <w:right w:val="single" w:sz="4" w:space="0" w:color="auto"/>
            </w:tcBorders>
            <w:vAlign w:val="center"/>
          </w:tcPr>
          <w:p w14:paraId="7DB6C072" w14:textId="77777777" w:rsidR="00A979D9" w:rsidRPr="000717E1" w:rsidRDefault="00A979D9" w:rsidP="00AF4573">
            <w:pPr>
              <w:pStyle w:val="In-tableHeading"/>
              <w:jc w:val="center"/>
            </w:pPr>
            <w:r w:rsidRPr="000717E1">
              <w:t>N</w:t>
            </w:r>
          </w:p>
        </w:tc>
        <w:tc>
          <w:tcPr>
            <w:tcW w:w="1014" w:type="dxa"/>
            <w:tcBorders>
              <w:top w:val="single" w:sz="4" w:space="0" w:color="auto"/>
              <w:left w:val="single" w:sz="4" w:space="0" w:color="auto"/>
              <w:bottom w:val="single" w:sz="4" w:space="0" w:color="auto"/>
              <w:right w:val="single" w:sz="4" w:space="0" w:color="auto"/>
            </w:tcBorders>
            <w:vAlign w:val="center"/>
          </w:tcPr>
          <w:p w14:paraId="6701BFBC" w14:textId="77777777" w:rsidR="00A979D9" w:rsidRPr="000717E1" w:rsidRDefault="00A979D9" w:rsidP="00AF4573">
            <w:pPr>
              <w:pStyle w:val="In-tableHeading"/>
              <w:jc w:val="center"/>
            </w:pPr>
            <w:r w:rsidRPr="000717E1">
              <w:t>LS mean ∆ baseline SGRQ total score</w:t>
            </w:r>
          </w:p>
        </w:tc>
        <w:tc>
          <w:tcPr>
            <w:tcW w:w="1014" w:type="dxa"/>
            <w:gridSpan w:val="3"/>
            <w:tcBorders>
              <w:top w:val="single" w:sz="4" w:space="0" w:color="auto"/>
              <w:left w:val="single" w:sz="4" w:space="0" w:color="auto"/>
              <w:bottom w:val="single" w:sz="4" w:space="0" w:color="auto"/>
              <w:right w:val="single" w:sz="4" w:space="0" w:color="auto"/>
            </w:tcBorders>
            <w:vAlign w:val="center"/>
          </w:tcPr>
          <w:p w14:paraId="492585E8" w14:textId="77777777" w:rsidR="00A979D9" w:rsidRPr="000717E1" w:rsidRDefault="00A979D9" w:rsidP="00AF4573">
            <w:pPr>
              <w:pStyle w:val="In-tableHeading"/>
              <w:jc w:val="center"/>
            </w:pPr>
            <w:r w:rsidRPr="000717E1">
              <w:t>SE</w:t>
            </w:r>
          </w:p>
        </w:tc>
        <w:tc>
          <w:tcPr>
            <w:tcW w:w="1792" w:type="dxa"/>
            <w:gridSpan w:val="3"/>
            <w:vMerge/>
            <w:tcBorders>
              <w:top w:val="single" w:sz="4" w:space="0" w:color="auto"/>
              <w:left w:val="single" w:sz="4" w:space="0" w:color="auto"/>
              <w:bottom w:val="single" w:sz="4" w:space="0" w:color="auto"/>
              <w:right w:val="single" w:sz="4" w:space="0" w:color="auto"/>
            </w:tcBorders>
            <w:vAlign w:val="center"/>
          </w:tcPr>
          <w:p w14:paraId="3F8F03BA" w14:textId="77777777" w:rsidR="00A979D9" w:rsidRPr="000717E1" w:rsidRDefault="00A979D9">
            <w:pPr>
              <w:keepNext/>
              <w:keepLines/>
              <w:jc w:val="center"/>
              <w:rPr>
                <w:rFonts w:ascii="Arial Narrow" w:hAnsi="Arial Narrow"/>
                <w:b/>
                <w:sz w:val="20"/>
                <w:szCs w:val="20"/>
              </w:rPr>
            </w:pPr>
          </w:p>
        </w:tc>
      </w:tr>
      <w:tr w:rsidR="00A979D9" w:rsidRPr="000717E1" w14:paraId="540A8F2C" w14:textId="77777777" w:rsidTr="00A3666F">
        <w:tc>
          <w:tcPr>
            <w:tcW w:w="1142" w:type="dxa"/>
            <w:tcBorders>
              <w:top w:val="single" w:sz="4" w:space="0" w:color="auto"/>
              <w:left w:val="single" w:sz="4" w:space="0" w:color="auto"/>
              <w:bottom w:val="double" w:sz="4" w:space="0" w:color="auto"/>
              <w:right w:val="single" w:sz="4" w:space="0" w:color="auto"/>
            </w:tcBorders>
            <w:vAlign w:val="center"/>
          </w:tcPr>
          <w:p w14:paraId="3C5CEF26" w14:textId="77777777" w:rsidR="00A979D9" w:rsidRPr="000717E1" w:rsidRDefault="00A979D9">
            <w:pPr>
              <w:pStyle w:val="TableText0"/>
              <w:rPr>
                <w:sz w:val="20"/>
                <w:szCs w:val="20"/>
              </w:rPr>
            </w:pPr>
            <w:r w:rsidRPr="000717E1">
              <w:rPr>
                <w:sz w:val="20"/>
                <w:szCs w:val="20"/>
              </w:rPr>
              <w:t>Pooled</w:t>
            </w:r>
          </w:p>
        </w:tc>
        <w:tc>
          <w:tcPr>
            <w:tcW w:w="1013" w:type="dxa"/>
            <w:gridSpan w:val="3"/>
            <w:tcBorders>
              <w:top w:val="single" w:sz="4" w:space="0" w:color="auto"/>
              <w:left w:val="single" w:sz="4" w:space="0" w:color="auto"/>
              <w:bottom w:val="double" w:sz="4" w:space="0" w:color="auto"/>
              <w:right w:val="single" w:sz="4" w:space="0" w:color="auto"/>
            </w:tcBorders>
            <w:vAlign w:val="center"/>
          </w:tcPr>
          <w:p w14:paraId="544F46F7" w14:textId="77777777" w:rsidR="00A979D9" w:rsidRPr="000717E1" w:rsidRDefault="00A979D9">
            <w:pPr>
              <w:pStyle w:val="TableText0"/>
              <w:jc w:val="center"/>
              <w:rPr>
                <w:sz w:val="20"/>
                <w:szCs w:val="20"/>
              </w:rPr>
            </w:pPr>
            <w:r w:rsidRPr="000717E1">
              <w:rPr>
                <w:sz w:val="20"/>
                <w:szCs w:val="20"/>
              </w:rPr>
              <w:t>830</w:t>
            </w:r>
          </w:p>
        </w:tc>
        <w:tc>
          <w:tcPr>
            <w:tcW w:w="1014" w:type="dxa"/>
            <w:gridSpan w:val="2"/>
            <w:tcBorders>
              <w:top w:val="single" w:sz="4" w:space="0" w:color="auto"/>
              <w:left w:val="single" w:sz="4" w:space="0" w:color="auto"/>
              <w:bottom w:val="double" w:sz="4" w:space="0" w:color="auto"/>
              <w:right w:val="single" w:sz="4" w:space="0" w:color="auto"/>
            </w:tcBorders>
            <w:vAlign w:val="center"/>
          </w:tcPr>
          <w:p w14:paraId="00625A7C" w14:textId="5935EBFF" w:rsidR="00A979D9" w:rsidRPr="000717E1" w:rsidRDefault="00A979D9">
            <w:pPr>
              <w:pStyle w:val="TableText0"/>
              <w:jc w:val="center"/>
              <w:rPr>
                <w:sz w:val="20"/>
                <w:szCs w:val="20"/>
              </w:rPr>
            </w:pPr>
            <w:r w:rsidRPr="000717E1">
              <w:rPr>
                <w:sz w:val="20"/>
                <w:szCs w:val="20"/>
              </w:rPr>
              <w:t>-9.95</w:t>
            </w:r>
          </w:p>
        </w:tc>
        <w:tc>
          <w:tcPr>
            <w:tcW w:w="1014" w:type="dxa"/>
            <w:gridSpan w:val="2"/>
            <w:tcBorders>
              <w:top w:val="single" w:sz="4" w:space="0" w:color="auto"/>
              <w:left w:val="single" w:sz="4" w:space="0" w:color="auto"/>
              <w:bottom w:val="double" w:sz="4" w:space="0" w:color="auto"/>
              <w:right w:val="single" w:sz="4" w:space="0" w:color="auto"/>
            </w:tcBorders>
            <w:vAlign w:val="center"/>
          </w:tcPr>
          <w:p w14:paraId="5835F7F9" w14:textId="04AB86DB" w:rsidR="00A979D9" w:rsidRPr="000717E1" w:rsidRDefault="00A979D9">
            <w:pPr>
              <w:pStyle w:val="TableText0"/>
              <w:jc w:val="center"/>
              <w:rPr>
                <w:sz w:val="20"/>
                <w:szCs w:val="20"/>
              </w:rPr>
            </w:pPr>
            <w:r w:rsidRPr="000717E1">
              <w:rPr>
                <w:sz w:val="20"/>
                <w:szCs w:val="20"/>
              </w:rPr>
              <w:t>0.6</w:t>
            </w:r>
            <w:r w:rsidR="005C6E11" w:rsidRPr="000717E1">
              <w:rPr>
                <w:sz w:val="20"/>
                <w:szCs w:val="20"/>
              </w:rPr>
              <w:t>4</w:t>
            </w:r>
          </w:p>
        </w:tc>
        <w:tc>
          <w:tcPr>
            <w:tcW w:w="1014" w:type="dxa"/>
            <w:gridSpan w:val="2"/>
            <w:tcBorders>
              <w:top w:val="single" w:sz="4" w:space="0" w:color="auto"/>
              <w:left w:val="single" w:sz="4" w:space="0" w:color="auto"/>
              <w:bottom w:val="double" w:sz="4" w:space="0" w:color="auto"/>
              <w:right w:val="single" w:sz="4" w:space="0" w:color="auto"/>
            </w:tcBorders>
            <w:vAlign w:val="center"/>
          </w:tcPr>
          <w:p w14:paraId="2976FCC0" w14:textId="77777777" w:rsidR="00A979D9" w:rsidRPr="000717E1" w:rsidRDefault="00A979D9">
            <w:pPr>
              <w:pStyle w:val="TableText0"/>
              <w:jc w:val="center"/>
              <w:rPr>
                <w:sz w:val="20"/>
                <w:szCs w:val="20"/>
              </w:rPr>
            </w:pPr>
            <w:r w:rsidRPr="000717E1">
              <w:rPr>
                <w:sz w:val="20"/>
                <w:szCs w:val="20"/>
              </w:rPr>
              <w:t>830</w:t>
            </w:r>
          </w:p>
        </w:tc>
        <w:tc>
          <w:tcPr>
            <w:tcW w:w="1014" w:type="dxa"/>
            <w:tcBorders>
              <w:top w:val="single" w:sz="4" w:space="0" w:color="auto"/>
              <w:left w:val="single" w:sz="4" w:space="0" w:color="auto"/>
              <w:bottom w:val="double" w:sz="4" w:space="0" w:color="auto"/>
              <w:right w:val="single" w:sz="4" w:space="0" w:color="auto"/>
            </w:tcBorders>
            <w:vAlign w:val="center"/>
          </w:tcPr>
          <w:p w14:paraId="54CB2C30" w14:textId="436144A5" w:rsidR="00A979D9" w:rsidRPr="000717E1" w:rsidRDefault="00A979D9">
            <w:pPr>
              <w:pStyle w:val="TableText0"/>
              <w:jc w:val="center"/>
              <w:rPr>
                <w:sz w:val="20"/>
                <w:szCs w:val="20"/>
              </w:rPr>
            </w:pPr>
            <w:r w:rsidRPr="000717E1">
              <w:rPr>
                <w:sz w:val="20"/>
                <w:szCs w:val="20"/>
              </w:rPr>
              <w:t>-6.5</w:t>
            </w:r>
            <w:r w:rsidR="005C6E11" w:rsidRPr="000717E1">
              <w:rPr>
                <w:sz w:val="20"/>
                <w:szCs w:val="20"/>
              </w:rPr>
              <w:t>8</w:t>
            </w:r>
          </w:p>
        </w:tc>
        <w:tc>
          <w:tcPr>
            <w:tcW w:w="1014" w:type="dxa"/>
            <w:gridSpan w:val="3"/>
            <w:tcBorders>
              <w:top w:val="single" w:sz="4" w:space="0" w:color="auto"/>
              <w:left w:val="single" w:sz="4" w:space="0" w:color="auto"/>
              <w:bottom w:val="double" w:sz="4" w:space="0" w:color="auto"/>
              <w:right w:val="single" w:sz="4" w:space="0" w:color="auto"/>
            </w:tcBorders>
            <w:vAlign w:val="center"/>
          </w:tcPr>
          <w:p w14:paraId="116B107F" w14:textId="0593338E" w:rsidR="00A979D9" w:rsidRPr="000717E1" w:rsidRDefault="00A979D9">
            <w:pPr>
              <w:pStyle w:val="TableText0"/>
              <w:jc w:val="center"/>
              <w:rPr>
                <w:sz w:val="20"/>
                <w:szCs w:val="20"/>
              </w:rPr>
            </w:pPr>
            <w:r w:rsidRPr="000717E1">
              <w:rPr>
                <w:sz w:val="20"/>
                <w:szCs w:val="20"/>
              </w:rPr>
              <w:t>0.64</w:t>
            </w:r>
          </w:p>
        </w:tc>
        <w:tc>
          <w:tcPr>
            <w:tcW w:w="1792" w:type="dxa"/>
            <w:gridSpan w:val="3"/>
            <w:tcBorders>
              <w:top w:val="single" w:sz="4" w:space="0" w:color="auto"/>
              <w:left w:val="single" w:sz="4" w:space="0" w:color="auto"/>
              <w:bottom w:val="double" w:sz="4" w:space="0" w:color="auto"/>
              <w:right w:val="single" w:sz="4" w:space="0" w:color="auto"/>
            </w:tcBorders>
            <w:vAlign w:val="center"/>
          </w:tcPr>
          <w:p w14:paraId="5364908F" w14:textId="77777777" w:rsidR="00A979D9" w:rsidRPr="000717E1" w:rsidRDefault="00A979D9">
            <w:pPr>
              <w:pStyle w:val="TableText0"/>
              <w:jc w:val="center"/>
              <w:rPr>
                <w:sz w:val="20"/>
                <w:szCs w:val="20"/>
              </w:rPr>
            </w:pPr>
            <w:r w:rsidRPr="000717E1">
              <w:rPr>
                <w:sz w:val="20"/>
                <w:szCs w:val="20"/>
              </w:rPr>
              <w:t>-3.366 (-4.95 to -1.78)</w:t>
            </w:r>
          </w:p>
        </w:tc>
      </w:tr>
      <w:tr w:rsidR="003C3FE6" w:rsidRPr="000717E1" w14:paraId="6876699F" w14:textId="77777777" w:rsidTr="00A3666F">
        <w:tc>
          <w:tcPr>
            <w:tcW w:w="9017" w:type="dxa"/>
            <w:gridSpan w:val="17"/>
            <w:tcBorders>
              <w:top w:val="single" w:sz="4" w:space="0" w:color="auto"/>
              <w:left w:val="single" w:sz="4" w:space="0" w:color="auto"/>
              <w:bottom w:val="double" w:sz="4" w:space="0" w:color="auto"/>
              <w:right w:val="single" w:sz="4" w:space="0" w:color="auto"/>
            </w:tcBorders>
            <w:vAlign w:val="center"/>
          </w:tcPr>
          <w:p w14:paraId="5F76B7CF" w14:textId="13E85117" w:rsidR="003C3FE6" w:rsidRPr="000717E1" w:rsidRDefault="003C3FE6" w:rsidP="00334AFB">
            <w:pPr>
              <w:pStyle w:val="In-tableHeading"/>
            </w:pPr>
            <w:r w:rsidRPr="000717E1">
              <w:t>Change from baseline in pre-BD FEV</w:t>
            </w:r>
            <w:r w:rsidRPr="000717E1">
              <w:rPr>
                <w:vertAlign w:val="subscript"/>
              </w:rPr>
              <w:t>1</w:t>
            </w:r>
            <w:r w:rsidRPr="000717E1">
              <w:t xml:space="preserve"> at Week 12</w:t>
            </w:r>
          </w:p>
        </w:tc>
      </w:tr>
      <w:tr w:rsidR="003C3FE6" w:rsidRPr="000717E1" w14:paraId="1E8E04E9" w14:textId="77777777" w:rsidTr="00A3666F">
        <w:tc>
          <w:tcPr>
            <w:tcW w:w="1142" w:type="dxa"/>
            <w:tcBorders>
              <w:top w:val="single" w:sz="4" w:space="0" w:color="auto"/>
              <w:left w:val="single" w:sz="4" w:space="0" w:color="auto"/>
              <w:bottom w:val="double" w:sz="4" w:space="0" w:color="auto"/>
              <w:right w:val="single" w:sz="4" w:space="0" w:color="auto"/>
            </w:tcBorders>
            <w:vAlign w:val="center"/>
          </w:tcPr>
          <w:p w14:paraId="5F6887F6" w14:textId="77777777" w:rsidR="003C3FE6" w:rsidRPr="000717E1" w:rsidRDefault="003C3FE6" w:rsidP="003C3FE6">
            <w:pPr>
              <w:pStyle w:val="TableText0"/>
              <w:rPr>
                <w:sz w:val="20"/>
                <w:szCs w:val="20"/>
              </w:rPr>
            </w:pPr>
          </w:p>
        </w:tc>
        <w:tc>
          <w:tcPr>
            <w:tcW w:w="3041" w:type="dxa"/>
            <w:gridSpan w:val="7"/>
            <w:tcBorders>
              <w:top w:val="single" w:sz="4" w:space="0" w:color="auto"/>
              <w:left w:val="single" w:sz="4" w:space="0" w:color="auto"/>
              <w:bottom w:val="double" w:sz="4" w:space="0" w:color="auto"/>
              <w:right w:val="single" w:sz="4" w:space="0" w:color="auto"/>
            </w:tcBorders>
            <w:vAlign w:val="center"/>
          </w:tcPr>
          <w:p w14:paraId="0C81389A" w14:textId="0746FFD3" w:rsidR="003C3FE6" w:rsidRPr="000717E1" w:rsidRDefault="003C3FE6" w:rsidP="003C3FE6">
            <w:pPr>
              <w:pStyle w:val="TableText0"/>
              <w:jc w:val="center"/>
              <w:rPr>
                <w:b/>
                <w:bCs/>
                <w:sz w:val="20"/>
                <w:szCs w:val="20"/>
              </w:rPr>
            </w:pPr>
            <w:r w:rsidRPr="000717E1">
              <w:rPr>
                <w:b/>
                <w:bCs/>
                <w:sz w:val="20"/>
                <w:szCs w:val="20"/>
              </w:rPr>
              <w:t>Dupilumab</w:t>
            </w:r>
          </w:p>
        </w:tc>
        <w:tc>
          <w:tcPr>
            <w:tcW w:w="3042" w:type="dxa"/>
            <w:gridSpan w:val="6"/>
            <w:tcBorders>
              <w:top w:val="single" w:sz="4" w:space="0" w:color="auto"/>
              <w:left w:val="single" w:sz="4" w:space="0" w:color="auto"/>
              <w:bottom w:val="double" w:sz="4" w:space="0" w:color="auto"/>
              <w:right w:val="single" w:sz="4" w:space="0" w:color="auto"/>
            </w:tcBorders>
            <w:vAlign w:val="center"/>
          </w:tcPr>
          <w:p w14:paraId="3B03232D" w14:textId="49D0FD38" w:rsidR="003C3FE6" w:rsidRPr="000717E1" w:rsidRDefault="003C3FE6" w:rsidP="003C3FE6">
            <w:pPr>
              <w:pStyle w:val="TableText0"/>
              <w:jc w:val="center"/>
              <w:rPr>
                <w:b/>
                <w:bCs/>
                <w:sz w:val="20"/>
                <w:szCs w:val="20"/>
              </w:rPr>
            </w:pPr>
            <w:r w:rsidRPr="000717E1">
              <w:rPr>
                <w:b/>
                <w:bCs/>
                <w:sz w:val="20"/>
                <w:szCs w:val="20"/>
              </w:rPr>
              <w:t>Placebo</w:t>
            </w:r>
          </w:p>
        </w:tc>
        <w:tc>
          <w:tcPr>
            <w:tcW w:w="1792" w:type="dxa"/>
            <w:gridSpan w:val="3"/>
            <w:tcBorders>
              <w:top w:val="single" w:sz="4" w:space="0" w:color="auto"/>
              <w:left w:val="single" w:sz="4" w:space="0" w:color="auto"/>
              <w:bottom w:val="double" w:sz="4" w:space="0" w:color="auto"/>
              <w:right w:val="single" w:sz="4" w:space="0" w:color="auto"/>
            </w:tcBorders>
            <w:vAlign w:val="center"/>
          </w:tcPr>
          <w:p w14:paraId="02695928" w14:textId="77777777" w:rsidR="003C3FE6" w:rsidRPr="000717E1" w:rsidRDefault="003C3FE6" w:rsidP="003C3FE6">
            <w:pPr>
              <w:pStyle w:val="TableText0"/>
              <w:jc w:val="center"/>
              <w:rPr>
                <w:sz w:val="20"/>
                <w:szCs w:val="20"/>
              </w:rPr>
            </w:pPr>
          </w:p>
        </w:tc>
      </w:tr>
      <w:tr w:rsidR="003C3FE6" w:rsidRPr="000717E1" w14:paraId="3858C549" w14:textId="77777777" w:rsidTr="00A3666F">
        <w:tc>
          <w:tcPr>
            <w:tcW w:w="1142" w:type="dxa"/>
            <w:tcBorders>
              <w:top w:val="single" w:sz="4" w:space="0" w:color="auto"/>
              <w:left w:val="single" w:sz="4" w:space="0" w:color="auto"/>
              <w:bottom w:val="double" w:sz="4" w:space="0" w:color="auto"/>
              <w:right w:val="single" w:sz="4" w:space="0" w:color="auto"/>
            </w:tcBorders>
            <w:vAlign w:val="center"/>
          </w:tcPr>
          <w:p w14:paraId="1770415B" w14:textId="77777777" w:rsidR="003C3FE6" w:rsidRPr="000717E1" w:rsidRDefault="003C3FE6" w:rsidP="003C3FE6">
            <w:pPr>
              <w:pStyle w:val="TableText0"/>
              <w:rPr>
                <w:sz w:val="20"/>
                <w:szCs w:val="20"/>
              </w:rPr>
            </w:pPr>
          </w:p>
        </w:tc>
        <w:tc>
          <w:tcPr>
            <w:tcW w:w="1013" w:type="dxa"/>
            <w:gridSpan w:val="3"/>
            <w:tcBorders>
              <w:top w:val="single" w:sz="4" w:space="0" w:color="auto"/>
              <w:left w:val="single" w:sz="4" w:space="0" w:color="auto"/>
              <w:bottom w:val="double" w:sz="4" w:space="0" w:color="auto"/>
              <w:right w:val="single" w:sz="4" w:space="0" w:color="auto"/>
            </w:tcBorders>
            <w:vAlign w:val="center"/>
          </w:tcPr>
          <w:p w14:paraId="4887F1D0" w14:textId="38C790AB" w:rsidR="003C3FE6" w:rsidRPr="000717E1" w:rsidRDefault="003C3FE6" w:rsidP="003C3FE6">
            <w:pPr>
              <w:pStyle w:val="TableText0"/>
              <w:jc w:val="center"/>
              <w:rPr>
                <w:b/>
                <w:bCs/>
                <w:sz w:val="20"/>
                <w:szCs w:val="20"/>
              </w:rPr>
            </w:pPr>
            <w:r w:rsidRPr="000717E1">
              <w:rPr>
                <w:b/>
                <w:bCs/>
                <w:sz w:val="20"/>
                <w:szCs w:val="20"/>
              </w:rPr>
              <w:t>N</w:t>
            </w:r>
          </w:p>
        </w:tc>
        <w:tc>
          <w:tcPr>
            <w:tcW w:w="1014" w:type="dxa"/>
            <w:gridSpan w:val="2"/>
            <w:tcBorders>
              <w:top w:val="single" w:sz="4" w:space="0" w:color="auto"/>
              <w:left w:val="single" w:sz="4" w:space="0" w:color="auto"/>
              <w:bottom w:val="double" w:sz="4" w:space="0" w:color="auto"/>
              <w:right w:val="single" w:sz="4" w:space="0" w:color="auto"/>
            </w:tcBorders>
            <w:vAlign w:val="center"/>
          </w:tcPr>
          <w:p w14:paraId="2254836B" w14:textId="61694368" w:rsidR="003C3FE6" w:rsidRPr="000717E1" w:rsidRDefault="003C3FE6" w:rsidP="003C3FE6">
            <w:pPr>
              <w:pStyle w:val="TableText0"/>
              <w:jc w:val="center"/>
              <w:rPr>
                <w:b/>
                <w:bCs/>
                <w:sz w:val="20"/>
                <w:szCs w:val="20"/>
              </w:rPr>
            </w:pPr>
            <w:r w:rsidRPr="000717E1">
              <w:rPr>
                <w:b/>
                <w:bCs/>
                <w:sz w:val="20"/>
                <w:szCs w:val="20"/>
              </w:rPr>
              <w:t xml:space="preserve">LS mean ∆ baseline </w:t>
            </w:r>
            <w:r w:rsidRPr="000717E1">
              <w:rPr>
                <w:b/>
                <w:bCs/>
              </w:rPr>
              <w:t>pre-BD FEV</w:t>
            </w:r>
            <w:r w:rsidRPr="000717E1">
              <w:rPr>
                <w:b/>
                <w:bCs/>
                <w:vertAlign w:val="subscript"/>
              </w:rPr>
              <w:t>1</w:t>
            </w:r>
          </w:p>
        </w:tc>
        <w:tc>
          <w:tcPr>
            <w:tcW w:w="1014" w:type="dxa"/>
            <w:gridSpan w:val="2"/>
            <w:tcBorders>
              <w:top w:val="single" w:sz="4" w:space="0" w:color="auto"/>
              <w:left w:val="single" w:sz="4" w:space="0" w:color="auto"/>
              <w:bottom w:val="double" w:sz="4" w:space="0" w:color="auto"/>
              <w:right w:val="single" w:sz="4" w:space="0" w:color="auto"/>
            </w:tcBorders>
            <w:vAlign w:val="center"/>
          </w:tcPr>
          <w:p w14:paraId="1F4264F5" w14:textId="07417E21" w:rsidR="003C3FE6" w:rsidRPr="000717E1" w:rsidRDefault="003C3FE6" w:rsidP="003C3FE6">
            <w:pPr>
              <w:pStyle w:val="TableText0"/>
              <w:jc w:val="center"/>
              <w:rPr>
                <w:b/>
                <w:bCs/>
                <w:sz w:val="20"/>
                <w:szCs w:val="20"/>
              </w:rPr>
            </w:pPr>
            <w:r w:rsidRPr="000717E1">
              <w:rPr>
                <w:b/>
                <w:bCs/>
                <w:sz w:val="20"/>
                <w:szCs w:val="20"/>
              </w:rPr>
              <w:t>SE</w:t>
            </w:r>
          </w:p>
        </w:tc>
        <w:tc>
          <w:tcPr>
            <w:tcW w:w="1014" w:type="dxa"/>
            <w:gridSpan w:val="2"/>
            <w:tcBorders>
              <w:top w:val="single" w:sz="4" w:space="0" w:color="auto"/>
              <w:left w:val="single" w:sz="4" w:space="0" w:color="auto"/>
              <w:bottom w:val="double" w:sz="4" w:space="0" w:color="auto"/>
              <w:right w:val="single" w:sz="4" w:space="0" w:color="auto"/>
            </w:tcBorders>
            <w:vAlign w:val="center"/>
          </w:tcPr>
          <w:p w14:paraId="5127D09D" w14:textId="7690798C" w:rsidR="003C3FE6" w:rsidRPr="000717E1" w:rsidRDefault="003C3FE6" w:rsidP="003C3FE6">
            <w:pPr>
              <w:pStyle w:val="TableText0"/>
              <w:jc w:val="center"/>
              <w:rPr>
                <w:b/>
                <w:bCs/>
                <w:sz w:val="20"/>
                <w:szCs w:val="20"/>
              </w:rPr>
            </w:pPr>
            <w:r w:rsidRPr="000717E1">
              <w:rPr>
                <w:b/>
                <w:bCs/>
                <w:sz w:val="20"/>
                <w:szCs w:val="20"/>
              </w:rPr>
              <w:t>N</w:t>
            </w:r>
          </w:p>
        </w:tc>
        <w:tc>
          <w:tcPr>
            <w:tcW w:w="1014" w:type="dxa"/>
            <w:tcBorders>
              <w:top w:val="single" w:sz="4" w:space="0" w:color="auto"/>
              <w:left w:val="single" w:sz="4" w:space="0" w:color="auto"/>
              <w:bottom w:val="double" w:sz="4" w:space="0" w:color="auto"/>
              <w:right w:val="single" w:sz="4" w:space="0" w:color="auto"/>
            </w:tcBorders>
            <w:vAlign w:val="center"/>
          </w:tcPr>
          <w:p w14:paraId="7F7AE70E" w14:textId="0EDD9076" w:rsidR="003C3FE6" w:rsidRPr="000717E1" w:rsidRDefault="003C3FE6" w:rsidP="003C3FE6">
            <w:pPr>
              <w:pStyle w:val="TableText0"/>
              <w:jc w:val="center"/>
              <w:rPr>
                <w:b/>
                <w:bCs/>
                <w:sz w:val="20"/>
                <w:szCs w:val="20"/>
              </w:rPr>
            </w:pPr>
            <w:r w:rsidRPr="000717E1">
              <w:rPr>
                <w:b/>
                <w:bCs/>
                <w:sz w:val="20"/>
                <w:szCs w:val="20"/>
              </w:rPr>
              <w:t xml:space="preserve">LS mean ∆ baseline </w:t>
            </w:r>
            <w:r w:rsidRPr="000717E1">
              <w:rPr>
                <w:b/>
                <w:bCs/>
              </w:rPr>
              <w:t>pre-BD FEV</w:t>
            </w:r>
            <w:r w:rsidRPr="000717E1">
              <w:rPr>
                <w:b/>
                <w:bCs/>
                <w:vertAlign w:val="subscript"/>
              </w:rPr>
              <w:t>1</w:t>
            </w:r>
          </w:p>
        </w:tc>
        <w:tc>
          <w:tcPr>
            <w:tcW w:w="1014" w:type="dxa"/>
            <w:gridSpan w:val="3"/>
            <w:tcBorders>
              <w:top w:val="single" w:sz="4" w:space="0" w:color="auto"/>
              <w:left w:val="single" w:sz="4" w:space="0" w:color="auto"/>
              <w:bottom w:val="double" w:sz="4" w:space="0" w:color="auto"/>
              <w:right w:val="single" w:sz="4" w:space="0" w:color="auto"/>
            </w:tcBorders>
            <w:vAlign w:val="center"/>
          </w:tcPr>
          <w:p w14:paraId="28FF03FE" w14:textId="090E8BE8" w:rsidR="003C3FE6" w:rsidRPr="000717E1" w:rsidRDefault="003C3FE6" w:rsidP="003C3FE6">
            <w:pPr>
              <w:pStyle w:val="TableText0"/>
              <w:jc w:val="center"/>
              <w:rPr>
                <w:b/>
                <w:bCs/>
                <w:sz w:val="20"/>
                <w:szCs w:val="20"/>
              </w:rPr>
            </w:pPr>
            <w:r w:rsidRPr="000717E1">
              <w:rPr>
                <w:b/>
                <w:bCs/>
                <w:sz w:val="20"/>
                <w:szCs w:val="20"/>
              </w:rPr>
              <w:t>SE</w:t>
            </w:r>
          </w:p>
        </w:tc>
        <w:tc>
          <w:tcPr>
            <w:tcW w:w="1792" w:type="dxa"/>
            <w:gridSpan w:val="3"/>
            <w:tcBorders>
              <w:top w:val="single" w:sz="4" w:space="0" w:color="auto"/>
              <w:left w:val="single" w:sz="4" w:space="0" w:color="auto"/>
              <w:bottom w:val="double" w:sz="4" w:space="0" w:color="auto"/>
              <w:right w:val="single" w:sz="4" w:space="0" w:color="auto"/>
            </w:tcBorders>
            <w:vAlign w:val="center"/>
          </w:tcPr>
          <w:p w14:paraId="56E4FBCF" w14:textId="77777777" w:rsidR="003C3FE6" w:rsidRPr="000717E1" w:rsidRDefault="003C3FE6" w:rsidP="00AF4573">
            <w:pPr>
              <w:pStyle w:val="In-tableHeading"/>
              <w:jc w:val="center"/>
            </w:pPr>
            <w:r w:rsidRPr="000717E1">
              <w:t>Mean difference:</w:t>
            </w:r>
          </w:p>
          <w:p w14:paraId="299D16E2" w14:textId="77777777" w:rsidR="003C3FE6" w:rsidRPr="000717E1" w:rsidRDefault="003C3FE6" w:rsidP="00AF4573">
            <w:pPr>
              <w:pStyle w:val="In-tableHeading"/>
              <w:jc w:val="center"/>
            </w:pPr>
            <w:r w:rsidRPr="000717E1">
              <w:t>dupilumab vs. placebo</w:t>
            </w:r>
          </w:p>
          <w:p w14:paraId="5A48DD25" w14:textId="0A83980C" w:rsidR="003C3FE6" w:rsidRPr="000717E1" w:rsidRDefault="003C3FE6" w:rsidP="003C3FE6">
            <w:pPr>
              <w:pStyle w:val="TableText0"/>
              <w:jc w:val="center"/>
              <w:rPr>
                <w:b/>
                <w:bCs/>
                <w:sz w:val="20"/>
                <w:szCs w:val="20"/>
              </w:rPr>
            </w:pPr>
            <w:r w:rsidRPr="000717E1">
              <w:rPr>
                <w:b/>
                <w:bCs/>
                <w:sz w:val="20"/>
                <w:szCs w:val="20"/>
              </w:rPr>
              <w:t>(95% CI)</w:t>
            </w:r>
          </w:p>
        </w:tc>
      </w:tr>
      <w:tr w:rsidR="003C3FE6" w:rsidRPr="000717E1" w14:paraId="17E0B3FD" w14:textId="77777777" w:rsidTr="00A3666F">
        <w:tc>
          <w:tcPr>
            <w:tcW w:w="1142" w:type="dxa"/>
            <w:tcBorders>
              <w:top w:val="single" w:sz="4" w:space="0" w:color="auto"/>
              <w:left w:val="single" w:sz="4" w:space="0" w:color="auto"/>
              <w:bottom w:val="double" w:sz="4" w:space="0" w:color="auto"/>
              <w:right w:val="single" w:sz="4" w:space="0" w:color="auto"/>
            </w:tcBorders>
            <w:vAlign w:val="center"/>
          </w:tcPr>
          <w:p w14:paraId="40954A20" w14:textId="4B1BF6AB" w:rsidR="003C3FE6" w:rsidRPr="000717E1" w:rsidRDefault="003C3FE6" w:rsidP="003C3FE6">
            <w:pPr>
              <w:pStyle w:val="TableText0"/>
              <w:rPr>
                <w:sz w:val="20"/>
                <w:szCs w:val="20"/>
              </w:rPr>
            </w:pPr>
            <w:r w:rsidRPr="000717E1">
              <w:rPr>
                <w:sz w:val="20"/>
                <w:szCs w:val="20"/>
              </w:rPr>
              <w:t>Pooled</w:t>
            </w:r>
          </w:p>
        </w:tc>
        <w:tc>
          <w:tcPr>
            <w:tcW w:w="1013" w:type="dxa"/>
            <w:gridSpan w:val="3"/>
            <w:tcBorders>
              <w:top w:val="single" w:sz="4" w:space="0" w:color="auto"/>
              <w:left w:val="single" w:sz="4" w:space="0" w:color="auto"/>
              <w:bottom w:val="double" w:sz="4" w:space="0" w:color="auto"/>
              <w:right w:val="single" w:sz="4" w:space="0" w:color="auto"/>
            </w:tcBorders>
            <w:vAlign w:val="center"/>
          </w:tcPr>
          <w:p w14:paraId="3A4987D7" w14:textId="038A3EF6" w:rsidR="003C3FE6" w:rsidRPr="000717E1" w:rsidRDefault="003C3FE6" w:rsidP="003C3FE6">
            <w:pPr>
              <w:pStyle w:val="TableText0"/>
              <w:jc w:val="center"/>
              <w:rPr>
                <w:sz w:val="20"/>
                <w:szCs w:val="20"/>
              </w:rPr>
            </w:pPr>
            <w:r w:rsidRPr="000717E1">
              <w:rPr>
                <w:sz w:val="20"/>
                <w:szCs w:val="20"/>
              </w:rPr>
              <w:t>898</w:t>
            </w:r>
          </w:p>
        </w:tc>
        <w:tc>
          <w:tcPr>
            <w:tcW w:w="1014" w:type="dxa"/>
            <w:gridSpan w:val="2"/>
            <w:tcBorders>
              <w:top w:val="single" w:sz="4" w:space="0" w:color="auto"/>
              <w:left w:val="single" w:sz="4" w:space="0" w:color="auto"/>
              <w:bottom w:val="double" w:sz="4" w:space="0" w:color="auto"/>
              <w:right w:val="single" w:sz="4" w:space="0" w:color="auto"/>
            </w:tcBorders>
            <w:vAlign w:val="center"/>
          </w:tcPr>
          <w:p w14:paraId="31ED1142" w14:textId="447E6822" w:rsidR="003C3FE6" w:rsidRPr="000717E1" w:rsidRDefault="003C3FE6" w:rsidP="003C3FE6">
            <w:pPr>
              <w:pStyle w:val="TableText0"/>
              <w:jc w:val="center"/>
              <w:rPr>
                <w:sz w:val="20"/>
                <w:szCs w:val="20"/>
              </w:rPr>
            </w:pPr>
            <w:r w:rsidRPr="000717E1">
              <w:rPr>
                <w:sz w:val="20"/>
                <w:szCs w:val="20"/>
              </w:rPr>
              <w:t>0.147</w:t>
            </w:r>
          </w:p>
        </w:tc>
        <w:tc>
          <w:tcPr>
            <w:tcW w:w="1014" w:type="dxa"/>
            <w:gridSpan w:val="2"/>
            <w:tcBorders>
              <w:top w:val="single" w:sz="4" w:space="0" w:color="auto"/>
              <w:left w:val="single" w:sz="4" w:space="0" w:color="auto"/>
              <w:bottom w:val="double" w:sz="4" w:space="0" w:color="auto"/>
              <w:right w:val="single" w:sz="4" w:space="0" w:color="auto"/>
            </w:tcBorders>
            <w:vAlign w:val="center"/>
          </w:tcPr>
          <w:p w14:paraId="6EBBD5C2" w14:textId="41F94039" w:rsidR="003C3FE6" w:rsidRPr="000717E1" w:rsidRDefault="003C3FE6" w:rsidP="003C3FE6">
            <w:pPr>
              <w:pStyle w:val="TableText0"/>
              <w:jc w:val="center"/>
              <w:rPr>
                <w:sz w:val="20"/>
                <w:szCs w:val="20"/>
              </w:rPr>
            </w:pPr>
            <w:r w:rsidRPr="000717E1">
              <w:rPr>
                <w:sz w:val="20"/>
                <w:szCs w:val="20"/>
              </w:rPr>
              <w:t>(0.01)</w:t>
            </w:r>
          </w:p>
        </w:tc>
        <w:tc>
          <w:tcPr>
            <w:tcW w:w="1014" w:type="dxa"/>
            <w:gridSpan w:val="2"/>
            <w:tcBorders>
              <w:top w:val="single" w:sz="4" w:space="0" w:color="auto"/>
              <w:left w:val="single" w:sz="4" w:space="0" w:color="auto"/>
              <w:bottom w:val="double" w:sz="4" w:space="0" w:color="auto"/>
              <w:right w:val="single" w:sz="4" w:space="0" w:color="auto"/>
            </w:tcBorders>
            <w:vAlign w:val="center"/>
          </w:tcPr>
          <w:p w14:paraId="370469F0" w14:textId="42EC78E4" w:rsidR="003C3FE6" w:rsidRPr="000717E1" w:rsidRDefault="003C3FE6" w:rsidP="003C3FE6">
            <w:pPr>
              <w:pStyle w:val="TableText0"/>
              <w:jc w:val="center"/>
              <w:rPr>
                <w:sz w:val="20"/>
                <w:szCs w:val="20"/>
              </w:rPr>
            </w:pPr>
            <w:r w:rsidRPr="000717E1">
              <w:rPr>
                <w:sz w:val="20"/>
                <w:szCs w:val="20"/>
              </w:rPr>
              <w:t>883</w:t>
            </w:r>
          </w:p>
        </w:tc>
        <w:tc>
          <w:tcPr>
            <w:tcW w:w="1014" w:type="dxa"/>
            <w:tcBorders>
              <w:top w:val="single" w:sz="4" w:space="0" w:color="auto"/>
              <w:left w:val="single" w:sz="4" w:space="0" w:color="auto"/>
              <w:bottom w:val="double" w:sz="4" w:space="0" w:color="auto"/>
              <w:right w:val="single" w:sz="4" w:space="0" w:color="auto"/>
            </w:tcBorders>
            <w:vAlign w:val="center"/>
          </w:tcPr>
          <w:p w14:paraId="3F60FCC5" w14:textId="7FF93CD9" w:rsidR="003C3FE6" w:rsidRPr="000717E1" w:rsidRDefault="003C3FE6" w:rsidP="003C3FE6">
            <w:pPr>
              <w:pStyle w:val="TableText0"/>
              <w:jc w:val="center"/>
              <w:rPr>
                <w:sz w:val="20"/>
                <w:szCs w:val="20"/>
              </w:rPr>
            </w:pPr>
            <w:r w:rsidRPr="000717E1">
              <w:rPr>
                <w:sz w:val="20"/>
                <w:szCs w:val="20"/>
              </w:rPr>
              <w:t>0.064</w:t>
            </w:r>
          </w:p>
        </w:tc>
        <w:tc>
          <w:tcPr>
            <w:tcW w:w="1014" w:type="dxa"/>
            <w:gridSpan w:val="3"/>
            <w:tcBorders>
              <w:top w:val="single" w:sz="4" w:space="0" w:color="auto"/>
              <w:left w:val="single" w:sz="4" w:space="0" w:color="auto"/>
              <w:bottom w:val="double" w:sz="4" w:space="0" w:color="auto"/>
              <w:right w:val="single" w:sz="4" w:space="0" w:color="auto"/>
            </w:tcBorders>
            <w:vAlign w:val="center"/>
          </w:tcPr>
          <w:p w14:paraId="06CDF094" w14:textId="4A78E7ED" w:rsidR="003C3FE6" w:rsidRPr="000717E1" w:rsidRDefault="003C3FE6" w:rsidP="003C3FE6">
            <w:pPr>
              <w:pStyle w:val="TableText0"/>
              <w:jc w:val="center"/>
              <w:rPr>
                <w:sz w:val="20"/>
                <w:szCs w:val="20"/>
              </w:rPr>
            </w:pPr>
            <w:r w:rsidRPr="000717E1">
              <w:rPr>
                <w:sz w:val="20"/>
                <w:szCs w:val="20"/>
              </w:rPr>
              <w:t>(0.01)</w:t>
            </w:r>
          </w:p>
        </w:tc>
        <w:tc>
          <w:tcPr>
            <w:tcW w:w="1792" w:type="dxa"/>
            <w:gridSpan w:val="3"/>
            <w:tcBorders>
              <w:top w:val="single" w:sz="4" w:space="0" w:color="auto"/>
              <w:left w:val="single" w:sz="4" w:space="0" w:color="auto"/>
              <w:bottom w:val="double" w:sz="4" w:space="0" w:color="auto"/>
              <w:right w:val="single" w:sz="4" w:space="0" w:color="auto"/>
            </w:tcBorders>
            <w:vAlign w:val="center"/>
          </w:tcPr>
          <w:p w14:paraId="25931D88" w14:textId="4138ACCD" w:rsidR="003C3FE6" w:rsidRPr="000717E1" w:rsidRDefault="003C3FE6" w:rsidP="003C3FE6">
            <w:pPr>
              <w:pStyle w:val="TableText0"/>
              <w:jc w:val="center"/>
              <w:rPr>
                <w:bCs/>
                <w:sz w:val="20"/>
                <w:szCs w:val="20"/>
              </w:rPr>
            </w:pPr>
            <w:r w:rsidRPr="000717E1">
              <w:rPr>
                <w:bCs/>
                <w:sz w:val="20"/>
                <w:szCs w:val="20"/>
              </w:rPr>
              <w:t>0.083 (0.05 to 0.11)</w:t>
            </w:r>
          </w:p>
        </w:tc>
      </w:tr>
      <w:tr w:rsidR="003C3FE6" w:rsidRPr="000717E1" w14:paraId="4C4A4B0C" w14:textId="77777777" w:rsidTr="00A3666F">
        <w:tc>
          <w:tcPr>
            <w:tcW w:w="9017" w:type="dxa"/>
            <w:gridSpan w:val="17"/>
            <w:tcBorders>
              <w:top w:val="double" w:sz="4" w:space="0" w:color="auto"/>
              <w:left w:val="single" w:sz="4" w:space="0" w:color="auto"/>
              <w:bottom w:val="single" w:sz="4" w:space="0" w:color="auto"/>
              <w:right w:val="single" w:sz="4" w:space="0" w:color="auto"/>
            </w:tcBorders>
            <w:vAlign w:val="center"/>
          </w:tcPr>
          <w:p w14:paraId="342360EE" w14:textId="77777777" w:rsidR="003C3FE6" w:rsidRPr="000717E1" w:rsidRDefault="003C3FE6" w:rsidP="00334AFB">
            <w:pPr>
              <w:pStyle w:val="In-tableHeading"/>
            </w:pPr>
            <w:r w:rsidRPr="000717E1">
              <w:t>Harms</w:t>
            </w:r>
          </w:p>
        </w:tc>
      </w:tr>
      <w:tr w:rsidR="003C3FE6" w:rsidRPr="000717E1" w14:paraId="4FB6E9FE" w14:textId="77777777" w:rsidTr="00A3666F">
        <w:trPr>
          <w:trHeight w:val="70"/>
        </w:trPr>
        <w:tc>
          <w:tcPr>
            <w:tcW w:w="1149" w:type="dxa"/>
            <w:gridSpan w:val="2"/>
            <w:vMerge w:val="restart"/>
            <w:tcBorders>
              <w:top w:val="single" w:sz="4" w:space="0" w:color="auto"/>
              <w:left w:val="single" w:sz="4" w:space="0" w:color="auto"/>
              <w:bottom w:val="single" w:sz="4" w:space="0" w:color="auto"/>
              <w:right w:val="single" w:sz="4" w:space="0" w:color="auto"/>
            </w:tcBorders>
            <w:vAlign w:val="center"/>
          </w:tcPr>
          <w:p w14:paraId="592DFB3A" w14:textId="77777777" w:rsidR="003C3FE6" w:rsidRPr="000717E1" w:rsidRDefault="003C3FE6" w:rsidP="00334AFB">
            <w:pPr>
              <w:pStyle w:val="In-tableHeading"/>
            </w:pPr>
          </w:p>
        </w:tc>
        <w:tc>
          <w:tcPr>
            <w:tcW w:w="1143" w:type="dxa"/>
            <w:gridSpan w:val="3"/>
            <w:vMerge w:val="restart"/>
            <w:tcBorders>
              <w:top w:val="single" w:sz="4" w:space="0" w:color="auto"/>
              <w:left w:val="single" w:sz="4" w:space="0" w:color="auto"/>
              <w:bottom w:val="single" w:sz="4" w:space="0" w:color="auto"/>
              <w:right w:val="single" w:sz="4" w:space="0" w:color="auto"/>
            </w:tcBorders>
            <w:vAlign w:val="center"/>
          </w:tcPr>
          <w:p w14:paraId="540BC12D" w14:textId="77777777" w:rsidR="003C3FE6" w:rsidRPr="000717E1" w:rsidRDefault="003C3FE6" w:rsidP="00AF4573">
            <w:pPr>
              <w:pStyle w:val="In-tableHeading"/>
              <w:jc w:val="center"/>
            </w:pPr>
            <w:r w:rsidRPr="000717E1">
              <w:t>Dupilumab</w:t>
            </w:r>
          </w:p>
          <w:p w14:paraId="61FEC4C5" w14:textId="77777777" w:rsidR="003C3FE6" w:rsidRPr="000717E1" w:rsidRDefault="003C3FE6" w:rsidP="00AF4573">
            <w:pPr>
              <w:pStyle w:val="In-tableHeading"/>
              <w:jc w:val="center"/>
            </w:pPr>
            <w:r w:rsidRPr="000717E1">
              <w:t>n/N</w:t>
            </w:r>
          </w:p>
        </w:tc>
        <w:tc>
          <w:tcPr>
            <w:tcW w:w="1284" w:type="dxa"/>
            <w:gridSpan w:val="2"/>
            <w:vMerge w:val="restart"/>
            <w:tcBorders>
              <w:top w:val="single" w:sz="4" w:space="0" w:color="auto"/>
              <w:left w:val="single" w:sz="4" w:space="0" w:color="auto"/>
              <w:bottom w:val="single" w:sz="4" w:space="0" w:color="auto"/>
              <w:right w:val="single" w:sz="4" w:space="0" w:color="auto"/>
            </w:tcBorders>
            <w:vAlign w:val="center"/>
          </w:tcPr>
          <w:p w14:paraId="05CFA937" w14:textId="77777777" w:rsidR="003C3FE6" w:rsidRPr="000717E1" w:rsidRDefault="003C3FE6" w:rsidP="00AF4573">
            <w:pPr>
              <w:pStyle w:val="In-tableHeading"/>
              <w:jc w:val="center"/>
            </w:pPr>
            <w:r w:rsidRPr="000717E1">
              <w:t>Placebo</w:t>
            </w:r>
          </w:p>
          <w:p w14:paraId="0A9B48D3" w14:textId="77777777" w:rsidR="003C3FE6" w:rsidRPr="000717E1" w:rsidRDefault="003C3FE6" w:rsidP="00AF4573">
            <w:pPr>
              <w:pStyle w:val="In-tableHeading"/>
              <w:jc w:val="center"/>
            </w:pPr>
            <w:r w:rsidRPr="000717E1">
              <w:t>n/N</w:t>
            </w:r>
          </w:p>
        </w:tc>
        <w:tc>
          <w:tcPr>
            <w:tcW w:w="1555" w:type="dxa"/>
            <w:gridSpan w:val="2"/>
            <w:vMerge w:val="restart"/>
            <w:tcBorders>
              <w:top w:val="single" w:sz="4" w:space="0" w:color="auto"/>
              <w:left w:val="single" w:sz="4" w:space="0" w:color="auto"/>
              <w:bottom w:val="single" w:sz="4" w:space="0" w:color="auto"/>
              <w:right w:val="single" w:sz="4" w:space="0" w:color="auto"/>
            </w:tcBorders>
            <w:vAlign w:val="center"/>
          </w:tcPr>
          <w:p w14:paraId="02456FB8" w14:textId="45236A7E" w:rsidR="003C3FE6" w:rsidRPr="000717E1" w:rsidRDefault="003C3FE6" w:rsidP="00AF4573">
            <w:pPr>
              <w:pStyle w:val="In-tableHeading"/>
              <w:jc w:val="center"/>
            </w:pPr>
            <w:proofErr w:type="spellStart"/>
            <w:r w:rsidRPr="000717E1">
              <w:t>RR</w:t>
            </w:r>
            <w:r w:rsidRPr="000717E1">
              <w:rPr>
                <w:vertAlign w:val="superscript"/>
              </w:rPr>
              <w:t>c</w:t>
            </w:r>
            <w:proofErr w:type="spellEnd"/>
          </w:p>
          <w:p w14:paraId="3CDB87A3" w14:textId="77777777" w:rsidR="003C3FE6" w:rsidRPr="000717E1" w:rsidRDefault="003C3FE6" w:rsidP="00AF4573">
            <w:pPr>
              <w:pStyle w:val="In-tableHeading"/>
              <w:jc w:val="center"/>
            </w:pPr>
            <w:r w:rsidRPr="000717E1">
              <w:t>(95% CI)</w:t>
            </w:r>
          </w:p>
        </w:tc>
        <w:tc>
          <w:tcPr>
            <w:tcW w:w="2494" w:type="dxa"/>
            <w:gridSpan w:val="7"/>
            <w:tcBorders>
              <w:top w:val="single" w:sz="4" w:space="0" w:color="auto"/>
              <w:left w:val="single" w:sz="4" w:space="0" w:color="auto"/>
              <w:bottom w:val="single" w:sz="4" w:space="0" w:color="auto"/>
              <w:right w:val="single" w:sz="4" w:space="0" w:color="auto"/>
            </w:tcBorders>
            <w:vAlign w:val="center"/>
          </w:tcPr>
          <w:p w14:paraId="4CEF4EFC" w14:textId="77777777" w:rsidR="003C3FE6" w:rsidRPr="000717E1" w:rsidRDefault="003C3FE6" w:rsidP="00AF4573">
            <w:pPr>
              <w:pStyle w:val="In-tableHeading"/>
              <w:jc w:val="center"/>
            </w:pPr>
            <w:r w:rsidRPr="000717E1">
              <w:t>Event rate/100 patients</w:t>
            </w:r>
          </w:p>
        </w:tc>
        <w:tc>
          <w:tcPr>
            <w:tcW w:w="1392" w:type="dxa"/>
            <w:vMerge w:val="restart"/>
            <w:tcBorders>
              <w:top w:val="single" w:sz="4" w:space="0" w:color="auto"/>
              <w:left w:val="single" w:sz="4" w:space="0" w:color="auto"/>
              <w:bottom w:val="single" w:sz="4" w:space="0" w:color="auto"/>
              <w:right w:val="single" w:sz="4" w:space="0" w:color="auto"/>
            </w:tcBorders>
            <w:vAlign w:val="center"/>
          </w:tcPr>
          <w:p w14:paraId="13B5F111" w14:textId="47DBF0D4" w:rsidR="003C3FE6" w:rsidRPr="000717E1" w:rsidRDefault="003C3FE6" w:rsidP="00AF4573">
            <w:pPr>
              <w:pStyle w:val="In-tableHeading"/>
              <w:jc w:val="center"/>
            </w:pPr>
            <w:proofErr w:type="spellStart"/>
            <w:r w:rsidRPr="000717E1">
              <w:t>RD</w:t>
            </w:r>
            <w:r w:rsidRPr="000717E1">
              <w:rPr>
                <w:vertAlign w:val="superscript"/>
              </w:rPr>
              <w:t>c</w:t>
            </w:r>
            <w:proofErr w:type="spellEnd"/>
          </w:p>
          <w:p w14:paraId="45EDD2A5" w14:textId="77777777" w:rsidR="003C3FE6" w:rsidRPr="000717E1" w:rsidRDefault="003C3FE6" w:rsidP="00AF4573">
            <w:pPr>
              <w:pStyle w:val="In-tableHeading"/>
              <w:jc w:val="center"/>
            </w:pPr>
            <w:r w:rsidRPr="000717E1">
              <w:t>(95% CI)</w:t>
            </w:r>
          </w:p>
        </w:tc>
      </w:tr>
      <w:tr w:rsidR="003C3FE6" w:rsidRPr="000717E1" w14:paraId="30DB5054" w14:textId="77777777" w:rsidTr="00A3666F">
        <w:trPr>
          <w:trHeight w:val="390"/>
        </w:trPr>
        <w:tc>
          <w:tcPr>
            <w:tcW w:w="1149" w:type="dxa"/>
            <w:gridSpan w:val="2"/>
            <w:vMerge/>
            <w:tcBorders>
              <w:top w:val="single" w:sz="4" w:space="0" w:color="auto"/>
              <w:left w:val="single" w:sz="4" w:space="0" w:color="auto"/>
              <w:bottom w:val="single" w:sz="4" w:space="0" w:color="auto"/>
              <w:right w:val="single" w:sz="4" w:space="0" w:color="auto"/>
            </w:tcBorders>
            <w:vAlign w:val="center"/>
          </w:tcPr>
          <w:p w14:paraId="373B9E40" w14:textId="77777777" w:rsidR="003C3FE6" w:rsidRPr="000717E1" w:rsidRDefault="003C3FE6" w:rsidP="00334AFB">
            <w:pPr>
              <w:pStyle w:val="In-tableHeading"/>
            </w:pPr>
          </w:p>
        </w:tc>
        <w:tc>
          <w:tcPr>
            <w:tcW w:w="1143" w:type="dxa"/>
            <w:gridSpan w:val="3"/>
            <w:vMerge/>
            <w:tcBorders>
              <w:top w:val="single" w:sz="4" w:space="0" w:color="auto"/>
              <w:left w:val="single" w:sz="4" w:space="0" w:color="auto"/>
              <w:bottom w:val="single" w:sz="4" w:space="0" w:color="auto"/>
              <w:right w:val="single" w:sz="4" w:space="0" w:color="auto"/>
            </w:tcBorders>
            <w:vAlign w:val="center"/>
          </w:tcPr>
          <w:p w14:paraId="0532C316" w14:textId="77777777" w:rsidR="003C3FE6" w:rsidRPr="000717E1" w:rsidRDefault="003C3FE6" w:rsidP="00AF4573">
            <w:pPr>
              <w:pStyle w:val="In-tableHeading"/>
              <w:jc w:val="center"/>
            </w:pPr>
          </w:p>
        </w:tc>
        <w:tc>
          <w:tcPr>
            <w:tcW w:w="1284" w:type="dxa"/>
            <w:gridSpan w:val="2"/>
            <w:vMerge/>
            <w:tcBorders>
              <w:top w:val="single" w:sz="4" w:space="0" w:color="auto"/>
              <w:left w:val="single" w:sz="4" w:space="0" w:color="auto"/>
              <w:bottom w:val="single" w:sz="4" w:space="0" w:color="auto"/>
              <w:right w:val="single" w:sz="4" w:space="0" w:color="auto"/>
            </w:tcBorders>
            <w:vAlign w:val="center"/>
          </w:tcPr>
          <w:p w14:paraId="0772E190" w14:textId="77777777" w:rsidR="003C3FE6" w:rsidRPr="000717E1" w:rsidRDefault="003C3FE6" w:rsidP="00AF4573">
            <w:pPr>
              <w:pStyle w:val="In-tableHeading"/>
              <w:jc w:val="center"/>
            </w:pPr>
          </w:p>
        </w:tc>
        <w:tc>
          <w:tcPr>
            <w:tcW w:w="1555" w:type="dxa"/>
            <w:gridSpan w:val="2"/>
            <w:vMerge/>
            <w:tcBorders>
              <w:top w:val="single" w:sz="4" w:space="0" w:color="auto"/>
              <w:left w:val="single" w:sz="4" w:space="0" w:color="auto"/>
              <w:bottom w:val="single" w:sz="4" w:space="0" w:color="auto"/>
              <w:right w:val="single" w:sz="4" w:space="0" w:color="auto"/>
            </w:tcBorders>
            <w:vAlign w:val="center"/>
          </w:tcPr>
          <w:p w14:paraId="5D43F820" w14:textId="77777777" w:rsidR="003C3FE6" w:rsidRPr="000717E1" w:rsidRDefault="003C3FE6" w:rsidP="00AF4573">
            <w:pPr>
              <w:pStyle w:val="In-tableHeading"/>
              <w:jc w:val="center"/>
            </w:pPr>
          </w:p>
        </w:tc>
        <w:tc>
          <w:tcPr>
            <w:tcW w:w="1133" w:type="dxa"/>
            <w:gridSpan w:val="3"/>
            <w:tcBorders>
              <w:top w:val="single" w:sz="4" w:space="0" w:color="auto"/>
              <w:left w:val="single" w:sz="4" w:space="0" w:color="auto"/>
              <w:bottom w:val="single" w:sz="4" w:space="0" w:color="auto"/>
              <w:right w:val="single" w:sz="4" w:space="0" w:color="auto"/>
            </w:tcBorders>
            <w:vAlign w:val="center"/>
          </w:tcPr>
          <w:p w14:paraId="1392C0EA" w14:textId="77777777" w:rsidR="003C3FE6" w:rsidRPr="000717E1" w:rsidRDefault="003C3FE6" w:rsidP="00AF4573">
            <w:pPr>
              <w:pStyle w:val="In-tableHeading"/>
              <w:jc w:val="center"/>
            </w:pPr>
            <w:r w:rsidRPr="000717E1">
              <w:t>Dupilumab</w:t>
            </w:r>
          </w:p>
        </w:tc>
        <w:tc>
          <w:tcPr>
            <w:tcW w:w="1361" w:type="dxa"/>
            <w:gridSpan w:val="4"/>
            <w:tcBorders>
              <w:top w:val="single" w:sz="4" w:space="0" w:color="auto"/>
              <w:left w:val="single" w:sz="4" w:space="0" w:color="auto"/>
              <w:bottom w:val="single" w:sz="4" w:space="0" w:color="auto"/>
              <w:right w:val="single" w:sz="4" w:space="0" w:color="auto"/>
            </w:tcBorders>
            <w:vAlign w:val="center"/>
          </w:tcPr>
          <w:p w14:paraId="7FFF89F3" w14:textId="77777777" w:rsidR="003C3FE6" w:rsidRPr="000717E1" w:rsidRDefault="003C3FE6" w:rsidP="00AF4573">
            <w:pPr>
              <w:pStyle w:val="In-tableHeading"/>
              <w:jc w:val="center"/>
            </w:pPr>
            <w:r w:rsidRPr="000717E1">
              <w:t>Placebo</w:t>
            </w:r>
          </w:p>
        </w:tc>
        <w:tc>
          <w:tcPr>
            <w:tcW w:w="1392" w:type="dxa"/>
            <w:vMerge/>
            <w:tcBorders>
              <w:top w:val="single" w:sz="4" w:space="0" w:color="auto"/>
              <w:left w:val="single" w:sz="4" w:space="0" w:color="auto"/>
              <w:bottom w:val="single" w:sz="4" w:space="0" w:color="auto"/>
              <w:right w:val="single" w:sz="4" w:space="0" w:color="auto"/>
            </w:tcBorders>
            <w:vAlign w:val="center"/>
          </w:tcPr>
          <w:p w14:paraId="095C3148" w14:textId="77777777" w:rsidR="003C3FE6" w:rsidRPr="000717E1" w:rsidRDefault="003C3FE6" w:rsidP="00334AFB">
            <w:pPr>
              <w:pStyle w:val="In-tableHeading"/>
            </w:pPr>
          </w:p>
        </w:tc>
      </w:tr>
      <w:tr w:rsidR="003C3FE6" w:rsidRPr="000717E1" w14:paraId="2DE12FC3" w14:textId="77777777" w:rsidTr="00A3666F">
        <w:tc>
          <w:tcPr>
            <w:tcW w:w="9017" w:type="dxa"/>
            <w:gridSpan w:val="17"/>
            <w:tcBorders>
              <w:top w:val="single" w:sz="4" w:space="0" w:color="auto"/>
              <w:left w:val="single" w:sz="4" w:space="0" w:color="auto"/>
              <w:bottom w:val="single" w:sz="4" w:space="0" w:color="auto"/>
              <w:right w:val="single" w:sz="4" w:space="0" w:color="auto"/>
            </w:tcBorders>
            <w:vAlign w:val="center"/>
          </w:tcPr>
          <w:p w14:paraId="68A570B1" w14:textId="77777777" w:rsidR="003C3FE6" w:rsidRPr="000717E1" w:rsidRDefault="003C3FE6" w:rsidP="00334AFB">
            <w:pPr>
              <w:pStyle w:val="In-tableHeading"/>
            </w:pPr>
            <w:r w:rsidRPr="000717E1">
              <w:t>TEAE</w:t>
            </w:r>
          </w:p>
        </w:tc>
      </w:tr>
      <w:tr w:rsidR="003C3FE6" w:rsidRPr="000717E1" w14:paraId="53276A07" w14:textId="77777777" w:rsidTr="00A3666F">
        <w:tc>
          <w:tcPr>
            <w:tcW w:w="1156" w:type="dxa"/>
            <w:gridSpan w:val="3"/>
            <w:tcBorders>
              <w:top w:val="single" w:sz="4" w:space="0" w:color="auto"/>
              <w:left w:val="single" w:sz="4" w:space="0" w:color="auto"/>
              <w:bottom w:val="single" w:sz="4" w:space="0" w:color="auto"/>
              <w:right w:val="single" w:sz="4" w:space="0" w:color="auto"/>
            </w:tcBorders>
            <w:vAlign w:val="center"/>
          </w:tcPr>
          <w:p w14:paraId="32F2102D" w14:textId="77777777" w:rsidR="003C3FE6" w:rsidRPr="000717E1" w:rsidRDefault="003C3FE6" w:rsidP="003C3FE6">
            <w:pPr>
              <w:pStyle w:val="TableText0"/>
              <w:rPr>
                <w:sz w:val="20"/>
                <w:szCs w:val="20"/>
              </w:rPr>
            </w:pPr>
            <w:r w:rsidRPr="000717E1">
              <w:rPr>
                <w:sz w:val="20"/>
                <w:szCs w:val="20"/>
              </w:rPr>
              <w:t>Pooled</w:t>
            </w:r>
          </w:p>
        </w:tc>
        <w:tc>
          <w:tcPr>
            <w:tcW w:w="1136" w:type="dxa"/>
            <w:gridSpan w:val="2"/>
            <w:tcBorders>
              <w:top w:val="single" w:sz="4" w:space="0" w:color="auto"/>
              <w:left w:val="single" w:sz="4" w:space="0" w:color="auto"/>
              <w:bottom w:val="single" w:sz="4" w:space="0" w:color="auto"/>
              <w:right w:val="single" w:sz="4" w:space="0" w:color="auto"/>
            </w:tcBorders>
            <w:vAlign w:val="center"/>
          </w:tcPr>
          <w:p w14:paraId="0B635B01" w14:textId="77777777" w:rsidR="003C3FE6" w:rsidRPr="000717E1" w:rsidRDefault="003C3FE6" w:rsidP="003C3FE6">
            <w:pPr>
              <w:pStyle w:val="TableText0"/>
              <w:jc w:val="center"/>
              <w:rPr>
                <w:sz w:val="20"/>
                <w:szCs w:val="20"/>
              </w:rPr>
            </w:pPr>
            <w:r w:rsidRPr="000717E1">
              <w:rPr>
                <w:sz w:val="20"/>
                <w:szCs w:val="20"/>
              </w:rPr>
              <w:t>676/938</w:t>
            </w:r>
          </w:p>
        </w:tc>
        <w:tc>
          <w:tcPr>
            <w:tcW w:w="1284" w:type="dxa"/>
            <w:gridSpan w:val="2"/>
            <w:tcBorders>
              <w:top w:val="single" w:sz="4" w:space="0" w:color="auto"/>
              <w:left w:val="single" w:sz="4" w:space="0" w:color="auto"/>
              <w:bottom w:val="single" w:sz="4" w:space="0" w:color="auto"/>
              <w:right w:val="single" w:sz="4" w:space="0" w:color="auto"/>
            </w:tcBorders>
            <w:vAlign w:val="center"/>
          </w:tcPr>
          <w:p w14:paraId="7DA6E1DE" w14:textId="77777777" w:rsidR="003C3FE6" w:rsidRPr="000717E1" w:rsidRDefault="003C3FE6" w:rsidP="003C3FE6">
            <w:pPr>
              <w:pStyle w:val="TableText0"/>
              <w:jc w:val="center"/>
              <w:rPr>
                <w:sz w:val="20"/>
                <w:szCs w:val="20"/>
              </w:rPr>
            </w:pPr>
            <w:r w:rsidRPr="000717E1">
              <w:rPr>
                <w:sz w:val="20"/>
                <w:szCs w:val="20"/>
              </w:rPr>
              <w:t>633/934</w:t>
            </w:r>
          </w:p>
        </w:tc>
        <w:tc>
          <w:tcPr>
            <w:tcW w:w="1555" w:type="dxa"/>
            <w:gridSpan w:val="2"/>
            <w:tcBorders>
              <w:top w:val="single" w:sz="4" w:space="0" w:color="auto"/>
              <w:left w:val="single" w:sz="4" w:space="0" w:color="auto"/>
              <w:bottom w:val="single" w:sz="4" w:space="0" w:color="auto"/>
              <w:right w:val="single" w:sz="4" w:space="0" w:color="auto"/>
            </w:tcBorders>
            <w:vAlign w:val="center"/>
          </w:tcPr>
          <w:p w14:paraId="0633FDCF" w14:textId="77777777" w:rsidR="003C3FE6" w:rsidRPr="000717E1" w:rsidRDefault="003C3FE6" w:rsidP="003C3FE6">
            <w:pPr>
              <w:pStyle w:val="TableText0"/>
              <w:jc w:val="center"/>
              <w:rPr>
                <w:sz w:val="20"/>
                <w:szCs w:val="20"/>
              </w:rPr>
            </w:pPr>
            <w:r w:rsidRPr="000717E1">
              <w:rPr>
                <w:sz w:val="20"/>
                <w:szCs w:val="20"/>
              </w:rPr>
              <w:t>1.02 (0.96, 1.07)</w:t>
            </w:r>
          </w:p>
        </w:tc>
        <w:tc>
          <w:tcPr>
            <w:tcW w:w="1133" w:type="dxa"/>
            <w:gridSpan w:val="3"/>
            <w:tcBorders>
              <w:top w:val="single" w:sz="4" w:space="0" w:color="auto"/>
              <w:left w:val="single" w:sz="4" w:space="0" w:color="auto"/>
              <w:bottom w:val="single" w:sz="4" w:space="0" w:color="auto"/>
              <w:right w:val="single" w:sz="4" w:space="0" w:color="auto"/>
            </w:tcBorders>
            <w:vAlign w:val="center"/>
          </w:tcPr>
          <w:p w14:paraId="139CA0EE" w14:textId="77777777" w:rsidR="003C3FE6" w:rsidRPr="000717E1" w:rsidRDefault="003C3FE6" w:rsidP="003C3FE6">
            <w:pPr>
              <w:pStyle w:val="TableText0"/>
              <w:jc w:val="center"/>
              <w:rPr>
                <w:sz w:val="20"/>
                <w:szCs w:val="20"/>
              </w:rPr>
            </w:pPr>
            <w:r w:rsidRPr="000717E1">
              <w:rPr>
                <w:sz w:val="20"/>
                <w:szCs w:val="20"/>
              </w:rPr>
              <w:t>72</w:t>
            </w:r>
          </w:p>
        </w:tc>
        <w:tc>
          <w:tcPr>
            <w:tcW w:w="1361" w:type="dxa"/>
            <w:gridSpan w:val="4"/>
            <w:tcBorders>
              <w:top w:val="single" w:sz="4" w:space="0" w:color="auto"/>
              <w:left w:val="single" w:sz="4" w:space="0" w:color="auto"/>
              <w:bottom w:val="single" w:sz="4" w:space="0" w:color="auto"/>
              <w:right w:val="single" w:sz="4" w:space="0" w:color="auto"/>
            </w:tcBorders>
            <w:vAlign w:val="center"/>
          </w:tcPr>
          <w:p w14:paraId="7AD67CCF" w14:textId="77777777" w:rsidR="003C3FE6" w:rsidRPr="000717E1" w:rsidRDefault="003C3FE6" w:rsidP="003C3FE6">
            <w:pPr>
              <w:pStyle w:val="TableText0"/>
              <w:jc w:val="center"/>
              <w:rPr>
                <w:sz w:val="20"/>
                <w:szCs w:val="20"/>
              </w:rPr>
            </w:pPr>
            <w:r w:rsidRPr="000717E1">
              <w:rPr>
                <w:sz w:val="20"/>
                <w:szCs w:val="20"/>
              </w:rPr>
              <w:t>71</w:t>
            </w:r>
          </w:p>
        </w:tc>
        <w:tc>
          <w:tcPr>
            <w:tcW w:w="1392" w:type="dxa"/>
            <w:tcBorders>
              <w:top w:val="single" w:sz="4" w:space="0" w:color="auto"/>
              <w:left w:val="single" w:sz="4" w:space="0" w:color="auto"/>
              <w:bottom w:val="single" w:sz="4" w:space="0" w:color="auto"/>
              <w:right w:val="single" w:sz="4" w:space="0" w:color="auto"/>
            </w:tcBorders>
            <w:vAlign w:val="center"/>
          </w:tcPr>
          <w:p w14:paraId="117F13CD" w14:textId="77777777" w:rsidR="003C3FE6" w:rsidRPr="000717E1" w:rsidRDefault="003C3FE6" w:rsidP="003C3FE6">
            <w:pPr>
              <w:pStyle w:val="TableText0"/>
              <w:jc w:val="center"/>
              <w:rPr>
                <w:sz w:val="20"/>
                <w:szCs w:val="20"/>
              </w:rPr>
            </w:pPr>
            <w:r w:rsidRPr="000717E1">
              <w:rPr>
                <w:sz w:val="20"/>
                <w:szCs w:val="20"/>
              </w:rPr>
              <w:t>0.01 (-0.03, 0.05)</w:t>
            </w:r>
          </w:p>
        </w:tc>
      </w:tr>
      <w:tr w:rsidR="003C3FE6" w:rsidRPr="000717E1" w14:paraId="76F67AFD" w14:textId="77777777" w:rsidTr="00A3666F">
        <w:tc>
          <w:tcPr>
            <w:tcW w:w="9017" w:type="dxa"/>
            <w:gridSpan w:val="17"/>
            <w:tcBorders>
              <w:top w:val="single" w:sz="4" w:space="0" w:color="auto"/>
              <w:left w:val="single" w:sz="4" w:space="0" w:color="auto"/>
              <w:bottom w:val="single" w:sz="4" w:space="0" w:color="auto"/>
              <w:right w:val="single" w:sz="4" w:space="0" w:color="auto"/>
            </w:tcBorders>
            <w:vAlign w:val="center"/>
          </w:tcPr>
          <w:p w14:paraId="2A1B5E1E" w14:textId="77777777" w:rsidR="003C3FE6" w:rsidRPr="000717E1" w:rsidRDefault="003C3FE6" w:rsidP="00334AFB">
            <w:pPr>
              <w:pStyle w:val="In-tableHeading"/>
            </w:pPr>
            <w:r w:rsidRPr="000717E1">
              <w:t>Severe TEAE</w:t>
            </w:r>
          </w:p>
        </w:tc>
      </w:tr>
      <w:tr w:rsidR="003C3FE6" w:rsidRPr="000717E1" w14:paraId="77D1D522" w14:textId="77777777" w:rsidTr="00A3666F">
        <w:tc>
          <w:tcPr>
            <w:tcW w:w="1156" w:type="dxa"/>
            <w:gridSpan w:val="3"/>
            <w:tcBorders>
              <w:top w:val="single" w:sz="4" w:space="0" w:color="auto"/>
              <w:left w:val="single" w:sz="4" w:space="0" w:color="auto"/>
              <w:bottom w:val="single" w:sz="4" w:space="0" w:color="auto"/>
              <w:right w:val="single" w:sz="4" w:space="0" w:color="auto"/>
            </w:tcBorders>
            <w:vAlign w:val="center"/>
          </w:tcPr>
          <w:p w14:paraId="68D930CC" w14:textId="77777777" w:rsidR="003C3FE6" w:rsidRPr="000717E1" w:rsidRDefault="003C3FE6" w:rsidP="003C3FE6">
            <w:pPr>
              <w:pStyle w:val="TableText0"/>
              <w:rPr>
                <w:sz w:val="20"/>
                <w:szCs w:val="20"/>
              </w:rPr>
            </w:pPr>
            <w:r w:rsidRPr="000717E1">
              <w:rPr>
                <w:sz w:val="20"/>
                <w:szCs w:val="20"/>
              </w:rPr>
              <w:t>Pooled</w:t>
            </w:r>
          </w:p>
        </w:tc>
        <w:tc>
          <w:tcPr>
            <w:tcW w:w="1136" w:type="dxa"/>
            <w:gridSpan w:val="2"/>
            <w:tcBorders>
              <w:top w:val="single" w:sz="4" w:space="0" w:color="auto"/>
              <w:left w:val="single" w:sz="4" w:space="0" w:color="auto"/>
              <w:bottom w:val="single" w:sz="4" w:space="0" w:color="auto"/>
              <w:right w:val="single" w:sz="4" w:space="0" w:color="auto"/>
            </w:tcBorders>
            <w:vAlign w:val="center"/>
          </w:tcPr>
          <w:p w14:paraId="6F31E9BC" w14:textId="77777777" w:rsidR="003C3FE6" w:rsidRPr="000717E1" w:rsidRDefault="003C3FE6" w:rsidP="003C3FE6">
            <w:pPr>
              <w:pStyle w:val="TableText0"/>
              <w:jc w:val="center"/>
              <w:rPr>
                <w:sz w:val="20"/>
                <w:szCs w:val="20"/>
              </w:rPr>
            </w:pPr>
            <w:r w:rsidRPr="000717E1">
              <w:rPr>
                <w:sz w:val="20"/>
                <w:szCs w:val="20"/>
              </w:rPr>
              <w:t>108/938</w:t>
            </w:r>
          </w:p>
        </w:tc>
        <w:tc>
          <w:tcPr>
            <w:tcW w:w="1284" w:type="dxa"/>
            <w:gridSpan w:val="2"/>
            <w:tcBorders>
              <w:top w:val="single" w:sz="4" w:space="0" w:color="auto"/>
              <w:left w:val="single" w:sz="4" w:space="0" w:color="auto"/>
              <w:bottom w:val="single" w:sz="4" w:space="0" w:color="auto"/>
              <w:right w:val="single" w:sz="4" w:space="0" w:color="auto"/>
            </w:tcBorders>
            <w:vAlign w:val="center"/>
          </w:tcPr>
          <w:p w14:paraId="68E0B327" w14:textId="77777777" w:rsidR="003C3FE6" w:rsidRPr="000717E1" w:rsidRDefault="003C3FE6" w:rsidP="003C3FE6">
            <w:pPr>
              <w:pStyle w:val="TableText0"/>
              <w:jc w:val="center"/>
              <w:rPr>
                <w:sz w:val="20"/>
                <w:szCs w:val="20"/>
              </w:rPr>
            </w:pPr>
            <w:r w:rsidRPr="000717E1">
              <w:rPr>
                <w:sz w:val="20"/>
                <w:szCs w:val="20"/>
              </w:rPr>
              <w:t>117/934</w:t>
            </w:r>
          </w:p>
        </w:tc>
        <w:tc>
          <w:tcPr>
            <w:tcW w:w="1555" w:type="dxa"/>
            <w:gridSpan w:val="2"/>
            <w:tcBorders>
              <w:top w:val="single" w:sz="4" w:space="0" w:color="auto"/>
              <w:left w:val="single" w:sz="4" w:space="0" w:color="auto"/>
              <w:bottom w:val="single" w:sz="4" w:space="0" w:color="auto"/>
              <w:right w:val="single" w:sz="4" w:space="0" w:color="auto"/>
            </w:tcBorders>
            <w:vAlign w:val="center"/>
          </w:tcPr>
          <w:p w14:paraId="0F45C1B4" w14:textId="77777777" w:rsidR="003C3FE6" w:rsidRPr="000717E1" w:rsidRDefault="003C3FE6" w:rsidP="003C3FE6">
            <w:pPr>
              <w:pStyle w:val="TableText0"/>
              <w:jc w:val="center"/>
              <w:rPr>
                <w:sz w:val="20"/>
                <w:szCs w:val="20"/>
              </w:rPr>
            </w:pPr>
            <w:r w:rsidRPr="000717E1">
              <w:rPr>
                <w:sz w:val="20"/>
                <w:szCs w:val="20"/>
              </w:rPr>
              <w:t>0.92 (0.72, 1.17)</w:t>
            </w:r>
          </w:p>
        </w:tc>
        <w:tc>
          <w:tcPr>
            <w:tcW w:w="1133" w:type="dxa"/>
            <w:gridSpan w:val="3"/>
            <w:tcBorders>
              <w:top w:val="single" w:sz="4" w:space="0" w:color="auto"/>
              <w:left w:val="single" w:sz="4" w:space="0" w:color="auto"/>
              <w:bottom w:val="single" w:sz="4" w:space="0" w:color="auto"/>
              <w:right w:val="single" w:sz="4" w:space="0" w:color="auto"/>
            </w:tcBorders>
            <w:vAlign w:val="center"/>
          </w:tcPr>
          <w:p w14:paraId="0224C467" w14:textId="77777777" w:rsidR="003C3FE6" w:rsidRPr="000717E1" w:rsidRDefault="003C3FE6" w:rsidP="003C3FE6">
            <w:pPr>
              <w:pStyle w:val="TableText0"/>
              <w:jc w:val="center"/>
              <w:rPr>
                <w:sz w:val="20"/>
                <w:szCs w:val="20"/>
              </w:rPr>
            </w:pPr>
            <w:r w:rsidRPr="000717E1">
              <w:rPr>
                <w:sz w:val="20"/>
                <w:szCs w:val="20"/>
              </w:rPr>
              <w:t>12</w:t>
            </w:r>
          </w:p>
        </w:tc>
        <w:tc>
          <w:tcPr>
            <w:tcW w:w="1361" w:type="dxa"/>
            <w:gridSpan w:val="4"/>
            <w:tcBorders>
              <w:top w:val="single" w:sz="4" w:space="0" w:color="auto"/>
              <w:left w:val="single" w:sz="4" w:space="0" w:color="auto"/>
              <w:bottom w:val="single" w:sz="4" w:space="0" w:color="auto"/>
              <w:right w:val="single" w:sz="4" w:space="0" w:color="auto"/>
            </w:tcBorders>
            <w:vAlign w:val="center"/>
          </w:tcPr>
          <w:p w14:paraId="578F44C3" w14:textId="77777777" w:rsidR="003C3FE6" w:rsidRPr="000717E1" w:rsidRDefault="003C3FE6" w:rsidP="003C3FE6">
            <w:pPr>
              <w:pStyle w:val="TableText0"/>
              <w:jc w:val="center"/>
              <w:rPr>
                <w:sz w:val="20"/>
                <w:szCs w:val="20"/>
              </w:rPr>
            </w:pPr>
            <w:r w:rsidRPr="000717E1">
              <w:rPr>
                <w:sz w:val="20"/>
                <w:szCs w:val="20"/>
              </w:rPr>
              <w:t>13</w:t>
            </w:r>
          </w:p>
        </w:tc>
        <w:tc>
          <w:tcPr>
            <w:tcW w:w="1392" w:type="dxa"/>
            <w:tcBorders>
              <w:top w:val="single" w:sz="4" w:space="0" w:color="auto"/>
              <w:left w:val="single" w:sz="4" w:space="0" w:color="auto"/>
              <w:bottom w:val="single" w:sz="4" w:space="0" w:color="auto"/>
              <w:right w:val="single" w:sz="4" w:space="0" w:color="auto"/>
            </w:tcBorders>
            <w:vAlign w:val="center"/>
          </w:tcPr>
          <w:p w14:paraId="2E4DC02A" w14:textId="77777777" w:rsidR="003C3FE6" w:rsidRPr="000717E1" w:rsidRDefault="003C3FE6" w:rsidP="003C3FE6">
            <w:pPr>
              <w:pStyle w:val="TableText0"/>
              <w:jc w:val="center"/>
              <w:rPr>
                <w:sz w:val="20"/>
                <w:szCs w:val="20"/>
              </w:rPr>
            </w:pPr>
            <w:r w:rsidRPr="000717E1">
              <w:rPr>
                <w:sz w:val="20"/>
                <w:szCs w:val="20"/>
              </w:rPr>
              <w:t>-0.01 (-0.04, 0.02)</w:t>
            </w:r>
          </w:p>
        </w:tc>
      </w:tr>
      <w:tr w:rsidR="003C3FE6" w:rsidRPr="000717E1" w14:paraId="09D5C7DF" w14:textId="77777777" w:rsidTr="00A3666F">
        <w:tc>
          <w:tcPr>
            <w:tcW w:w="9017" w:type="dxa"/>
            <w:gridSpan w:val="17"/>
            <w:tcBorders>
              <w:top w:val="single" w:sz="4" w:space="0" w:color="auto"/>
              <w:left w:val="single" w:sz="4" w:space="0" w:color="auto"/>
              <w:bottom w:val="single" w:sz="4" w:space="0" w:color="auto"/>
              <w:right w:val="single" w:sz="4" w:space="0" w:color="auto"/>
            </w:tcBorders>
            <w:vAlign w:val="center"/>
          </w:tcPr>
          <w:p w14:paraId="47EA7D4D" w14:textId="77777777" w:rsidR="003C3FE6" w:rsidRPr="000717E1" w:rsidRDefault="003C3FE6" w:rsidP="00334AFB">
            <w:pPr>
              <w:pStyle w:val="In-tableHeading"/>
            </w:pPr>
            <w:r w:rsidRPr="000717E1">
              <w:t>Treatment emergent SAE</w:t>
            </w:r>
          </w:p>
        </w:tc>
      </w:tr>
      <w:tr w:rsidR="003C3FE6" w:rsidRPr="000717E1" w14:paraId="1EACD495" w14:textId="77777777" w:rsidTr="00A3666F">
        <w:tc>
          <w:tcPr>
            <w:tcW w:w="1149" w:type="dxa"/>
            <w:gridSpan w:val="2"/>
            <w:tcBorders>
              <w:top w:val="single" w:sz="4" w:space="0" w:color="auto"/>
              <w:left w:val="single" w:sz="4" w:space="0" w:color="auto"/>
              <w:bottom w:val="single" w:sz="4" w:space="0" w:color="auto"/>
              <w:right w:val="single" w:sz="4" w:space="0" w:color="auto"/>
            </w:tcBorders>
            <w:vAlign w:val="center"/>
          </w:tcPr>
          <w:p w14:paraId="696161C5" w14:textId="77777777" w:rsidR="003C3FE6" w:rsidRPr="000717E1" w:rsidRDefault="003C3FE6" w:rsidP="003C3FE6">
            <w:pPr>
              <w:pStyle w:val="TableText0"/>
              <w:rPr>
                <w:sz w:val="20"/>
                <w:szCs w:val="20"/>
              </w:rPr>
            </w:pPr>
            <w:r w:rsidRPr="000717E1">
              <w:rPr>
                <w:sz w:val="20"/>
                <w:szCs w:val="20"/>
              </w:rPr>
              <w:t>Pooled</w:t>
            </w:r>
          </w:p>
        </w:tc>
        <w:tc>
          <w:tcPr>
            <w:tcW w:w="1143" w:type="dxa"/>
            <w:gridSpan w:val="3"/>
            <w:tcBorders>
              <w:top w:val="single" w:sz="4" w:space="0" w:color="auto"/>
              <w:left w:val="single" w:sz="4" w:space="0" w:color="auto"/>
              <w:bottom w:val="single" w:sz="4" w:space="0" w:color="auto"/>
              <w:right w:val="single" w:sz="4" w:space="0" w:color="auto"/>
            </w:tcBorders>
            <w:vAlign w:val="center"/>
          </w:tcPr>
          <w:p w14:paraId="57F09F67" w14:textId="77777777" w:rsidR="003C3FE6" w:rsidRPr="000717E1" w:rsidRDefault="003C3FE6" w:rsidP="003C3FE6">
            <w:pPr>
              <w:pStyle w:val="TableText0"/>
              <w:jc w:val="center"/>
              <w:rPr>
                <w:sz w:val="20"/>
                <w:szCs w:val="20"/>
              </w:rPr>
            </w:pPr>
            <w:r w:rsidRPr="000717E1">
              <w:rPr>
                <w:sz w:val="20"/>
                <w:szCs w:val="20"/>
              </w:rPr>
              <w:t>125/938</w:t>
            </w:r>
          </w:p>
        </w:tc>
        <w:tc>
          <w:tcPr>
            <w:tcW w:w="1284" w:type="dxa"/>
            <w:gridSpan w:val="2"/>
            <w:tcBorders>
              <w:top w:val="single" w:sz="4" w:space="0" w:color="auto"/>
              <w:left w:val="single" w:sz="4" w:space="0" w:color="auto"/>
              <w:bottom w:val="single" w:sz="4" w:space="0" w:color="auto"/>
              <w:right w:val="single" w:sz="4" w:space="0" w:color="auto"/>
            </w:tcBorders>
            <w:vAlign w:val="center"/>
          </w:tcPr>
          <w:p w14:paraId="45200E48" w14:textId="77777777" w:rsidR="003C3FE6" w:rsidRPr="000717E1" w:rsidRDefault="003C3FE6" w:rsidP="003C3FE6">
            <w:pPr>
              <w:pStyle w:val="TableText0"/>
              <w:jc w:val="center"/>
              <w:rPr>
                <w:sz w:val="20"/>
                <w:szCs w:val="20"/>
              </w:rPr>
            </w:pPr>
            <w:r w:rsidRPr="000717E1">
              <w:rPr>
                <w:sz w:val="20"/>
                <w:szCs w:val="20"/>
              </w:rPr>
              <w:t>147/934</w:t>
            </w:r>
          </w:p>
        </w:tc>
        <w:tc>
          <w:tcPr>
            <w:tcW w:w="1555" w:type="dxa"/>
            <w:gridSpan w:val="2"/>
            <w:tcBorders>
              <w:top w:val="single" w:sz="4" w:space="0" w:color="auto"/>
              <w:left w:val="single" w:sz="4" w:space="0" w:color="auto"/>
              <w:bottom w:val="single" w:sz="4" w:space="0" w:color="auto"/>
              <w:right w:val="single" w:sz="4" w:space="0" w:color="auto"/>
            </w:tcBorders>
            <w:vAlign w:val="center"/>
          </w:tcPr>
          <w:p w14:paraId="79D0AE27" w14:textId="50829CE1" w:rsidR="003C3FE6" w:rsidRPr="000717E1" w:rsidRDefault="003C3FE6" w:rsidP="003C3FE6">
            <w:pPr>
              <w:pStyle w:val="TableText0"/>
              <w:jc w:val="center"/>
              <w:rPr>
                <w:sz w:val="20"/>
                <w:szCs w:val="20"/>
              </w:rPr>
            </w:pPr>
            <w:r w:rsidRPr="000717E1">
              <w:rPr>
                <w:sz w:val="20"/>
                <w:szCs w:val="20"/>
              </w:rPr>
              <w:t>0.85 (0.68, 1.06)</w:t>
            </w:r>
          </w:p>
        </w:tc>
        <w:tc>
          <w:tcPr>
            <w:tcW w:w="1133" w:type="dxa"/>
            <w:gridSpan w:val="3"/>
            <w:tcBorders>
              <w:top w:val="single" w:sz="4" w:space="0" w:color="auto"/>
              <w:left w:val="single" w:sz="4" w:space="0" w:color="auto"/>
              <w:bottom w:val="single" w:sz="4" w:space="0" w:color="auto"/>
              <w:right w:val="single" w:sz="4" w:space="0" w:color="auto"/>
            </w:tcBorders>
            <w:vAlign w:val="center"/>
          </w:tcPr>
          <w:p w14:paraId="55B611BE" w14:textId="77777777" w:rsidR="003C3FE6" w:rsidRPr="000717E1" w:rsidRDefault="003C3FE6" w:rsidP="003C3FE6">
            <w:pPr>
              <w:pStyle w:val="TableText0"/>
              <w:jc w:val="center"/>
              <w:rPr>
                <w:sz w:val="20"/>
                <w:szCs w:val="20"/>
              </w:rPr>
            </w:pPr>
            <w:r w:rsidRPr="000717E1">
              <w:rPr>
                <w:sz w:val="20"/>
                <w:szCs w:val="20"/>
              </w:rPr>
              <w:t>13</w:t>
            </w:r>
          </w:p>
        </w:tc>
        <w:tc>
          <w:tcPr>
            <w:tcW w:w="1361" w:type="dxa"/>
            <w:gridSpan w:val="4"/>
            <w:tcBorders>
              <w:top w:val="single" w:sz="4" w:space="0" w:color="auto"/>
              <w:left w:val="single" w:sz="4" w:space="0" w:color="auto"/>
              <w:bottom w:val="single" w:sz="4" w:space="0" w:color="auto"/>
              <w:right w:val="single" w:sz="4" w:space="0" w:color="auto"/>
            </w:tcBorders>
            <w:vAlign w:val="center"/>
          </w:tcPr>
          <w:p w14:paraId="44D37E5D" w14:textId="77777777" w:rsidR="003C3FE6" w:rsidRPr="000717E1" w:rsidRDefault="003C3FE6" w:rsidP="003C3FE6">
            <w:pPr>
              <w:pStyle w:val="TableText0"/>
              <w:jc w:val="center"/>
              <w:rPr>
                <w:sz w:val="20"/>
                <w:szCs w:val="20"/>
              </w:rPr>
            </w:pPr>
            <w:r w:rsidRPr="000717E1">
              <w:rPr>
                <w:sz w:val="20"/>
                <w:szCs w:val="20"/>
              </w:rPr>
              <w:t>16</w:t>
            </w:r>
          </w:p>
        </w:tc>
        <w:tc>
          <w:tcPr>
            <w:tcW w:w="1392" w:type="dxa"/>
            <w:tcBorders>
              <w:top w:val="single" w:sz="4" w:space="0" w:color="auto"/>
              <w:left w:val="single" w:sz="4" w:space="0" w:color="auto"/>
              <w:bottom w:val="single" w:sz="4" w:space="0" w:color="auto"/>
              <w:right w:val="single" w:sz="4" w:space="0" w:color="auto"/>
            </w:tcBorders>
            <w:vAlign w:val="center"/>
          </w:tcPr>
          <w:p w14:paraId="00A3958C" w14:textId="77777777" w:rsidR="003C3FE6" w:rsidRPr="000717E1" w:rsidRDefault="003C3FE6" w:rsidP="003C3FE6">
            <w:pPr>
              <w:pStyle w:val="TableText0"/>
              <w:jc w:val="center"/>
              <w:rPr>
                <w:sz w:val="20"/>
                <w:szCs w:val="20"/>
              </w:rPr>
            </w:pPr>
            <w:r w:rsidRPr="000717E1">
              <w:rPr>
                <w:sz w:val="20"/>
                <w:szCs w:val="20"/>
              </w:rPr>
              <w:t>-0.02 (-0.06, 0.01)</w:t>
            </w:r>
          </w:p>
        </w:tc>
      </w:tr>
      <w:tr w:rsidR="003C3FE6" w:rsidRPr="000717E1" w14:paraId="0700D540" w14:textId="77777777" w:rsidTr="00A3666F">
        <w:tc>
          <w:tcPr>
            <w:tcW w:w="9017" w:type="dxa"/>
            <w:gridSpan w:val="17"/>
            <w:tcBorders>
              <w:top w:val="single" w:sz="4" w:space="0" w:color="auto"/>
              <w:left w:val="single" w:sz="4" w:space="0" w:color="auto"/>
              <w:bottom w:val="single" w:sz="4" w:space="0" w:color="auto"/>
              <w:right w:val="single" w:sz="4" w:space="0" w:color="auto"/>
            </w:tcBorders>
            <w:vAlign w:val="center"/>
          </w:tcPr>
          <w:p w14:paraId="67641EDC" w14:textId="77777777" w:rsidR="003C3FE6" w:rsidRPr="000717E1" w:rsidRDefault="003C3FE6" w:rsidP="00A3666F">
            <w:pPr>
              <w:pStyle w:val="TableText0"/>
              <w:rPr>
                <w:b/>
                <w:bCs/>
                <w:sz w:val="20"/>
                <w:szCs w:val="20"/>
              </w:rPr>
            </w:pPr>
            <w:r w:rsidRPr="000717E1">
              <w:rPr>
                <w:b/>
                <w:bCs/>
                <w:sz w:val="20"/>
                <w:szCs w:val="20"/>
              </w:rPr>
              <w:t>Deaths</w:t>
            </w:r>
          </w:p>
        </w:tc>
      </w:tr>
      <w:tr w:rsidR="003C3FE6" w:rsidRPr="000717E1" w14:paraId="48A8EDF8" w14:textId="77777777" w:rsidTr="00A3666F">
        <w:tc>
          <w:tcPr>
            <w:tcW w:w="1149" w:type="dxa"/>
            <w:gridSpan w:val="2"/>
            <w:tcBorders>
              <w:top w:val="single" w:sz="4" w:space="0" w:color="auto"/>
              <w:left w:val="single" w:sz="4" w:space="0" w:color="auto"/>
              <w:bottom w:val="single" w:sz="4" w:space="0" w:color="auto"/>
              <w:right w:val="single" w:sz="4" w:space="0" w:color="auto"/>
            </w:tcBorders>
            <w:vAlign w:val="center"/>
          </w:tcPr>
          <w:p w14:paraId="4601A2A9" w14:textId="77777777" w:rsidR="003C3FE6" w:rsidRPr="000717E1" w:rsidRDefault="003C3FE6" w:rsidP="003C3FE6">
            <w:pPr>
              <w:pStyle w:val="TableText0"/>
              <w:rPr>
                <w:sz w:val="20"/>
                <w:szCs w:val="20"/>
              </w:rPr>
            </w:pPr>
            <w:r w:rsidRPr="000717E1">
              <w:rPr>
                <w:sz w:val="20"/>
                <w:szCs w:val="20"/>
              </w:rPr>
              <w:t>Pooled</w:t>
            </w:r>
          </w:p>
        </w:tc>
        <w:tc>
          <w:tcPr>
            <w:tcW w:w="1143" w:type="dxa"/>
            <w:gridSpan w:val="3"/>
            <w:tcBorders>
              <w:top w:val="single" w:sz="4" w:space="0" w:color="auto"/>
              <w:left w:val="single" w:sz="4" w:space="0" w:color="auto"/>
              <w:bottom w:val="single" w:sz="4" w:space="0" w:color="auto"/>
              <w:right w:val="single" w:sz="4" w:space="0" w:color="auto"/>
            </w:tcBorders>
            <w:vAlign w:val="center"/>
          </w:tcPr>
          <w:p w14:paraId="47C9FFE4" w14:textId="77777777" w:rsidR="003C3FE6" w:rsidRPr="000717E1" w:rsidRDefault="003C3FE6" w:rsidP="003C3FE6">
            <w:pPr>
              <w:pStyle w:val="TableText0"/>
              <w:jc w:val="center"/>
              <w:rPr>
                <w:sz w:val="20"/>
                <w:szCs w:val="20"/>
              </w:rPr>
            </w:pPr>
            <w:r w:rsidRPr="000717E1">
              <w:rPr>
                <w:sz w:val="20"/>
                <w:szCs w:val="20"/>
              </w:rPr>
              <w:t>21/938</w:t>
            </w:r>
          </w:p>
        </w:tc>
        <w:tc>
          <w:tcPr>
            <w:tcW w:w="1284" w:type="dxa"/>
            <w:gridSpan w:val="2"/>
            <w:tcBorders>
              <w:top w:val="single" w:sz="4" w:space="0" w:color="auto"/>
              <w:left w:val="single" w:sz="4" w:space="0" w:color="auto"/>
              <w:bottom w:val="single" w:sz="4" w:space="0" w:color="auto"/>
              <w:right w:val="single" w:sz="4" w:space="0" w:color="auto"/>
            </w:tcBorders>
            <w:vAlign w:val="center"/>
          </w:tcPr>
          <w:p w14:paraId="2B6AA725" w14:textId="77777777" w:rsidR="003C3FE6" w:rsidRPr="000717E1" w:rsidRDefault="003C3FE6" w:rsidP="003C3FE6">
            <w:pPr>
              <w:pStyle w:val="TableText0"/>
              <w:jc w:val="center"/>
              <w:rPr>
                <w:sz w:val="20"/>
                <w:szCs w:val="20"/>
              </w:rPr>
            </w:pPr>
            <w:r w:rsidRPr="000717E1">
              <w:rPr>
                <w:sz w:val="20"/>
                <w:szCs w:val="20"/>
              </w:rPr>
              <w:t>16/934</w:t>
            </w:r>
          </w:p>
        </w:tc>
        <w:tc>
          <w:tcPr>
            <w:tcW w:w="1555" w:type="dxa"/>
            <w:gridSpan w:val="2"/>
            <w:tcBorders>
              <w:top w:val="single" w:sz="4" w:space="0" w:color="auto"/>
              <w:left w:val="single" w:sz="4" w:space="0" w:color="auto"/>
              <w:bottom w:val="single" w:sz="4" w:space="0" w:color="auto"/>
              <w:right w:val="single" w:sz="4" w:space="0" w:color="auto"/>
            </w:tcBorders>
            <w:vAlign w:val="center"/>
          </w:tcPr>
          <w:p w14:paraId="359AFDB3" w14:textId="77777777" w:rsidR="003C3FE6" w:rsidRPr="000717E1" w:rsidRDefault="003C3FE6" w:rsidP="003C3FE6">
            <w:pPr>
              <w:pStyle w:val="TableText0"/>
              <w:jc w:val="center"/>
              <w:rPr>
                <w:sz w:val="20"/>
                <w:szCs w:val="20"/>
              </w:rPr>
            </w:pPr>
            <w:r w:rsidRPr="000717E1">
              <w:rPr>
                <w:sz w:val="20"/>
                <w:szCs w:val="20"/>
              </w:rPr>
              <w:t>1.14 (0.69, 1.87)</w:t>
            </w:r>
          </w:p>
        </w:tc>
        <w:tc>
          <w:tcPr>
            <w:tcW w:w="1133" w:type="dxa"/>
            <w:gridSpan w:val="3"/>
            <w:tcBorders>
              <w:top w:val="single" w:sz="4" w:space="0" w:color="auto"/>
              <w:left w:val="single" w:sz="4" w:space="0" w:color="auto"/>
              <w:bottom w:val="single" w:sz="4" w:space="0" w:color="auto"/>
              <w:right w:val="single" w:sz="4" w:space="0" w:color="auto"/>
            </w:tcBorders>
            <w:vAlign w:val="center"/>
          </w:tcPr>
          <w:p w14:paraId="16038BE7" w14:textId="77777777" w:rsidR="003C3FE6" w:rsidRPr="000717E1" w:rsidRDefault="003C3FE6" w:rsidP="003C3FE6">
            <w:pPr>
              <w:pStyle w:val="TableText0"/>
              <w:jc w:val="center"/>
              <w:rPr>
                <w:sz w:val="20"/>
                <w:szCs w:val="20"/>
              </w:rPr>
            </w:pPr>
            <w:r w:rsidRPr="000717E1">
              <w:rPr>
                <w:sz w:val="20"/>
                <w:szCs w:val="20"/>
              </w:rPr>
              <w:t>2</w:t>
            </w:r>
          </w:p>
        </w:tc>
        <w:tc>
          <w:tcPr>
            <w:tcW w:w="1361" w:type="dxa"/>
            <w:gridSpan w:val="4"/>
            <w:tcBorders>
              <w:top w:val="single" w:sz="4" w:space="0" w:color="auto"/>
              <w:left w:val="single" w:sz="4" w:space="0" w:color="auto"/>
              <w:bottom w:val="single" w:sz="4" w:space="0" w:color="auto"/>
              <w:right w:val="single" w:sz="4" w:space="0" w:color="auto"/>
            </w:tcBorders>
            <w:vAlign w:val="center"/>
          </w:tcPr>
          <w:p w14:paraId="211AE886" w14:textId="77777777" w:rsidR="003C3FE6" w:rsidRPr="000717E1" w:rsidRDefault="003C3FE6" w:rsidP="003C3FE6">
            <w:pPr>
              <w:pStyle w:val="TableText0"/>
              <w:jc w:val="center"/>
              <w:rPr>
                <w:sz w:val="20"/>
                <w:szCs w:val="20"/>
              </w:rPr>
            </w:pPr>
            <w:r w:rsidRPr="000717E1">
              <w:rPr>
                <w:sz w:val="20"/>
                <w:szCs w:val="20"/>
              </w:rPr>
              <w:t>2</w:t>
            </w:r>
          </w:p>
        </w:tc>
        <w:tc>
          <w:tcPr>
            <w:tcW w:w="1392" w:type="dxa"/>
            <w:tcBorders>
              <w:top w:val="single" w:sz="4" w:space="0" w:color="auto"/>
              <w:left w:val="single" w:sz="4" w:space="0" w:color="auto"/>
              <w:bottom w:val="single" w:sz="4" w:space="0" w:color="auto"/>
              <w:right w:val="single" w:sz="4" w:space="0" w:color="auto"/>
            </w:tcBorders>
            <w:vAlign w:val="center"/>
          </w:tcPr>
          <w:p w14:paraId="20571AB9" w14:textId="77777777" w:rsidR="003C3FE6" w:rsidRPr="000717E1" w:rsidRDefault="003C3FE6" w:rsidP="003C3FE6">
            <w:pPr>
              <w:pStyle w:val="TableText0"/>
              <w:jc w:val="center"/>
              <w:rPr>
                <w:sz w:val="20"/>
                <w:szCs w:val="20"/>
              </w:rPr>
            </w:pPr>
            <w:r w:rsidRPr="000717E1">
              <w:rPr>
                <w:sz w:val="20"/>
                <w:szCs w:val="20"/>
              </w:rPr>
              <w:t>0.01 (-0.01, 0.02)</w:t>
            </w:r>
          </w:p>
        </w:tc>
      </w:tr>
    </w:tbl>
    <w:p w14:paraId="13BE16DE" w14:textId="77777777" w:rsidR="00A979D9" w:rsidRPr="000717E1" w:rsidRDefault="00A979D9" w:rsidP="00A979D9">
      <w:pPr>
        <w:pStyle w:val="FooterTableFigure"/>
        <w:keepLines/>
        <w:jc w:val="left"/>
      </w:pPr>
      <w:r w:rsidRPr="000717E1">
        <w:t>Source: Table 2.5-3 p73, Table 2.5-8 p83 of the submission; Table 43 p123 BOREAS CSR; Table 42p121 NOTUS CSR.</w:t>
      </w:r>
    </w:p>
    <w:p w14:paraId="7E7FF8F8" w14:textId="33CDA897" w:rsidR="00A979D9" w:rsidRPr="000717E1" w:rsidRDefault="00A979D9" w:rsidP="00A979D9">
      <w:pPr>
        <w:pStyle w:val="FooterTableFigure"/>
        <w:rPr>
          <w:rFonts w:eastAsia="Calibri"/>
        </w:rPr>
      </w:pPr>
      <w:r w:rsidRPr="000717E1">
        <w:rPr>
          <w:rFonts w:eastAsia="Calibri"/>
        </w:rPr>
        <w:t>AECOPD = acute exacerbation</w:t>
      </w:r>
      <w:r w:rsidR="00073AC5" w:rsidRPr="000717E1">
        <w:rPr>
          <w:rFonts w:eastAsia="Calibri"/>
        </w:rPr>
        <w:t>(s)</w:t>
      </w:r>
      <w:r w:rsidRPr="000717E1">
        <w:rPr>
          <w:rFonts w:eastAsia="Calibri"/>
        </w:rPr>
        <w:t xml:space="preserve"> of chronic obstructive pulmonary disease; CI = confidence interval; </w:t>
      </w:r>
      <w:r w:rsidR="005C6E11" w:rsidRPr="000717E1">
        <w:rPr>
          <w:rFonts w:eastAsia="Calibri"/>
        </w:rPr>
        <w:t xml:space="preserve">COPD = chronic obstructive pulmonary disease; </w:t>
      </w:r>
      <w:r w:rsidRPr="000717E1">
        <w:rPr>
          <w:rFonts w:eastAsia="Calibri"/>
        </w:rPr>
        <w:t xml:space="preserve">ICS = inhaled corticosteroid; ITT = intention to treat; LS = least squares; n = number of patients with event; N = total patients in group; NR = not reported; </w:t>
      </w:r>
      <w:r w:rsidRPr="000717E1">
        <w:t xml:space="preserve">PBO = placebo; </w:t>
      </w:r>
      <w:r w:rsidR="00EA037F" w:rsidRPr="000717E1">
        <w:t>pre-BD FEV</w:t>
      </w:r>
      <w:r w:rsidR="00EA037F" w:rsidRPr="000717E1">
        <w:rPr>
          <w:vertAlign w:val="subscript"/>
        </w:rPr>
        <w:t>1</w:t>
      </w:r>
      <w:r w:rsidR="00EA037F" w:rsidRPr="000717E1">
        <w:t xml:space="preserve"> = pre-bronchodilator forced expiratory volume in 1 second; </w:t>
      </w:r>
      <w:r w:rsidRPr="000717E1">
        <w:t>RD = risk difference; RR = risk ratio</w:t>
      </w:r>
      <w:r w:rsidR="009529C7" w:rsidRPr="000717E1">
        <w:t>;</w:t>
      </w:r>
      <w:r w:rsidR="005C6E11" w:rsidRPr="000717E1">
        <w:t xml:space="preserve"> SGRQ = St George Respiratory Questionnaire; </w:t>
      </w:r>
      <w:r w:rsidR="009529C7" w:rsidRPr="000717E1">
        <w:t>TEAE = treatment emergent adverse event.</w:t>
      </w:r>
    </w:p>
    <w:p w14:paraId="0E7F3663" w14:textId="77777777" w:rsidR="00A979D9" w:rsidRPr="000717E1" w:rsidRDefault="00A979D9" w:rsidP="00A979D9">
      <w:pPr>
        <w:pStyle w:val="FooterTableFigure"/>
        <w:keepLines/>
        <w:jc w:val="left"/>
      </w:pPr>
      <w:r w:rsidRPr="000717E1">
        <w:rPr>
          <w:vertAlign w:val="superscript"/>
        </w:rPr>
        <w:t>a</w:t>
      </w:r>
      <w:r w:rsidRPr="000717E1">
        <w:t xml:space="preserve"> Derived using negative binomial model with the total number of the events occurring during the 52-week treatment period as the response variable, and treatment group, study (if pooled), region (pooled country), ICS dose, smoking status at screening, baseline disease severity, and number of moderate or severe COPD exacerbation events within one year prior to the study as covariates, and log-transformed treatment duration as an offset variable.</w:t>
      </w:r>
    </w:p>
    <w:p w14:paraId="477F7E8A" w14:textId="77777777" w:rsidR="005C6E11" w:rsidRPr="000717E1" w:rsidRDefault="00A979D9" w:rsidP="00A979D9">
      <w:pPr>
        <w:pStyle w:val="FooterTableFigure"/>
        <w:keepLines/>
        <w:jc w:val="left"/>
      </w:pPr>
      <w:r w:rsidRPr="000717E1">
        <w:rPr>
          <w:vertAlign w:val="superscript"/>
        </w:rPr>
        <w:t>b</w:t>
      </w:r>
      <w:r w:rsidRPr="000717E1">
        <w:t xml:space="preserve"> Derived using delta method.</w:t>
      </w:r>
    </w:p>
    <w:p w14:paraId="415623D8" w14:textId="49D57FB4" w:rsidR="00A979D9" w:rsidRPr="000717E1" w:rsidRDefault="005C6E11" w:rsidP="00A979D9">
      <w:pPr>
        <w:pStyle w:val="FooterTableFigure"/>
        <w:keepLines/>
        <w:jc w:val="left"/>
      </w:pPr>
      <w:r w:rsidRPr="000717E1">
        <w:rPr>
          <w:vertAlign w:val="superscript"/>
        </w:rPr>
        <w:t>c</w:t>
      </w:r>
      <w:r w:rsidRPr="000717E1">
        <w:t xml:space="preserve"> </w:t>
      </w:r>
      <w:r w:rsidR="00827EA5" w:rsidRPr="000717E1">
        <w:t>E</w:t>
      </w:r>
      <w:r w:rsidRPr="000717E1">
        <w:t xml:space="preserve">stimated for the purposes of the </w:t>
      </w:r>
      <w:r w:rsidR="00E238B3" w:rsidRPr="000717E1">
        <w:t>evaluation</w:t>
      </w:r>
      <w:r w:rsidRPr="000717E1">
        <w:t xml:space="preserve"> using data noted above.</w:t>
      </w:r>
    </w:p>
    <w:p w14:paraId="65655836" w14:textId="77777777" w:rsidR="00573A1C" w:rsidRPr="000717E1" w:rsidRDefault="00A979D9" w:rsidP="00A979D9">
      <w:pPr>
        <w:pStyle w:val="3-BodyText"/>
      </w:pPr>
      <w:proofErr w:type="gramStart"/>
      <w:r w:rsidRPr="000717E1">
        <w:t>On the basis of</w:t>
      </w:r>
      <w:proofErr w:type="gramEnd"/>
      <w:r w:rsidRPr="000717E1">
        <w:t xml:space="preserve"> the evidence presented by the submission</w:t>
      </w:r>
      <w:r w:rsidR="00573A1C" w:rsidRPr="000717E1">
        <w:t>:</w:t>
      </w:r>
    </w:p>
    <w:p w14:paraId="5D533E04" w14:textId="11CE6881" w:rsidR="00573A1C" w:rsidRPr="000717E1" w:rsidRDefault="00A1444F" w:rsidP="00E64392">
      <w:pPr>
        <w:pStyle w:val="3-BodyText"/>
        <w:numPr>
          <w:ilvl w:val="0"/>
          <w:numId w:val="14"/>
        </w:numPr>
      </w:pPr>
      <w:r w:rsidRPr="000717E1">
        <w:t>F</w:t>
      </w:r>
      <w:r w:rsidR="00A979D9" w:rsidRPr="000717E1">
        <w:t>or each 100 patients treated with dupilumab + triple inhaled therapy, compared with triple inhaled therapy alone</w:t>
      </w:r>
      <w:r w:rsidR="00573A1C" w:rsidRPr="000717E1">
        <w:t xml:space="preserve">, approximately </w:t>
      </w:r>
      <w:r w:rsidR="00A979D9" w:rsidRPr="000717E1">
        <w:t xml:space="preserve">36 fewer moderate </w:t>
      </w:r>
      <w:r w:rsidR="006F3587" w:rsidRPr="000717E1">
        <w:t xml:space="preserve">or </w:t>
      </w:r>
      <w:r w:rsidR="00A979D9" w:rsidRPr="000717E1">
        <w:t xml:space="preserve">severe COPD exacerbations </w:t>
      </w:r>
      <w:r w:rsidR="006F3587" w:rsidRPr="000717E1">
        <w:t xml:space="preserve">will occur </w:t>
      </w:r>
      <w:r w:rsidR="00A979D9" w:rsidRPr="000717E1">
        <w:t xml:space="preserve">per year. The submission did not indicate what difference in moderate to severe AECOPD </w:t>
      </w:r>
      <w:proofErr w:type="gramStart"/>
      <w:r w:rsidR="00A979D9" w:rsidRPr="000717E1">
        <w:t>was considered to be</w:t>
      </w:r>
      <w:proofErr w:type="gramEnd"/>
      <w:r w:rsidR="00A979D9" w:rsidRPr="000717E1">
        <w:t xml:space="preserve"> clinically meaningful.</w:t>
      </w:r>
    </w:p>
    <w:p w14:paraId="3F73DF8F" w14:textId="78973888" w:rsidR="00573A1C" w:rsidRPr="000717E1" w:rsidRDefault="00573A1C" w:rsidP="00E64392">
      <w:pPr>
        <w:pStyle w:val="3-BodyText"/>
        <w:numPr>
          <w:ilvl w:val="0"/>
          <w:numId w:val="14"/>
        </w:numPr>
      </w:pPr>
      <w:r w:rsidRPr="000717E1">
        <w:lastRenderedPageBreak/>
        <w:t xml:space="preserve">For each patient treated with dupilumab + triple inhaled therapy for 52 weeks compared with triple inhaled therapy alone, </w:t>
      </w:r>
      <w:r w:rsidR="00E17A8B" w:rsidRPr="000717E1">
        <w:t xml:space="preserve">there will be </w:t>
      </w:r>
      <w:r w:rsidR="006F3587" w:rsidRPr="000717E1">
        <w:t xml:space="preserve">a reduction of </w:t>
      </w:r>
      <w:r w:rsidRPr="000717E1">
        <w:t>approximately 3.4 point</w:t>
      </w:r>
      <w:r w:rsidR="006F3587" w:rsidRPr="000717E1">
        <w:t>s</w:t>
      </w:r>
      <w:r w:rsidRPr="000717E1">
        <w:t xml:space="preserve"> in the SGRQ </w:t>
      </w:r>
      <w:r w:rsidR="00E17A8B" w:rsidRPr="000717E1">
        <w:t>score</w:t>
      </w:r>
      <w:r w:rsidRPr="000717E1">
        <w:t>.</w:t>
      </w:r>
      <w:r w:rsidR="006F3587" w:rsidRPr="000717E1">
        <w:t xml:space="preserve"> A reduction of 4 points is considered </w:t>
      </w:r>
      <w:r w:rsidR="006F537E" w:rsidRPr="000717E1">
        <w:t xml:space="preserve">clinically </w:t>
      </w:r>
      <w:r w:rsidR="006F3587" w:rsidRPr="000717E1">
        <w:t>meaningful.</w:t>
      </w:r>
    </w:p>
    <w:p w14:paraId="7B2A04DA" w14:textId="29CCB1FE" w:rsidR="00573A1C" w:rsidRPr="000717E1" w:rsidRDefault="00573A1C" w:rsidP="00E64392">
      <w:pPr>
        <w:pStyle w:val="3-BodyText"/>
        <w:numPr>
          <w:ilvl w:val="0"/>
          <w:numId w:val="14"/>
        </w:numPr>
      </w:pPr>
      <w:r w:rsidRPr="000717E1">
        <w:t xml:space="preserve">For each patient treated with dupilumab + triple inhaled therapy for 12 weeks compared with triple inhaled therapy alone, </w:t>
      </w:r>
      <w:r w:rsidR="006F3587" w:rsidRPr="000717E1">
        <w:t xml:space="preserve">an increase of </w:t>
      </w:r>
      <w:r w:rsidRPr="000717E1">
        <w:t>approximately 83 mL in pre-BD FEV</w:t>
      </w:r>
      <w:r w:rsidRPr="00962B5A">
        <w:t>1</w:t>
      </w:r>
      <w:r w:rsidRPr="000717E1">
        <w:t xml:space="preserve"> will be reported.</w:t>
      </w:r>
      <w:r w:rsidR="006F3587" w:rsidRPr="000717E1">
        <w:t xml:space="preserve"> The volume change (in mL) that is considered </w:t>
      </w:r>
      <w:r w:rsidR="006158A4" w:rsidRPr="000717E1">
        <w:t xml:space="preserve">clinically </w:t>
      </w:r>
      <w:r w:rsidR="006F3587" w:rsidRPr="000717E1">
        <w:t xml:space="preserve">meaningful </w:t>
      </w:r>
      <w:r w:rsidR="006158A4" w:rsidRPr="000717E1">
        <w:t>wa</w:t>
      </w:r>
      <w:r w:rsidR="006F3587" w:rsidRPr="000717E1">
        <w:t>s not defined.</w:t>
      </w:r>
    </w:p>
    <w:p w14:paraId="42680834" w14:textId="0085EB19" w:rsidR="00573A1C" w:rsidRPr="000717E1" w:rsidRDefault="0036329E" w:rsidP="00E64392">
      <w:pPr>
        <w:pStyle w:val="3-BodyText"/>
        <w:numPr>
          <w:ilvl w:val="0"/>
          <w:numId w:val="14"/>
        </w:numPr>
      </w:pPr>
      <w:r w:rsidRPr="000717E1">
        <w:t xml:space="preserve">For each 100 patients treated </w:t>
      </w:r>
      <w:r w:rsidR="001B0C4A" w:rsidRPr="000717E1">
        <w:t>with dupilumab + triple therapy</w:t>
      </w:r>
      <w:r w:rsidR="00FF0E11" w:rsidRPr="000717E1">
        <w:t xml:space="preserve"> in the BO</w:t>
      </w:r>
      <w:r w:rsidR="00E338EF" w:rsidRPr="000717E1">
        <w:t>REAS trial</w:t>
      </w:r>
      <w:r w:rsidR="00835C91" w:rsidRPr="000717E1">
        <w:t>, compared with triple inhaled therapy alone,</w:t>
      </w:r>
      <w:r w:rsidR="00FF0E11" w:rsidRPr="000717E1">
        <w:t xml:space="preserve"> </w:t>
      </w:r>
      <w:r w:rsidR="00E21FBB" w:rsidRPr="000717E1">
        <w:t>a</w:t>
      </w:r>
      <w:r w:rsidR="001D72ED" w:rsidRPr="000717E1">
        <w:t>pproximately an</w:t>
      </w:r>
      <w:r w:rsidR="00E21FBB" w:rsidRPr="000717E1">
        <w:t xml:space="preserve"> additional 4 patients ex</w:t>
      </w:r>
      <w:r w:rsidR="00EF748F" w:rsidRPr="000717E1">
        <w:t>perienced treatment related adverse events, and most commonly these were injection</w:t>
      </w:r>
      <w:r w:rsidR="001F51D9" w:rsidRPr="000717E1">
        <w:t>-site reaction</w:t>
      </w:r>
      <w:r w:rsidR="00C327D4" w:rsidRPr="000717E1">
        <w:t>s</w:t>
      </w:r>
      <w:r w:rsidR="006F3587" w:rsidRPr="000717E1">
        <w:t>.</w:t>
      </w:r>
    </w:p>
    <w:p w14:paraId="0ABCDC5F" w14:textId="77777777" w:rsidR="00A979D9" w:rsidRPr="000717E1" w:rsidRDefault="00A979D9" w:rsidP="00A979D9">
      <w:pPr>
        <w:pStyle w:val="4-SubsectionHeading"/>
      </w:pPr>
      <w:bookmarkStart w:id="57" w:name="_Toc22897644"/>
      <w:bookmarkStart w:id="58" w:name="_Toc216174094"/>
      <w:bookmarkStart w:id="59" w:name="_Toc219880044"/>
      <w:r w:rsidRPr="000717E1">
        <w:t>Clinical claim</w:t>
      </w:r>
      <w:bookmarkEnd w:id="57"/>
      <w:bookmarkEnd w:id="58"/>
      <w:bookmarkEnd w:id="59"/>
    </w:p>
    <w:p w14:paraId="0A5ED433" w14:textId="4F131883" w:rsidR="00A979D9" w:rsidRPr="000717E1" w:rsidRDefault="00A979D9" w:rsidP="00A979D9">
      <w:pPr>
        <w:pStyle w:val="3-BodyText"/>
        <w:rPr>
          <w:rFonts w:eastAsia="Calibri"/>
        </w:rPr>
      </w:pPr>
      <w:r w:rsidRPr="000717E1">
        <w:rPr>
          <w:rFonts w:eastAsia="Calibri"/>
        </w:rPr>
        <w:t>The submission described dupilumab + triple inhaled therapy as superior in terms of effectiveness compared to triple inhaled therapy alone</w:t>
      </w:r>
      <w:r w:rsidR="00304FF5" w:rsidRPr="000717E1">
        <w:rPr>
          <w:rFonts w:eastAsia="Calibri"/>
        </w:rPr>
        <w:t>, in patients with uncontrolled COPD with type 2 inflammation</w:t>
      </w:r>
      <w:r w:rsidRPr="000717E1">
        <w:rPr>
          <w:rFonts w:eastAsia="Calibri"/>
        </w:rPr>
        <w:t xml:space="preserve">. </w:t>
      </w:r>
      <w:r w:rsidRPr="001F3F0F">
        <w:rPr>
          <w:rFonts w:eastAsia="Calibri"/>
          <w:iCs/>
        </w:rPr>
        <w:t>T</w:t>
      </w:r>
      <w:r w:rsidR="00BF7D35" w:rsidRPr="001F3F0F">
        <w:rPr>
          <w:rFonts w:eastAsia="Calibri"/>
          <w:iCs/>
        </w:rPr>
        <w:t xml:space="preserve">he </w:t>
      </w:r>
      <w:r w:rsidR="00BC40EC" w:rsidRPr="001F3F0F">
        <w:rPr>
          <w:rFonts w:eastAsia="Calibri"/>
          <w:iCs/>
        </w:rPr>
        <w:t xml:space="preserve">Sub-Committees </w:t>
      </w:r>
      <w:r w:rsidR="00525EF7" w:rsidRPr="001F3F0F">
        <w:rPr>
          <w:rFonts w:eastAsia="Calibri"/>
          <w:iCs/>
        </w:rPr>
        <w:t xml:space="preserve">agreed with the evaluation that </w:t>
      </w:r>
      <w:r w:rsidR="00BF7D35" w:rsidRPr="000717E1">
        <w:rPr>
          <w:rFonts w:eastAsia="Calibri"/>
        </w:rPr>
        <w:t>t</w:t>
      </w:r>
      <w:r w:rsidRPr="000717E1">
        <w:rPr>
          <w:rFonts w:eastAsia="Calibri"/>
        </w:rPr>
        <w:t>his claim was adequately supported by the evidence presented by the submission with respect to the primary outcome. While the efficacy of dupilumab was demonstrated through the primary outcome, it is not clear to what extent COVID-19 impacted the absolute occurrence of moderate/severe AECOPD events in the treatment arms, and whether this treatment effect is likely to be observed in clinical practice.</w:t>
      </w:r>
    </w:p>
    <w:p w14:paraId="72FF6F06" w14:textId="2EDF1B16" w:rsidR="00A979D9" w:rsidRPr="000717E1" w:rsidRDefault="00A979D9" w:rsidP="00A979D9">
      <w:pPr>
        <w:pStyle w:val="3-BodyText"/>
        <w:rPr>
          <w:rFonts w:eastAsia="Calibri"/>
        </w:rPr>
      </w:pPr>
      <w:r w:rsidRPr="000717E1">
        <w:rPr>
          <w:rFonts w:eastAsia="Calibri"/>
        </w:rPr>
        <w:t>Dupilumab demonstrated a statistically significant improvement in pre-BD FEV</w:t>
      </w:r>
      <w:r w:rsidRPr="000717E1">
        <w:rPr>
          <w:rFonts w:eastAsia="Calibri"/>
          <w:vertAlign w:val="subscript"/>
        </w:rPr>
        <w:t xml:space="preserve">1 </w:t>
      </w:r>
      <w:r w:rsidRPr="000717E1">
        <w:rPr>
          <w:rFonts w:eastAsia="Calibri"/>
        </w:rPr>
        <w:t>compared to placebo, and in health</w:t>
      </w:r>
      <w:r w:rsidR="00FA6A20" w:rsidRPr="000717E1">
        <w:rPr>
          <w:rFonts w:eastAsia="Calibri"/>
        </w:rPr>
        <w:t>-</w:t>
      </w:r>
      <w:r w:rsidRPr="000717E1">
        <w:rPr>
          <w:rFonts w:eastAsia="Calibri"/>
        </w:rPr>
        <w:t xml:space="preserve">related quality of life </w:t>
      </w:r>
      <w:r w:rsidR="00FA6A20" w:rsidRPr="000717E1">
        <w:rPr>
          <w:rFonts w:eastAsia="Calibri"/>
        </w:rPr>
        <w:t>(HRQoL)</w:t>
      </w:r>
      <w:r w:rsidRPr="000717E1">
        <w:rPr>
          <w:rFonts w:eastAsia="Calibri"/>
        </w:rPr>
        <w:t xml:space="preserve"> compared to placebo,</w:t>
      </w:r>
      <w:r w:rsidRPr="000717E1">
        <w:t xml:space="preserve"> </w:t>
      </w:r>
      <w:r w:rsidRPr="000717E1">
        <w:rPr>
          <w:rFonts w:eastAsia="Calibri"/>
        </w:rPr>
        <w:t>as measured by the change in SGRQ total score. Maintaining these improvements was dependent on continuing treatment with dupilumab. The submission did not discuss whether the change in pre-BD FEV</w:t>
      </w:r>
      <w:r w:rsidRPr="000717E1">
        <w:rPr>
          <w:rFonts w:eastAsia="Calibri"/>
          <w:vertAlign w:val="subscript"/>
        </w:rPr>
        <w:t xml:space="preserve">1 </w:t>
      </w:r>
      <w:r w:rsidRPr="000717E1">
        <w:rPr>
          <w:rFonts w:eastAsia="Calibri"/>
        </w:rPr>
        <w:t>was clinically meaningful</w:t>
      </w:r>
      <w:r w:rsidR="005B4F34" w:rsidRPr="000717E1">
        <w:rPr>
          <w:rFonts w:eastAsia="Calibri"/>
        </w:rPr>
        <w:t>.</w:t>
      </w:r>
      <w:r w:rsidRPr="000717E1">
        <w:rPr>
          <w:rFonts w:eastAsia="Calibri"/>
        </w:rPr>
        <w:t xml:space="preserve"> </w:t>
      </w:r>
      <w:r w:rsidR="005B4F34" w:rsidRPr="000717E1">
        <w:rPr>
          <w:rFonts w:eastAsia="Calibri"/>
        </w:rPr>
        <w:t>T</w:t>
      </w:r>
      <w:r w:rsidRPr="000717E1">
        <w:rPr>
          <w:rFonts w:eastAsia="Calibri"/>
        </w:rPr>
        <w:t xml:space="preserve">he change in SGRQ </w:t>
      </w:r>
      <w:r w:rsidRPr="000717E1">
        <w:t xml:space="preserve">did not meet </w:t>
      </w:r>
      <w:r w:rsidR="005B4F34" w:rsidRPr="000717E1">
        <w:t xml:space="preserve">the pre-specified </w:t>
      </w:r>
      <w:r w:rsidRPr="000717E1">
        <w:t>MCID.</w:t>
      </w:r>
    </w:p>
    <w:p w14:paraId="4C532734" w14:textId="7D08B345" w:rsidR="00A979D9" w:rsidRDefault="00A979D9" w:rsidP="00A979D9">
      <w:pPr>
        <w:pStyle w:val="3-BodyText"/>
        <w:rPr>
          <w:rFonts w:eastAsia="Calibri"/>
        </w:rPr>
      </w:pPr>
      <w:bookmarkStart w:id="60" w:name="_Toc22897650"/>
      <w:r w:rsidRPr="000717E1">
        <w:rPr>
          <w:rFonts w:eastAsia="Calibri"/>
        </w:rPr>
        <w:t xml:space="preserve">The submission claimed that dupilumab + triple inhaled therapy was non-inferior in terms of safety, compared to triple inhaled therapy alone, in patients with uncontrolled COPD with type 2 inflammation. </w:t>
      </w:r>
      <w:r w:rsidR="002E4B08" w:rsidRPr="001F3F0F">
        <w:rPr>
          <w:rFonts w:eastAsia="Calibri"/>
          <w:iCs/>
        </w:rPr>
        <w:t xml:space="preserve">The Sub-Committees </w:t>
      </w:r>
      <w:r w:rsidR="005B57E6" w:rsidRPr="001F3F0F">
        <w:rPr>
          <w:rFonts w:eastAsia="Calibri"/>
          <w:iCs/>
        </w:rPr>
        <w:t>agreed with the evaluation</w:t>
      </w:r>
      <w:r w:rsidR="002E4B08" w:rsidRPr="001F3F0F">
        <w:rPr>
          <w:rFonts w:eastAsia="Calibri"/>
          <w:iCs/>
        </w:rPr>
        <w:t xml:space="preserve"> that this</w:t>
      </w:r>
      <w:r w:rsidR="002E4B08" w:rsidRPr="000717E1">
        <w:rPr>
          <w:rFonts w:eastAsia="Calibri"/>
        </w:rPr>
        <w:t xml:space="preserve"> </w:t>
      </w:r>
      <w:r w:rsidRPr="000717E1">
        <w:rPr>
          <w:rFonts w:eastAsia="Calibri"/>
        </w:rPr>
        <w:t xml:space="preserve">claim was adequately supported. </w:t>
      </w:r>
      <w:r w:rsidR="00C36C69" w:rsidRPr="001F3F0F">
        <w:rPr>
          <w:rFonts w:eastAsia="Calibri"/>
          <w:iCs/>
        </w:rPr>
        <w:t>However, the</w:t>
      </w:r>
      <w:r w:rsidR="00C36C69" w:rsidRPr="000717E1">
        <w:rPr>
          <w:rFonts w:eastAsia="Calibri"/>
        </w:rPr>
        <w:t xml:space="preserve"> </w:t>
      </w:r>
      <w:r w:rsidR="00C36C69" w:rsidRPr="001F3F0F">
        <w:rPr>
          <w:iCs/>
        </w:rPr>
        <w:t>Sub-Committees noted that</w:t>
      </w:r>
      <w:r w:rsidR="00C36C69" w:rsidRPr="000717E1">
        <w:t xml:space="preserve"> </w:t>
      </w:r>
      <w:r w:rsidR="00C36C69" w:rsidRPr="001F3F0F">
        <w:rPr>
          <w:iCs/>
        </w:rPr>
        <w:t>TEAEs related to the investigational medicinal product</w:t>
      </w:r>
      <w:r w:rsidR="009613A6" w:rsidRPr="001F3F0F">
        <w:rPr>
          <w:iCs/>
        </w:rPr>
        <w:t xml:space="preserve"> </w:t>
      </w:r>
      <w:r w:rsidR="00C36C69" w:rsidRPr="001F3F0F">
        <w:rPr>
          <w:iCs/>
        </w:rPr>
        <w:t>were higher in the dupilumab arm in BOREAS (7.5% versus 3.8%) and the pooled safety data (5.3% versus 3.9%)</w:t>
      </w:r>
      <w:r w:rsidR="00434CC7" w:rsidRPr="001F3F0F">
        <w:rPr>
          <w:iCs/>
        </w:rPr>
        <w:t xml:space="preserve"> with the submission attributing this difference</w:t>
      </w:r>
      <w:r w:rsidR="009E7668" w:rsidRPr="001F3F0F">
        <w:rPr>
          <w:iCs/>
        </w:rPr>
        <w:t xml:space="preserve"> </w:t>
      </w:r>
      <w:r w:rsidR="004B1626" w:rsidRPr="001F3F0F">
        <w:rPr>
          <w:iCs/>
        </w:rPr>
        <w:t>to a higher number of injection site reactions in patients receiving dupilumab</w:t>
      </w:r>
      <w:r w:rsidR="00C36C69" w:rsidRPr="001F3F0F">
        <w:rPr>
          <w:iCs/>
        </w:rPr>
        <w:t>.</w:t>
      </w:r>
      <w:r w:rsidR="00C36C69" w:rsidRPr="000717E1">
        <w:t xml:space="preserve"> </w:t>
      </w:r>
      <w:r w:rsidRPr="000717E1">
        <w:rPr>
          <w:rFonts w:eastAsia="Calibri"/>
        </w:rPr>
        <w:t>A longer duration of follow-up is needed to adequately capture the long-term safety of dupilumab in COPD patients.</w:t>
      </w:r>
    </w:p>
    <w:p w14:paraId="73969BF5" w14:textId="337B303C" w:rsidR="006B5B57" w:rsidRPr="006B5B57" w:rsidRDefault="006B5B57" w:rsidP="006B5B57">
      <w:pPr>
        <w:pStyle w:val="3-BodyText"/>
        <w:widowControl w:val="0"/>
        <w:spacing w:after="120"/>
        <w:rPr>
          <w:snapToGrid w:val="0"/>
          <w:szCs w:val="20"/>
        </w:rPr>
      </w:pPr>
      <w:bookmarkStart w:id="61" w:name="_Hlk76376200"/>
      <w:r w:rsidRPr="006B5B57">
        <w:rPr>
          <w:iCs/>
          <w:snapToGrid w:val="0"/>
        </w:rPr>
        <w:t>The</w:t>
      </w:r>
      <w:r w:rsidRPr="006B5B57">
        <w:rPr>
          <w:snapToGrid w:val="0"/>
          <w:szCs w:val="20"/>
        </w:rPr>
        <w:t xml:space="preserve"> PBAC considered that the claim of superior comparative effectiveness was reasonable.</w:t>
      </w:r>
    </w:p>
    <w:p w14:paraId="3D665177" w14:textId="17A308F7" w:rsidR="001752F6" w:rsidRPr="006B5B57" w:rsidRDefault="006B5B57" w:rsidP="006B5B57">
      <w:pPr>
        <w:pStyle w:val="3-BodyText"/>
        <w:widowControl w:val="0"/>
        <w:spacing w:after="120"/>
        <w:rPr>
          <w:snapToGrid w:val="0"/>
          <w:szCs w:val="20"/>
        </w:rPr>
      </w:pPr>
      <w:r w:rsidRPr="006B5B57">
        <w:rPr>
          <w:snapToGrid w:val="0"/>
          <w:szCs w:val="20"/>
        </w:rPr>
        <w:t xml:space="preserve">The PBAC considered that the claim of non-inferior comparative safety was </w:t>
      </w:r>
      <w:r w:rsidR="00262557">
        <w:rPr>
          <w:snapToGrid w:val="0"/>
          <w:szCs w:val="20"/>
        </w:rPr>
        <w:t>likely</w:t>
      </w:r>
      <w:r w:rsidRPr="006B5B57">
        <w:rPr>
          <w:snapToGrid w:val="0"/>
          <w:szCs w:val="20"/>
        </w:rPr>
        <w:t xml:space="preserve"> reasonable.</w:t>
      </w:r>
      <w:bookmarkEnd w:id="61"/>
      <w:r w:rsidR="00F27941">
        <w:rPr>
          <w:snapToGrid w:val="0"/>
          <w:szCs w:val="20"/>
        </w:rPr>
        <w:t xml:space="preserve"> </w:t>
      </w:r>
      <w:r w:rsidR="00327191">
        <w:rPr>
          <w:snapToGrid w:val="0"/>
          <w:szCs w:val="20"/>
        </w:rPr>
        <w:t>However, the</w:t>
      </w:r>
      <w:r w:rsidR="00F27941">
        <w:rPr>
          <w:snapToGrid w:val="0"/>
          <w:szCs w:val="20"/>
        </w:rPr>
        <w:t xml:space="preserve"> PBAC noted that </w:t>
      </w:r>
      <w:r w:rsidR="00327191">
        <w:rPr>
          <w:snapToGrid w:val="0"/>
          <w:szCs w:val="20"/>
        </w:rPr>
        <w:t xml:space="preserve">injection site reactions </w:t>
      </w:r>
      <w:r w:rsidR="00510005">
        <w:rPr>
          <w:snapToGrid w:val="0"/>
          <w:szCs w:val="20"/>
        </w:rPr>
        <w:t>were</w:t>
      </w:r>
      <w:r w:rsidR="00F512C2">
        <w:rPr>
          <w:snapToGrid w:val="0"/>
          <w:szCs w:val="20"/>
        </w:rPr>
        <w:t xml:space="preserve"> more </w:t>
      </w:r>
      <w:r w:rsidR="00F512C2">
        <w:rPr>
          <w:snapToGrid w:val="0"/>
          <w:szCs w:val="20"/>
        </w:rPr>
        <w:lastRenderedPageBreak/>
        <w:t>common in</w:t>
      </w:r>
      <w:r w:rsidR="00CD20A0">
        <w:rPr>
          <w:snapToGrid w:val="0"/>
          <w:szCs w:val="20"/>
        </w:rPr>
        <w:t xml:space="preserve"> </w:t>
      </w:r>
      <w:r w:rsidR="00327191">
        <w:rPr>
          <w:snapToGrid w:val="0"/>
          <w:szCs w:val="20"/>
        </w:rPr>
        <w:t xml:space="preserve">dupilumab </w:t>
      </w:r>
      <w:r w:rsidR="0033267D">
        <w:rPr>
          <w:snapToGrid w:val="0"/>
          <w:szCs w:val="20"/>
        </w:rPr>
        <w:t>patients</w:t>
      </w:r>
      <w:r w:rsidR="00327191">
        <w:rPr>
          <w:snapToGrid w:val="0"/>
          <w:szCs w:val="20"/>
        </w:rPr>
        <w:t xml:space="preserve"> </w:t>
      </w:r>
      <w:r w:rsidR="00AE5CA4">
        <w:rPr>
          <w:snapToGrid w:val="0"/>
          <w:szCs w:val="20"/>
        </w:rPr>
        <w:t>compared with</w:t>
      </w:r>
      <w:r w:rsidR="00327191">
        <w:rPr>
          <w:snapToGrid w:val="0"/>
          <w:szCs w:val="20"/>
        </w:rPr>
        <w:t xml:space="preserve"> </w:t>
      </w:r>
      <w:r w:rsidR="00CD20A0">
        <w:rPr>
          <w:snapToGrid w:val="0"/>
          <w:szCs w:val="20"/>
        </w:rPr>
        <w:t xml:space="preserve">the </w:t>
      </w:r>
      <w:r w:rsidR="00327191">
        <w:rPr>
          <w:snapToGrid w:val="0"/>
          <w:szCs w:val="20"/>
        </w:rPr>
        <w:t>placebo</w:t>
      </w:r>
      <w:r w:rsidR="00CD20A0">
        <w:rPr>
          <w:snapToGrid w:val="0"/>
          <w:szCs w:val="20"/>
        </w:rPr>
        <w:t xml:space="preserve"> arms</w:t>
      </w:r>
      <w:r w:rsidR="001840D2">
        <w:rPr>
          <w:snapToGrid w:val="0"/>
          <w:szCs w:val="20"/>
        </w:rPr>
        <w:t xml:space="preserve"> </w:t>
      </w:r>
      <w:r w:rsidR="00CD20A0">
        <w:rPr>
          <w:snapToGrid w:val="0"/>
          <w:szCs w:val="20"/>
        </w:rPr>
        <w:t>of</w:t>
      </w:r>
      <w:r w:rsidR="001840D2">
        <w:rPr>
          <w:snapToGrid w:val="0"/>
          <w:szCs w:val="20"/>
        </w:rPr>
        <w:t xml:space="preserve"> the </w:t>
      </w:r>
      <w:r w:rsidR="001840D2" w:rsidRPr="000717E1">
        <w:t xml:space="preserve">BOREAS </w:t>
      </w:r>
      <w:r w:rsidR="001840D2">
        <w:t xml:space="preserve">and </w:t>
      </w:r>
      <w:r w:rsidR="001840D2" w:rsidRPr="000717E1">
        <w:t>NOTUS</w:t>
      </w:r>
      <w:r w:rsidR="001840D2">
        <w:t xml:space="preserve"> trials</w:t>
      </w:r>
      <w:r w:rsidR="00327191">
        <w:rPr>
          <w:snapToGrid w:val="0"/>
          <w:szCs w:val="20"/>
        </w:rPr>
        <w:t>.</w:t>
      </w:r>
    </w:p>
    <w:p w14:paraId="2914184F" w14:textId="77777777" w:rsidR="00AC64A4" w:rsidRPr="000717E1" w:rsidRDefault="00AC64A4" w:rsidP="00AC64A4">
      <w:pPr>
        <w:pStyle w:val="4-SubsectionHeading"/>
      </w:pPr>
      <w:bookmarkStart w:id="62" w:name="_Toc22897645"/>
      <w:bookmarkStart w:id="63" w:name="_Toc202884179"/>
      <w:bookmarkStart w:id="64" w:name="_Toc216468727"/>
      <w:bookmarkStart w:id="65" w:name="_Toc219880045"/>
      <w:bookmarkStart w:id="66" w:name="_Hlk219117648"/>
      <w:bookmarkStart w:id="67" w:name="_Toc22897646"/>
      <w:bookmarkStart w:id="68" w:name="_Toc202884180"/>
      <w:bookmarkStart w:id="69" w:name="_Toc216468728"/>
      <w:bookmarkStart w:id="70" w:name="_Toc22897649"/>
      <w:bookmarkStart w:id="71" w:name="_Toc202884183"/>
      <w:bookmarkStart w:id="72" w:name="_Toc216468731"/>
      <w:r w:rsidRPr="000717E1">
        <w:t>Economic analysis</w:t>
      </w:r>
      <w:bookmarkEnd w:id="62"/>
      <w:bookmarkEnd w:id="63"/>
      <w:bookmarkEnd w:id="64"/>
      <w:bookmarkEnd w:id="65"/>
      <w:r w:rsidRPr="000717E1">
        <w:t xml:space="preserve"> </w:t>
      </w:r>
    </w:p>
    <w:p w14:paraId="02F55AFB" w14:textId="55D0990E" w:rsidR="00AC64A4" w:rsidRPr="000717E1" w:rsidRDefault="00AC64A4" w:rsidP="00AC64A4">
      <w:pPr>
        <w:pStyle w:val="3-BodyText"/>
        <w:rPr>
          <w:rFonts w:eastAsia="Calibri" w:cstheme="minorHAnsi"/>
        </w:rPr>
      </w:pPr>
      <w:r w:rsidRPr="000717E1">
        <w:rPr>
          <w:rFonts w:eastAsia="Calibri" w:cstheme="minorHAnsi"/>
        </w:rPr>
        <w:t xml:space="preserve">The submission presented a stepped cost-effectiveness and cost-utility analysis comparing dupilumab + triple inhaled therapy with triple inhaled therapy alone in patients with uncontrolled COPD with type 2 inflammation. The economic evaluation used data from the BOREAS and NOTUS trials (pooled) and the published literature to extrapolate the clinical outcomes beyond the study duration (52 weeks) to estimate the costs and benefits of treatment over time (35 years). The approach to the economic evaluation is summarised in </w:t>
      </w:r>
      <w:r w:rsidRPr="000717E1">
        <w:rPr>
          <w:rFonts w:eastAsia="Calibri" w:cstheme="minorHAnsi"/>
        </w:rPr>
        <w:fldChar w:fldCharType="begin"/>
      </w:r>
      <w:r w:rsidRPr="000717E1">
        <w:rPr>
          <w:rFonts w:eastAsia="Calibri" w:cstheme="minorHAnsi"/>
        </w:rPr>
        <w:instrText xml:space="preserve"> REF _Ref216086346 \h </w:instrText>
      </w:r>
      <w:r w:rsidR="003303C0" w:rsidRPr="000717E1">
        <w:rPr>
          <w:rFonts w:eastAsia="Calibri" w:cstheme="minorHAnsi"/>
        </w:rPr>
        <w:instrText xml:space="preserve"> \* MERGEFORMAT </w:instrText>
      </w:r>
      <w:r w:rsidRPr="000717E1">
        <w:rPr>
          <w:rFonts w:eastAsia="Calibri" w:cstheme="minorHAnsi"/>
        </w:rPr>
      </w:r>
      <w:r w:rsidRPr="000717E1">
        <w:rPr>
          <w:rFonts w:eastAsia="Calibri" w:cstheme="minorHAnsi"/>
        </w:rPr>
        <w:fldChar w:fldCharType="separate"/>
      </w:r>
      <w:r w:rsidR="00281F45" w:rsidRPr="000717E1">
        <w:t xml:space="preserve">Table </w:t>
      </w:r>
      <w:r w:rsidR="00281F45">
        <w:rPr>
          <w:noProof/>
        </w:rPr>
        <w:t>10</w:t>
      </w:r>
      <w:r w:rsidRPr="000717E1">
        <w:rPr>
          <w:rFonts w:eastAsia="Calibri" w:cstheme="minorHAnsi"/>
        </w:rPr>
        <w:fldChar w:fldCharType="end"/>
      </w:r>
      <w:r w:rsidRPr="000717E1">
        <w:rPr>
          <w:rFonts w:eastAsia="Calibri" w:cstheme="minorHAnsi"/>
        </w:rPr>
        <w:t>.</w:t>
      </w:r>
    </w:p>
    <w:p w14:paraId="19AFFF37" w14:textId="43EC9A13" w:rsidR="00AC64A4" w:rsidRPr="000717E1" w:rsidRDefault="00AC64A4" w:rsidP="00AC64A4">
      <w:pPr>
        <w:pStyle w:val="Caption"/>
        <w:jc w:val="left"/>
        <w:rPr>
          <w:rStyle w:val="CommentReference"/>
          <w:b/>
          <w:szCs w:val="24"/>
        </w:rPr>
      </w:pPr>
      <w:bookmarkStart w:id="73" w:name="_Ref216086346"/>
      <w:r w:rsidRPr="000717E1">
        <w:lastRenderedPageBreak/>
        <w:t xml:space="preserve">Table </w:t>
      </w:r>
      <w:fldSimple w:instr=" SEQ Table \* ARABIC ">
        <w:r w:rsidR="00281F45">
          <w:rPr>
            <w:noProof/>
          </w:rPr>
          <w:t>10</w:t>
        </w:r>
      </w:fldSimple>
      <w:bookmarkEnd w:id="73"/>
      <w:r w:rsidRPr="000717E1">
        <w:t>:</w:t>
      </w:r>
      <w:r w:rsidRPr="000717E1">
        <w:rPr>
          <w:rStyle w:val="CommentReference"/>
          <w:b/>
          <w:szCs w:val="24"/>
        </w:rPr>
        <w:t xml:space="preserve"> Summary of model structure, key inputs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Caption w:val="Table 10: Summary of model structure, key inputs and rationale"/>
      </w:tblPr>
      <w:tblGrid>
        <w:gridCol w:w="1555"/>
        <w:gridCol w:w="7455"/>
      </w:tblGrid>
      <w:tr w:rsidR="00AC64A4" w:rsidRPr="000717E1" w14:paraId="61B85FDE" w14:textId="77777777" w:rsidTr="00E13A0D">
        <w:trPr>
          <w:tblHeader/>
        </w:trPr>
        <w:tc>
          <w:tcPr>
            <w:tcW w:w="863" w:type="pct"/>
            <w:vAlign w:val="center"/>
          </w:tcPr>
          <w:p w14:paraId="0FDEA505" w14:textId="77777777" w:rsidR="00AC64A4" w:rsidRPr="000717E1" w:rsidRDefault="00AC64A4" w:rsidP="00334AFB">
            <w:pPr>
              <w:pStyle w:val="In-tableHeading"/>
            </w:pPr>
            <w:r w:rsidRPr="000717E1">
              <w:t>Component</w:t>
            </w:r>
          </w:p>
        </w:tc>
        <w:tc>
          <w:tcPr>
            <w:tcW w:w="4137" w:type="pct"/>
            <w:vAlign w:val="center"/>
          </w:tcPr>
          <w:p w14:paraId="6B6D7898" w14:textId="77777777" w:rsidR="00AC64A4" w:rsidRPr="000717E1" w:rsidRDefault="00AC64A4" w:rsidP="00334AFB">
            <w:pPr>
              <w:pStyle w:val="In-tableHeading"/>
            </w:pPr>
            <w:r w:rsidRPr="000717E1">
              <w:t>Summary</w:t>
            </w:r>
          </w:p>
        </w:tc>
      </w:tr>
      <w:tr w:rsidR="00AC64A4" w:rsidRPr="000717E1" w14:paraId="0167C3D2" w14:textId="77777777" w:rsidTr="00E13A0D">
        <w:tc>
          <w:tcPr>
            <w:tcW w:w="863" w:type="pct"/>
            <w:vAlign w:val="center"/>
          </w:tcPr>
          <w:p w14:paraId="7942C334" w14:textId="77777777" w:rsidR="00AC64A4" w:rsidRPr="000717E1" w:rsidRDefault="00AC64A4" w:rsidP="00E13A0D">
            <w:pPr>
              <w:pStyle w:val="TableText0"/>
              <w:rPr>
                <w:sz w:val="20"/>
                <w:szCs w:val="20"/>
              </w:rPr>
            </w:pPr>
            <w:r w:rsidRPr="000717E1">
              <w:rPr>
                <w:sz w:val="20"/>
                <w:szCs w:val="20"/>
              </w:rPr>
              <w:t>Treatments</w:t>
            </w:r>
          </w:p>
        </w:tc>
        <w:tc>
          <w:tcPr>
            <w:tcW w:w="4137" w:type="pct"/>
            <w:vAlign w:val="center"/>
          </w:tcPr>
          <w:p w14:paraId="11478FE3" w14:textId="522375D5" w:rsidR="00AC64A4" w:rsidRPr="000717E1" w:rsidRDefault="00AC64A4" w:rsidP="00E13A0D">
            <w:pPr>
              <w:pStyle w:val="TableText0"/>
              <w:rPr>
                <w:sz w:val="20"/>
                <w:szCs w:val="20"/>
              </w:rPr>
            </w:pPr>
            <w:r w:rsidRPr="000717E1">
              <w:rPr>
                <w:sz w:val="20"/>
                <w:szCs w:val="20"/>
              </w:rPr>
              <w:t>Dupilumab + triple inhaled therapy vs triple inhaled therapy</w:t>
            </w:r>
          </w:p>
        </w:tc>
      </w:tr>
      <w:tr w:rsidR="00AC64A4" w:rsidRPr="000717E1" w14:paraId="525AE91F" w14:textId="77777777" w:rsidTr="00E13A0D">
        <w:tc>
          <w:tcPr>
            <w:tcW w:w="863" w:type="pct"/>
            <w:vAlign w:val="center"/>
          </w:tcPr>
          <w:p w14:paraId="04D0064A" w14:textId="77777777" w:rsidR="00AC64A4" w:rsidRPr="000717E1" w:rsidRDefault="00AC64A4" w:rsidP="00E13A0D">
            <w:pPr>
              <w:pStyle w:val="TableText0"/>
              <w:rPr>
                <w:sz w:val="20"/>
                <w:szCs w:val="20"/>
              </w:rPr>
            </w:pPr>
            <w:r w:rsidRPr="000717E1">
              <w:rPr>
                <w:sz w:val="20"/>
                <w:szCs w:val="20"/>
              </w:rPr>
              <w:t>Time horizon</w:t>
            </w:r>
          </w:p>
        </w:tc>
        <w:tc>
          <w:tcPr>
            <w:tcW w:w="4137" w:type="pct"/>
            <w:vAlign w:val="center"/>
          </w:tcPr>
          <w:p w14:paraId="3B8E04CC" w14:textId="77777777" w:rsidR="00AC64A4" w:rsidRPr="000717E1" w:rsidRDefault="00AC64A4" w:rsidP="00E13A0D">
            <w:pPr>
              <w:pStyle w:val="TableText0"/>
              <w:rPr>
                <w:sz w:val="20"/>
                <w:szCs w:val="20"/>
              </w:rPr>
            </w:pPr>
            <w:r w:rsidRPr="000717E1">
              <w:rPr>
                <w:sz w:val="20"/>
                <w:szCs w:val="20"/>
              </w:rPr>
              <w:t>35 years (lifetime) in the model base case versus 1 year in pivotal clinical trials</w:t>
            </w:r>
          </w:p>
        </w:tc>
      </w:tr>
      <w:tr w:rsidR="00AC64A4" w:rsidRPr="000717E1" w14:paraId="78781043" w14:textId="77777777" w:rsidTr="00E13A0D">
        <w:tc>
          <w:tcPr>
            <w:tcW w:w="863" w:type="pct"/>
            <w:vAlign w:val="center"/>
          </w:tcPr>
          <w:p w14:paraId="04AE3124" w14:textId="77777777" w:rsidR="00AC64A4" w:rsidRPr="000717E1" w:rsidRDefault="00AC64A4" w:rsidP="00E13A0D">
            <w:pPr>
              <w:pStyle w:val="TableText0"/>
              <w:rPr>
                <w:sz w:val="20"/>
                <w:szCs w:val="20"/>
              </w:rPr>
            </w:pPr>
            <w:r w:rsidRPr="000717E1">
              <w:rPr>
                <w:sz w:val="20"/>
                <w:szCs w:val="20"/>
              </w:rPr>
              <w:t>Outcomes</w:t>
            </w:r>
          </w:p>
        </w:tc>
        <w:tc>
          <w:tcPr>
            <w:tcW w:w="4137" w:type="pct"/>
            <w:vAlign w:val="center"/>
          </w:tcPr>
          <w:p w14:paraId="299FF49E" w14:textId="77777777" w:rsidR="00AC64A4" w:rsidRPr="000717E1" w:rsidRDefault="00AC64A4" w:rsidP="00E13A0D">
            <w:pPr>
              <w:pStyle w:val="TableText0"/>
              <w:rPr>
                <w:sz w:val="20"/>
                <w:szCs w:val="20"/>
              </w:rPr>
            </w:pPr>
            <w:r w:rsidRPr="000717E1">
              <w:rPr>
                <w:sz w:val="20"/>
                <w:szCs w:val="20"/>
              </w:rPr>
              <w:t>Number of moderate exacerbations, number of severe exacerbations, LYs, QALYs</w:t>
            </w:r>
          </w:p>
        </w:tc>
      </w:tr>
      <w:tr w:rsidR="00AC64A4" w:rsidRPr="000717E1" w14:paraId="1C531D72" w14:textId="77777777" w:rsidTr="00E13A0D">
        <w:tc>
          <w:tcPr>
            <w:tcW w:w="863" w:type="pct"/>
            <w:vAlign w:val="center"/>
          </w:tcPr>
          <w:p w14:paraId="3114C364" w14:textId="77777777" w:rsidR="00AC64A4" w:rsidRPr="000717E1" w:rsidRDefault="00AC64A4" w:rsidP="00E13A0D">
            <w:pPr>
              <w:pStyle w:val="TableText0"/>
              <w:rPr>
                <w:sz w:val="20"/>
                <w:szCs w:val="20"/>
              </w:rPr>
            </w:pPr>
            <w:r w:rsidRPr="000717E1">
              <w:rPr>
                <w:sz w:val="20"/>
                <w:szCs w:val="20"/>
              </w:rPr>
              <w:t>Methods used to generate results</w:t>
            </w:r>
          </w:p>
        </w:tc>
        <w:tc>
          <w:tcPr>
            <w:tcW w:w="4137" w:type="pct"/>
            <w:vAlign w:val="center"/>
          </w:tcPr>
          <w:p w14:paraId="0498A049" w14:textId="77777777" w:rsidR="00AC64A4" w:rsidRPr="000717E1" w:rsidRDefault="00AC64A4" w:rsidP="00E13A0D">
            <w:pPr>
              <w:pStyle w:val="SanofiTableText"/>
              <w:rPr>
                <w:szCs w:val="20"/>
              </w:rPr>
            </w:pPr>
            <w:r w:rsidRPr="000717E1">
              <w:rPr>
                <w:szCs w:val="20"/>
              </w:rPr>
              <w:t xml:space="preserve">Year 1: decision tree based on health state distribution at the end of the BOREAS and NOTUS trials </w:t>
            </w:r>
          </w:p>
          <w:p w14:paraId="6E49B289" w14:textId="77777777" w:rsidR="00AC64A4" w:rsidRPr="000717E1" w:rsidRDefault="00AC64A4" w:rsidP="00E13A0D">
            <w:pPr>
              <w:pStyle w:val="TableText0"/>
              <w:rPr>
                <w:sz w:val="20"/>
                <w:szCs w:val="20"/>
              </w:rPr>
            </w:pPr>
            <w:r w:rsidRPr="000717E1">
              <w:rPr>
                <w:sz w:val="20"/>
                <w:szCs w:val="20"/>
              </w:rPr>
              <w:t xml:space="preserve">Year 2 and beyond: a cohort Markov structure </w:t>
            </w:r>
          </w:p>
        </w:tc>
      </w:tr>
      <w:tr w:rsidR="00AC64A4" w:rsidRPr="000717E1" w14:paraId="38211715" w14:textId="77777777" w:rsidTr="00E13A0D">
        <w:tc>
          <w:tcPr>
            <w:tcW w:w="863" w:type="pct"/>
            <w:vAlign w:val="center"/>
          </w:tcPr>
          <w:p w14:paraId="3B9D52A4" w14:textId="77777777" w:rsidR="00AC64A4" w:rsidRPr="000717E1" w:rsidRDefault="00AC64A4" w:rsidP="00E13A0D">
            <w:pPr>
              <w:pStyle w:val="TableText0"/>
              <w:rPr>
                <w:sz w:val="20"/>
                <w:szCs w:val="20"/>
              </w:rPr>
            </w:pPr>
            <w:r w:rsidRPr="000717E1">
              <w:rPr>
                <w:sz w:val="20"/>
                <w:szCs w:val="20"/>
              </w:rPr>
              <w:t>Health states</w:t>
            </w:r>
          </w:p>
        </w:tc>
        <w:tc>
          <w:tcPr>
            <w:tcW w:w="4137" w:type="pct"/>
          </w:tcPr>
          <w:p w14:paraId="25AB4FCC" w14:textId="2F44DFA9" w:rsidR="00AC64A4" w:rsidRPr="000717E1" w:rsidRDefault="00AC64A4" w:rsidP="00E13A0D">
            <w:pPr>
              <w:pStyle w:val="SanofiTableText"/>
            </w:pPr>
            <w:r w:rsidRPr="000717E1">
              <w:rPr>
                <w:szCs w:val="20"/>
              </w:rPr>
              <w:t xml:space="preserve">COPD severity (mild, moderate, severe, and very severe COPD) with each split into 7 sub-states for exacerbations (none, 1, 2 or 3+ severe exacerbations, 1, 2 or 3+ moderate exacerbations) and a </w:t>
            </w:r>
            <w:r w:rsidRPr="000717E1">
              <w:t>self-absorbing death state (a total of 29 health states in total).</w:t>
            </w:r>
          </w:p>
        </w:tc>
      </w:tr>
      <w:tr w:rsidR="00AC64A4" w:rsidRPr="000717E1" w14:paraId="5AFCC90E" w14:textId="77777777" w:rsidTr="00E13A0D">
        <w:tc>
          <w:tcPr>
            <w:tcW w:w="863" w:type="pct"/>
            <w:vAlign w:val="center"/>
          </w:tcPr>
          <w:p w14:paraId="687F4F87" w14:textId="77777777" w:rsidR="00AC64A4" w:rsidRPr="000717E1" w:rsidRDefault="00AC64A4" w:rsidP="00E13A0D">
            <w:pPr>
              <w:pStyle w:val="TableText0"/>
              <w:rPr>
                <w:sz w:val="20"/>
                <w:szCs w:val="20"/>
              </w:rPr>
            </w:pPr>
            <w:r w:rsidRPr="000717E1">
              <w:rPr>
                <w:sz w:val="20"/>
                <w:szCs w:val="20"/>
              </w:rPr>
              <w:t>Cycle length</w:t>
            </w:r>
          </w:p>
        </w:tc>
        <w:tc>
          <w:tcPr>
            <w:tcW w:w="4137" w:type="pct"/>
            <w:vAlign w:val="center"/>
          </w:tcPr>
          <w:p w14:paraId="771AD225" w14:textId="77777777" w:rsidR="00AC64A4" w:rsidRPr="000717E1" w:rsidRDefault="00AC64A4" w:rsidP="00E13A0D">
            <w:pPr>
              <w:pStyle w:val="TableText0"/>
              <w:rPr>
                <w:sz w:val="20"/>
                <w:szCs w:val="20"/>
              </w:rPr>
            </w:pPr>
            <w:r w:rsidRPr="000717E1">
              <w:rPr>
                <w:sz w:val="20"/>
                <w:szCs w:val="20"/>
              </w:rPr>
              <w:t>1 year</w:t>
            </w:r>
          </w:p>
        </w:tc>
      </w:tr>
      <w:tr w:rsidR="00AC64A4" w:rsidRPr="000717E1" w14:paraId="7165340A" w14:textId="77777777" w:rsidTr="00E13A0D">
        <w:tc>
          <w:tcPr>
            <w:tcW w:w="863" w:type="pct"/>
            <w:vAlign w:val="center"/>
          </w:tcPr>
          <w:p w14:paraId="2EBA026B" w14:textId="77777777" w:rsidR="00AC64A4" w:rsidRPr="000717E1" w:rsidRDefault="00AC64A4" w:rsidP="00E13A0D">
            <w:pPr>
              <w:pStyle w:val="TableText0"/>
              <w:rPr>
                <w:sz w:val="20"/>
                <w:szCs w:val="20"/>
              </w:rPr>
            </w:pPr>
            <w:r w:rsidRPr="000717E1">
              <w:rPr>
                <w:sz w:val="20"/>
                <w:szCs w:val="20"/>
              </w:rPr>
              <w:t>Transition probabilities</w:t>
            </w:r>
          </w:p>
          <w:p w14:paraId="30FB7EAA" w14:textId="77777777" w:rsidR="00AC64A4" w:rsidRPr="000717E1" w:rsidRDefault="00AC64A4" w:rsidP="00E13A0D">
            <w:pPr>
              <w:pStyle w:val="TableText0"/>
              <w:rPr>
                <w:sz w:val="20"/>
                <w:szCs w:val="20"/>
              </w:rPr>
            </w:pPr>
          </w:p>
        </w:tc>
        <w:tc>
          <w:tcPr>
            <w:tcW w:w="4137" w:type="pct"/>
            <w:vAlign w:val="center"/>
          </w:tcPr>
          <w:p w14:paraId="3B3717A6" w14:textId="77777777" w:rsidR="00AC64A4" w:rsidRPr="000717E1" w:rsidRDefault="00AC64A4" w:rsidP="00E13A0D">
            <w:pPr>
              <w:pStyle w:val="SanofiTableText"/>
              <w:rPr>
                <w:szCs w:val="20"/>
              </w:rPr>
            </w:pPr>
            <w:r w:rsidRPr="000717E1">
              <w:rPr>
                <w:szCs w:val="20"/>
              </w:rPr>
              <w:t>Year 1 decision tree: health state distribution from BOREAS/NOTUS trials</w:t>
            </w:r>
          </w:p>
          <w:p w14:paraId="4B93179E" w14:textId="5ED3809C" w:rsidR="00AC64A4" w:rsidRPr="000717E1" w:rsidRDefault="00AC64A4" w:rsidP="00E13A0D">
            <w:pPr>
              <w:pStyle w:val="SanofiTableText"/>
              <w:rPr>
                <w:szCs w:val="20"/>
              </w:rPr>
            </w:pPr>
            <w:r w:rsidRPr="000717E1">
              <w:rPr>
                <w:szCs w:val="20"/>
              </w:rPr>
              <w:t>Year 2+: annual probability of progressing through health states, which varied by COPD severity and whether there were exacerbations in the prior year, based on FEV</w:t>
            </w:r>
            <w:r w:rsidRPr="000717E1">
              <w:rPr>
                <w:szCs w:val="20"/>
                <w:vertAlign w:val="subscript"/>
              </w:rPr>
              <w:t>1</w:t>
            </w:r>
            <w:r w:rsidRPr="000717E1">
              <w:rPr>
                <w:szCs w:val="20"/>
              </w:rPr>
              <w:t xml:space="preserve"> decline from TORCH study; exacerbation occurrence each year, which depends on COPD severity and history of exacerbations in the prior year, sourced from </w:t>
            </w:r>
            <w:r w:rsidRPr="000717E1">
              <w:t>Whittaker et al. (2022) and Wallace et al. (2019)</w:t>
            </w:r>
            <w:r w:rsidRPr="000717E1">
              <w:rPr>
                <w:szCs w:val="20"/>
              </w:rPr>
              <w:t>.</w:t>
            </w:r>
          </w:p>
          <w:p w14:paraId="64FDD9D8" w14:textId="1273A543" w:rsidR="00AC64A4" w:rsidRPr="000717E1" w:rsidRDefault="00AC64A4" w:rsidP="00E13A0D">
            <w:pPr>
              <w:pStyle w:val="SanofiTableText"/>
              <w:rPr>
                <w:szCs w:val="20"/>
              </w:rPr>
            </w:pPr>
            <w:r w:rsidRPr="000717E1">
              <w:rPr>
                <w:szCs w:val="20"/>
              </w:rPr>
              <w:t>Response to treatment: 94.2% based on pooled data from BOREA</w:t>
            </w:r>
            <w:r w:rsidR="00E320DF" w:rsidRPr="000717E1">
              <w:rPr>
                <w:szCs w:val="20"/>
              </w:rPr>
              <w:t>S</w:t>
            </w:r>
            <w:r w:rsidRPr="000717E1">
              <w:rPr>
                <w:szCs w:val="20"/>
              </w:rPr>
              <w:t xml:space="preserve"> and NOTUS trials.</w:t>
            </w:r>
          </w:p>
          <w:p w14:paraId="67EF8019" w14:textId="77777777" w:rsidR="002E56F4" w:rsidRPr="000717E1" w:rsidRDefault="002E56F4" w:rsidP="00E13A0D">
            <w:pPr>
              <w:pStyle w:val="SanofiTableText"/>
              <w:rPr>
                <w:szCs w:val="20"/>
              </w:rPr>
            </w:pPr>
          </w:p>
          <w:p w14:paraId="799B1E50" w14:textId="77777777" w:rsidR="00AC64A4" w:rsidRPr="000717E1" w:rsidRDefault="00AC64A4" w:rsidP="00E13A0D">
            <w:pPr>
              <w:pStyle w:val="SanofiTableText"/>
              <w:rPr>
                <w:szCs w:val="20"/>
              </w:rPr>
            </w:pPr>
            <w:r w:rsidRPr="000717E1">
              <w:rPr>
                <w:szCs w:val="20"/>
              </w:rPr>
              <w:t xml:space="preserve">Duration of dupilumab treatment effect post discontinuation: 2 years </w:t>
            </w:r>
          </w:p>
          <w:p w14:paraId="4EE6E403" w14:textId="34DFEB79" w:rsidR="00AC64A4" w:rsidRPr="000717E1" w:rsidRDefault="00AC64A4" w:rsidP="00E13A0D">
            <w:pPr>
              <w:pStyle w:val="SanofiTableText"/>
              <w:rPr>
                <w:szCs w:val="20"/>
              </w:rPr>
            </w:pPr>
            <w:r w:rsidRPr="000717E1">
              <w:rPr>
                <w:szCs w:val="20"/>
              </w:rPr>
              <w:t xml:space="preserve">Rate of treatment discontinuation: 15.0% based on </w:t>
            </w:r>
            <w:r w:rsidR="003D425E" w:rsidRPr="000717E1">
              <w:rPr>
                <w:szCs w:val="20"/>
              </w:rPr>
              <w:t xml:space="preserve">sponsor </w:t>
            </w:r>
            <w:r w:rsidRPr="000717E1">
              <w:rPr>
                <w:szCs w:val="20"/>
              </w:rPr>
              <w:t>Advisory Board.</w:t>
            </w:r>
          </w:p>
          <w:p w14:paraId="75BDA1C4" w14:textId="77777777" w:rsidR="002E56F4" w:rsidRPr="000717E1" w:rsidRDefault="002E56F4" w:rsidP="00E13A0D">
            <w:pPr>
              <w:pStyle w:val="SanofiTableText"/>
              <w:rPr>
                <w:szCs w:val="20"/>
              </w:rPr>
            </w:pPr>
          </w:p>
          <w:p w14:paraId="3E5A3F40" w14:textId="60E81D97" w:rsidR="002E56F4" w:rsidRPr="000717E1" w:rsidRDefault="00AC64A4" w:rsidP="00E13A0D">
            <w:pPr>
              <w:pStyle w:val="SanofiTableText"/>
              <w:rPr>
                <w:szCs w:val="20"/>
              </w:rPr>
            </w:pPr>
            <w:r w:rsidRPr="000717E1">
              <w:rPr>
                <w:szCs w:val="20"/>
              </w:rPr>
              <w:t>Death rates based on general population death rates and COPD SMR (by health state)</w:t>
            </w:r>
            <w:r w:rsidR="000264BE" w:rsidRPr="000717E1">
              <w:rPr>
                <w:szCs w:val="20"/>
              </w:rPr>
              <w:t xml:space="preserve"> based on Whittaker 2023</w:t>
            </w:r>
            <w:r w:rsidR="0010713F" w:rsidRPr="000717E1">
              <w:rPr>
                <w:szCs w:val="20"/>
              </w:rPr>
              <w:t>:</w:t>
            </w:r>
            <w:r w:rsidRPr="000717E1">
              <w:rPr>
                <w:szCs w:val="20"/>
              </w:rPr>
              <w:t xml:space="preserve"> </w:t>
            </w:r>
          </w:p>
          <w:p w14:paraId="44835CAD" w14:textId="77777777" w:rsidR="0010713F" w:rsidRPr="000717E1" w:rsidRDefault="0010713F" w:rsidP="0010713F">
            <w:pPr>
              <w:pStyle w:val="Tabletext"/>
              <w:widowControl w:val="0"/>
              <w:rPr>
                <w:rFonts w:cs="Calibri"/>
                <w:color w:val="000000"/>
              </w:rPr>
            </w:pPr>
            <w:r w:rsidRPr="000717E1">
              <w:rPr>
                <w:rFonts w:cs="Calibri"/>
                <w:color w:val="000000"/>
              </w:rPr>
              <w:t xml:space="preserve">Mild COPD: 1 </w:t>
            </w:r>
          </w:p>
          <w:p w14:paraId="7E8722CC" w14:textId="0EC1D609" w:rsidR="0010713F" w:rsidRPr="000717E1" w:rsidRDefault="0010713F" w:rsidP="0010713F">
            <w:pPr>
              <w:pStyle w:val="Tabletext"/>
              <w:widowControl w:val="0"/>
              <w:rPr>
                <w:rFonts w:cs="Calibri"/>
                <w:color w:val="000000"/>
              </w:rPr>
            </w:pPr>
            <w:r w:rsidRPr="000717E1">
              <w:rPr>
                <w:rFonts w:cs="Calibri"/>
                <w:color w:val="000000"/>
              </w:rPr>
              <w:t>Moderate COPD: 1.45 (</w:t>
            </w:r>
            <w:r w:rsidR="0089154B" w:rsidRPr="000717E1">
              <w:rPr>
                <w:rFonts w:cs="Calibri"/>
                <w:color w:val="000000"/>
              </w:rPr>
              <w:t xml:space="preserve">95% </w:t>
            </w:r>
            <w:r w:rsidRPr="000717E1">
              <w:rPr>
                <w:rFonts w:cs="Calibri"/>
                <w:color w:val="000000"/>
              </w:rPr>
              <w:t>CI: 1.4–1.5)</w:t>
            </w:r>
          </w:p>
          <w:p w14:paraId="214EF707" w14:textId="10AE6FDF" w:rsidR="0010713F" w:rsidRPr="000717E1" w:rsidRDefault="0010713F" w:rsidP="0010713F">
            <w:pPr>
              <w:pStyle w:val="Tabletext"/>
              <w:widowControl w:val="0"/>
              <w:rPr>
                <w:rFonts w:cs="Calibri"/>
                <w:color w:val="000000"/>
              </w:rPr>
            </w:pPr>
            <w:r w:rsidRPr="000717E1">
              <w:rPr>
                <w:rFonts w:cs="Calibri"/>
                <w:color w:val="000000"/>
              </w:rPr>
              <w:t>Severe COPD: 2.33 (</w:t>
            </w:r>
            <w:r w:rsidR="0089154B" w:rsidRPr="000717E1">
              <w:rPr>
                <w:rFonts w:cs="Calibri"/>
                <w:color w:val="000000"/>
              </w:rPr>
              <w:t xml:space="preserve">95% </w:t>
            </w:r>
            <w:r w:rsidRPr="000717E1">
              <w:rPr>
                <w:rFonts w:cs="Calibri"/>
                <w:color w:val="000000"/>
              </w:rPr>
              <w:t>CI: 2.3–2.4)</w:t>
            </w:r>
          </w:p>
          <w:p w14:paraId="303C34E4" w14:textId="31BEC178" w:rsidR="002E56F4" w:rsidRPr="000717E1" w:rsidRDefault="0010713F" w:rsidP="00E13A0D">
            <w:pPr>
              <w:pStyle w:val="SanofiTableText"/>
              <w:rPr>
                <w:rFonts w:cs="Calibri"/>
                <w:color w:val="000000"/>
              </w:rPr>
            </w:pPr>
            <w:r w:rsidRPr="000717E1">
              <w:rPr>
                <w:rFonts w:cs="Calibri"/>
                <w:color w:val="000000"/>
              </w:rPr>
              <w:t>Very severe COPD: 4.1 (</w:t>
            </w:r>
            <w:r w:rsidR="0089154B" w:rsidRPr="000717E1">
              <w:rPr>
                <w:rFonts w:cs="Calibri"/>
                <w:color w:val="000000"/>
              </w:rPr>
              <w:t xml:space="preserve">95% </w:t>
            </w:r>
            <w:r w:rsidRPr="000717E1">
              <w:rPr>
                <w:rFonts w:cs="Calibri"/>
                <w:color w:val="000000"/>
              </w:rPr>
              <w:t>CI: 4.0–4.3)</w:t>
            </w:r>
          </w:p>
          <w:p w14:paraId="789074FA" w14:textId="77777777" w:rsidR="0010713F" w:rsidRPr="000717E1" w:rsidRDefault="0010713F" w:rsidP="0010713F">
            <w:pPr>
              <w:pStyle w:val="SanofiTableText"/>
              <w:rPr>
                <w:szCs w:val="20"/>
              </w:rPr>
            </w:pPr>
          </w:p>
          <w:p w14:paraId="0AC63829" w14:textId="047898BC" w:rsidR="00AC64A4" w:rsidRPr="000717E1" w:rsidRDefault="00AC64A4" w:rsidP="00E13A0D">
            <w:pPr>
              <w:pStyle w:val="SanofiTableText"/>
              <w:rPr>
                <w:szCs w:val="20"/>
              </w:rPr>
            </w:pPr>
            <w:r w:rsidRPr="000717E1">
              <w:rPr>
                <w:szCs w:val="20"/>
              </w:rPr>
              <w:t>A separate case fatality rate (15.6%) was also applied to severe exacerbations</w:t>
            </w:r>
            <w:r w:rsidR="007B4C43" w:rsidRPr="000717E1">
              <w:rPr>
                <w:szCs w:val="20"/>
              </w:rPr>
              <w:t xml:space="preserve"> based on </w:t>
            </w:r>
            <w:proofErr w:type="spellStart"/>
            <w:r w:rsidR="007B4C43" w:rsidRPr="000717E1">
              <w:rPr>
                <w:szCs w:val="20"/>
              </w:rPr>
              <w:t>Hoogendorn</w:t>
            </w:r>
            <w:proofErr w:type="spellEnd"/>
            <w:r w:rsidR="007B4C43" w:rsidRPr="000717E1">
              <w:rPr>
                <w:szCs w:val="20"/>
              </w:rPr>
              <w:t xml:space="preserve"> 2011)</w:t>
            </w:r>
            <w:r w:rsidRPr="000717E1">
              <w:rPr>
                <w:szCs w:val="20"/>
              </w:rPr>
              <w:t>.</w:t>
            </w:r>
          </w:p>
        </w:tc>
      </w:tr>
      <w:tr w:rsidR="00AC64A4" w:rsidRPr="000717E1" w14:paraId="0EDC9F44" w14:textId="77777777" w:rsidTr="00E13A0D">
        <w:tc>
          <w:tcPr>
            <w:tcW w:w="863" w:type="pct"/>
            <w:vAlign w:val="center"/>
          </w:tcPr>
          <w:p w14:paraId="528A57D9" w14:textId="77777777" w:rsidR="00AC64A4" w:rsidRPr="000717E1" w:rsidRDefault="00AC64A4" w:rsidP="00E13A0D">
            <w:pPr>
              <w:pStyle w:val="TableText0"/>
              <w:rPr>
                <w:sz w:val="20"/>
                <w:szCs w:val="20"/>
              </w:rPr>
            </w:pPr>
            <w:r w:rsidRPr="000717E1">
              <w:rPr>
                <w:sz w:val="20"/>
                <w:szCs w:val="20"/>
              </w:rPr>
              <w:t>Extrapolation method</w:t>
            </w:r>
          </w:p>
        </w:tc>
        <w:tc>
          <w:tcPr>
            <w:tcW w:w="4137" w:type="pct"/>
            <w:vAlign w:val="center"/>
          </w:tcPr>
          <w:p w14:paraId="2058EF2F" w14:textId="77777777" w:rsidR="00AC64A4" w:rsidRPr="000717E1" w:rsidRDefault="00AC64A4" w:rsidP="00E13A0D">
            <w:pPr>
              <w:pStyle w:val="TableText0"/>
              <w:rPr>
                <w:sz w:val="20"/>
                <w:szCs w:val="20"/>
              </w:rPr>
            </w:pPr>
            <w:r w:rsidRPr="000717E1">
              <w:rPr>
                <w:sz w:val="20"/>
                <w:szCs w:val="20"/>
              </w:rPr>
              <w:t>Extrapolation of treatment effect beyond the trial period was based on transition probabilities from the published literature.</w:t>
            </w:r>
          </w:p>
        </w:tc>
      </w:tr>
      <w:tr w:rsidR="00AC64A4" w:rsidRPr="000717E1" w14:paraId="47E3A7B2" w14:textId="77777777" w:rsidTr="00E13A0D">
        <w:tc>
          <w:tcPr>
            <w:tcW w:w="863" w:type="pct"/>
            <w:vAlign w:val="center"/>
          </w:tcPr>
          <w:p w14:paraId="40D6A83A" w14:textId="77777777" w:rsidR="00AC64A4" w:rsidRPr="000717E1" w:rsidRDefault="00AC64A4" w:rsidP="00E13A0D">
            <w:pPr>
              <w:pStyle w:val="TableText0"/>
              <w:rPr>
                <w:sz w:val="20"/>
                <w:szCs w:val="20"/>
              </w:rPr>
            </w:pPr>
            <w:r w:rsidRPr="000717E1">
              <w:rPr>
                <w:sz w:val="20"/>
                <w:szCs w:val="20"/>
              </w:rPr>
              <w:t>Health related quality of life</w:t>
            </w:r>
          </w:p>
        </w:tc>
        <w:tc>
          <w:tcPr>
            <w:tcW w:w="4137" w:type="pct"/>
            <w:vAlign w:val="center"/>
          </w:tcPr>
          <w:p w14:paraId="06009F93" w14:textId="2F1AA11C" w:rsidR="00AC64A4" w:rsidRPr="000717E1" w:rsidRDefault="00AC64A4" w:rsidP="00E13A0D">
            <w:pPr>
              <w:pStyle w:val="SanofiTableText"/>
              <w:rPr>
                <w:szCs w:val="20"/>
              </w:rPr>
            </w:pPr>
            <w:r w:rsidRPr="000717E1">
              <w:rPr>
                <w:szCs w:val="20"/>
              </w:rPr>
              <w:t xml:space="preserve">Health state specific utility values were derived from NOTUS using EQ-5D and valued using Australian tariffs. </w:t>
            </w:r>
          </w:p>
          <w:p w14:paraId="60F69075" w14:textId="77777777" w:rsidR="00AC64A4" w:rsidRPr="000717E1" w:rsidRDefault="00AC64A4" w:rsidP="00E13A0D">
            <w:pPr>
              <w:pStyle w:val="TableText0"/>
              <w:rPr>
                <w:sz w:val="20"/>
                <w:szCs w:val="20"/>
              </w:rPr>
            </w:pPr>
            <w:r w:rsidRPr="000717E1">
              <w:rPr>
                <w:sz w:val="20"/>
                <w:szCs w:val="20"/>
              </w:rPr>
              <w:t>Mild COPD: 0.907</w:t>
            </w:r>
          </w:p>
          <w:p w14:paraId="6E10D256" w14:textId="77777777" w:rsidR="00AC64A4" w:rsidRPr="000717E1" w:rsidRDefault="00AC64A4" w:rsidP="00E13A0D">
            <w:pPr>
              <w:pStyle w:val="TableText0"/>
              <w:rPr>
                <w:sz w:val="20"/>
                <w:szCs w:val="20"/>
              </w:rPr>
            </w:pPr>
            <w:r w:rsidRPr="000717E1">
              <w:rPr>
                <w:sz w:val="20"/>
                <w:szCs w:val="20"/>
              </w:rPr>
              <w:t>Moderate COPD: 0.883</w:t>
            </w:r>
          </w:p>
          <w:p w14:paraId="1662146C" w14:textId="77777777" w:rsidR="00AC64A4" w:rsidRPr="000717E1" w:rsidRDefault="00AC64A4" w:rsidP="00E13A0D">
            <w:pPr>
              <w:pStyle w:val="TableText0"/>
              <w:rPr>
                <w:sz w:val="20"/>
                <w:szCs w:val="20"/>
              </w:rPr>
            </w:pPr>
            <w:r w:rsidRPr="000717E1">
              <w:rPr>
                <w:sz w:val="20"/>
                <w:szCs w:val="20"/>
              </w:rPr>
              <w:t>Severe COPD: 0.830</w:t>
            </w:r>
          </w:p>
          <w:p w14:paraId="4BB62B5B" w14:textId="77777777" w:rsidR="00AC64A4" w:rsidRPr="000717E1" w:rsidRDefault="00AC64A4" w:rsidP="00E13A0D">
            <w:pPr>
              <w:pStyle w:val="TableText0"/>
              <w:rPr>
                <w:sz w:val="20"/>
                <w:szCs w:val="20"/>
              </w:rPr>
            </w:pPr>
            <w:r w:rsidRPr="000717E1">
              <w:rPr>
                <w:sz w:val="20"/>
                <w:szCs w:val="20"/>
              </w:rPr>
              <w:t>Very severe COPD: 0.794</w:t>
            </w:r>
          </w:p>
          <w:p w14:paraId="26AA1DC6" w14:textId="77777777" w:rsidR="00AC64A4" w:rsidRPr="000717E1" w:rsidRDefault="00AC64A4" w:rsidP="00E13A0D">
            <w:pPr>
              <w:pStyle w:val="TableText0"/>
              <w:rPr>
                <w:sz w:val="20"/>
                <w:szCs w:val="20"/>
              </w:rPr>
            </w:pPr>
          </w:p>
          <w:p w14:paraId="6744F4FE" w14:textId="77777777" w:rsidR="00AC64A4" w:rsidRPr="000717E1" w:rsidRDefault="00AC64A4" w:rsidP="00E13A0D">
            <w:pPr>
              <w:pStyle w:val="TableText0"/>
              <w:rPr>
                <w:sz w:val="20"/>
                <w:szCs w:val="20"/>
              </w:rPr>
            </w:pPr>
            <w:r w:rsidRPr="000717E1">
              <w:rPr>
                <w:sz w:val="20"/>
                <w:szCs w:val="20"/>
              </w:rPr>
              <w:t>Utility decrements were applied to exacerbation occurrence:</w:t>
            </w:r>
          </w:p>
          <w:p w14:paraId="5B7799BA" w14:textId="77777777" w:rsidR="00AC64A4" w:rsidRPr="000717E1" w:rsidRDefault="00AC64A4" w:rsidP="00E13A0D">
            <w:pPr>
              <w:pStyle w:val="TableText0"/>
              <w:rPr>
                <w:sz w:val="20"/>
                <w:szCs w:val="20"/>
              </w:rPr>
            </w:pPr>
            <w:r w:rsidRPr="000717E1">
              <w:rPr>
                <w:sz w:val="20"/>
                <w:szCs w:val="20"/>
              </w:rPr>
              <w:t>Moderate exacerbation: 0.010</w:t>
            </w:r>
          </w:p>
          <w:p w14:paraId="16514C2A" w14:textId="77777777" w:rsidR="00AC64A4" w:rsidRPr="000717E1" w:rsidRDefault="00AC64A4" w:rsidP="00E13A0D">
            <w:pPr>
              <w:pStyle w:val="TableText0"/>
              <w:rPr>
                <w:sz w:val="20"/>
                <w:szCs w:val="20"/>
              </w:rPr>
            </w:pPr>
            <w:r w:rsidRPr="000717E1">
              <w:rPr>
                <w:sz w:val="20"/>
                <w:szCs w:val="20"/>
              </w:rPr>
              <w:t>Severe exacerbation: 0.042</w:t>
            </w:r>
          </w:p>
        </w:tc>
      </w:tr>
      <w:tr w:rsidR="00AC64A4" w:rsidRPr="000717E1" w14:paraId="3498D118" w14:textId="77777777" w:rsidTr="00E13A0D">
        <w:tc>
          <w:tcPr>
            <w:tcW w:w="863" w:type="pct"/>
            <w:vAlign w:val="center"/>
          </w:tcPr>
          <w:p w14:paraId="03A53999" w14:textId="77777777" w:rsidR="00AC64A4" w:rsidRPr="000717E1" w:rsidRDefault="00AC64A4" w:rsidP="00E13A0D">
            <w:pPr>
              <w:pStyle w:val="TableText0"/>
              <w:rPr>
                <w:sz w:val="20"/>
                <w:szCs w:val="20"/>
              </w:rPr>
            </w:pPr>
            <w:r w:rsidRPr="000717E1">
              <w:rPr>
                <w:sz w:val="20"/>
                <w:szCs w:val="20"/>
              </w:rPr>
              <w:t>Costs</w:t>
            </w:r>
          </w:p>
        </w:tc>
        <w:tc>
          <w:tcPr>
            <w:tcW w:w="4137" w:type="pct"/>
            <w:vAlign w:val="center"/>
          </w:tcPr>
          <w:p w14:paraId="749F6591" w14:textId="77777777" w:rsidR="00AC64A4" w:rsidRPr="000717E1" w:rsidRDefault="00AC64A4" w:rsidP="00E13A0D">
            <w:pPr>
              <w:pStyle w:val="SanofiTableText"/>
              <w:rPr>
                <w:szCs w:val="20"/>
              </w:rPr>
            </w:pPr>
            <w:r w:rsidRPr="000717E1">
              <w:rPr>
                <w:szCs w:val="20"/>
              </w:rPr>
              <w:t>Cost of dupilumab, cost of triple inhaled therapy.</w:t>
            </w:r>
          </w:p>
          <w:p w14:paraId="2208545A" w14:textId="77777777" w:rsidR="00AC64A4" w:rsidRPr="000717E1" w:rsidRDefault="00AC64A4" w:rsidP="00E13A0D">
            <w:pPr>
              <w:pStyle w:val="SanofiTableText"/>
              <w:rPr>
                <w:szCs w:val="20"/>
              </w:rPr>
            </w:pPr>
            <w:r w:rsidRPr="000717E1">
              <w:rPr>
                <w:szCs w:val="20"/>
              </w:rPr>
              <w:t xml:space="preserve">The cost of exacerbations and the COPD health states were determined from micro-costing based on the frequency of health care resource use reported by patients in the METIS survey. </w:t>
            </w:r>
            <w:r w:rsidRPr="000717E1">
              <w:t>Unit costs have been sourced in accordance with the recommendations of the PBAC Manual of Resource Items and their Associated Costs.</w:t>
            </w:r>
            <w:r w:rsidRPr="000717E1">
              <w:rPr>
                <w:rFonts w:asciiTheme="minorHAnsi" w:hAnsiTheme="minorHAnsi"/>
              </w:rPr>
              <w:t xml:space="preserve"> </w:t>
            </w:r>
          </w:p>
        </w:tc>
      </w:tr>
    </w:tbl>
    <w:p w14:paraId="659A5BBC" w14:textId="77777777" w:rsidR="00AC64A4" w:rsidRPr="000717E1" w:rsidRDefault="00AC64A4" w:rsidP="00AC64A4">
      <w:pPr>
        <w:pStyle w:val="FooterTableFigure"/>
      </w:pPr>
      <w:r w:rsidRPr="000717E1">
        <w:t>Source: Table 3.1-1, p120; Table 3.5-1, p155; Table 3.5-3, p156 of the submission.</w:t>
      </w:r>
    </w:p>
    <w:p w14:paraId="6DBE2937" w14:textId="794579A1" w:rsidR="00AC64A4" w:rsidRPr="000717E1" w:rsidRDefault="00AC64A4" w:rsidP="00AC64A4">
      <w:pPr>
        <w:pStyle w:val="FooterTableFigure"/>
      </w:pPr>
      <w:r w:rsidRPr="000717E1">
        <w:t xml:space="preserve">COPD = chronic obstructive pulmonary disease; </w:t>
      </w:r>
      <w:r w:rsidR="00E320DF" w:rsidRPr="000717E1">
        <w:t>FEV</w:t>
      </w:r>
      <w:r w:rsidR="00E320DF" w:rsidRPr="000717E1">
        <w:rPr>
          <w:vertAlign w:val="subscript"/>
        </w:rPr>
        <w:t>1</w:t>
      </w:r>
      <w:r w:rsidR="00E320DF" w:rsidRPr="000717E1">
        <w:t xml:space="preserve"> = forced expiratory volume in 1 second; </w:t>
      </w:r>
      <w:r w:rsidRPr="000717E1">
        <w:t xml:space="preserve">LY = life years; </w:t>
      </w:r>
      <w:r w:rsidR="00E320DF" w:rsidRPr="000717E1">
        <w:t xml:space="preserve">PBAC = Pharmaceutical Benefits Advisory Committee; </w:t>
      </w:r>
      <w:r w:rsidRPr="000717E1">
        <w:t>QALYs = quality adjusted life years; SMR = standardised mortality ratio</w:t>
      </w:r>
    </w:p>
    <w:p w14:paraId="33400EBA" w14:textId="05F7FC3A" w:rsidR="00AC64A4" w:rsidRPr="000717E1" w:rsidRDefault="00AC64A4" w:rsidP="00AC64A4">
      <w:pPr>
        <w:pStyle w:val="3-BodyText"/>
        <w:rPr>
          <w:rFonts w:eastAsia="Calibri" w:cstheme="minorHAnsi"/>
        </w:rPr>
      </w:pPr>
      <w:r w:rsidRPr="000717E1">
        <w:rPr>
          <w:rFonts w:eastAsia="Calibri" w:cstheme="minorHAnsi"/>
        </w:rPr>
        <w:t xml:space="preserve">The submission adopted a hybrid </w:t>
      </w:r>
      <w:r w:rsidR="00A114E0">
        <w:rPr>
          <w:rFonts w:eastAsia="Calibri" w:cstheme="minorHAnsi"/>
        </w:rPr>
        <w:t xml:space="preserve">model with a </w:t>
      </w:r>
      <w:r w:rsidRPr="000717E1">
        <w:rPr>
          <w:rFonts w:eastAsia="Calibri" w:cstheme="minorHAnsi"/>
        </w:rPr>
        <w:t>decision tree component representing the first year (trial period) followed by a cohort Markov model structure to extrapolate the trial benefits over the time horizon</w:t>
      </w:r>
      <w:r w:rsidR="001E57AD">
        <w:rPr>
          <w:rFonts w:eastAsia="Calibri" w:cstheme="minorHAnsi"/>
        </w:rPr>
        <w:t>. E</w:t>
      </w:r>
      <w:r w:rsidRPr="000717E1">
        <w:rPr>
          <w:rFonts w:eastAsia="Calibri" w:cstheme="minorHAnsi"/>
        </w:rPr>
        <w:t>ach treatment arm consist</w:t>
      </w:r>
      <w:r w:rsidR="001E57AD">
        <w:rPr>
          <w:rFonts w:eastAsia="Calibri" w:cstheme="minorHAnsi"/>
        </w:rPr>
        <w:t>ed</w:t>
      </w:r>
      <w:r w:rsidRPr="000717E1">
        <w:rPr>
          <w:rFonts w:eastAsia="Calibri" w:cstheme="minorHAnsi"/>
        </w:rPr>
        <w:t xml:space="preserve"> of 4 COPD </w:t>
      </w:r>
      <w:r w:rsidRPr="000717E1">
        <w:rPr>
          <w:rFonts w:eastAsia="Calibri" w:cstheme="minorHAnsi"/>
        </w:rPr>
        <w:lastRenderedPageBreak/>
        <w:t>severity health states (GOLD stages) split into 7 exacerbation substates. The decision tree component was split into an amelioration phase (first 2 weeks) and maintenance phase (next 50 weeks) based on the improvement of FEV</w:t>
      </w:r>
      <w:r w:rsidRPr="000717E1">
        <w:rPr>
          <w:rFonts w:eastAsia="Calibri" w:cstheme="minorHAnsi"/>
          <w:vertAlign w:val="subscript"/>
        </w:rPr>
        <w:t>1</w:t>
      </w:r>
      <w:r w:rsidRPr="000717E1">
        <w:rPr>
          <w:rFonts w:eastAsia="Calibri" w:cstheme="minorHAnsi"/>
        </w:rPr>
        <w:t xml:space="preserve"> levels observed in the trials</w:t>
      </w:r>
      <w:r w:rsidR="006F61FE">
        <w:rPr>
          <w:rFonts w:eastAsia="Calibri" w:cstheme="minorHAnsi"/>
        </w:rPr>
        <w:t>.</w:t>
      </w:r>
      <w:r w:rsidRPr="000717E1">
        <w:rPr>
          <w:rFonts w:eastAsia="Calibri" w:cstheme="minorHAnsi"/>
        </w:rPr>
        <w:t xml:space="preserve"> At the end of the decision tree (52 weeks) patients entered the Markov model in the corresponding health state</w:t>
      </w:r>
      <w:r w:rsidR="00EC47D2">
        <w:rPr>
          <w:rFonts w:eastAsia="Calibri" w:cstheme="minorHAnsi"/>
        </w:rPr>
        <w:t>, with</w:t>
      </w:r>
      <w:r w:rsidRPr="000717E1">
        <w:rPr>
          <w:rFonts w:eastAsia="Calibri" w:cstheme="minorHAnsi"/>
        </w:rPr>
        <w:t xml:space="preserve"> patients in the dupilumab arm split by treatment response (responders and non-responders). The responders continued to receive dupilumab + triple inhaled therapy, while the non-responders discontinued dupilumab and continued with triple inhaled therapy. </w:t>
      </w:r>
      <w:r w:rsidRPr="000717E1">
        <w:t>The structure of the economic model followed disease progression, stratified to capture the associated</w:t>
      </w:r>
      <w:r w:rsidRPr="000717E1">
        <w:rPr>
          <w:i/>
          <w:iCs/>
        </w:rPr>
        <w:t xml:space="preserve"> </w:t>
      </w:r>
      <w:r w:rsidRPr="000717E1">
        <w:t xml:space="preserve">costs and outcomes for each disease stage, and was consistent with </w:t>
      </w:r>
      <w:r w:rsidR="00ED5B5B">
        <w:t>published models</w:t>
      </w:r>
      <w:r w:rsidRPr="000717E1">
        <w:t>.</w:t>
      </w:r>
      <w:r w:rsidR="00127D85" w:rsidRPr="000717E1">
        <w:t xml:space="preserve"> </w:t>
      </w:r>
      <w:r w:rsidR="009626FF" w:rsidRPr="001F3F0F">
        <w:rPr>
          <w:iCs/>
        </w:rPr>
        <w:t xml:space="preserve">The </w:t>
      </w:r>
      <w:r w:rsidR="00D3428B" w:rsidRPr="001F3F0F">
        <w:rPr>
          <w:iCs/>
        </w:rPr>
        <w:t>Sub</w:t>
      </w:r>
      <w:r w:rsidR="00CD0882">
        <w:rPr>
          <w:iCs/>
        </w:rPr>
        <w:noBreakHyphen/>
      </w:r>
      <w:r w:rsidR="009626FF" w:rsidRPr="001F3F0F">
        <w:rPr>
          <w:iCs/>
        </w:rPr>
        <w:t xml:space="preserve">Committees </w:t>
      </w:r>
      <w:r w:rsidR="00DE5F2F" w:rsidRPr="001F3F0F">
        <w:rPr>
          <w:iCs/>
        </w:rPr>
        <w:t xml:space="preserve">considered the model structure appropriate, </w:t>
      </w:r>
      <w:r w:rsidR="0081438A" w:rsidRPr="001F3F0F">
        <w:rPr>
          <w:iCs/>
        </w:rPr>
        <w:t xml:space="preserve">however </w:t>
      </w:r>
      <w:r w:rsidR="00DE5F2F" w:rsidRPr="001F3F0F">
        <w:rPr>
          <w:iCs/>
        </w:rPr>
        <w:t xml:space="preserve">given </w:t>
      </w:r>
      <w:r w:rsidR="00AA3B09" w:rsidRPr="001F3F0F">
        <w:rPr>
          <w:iCs/>
        </w:rPr>
        <w:t>that</w:t>
      </w:r>
      <w:r w:rsidR="00DE5F2F" w:rsidRPr="001F3F0F">
        <w:rPr>
          <w:iCs/>
        </w:rPr>
        <w:t xml:space="preserve"> </w:t>
      </w:r>
      <w:r w:rsidR="00E27A93" w:rsidRPr="001F3F0F">
        <w:rPr>
          <w:iCs/>
        </w:rPr>
        <w:t>COPD decline</w:t>
      </w:r>
      <w:r w:rsidR="00AA3B09" w:rsidRPr="001F3F0F">
        <w:rPr>
          <w:iCs/>
        </w:rPr>
        <w:t xml:space="preserve"> in the model is </w:t>
      </w:r>
      <w:r w:rsidR="00792DE4" w:rsidRPr="001F3F0F">
        <w:rPr>
          <w:iCs/>
        </w:rPr>
        <w:t>wholly dependent</w:t>
      </w:r>
      <w:r w:rsidR="00AA3B09" w:rsidRPr="001F3F0F">
        <w:rPr>
          <w:iCs/>
        </w:rPr>
        <w:t xml:space="preserve"> on </w:t>
      </w:r>
      <w:r w:rsidR="007D7271" w:rsidRPr="001F3F0F">
        <w:rPr>
          <w:iCs/>
        </w:rPr>
        <w:t xml:space="preserve">the expected </w:t>
      </w:r>
      <w:r w:rsidR="00AA3B09" w:rsidRPr="001F3F0F">
        <w:rPr>
          <w:iCs/>
        </w:rPr>
        <w:t>exacerbation frequency</w:t>
      </w:r>
      <w:r w:rsidR="007D7271" w:rsidRPr="001F3F0F">
        <w:rPr>
          <w:iCs/>
        </w:rPr>
        <w:t xml:space="preserve"> across the two arms</w:t>
      </w:r>
      <w:r w:rsidR="00D60BEF" w:rsidRPr="001F3F0F">
        <w:rPr>
          <w:iCs/>
        </w:rPr>
        <w:t>, the model is heavi</w:t>
      </w:r>
      <w:r w:rsidR="00E01A27" w:rsidRPr="001F3F0F">
        <w:rPr>
          <w:iCs/>
        </w:rPr>
        <w:t>ly reliant on these inputs</w:t>
      </w:r>
      <w:r w:rsidR="007D7271" w:rsidRPr="001F3F0F">
        <w:rPr>
          <w:iCs/>
        </w:rPr>
        <w:t>/datasets</w:t>
      </w:r>
      <w:r w:rsidR="00EC142E" w:rsidRPr="001F3F0F">
        <w:rPr>
          <w:iCs/>
        </w:rPr>
        <w:t xml:space="preserve">, </w:t>
      </w:r>
      <w:r w:rsidR="003E4DDD" w:rsidRPr="001F3F0F">
        <w:rPr>
          <w:iCs/>
        </w:rPr>
        <w:t>which</w:t>
      </w:r>
      <w:r w:rsidR="006F05C5" w:rsidRPr="001F3F0F">
        <w:rPr>
          <w:iCs/>
        </w:rPr>
        <w:t xml:space="preserve"> were associated with some uncertainty</w:t>
      </w:r>
      <w:r w:rsidR="003E4DDD" w:rsidRPr="001F3F0F">
        <w:rPr>
          <w:iCs/>
        </w:rPr>
        <w:t xml:space="preserve"> (described </w:t>
      </w:r>
      <w:r w:rsidR="00010927" w:rsidRPr="001F3F0F">
        <w:rPr>
          <w:iCs/>
        </w:rPr>
        <w:t>herein</w:t>
      </w:r>
      <w:r w:rsidR="003E4DDD" w:rsidRPr="001F3F0F">
        <w:rPr>
          <w:iCs/>
        </w:rPr>
        <w:t>)</w:t>
      </w:r>
      <w:r w:rsidR="007D7271" w:rsidRPr="001F3F0F">
        <w:rPr>
          <w:iCs/>
        </w:rPr>
        <w:t>.</w:t>
      </w:r>
    </w:p>
    <w:p w14:paraId="3C8D3C4E" w14:textId="53BACBA1" w:rsidR="00C73850" w:rsidRPr="000717E1" w:rsidRDefault="00AC64A4" w:rsidP="00070E53">
      <w:pPr>
        <w:pStyle w:val="3-BodyText"/>
      </w:pPr>
      <w:r w:rsidRPr="000717E1">
        <w:t xml:space="preserve">A lifetime time horizon (35 years, from a starting age of 65) was applied. </w:t>
      </w:r>
      <w:r w:rsidR="00D16379" w:rsidRPr="000717E1">
        <w:t>The evaluation considered that w</w:t>
      </w:r>
      <w:r w:rsidRPr="000717E1">
        <w:t xml:space="preserve">hile it is reasonable in the context of a chronic condition to extrapolate effects to a longer time horizon (beyond the 52 weeks of the trials), given the clinical condition (high risk for severe exacerbation despite being on triple therapy) and age of the population in the model, a 35-year time horizon may not be realistic. Median survival of COPD patients after a severe exacerbation </w:t>
      </w:r>
      <w:r w:rsidR="00F94DCE" w:rsidRPr="000717E1">
        <w:t>is approximately</w:t>
      </w:r>
      <w:r w:rsidRPr="000717E1">
        <w:t xml:space="preserve"> 4.7 years and the risk of mortality </w:t>
      </w:r>
      <w:r w:rsidR="00F94DCE" w:rsidRPr="000717E1">
        <w:t>has been</w:t>
      </w:r>
      <w:r w:rsidRPr="000717E1">
        <w:t xml:space="preserve"> found to increase with moderate and severe exacerbations</w:t>
      </w:r>
      <w:r w:rsidRPr="000717E1">
        <w:rPr>
          <w:vertAlign w:val="superscript"/>
        </w:rPr>
        <w:footnoteReference w:id="7"/>
      </w:r>
      <w:r w:rsidRPr="000717E1">
        <w:t xml:space="preserve">. The PBAC previously </w:t>
      </w:r>
      <w:r w:rsidR="00335F7C" w:rsidRPr="000717E1">
        <w:t xml:space="preserve">accepted </w:t>
      </w:r>
      <w:r w:rsidRPr="000717E1">
        <w:t xml:space="preserve">a 10-year time horizon </w:t>
      </w:r>
      <w:r w:rsidR="00476A5B" w:rsidRPr="000717E1">
        <w:t>for the economic model evaluating</w:t>
      </w:r>
      <w:r w:rsidRPr="000717E1">
        <w:t xml:space="preserve"> triple therapy for the treatment of patients with moderate to severe COPD with frequent exacerbations (para </w:t>
      </w:r>
      <w:r w:rsidR="00F63333" w:rsidRPr="000717E1">
        <w:t>7.9</w:t>
      </w:r>
      <w:r w:rsidRPr="000717E1">
        <w:t xml:space="preserve">, fluticasone furoate with umeclidinium and vilanterol PSD, March 2019 PBAC meeting). Patients in that setting had less severe disease than those in the proposed listing; therefore, a time horizon of 35 years is unlikely to be appropriate for the current submission. Reducing the time horizon to 10 years increased the incremental cost-effectiveness ratio (ICER) to </w:t>
      </w:r>
      <w:r w:rsidR="0024010B">
        <w:t>$55,000 to &lt;</w:t>
      </w:r>
      <w:r w:rsidR="00E05B7A">
        <w:t xml:space="preserve"> </w:t>
      </w:r>
      <w:r w:rsidR="0024010B">
        <w:t>$</w:t>
      </w:r>
      <w:r w:rsidR="00E05B7A">
        <w:t>7</w:t>
      </w:r>
      <w:r w:rsidR="0024010B">
        <w:t>5,000</w:t>
      </w:r>
      <w:r w:rsidRPr="000717E1">
        <w:t>/quality adjusted life year (QALY) gained from the base case ICER of $</w:t>
      </w:r>
      <w:r w:rsidR="00E05B7A">
        <w:t>35,000 to &lt; $45,000</w:t>
      </w:r>
      <w:r w:rsidRPr="000717E1">
        <w:t xml:space="preserve">/QALY. The impact of the time horizon on the ICER is presented in </w:t>
      </w:r>
      <w:r w:rsidRPr="000717E1">
        <w:fldChar w:fldCharType="begin"/>
      </w:r>
      <w:r w:rsidRPr="000717E1">
        <w:instrText xml:space="preserve"> REF _Ref216216690 \h </w:instrText>
      </w:r>
      <w:r w:rsidR="003303C0" w:rsidRPr="000717E1">
        <w:instrText xml:space="preserve"> \* MERGEFORMAT </w:instrText>
      </w:r>
      <w:r w:rsidRPr="000717E1">
        <w:fldChar w:fldCharType="separate"/>
      </w:r>
      <w:r w:rsidR="00281F45" w:rsidRPr="00281F45">
        <w:t>Figure 2</w:t>
      </w:r>
      <w:r w:rsidRPr="000717E1">
        <w:fldChar w:fldCharType="end"/>
      </w:r>
      <w:r w:rsidRPr="000717E1">
        <w:t xml:space="preserve">. </w:t>
      </w:r>
      <w:r w:rsidR="00A472F4" w:rsidRPr="005446D7">
        <w:t>The</w:t>
      </w:r>
      <w:r w:rsidR="003A249C" w:rsidRPr="005446D7">
        <w:t xml:space="preserve"> </w:t>
      </w:r>
      <w:r w:rsidR="00A472F4" w:rsidRPr="005446D7">
        <w:t>PSCR</w:t>
      </w:r>
      <w:r w:rsidR="008D114E" w:rsidRPr="005446D7">
        <w:t xml:space="preserve"> argued that </w:t>
      </w:r>
      <w:r w:rsidR="00782C8A" w:rsidRPr="005446D7">
        <w:t>the</w:t>
      </w:r>
      <w:r w:rsidR="008D114E" w:rsidRPr="005446D7">
        <w:t xml:space="preserve"> lifetime time horizon</w:t>
      </w:r>
      <w:r w:rsidR="008C0193" w:rsidRPr="005446D7">
        <w:t xml:space="preserve"> </w:t>
      </w:r>
      <w:r w:rsidR="00782C8A" w:rsidRPr="005446D7">
        <w:t>should remain</w:t>
      </w:r>
      <w:r w:rsidR="00E83B05" w:rsidRPr="005446D7">
        <w:t xml:space="preserve"> given that </w:t>
      </w:r>
      <w:r w:rsidR="00195933" w:rsidRPr="005446D7">
        <w:t>the model</w:t>
      </w:r>
      <w:r w:rsidR="008D114E" w:rsidRPr="005446D7">
        <w:t xml:space="preserve"> incorporates </w:t>
      </w:r>
      <w:r w:rsidR="00C51673" w:rsidRPr="005446D7">
        <w:t>an</w:t>
      </w:r>
      <w:r w:rsidR="008D114E" w:rsidRPr="005446D7">
        <w:t xml:space="preserve"> increased</w:t>
      </w:r>
      <w:r w:rsidR="00C51673" w:rsidRPr="005446D7">
        <w:t xml:space="preserve"> risk of mortality</w:t>
      </w:r>
      <w:r w:rsidR="008D114E" w:rsidRPr="005446D7">
        <w:t xml:space="preserve"> due to age and exacerbations in this population and</w:t>
      </w:r>
      <w:r w:rsidR="00195933" w:rsidRPr="005446D7">
        <w:t xml:space="preserve"> therefore</w:t>
      </w:r>
      <w:r w:rsidR="008D114E" w:rsidRPr="005446D7">
        <w:t xml:space="preserve"> captures the clinical and economic impacts of COPD and the effect of dupilumab treatment. </w:t>
      </w:r>
      <w:r w:rsidR="003A249C" w:rsidRPr="005446D7">
        <w:t xml:space="preserve">However, </w:t>
      </w:r>
      <w:r w:rsidR="00217782" w:rsidRPr="005446D7">
        <w:t>the Sub-Committees considered a 10-year time horizon was more appropriate for this</w:t>
      </w:r>
      <w:r w:rsidR="00F8691C" w:rsidRPr="005446D7">
        <w:t xml:space="preserve"> patient group and considered </w:t>
      </w:r>
      <w:r w:rsidR="001211C1" w:rsidRPr="005446D7">
        <w:t>the underlying data could not support longer-term projections.</w:t>
      </w:r>
      <w:r w:rsidR="001211C1" w:rsidRPr="000717E1">
        <w:t xml:space="preserve"> </w:t>
      </w:r>
      <w:r w:rsidR="00AB4184">
        <w:t xml:space="preserve">The Pre-PBAC Response </w:t>
      </w:r>
      <w:r w:rsidR="004031E7">
        <w:t>argued that the time horizon for dupilumab should not be benchmarked against</w:t>
      </w:r>
      <w:r w:rsidR="00631E35">
        <w:t xml:space="preserve"> the time horizon applied to a</w:t>
      </w:r>
      <w:r w:rsidR="00FE3749">
        <w:t>n</w:t>
      </w:r>
      <w:r w:rsidR="00631E35">
        <w:t xml:space="preserve"> </w:t>
      </w:r>
      <w:r w:rsidR="00552593">
        <w:t>economic model for</w:t>
      </w:r>
      <w:r w:rsidR="004031E7">
        <w:t xml:space="preserve"> triple </w:t>
      </w:r>
      <w:r w:rsidR="004031E7">
        <w:lastRenderedPageBreak/>
        <w:t>therapy (</w:t>
      </w:r>
      <w:r w:rsidR="004031E7" w:rsidRPr="000717E1">
        <w:t>fluticasone furoate with umeclidinium and vilanterol</w:t>
      </w:r>
      <w:r w:rsidR="00493904">
        <w:t>). Th</w:t>
      </w:r>
      <w:r w:rsidR="00E01E6D">
        <w:t xml:space="preserve">e Pre-PBAC Response argued that </w:t>
      </w:r>
      <w:r w:rsidR="00493904">
        <w:t xml:space="preserve">triple therapy </w:t>
      </w:r>
      <w:r w:rsidR="00E01E6D">
        <w:t xml:space="preserve">primarily </w:t>
      </w:r>
      <w:r w:rsidR="00C73C3E" w:rsidRPr="45E72D9A">
        <w:rPr>
          <w:rFonts w:eastAsia="Aptos"/>
        </w:rPr>
        <w:t>provides symptomatic relief through bronchodilation and localised anti-inflammatory effects,</w:t>
      </w:r>
      <w:r w:rsidR="00C73C3E">
        <w:rPr>
          <w:rFonts w:eastAsia="Aptos"/>
        </w:rPr>
        <w:t xml:space="preserve"> whereas</w:t>
      </w:r>
      <w:r w:rsidR="00C73C3E" w:rsidRPr="45E72D9A">
        <w:rPr>
          <w:rFonts w:eastAsia="Aptos"/>
        </w:rPr>
        <w:t xml:space="preserve"> dupilumab's mechanism of action addresses the immunological drivers of COPD</w:t>
      </w:r>
      <w:r w:rsidR="00C73C3E">
        <w:rPr>
          <w:rFonts w:eastAsia="Aptos"/>
        </w:rPr>
        <w:t xml:space="preserve"> and has </w:t>
      </w:r>
      <w:r w:rsidR="00C73C3E" w:rsidRPr="45E72D9A">
        <w:rPr>
          <w:rFonts w:eastAsia="Aptos"/>
        </w:rPr>
        <w:t>disease-modifying effects</w:t>
      </w:r>
      <w:r w:rsidR="00C73C3E">
        <w:rPr>
          <w:rFonts w:eastAsia="Aptos"/>
        </w:rPr>
        <w:t xml:space="preserve"> which compound</w:t>
      </w:r>
      <w:r w:rsidR="00C73C3E" w:rsidRPr="45E72D9A">
        <w:rPr>
          <w:rFonts w:eastAsia="Aptos"/>
        </w:rPr>
        <w:t xml:space="preserve"> over the patient's lifetime</w:t>
      </w:r>
      <w:r w:rsidR="00C73C3E">
        <w:rPr>
          <w:rFonts w:eastAsia="Aptos"/>
        </w:rPr>
        <w:t>.</w:t>
      </w:r>
      <w:r w:rsidR="00C73C3E" w:rsidRPr="45E72D9A">
        <w:rPr>
          <w:rFonts w:eastAsia="Aptos"/>
        </w:rPr>
        <w:t xml:space="preserve"> </w:t>
      </w:r>
      <w:r w:rsidR="004C33CE">
        <w:rPr>
          <w:rFonts w:eastAsia="Aptos"/>
        </w:rPr>
        <w:t xml:space="preserve">The Pre-PBAC Response argued that </w:t>
      </w:r>
      <w:r w:rsidR="00DB4787" w:rsidRPr="6CCCD6BE">
        <w:rPr>
          <w:rFonts w:eastAsia="Aptos"/>
        </w:rPr>
        <w:t xml:space="preserve">a meaningful proportion of patients </w:t>
      </w:r>
      <w:r w:rsidR="00AF1A6D">
        <w:rPr>
          <w:rFonts w:eastAsia="Aptos"/>
        </w:rPr>
        <w:t>are expected to</w:t>
      </w:r>
      <w:r w:rsidR="00DB4787" w:rsidRPr="6CCCD6BE">
        <w:rPr>
          <w:rFonts w:eastAsia="Aptos"/>
        </w:rPr>
        <w:t xml:space="preserve"> live beyond 10 years, and </w:t>
      </w:r>
      <w:r w:rsidR="00DB4787" w:rsidRPr="3D9BA42D">
        <w:rPr>
          <w:rFonts w:eastAsia="Aptos"/>
        </w:rPr>
        <w:t xml:space="preserve">a </w:t>
      </w:r>
      <w:r w:rsidR="00DB4787" w:rsidRPr="6CCCD6BE">
        <w:rPr>
          <w:rFonts w:eastAsia="Aptos"/>
        </w:rPr>
        <w:t xml:space="preserve">cutoff at 10 years would undervalue dupilumab's cost-effectiveness. </w:t>
      </w:r>
    </w:p>
    <w:p w14:paraId="40CA7820" w14:textId="197F3BE8" w:rsidR="0040044B" w:rsidRPr="0040044B" w:rsidRDefault="0040044B" w:rsidP="0040044B"/>
    <w:p w14:paraId="06B3ADBB" w14:textId="0114ECD2" w:rsidR="00E55D97" w:rsidRPr="00245EEE" w:rsidRDefault="00245EEE" w:rsidP="00245EEE">
      <w:pPr>
        <w:pStyle w:val="Caption"/>
        <w:rPr>
          <w:rFonts w:eastAsia="Calibri"/>
          <w:bCs w:val="0"/>
          <w:iCs/>
        </w:rPr>
      </w:pPr>
      <w:bookmarkStart w:id="74" w:name="_Ref216216690"/>
      <w:r>
        <w:rPr>
          <w:rFonts w:eastAsia="Calibri"/>
          <w:iCs/>
          <w:noProof/>
        </w:rPr>
        <mc:AlternateContent>
          <mc:Choice Requires="wps">
            <w:drawing>
              <wp:anchor distT="0" distB="0" distL="114300" distR="114300" simplePos="0" relativeHeight="251659264" behindDoc="0" locked="0" layoutInCell="1" allowOverlap="1" wp14:anchorId="51CED6D5" wp14:editId="3E8A278B">
                <wp:simplePos x="0" y="0"/>
                <wp:positionH relativeFrom="margin">
                  <wp:align>right</wp:align>
                </wp:positionH>
                <wp:positionV relativeFrom="paragraph">
                  <wp:posOffset>205740</wp:posOffset>
                </wp:positionV>
                <wp:extent cx="5676900" cy="2536190"/>
                <wp:effectExtent l="0" t="0" r="19050" b="16510"/>
                <wp:wrapSquare wrapText="bothSides"/>
                <wp:docPr id="2039792561" name="Text Box 7" descr="Figure 2: ICER and time horizon"/>
                <wp:cNvGraphicFramePr/>
                <a:graphic xmlns:a="http://schemas.openxmlformats.org/drawingml/2006/main">
                  <a:graphicData uri="http://schemas.microsoft.com/office/word/2010/wordprocessingShape">
                    <wps:wsp>
                      <wps:cNvSpPr txBox="1"/>
                      <wps:spPr>
                        <a:xfrm>
                          <a:off x="0" y="0"/>
                          <a:ext cx="5676900" cy="2536466"/>
                        </a:xfrm>
                        <a:prstGeom prst="rect">
                          <a:avLst/>
                        </a:prstGeom>
                        <a:solidFill>
                          <a:schemeClr val="tx1"/>
                        </a:solidFill>
                        <a:ln w="6350">
                          <a:solidFill>
                            <a:prstClr val="black"/>
                          </a:solidFill>
                        </a:ln>
                      </wps:spPr>
                      <wps:txbx>
                        <w:txbxContent>
                          <w:p w14:paraId="6D3C6CFB" w14:textId="77777777" w:rsidR="00E55D97" w:rsidRDefault="00E55D97" w:rsidP="00E55D97">
                            <w:pPr>
                              <w:shd w:val="clear" w:color="auto" w:fill="000000" w:themeFill="text1"/>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ED6D5" id="_x0000_t202" coordsize="21600,21600" o:spt="202" path="m,l,21600r21600,l21600,xe">
                <v:stroke joinstyle="miter"/>
                <v:path gradientshapeok="t" o:connecttype="rect"/>
              </v:shapetype>
              <v:shape id="Text Box 7" o:spid="_x0000_s1026" type="#_x0000_t202" alt="Figure 2: ICER and time horizon" style="position:absolute;left:0;text-align:left;margin-left:395.8pt;margin-top:16.2pt;width:447pt;height:199.7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" fillcolor="black [3213]" strokeweight=".5pt">
                <v:textbox>
                  <w:txbxContent>
                    <w:p w14:paraId="6D3C6CFB" w14:textId="77777777" w:rsidR="00E55D97" w:rsidRDefault="00E55D97" w:rsidP="00E55D97">
                      <w:pPr>
                        <w:shd w:val="clear" w:color="auto" w:fill="000000" w:themeFill="text1"/>
                      </w:pPr>
                    </w:p>
                  </w:txbxContent>
                </v:textbox>
                <w10:wrap type="square" anchorx="margin"/>
              </v:shape>
            </w:pict>
          </mc:Fallback>
        </mc:AlternateContent>
      </w:r>
      <w:r w:rsidR="00AC64A4" w:rsidRPr="000717E1">
        <w:t xml:space="preserve">Figure </w:t>
      </w:r>
      <w:fldSimple w:instr=" SEQ Figure \* ARABIC ">
        <w:r w:rsidR="00281F45">
          <w:rPr>
            <w:noProof/>
          </w:rPr>
          <w:t>2</w:t>
        </w:r>
      </w:fldSimple>
      <w:bookmarkEnd w:id="74"/>
      <w:r w:rsidR="00AC64A4" w:rsidRPr="000717E1">
        <w:t>: ICER and time horizon</w:t>
      </w:r>
    </w:p>
    <w:p w14:paraId="0F220B8B" w14:textId="7BF1056D" w:rsidR="00E55D97" w:rsidRDefault="00E55D97" w:rsidP="00AC64A4">
      <w:pPr>
        <w:pStyle w:val="3-BodyText"/>
        <w:numPr>
          <w:ilvl w:val="0"/>
          <w:numId w:val="0"/>
        </w:numPr>
        <w:spacing w:before="0" w:after="0"/>
        <w:rPr>
          <w:rFonts w:ascii="Arial Narrow" w:hAnsi="Arial Narrow"/>
          <w:sz w:val="18"/>
          <w:szCs w:val="18"/>
        </w:rPr>
      </w:pPr>
    </w:p>
    <w:p w14:paraId="1ABC40BF" w14:textId="2B50A970" w:rsidR="00AC64A4" w:rsidRPr="000717E1" w:rsidRDefault="00AC64A4" w:rsidP="00AC64A4">
      <w:pPr>
        <w:pStyle w:val="3-BodyText"/>
        <w:numPr>
          <w:ilvl w:val="0"/>
          <w:numId w:val="0"/>
        </w:numPr>
        <w:spacing w:before="0" w:after="0"/>
        <w:rPr>
          <w:rFonts w:ascii="Arial Narrow" w:hAnsi="Arial Narrow"/>
          <w:sz w:val="18"/>
          <w:szCs w:val="18"/>
        </w:rPr>
      </w:pPr>
      <w:r w:rsidRPr="000717E1">
        <w:rPr>
          <w:rFonts w:ascii="Arial Narrow" w:hAnsi="Arial Narrow"/>
          <w:sz w:val="18"/>
          <w:szCs w:val="18"/>
        </w:rPr>
        <w:t>Source: Constructed during the evaluation.</w:t>
      </w:r>
    </w:p>
    <w:p w14:paraId="430C8D3E" w14:textId="77777777" w:rsidR="00AC64A4" w:rsidRPr="000717E1" w:rsidRDefault="00AC64A4" w:rsidP="00AC64A4">
      <w:pPr>
        <w:pStyle w:val="3-BodyText"/>
        <w:numPr>
          <w:ilvl w:val="0"/>
          <w:numId w:val="0"/>
        </w:numPr>
        <w:spacing w:before="0" w:after="0"/>
        <w:rPr>
          <w:rFonts w:ascii="Arial Narrow" w:hAnsi="Arial Narrow"/>
          <w:color w:val="0066FF"/>
          <w:sz w:val="18"/>
          <w:szCs w:val="18"/>
        </w:rPr>
      </w:pPr>
      <w:r w:rsidRPr="000717E1">
        <w:rPr>
          <w:rFonts w:ascii="Arial Narrow" w:hAnsi="Arial Narrow"/>
          <w:sz w:val="18"/>
          <w:szCs w:val="18"/>
        </w:rPr>
        <w:t>ICER = incremental cost effectiveness ratio, QALY = quality adjusted life years.</w:t>
      </w:r>
    </w:p>
    <w:p w14:paraId="539363A8" w14:textId="77777777" w:rsidR="00AC64A4" w:rsidRPr="000717E1" w:rsidRDefault="00AC64A4" w:rsidP="00AC64A4">
      <w:pPr>
        <w:pStyle w:val="3-BodyText"/>
        <w:numPr>
          <w:ilvl w:val="0"/>
          <w:numId w:val="0"/>
        </w:numPr>
        <w:spacing w:before="0" w:after="0"/>
        <w:rPr>
          <w:rFonts w:ascii="Arial Narrow" w:hAnsi="Arial Narrow"/>
          <w:color w:val="0066FF"/>
          <w:sz w:val="18"/>
          <w:szCs w:val="18"/>
        </w:rPr>
      </w:pPr>
    </w:p>
    <w:p w14:paraId="5862FF98" w14:textId="1CB6240E" w:rsidR="00AC64A4" w:rsidRPr="000717E1" w:rsidRDefault="00AC64A4" w:rsidP="00AC64A4">
      <w:pPr>
        <w:pStyle w:val="3-BodyText"/>
      </w:pPr>
      <w:r w:rsidRPr="000717E1">
        <w:rPr>
          <w:rFonts w:eastAsia="MinionPro-Regular" w:cs="Calibri Light"/>
        </w:rPr>
        <w:t>The submission applied a stopping rule at the end of cycle 1</w:t>
      </w:r>
      <w:r w:rsidR="00AD4DC5" w:rsidRPr="000717E1">
        <w:rPr>
          <w:rFonts w:eastAsia="MinionPro-Regular" w:cs="Calibri Light"/>
        </w:rPr>
        <w:t xml:space="preserve"> only</w:t>
      </w:r>
      <w:r w:rsidR="00DE2DF0" w:rsidRPr="000717E1">
        <w:rPr>
          <w:rFonts w:eastAsia="MinionPro-Regular" w:cs="Calibri Light"/>
        </w:rPr>
        <w:t>. The stopping rule was based</w:t>
      </w:r>
      <w:r w:rsidR="00E76722" w:rsidRPr="000717E1">
        <w:rPr>
          <w:rFonts w:eastAsia="MinionPro-Regular" w:cs="Calibri Light"/>
        </w:rPr>
        <w:t xml:space="preserve"> </w:t>
      </w:r>
      <w:r w:rsidR="00585641" w:rsidRPr="000717E1">
        <w:rPr>
          <w:rFonts w:eastAsia="MinionPro-Regular" w:cs="Calibri Light"/>
        </w:rPr>
        <w:t>on</w:t>
      </w:r>
      <w:r w:rsidR="009315A8" w:rsidRPr="000717E1">
        <w:rPr>
          <w:rFonts w:eastAsia="MinionPro-Regular" w:cs="Calibri Light"/>
        </w:rPr>
        <w:t xml:space="preserve"> pooled</w:t>
      </w:r>
      <w:r w:rsidR="00585641" w:rsidRPr="000717E1">
        <w:rPr>
          <w:rFonts w:eastAsia="MinionPro-Regular" w:cs="Calibri Light"/>
        </w:rPr>
        <w:t xml:space="preserve"> response to treatment data</w:t>
      </w:r>
      <w:r w:rsidR="009315A8" w:rsidRPr="000717E1">
        <w:rPr>
          <w:rFonts w:eastAsia="MinionPro-Regular" w:cs="Calibri Light"/>
        </w:rPr>
        <w:t xml:space="preserve"> from BOREAS and NOTUS trials</w:t>
      </w:r>
      <w:r w:rsidR="00F7376A" w:rsidRPr="000717E1">
        <w:rPr>
          <w:rFonts w:eastAsia="MinionPro-Regular" w:cs="Calibri Light"/>
        </w:rPr>
        <w:t xml:space="preserve"> with</w:t>
      </w:r>
      <w:r w:rsidR="00585641" w:rsidRPr="000717E1">
        <w:rPr>
          <w:rFonts w:eastAsia="MinionPro-Regular" w:cs="Calibri Light"/>
        </w:rPr>
        <w:t xml:space="preserve"> </w:t>
      </w:r>
      <w:r w:rsidRPr="000717E1">
        <w:rPr>
          <w:rFonts w:eastAsia="MinionPro-Regular" w:cs="Calibri Light"/>
        </w:rPr>
        <w:t>non-responder</w:t>
      </w:r>
      <w:r w:rsidR="00F7376A" w:rsidRPr="000717E1">
        <w:rPr>
          <w:rFonts w:eastAsia="MinionPro-Regular" w:cs="Calibri Light"/>
        </w:rPr>
        <w:t>s</w:t>
      </w:r>
      <w:r w:rsidRPr="000717E1">
        <w:rPr>
          <w:rFonts w:eastAsia="MinionPro-Regular" w:cs="Calibri Light"/>
        </w:rPr>
        <w:t xml:space="preserve"> </w:t>
      </w:r>
      <w:r w:rsidR="00685DEC" w:rsidRPr="000717E1">
        <w:rPr>
          <w:rFonts w:eastAsia="MinionPro-Regular" w:cs="Calibri Light"/>
        </w:rPr>
        <w:t xml:space="preserve">stopping treatment with dupilumab and </w:t>
      </w:r>
      <w:r w:rsidRPr="000717E1">
        <w:rPr>
          <w:rFonts w:eastAsia="MinionPro-Regular" w:cs="Calibri Light"/>
        </w:rPr>
        <w:t>receiv</w:t>
      </w:r>
      <w:r w:rsidR="00B63650" w:rsidRPr="000717E1">
        <w:rPr>
          <w:rFonts w:eastAsia="MinionPro-Regular" w:cs="Calibri Light"/>
        </w:rPr>
        <w:t>ing</w:t>
      </w:r>
      <w:r w:rsidRPr="000717E1">
        <w:rPr>
          <w:rFonts w:eastAsia="MinionPro-Regular" w:cs="Calibri Light"/>
        </w:rPr>
        <w:t xml:space="preserve"> </w:t>
      </w:r>
      <w:r w:rsidRPr="000717E1">
        <w:rPr>
          <w:rFonts w:eastAsia="Calibri" w:cstheme="minorHAnsi"/>
        </w:rPr>
        <w:t>triple inhaled therapy</w:t>
      </w:r>
      <w:r w:rsidRPr="000717E1">
        <w:rPr>
          <w:rFonts w:eastAsia="MinionPro-Regular" w:cs="Calibri Light"/>
        </w:rPr>
        <w:t xml:space="preserve"> </w:t>
      </w:r>
      <w:r w:rsidR="00B63650" w:rsidRPr="000717E1">
        <w:rPr>
          <w:rFonts w:eastAsia="MinionPro-Regular" w:cs="Calibri Light"/>
        </w:rPr>
        <w:t xml:space="preserve">only </w:t>
      </w:r>
      <w:r w:rsidRPr="000717E1">
        <w:rPr>
          <w:rFonts w:eastAsia="MinionPro-Regular" w:cs="Calibri Light"/>
        </w:rPr>
        <w:t>from cycle 2. In addition, the submission applied a</w:t>
      </w:r>
      <w:r w:rsidR="00955DB0" w:rsidRPr="000717E1">
        <w:rPr>
          <w:rFonts w:eastAsia="MinionPro-Regular" w:cs="Calibri Light"/>
        </w:rPr>
        <w:t>n annual</w:t>
      </w:r>
      <w:r w:rsidRPr="000717E1">
        <w:rPr>
          <w:rFonts w:eastAsia="MinionPro-Regular" w:cs="Calibri Light"/>
        </w:rPr>
        <w:t xml:space="preserve"> treatment discontinuation rate of 9.3% for dupilumab in cycle 1 based on the pooled trial data. </w:t>
      </w:r>
      <w:r w:rsidRPr="000717E1">
        <w:t>A total of 85.4% of people remained on dupilumab at the end of cycle 1 and continue to cycle 2. From cycle 2 onwards, the submission applied a constant discontinuation rate of 15% per cycle. Due to the lack of direct evidence on the long-term rate of discontinuation of dupilumab in COPD patients, the submission justified its estimates based on the discontinuation rate of dupilumab observed in the PBS 10% sample for asthma (5</w:t>
      </w:r>
      <w:r w:rsidR="00B46003" w:rsidRPr="000717E1">
        <w:rPr>
          <w:rFonts w:cstheme="minorHAnsi"/>
        </w:rPr>
        <w:t>–</w:t>
      </w:r>
      <w:r w:rsidRPr="000717E1">
        <w:t xml:space="preserve">25%) and input from a Global Advisory Board (20%) conducted by the sponsor in July 2024 with five respiratory clinicians and two health economists. </w:t>
      </w:r>
      <w:r w:rsidRPr="001F3F0F">
        <w:rPr>
          <w:iCs/>
        </w:rPr>
        <w:t xml:space="preserve">The </w:t>
      </w:r>
      <w:r w:rsidR="00FC68C6" w:rsidRPr="001F3F0F">
        <w:rPr>
          <w:iCs/>
        </w:rPr>
        <w:t xml:space="preserve">evaluation </w:t>
      </w:r>
      <w:r w:rsidR="00A50B2A">
        <w:rPr>
          <w:iCs/>
        </w:rPr>
        <w:t>noted</w:t>
      </w:r>
      <w:r w:rsidR="00A50B2A" w:rsidRPr="001F3F0F">
        <w:rPr>
          <w:iCs/>
        </w:rPr>
        <w:t xml:space="preserve"> </w:t>
      </w:r>
      <w:r w:rsidR="00FC68C6" w:rsidRPr="001F3F0F">
        <w:rPr>
          <w:iCs/>
        </w:rPr>
        <w:t>the</w:t>
      </w:r>
      <w:r w:rsidR="00FC68C6" w:rsidRPr="000717E1">
        <w:t xml:space="preserve"> </w:t>
      </w:r>
      <w:r w:rsidRPr="000717E1">
        <w:t xml:space="preserve">assumed discontinuation rate of dupilumab from cycle 2 onward </w:t>
      </w:r>
      <w:r w:rsidR="0032122C" w:rsidRPr="000717E1">
        <w:t>wa</w:t>
      </w:r>
      <w:r w:rsidRPr="000717E1">
        <w:t xml:space="preserve">s within the range observed for dupilumab for asthma. However, it is </w:t>
      </w:r>
      <w:r w:rsidR="009D05B8">
        <w:t>un</w:t>
      </w:r>
      <w:r w:rsidRPr="000717E1">
        <w:t xml:space="preserve">certain if this </w:t>
      </w:r>
      <w:r w:rsidR="004B039A">
        <w:t>is applicable to</w:t>
      </w:r>
      <w:r w:rsidRPr="000717E1">
        <w:t xml:space="preserve"> COPD. The impact of changes in the discontinuation rate for dupilumab on the ICER is moderate.</w:t>
      </w:r>
    </w:p>
    <w:p w14:paraId="68F442B5" w14:textId="09ABF2DC" w:rsidR="00AC64A4" w:rsidRPr="000717E1" w:rsidRDefault="00AC64A4" w:rsidP="00AC64A4">
      <w:pPr>
        <w:pStyle w:val="3-BodyText"/>
        <w:rPr>
          <w:rFonts w:eastAsia="Calibri"/>
        </w:rPr>
      </w:pPr>
      <w:r w:rsidRPr="000717E1">
        <w:lastRenderedPageBreak/>
        <w:t>The submission stated that the exacerbation rates observed in the clinical trials were under-reported as the BOREAS and NOTUS trials were conducted during the COVID-19 pandemic. Therefore, to inform the model, exacerbation rates in the comparator arm (</w:t>
      </w:r>
      <w:r w:rsidRPr="000717E1">
        <w:rPr>
          <w:rFonts w:eastAsia="Calibri" w:cstheme="minorHAnsi"/>
        </w:rPr>
        <w:t xml:space="preserve">triple inhaled therapy </w:t>
      </w:r>
      <w:r w:rsidRPr="000717E1">
        <w:t>alone) were from the year prior to randomisation (</w:t>
      </w:r>
      <w:r w:rsidRPr="000717E1">
        <w:fldChar w:fldCharType="begin"/>
      </w:r>
      <w:r w:rsidRPr="000717E1">
        <w:instrText xml:space="preserve"> REF _Ref218836116 \h </w:instrText>
      </w:r>
      <w:r w:rsidR="003303C0" w:rsidRPr="000717E1">
        <w:instrText xml:space="preserve"> \* MERGEFORMAT </w:instrText>
      </w:r>
      <w:r w:rsidRPr="000717E1">
        <w:fldChar w:fldCharType="separate"/>
      </w:r>
      <w:r w:rsidR="00281F45" w:rsidRPr="000717E1">
        <w:t>Table</w:t>
      </w:r>
      <w:r w:rsidR="00CA1887">
        <w:t> </w:t>
      </w:r>
      <w:r w:rsidR="00281F45">
        <w:rPr>
          <w:noProof/>
        </w:rPr>
        <w:t>11</w:t>
      </w:r>
      <w:r w:rsidRPr="000717E1">
        <w:fldChar w:fldCharType="end"/>
      </w:r>
      <w:r w:rsidRPr="000717E1">
        <w:t>) and exacerbation rates for dupilumab were derived by applying the within trial relative risk to those pre-trial rates (</w:t>
      </w:r>
      <w:r w:rsidRPr="000717E1">
        <w:fldChar w:fldCharType="begin"/>
      </w:r>
      <w:r w:rsidRPr="000717E1">
        <w:instrText xml:space="preserve"> REF _Ref218836159 \h  \* MERGEFORMAT </w:instrText>
      </w:r>
      <w:r w:rsidRPr="000717E1">
        <w:fldChar w:fldCharType="separate"/>
      </w:r>
      <w:r w:rsidR="00281F45" w:rsidRPr="00281F45">
        <w:t>Table 12</w:t>
      </w:r>
      <w:r w:rsidRPr="000717E1">
        <w:fldChar w:fldCharType="end"/>
      </w:r>
      <w:r w:rsidRPr="000717E1">
        <w:t xml:space="preserve">). </w:t>
      </w:r>
      <w:r w:rsidR="00BA4343" w:rsidRPr="001F3F0F">
        <w:rPr>
          <w:iCs/>
        </w:rPr>
        <w:t xml:space="preserve">The Sub-Committees </w:t>
      </w:r>
      <w:r w:rsidR="00A90E41" w:rsidRPr="001F3F0F">
        <w:rPr>
          <w:iCs/>
        </w:rPr>
        <w:t>noted</w:t>
      </w:r>
      <w:r w:rsidR="00A869DD" w:rsidRPr="001F3F0F">
        <w:rPr>
          <w:iCs/>
        </w:rPr>
        <w:t xml:space="preserve"> that while it may</w:t>
      </w:r>
      <w:r w:rsidR="003D2167" w:rsidRPr="001F3F0F">
        <w:rPr>
          <w:iCs/>
        </w:rPr>
        <w:t xml:space="preserve"> be </w:t>
      </w:r>
      <w:r w:rsidR="00BA4343" w:rsidRPr="001F3F0F">
        <w:rPr>
          <w:iCs/>
        </w:rPr>
        <w:t xml:space="preserve">unlikely the pandemic had a different impact on dupilumab </w:t>
      </w:r>
      <w:r w:rsidR="006F4282" w:rsidRPr="001F3F0F">
        <w:rPr>
          <w:iCs/>
        </w:rPr>
        <w:t>vs</w:t>
      </w:r>
      <w:r w:rsidR="00BA4343" w:rsidRPr="001F3F0F">
        <w:rPr>
          <w:iCs/>
        </w:rPr>
        <w:t xml:space="preserve"> placebo</w:t>
      </w:r>
      <w:r w:rsidR="00D014F8" w:rsidRPr="001F3F0F">
        <w:rPr>
          <w:iCs/>
        </w:rPr>
        <w:t>,</w:t>
      </w:r>
      <w:r w:rsidR="00A90E41" w:rsidRPr="001F3F0F">
        <w:rPr>
          <w:iCs/>
        </w:rPr>
        <w:t xml:space="preserve"> </w:t>
      </w:r>
      <w:r w:rsidR="00143DD2" w:rsidRPr="001F3F0F">
        <w:rPr>
          <w:iCs/>
        </w:rPr>
        <w:t xml:space="preserve">it remained an uncertainty and </w:t>
      </w:r>
      <w:r w:rsidR="00BA4343" w:rsidRPr="001F3F0F">
        <w:rPr>
          <w:iCs/>
        </w:rPr>
        <w:t xml:space="preserve">noted that applying </w:t>
      </w:r>
      <w:r w:rsidRPr="000717E1">
        <w:t xml:space="preserve">the within trial exacerbation rates for the comparator arm </w:t>
      </w:r>
      <w:r w:rsidRPr="000717E1">
        <w:rPr>
          <w:bCs/>
        </w:rPr>
        <w:t>increased the ICER to $</w:t>
      </w:r>
      <w:r w:rsidR="00E05B7A">
        <w:rPr>
          <w:bCs/>
        </w:rPr>
        <w:t>45,000 to &lt; $55,000</w:t>
      </w:r>
      <w:r w:rsidRPr="000717E1">
        <w:rPr>
          <w:bCs/>
        </w:rPr>
        <w:t>/QALY gained.</w:t>
      </w:r>
    </w:p>
    <w:p w14:paraId="7DB00772" w14:textId="2A545FDC" w:rsidR="00AC64A4" w:rsidRPr="000717E1" w:rsidRDefault="00AC64A4" w:rsidP="00AC64A4">
      <w:pPr>
        <w:pStyle w:val="Caption"/>
        <w:rPr>
          <w:rStyle w:val="CommentReference"/>
          <w:b/>
          <w:szCs w:val="24"/>
        </w:rPr>
      </w:pPr>
      <w:bookmarkStart w:id="75" w:name="_Ref218836116"/>
      <w:r w:rsidRPr="000717E1">
        <w:t xml:space="preserve">Table </w:t>
      </w:r>
      <w:fldSimple w:instr=" SEQ Table \* ARABIC ">
        <w:r w:rsidR="00281F45">
          <w:rPr>
            <w:noProof/>
          </w:rPr>
          <w:t>11</w:t>
        </w:r>
      </w:fldSimple>
      <w:bookmarkEnd w:id="75"/>
      <w:r w:rsidRPr="000717E1">
        <w:rPr>
          <w:rStyle w:val="CommentReference"/>
          <w:b/>
          <w:bCs w:val="0"/>
          <w:szCs w:val="24"/>
        </w:rPr>
        <w:t xml:space="preserve">: </w:t>
      </w:r>
      <w:r w:rsidRPr="000717E1">
        <w:rPr>
          <w:rStyle w:val="CommentReference"/>
          <w:b/>
          <w:szCs w:val="24"/>
        </w:rPr>
        <w:t>Exacerbation Rates</w:t>
      </w:r>
      <w:r w:rsidR="004B0622">
        <w:rPr>
          <w:rStyle w:val="CommentReference"/>
          <w:b/>
          <w:szCs w:val="24"/>
        </w:rPr>
        <w:t xml:space="preserve"> (events per year)</w:t>
      </w:r>
      <w:r w:rsidRPr="000717E1">
        <w:rPr>
          <w:rStyle w:val="CommentReference"/>
          <w:b/>
          <w:szCs w:val="24"/>
        </w:rPr>
        <w:t xml:space="preserve"> of triple inhaled therapy Derived from Year Prior to Randomisation</w:t>
      </w:r>
    </w:p>
    <w:tbl>
      <w:tblPr>
        <w:tblStyle w:val="LightList1Sanofi"/>
        <w:tblW w:w="8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1: Exacerbation Rates (events per year) of triple inhaled therapy Derived from Year Prior to Randomisation"/>
      </w:tblPr>
      <w:tblGrid>
        <w:gridCol w:w="2199"/>
        <w:gridCol w:w="3463"/>
        <w:gridCol w:w="3215"/>
      </w:tblGrid>
      <w:tr w:rsidR="001429A4" w:rsidRPr="000717E1" w14:paraId="1135A32D" w14:textId="77777777" w:rsidTr="00E13A0D">
        <w:trPr>
          <w:cnfStyle w:val="100000000000" w:firstRow="1" w:lastRow="0" w:firstColumn="0" w:lastColumn="0" w:oddVBand="0" w:evenVBand="0" w:oddHBand="0" w:evenHBand="0" w:firstRowFirstColumn="0" w:firstRowLastColumn="0" w:lastRowFirstColumn="0" w:lastRowLastColumn="0"/>
          <w:trHeight w:val="321"/>
          <w:tblHeader/>
        </w:trPr>
        <w:tc>
          <w:tcPr>
            <w:cnfStyle w:val="001000000000" w:firstRow="0" w:lastRow="0" w:firstColumn="1" w:lastColumn="0" w:oddVBand="0" w:evenVBand="0" w:oddHBand="0" w:evenHBand="0" w:firstRowFirstColumn="0" w:firstRowLastColumn="0" w:lastRowFirstColumn="0" w:lastRowLastColumn="0"/>
            <w:tcW w:w="2199" w:type="dxa"/>
            <w:vMerge w:val="restart"/>
          </w:tcPr>
          <w:p w14:paraId="651A9D9E" w14:textId="77777777" w:rsidR="00AC64A4" w:rsidRPr="000717E1" w:rsidRDefault="00AC64A4" w:rsidP="00E13A0D">
            <w:pPr>
              <w:pStyle w:val="TableHeading"/>
              <w:jc w:val="center"/>
              <w:rPr>
                <w:b/>
                <w:szCs w:val="20"/>
                <w:lang w:val="en-AU"/>
              </w:rPr>
            </w:pPr>
            <w:r w:rsidRPr="000717E1">
              <w:rPr>
                <w:b/>
                <w:szCs w:val="20"/>
                <w:lang w:val="en-AU"/>
              </w:rPr>
              <w:t>GOLD Stage</w:t>
            </w:r>
          </w:p>
        </w:tc>
        <w:tc>
          <w:tcPr>
            <w:tcW w:w="6678" w:type="dxa"/>
            <w:gridSpan w:val="2"/>
            <w:vAlign w:val="center"/>
          </w:tcPr>
          <w:p w14:paraId="491DA451" w14:textId="77777777" w:rsidR="00AC64A4" w:rsidRPr="000717E1" w:rsidRDefault="00AC64A4" w:rsidP="00E13A0D">
            <w:pPr>
              <w:pStyle w:val="TableHeading"/>
              <w:jc w:val="center"/>
              <w:cnfStyle w:val="100000000000" w:firstRow="1" w:lastRow="0" w:firstColumn="0" w:lastColumn="0" w:oddVBand="0" w:evenVBand="0" w:oddHBand="0" w:evenHBand="0" w:firstRowFirstColumn="0" w:firstRowLastColumn="0" w:lastRowFirstColumn="0" w:lastRowLastColumn="0"/>
              <w:rPr>
                <w:b/>
                <w:szCs w:val="20"/>
                <w:lang w:val="en-AU"/>
              </w:rPr>
            </w:pPr>
            <w:r w:rsidRPr="000717E1">
              <w:rPr>
                <w:rFonts w:eastAsia="Calibri" w:cstheme="minorHAnsi"/>
                <w:b/>
                <w:bCs/>
                <w:lang w:val="en-AU"/>
              </w:rPr>
              <w:t>Triple inhaled therapy</w:t>
            </w:r>
            <w:r w:rsidRPr="000717E1">
              <w:rPr>
                <w:rFonts w:eastAsia="Calibri" w:cstheme="minorHAnsi"/>
                <w:lang w:val="en-AU"/>
              </w:rPr>
              <w:t xml:space="preserve"> </w:t>
            </w:r>
            <w:r w:rsidRPr="000717E1">
              <w:rPr>
                <w:b/>
                <w:szCs w:val="20"/>
                <w:lang w:val="en-AU"/>
              </w:rPr>
              <w:t>– All Patients</w:t>
            </w:r>
          </w:p>
        </w:tc>
      </w:tr>
      <w:tr w:rsidR="00A803ED" w:rsidRPr="000717E1" w14:paraId="152B5468" w14:textId="77777777" w:rsidTr="00E13A0D">
        <w:trPr>
          <w:cnfStyle w:val="100000000000" w:firstRow="1" w:lastRow="0" w:firstColumn="0" w:lastColumn="0" w:oddVBand="0" w:evenVBand="0" w:oddHBand="0" w:evenHBand="0" w:firstRowFirstColumn="0" w:firstRowLastColumn="0" w:lastRowFirstColumn="0" w:lastRowLastColumn="0"/>
          <w:trHeight w:val="46"/>
          <w:tblHeader/>
        </w:trPr>
        <w:tc>
          <w:tcPr>
            <w:cnfStyle w:val="001000000000" w:firstRow="0" w:lastRow="0" w:firstColumn="1" w:lastColumn="0" w:oddVBand="0" w:evenVBand="0" w:oddHBand="0" w:evenHBand="0" w:firstRowFirstColumn="0" w:firstRowLastColumn="0" w:lastRowFirstColumn="0" w:lastRowLastColumn="0"/>
            <w:tcW w:w="2199" w:type="dxa"/>
            <w:vMerge/>
          </w:tcPr>
          <w:p w14:paraId="51C1B077" w14:textId="77777777" w:rsidR="00AC64A4" w:rsidRPr="000717E1" w:rsidRDefault="00AC64A4" w:rsidP="00E13A0D">
            <w:pPr>
              <w:pStyle w:val="TableHeading"/>
              <w:rPr>
                <w:b/>
                <w:szCs w:val="20"/>
                <w:lang w:val="en-AU"/>
              </w:rPr>
            </w:pPr>
          </w:p>
        </w:tc>
        <w:tc>
          <w:tcPr>
            <w:tcW w:w="3463" w:type="dxa"/>
            <w:vAlign w:val="center"/>
          </w:tcPr>
          <w:p w14:paraId="0E9BAB23" w14:textId="77777777" w:rsidR="00AC64A4" w:rsidRPr="000717E1" w:rsidRDefault="00AC64A4" w:rsidP="00E13A0D">
            <w:pPr>
              <w:pStyle w:val="TableHeading"/>
              <w:jc w:val="center"/>
              <w:cnfStyle w:val="100000000000" w:firstRow="1" w:lastRow="0" w:firstColumn="0" w:lastColumn="0" w:oddVBand="0" w:evenVBand="0" w:oddHBand="0" w:evenHBand="0" w:firstRowFirstColumn="0" w:firstRowLastColumn="0" w:lastRowFirstColumn="0" w:lastRowLastColumn="0"/>
              <w:rPr>
                <w:b/>
                <w:szCs w:val="20"/>
                <w:lang w:val="en-AU"/>
              </w:rPr>
            </w:pPr>
            <w:r w:rsidRPr="000717E1">
              <w:rPr>
                <w:b/>
                <w:szCs w:val="20"/>
                <w:lang w:val="en-AU"/>
              </w:rPr>
              <w:t>Moderate Exacerbation</w:t>
            </w:r>
          </w:p>
        </w:tc>
        <w:tc>
          <w:tcPr>
            <w:tcW w:w="3215" w:type="dxa"/>
            <w:vAlign w:val="center"/>
          </w:tcPr>
          <w:p w14:paraId="05011265" w14:textId="77777777" w:rsidR="00AC64A4" w:rsidRPr="000717E1" w:rsidRDefault="00AC64A4" w:rsidP="00E13A0D">
            <w:pPr>
              <w:pStyle w:val="TableHeading"/>
              <w:jc w:val="center"/>
              <w:cnfStyle w:val="100000000000" w:firstRow="1" w:lastRow="0" w:firstColumn="0" w:lastColumn="0" w:oddVBand="0" w:evenVBand="0" w:oddHBand="0" w:evenHBand="0" w:firstRowFirstColumn="0" w:firstRowLastColumn="0" w:lastRowFirstColumn="0" w:lastRowLastColumn="0"/>
              <w:rPr>
                <w:b/>
                <w:szCs w:val="20"/>
                <w:lang w:val="en-AU"/>
              </w:rPr>
            </w:pPr>
            <w:r w:rsidRPr="000717E1">
              <w:rPr>
                <w:b/>
                <w:szCs w:val="20"/>
                <w:lang w:val="en-AU"/>
              </w:rPr>
              <w:t>Severe Exacerbation</w:t>
            </w:r>
          </w:p>
        </w:tc>
      </w:tr>
      <w:tr w:rsidR="00A803ED" w:rsidRPr="000717E1" w14:paraId="6EAB09F2" w14:textId="77777777" w:rsidTr="00E13A0D">
        <w:trPr>
          <w:trHeight w:val="253"/>
        </w:trPr>
        <w:tc>
          <w:tcPr>
            <w:cnfStyle w:val="001000000000" w:firstRow="0" w:lastRow="0" w:firstColumn="1" w:lastColumn="0" w:oddVBand="0" w:evenVBand="0" w:oddHBand="0" w:evenHBand="0" w:firstRowFirstColumn="0" w:firstRowLastColumn="0" w:lastRowFirstColumn="0" w:lastRowLastColumn="0"/>
            <w:tcW w:w="2199" w:type="dxa"/>
          </w:tcPr>
          <w:p w14:paraId="3A51D799" w14:textId="77777777" w:rsidR="00AC64A4" w:rsidRPr="000717E1" w:rsidRDefault="00AC64A4" w:rsidP="00E13A0D">
            <w:pPr>
              <w:pStyle w:val="SanofiTableText"/>
              <w:rPr>
                <w:lang w:val="en-AU"/>
              </w:rPr>
            </w:pPr>
            <w:r w:rsidRPr="000717E1">
              <w:rPr>
                <w:lang w:val="en-AU"/>
              </w:rPr>
              <w:t>Mild</w:t>
            </w:r>
          </w:p>
        </w:tc>
        <w:tc>
          <w:tcPr>
            <w:tcW w:w="3463" w:type="dxa"/>
            <w:vAlign w:val="center"/>
          </w:tcPr>
          <w:p w14:paraId="70C8DCCC" w14:textId="77777777" w:rsidR="00AC64A4" w:rsidRPr="000717E1" w:rsidRDefault="00AC64A4" w:rsidP="00E13A0D">
            <w:pPr>
              <w:pStyle w:val="SanofiTableText"/>
              <w:jc w:val="center"/>
              <w:cnfStyle w:val="000000000000" w:firstRow="0" w:lastRow="0" w:firstColumn="0" w:lastColumn="0" w:oddVBand="0" w:evenVBand="0" w:oddHBand="0" w:evenHBand="0" w:firstRowFirstColumn="0" w:firstRowLastColumn="0" w:lastRowFirstColumn="0" w:lastRowLastColumn="0"/>
              <w:rPr>
                <w:lang w:val="en-AU"/>
              </w:rPr>
            </w:pPr>
            <w:r w:rsidRPr="000717E1">
              <w:rPr>
                <w:lang w:val="en-AU"/>
              </w:rPr>
              <w:t>1.80</w:t>
            </w:r>
          </w:p>
        </w:tc>
        <w:tc>
          <w:tcPr>
            <w:tcW w:w="3215" w:type="dxa"/>
            <w:vAlign w:val="center"/>
          </w:tcPr>
          <w:p w14:paraId="64CB849B" w14:textId="77777777" w:rsidR="00AC64A4" w:rsidRPr="000717E1" w:rsidRDefault="00AC64A4" w:rsidP="00E13A0D">
            <w:pPr>
              <w:pStyle w:val="SanofiTableText"/>
              <w:jc w:val="center"/>
              <w:cnfStyle w:val="000000000000" w:firstRow="0" w:lastRow="0" w:firstColumn="0" w:lastColumn="0" w:oddVBand="0" w:evenVBand="0" w:oddHBand="0" w:evenHBand="0" w:firstRowFirstColumn="0" w:firstRowLastColumn="0" w:lastRowFirstColumn="0" w:lastRowLastColumn="0"/>
              <w:rPr>
                <w:lang w:val="en-AU"/>
              </w:rPr>
            </w:pPr>
            <w:r w:rsidRPr="000717E1">
              <w:rPr>
                <w:lang w:val="en-AU"/>
              </w:rPr>
              <w:t>0.20</w:t>
            </w:r>
          </w:p>
        </w:tc>
      </w:tr>
      <w:tr w:rsidR="00A803ED" w:rsidRPr="000717E1" w14:paraId="6D9E445B" w14:textId="77777777" w:rsidTr="00E13A0D">
        <w:trPr>
          <w:trHeight w:val="205"/>
        </w:trPr>
        <w:tc>
          <w:tcPr>
            <w:cnfStyle w:val="001000000000" w:firstRow="0" w:lastRow="0" w:firstColumn="1" w:lastColumn="0" w:oddVBand="0" w:evenVBand="0" w:oddHBand="0" w:evenHBand="0" w:firstRowFirstColumn="0" w:firstRowLastColumn="0" w:lastRowFirstColumn="0" w:lastRowLastColumn="0"/>
            <w:tcW w:w="2199" w:type="dxa"/>
          </w:tcPr>
          <w:p w14:paraId="32A96860" w14:textId="77777777" w:rsidR="00AC64A4" w:rsidRPr="000717E1" w:rsidRDefault="00AC64A4" w:rsidP="00E13A0D">
            <w:pPr>
              <w:pStyle w:val="SanofiTableText"/>
              <w:rPr>
                <w:lang w:val="en-AU"/>
              </w:rPr>
            </w:pPr>
            <w:r w:rsidRPr="000717E1">
              <w:rPr>
                <w:lang w:val="en-AU"/>
              </w:rPr>
              <w:t>Moderate</w:t>
            </w:r>
          </w:p>
        </w:tc>
        <w:tc>
          <w:tcPr>
            <w:tcW w:w="3463" w:type="dxa"/>
            <w:vAlign w:val="center"/>
          </w:tcPr>
          <w:p w14:paraId="2815EE3D" w14:textId="77777777" w:rsidR="00AC64A4" w:rsidRPr="000717E1" w:rsidRDefault="00AC64A4" w:rsidP="00E13A0D">
            <w:pPr>
              <w:pStyle w:val="SanofiTableText"/>
              <w:jc w:val="center"/>
              <w:cnfStyle w:val="000000000000" w:firstRow="0" w:lastRow="0" w:firstColumn="0" w:lastColumn="0" w:oddVBand="0" w:evenVBand="0" w:oddHBand="0" w:evenHBand="0" w:firstRowFirstColumn="0" w:firstRowLastColumn="0" w:lastRowFirstColumn="0" w:lastRowLastColumn="0"/>
              <w:rPr>
                <w:lang w:val="en-AU"/>
              </w:rPr>
            </w:pPr>
            <w:r w:rsidRPr="000717E1">
              <w:rPr>
                <w:lang w:val="en-AU"/>
              </w:rPr>
              <w:t>1.90</w:t>
            </w:r>
          </w:p>
        </w:tc>
        <w:tc>
          <w:tcPr>
            <w:tcW w:w="3215" w:type="dxa"/>
            <w:vAlign w:val="center"/>
          </w:tcPr>
          <w:p w14:paraId="6C6158F3" w14:textId="77777777" w:rsidR="00AC64A4" w:rsidRPr="000717E1" w:rsidRDefault="00AC64A4" w:rsidP="00E13A0D">
            <w:pPr>
              <w:pStyle w:val="SanofiTableText"/>
              <w:jc w:val="center"/>
              <w:cnfStyle w:val="000000000000" w:firstRow="0" w:lastRow="0" w:firstColumn="0" w:lastColumn="0" w:oddVBand="0" w:evenVBand="0" w:oddHBand="0" w:evenHBand="0" w:firstRowFirstColumn="0" w:firstRowLastColumn="0" w:lastRowFirstColumn="0" w:lastRowLastColumn="0"/>
              <w:rPr>
                <w:lang w:val="en-AU"/>
              </w:rPr>
            </w:pPr>
            <w:r w:rsidRPr="000717E1">
              <w:rPr>
                <w:lang w:val="en-AU"/>
              </w:rPr>
              <w:t>0.30</w:t>
            </w:r>
          </w:p>
        </w:tc>
      </w:tr>
      <w:tr w:rsidR="00A803ED" w:rsidRPr="000717E1" w14:paraId="762599BE" w14:textId="77777777" w:rsidTr="00E13A0D">
        <w:trPr>
          <w:trHeight w:val="182"/>
        </w:trPr>
        <w:tc>
          <w:tcPr>
            <w:cnfStyle w:val="001000000000" w:firstRow="0" w:lastRow="0" w:firstColumn="1" w:lastColumn="0" w:oddVBand="0" w:evenVBand="0" w:oddHBand="0" w:evenHBand="0" w:firstRowFirstColumn="0" w:firstRowLastColumn="0" w:lastRowFirstColumn="0" w:lastRowLastColumn="0"/>
            <w:tcW w:w="2199" w:type="dxa"/>
          </w:tcPr>
          <w:p w14:paraId="6BB14E6B" w14:textId="77777777" w:rsidR="00AC64A4" w:rsidRPr="000717E1" w:rsidRDefault="00AC64A4" w:rsidP="00E13A0D">
            <w:pPr>
              <w:pStyle w:val="SanofiTableText"/>
              <w:rPr>
                <w:lang w:val="en-AU"/>
              </w:rPr>
            </w:pPr>
            <w:r w:rsidRPr="000717E1">
              <w:rPr>
                <w:lang w:val="en-AU"/>
              </w:rPr>
              <w:t>Severe</w:t>
            </w:r>
          </w:p>
        </w:tc>
        <w:tc>
          <w:tcPr>
            <w:tcW w:w="3463" w:type="dxa"/>
            <w:vAlign w:val="center"/>
          </w:tcPr>
          <w:p w14:paraId="0C1A465A" w14:textId="77777777" w:rsidR="00AC64A4" w:rsidRPr="000717E1" w:rsidRDefault="00AC64A4" w:rsidP="00E13A0D">
            <w:pPr>
              <w:pStyle w:val="SanofiTableText"/>
              <w:jc w:val="center"/>
              <w:cnfStyle w:val="000000000000" w:firstRow="0" w:lastRow="0" w:firstColumn="0" w:lastColumn="0" w:oddVBand="0" w:evenVBand="0" w:oddHBand="0" w:evenHBand="0" w:firstRowFirstColumn="0" w:firstRowLastColumn="0" w:lastRowFirstColumn="0" w:lastRowLastColumn="0"/>
              <w:rPr>
                <w:lang w:val="en-AU"/>
              </w:rPr>
            </w:pPr>
            <w:r w:rsidRPr="000717E1">
              <w:rPr>
                <w:lang w:val="en-AU"/>
              </w:rPr>
              <w:t>2.00</w:t>
            </w:r>
          </w:p>
        </w:tc>
        <w:tc>
          <w:tcPr>
            <w:tcW w:w="3215" w:type="dxa"/>
            <w:vAlign w:val="center"/>
          </w:tcPr>
          <w:p w14:paraId="67099853" w14:textId="77777777" w:rsidR="00AC64A4" w:rsidRPr="000717E1" w:rsidRDefault="00AC64A4" w:rsidP="00E13A0D">
            <w:pPr>
              <w:pStyle w:val="SanofiTableText"/>
              <w:jc w:val="center"/>
              <w:cnfStyle w:val="000000000000" w:firstRow="0" w:lastRow="0" w:firstColumn="0" w:lastColumn="0" w:oddVBand="0" w:evenVBand="0" w:oddHBand="0" w:evenHBand="0" w:firstRowFirstColumn="0" w:firstRowLastColumn="0" w:lastRowFirstColumn="0" w:lastRowLastColumn="0"/>
              <w:rPr>
                <w:lang w:val="en-AU"/>
              </w:rPr>
            </w:pPr>
            <w:r w:rsidRPr="000717E1">
              <w:rPr>
                <w:lang w:val="en-AU"/>
              </w:rPr>
              <w:t>0.30</w:t>
            </w:r>
          </w:p>
        </w:tc>
      </w:tr>
      <w:tr w:rsidR="00A803ED" w:rsidRPr="000717E1" w14:paraId="5E71BAED" w14:textId="77777777" w:rsidTr="00E13A0D">
        <w:trPr>
          <w:trHeight w:val="159"/>
        </w:trPr>
        <w:tc>
          <w:tcPr>
            <w:cnfStyle w:val="001000000000" w:firstRow="0" w:lastRow="0" w:firstColumn="1" w:lastColumn="0" w:oddVBand="0" w:evenVBand="0" w:oddHBand="0" w:evenHBand="0" w:firstRowFirstColumn="0" w:firstRowLastColumn="0" w:lastRowFirstColumn="0" w:lastRowLastColumn="0"/>
            <w:tcW w:w="2199" w:type="dxa"/>
          </w:tcPr>
          <w:p w14:paraId="1B87F5F4" w14:textId="77777777" w:rsidR="00AC64A4" w:rsidRPr="000717E1" w:rsidRDefault="00AC64A4" w:rsidP="00E13A0D">
            <w:pPr>
              <w:pStyle w:val="SanofiTableText"/>
              <w:rPr>
                <w:lang w:val="en-AU"/>
              </w:rPr>
            </w:pPr>
            <w:r w:rsidRPr="000717E1">
              <w:rPr>
                <w:lang w:val="en-AU"/>
              </w:rPr>
              <w:t>Very Severe</w:t>
            </w:r>
          </w:p>
        </w:tc>
        <w:tc>
          <w:tcPr>
            <w:tcW w:w="3463" w:type="dxa"/>
            <w:vAlign w:val="center"/>
          </w:tcPr>
          <w:p w14:paraId="49F342B8" w14:textId="77777777" w:rsidR="00AC64A4" w:rsidRPr="000717E1" w:rsidRDefault="00AC64A4" w:rsidP="00E13A0D">
            <w:pPr>
              <w:pStyle w:val="SanofiTableText"/>
              <w:jc w:val="center"/>
              <w:cnfStyle w:val="000000000000" w:firstRow="0" w:lastRow="0" w:firstColumn="0" w:lastColumn="0" w:oddVBand="0" w:evenVBand="0" w:oddHBand="0" w:evenHBand="0" w:firstRowFirstColumn="0" w:firstRowLastColumn="0" w:lastRowFirstColumn="0" w:lastRowLastColumn="0"/>
              <w:rPr>
                <w:lang w:val="en-AU"/>
              </w:rPr>
            </w:pPr>
            <w:r w:rsidRPr="000717E1">
              <w:rPr>
                <w:lang w:val="en-AU"/>
              </w:rPr>
              <w:t>2.00</w:t>
            </w:r>
          </w:p>
        </w:tc>
        <w:tc>
          <w:tcPr>
            <w:tcW w:w="3215" w:type="dxa"/>
            <w:vAlign w:val="center"/>
          </w:tcPr>
          <w:p w14:paraId="145365B6" w14:textId="77777777" w:rsidR="00AC64A4" w:rsidRPr="000717E1" w:rsidRDefault="00AC64A4" w:rsidP="00E13A0D">
            <w:pPr>
              <w:pStyle w:val="SanofiTableText"/>
              <w:jc w:val="center"/>
              <w:cnfStyle w:val="000000000000" w:firstRow="0" w:lastRow="0" w:firstColumn="0" w:lastColumn="0" w:oddVBand="0" w:evenVBand="0" w:oddHBand="0" w:evenHBand="0" w:firstRowFirstColumn="0" w:firstRowLastColumn="0" w:lastRowFirstColumn="0" w:lastRowLastColumn="0"/>
              <w:rPr>
                <w:lang w:val="en-AU"/>
              </w:rPr>
            </w:pPr>
            <w:r w:rsidRPr="000717E1">
              <w:rPr>
                <w:lang w:val="en-AU"/>
              </w:rPr>
              <w:t>0.40</w:t>
            </w:r>
          </w:p>
        </w:tc>
      </w:tr>
    </w:tbl>
    <w:p w14:paraId="4C1CFEB2" w14:textId="77777777" w:rsidR="00AC64A4" w:rsidRPr="000717E1" w:rsidRDefault="00AC64A4" w:rsidP="00AC64A4">
      <w:pPr>
        <w:pStyle w:val="FooterTableFigure"/>
      </w:pPr>
      <w:r w:rsidRPr="000717E1">
        <w:t>Source: Table 3.4-3, p139 of the submission.</w:t>
      </w:r>
    </w:p>
    <w:p w14:paraId="0F63E263" w14:textId="56C934A2" w:rsidR="00AC64A4" w:rsidRPr="000717E1" w:rsidRDefault="00AC64A4" w:rsidP="00AC64A4">
      <w:pPr>
        <w:pStyle w:val="FooterTableFigure"/>
      </w:pPr>
      <w:r w:rsidRPr="000717E1">
        <w:t>GOLD = Global Initiative for Chronic Obstructive Lung Disease.</w:t>
      </w:r>
    </w:p>
    <w:p w14:paraId="05F09CC7" w14:textId="77777777" w:rsidR="00AC64A4" w:rsidRPr="000717E1" w:rsidRDefault="00AC64A4" w:rsidP="00AC64A4">
      <w:pPr>
        <w:pStyle w:val="FooterTableFigure"/>
      </w:pPr>
    </w:p>
    <w:p w14:paraId="7ABB233B" w14:textId="6664EC46" w:rsidR="00AC64A4" w:rsidRPr="000717E1" w:rsidRDefault="00AC64A4" w:rsidP="00AC64A4">
      <w:pPr>
        <w:pStyle w:val="Caption"/>
        <w:jc w:val="left"/>
        <w:rPr>
          <w:rStyle w:val="CommentReference"/>
          <w:b/>
          <w:bCs w:val="0"/>
          <w:szCs w:val="24"/>
        </w:rPr>
      </w:pPr>
      <w:bookmarkStart w:id="76" w:name="_Ref218836159"/>
      <w:r w:rsidRPr="000717E1">
        <w:rPr>
          <w:rStyle w:val="CommentReference"/>
          <w:b/>
          <w:bCs w:val="0"/>
          <w:szCs w:val="24"/>
        </w:rPr>
        <w:t xml:space="preserve">Table </w:t>
      </w:r>
      <w:r w:rsidRPr="000717E1">
        <w:rPr>
          <w:rStyle w:val="CommentReference"/>
          <w:b/>
          <w:bCs w:val="0"/>
          <w:szCs w:val="24"/>
        </w:rPr>
        <w:fldChar w:fldCharType="begin"/>
      </w:r>
      <w:r w:rsidRPr="000717E1">
        <w:rPr>
          <w:rStyle w:val="CommentReference"/>
          <w:b/>
          <w:bCs w:val="0"/>
          <w:szCs w:val="24"/>
        </w:rPr>
        <w:instrText xml:space="preserve"> SEQ Table \* ARABIC </w:instrText>
      </w:r>
      <w:r w:rsidRPr="000717E1">
        <w:rPr>
          <w:rStyle w:val="CommentReference"/>
          <w:b/>
          <w:bCs w:val="0"/>
          <w:szCs w:val="24"/>
        </w:rPr>
        <w:fldChar w:fldCharType="separate"/>
      </w:r>
      <w:r w:rsidR="00281F45">
        <w:rPr>
          <w:rStyle w:val="CommentReference"/>
          <w:b/>
          <w:bCs w:val="0"/>
          <w:noProof/>
          <w:szCs w:val="24"/>
        </w:rPr>
        <w:t>12</w:t>
      </w:r>
      <w:r w:rsidRPr="000717E1">
        <w:rPr>
          <w:rStyle w:val="CommentReference"/>
          <w:b/>
          <w:bCs w:val="0"/>
          <w:szCs w:val="24"/>
        </w:rPr>
        <w:fldChar w:fldCharType="end"/>
      </w:r>
      <w:bookmarkEnd w:id="76"/>
      <w:r w:rsidRPr="000717E1">
        <w:rPr>
          <w:rStyle w:val="CommentReference"/>
          <w:b/>
          <w:bCs w:val="0"/>
          <w:szCs w:val="24"/>
        </w:rPr>
        <w:t>: Relative risk for exacerbation by GOLD severity of dupilumab + triple inhaled therapy vs. triple inhaled therapy (ITT population)</w:t>
      </w:r>
    </w:p>
    <w:tbl>
      <w:tblPr>
        <w:tblW w:w="0" w:type="auto"/>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Caption w:val="Table 12: Relative risk for exacerbation by GOLD severity of dupilumab + triple inhaled therapy vs. triple inhaled therapy (ITT population)"/>
      </w:tblPr>
      <w:tblGrid>
        <w:gridCol w:w="1414"/>
        <w:gridCol w:w="1986"/>
        <w:gridCol w:w="1842"/>
        <w:gridCol w:w="1993"/>
        <w:gridCol w:w="1684"/>
      </w:tblGrid>
      <w:tr w:rsidR="00AC64A4" w:rsidRPr="000717E1" w14:paraId="5EE36A6C" w14:textId="77777777" w:rsidTr="00E13A0D">
        <w:trPr>
          <w:trHeight w:val="268"/>
          <w:tblHeader/>
        </w:trPr>
        <w:tc>
          <w:tcPr>
            <w:tcW w:w="1414" w:type="dxa"/>
            <w:vMerge w:val="restart"/>
            <w:vAlign w:val="center"/>
          </w:tcPr>
          <w:p w14:paraId="78437D53" w14:textId="77777777" w:rsidR="00AC64A4" w:rsidRPr="000717E1" w:rsidRDefault="00AC64A4" w:rsidP="00E13A0D">
            <w:pPr>
              <w:pStyle w:val="SanofiTableHeading"/>
              <w:keepNext w:val="0"/>
              <w:keepLines w:val="0"/>
            </w:pPr>
            <w:r w:rsidRPr="000717E1">
              <w:t>GOLD</w:t>
            </w:r>
          </w:p>
          <w:p w14:paraId="502BD2C3" w14:textId="77777777" w:rsidR="00AC64A4" w:rsidRPr="000717E1" w:rsidRDefault="00AC64A4" w:rsidP="00E13A0D">
            <w:pPr>
              <w:pStyle w:val="SanofiTableHeading"/>
              <w:keepNext w:val="0"/>
              <w:keepLines w:val="0"/>
            </w:pPr>
            <w:r w:rsidRPr="000717E1">
              <w:t>severity</w:t>
            </w:r>
          </w:p>
        </w:tc>
        <w:tc>
          <w:tcPr>
            <w:tcW w:w="3828" w:type="dxa"/>
            <w:gridSpan w:val="2"/>
            <w:vAlign w:val="center"/>
          </w:tcPr>
          <w:p w14:paraId="3C415530" w14:textId="77777777" w:rsidR="00AC64A4" w:rsidRPr="000717E1" w:rsidRDefault="00AC64A4" w:rsidP="00E13A0D">
            <w:pPr>
              <w:pStyle w:val="SanofiTableHeading"/>
              <w:keepNext w:val="0"/>
              <w:keepLines w:val="0"/>
              <w:jc w:val="center"/>
            </w:pPr>
            <w:r w:rsidRPr="000717E1">
              <w:t>All Patients</w:t>
            </w:r>
          </w:p>
        </w:tc>
        <w:tc>
          <w:tcPr>
            <w:tcW w:w="3677" w:type="dxa"/>
            <w:gridSpan w:val="2"/>
            <w:vAlign w:val="center"/>
          </w:tcPr>
          <w:p w14:paraId="316DDDD1" w14:textId="77777777" w:rsidR="00AC64A4" w:rsidRPr="000717E1" w:rsidRDefault="00AC64A4" w:rsidP="00E13A0D">
            <w:pPr>
              <w:pStyle w:val="SanofiTableHeading"/>
              <w:keepNext w:val="0"/>
              <w:keepLines w:val="0"/>
              <w:jc w:val="center"/>
            </w:pPr>
            <w:r w:rsidRPr="000717E1">
              <w:t>Responders</w:t>
            </w:r>
          </w:p>
        </w:tc>
      </w:tr>
      <w:tr w:rsidR="00AC64A4" w:rsidRPr="000717E1" w14:paraId="3F8D1A12" w14:textId="77777777" w:rsidTr="00E13A0D">
        <w:trPr>
          <w:trHeight w:val="268"/>
          <w:tblHeader/>
        </w:trPr>
        <w:tc>
          <w:tcPr>
            <w:tcW w:w="1414" w:type="dxa"/>
            <w:vMerge/>
            <w:vAlign w:val="center"/>
          </w:tcPr>
          <w:p w14:paraId="5576A6B9" w14:textId="77777777" w:rsidR="00AC64A4" w:rsidRPr="000717E1" w:rsidRDefault="00AC64A4" w:rsidP="00E13A0D">
            <w:pPr>
              <w:pStyle w:val="SanofiTableHeading"/>
              <w:keepNext w:val="0"/>
              <w:keepLines w:val="0"/>
            </w:pPr>
          </w:p>
        </w:tc>
        <w:tc>
          <w:tcPr>
            <w:tcW w:w="1986" w:type="dxa"/>
            <w:vAlign w:val="center"/>
          </w:tcPr>
          <w:p w14:paraId="43E6D9DA" w14:textId="77777777" w:rsidR="00AC64A4" w:rsidRPr="000717E1" w:rsidRDefault="00AC64A4" w:rsidP="00E13A0D">
            <w:pPr>
              <w:pStyle w:val="SanofiTableHeading"/>
              <w:keepNext w:val="0"/>
              <w:keepLines w:val="0"/>
              <w:jc w:val="center"/>
            </w:pPr>
            <w:r w:rsidRPr="000717E1">
              <w:t>Moderate Exacerbation (95% CI)</w:t>
            </w:r>
          </w:p>
        </w:tc>
        <w:tc>
          <w:tcPr>
            <w:tcW w:w="1842" w:type="dxa"/>
            <w:vAlign w:val="center"/>
          </w:tcPr>
          <w:p w14:paraId="0A406773" w14:textId="77777777" w:rsidR="00AC64A4" w:rsidRPr="000717E1" w:rsidRDefault="00AC64A4" w:rsidP="00E13A0D">
            <w:pPr>
              <w:pStyle w:val="SanofiTableHeading"/>
              <w:keepNext w:val="0"/>
              <w:keepLines w:val="0"/>
              <w:jc w:val="center"/>
            </w:pPr>
            <w:r w:rsidRPr="000717E1">
              <w:t>Severe Exacerbation (95% CI)</w:t>
            </w:r>
          </w:p>
        </w:tc>
        <w:tc>
          <w:tcPr>
            <w:tcW w:w="1993" w:type="dxa"/>
            <w:vAlign w:val="center"/>
          </w:tcPr>
          <w:p w14:paraId="63CD65CA" w14:textId="77777777" w:rsidR="00AC64A4" w:rsidRPr="000717E1" w:rsidRDefault="00AC64A4" w:rsidP="00E13A0D">
            <w:pPr>
              <w:pStyle w:val="SanofiTableHeading"/>
              <w:keepNext w:val="0"/>
              <w:keepLines w:val="0"/>
              <w:jc w:val="center"/>
            </w:pPr>
            <w:r w:rsidRPr="000717E1">
              <w:t>Moderate Exacerbation (95% CI)</w:t>
            </w:r>
          </w:p>
        </w:tc>
        <w:tc>
          <w:tcPr>
            <w:tcW w:w="1684" w:type="dxa"/>
            <w:vAlign w:val="center"/>
          </w:tcPr>
          <w:p w14:paraId="59C6ED5E" w14:textId="77777777" w:rsidR="00AC64A4" w:rsidRPr="000717E1" w:rsidRDefault="00AC64A4" w:rsidP="00E13A0D">
            <w:pPr>
              <w:pStyle w:val="SanofiTableHeading"/>
              <w:keepNext w:val="0"/>
              <w:keepLines w:val="0"/>
              <w:jc w:val="center"/>
            </w:pPr>
            <w:r w:rsidRPr="000717E1">
              <w:t>Severe Exacerbation (95% CI)</w:t>
            </w:r>
          </w:p>
        </w:tc>
      </w:tr>
      <w:tr w:rsidR="00AC64A4" w:rsidRPr="000717E1" w14:paraId="5DD57C1D" w14:textId="77777777" w:rsidTr="00E13A0D">
        <w:trPr>
          <w:trHeight w:val="268"/>
        </w:trPr>
        <w:tc>
          <w:tcPr>
            <w:tcW w:w="1414" w:type="dxa"/>
          </w:tcPr>
          <w:p w14:paraId="232E0619" w14:textId="77777777" w:rsidR="00AC64A4" w:rsidRPr="000717E1" w:rsidRDefault="00AC64A4" w:rsidP="00E13A0D">
            <w:pPr>
              <w:pStyle w:val="SanofiTableText"/>
            </w:pPr>
            <w:r w:rsidRPr="000717E1">
              <w:t>Mild</w:t>
            </w:r>
          </w:p>
        </w:tc>
        <w:tc>
          <w:tcPr>
            <w:tcW w:w="1986" w:type="dxa"/>
            <w:vAlign w:val="center"/>
          </w:tcPr>
          <w:p w14:paraId="37ACB397" w14:textId="77777777" w:rsidR="00AC64A4" w:rsidRPr="000717E1" w:rsidRDefault="00AC64A4" w:rsidP="00E13A0D">
            <w:pPr>
              <w:pStyle w:val="SanofiTableText"/>
              <w:jc w:val="center"/>
            </w:pPr>
            <w:r w:rsidRPr="000717E1">
              <w:t>1.50 (0.5, 4.9)</w:t>
            </w:r>
          </w:p>
        </w:tc>
        <w:tc>
          <w:tcPr>
            <w:tcW w:w="1842" w:type="dxa"/>
            <w:vAlign w:val="center"/>
          </w:tcPr>
          <w:p w14:paraId="77727EC5" w14:textId="77777777" w:rsidR="00AC64A4" w:rsidRPr="000717E1" w:rsidRDefault="00AC64A4" w:rsidP="00E13A0D">
            <w:pPr>
              <w:pStyle w:val="SanofiTableText"/>
              <w:jc w:val="center"/>
            </w:pPr>
            <w:r w:rsidRPr="000717E1">
              <w:t>1 (assumption)</w:t>
            </w:r>
          </w:p>
        </w:tc>
        <w:tc>
          <w:tcPr>
            <w:tcW w:w="1993" w:type="dxa"/>
            <w:vAlign w:val="center"/>
          </w:tcPr>
          <w:p w14:paraId="7E764060" w14:textId="77777777" w:rsidR="00AC64A4" w:rsidRPr="000717E1" w:rsidRDefault="00AC64A4" w:rsidP="00E13A0D">
            <w:pPr>
              <w:pStyle w:val="SanofiTableText"/>
              <w:jc w:val="center"/>
            </w:pPr>
            <w:r w:rsidRPr="000717E1">
              <w:t>1.19 (0.4, 3.6)</w:t>
            </w:r>
          </w:p>
        </w:tc>
        <w:tc>
          <w:tcPr>
            <w:tcW w:w="1684" w:type="dxa"/>
            <w:vAlign w:val="center"/>
          </w:tcPr>
          <w:p w14:paraId="1990A9F9" w14:textId="77777777" w:rsidR="00AC64A4" w:rsidRPr="000717E1" w:rsidRDefault="00AC64A4" w:rsidP="00E13A0D">
            <w:pPr>
              <w:pStyle w:val="SanofiTableText"/>
              <w:jc w:val="center"/>
            </w:pPr>
            <w:r w:rsidRPr="000717E1">
              <w:t>1 (assumption)</w:t>
            </w:r>
          </w:p>
        </w:tc>
      </w:tr>
      <w:tr w:rsidR="00AC64A4" w:rsidRPr="000717E1" w14:paraId="47D79F20" w14:textId="77777777" w:rsidTr="00E13A0D">
        <w:trPr>
          <w:trHeight w:val="268"/>
        </w:trPr>
        <w:tc>
          <w:tcPr>
            <w:tcW w:w="1414" w:type="dxa"/>
          </w:tcPr>
          <w:p w14:paraId="62074963" w14:textId="77777777" w:rsidR="00AC64A4" w:rsidRPr="000717E1" w:rsidRDefault="00AC64A4" w:rsidP="00E13A0D">
            <w:pPr>
              <w:pStyle w:val="SanofiTableText"/>
            </w:pPr>
            <w:r w:rsidRPr="000717E1">
              <w:t>Moderate</w:t>
            </w:r>
          </w:p>
        </w:tc>
        <w:tc>
          <w:tcPr>
            <w:tcW w:w="1986" w:type="dxa"/>
            <w:vAlign w:val="center"/>
          </w:tcPr>
          <w:p w14:paraId="4C974789" w14:textId="77777777" w:rsidR="00AC64A4" w:rsidRPr="000717E1" w:rsidRDefault="00AC64A4" w:rsidP="00E13A0D">
            <w:pPr>
              <w:pStyle w:val="SanofiTableText"/>
              <w:jc w:val="center"/>
            </w:pPr>
            <w:r w:rsidRPr="000717E1">
              <w:t>0.67 (0.5, 0.9)</w:t>
            </w:r>
          </w:p>
        </w:tc>
        <w:tc>
          <w:tcPr>
            <w:tcW w:w="1842" w:type="dxa"/>
            <w:vAlign w:val="center"/>
          </w:tcPr>
          <w:p w14:paraId="62A0342D" w14:textId="77777777" w:rsidR="00AC64A4" w:rsidRPr="000717E1" w:rsidRDefault="00AC64A4" w:rsidP="00E13A0D">
            <w:pPr>
              <w:pStyle w:val="SanofiTableText"/>
              <w:jc w:val="center"/>
            </w:pPr>
            <w:r w:rsidRPr="000717E1">
              <w:t>0.67 (0.3, 1.5)</w:t>
            </w:r>
          </w:p>
        </w:tc>
        <w:tc>
          <w:tcPr>
            <w:tcW w:w="1993" w:type="dxa"/>
            <w:vAlign w:val="center"/>
          </w:tcPr>
          <w:p w14:paraId="36FE8148" w14:textId="77777777" w:rsidR="00AC64A4" w:rsidRPr="000717E1" w:rsidRDefault="00AC64A4" w:rsidP="00E13A0D">
            <w:pPr>
              <w:pStyle w:val="SanofiTableText"/>
              <w:jc w:val="center"/>
            </w:pPr>
            <w:r w:rsidRPr="000717E1">
              <w:t>0.59 (0.5, 0.8)</w:t>
            </w:r>
          </w:p>
        </w:tc>
        <w:tc>
          <w:tcPr>
            <w:tcW w:w="1684" w:type="dxa"/>
            <w:vAlign w:val="center"/>
          </w:tcPr>
          <w:p w14:paraId="5CB28650" w14:textId="77777777" w:rsidR="00AC64A4" w:rsidRPr="000717E1" w:rsidRDefault="00AC64A4" w:rsidP="00E13A0D">
            <w:pPr>
              <w:pStyle w:val="SanofiTableText"/>
              <w:jc w:val="center"/>
            </w:pPr>
            <w:r w:rsidRPr="000717E1">
              <w:t>0.17 (0.1, 0.5)</w:t>
            </w:r>
          </w:p>
        </w:tc>
      </w:tr>
      <w:tr w:rsidR="00AC64A4" w:rsidRPr="000717E1" w14:paraId="323F48BC" w14:textId="77777777" w:rsidTr="00E13A0D">
        <w:trPr>
          <w:trHeight w:val="265"/>
        </w:trPr>
        <w:tc>
          <w:tcPr>
            <w:tcW w:w="1414" w:type="dxa"/>
          </w:tcPr>
          <w:p w14:paraId="36007654" w14:textId="77777777" w:rsidR="00AC64A4" w:rsidRPr="000717E1" w:rsidRDefault="00AC64A4" w:rsidP="00E13A0D">
            <w:pPr>
              <w:pStyle w:val="SanofiTableText"/>
            </w:pPr>
            <w:r w:rsidRPr="000717E1">
              <w:t>Severe</w:t>
            </w:r>
          </w:p>
        </w:tc>
        <w:tc>
          <w:tcPr>
            <w:tcW w:w="1986" w:type="dxa"/>
            <w:vAlign w:val="center"/>
          </w:tcPr>
          <w:p w14:paraId="4AC836FA" w14:textId="77777777" w:rsidR="00AC64A4" w:rsidRPr="000717E1" w:rsidRDefault="00AC64A4" w:rsidP="00E13A0D">
            <w:pPr>
              <w:pStyle w:val="SanofiTableText"/>
              <w:jc w:val="center"/>
            </w:pPr>
            <w:r w:rsidRPr="000717E1">
              <w:t>0.87 (0.7, 1.1)</w:t>
            </w:r>
          </w:p>
        </w:tc>
        <w:tc>
          <w:tcPr>
            <w:tcW w:w="1842" w:type="dxa"/>
            <w:vAlign w:val="center"/>
          </w:tcPr>
          <w:p w14:paraId="7DF1F314" w14:textId="77777777" w:rsidR="00AC64A4" w:rsidRPr="000717E1" w:rsidRDefault="00AC64A4" w:rsidP="00E13A0D">
            <w:pPr>
              <w:pStyle w:val="SanofiTableText"/>
              <w:jc w:val="center"/>
            </w:pPr>
            <w:r w:rsidRPr="000717E1">
              <w:t>0.64 (0.3, 1.4)</w:t>
            </w:r>
          </w:p>
        </w:tc>
        <w:tc>
          <w:tcPr>
            <w:tcW w:w="1993" w:type="dxa"/>
            <w:vAlign w:val="center"/>
          </w:tcPr>
          <w:p w14:paraId="46073370" w14:textId="77777777" w:rsidR="00AC64A4" w:rsidRPr="000717E1" w:rsidRDefault="00AC64A4" w:rsidP="00E13A0D">
            <w:pPr>
              <w:pStyle w:val="SanofiTableText"/>
              <w:jc w:val="center"/>
            </w:pPr>
            <w:r w:rsidRPr="000717E1">
              <w:t>0.67 (0.5, 0.9)</w:t>
            </w:r>
          </w:p>
        </w:tc>
        <w:tc>
          <w:tcPr>
            <w:tcW w:w="1684" w:type="dxa"/>
            <w:vAlign w:val="center"/>
          </w:tcPr>
          <w:p w14:paraId="1D4D1C31" w14:textId="77777777" w:rsidR="00AC64A4" w:rsidRPr="000717E1" w:rsidRDefault="00AC64A4" w:rsidP="00E13A0D">
            <w:pPr>
              <w:pStyle w:val="SanofiTableText"/>
              <w:jc w:val="center"/>
            </w:pPr>
            <w:r w:rsidRPr="000717E1">
              <w:t>0.18 (0.1, 0.5)</w:t>
            </w:r>
          </w:p>
        </w:tc>
      </w:tr>
      <w:tr w:rsidR="00AC64A4" w:rsidRPr="000717E1" w14:paraId="30F56C0F" w14:textId="77777777" w:rsidTr="00E13A0D">
        <w:trPr>
          <w:trHeight w:val="268"/>
        </w:trPr>
        <w:tc>
          <w:tcPr>
            <w:tcW w:w="1414" w:type="dxa"/>
          </w:tcPr>
          <w:p w14:paraId="40D63255" w14:textId="77777777" w:rsidR="00AC64A4" w:rsidRPr="000717E1" w:rsidRDefault="00AC64A4" w:rsidP="00E13A0D">
            <w:pPr>
              <w:pStyle w:val="SanofiTableText"/>
            </w:pPr>
            <w:r w:rsidRPr="000717E1">
              <w:t>Very Severe</w:t>
            </w:r>
          </w:p>
        </w:tc>
        <w:tc>
          <w:tcPr>
            <w:tcW w:w="1986" w:type="dxa"/>
            <w:vAlign w:val="center"/>
          </w:tcPr>
          <w:p w14:paraId="7455BF24" w14:textId="77777777" w:rsidR="00AC64A4" w:rsidRPr="000717E1" w:rsidRDefault="00AC64A4" w:rsidP="00E13A0D">
            <w:pPr>
              <w:pStyle w:val="SanofiTableText"/>
              <w:jc w:val="center"/>
            </w:pPr>
            <w:r w:rsidRPr="000717E1">
              <w:t>0.64 (0.3, 1.2)</w:t>
            </w:r>
          </w:p>
        </w:tc>
        <w:tc>
          <w:tcPr>
            <w:tcW w:w="1842" w:type="dxa"/>
            <w:vAlign w:val="center"/>
          </w:tcPr>
          <w:p w14:paraId="1892C73C" w14:textId="77777777" w:rsidR="00AC64A4" w:rsidRPr="000717E1" w:rsidRDefault="00AC64A4" w:rsidP="00E13A0D">
            <w:pPr>
              <w:pStyle w:val="SanofiTableText"/>
              <w:jc w:val="center"/>
            </w:pPr>
            <w:r w:rsidRPr="000717E1">
              <w:t>1.00 (0.3, 3.7)</w:t>
            </w:r>
          </w:p>
        </w:tc>
        <w:tc>
          <w:tcPr>
            <w:tcW w:w="1993" w:type="dxa"/>
            <w:vAlign w:val="center"/>
          </w:tcPr>
          <w:p w14:paraId="51F205B6" w14:textId="77777777" w:rsidR="00AC64A4" w:rsidRPr="000717E1" w:rsidRDefault="00AC64A4" w:rsidP="00E13A0D">
            <w:pPr>
              <w:pStyle w:val="SanofiTableText"/>
              <w:jc w:val="center"/>
            </w:pPr>
            <w:r w:rsidRPr="000717E1">
              <w:t>0.55 (0.3, 1.1)</w:t>
            </w:r>
          </w:p>
        </w:tc>
        <w:tc>
          <w:tcPr>
            <w:tcW w:w="1684" w:type="dxa"/>
            <w:vAlign w:val="center"/>
          </w:tcPr>
          <w:p w14:paraId="4CD20ACE" w14:textId="77777777" w:rsidR="00AC64A4" w:rsidRPr="000717E1" w:rsidRDefault="00AC64A4" w:rsidP="00E13A0D">
            <w:pPr>
              <w:pStyle w:val="SanofiTableText"/>
              <w:jc w:val="center"/>
            </w:pPr>
            <w:r w:rsidRPr="000717E1">
              <w:t>0.18 (assume equal to RR for severe COPD)</w:t>
            </w:r>
          </w:p>
        </w:tc>
      </w:tr>
    </w:tbl>
    <w:p w14:paraId="523F5284" w14:textId="77777777" w:rsidR="00AC64A4" w:rsidRPr="000717E1" w:rsidRDefault="00AC64A4" w:rsidP="00AC64A4">
      <w:pPr>
        <w:pStyle w:val="FooterTableFigure"/>
      </w:pPr>
      <w:r w:rsidRPr="000717E1">
        <w:t>Source: Table 3.4-4, p140 of the submission.</w:t>
      </w:r>
    </w:p>
    <w:p w14:paraId="624D6E57" w14:textId="5A338636" w:rsidR="00AC64A4" w:rsidRPr="000717E1" w:rsidRDefault="00AE3312" w:rsidP="00AC64A4">
      <w:pPr>
        <w:pStyle w:val="FooterTableFigure"/>
      </w:pPr>
      <w:r w:rsidRPr="000717E1">
        <w:t xml:space="preserve">COPD = chronic obstructive pulmonary disease; </w:t>
      </w:r>
      <w:r w:rsidR="00AC64A4" w:rsidRPr="000717E1">
        <w:t>GOLD = Global Initiative for Chronic Obstructive Lung Disease; ITT = intention-to-treat.</w:t>
      </w:r>
      <w:r w:rsidR="00B723CE" w:rsidRPr="000717E1">
        <w:t>, RR</w:t>
      </w:r>
      <w:r w:rsidR="00496CBE" w:rsidRPr="000717E1">
        <w:t xml:space="preserve"> = Relative Risk</w:t>
      </w:r>
      <w:r w:rsidR="009C3F89" w:rsidRPr="000717E1">
        <w:t xml:space="preserve"> </w:t>
      </w:r>
    </w:p>
    <w:p w14:paraId="4F8ED805" w14:textId="5127EE30" w:rsidR="00AC64A4" w:rsidRPr="000717E1" w:rsidRDefault="00AC64A4" w:rsidP="00AC64A4">
      <w:pPr>
        <w:pStyle w:val="3-BodyText"/>
        <w:rPr>
          <w:iCs/>
        </w:rPr>
      </w:pPr>
      <w:r w:rsidRPr="000717E1">
        <w:t xml:space="preserve">Transitions between COPD health states in the Markov model were informed by annual probabilities (associated with COPD severity and exacerbation history) reported by Fenwick et al. </w:t>
      </w:r>
      <w:r w:rsidR="00A47D0A" w:rsidRPr="000717E1">
        <w:t xml:space="preserve">2021, </w:t>
      </w:r>
      <w:r w:rsidRPr="000717E1">
        <w:t>which were based on FEV</w:t>
      </w:r>
      <w:r w:rsidRPr="000717E1">
        <w:rPr>
          <w:vertAlign w:val="subscript"/>
        </w:rPr>
        <w:t>1</w:t>
      </w:r>
      <w:r w:rsidRPr="000717E1">
        <w:t xml:space="preserve"> decline over time using data from the 3-year TORCH study. Further the submission </w:t>
      </w:r>
      <w:r w:rsidRPr="000717E1">
        <w:rPr>
          <w:bCs/>
          <w:iCs/>
        </w:rPr>
        <w:t xml:space="preserve">applied a multiplier of 1.52 to the Fenwick et al. 2021 estimates based on COPD subgroup data from the </w:t>
      </w:r>
      <w:proofErr w:type="spellStart"/>
      <w:r w:rsidRPr="000717E1">
        <w:rPr>
          <w:bCs/>
          <w:iCs/>
        </w:rPr>
        <w:t>CanCOLD</w:t>
      </w:r>
      <w:proofErr w:type="spellEnd"/>
      <w:r w:rsidRPr="000717E1">
        <w:rPr>
          <w:bCs/>
          <w:iCs/>
        </w:rPr>
        <w:t xml:space="preserve"> study to include the impact of type 2 inflammation (elevated blood eosinophils) on lung function decline. FEV</w:t>
      </w:r>
      <w:r w:rsidRPr="000717E1">
        <w:rPr>
          <w:bCs/>
          <w:iCs/>
          <w:vertAlign w:val="subscript"/>
        </w:rPr>
        <w:t>1</w:t>
      </w:r>
      <w:r w:rsidRPr="000717E1">
        <w:rPr>
          <w:bCs/>
          <w:iCs/>
        </w:rPr>
        <w:t xml:space="preserve"> decline estimates from Fenwick et al. 2021 were based on the TORCH study, in which people had dual therapy. The extent to which those rates are applicable to patients on triple therapy is unclear (arguably, triple therapy may be considered more effective than dual therapy, but its use may also signify more severe disease). </w:t>
      </w:r>
      <w:r w:rsidR="009605C5" w:rsidRPr="001F3F0F">
        <w:rPr>
          <w:bCs/>
        </w:rPr>
        <w:t>The Sub-Committees considered</w:t>
      </w:r>
      <w:r w:rsidR="0007081B" w:rsidRPr="001F3F0F">
        <w:rPr>
          <w:bCs/>
        </w:rPr>
        <w:t xml:space="preserve"> that</w:t>
      </w:r>
      <w:r w:rsidR="009605C5" w:rsidRPr="001F3F0F">
        <w:rPr>
          <w:bCs/>
        </w:rPr>
        <w:t xml:space="preserve"> in</w:t>
      </w:r>
      <w:r w:rsidRPr="001F3F0F">
        <w:rPr>
          <w:bCs/>
        </w:rPr>
        <w:t xml:space="preserve"> the absence of long-term trial data, the application of these estimates</w:t>
      </w:r>
      <w:r w:rsidR="005C56B3" w:rsidRPr="001F3F0F">
        <w:rPr>
          <w:bCs/>
        </w:rPr>
        <w:t>, while uncertain, was likely reasonable.</w:t>
      </w:r>
      <w:r w:rsidR="005C56B3" w:rsidRPr="000717E1">
        <w:rPr>
          <w:bCs/>
          <w:iCs/>
        </w:rPr>
        <w:t xml:space="preserve"> </w:t>
      </w:r>
    </w:p>
    <w:p w14:paraId="6D8F257A" w14:textId="430F60F7" w:rsidR="0006206D" w:rsidRPr="000717E1" w:rsidRDefault="00AC64A4" w:rsidP="00AC64A4">
      <w:pPr>
        <w:pStyle w:val="3-BodyText"/>
        <w:rPr>
          <w:rFonts w:eastAsia="Calibri"/>
          <w:iCs/>
        </w:rPr>
      </w:pPr>
      <w:r w:rsidRPr="000717E1">
        <w:rPr>
          <w:iCs/>
        </w:rPr>
        <w:t xml:space="preserve">People in the dupilumab arms of BOREAS and NOTUS stopped treatment at the end of the 52-week trial period. Hence, long-term trial data was not available to observe </w:t>
      </w:r>
      <w:r w:rsidRPr="000717E1">
        <w:rPr>
          <w:iCs/>
        </w:rPr>
        <w:lastRenderedPageBreak/>
        <w:t>the long-term changes in the treatment effect (FEV</w:t>
      </w:r>
      <w:r w:rsidRPr="000717E1">
        <w:rPr>
          <w:iCs/>
          <w:vertAlign w:val="subscript"/>
        </w:rPr>
        <w:t>1</w:t>
      </w:r>
      <w:r w:rsidRPr="000717E1">
        <w:rPr>
          <w:iCs/>
        </w:rPr>
        <w:t xml:space="preserve"> levels and exacerbation rates). In the absence of this, the submission used long-term data from people with moderate or severe asthma </w:t>
      </w:r>
      <w:r w:rsidR="00BC752D" w:rsidRPr="000717E1">
        <w:rPr>
          <w:iCs/>
        </w:rPr>
        <w:t xml:space="preserve">receiving </w:t>
      </w:r>
      <w:r w:rsidRPr="000717E1">
        <w:rPr>
          <w:iCs/>
        </w:rPr>
        <w:t>dupilumab in the TRAVERSE study. This showed improvements in pre-bronchodilator FEV</w:t>
      </w:r>
      <w:r w:rsidRPr="000717E1">
        <w:rPr>
          <w:iCs/>
          <w:vertAlign w:val="subscript"/>
        </w:rPr>
        <w:t>1</w:t>
      </w:r>
      <w:r w:rsidRPr="000717E1">
        <w:rPr>
          <w:iCs/>
        </w:rPr>
        <w:t xml:space="preserve"> were maintained from the 52-week trial period and during the 96-week follow up </w:t>
      </w:r>
      <w:r w:rsidR="002C7933" w:rsidRPr="001F3F0F">
        <w:t xml:space="preserve">when </w:t>
      </w:r>
      <w:r w:rsidR="0004725C" w:rsidRPr="001F3F0F">
        <w:t xml:space="preserve">treatment </w:t>
      </w:r>
      <w:r w:rsidR="005F77D5" w:rsidRPr="001F3F0F">
        <w:t>wa</w:t>
      </w:r>
      <w:r w:rsidR="0004725C" w:rsidRPr="001F3F0F">
        <w:t xml:space="preserve">s extended up to </w:t>
      </w:r>
      <w:r w:rsidR="00675B79" w:rsidRPr="001F3F0F">
        <w:t>148 weeks</w:t>
      </w:r>
      <w:r w:rsidRPr="000717E1">
        <w:rPr>
          <w:iCs/>
        </w:rPr>
        <w:t>.</w:t>
      </w:r>
      <w:r w:rsidR="00CE5445" w:rsidRPr="000717E1">
        <w:rPr>
          <w:iCs/>
        </w:rPr>
        <w:t xml:space="preserve"> </w:t>
      </w:r>
      <w:r w:rsidRPr="000717E1">
        <w:rPr>
          <w:iCs/>
        </w:rPr>
        <w:t>Based on th</w:t>
      </w:r>
      <w:r w:rsidR="003A24B3" w:rsidRPr="000717E1">
        <w:rPr>
          <w:iCs/>
        </w:rPr>
        <w:t xml:space="preserve">e </w:t>
      </w:r>
      <w:r w:rsidR="00717AAF" w:rsidRPr="000717E1">
        <w:rPr>
          <w:iCs/>
        </w:rPr>
        <w:t>TRAVERSE study</w:t>
      </w:r>
      <w:r w:rsidRPr="000717E1">
        <w:rPr>
          <w:iCs/>
        </w:rPr>
        <w:t xml:space="preserve">, the submission assumed that for </w:t>
      </w:r>
      <w:r w:rsidR="00F14B80" w:rsidRPr="000717E1">
        <w:rPr>
          <w:iCs/>
        </w:rPr>
        <w:t xml:space="preserve">individuals in the </w:t>
      </w:r>
      <w:r w:rsidRPr="000717E1">
        <w:rPr>
          <w:iCs/>
        </w:rPr>
        <w:t>dupilumab</w:t>
      </w:r>
      <w:r w:rsidR="007355B2" w:rsidRPr="000717E1">
        <w:rPr>
          <w:iCs/>
        </w:rPr>
        <w:t xml:space="preserve"> arm</w:t>
      </w:r>
      <w:r w:rsidRPr="000717E1">
        <w:rPr>
          <w:iCs/>
        </w:rPr>
        <w:t xml:space="preserve">, the treatment effect </w:t>
      </w:r>
      <w:r w:rsidR="00707BB6" w:rsidRPr="000717E1">
        <w:rPr>
          <w:iCs/>
        </w:rPr>
        <w:t>wa</w:t>
      </w:r>
      <w:r w:rsidRPr="000717E1">
        <w:rPr>
          <w:iCs/>
        </w:rPr>
        <w:t>s maintained for 2 years</w:t>
      </w:r>
      <w:r w:rsidR="003108A6" w:rsidRPr="000717E1">
        <w:rPr>
          <w:iCs/>
        </w:rPr>
        <w:t>,</w:t>
      </w:r>
      <w:r w:rsidR="00A95B4B" w:rsidRPr="000717E1">
        <w:rPr>
          <w:iCs/>
        </w:rPr>
        <w:t xml:space="preserve"> but there </w:t>
      </w:r>
      <w:r w:rsidR="00707BB6" w:rsidRPr="000717E1">
        <w:rPr>
          <w:iCs/>
        </w:rPr>
        <w:t>wa</w:t>
      </w:r>
      <w:r w:rsidR="00A95B4B" w:rsidRPr="000717E1">
        <w:rPr>
          <w:iCs/>
        </w:rPr>
        <w:t>s no maintenance of treatment effect in the comparator arm</w:t>
      </w:r>
      <w:r w:rsidRPr="000717E1">
        <w:rPr>
          <w:iCs/>
        </w:rPr>
        <w:t xml:space="preserve"> (</w:t>
      </w:r>
      <w:r w:rsidRPr="000717E1">
        <w:rPr>
          <w:iCs/>
        </w:rPr>
        <w:fldChar w:fldCharType="begin"/>
      </w:r>
      <w:r w:rsidRPr="000717E1">
        <w:rPr>
          <w:iCs/>
        </w:rPr>
        <w:instrText xml:space="preserve"> REF _Ref218837024 \h  \* MERGEFORMAT </w:instrText>
      </w:r>
      <w:r w:rsidRPr="000717E1">
        <w:rPr>
          <w:iCs/>
        </w:rPr>
      </w:r>
      <w:r w:rsidRPr="000717E1">
        <w:rPr>
          <w:iCs/>
        </w:rPr>
        <w:fldChar w:fldCharType="separate"/>
      </w:r>
      <w:r w:rsidR="00281F45" w:rsidRPr="00281F45">
        <w:rPr>
          <w:iCs/>
        </w:rPr>
        <w:t xml:space="preserve">Figure </w:t>
      </w:r>
      <w:r w:rsidR="00281F45" w:rsidRPr="00281F45">
        <w:rPr>
          <w:iCs/>
          <w:noProof/>
        </w:rPr>
        <w:t>3</w:t>
      </w:r>
      <w:r w:rsidRPr="000717E1">
        <w:rPr>
          <w:iCs/>
        </w:rPr>
        <w:fldChar w:fldCharType="end"/>
      </w:r>
      <w:r w:rsidRPr="000717E1">
        <w:rPr>
          <w:iCs/>
        </w:rPr>
        <w:t xml:space="preserve">). </w:t>
      </w:r>
      <w:r w:rsidR="009D5820" w:rsidRPr="000717E1">
        <w:rPr>
          <w:iCs/>
        </w:rPr>
        <w:t>This effectively increased the incremental treatment effect (with re</w:t>
      </w:r>
      <w:r w:rsidR="004C67D1" w:rsidRPr="000717E1">
        <w:rPr>
          <w:iCs/>
        </w:rPr>
        <w:t>spect to FEV</w:t>
      </w:r>
      <w:r w:rsidR="004C67D1" w:rsidRPr="000717E1">
        <w:rPr>
          <w:iCs/>
          <w:vertAlign w:val="subscript"/>
        </w:rPr>
        <w:t>1</w:t>
      </w:r>
      <w:r w:rsidR="004C67D1" w:rsidRPr="000717E1">
        <w:rPr>
          <w:iCs/>
        </w:rPr>
        <w:t>)</w:t>
      </w:r>
      <w:r w:rsidR="00487578" w:rsidRPr="000717E1">
        <w:rPr>
          <w:iCs/>
        </w:rPr>
        <w:t>.</w:t>
      </w:r>
      <w:r w:rsidR="00BD0D95" w:rsidRPr="000717E1">
        <w:rPr>
          <w:iCs/>
        </w:rPr>
        <w:t xml:space="preserve"> </w:t>
      </w:r>
      <w:r w:rsidR="0001699B" w:rsidRPr="000717E1">
        <w:rPr>
          <w:iCs/>
        </w:rPr>
        <w:t>Two years after</w:t>
      </w:r>
      <w:r w:rsidR="000C09A0" w:rsidRPr="000717E1">
        <w:rPr>
          <w:iCs/>
        </w:rPr>
        <w:t xml:space="preserve"> the</w:t>
      </w:r>
      <w:r w:rsidR="0001699B" w:rsidRPr="000717E1">
        <w:rPr>
          <w:iCs/>
        </w:rPr>
        <w:t xml:space="preserve"> </w:t>
      </w:r>
      <w:r w:rsidR="000C09A0" w:rsidRPr="000717E1">
        <w:rPr>
          <w:iCs/>
        </w:rPr>
        <w:t>trial period</w:t>
      </w:r>
      <w:r w:rsidRPr="000717E1">
        <w:rPr>
          <w:iCs/>
        </w:rPr>
        <w:t xml:space="preserve"> the same transition probabilities between COPD health states</w:t>
      </w:r>
      <w:r w:rsidR="00026968" w:rsidRPr="000717E1">
        <w:rPr>
          <w:iCs/>
        </w:rPr>
        <w:t xml:space="preserve"> were applied</w:t>
      </w:r>
      <w:r w:rsidR="00561E4C" w:rsidRPr="000717E1">
        <w:rPr>
          <w:iCs/>
        </w:rPr>
        <w:t xml:space="preserve"> for both the dupilumab and the comparator arms</w:t>
      </w:r>
      <w:r w:rsidRPr="000717E1">
        <w:rPr>
          <w:iCs/>
        </w:rPr>
        <w:t xml:space="preserve">. </w:t>
      </w:r>
      <w:r w:rsidR="0006206D" w:rsidRPr="000717E1">
        <w:rPr>
          <w:iCs/>
        </w:rPr>
        <w:t>Because of the higher FEV</w:t>
      </w:r>
      <w:r w:rsidR="0006206D" w:rsidRPr="000717E1">
        <w:rPr>
          <w:iCs/>
          <w:vertAlign w:val="subscript"/>
        </w:rPr>
        <w:t>1</w:t>
      </w:r>
      <w:r w:rsidR="0006206D" w:rsidRPr="000717E1">
        <w:rPr>
          <w:iCs/>
        </w:rPr>
        <w:t xml:space="preserve"> for people in the dupilumab arm at 3 years, a treatment effect is maintained throughout the lifetime of the model</w:t>
      </w:r>
      <w:r w:rsidR="00F87FF5" w:rsidRPr="000717E1">
        <w:rPr>
          <w:iCs/>
        </w:rPr>
        <w:t xml:space="preserve"> </w:t>
      </w:r>
      <w:r w:rsidR="00F87FF5" w:rsidRPr="001F3F0F">
        <w:t>with no assumption of convergence</w:t>
      </w:r>
      <w:r w:rsidR="0006206D" w:rsidRPr="000717E1">
        <w:rPr>
          <w:iCs/>
        </w:rPr>
        <w:t xml:space="preserve">. Therefore, on average, people in the dupilumab arm continue to stay in less severe COPD severity health states compared with people in the background therapy arm favouring dupilumab. </w:t>
      </w:r>
    </w:p>
    <w:p w14:paraId="502496F9" w14:textId="7615408E" w:rsidR="00AC64A4" w:rsidRPr="000717E1" w:rsidRDefault="00AC64A4" w:rsidP="0049106B">
      <w:pPr>
        <w:pStyle w:val="3-BodyText"/>
        <w:spacing w:after="120"/>
        <w:rPr>
          <w:rFonts w:eastAsia="Calibri"/>
          <w:iCs/>
        </w:rPr>
      </w:pPr>
      <w:bookmarkStart w:id="77" w:name="_Ref222497369"/>
      <w:r w:rsidRPr="000717E1">
        <w:rPr>
          <w:iCs/>
        </w:rPr>
        <w:t>The submission justified</w:t>
      </w:r>
      <w:r w:rsidR="0006206D" w:rsidRPr="000717E1">
        <w:rPr>
          <w:iCs/>
        </w:rPr>
        <w:t xml:space="preserve"> its approach to extrapolating the treatment effect</w:t>
      </w:r>
      <w:r w:rsidRPr="000717E1">
        <w:rPr>
          <w:iCs/>
        </w:rPr>
        <w:t xml:space="preserve"> stating that the mechanism of action of dupilumab is expected to be the same in asthma as in COPD, supporting the use of the TRAVERSE data to inform the treatment effect maintenance period. However, </w:t>
      </w:r>
      <w:r w:rsidR="001A1AAC" w:rsidRPr="000717E1">
        <w:rPr>
          <w:iCs/>
        </w:rPr>
        <w:t xml:space="preserve">the evaluation considered that </w:t>
      </w:r>
      <w:r w:rsidRPr="000717E1">
        <w:rPr>
          <w:iCs/>
        </w:rPr>
        <w:t>people with COPD would be older with more comorbidities, therefore,</w:t>
      </w:r>
      <w:r w:rsidR="002D5A1A" w:rsidRPr="000717E1">
        <w:rPr>
          <w:iCs/>
        </w:rPr>
        <w:t xml:space="preserve"> the</w:t>
      </w:r>
      <w:r w:rsidRPr="000717E1">
        <w:rPr>
          <w:iCs/>
        </w:rPr>
        <w:t xml:space="preserve"> treatment effect may be expected to decline more quickly. In the absence of long-term trial data, </w:t>
      </w:r>
      <w:r w:rsidR="002D5A1A" w:rsidRPr="000717E1">
        <w:rPr>
          <w:iCs/>
        </w:rPr>
        <w:t xml:space="preserve">the assumed </w:t>
      </w:r>
      <w:r w:rsidRPr="000717E1">
        <w:rPr>
          <w:iCs/>
        </w:rPr>
        <w:t>sustained treatment effect of dupilumab</w:t>
      </w:r>
      <w:r w:rsidR="00A66AAC" w:rsidRPr="000717E1">
        <w:rPr>
          <w:iCs/>
        </w:rPr>
        <w:t xml:space="preserve"> </w:t>
      </w:r>
      <w:r w:rsidRPr="000717E1">
        <w:rPr>
          <w:iCs/>
        </w:rPr>
        <w:t xml:space="preserve">for </w:t>
      </w:r>
      <w:r w:rsidR="00760981" w:rsidRPr="000717E1">
        <w:rPr>
          <w:iCs/>
        </w:rPr>
        <w:t>2</w:t>
      </w:r>
      <w:r w:rsidRPr="000717E1">
        <w:rPr>
          <w:iCs/>
        </w:rPr>
        <w:t xml:space="preserve"> years </w:t>
      </w:r>
      <w:r w:rsidR="008208FC" w:rsidRPr="000717E1">
        <w:rPr>
          <w:iCs/>
        </w:rPr>
        <w:t xml:space="preserve">after the trial period </w:t>
      </w:r>
      <w:r w:rsidRPr="000717E1">
        <w:rPr>
          <w:iCs/>
        </w:rPr>
        <w:t>remains uncertain. Removing the maintained treatment effect</w:t>
      </w:r>
      <w:r w:rsidR="00152507" w:rsidRPr="000717E1">
        <w:rPr>
          <w:iCs/>
        </w:rPr>
        <w:t xml:space="preserve"> </w:t>
      </w:r>
      <w:r w:rsidRPr="000717E1">
        <w:rPr>
          <w:bCs/>
          <w:iCs/>
        </w:rPr>
        <w:t>increase</w:t>
      </w:r>
      <w:r w:rsidR="002D5A1A" w:rsidRPr="000717E1">
        <w:rPr>
          <w:bCs/>
          <w:iCs/>
        </w:rPr>
        <w:t>d</w:t>
      </w:r>
      <w:r w:rsidRPr="000717E1">
        <w:rPr>
          <w:bCs/>
          <w:iCs/>
        </w:rPr>
        <w:t xml:space="preserve"> the ICER to $</w:t>
      </w:r>
      <w:r w:rsidR="00E05B7A">
        <w:rPr>
          <w:bCs/>
          <w:iCs/>
        </w:rPr>
        <w:t>45,000 to &lt; $55,000</w:t>
      </w:r>
      <w:r w:rsidRPr="000717E1">
        <w:rPr>
          <w:bCs/>
          <w:iCs/>
        </w:rPr>
        <w:t>/QALY.</w:t>
      </w:r>
      <w:r w:rsidR="00012438" w:rsidRPr="000717E1">
        <w:rPr>
          <w:bCs/>
          <w:iCs/>
        </w:rPr>
        <w:t xml:space="preserve"> </w:t>
      </w:r>
      <w:r w:rsidR="00012438" w:rsidRPr="001F3F0F">
        <w:rPr>
          <w:bCs/>
        </w:rPr>
        <w:t xml:space="preserve">The Sub-Committees noted the </w:t>
      </w:r>
      <w:r w:rsidR="00BC3ADA" w:rsidRPr="001F3F0F">
        <w:rPr>
          <w:bCs/>
        </w:rPr>
        <w:t>justifications</w:t>
      </w:r>
      <w:r w:rsidR="00DB6C5B" w:rsidRPr="001F3F0F">
        <w:rPr>
          <w:bCs/>
        </w:rPr>
        <w:t xml:space="preserve"> provided in the </w:t>
      </w:r>
      <w:r w:rsidR="00BC3ADA" w:rsidRPr="001F3F0F">
        <w:rPr>
          <w:bCs/>
        </w:rPr>
        <w:t xml:space="preserve">submission and </w:t>
      </w:r>
      <w:r w:rsidR="00DB6C5B" w:rsidRPr="001F3F0F">
        <w:rPr>
          <w:bCs/>
        </w:rPr>
        <w:t>PSCR</w:t>
      </w:r>
      <w:r w:rsidR="00BC3ADA" w:rsidRPr="001F3F0F">
        <w:rPr>
          <w:bCs/>
        </w:rPr>
        <w:t xml:space="preserve"> were</w:t>
      </w:r>
      <w:r w:rsidR="00DB6C5B" w:rsidRPr="001F3F0F">
        <w:rPr>
          <w:bCs/>
        </w:rPr>
        <w:t xml:space="preserve"> </w:t>
      </w:r>
      <w:r w:rsidR="002235D2" w:rsidRPr="001F3F0F">
        <w:rPr>
          <w:bCs/>
        </w:rPr>
        <w:t>based on observations from</w:t>
      </w:r>
      <w:r w:rsidR="00AF6E0C" w:rsidRPr="001F3F0F">
        <w:rPr>
          <w:bCs/>
        </w:rPr>
        <w:t xml:space="preserve"> long-term studies</w:t>
      </w:r>
      <w:r w:rsidR="00BC3ADA" w:rsidRPr="001F3F0F">
        <w:rPr>
          <w:bCs/>
        </w:rPr>
        <w:t xml:space="preserve"> in different disease areas</w:t>
      </w:r>
      <w:r w:rsidR="00AF6E0C" w:rsidRPr="001F3F0F">
        <w:rPr>
          <w:bCs/>
        </w:rPr>
        <w:t xml:space="preserve"> (e.g. asthma and atopic dermatitis</w:t>
      </w:r>
      <w:r w:rsidR="00BC3ADA" w:rsidRPr="001F3F0F">
        <w:rPr>
          <w:bCs/>
        </w:rPr>
        <w:t>)</w:t>
      </w:r>
      <w:r w:rsidR="00C979FE" w:rsidRPr="001F3F0F">
        <w:rPr>
          <w:bCs/>
        </w:rPr>
        <w:t xml:space="preserve"> and agreed with the evaluation that </w:t>
      </w:r>
      <w:r w:rsidR="00434403" w:rsidRPr="001F3F0F">
        <w:rPr>
          <w:bCs/>
        </w:rPr>
        <w:t xml:space="preserve">the </w:t>
      </w:r>
      <w:r w:rsidR="00EE7A7E" w:rsidRPr="001F3F0F">
        <w:rPr>
          <w:bCs/>
        </w:rPr>
        <w:t xml:space="preserve">maintained </w:t>
      </w:r>
      <w:r w:rsidR="00434403" w:rsidRPr="001F3F0F">
        <w:rPr>
          <w:bCs/>
        </w:rPr>
        <w:t xml:space="preserve">treatment effect evident in these </w:t>
      </w:r>
      <w:r w:rsidR="003E0804" w:rsidRPr="001F3F0F">
        <w:rPr>
          <w:bCs/>
        </w:rPr>
        <w:t>studies</w:t>
      </w:r>
      <w:r w:rsidR="00434403" w:rsidRPr="001F3F0F">
        <w:rPr>
          <w:bCs/>
        </w:rPr>
        <w:t xml:space="preserve"> may not be replicated in COPD</w:t>
      </w:r>
      <w:r w:rsidR="00F962E1" w:rsidRPr="001F3F0F">
        <w:rPr>
          <w:bCs/>
        </w:rPr>
        <w:t xml:space="preserve">. The Sub-Committees </w:t>
      </w:r>
      <w:r w:rsidR="00315573" w:rsidRPr="001F3F0F">
        <w:rPr>
          <w:bCs/>
        </w:rPr>
        <w:t>noted that</w:t>
      </w:r>
      <w:r w:rsidR="003076F8" w:rsidRPr="001F3F0F">
        <w:rPr>
          <w:bCs/>
        </w:rPr>
        <w:t xml:space="preserve"> </w:t>
      </w:r>
      <w:r w:rsidR="00E65070" w:rsidRPr="001F3F0F">
        <w:rPr>
          <w:bCs/>
        </w:rPr>
        <w:t xml:space="preserve">COPD </w:t>
      </w:r>
      <w:r w:rsidR="003076F8" w:rsidRPr="001F3F0F">
        <w:rPr>
          <w:bCs/>
        </w:rPr>
        <w:t>is a progressive disease characterised by a decline in lung function and</w:t>
      </w:r>
      <w:r w:rsidR="005060B7" w:rsidRPr="001F3F0F">
        <w:rPr>
          <w:bCs/>
        </w:rPr>
        <w:t xml:space="preserve"> </w:t>
      </w:r>
      <w:r w:rsidR="00CB3DA6" w:rsidRPr="001F3F0F">
        <w:rPr>
          <w:bCs/>
        </w:rPr>
        <w:t xml:space="preserve">as such </w:t>
      </w:r>
      <w:r w:rsidR="005060B7" w:rsidRPr="001F3F0F">
        <w:rPr>
          <w:bCs/>
        </w:rPr>
        <w:t xml:space="preserve">considered </w:t>
      </w:r>
      <w:r w:rsidR="00E07F5D" w:rsidRPr="001F3F0F">
        <w:rPr>
          <w:bCs/>
        </w:rPr>
        <w:t>that the assumption that the</w:t>
      </w:r>
      <w:r w:rsidR="005060B7" w:rsidRPr="001F3F0F">
        <w:rPr>
          <w:bCs/>
        </w:rPr>
        <w:t xml:space="preserve"> </w:t>
      </w:r>
      <w:r w:rsidR="00F172E4" w:rsidRPr="001F3F0F">
        <w:rPr>
          <w:bCs/>
        </w:rPr>
        <w:t xml:space="preserve">trial treatment effect would </w:t>
      </w:r>
      <w:r w:rsidR="00542D5B" w:rsidRPr="001F3F0F">
        <w:rPr>
          <w:bCs/>
        </w:rPr>
        <w:t xml:space="preserve">then </w:t>
      </w:r>
      <w:r w:rsidR="00F172E4" w:rsidRPr="001F3F0F">
        <w:rPr>
          <w:bCs/>
        </w:rPr>
        <w:t xml:space="preserve">be maintained </w:t>
      </w:r>
      <w:r w:rsidR="001A1EC4" w:rsidRPr="001F3F0F">
        <w:rPr>
          <w:bCs/>
        </w:rPr>
        <w:t>for 2 years</w:t>
      </w:r>
      <w:r w:rsidR="00E07F5D" w:rsidRPr="001F3F0F">
        <w:rPr>
          <w:bCs/>
        </w:rPr>
        <w:t xml:space="preserve"> should be removed</w:t>
      </w:r>
      <w:r w:rsidR="001A1EC4" w:rsidRPr="001F3F0F">
        <w:rPr>
          <w:bCs/>
        </w:rPr>
        <w:t xml:space="preserve">. </w:t>
      </w:r>
      <w:r w:rsidR="00504B44" w:rsidRPr="001F3F0F">
        <w:rPr>
          <w:bCs/>
        </w:rPr>
        <w:t xml:space="preserve">The Sub-Committees </w:t>
      </w:r>
      <w:r w:rsidR="00FC2D65" w:rsidRPr="001F3F0F">
        <w:rPr>
          <w:bCs/>
        </w:rPr>
        <w:t>considered that</w:t>
      </w:r>
      <w:r w:rsidR="00F962E1" w:rsidRPr="001F3F0F">
        <w:rPr>
          <w:bCs/>
        </w:rPr>
        <w:t xml:space="preserve"> </w:t>
      </w:r>
      <w:r w:rsidR="00542D5B" w:rsidRPr="001F3F0F">
        <w:rPr>
          <w:bCs/>
        </w:rPr>
        <w:t xml:space="preserve">the decline in </w:t>
      </w:r>
      <w:r w:rsidR="000D2FD7" w:rsidRPr="001F3F0F">
        <w:rPr>
          <w:bCs/>
        </w:rPr>
        <w:t>pre-BD FEV</w:t>
      </w:r>
      <w:r w:rsidR="000D2FD7" w:rsidRPr="001F3F0F">
        <w:rPr>
          <w:bCs/>
          <w:vertAlign w:val="subscript"/>
        </w:rPr>
        <w:t xml:space="preserve">1 </w:t>
      </w:r>
      <w:r w:rsidR="009D397F" w:rsidRPr="001F3F0F">
        <w:rPr>
          <w:bCs/>
        </w:rPr>
        <w:t xml:space="preserve">from around week 44 in </w:t>
      </w:r>
      <w:r w:rsidR="009D397F" w:rsidRPr="001F3F0F">
        <w:rPr>
          <w:bCs/>
        </w:rPr>
        <w:fldChar w:fldCharType="begin"/>
      </w:r>
      <w:r w:rsidR="009D397F" w:rsidRPr="001F3F0F">
        <w:rPr>
          <w:bCs/>
        </w:rPr>
        <w:instrText xml:space="preserve"> REF _Ref216029193 \h </w:instrText>
      </w:r>
      <w:r w:rsidR="008F7DB6" w:rsidRPr="001F3F0F">
        <w:rPr>
          <w:bCs/>
        </w:rPr>
        <w:instrText xml:space="preserve"> \* MERGEFORMAT </w:instrText>
      </w:r>
      <w:r w:rsidR="009D397F" w:rsidRPr="001F3F0F">
        <w:rPr>
          <w:bCs/>
        </w:rPr>
      </w:r>
      <w:r w:rsidR="009D397F" w:rsidRPr="001F3F0F">
        <w:rPr>
          <w:bCs/>
        </w:rPr>
        <w:fldChar w:fldCharType="separate"/>
      </w:r>
      <w:r w:rsidR="00281F45" w:rsidRPr="000717E1">
        <w:t xml:space="preserve">Figure </w:t>
      </w:r>
      <w:r w:rsidR="00281F45">
        <w:rPr>
          <w:noProof/>
        </w:rPr>
        <w:t>1</w:t>
      </w:r>
      <w:r w:rsidR="009D397F" w:rsidRPr="001F3F0F">
        <w:rPr>
          <w:bCs/>
        </w:rPr>
        <w:fldChar w:fldCharType="end"/>
      </w:r>
      <w:r w:rsidR="009D397F" w:rsidRPr="001F3F0F">
        <w:rPr>
          <w:bCs/>
        </w:rPr>
        <w:t xml:space="preserve"> further </w:t>
      </w:r>
      <w:r w:rsidR="008F7DB6" w:rsidRPr="001F3F0F">
        <w:rPr>
          <w:bCs/>
        </w:rPr>
        <w:t>supported th</w:t>
      </w:r>
      <w:r w:rsidR="00E6419E" w:rsidRPr="001F3F0F">
        <w:rPr>
          <w:bCs/>
        </w:rPr>
        <w:t>is advice.</w:t>
      </w:r>
      <w:bookmarkEnd w:id="77"/>
      <w:r w:rsidR="00E6419E" w:rsidRPr="001F3F0F">
        <w:rPr>
          <w:bCs/>
        </w:rPr>
        <w:t xml:space="preserve"> </w:t>
      </w:r>
      <w:r w:rsidR="00F33560">
        <w:rPr>
          <w:bCs/>
        </w:rPr>
        <w:t xml:space="preserve">The Pre-PBAC Response </w:t>
      </w:r>
      <w:r w:rsidR="007241C9">
        <w:rPr>
          <w:bCs/>
        </w:rPr>
        <w:t xml:space="preserve">argued that </w:t>
      </w:r>
      <w:r w:rsidR="007241C9" w:rsidRPr="45E72D9A">
        <w:rPr>
          <w:rFonts w:eastAsia="Aptos"/>
        </w:rPr>
        <w:t xml:space="preserve">dupilumab addresses a core driver of Type 2 driven inflammatory disease progression in COPD, providing a biological rationale for maintained treatment </w:t>
      </w:r>
      <w:r w:rsidR="007241C9">
        <w:rPr>
          <w:rFonts w:eastAsia="Aptos"/>
        </w:rPr>
        <w:t>effect.</w:t>
      </w:r>
    </w:p>
    <w:p w14:paraId="26C0B6C2" w14:textId="5E0D6F94" w:rsidR="00AC64A4" w:rsidRPr="000717E1" w:rsidRDefault="00AC64A4" w:rsidP="00AC64A4">
      <w:pPr>
        <w:pStyle w:val="Caption"/>
        <w:rPr>
          <w:szCs w:val="24"/>
        </w:rPr>
      </w:pPr>
      <w:bookmarkStart w:id="78" w:name="_Ref218837024"/>
      <w:bookmarkStart w:id="79" w:name="_Toc213082255"/>
      <w:r w:rsidRPr="000717E1">
        <w:lastRenderedPageBreak/>
        <w:t xml:space="preserve">Figure </w:t>
      </w:r>
      <w:fldSimple w:instr=" SEQ Figure \* ARABIC ">
        <w:r w:rsidR="00281F45">
          <w:rPr>
            <w:noProof/>
          </w:rPr>
          <w:t>3</w:t>
        </w:r>
      </w:fldSimple>
      <w:bookmarkEnd w:id="78"/>
      <w:r w:rsidRPr="000717E1">
        <w:t xml:space="preserve">: </w:t>
      </w:r>
      <w:r w:rsidRPr="000717E1">
        <w:rPr>
          <w:rStyle w:val="CommentReference"/>
          <w:b/>
          <w:szCs w:val="24"/>
        </w:rPr>
        <w:t>Representation of treatment effect for FEV1 applied in the economic model</w:t>
      </w:r>
      <w:bookmarkEnd w:id="79"/>
    </w:p>
    <w:p w14:paraId="4A300452" w14:textId="77777777" w:rsidR="00AC64A4" w:rsidRPr="001F3F0F" w:rsidRDefault="00AC64A4" w:rsidP="00AC64A4">
      <w:pPr>
        <w:pStyle w:val="3-BodyText"/>
        <w:numPr>
          <w:ilvl w:val="0"/>
          <w:numId w:val="0"/>
        </w:numPr>
        <w:rPr>
          <w:rFonts w:eastAsia="Calibri"/>
          <w:iCs/>
        </w:rPr>
      </w:pPr>
      <w:r w:rsidRPr="000717E1">
        <w:rPr>
          <w:rStyle w:val="CaptionChar"/>
          <w:noProof/>
        </w:rPr>
        <w:drawing>
          <wp:inline distT="0" distB="0" distL="0" distR="0" wp14:anchorId="4AEA49FE" wp14:editId="1A08F90B">
            <wp:extent cx="5668465" cy="2257134"/>
            <wp:effectExtent l="19050" t="19050" r="27940" b="10160"/>
            <wp:docPr id="490906375" name="Picture 28" descr="Figure 3: Representation of treatment effect for FEV1 applied in the economic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906375" name="Picture 28" descr="Figure 3: Representation of treatment effect for FEV1 applied in the economic model"/>
                    <pic:cNvPicPr>
                      <a:picLocks noChangeAspect="1" noChangeArrowheads="1"/>
                    </pic:cNvPicPr>
                  </pic:nvPicPr>
                  <pic:blipFill rotWithShape="1">
                    <a:blip r:embed="rId12">
                      <a:extLst>
                        <a:ext uri="{28A0092B-C50C-407E-A947-70E740481C1C}">
                          <a14:useLocalDpi xmlns:a14="http://schemas.microsoft.com/office/drawing/2010/main" val="0"/>
                        </a:ext>
                      </a:extLst>
                    </a:blip>
                    <a:srcRect/>
                    <a:stretch/>
                  </pic:blipFill>
                  <pic:spPr bwMode="auto">
                    <a:xfrm>
                      <a:off x="0" y="0"/>
                      <a:ext cx="5669549" cy="2257566"/>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2F22A172" w14:textId="77777777" w:rsidR="00AC64A4" w:rsidRPr="000717E1" w:rsidRDefault="00AC64A4" w:rsidP="00AC64A4">
      <w:pPr>
        <w:pStyle w:val="FooterTableFigure"/>
      </w:pPr>
      <w:r w:rsidRPr="000717E1">
        <w:t>Source: Figure 3.4-2, p 143 of the submission.</w:t>
      </w:r>
    </w:p>
    <w:p w14:paraId="5E985C38" w14:textId="77777777" w:rsidR="00AC64A4" w:rsidRPr="000717E1" w:rsidRDefault="00AC64A4" w:rsidP="00AC64A4">
      <w:pPr>
        <w:pStyle w:val="FooterTableFigure"/>
      </w:pPr>
      <w:r w:rsidRPr="000717E1">
        <w:t xml:space="preserve">FEV1 = forced expiratory volume in 1 second. </w:t>
      </w:r>
    </w:p>
    <w:p w14:paraId="7E10044E" w14:textId="34E053AF" w:rsidR="00AC64A4" w:rsidRPr="001F3F0F" w:rsidRDefault="00AC64A4" w:rsidP="00F14160">
      <w:pPr>
        <w:pStyle w:val="3-BodyText"/>
        <w:rPr>
          <w:bCs/>
          <w:iCs/>
        </w:rPr>
      </w:pPr>
      <w:bookmarkStart w:id="80" w:name="_Ref221765881"/>
      <w:bookmarkStart w:id="81" w:name="_Ref222840667"/>
      <w:r w:rsidRPr="000717E1">
        <w:t xml:space="preserve">The submission applied a case fatality rate (CFR) of 15.6% per severe exacerbation from </w:t>
      </w:r>
      <w:proofErr w:type="spellStart"/>
      <w:r w:rsidRPr="000717E1">
        <w:t>Hoogend</w:t>
      </w:r>
      <w:r w:rsidR="00E0526D" w:rsidRPr="000717E1">
        <w:t>or</w:t>
      </w:r>
      <w:r w:rsidRPr="000717E1">
        <w:t>n</w:t>
      </w:r>
      <w:proofErr w:type="spellEnd"/>
      <w:r w:rsidRPr="000717E1">
        <w:t xml:space="preserve"> et al. 2011 in addition to the standardised mortality rates (SMRs) for COPD estimated from Whittaker et al. 2024.</w:t>
      </w:r>
      <w:r w:rsidRPr="000717E1">
        <w:rPr>
          <w:bCs/>
        </w:rPr>
        <w:t xml:space="preserve"> Including a separate CFR for severe exacerbations in addition to SMRs (which have already accounted for deaths due to severe exacerbations) double counts the mortality impact of severe exacerbations, biasing the survival estimates in favour of the dupilumab arm. Removing the CFR for severe exacerbations from the base case increased the ICER to $</w:t>
      </w:r>
      <w:r w:rsidR="00E05B7A">
        <w:rPr>
          <w:bCs/>
        </w:rPr>
        <w:t xml:space="preserve">75,000 to </w:t>
      </w:r>
      <w:r w:rsidR="00E05B7A">
        <w:rPr>
          <w:bCs/>
        </w:rPr>
        <w:br/>
        <w:t>&lt; $95,000</w:t>
      </w:r>
      <w:r w:rsidRPr="000717E1">
        <w:rPr>
          <w:bCs/>
        </w:rPr>
        <w:t>/QALY.</w:t>
      </w:r>
      <w:r w:rsidR="00243AFE" w:rsidRPr="000717E1">
        <w:rPr>
          <w:bCs/>
        </w:rPr>
        <w:t xml:space="preserve"> </w:t>
      </w:r>
      <w:r w:rsidR="00243AFE" w:rsidRPr="001F3F0F">
        <w:rPr>
          <w:bCs/>
          <w:iCs/>
        </w:rPr>
        <w:t>The</w:t>
      </w:r>
      <w:r w:rsidR="008776A1" w:rsidRPr="001F3F0F">
        <w:rPr>
          <w:bCs/>
          <w:iCs/>
        </w:rPr>
        <w:t xml:space="preserve"> </w:t>
      </w:r>
      <w:r w:rsidR="00374723" w:rsidRPr="001F3F0F">
        <w:rPr>
          <w:bCs/>
          <w:iCs/>
        </w:rPr>
        <w:t xml:space="preserve">PSCR </w:t>
      </w:r>
      <w:r w:rsidR="00111ED9" w:rsidRPr="001F3F0F">
        <w:rPr>
          <w:bCs/>
          <w:iCs/>
        </w:rPr>
        <w:t>highlighted</w:t>
      </w:r>
      <w:r w:rsidR="00226446" w:rsidRPr="001F3F0F">
        <w:rPr>
          <w:bCs/>
          <w:iCs/>
        </w:rPr>
        <w:t xml:space="preserve"> </w:t>
      </w:r>
      <w:r w:rsidR="00917B1F" w:rsidRPr="001F3F0F">
        <w:rPr>
          <w:bCs/>
          <w:iCs/>
        </w:rPr>
        <w:t xml:space="preserve">that </w:t>
      </w:r>
      <w:r w:rsidR="00B303A0" w:rsidRPr="001F3F0F">
        <w:rPr>
          <w:bCs/>
          <w:iCs/>
        </w:rPr>
        <w:t>exacerbations were associated with an increased risk of death and that</w:t>
      </w:r>
      <w:r w:rsidR="00B52FA9" w:rsidRPr="001F3F0F">
        <w:rPr>
          <w:bCs/>
          <w:iCs/>
        </w:rPr>
        <w:t xml:space="preserve"> </w:t>
      </w:r>
      <w:proofErr w:type="spellStart"/>
      <w:r w:rsidR="00B52FA9" w:rsidRPr="001F3F0F">
        <w:rPr>
          <w:bCs/>
          <w:iCs/>
        </w:rPr>
        <w:t>Hoogendorn</w:t>
      </w:r>
      <w:proofErr w:type="spellEnd"/>
      <w:r w:rsidR="00B52FA9" w:rsidRPr="001F3F0F">
        <w:rPr>
          <w:bCs/>
          <w:iCs/>
        </w:rPr>
        <w:t xml:space="preserve"> </w:t>
      </w:r>
      <w:r w:rsidR="00F47638" w:rsidRPr="001F3F0F">
        <w:rPr>
          <w:bCs/>
          <w:iCs/>
        </w:rPr>
        <w:t>et al</w:t>
      </w:r>
      <w:r w:rsidR="002821E6" w:rsidRPr="001F3F0F">
        <w:rPr>
          <w:bCs/>
          <w:iCs/>
        </w:rPr>
        <w:t>. 2011</w:t>
      </w:r>
      <w:r w:rsidR="00917B1F" w:rsidRPr="001F3F0F">
        <w:rPr>
          <w:bCs/>
          <w:iCs/>
        </w:rPr>
        <w:t xml:space="preserve"> </w:t>
      </w:r>
      <w:r w:rsidR="00684532" w:rsidRPr="001F3F0F">
        <w:rPr>
          <w:bCs/>
          <w:iCs/>
        </w:rPr>
        <w:t>reported both</w:t>
      </w:r>
      <w:r w:rsidR="00B52FA9" w:rsidRPr="001F3F0F">
        <w:rPr>
          <w:bCs/>
          <w:iCs/>
        </w:rPr>
        <w:t xml:space="preserve"> the acute and long-term mortality impacts of hospitalised exacerbations</w:t>
      </w:r>
      <w:r w:rsidR="00B303A0" w:rsidRPr="001F3F0F">
        <w:rPr>
          <w:bCs/>
          <w:iCs/>
        </w:rPr>
        <w:t xml:space="preserve">. The PSCR stated that the </w:t>
      </w:r>
      <w:r w:rsidR="00B52FA9" w:rsidRPr="001F3F0F">
        <w:rPr>
          <w:bCs/>
          <w:iCs/>
        </w:rPr>
        <w:t>CFR</w:t>
      </w:r>
      <w:r w:rsidR="00905F0D" w:rsidRPr="001F3F0F">
        <w:rPr>
          <w:bCs/>
          <w:iCs/>
        </w:rPr>
        <w:t xml:space="preserve"> applied to the model</w:t>
      </w:r>
      <w:r w:rsidR="00B52FA9" w:rsidRPr="001F3F0F">
        <w:rPr>
          <w:bCs/>
          <w:iCs/>
        </w:rPr>
        <w:t xml:space="preserve"> excludes background mortality due to other causes over this period</w:t>
      </w:r>
      <w:r w:rsidR="00B303A0" w:rsidRPr="001F3F0F">
        <w:rPr>
          <w:bCs/>
          <w:iCs/>
        </w:rPr>
        <w:t xml:space="preserve">, </w:t>
      </w:r>
      <w:r w:rsidR="00F33E35" w:rsidRPr="001F3F0F">
        <w:rPr>
          <w:bCs/>
          <w:iCs/>
        </w:rPr>
        <w:t xml:space="preserve">thus </w:t>
      </w:r>
      <w:r w:rsidR="00B52FA9" w:rsidRPr="001F3F0F">
        <w:rPr>
          <w:bCs/>
          <w:iCs/>
        </w:rPr>
        <w:t>allow</w:t>
      </w:r>
      <w:r w:rsidR="00F33E35" w:rsidRPr="001F3F0F">
        <w:rPr>
          <w:bCs/>
          <w:iCs/>
        </w:rPr>
        <w:t>ing</w:t>
      </w:r>
      <w:r w:rsidR="00905F0D" w:rsidRPr="001F3F0F">
        <w:rPr>
          <w:bCs/>
          <w:iCs/>
        </w:rPr>
        <w:t xml:space="preserve"> for</w:t>
      </w:r>
      <w:r w:rsidR="00B52FA9" w:rsidRPr="001F3F0F">
        <w:rPr>
          <w:bCs/>
          <w:iCs/>
        </w:rPr>
        <w:t xml:space="preserve"> </w:t>
      </w:r>
      <w:r w:rsidR="00F03D55" w:rsidRPr="001F3F0F">
        <w:rPr>
          <w:bCs/>
          <w:iCs/>
        </w:rPr>
        <w:t xml:space="preserve">the inclusion of </w:t>
      </w:r>
      <w:r w:rsidR="00B52FA9" w:rsidRPr="001F3F0F">
        <w:rPr>
          <w:bCs/>
          <w:iCs/>
        </w:rPr>
        <w:t>SMR</w:t>
      </w:r>
      <w:r w:rsidR="005D639C" w:rsidRPr="001F3F0F">
        <w:rPr>
          <w:bCs/>
          <w:iCs/>
        </w:rPr>
        <w:t>s</w:t>
      </w:r>
      <w:r w:rsidR="003417C5" w:rsidRPr="001F3F0F">
        <w:rPr>
          <w:bCs/>
          <w:iCs/>
        </w:rPr>
        <w:t>,</w:t>
      </w:r>
      <w:r w:rsidR="00B52FA9" w:rsidRPr="001F3F0F">
        <w:rPr>
          <w:bCs/>
          <w:iCs/>
        </w:rPr>
        <w:t xml:space="preserve"> which</w:t>
      </w:r>
      <w:r w:rsidR="003417C5" w:rsidRPr="001F3F0F">
        <w:rPr>
          <w:bCs/>
          <w:iCs/>
        </w:rPr>
        <w:t xml:space="preserve"> separately</w:t>
      </w:r>
      <w:r w:rsidR="00B52FA9" w:rsidRPr="001F3F0F">
        <w:rPr>
          <w:bCs/>
          <w:iCs/>
        </w:rPr>
        <w:t xml:space="preserve"> capture background mortality</w:t>
      </w:r>
      <w:r w:rsidR="00637F6F" w:rsidRPr="001F3F0F">
        <w:rPr>
          <w:bCs/>
          <w:iCs/>
        </w:rPr>
        <w:t>.</w:t>
      </w:r>
      <w:r w:rsidR="00B52FA9" w:rsidRPr="001F3F0F">
        <w:rPr>
          <w:bCs/>
          <w:iCs/>
        </w:rPr>
        <w:t xml:space="preserve"> </w:t>
      </w:r>
      <w:r w:rsidR="00C505B7" w:rsidRPr="001F3F0F">
        <w:rPr>
          <w:bCs/>
          <w:iCs/>
        </w:rPr>
        <w:t>T</w:t>
      </w:r>
      <w:r w:rsidR="00817771" w:rsidRPr="001F3F0F">
        <w:rPr>
          <w:bCs/>
          <w:iCs/>
        </w:rPr>
        <w:t xml:space="preserve">he Sub-Committees </w:t>
      </w:r>
      <w:r w:rsidR="00EA4136" w:rsidRPr="001F3F0F">
        <w:rPr>
          <w:bCs/>
          <w:iCs/>
        </w:rPr>
        <w:t>agreed with the PSCR that there is an associat</w:t>
      </w:r>
      <w:r w:rsidR="0087762B" w:rsidRPr="001F3F0F">
        <w:rPr>
          <w:bCs/>
          <w:iCs/>
        </w:rPr>
        <w:t>ion</w:t>
      </w:r>
      <w:r w:rsidR="00EA4136" w:rsidRPr="001F3F0F">
        <w:rPr>
          <w:bCs/>
          <w:iCs/>
        </w:rPr>
        <w:t xml:space="preserve"> between exacerbations and a higher rate of death, however, considered that</w:t>
      </w:r>
      <w:r w:rsidR="00BE6BA9" w:rsidRPr="001F3F0F">
        <w:rPr>
          <w:bCs/>
          <w:iCs/>
        </w:rPr>
        <w:t xml:space="preserve"> </w:t>
      </w:r>
      <w:r w:rsidR="005A1176" w:rsidRPr="001F3F0F">
        <w:rPr>
          <w:bCs/>
          <w:iCs/>
        </w:rPr>
        <w:t xml:space="preserve">the </w:t>
      </w:r>
      <w:r w:rsidR="0011029E" w:rsidRPr="001F3F0F">
        <w:rPr>
          <w:bCs/>
          <w:iCs/>
        </w:rPr>
        <w:t>SMR</w:t>
      </w:r>
      <w:r w:rsidR="005A1176" w:rsidRPr="001F3F0F">
        <w:rPr>
          <w:bCs/>
          <w:iCs/>
        </w:rPr>
        <w:t>s</w:t>
      </w:r>
      <w:r w:rsidR="0011029E" w:rsidRPr="001F3F0F">
        <w:rPr>
          <w:bCs/>
          <w:iCs/>
        </w:rPr>
        <w:t xml:space="preserve"> and CFR do not represent independent risks</w:t>
      </w:r>
      <w:r w:rsidR="00EB0842" w:rsidRPr="001F3F0F">
        <w:rPr>
          <w:bCs/>
          <w:iCs/>
        </w:rPr>
        <w:t xml:space="preserve"> and the increase</w:t>
      </w:r>
      <w:r w:rsidR="005371C1" w:rsidRPr="001F3F0F">
        <w:rPr>
          <w:bCs/>
          <w:iCs/>
        </w:rPr>
        <w:t>d</w:t>
      </w:r>
      <w:r w:rsidR="00EB0842" w:rsidRPr="001F3F0F">
        <w:rPr>
          <w:bCs/>
          <w:iCs/>
        </w:rPr>
        <w:t xml:space="preserve"> risk of death due to exacerbations would</w:t>
      </w:r>
      <w:r w:rsidR="00C505B7" w:rsidRPr="001F3F0F">
        <w:rPr>
          <w:bCs/>
          <w:iCs/>
        </w:rPr>
        <w:t>,</w:t>
      </w:r>
      <w:r w:rsidR="00EB0842" w:rsidRPr="001F3F0F">
        <w:rPr>
          <w:bCs/>
          <w:iCs/>
        </w:rPr>
        <w:t xml:space="preserve"> to </w:t>
      </w:r>
      <w:r w:rsidR="00C505B7" w:rsidRPr="001F3F0F">
        <w:rPr>
          <w:bCs/>
          <w:iCs/>
        </w:rPr>
        <w:t>certain</w:t>
      </w:r>
      <w:r w:rsidR="00EB0842" w:rsidRPr="001F3F0F">
        <w:rPr>
          <w:bCs/>
          <w:iCs/>
        </w:rPr>
        <w:t xml:space="preserve"> degree</w:t>
      </w:r>
      <w:r w:rsidR="00C505B7" w:rsidRPr="001F3F0F">
        <w:rPr>
          <w:bCs/>
          <w:iCs/>
        </w:rPr>
        <w:t>,</w:t>
      </w:r>
      <w:r w:rsidR="00EB0842" w:rsidRPr="001F3F0F">
        <w:rPr>
          <w:bCs/>
          <w:iCs/>
        </w:rPr>
        <w:t xml:space="preserve"> also be captured in the </w:t>
      </w:r>
      <w:r w:rsidR="00EF3BD9" w:rsidRPr="001F3F0F">
        <w:rPr>
          <w:bCs/>
          <w:iCs/>
        </w:rPr>
        <w:t>SMR</w:t>
      </w:r>
      <w:r w:rsidR="00BE6BA9" w:rsidRPr="001F3F0F">
        <w:rPr>
          <w:bCs/>
          <w:iCs/>
        </w:rPr>
        <w:t>s</w:t>
      </w:r>
      <w:r w:rsidR="00EF3BD9" w:rsidRPr="001F3F0F">
        <w:rPr>
          <w:bCs/>
          <w:iCs/>
        </w:rPr>
        <w:t xml:space="preserve">. </w:t>
      </w:r>
      <w:r w:rsidR="00F93987" w:rsidRPr="001F3F0F">
        <w:rPr>
          <w:bCs/>
          <w:iCs/>
        </w:rPr>
        <w:t>The Sub</w:t>
      </w:r>
      <w:r w:rsidR="00EF698B">
        <w:rPr>
          <w:bCs/>
          <w:iCs/>
        </w:rPr>
        <w:noBreakHyphen/>
      </w:r>
      <w:r w:rsidR="00F93987" w:rsidRPr="001F3F0F">
        <w:rPr>
          <w:bCs/>
          <w:iCs/>
        </w:rPr>
        <w:t xml:space="preserve">Committees considered that </w:t>
      </w:r>
      <w:r w:rsidR="00C92AB2" w:rsidRPr="001F3F0F">
        <w:rPr>
          <w:bCs/>
          <w:iCs/>
        </w:rPr>
        <w:t>the inclusion of</w:t>
      </w:r>
      <w:r w:rsidR="006229F8" w:rsidRPr="001F3F0F">
        <w:rPr>
          <w:bCs/>
          <w:iCs/>
        </w:rPr>
        <w:t xml:space="preserve"> a CFR of 15.6% was </w:t>
      </w:r>
      <w:r w:rsidR="007931DC" w:rsidRPr="001F3F0F">
        <w:rPr>
          <w:bCs/>
          <w:iCs/>
        </w:rPr>
        <w:t xml:space="preserve">likely </w:t>
      </w:r>
      <w:r w:rsidR="006229F8" w:rsidRPr="001F3F0F">
        <w:rPr>
          <w:bCs/>
          <w:iCs/>
        </w:rPr>
        <w:t xml:space="preserve">too optimistic, but also considered removing it may be </w:t>
      </w:r>
      <w:r w:rsidR="00D101F0" w:rsidRPr="001F3F0F">
        <w:rPr>
          <w:bCs/>
          <w:iCs/>
        </w:rPr>
        <w:t xml:space="preserve">too conservative. </w:t>
      </w:r>
      <w:bookmarkEnd w:id="80"/>
      <w:r w:rsidR="00584B62" w:rsidRPr="001F3F0F">
        <w:rPr>
          <w:bCs/>
          <w:iCs/>
        </w:rPr>
        <w:t xml:space="preserve">The Sub-Committees considered a reduction in the </w:t>
      </w:r>
      <w:r w:rsidR="003C0528" w:rsidRPr="001F3F0F">
        <w:rPr>
          <w:bCs/>
          <w:iCs/>
        </w:rPr>
        <w:t xml:space="preserve">CFR input may be appropriate to account for </w:t>
      </w:r>
      <w:r w:rsidR="000E0148" w:rsidRPr="001F3F0F">
        <w:rPr>
          <w:bCs/>
          <w:iCs/>
        </w:rPr>
        <w:t>the likely</w:t>
      </w:r>
      <w:r w:rsidR="003C0528" w:rsidRPr="001F3F0F">
        <w:rPr>
          <w:bCs/>
          <w:iCs/>
        </w:rPr>
        <w:t xml:space="preserve"> double counting</w:t>
      </w:r>
      <w:r w:rsidR="000E0148" w:rsidRPr="001F3F0F">
        <w:rPr>
          <w:bCs/>
          <w:iCs/>
        </w:rPr>
        <w:t xml:space="preserve"> of the mortality impact </w:t>
      </w:r>
      <w:r w:rsidR="0021015F" w:rsidRPr="001F3F0F">
        <w:rPr>
          <w:bCs/>
          <w:iCs/>
        </w:rPr>
        <w:t>of</w:t>
      </w:r>
      <w:r w:rsidR="000E0148" w:rsidRPr="001F3F0F">
        <w:rPr>
          <w:bCs/>
          <w:iCs/>
        </w:rPr>
        <w:t xml:space="preserve"> severe exacerbations.</w:t>
      </w:r>
      <w:bookmarkEnd w:id="81"/>
      <w:r w:rsidR="000E0148" w:rsidRPr="001F3F0F">
        <w:rPr>
          <w:bCs/>
          <w:iCs/>
        </w:rPr>
        <w:t xml:space="preserve"> </w:t>
      </w:r>
      <w:r w:rsidR="00CB21E5">
        <w:rPr>
          <w:bCs/>
          <w:iCs/>
        </w:rPr>
        <w:t xml:space="preserve">The Pre-PBAC Response </w:t>
      </w:r>
      <w:r w:rsidR="00B965FC">
        <w:rPr>
          <w:bCs/>
          <w:iCs/>
        </w:rPr>
        <w:t xml:space="preserve">disagreed </w:t>
      </w:r>
      <w:r w:rsidR="002125FC">
        <w:rPr>
          <w:bCs/>
          <w:iCs/>
        </w:rPr>
        <w:t xml:space="preserve">with the Sub-Committee’s approach to </w:t>
      </w:r>
      <w:r w:rsidR="004C3511">
        <w:rPr>
          <w:bCs/>
          <w:iCs/>
        </w:rPr>
        <w:t xml:space="preserve">reduce the CFR and </w:t>
      </w:r>
      <w:r w:rsidR="00643BB8">
        <w:rPr>
          <w:bCs/>
          <w:iCs/>
        </w:rPr>
        <w:t xml:space="preserve">maintained </w:t>
      </w:r>
      <w:r w:rsidR="00DE2FDF">
        <w:rPr>
          <w:bCs/>
          <w:iCs/>
        </w:rPr>
        <w:t>that</w:t>
      </w:r>
      <w:r w:rsidR="00643BB8">
        <w:rPr>
          <w:bCs/>
          <w:iCs/>
        </w:rPr>
        <w:t xml:space="preserve"> a CFR of 15.6% </w:t>
      </w:r>
      <w:r w:rsidR="001E7EE8">
        <w:rPr>
          <w:bCs/>
          <w:iCs/>
        </w:rPr>
        <w:t>was appropriate</w:t>
      </w:r>
      <w:r w:rsidR="00176392">
        <w:rPr>
          <w:bCs/>
          <w:iCs/>
        </w:rPr>
        <w:t xml:space="preserve">. </w:t>
      </w:r>
      <w:r w:rsidR="008966B2">
        <w:rPr>
          <w:bCs/>
          <w:iCs/>
        </w:rPr>
        <w:t xml:space="preserve">The Pre-PBAC Response </w:t>
      </w:r>
      <w:r w:rsidR="00005BDA">
        <w:rPr>
          <w:bCs/>
          <w:iCs/>
        </w:rPr>
        <w:t>argued</w:t>
      </w:r>
      <w:r w:rsidR="008966B2">
        <w:rPr>
          <w:bCs/>
          <w:iCs/>
        </w:rPr>
        <w:t xml:space="preserve"> that </w:t>
      </w:r>
      <w:r w:rsidR="00934ED3">
        <w:rPr>
          <w:bCs/>
          <w:iCs/>
        </w:rPr>
        <w:t>the CFR</w:t>
      </w:r>
      <w:r w:rsidR="0001380B">
        <w:rPr>
          <w:bCs/>
          <w:iCs/>
        </w:rPr>
        <w:t xml:space="preserve"> </w:t>
      </w:r>
      <w:r w:rsidR="003F033C">
        <w:rPr>
          <w:bCs/>
          <w:iCs/>
        </w:rPr>
        <w:t xml:space="preserve">applied to the economic model </w:t>
      </w:r>
      <w:r w:rsidR="0001380B">
        <w:rPr>
          <w:bCs/>
          <w:iCs/>
        </w:rPr>
        <w:t xml:space="preserve">only captures </w:t>
      </w:r>
      <w:r w:rsidR="00727807">
        <w:rPr>
          <w:bCs/>
          <w:iCs/>
        </w:rPr>
        <w:t xml:space="preserve">the </w:t>
      </w:r>
      <w:r w:rsidR="0001380B">
        <w:rPr>
          <w:bCs/>
          <w:iCs/>
        </w:rPr>
        <w:t xml:space="preserve">excess risk of exacerbations </w:t>
      </w:r>
      <w:r w:rsidR="00727807">
        <w:rPr>
          <w:bCs/>
          <w:iCs/>
        </w:rPr>
        <w:t xml:space="preserve">and can therefore be coupled with </w:t>
      </w:r>
      <w:r w:rsidR="009058D1">
        <w:rPr>
          <w:bCs/>
          <w:iCs/>
        </w:rPr>
        <w:t xml:space="preserve">a </w:t>
      </w:r>
      <w:r w:rsidR="00725427">
        <w:rPr>
          <w:bCs/>
          <w:iCs/>
        </w:rPr>
        <w:t xml:space="preserve">background SMR, which was derived from a general COPD population with lower </w:t>
      </w:r>
      <w:r w:rsidR="00B965FC">
        <w:rPr>
          <w:bCs/>
          <w:iCs/>
        </w:rPr>
        <w:t>exacerbation</w:t>
      </w:r>
      <w:r w:rsidR="00725427">
        <w:rPr>
          <w:bCs/>
          <w:iCs/>
        </w:rPr>
        <w:t xml:space="preserve"> and mortality risk than the proposed population. </w:t>
      </w:r>
      <w:r w:rsidR="00B30AF8">
        <w:rPr>
          <w:bCs/>
          <w:iCs/>
        </w:rPr>
        <w:t>The Pre-PBAC Response</w:t>
      </w:r>
      <w:r w:rsidR="00B43375">
        <w:rPr>
          <w:bCs/>
          <w:iCs/>
        </w:rPr>
        <w:t xml:space="preserve"> also</w:t>
      </w:r>
      <w:r w:rsidR="00B30AF8">
        <w:rPr>
          <w:bCs/>
          <w:iCs/>
        </w:rPr>
        <w:t xml:space="preserve"> noted that when </w:t>
      </w:r>
      <w:r w:rsidR="00630378">
        <w:rPr>
          <w:bCs/>
          <w:iCs/>
        </w:rPr>
        <w:t>SMR = 1</w:t>
      </w:r>
      <w:r w:rsidR="00950F8B">
        <w:rPr>
          <w:bCs/>
          <w:iCs/>
        </w:rPr>
        <w:t xml:space="preserve"> the ICER</w:t>
      </w:r>
      <w:r w:rsidR="009221C8">
        <w:rPr>
          <w:bCs/>
          <w:iCs/>
        </w:rPr>
        <w:t xml:space="preserve"> </w:t>
      </w:r>
      <w:r w:rsidR="008E615F">
        <w:rPr>
          <w:bCs/>
          <w:iCs/>
        </w:rPr>
        <w:t>is reduced (</w:t>
      </w:r>
      <w:r w:rsidR="00B43375">
        <w:rPr>
          <w:bCs/>
          <w:iCs/>
        </w:rPr>
        <w:t>$</w:t>
      </w:r>
      <w:r w:rsidR="00E05B7A">
        <w:rPr>
          <w:bCs/>
          <w:iCs/>
        </w:rPr>
        <w:t>35,000 to &lt; $45,000</w:t>
      </w:r>
      <w:r w:rsidR="00B43375">
        <w:rPr>
          <w:bCs/>
          <w:iCs/>
        </w:rPr>
        <w:t>/QALY gained).</w:t>
      </w:r>
    </w:p>
    <w:p w14:paraId="4782157A" w14:textId="46F414E7" w:rsidR="00AC64A4" w:rsidRPr="00445CAA" w:rsidRDefault="00AC64A4" w:rsidP="00AC64A4">
      <w:pPr>
        <w:pStyle w:val="3-BodyText"/>
      </w:pPr>
      <w:r w:rsidRPr="000717E1">
        <w:rPr>
          <w:rFonts w:cstheme="minorHAnsi"/>
        </w:rPr>
        <w:lastRenderedPageBreak/>
        <w:t xml:space="preserve">The cost of exacerbations and the COPD health states were determined from a micro-costing analysis based on the frequency of health care resource use reported by clinicians in the METIS survey </w:t>
      </w:r>
      <w:r w:rsidRPr="00445CAA">
        <w:rPr>
          <w:rFonts w:cstheme="minorHAnsi"/>
        </w:rPr>
        <w:t xml:space="preserve">(sponsor commissioned). The annual costs for moderate and severe COPD health states were estimated to be $482 and $1,096, respectively. The METIS survey did not ask about resource use for treatment of patients in the mild or very severe COPD health states. The cost of very severe COPD was assumed to be twice the cost of severe COPD, while the cost of mild COPD was assumed to be half that of a moderate COPD. The submission did not provide any justifications for these assumptions. On balance, a higher proportion of events in the comparator arm were very severe, and a higher proportion of events in the dupilumab arm were mild, thus potentially biasing the analysis in favour of dupilumab (if those costs are over and underestimated respectively). </w:t>
      </w:r>
      <w:r w:rsidRPr="00445CAA">
        <w:rPr>
          <w:szCs w:val="24"/>
        </w:rPr>
        <w:t>The cost of a moderate exacerbation was $752, and the cost of a severe exacerbation was $10,552 (hospital costs of $8,312.66 and non</w:t>
      </w:r>
      <w:r w:rsidR="00EF698B" w:rsidRPr="00445CAA">
        <w:rPr>
          <w:szCs w:val="24"/>
        </w:rPr>
        <w:noBreakHyphen/>
      </w:r>
      <w:r w:rsidRPr="00445CAA">
        <w:rPr>
          <w:szCs w:val="24"/>
        </w:rPr>
        <w:t>hospital costs of $2,239.50).</w:t>
      </w:r>
      <w:r w:rsidR="00CD4509" w:rsidRPr="00445CAA">
        <w:rPr>
          <w:szCs w:val="24"/>
        </w:rPr>
        <w:t xml:space="preserve"> </w:t>
      </w:r>
      <w:r w:rsidR="006E0029" w:rsidRPr="00445CAA">
        <w:rPr>
          <w:szCs w:val="24"/>
        </w:rPr>
        <w:t xml:space="preserve"> </w:t>
      </w:r>
    </w:p>
    <w:p w14:paraId="647ECDF2" w14:textId="3B9110B3" w:rsidR="00AC64A4" w:rsidRPr="000717E1" w:rsidRDefault="00AC64A4" w:rsidP="00AC64A4">
      <w:pPr>
        <w:pStyle w:val="3-BodyText"/>
      </w:pPr>
      <w:r w:rsidRPr="000717E1">
        <w:rPr>
          <w:szCs w:val="24"/>
        </w:rPr>
        <w:t xml:space="preserve">The model incorporated utility values according to COPD health state and disutilities associated with exacerbations. Health state specific utility values were derived from NOTUS collected using EQ-5D-5L at baseline, week 24 and week 52. The submission noted the BOREAS trial collected the EQ-5D-5L at baseline only and hence this was not included in the analysis. EQ-5D-5L utilities were valued using Australian tariffs (Norman 2023). The submission did not use the treatment group specific utilities, instead the economic model applied the mean values for all patients by health state. </w:t>
      </w:r>
      <w:r w:rsidR="00EB13D7" w:rsidRPr="001F3F0F">
        <w:rPr>
          <w:iCs/>
          <w:szCs w:val="24"/>
        </w:rPr>
        <w:t>The</w:t>
      </w:r>
      <w:r w:rsidR="00820A6B" w:rsidRPr="001F3F0F">
        <w:rPr>
          <w:iCs/>
          <w:szCs w:val="24"/>
        </w:rPr>
        <w:t xml:space="preserve"> Sub-Committees agreed with the</w:t>
      </w:r>
      <w:r w:rsidR="00EB13D7" w:rsidRPr="001F3F0F">
        <w:rPr>
          <w:iCs/>
          <w:szCs w:val="24"/>
        </w:rPr>
        <w:t xml:space="preserve"> evaluation that while</w:t>
      </w:r>
      <w:r w:rsidR="00EB13D7" w:rsidRPr="000717E1">
        <w:rPr>
          <w:szCs w:val="24"/>
        </w:rPr>
        <w:t xml:space="preserve"> </w:t>
      </w:r>
      <w:r w:rsidRPr="000717E1">
        <w:rPr>
          <w:szCs w:val="24"/>
        </w:rPr>
        <w:t xml:space="preserve">the approach applied in the submission was reasonable, the values applied do not </w:t>
      </w:r>
      <w:r w:rsidR="00885435" w:rsidRPr="000717E1">
        <w:rPr>
          <w:szCs w:val="24"/>
        </w:rPr>
        <w:t>appear</w:t>
      </w:r>
      <w:r w:rsidRPr="000717E1">
        <w:rPr>
          <w:szCs w:val="24"/>
        </w:rPr>
        <w:t xml:space="preserve"> realistic; values for mild and moderate COPD are consistent/higher than values for the general population. The submission stated exacerbation events have a profound impact on the HRQoL of patients with COPD and applied disutility to each exacerbation event. The base case applied the values obtained in a time-trade-off study by Rutten Van </w:t>
      </w:r>
      <w:proofErr w:type="spellStart"/>
      <w:r w:rsidRPr="000717E1">
        <w:rPr>
          <w:szCs w:val="24"/>
        </w:rPr>
        <w:t>Molken</w:t>
      </w:r>
      <w:proofErr w:type="spellEnd"/>
      <w:r w:rsidRPr="000717E1">
        <w:rPr>
          <w:szCs w:val="24"/>
        </w:rPr>
        <w:t xml:space="preserve"> et al. 2009 conducted in the general population. </w:t>
      </w:r>
      <w:r w:rsidR="0006644E" w:rsidRPr="001F3F0F">
        <w:rPr>
          <w:iCs/>
          <w:szCs w:val="24"/>
        </w:rPr>
        <w:t xml:space="preserve">The </w:t>
      </w:r>
      <w:r w:rsidR="000448CC" w:rsidRPr="001F3F0F">
        <w:rPr>
          <w:iCs/>
          <w:szCs w:val="24"/>
        </w:rPr>
        <w:t>Sub-Com</w:t>
      </w:r>
      <w:r w:rsidR="00B20462" w:rsidRPr="001F3F0F">
        <w:rPr>
          <w:iCs/>
          <w:szCs w:val="24"/>
        </w:rPr>
        <w:t>m</w:t>
      </w:r>
      <w:r w:rsidR="000448CC" w:rsidRPr="001F3F0F">
        <w:rPr>
          <w:iCs/>
          <w:szCs w:val="24"/>
        </w:rPr>
        <w:t xml:space="preserve">ittees agreed with the </w:t>
      </w:r>
      <w:r w:rsidR="0006644E" w:rsidRPr="001F3F0F">
        <w:rPr>
          <w:iCs/>
          <w:szCs w:val="24"/>
        </w:rPr>
        <w:t xml:space="preserve">evaluation </w:t>
      </w:r>
      <w:r w:rsidR="00782961" w:rsidRPr="001F3F0F">
        <w:rPr>
          <w:iCs/>
          <w:szCs w:val="24"/>
        </w:rPr>
        <w:t>that</w:t>
      </w:r>
      <w:r w:rsidR="0006644E" w:rsidRPr="001F3F0F">
        <w:rPr>
          <w:iCs/>
          <w:szCs w:val="24"/>
        </w:rPr>
        <w:t xml:space="preserve"> the a</w:t>
      </w:r>
      <w:r w:rsidRPr="001F3F0F">
        <w:rPr>
          <w:iCs/>
          <w:szCs w:val="24"/>
        </w:rPr>
        <w:t>pplication</w:t>
      </w:r>
      <w:r w:rsidRPr="000717E1">
        <w:rPr>
          <w:szCs w:val="24"/>
        </w:rPr>
        <w:t xml:space="preserve"> of an additional utility benefit for dupilumab over and above the COPD health state specific utility values is not reasonable as the trial-based utilities would have already accounted for exacerbations. Removal of exacerbation specific utility decrements from the model had only a minor impact on the ICER.</w:t>
      </w:r>
    </w:p>
    <w:p w14:paraId="6FAFBAF1" w14:textId="17884804" w:rsidR="00AC64A4" w:rsidRPr="000717E1" w:rsidRDefault="00AC64A4" w:rsidP="00AC64A4">
      <w:pPr>
        <w:pStyle w:val="3-BodyText"/>
      </w:pPr>
      <w:r w:rsidRPr="000717E1">
        <w:t xml:space="preserve">A summary of the key drivers of the model is presented in </w:t>
      </w:r>
      <w:r w:rsidRPr="000717E1">
        <w:fldChar w:fldCharType="begin"/>
      </w:r>
      <w:r w:rsidRPr="000717E1">
        <w:instrText xml:space="preserve"> REF _Ref104805122 \h  \* MERGEFORMAT </w:instrText>
      </w:r>
      <w:r w:rsidRPr="000717E1">
        <w:fldChar w:fldCharType="separate"/>
      </w:r>
      <w:r w:rsidR="00281F45" w:rsidRPr="000717E1">
        <w:t xml:space="preserve">Table </w:t>
      </w:r>
      <w:r w:rsidR="00281F45">
        <w:t>13</w:t>
      </w:r>
      <w:r w:rsidRPr="000717E1">
        <w:fldChar w:fldCharType="end"/>
      </w:r>
      <w:r w:rsidRPr="000717E1">
        <w:t xml:space="preserve">. </w:t>
      </w:r>
    </w:p>
    <w:p w14:paraId="43A39D52" w14:textId="799287FA" w:rsidR="00AC64A4" w:rsidRPr="000717E1" w:rsidRDefault="00AC64A4" w:rsidP="00AC64A4">
      <w:pPr>
        <w:pStyle w:val="Caption"/>
        <w:jc w:val="left"/>
        <w:rPr>
          <w:rStyle w:val="CommentReference"/>
          <w:b/>
          <w:szCs w:val="24"/>
        </w:rPr>
      </w:pPr>
      <w:bookmarkStart w:id="82" w:name="_Ref104805122"/>
      <w:r w:rsidRPr="000717E1">
        <w:lastRenderedPageBreak/>
        <w:t xml:space="preserve">Table </w:t>
      </w:r>
      <w:fldSimple w:instr=" SEQ Table \* ARABIC ">
        <w:r w:rsidR="00281F45">
          <w:rPr>
            <w:noProof/>
          </w:rPr>
          <w:t>13</w:t>
        </w:r>
      </w:fldSimple>
      <w:bookmarkEnd w:id="82"/>
      <w:r w:rsidRPr="000717E1">
        <w:t>:</w:t>
      </w:r>
      <w:r w:rsidRPr="000717E1">
        <w:rPr>
          <w:rStyle w:val="CommentReference"/>
          <w:b/>
          <w:szCs w:val="24"/>
        </w:rPr>
        <w:t xml:space="preserve">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3: Key drivers of the model"/>
      </w:tblPr>
      <w:tblGrid>
        <w:gridCol w:w="1128"/>
        <w:gridCol w:w="3829"/>
        <w:gridCol w:w="4053"/>
      </w:tblGrid>
      <w:tr w:rsidR="00AC64A4" w:rsidRPr="000717E1" w14:paraId="1B81F311" w14:textId="77777777" w:rsidTr="00E13A0D">
        <w:trPr>
          <w:tblHeader/>
        </w:trPr>
        <w:tc>
          <w:tcPr>
            <w:tcW w:w="626" w:type="pct"/>
            <w:vAlign w:val="center"/>
          </w:tcPr>
          <w:p w14:paraId="76D730AC" w14:textId="77777777" w:rsidR="00AC64A4" w:rsidRPr="000717E1" w:rsidRDefault="00AC64A4" w:rsidP="00334AFB">
            <w:pPr>
              <w:pStyle w:val="In-tableHeading"/>
            </w:pPr>
            <w:r w:rsidRPr="000717E1">
              <w:t>Description</w:t>
            </w:r>
          </w:p>
        </w:tc>
        <w:tc>
          <w:tcPr>
            <w:tcW w:w="2125" w:type="pct"/>
            <w:vAlign w:val="center"/>
          </w:tcPr>
          <w:p w14:paraId="3873272D" w14:textId="77777777" w:rsidR="00AC64A4" w:rsidRPr="000717E1" w:rsidRDefault="00AC64A4" w:rsidP="00334AFB">
            <w:pPr>
              <w:pStyle w:val="In-tableHeading"/>
            </w:pPr>
            <w:r w:rsidRPr="000717E1">
              <w:t>Method/Value</w:t>
            </w:r>
          </w:p>
        </w:tc>
        <w:tc>
          <w:tcPr>
            <w:tcW w:w="2249" w:type="pct"/>
            <w:vAlign w:val="center"/>
          </w:tcPr>
          <w:p w14:paraId="34B2CA61" w14:textId="77777777" w:rsidR="00AC64A4" w:rsidRPr="000717E1" w:rsidRDefault="00AC64A4" w:rsidP="00334AFB">
            <w:pPr>
              <w:pStyle w:val="In-tableHeading"/>
            </w:pPr>
            <w:r w:rsidRPr="000717E1">
              <w:t>Impact</w:t>
            </w:r>
          </w:p>
          <w:p w14:paraId="4A0ACDB2" w14:textId="0BCC1CCA" w:rsidR="00AC64A4" w:rsidRPr="000717E1" w:rsidRDefault="00AC64A4" w:rsidP="00334AFB">
            <w:pPr>
              <w:pStyle w:val="In-tableHeading"/>
            </w:pPr>
            <w:r w:rsidRPr="000717E1">
              <w:t>Base case: $</w:t>
            </w:r>
            <w:r w:rsidR="00331ADA" w:rsidRPr="00331ADA">
              <w:rPr>
                <w:sz w:val="2"/>
                <w:highlight w:val="black"/>
              </w:rPr>
              <w:t>redacted content</w:t>
            </w:r>
            <w:r w:rsidR="00C555B5">
              <w:rPr>
                <w:vertAlign w:val="superscript"/>
              </w:rPr>
              <w:t>1</w:t>
            </w:r>
            <w:r w:rsidRPr="000717E1">
              <w:t>QALY gained</w:t>
            </w:r>
          </w:p>
        </w:tc>
      </w:tr>
      <w:tr w:rsidR="00AC64A4" w:rsidRPr="000717E1" w14:paraId="44B6D909" w14:textId="77777777" w:rsidTr="00E13A0D">
        <w:tc>
          <w:tcPr>
            <w:tcW w:w="626" w:type="pct"/>
            <w:vAlign w:val="center"/>
          </w:tcPr>
          <w:p w14:paraId="63569F00" w14:textId="77777777" w:rsidR="00AC64A4" w:rsidRPr="000717E1" w:rsidRDefault="00AC64A4" w:rsidP="00E13A0D">
            <w:pPr>
              <w:pStyle w:val="TableText0"/>
              <w:rPr>
                <w:sz w:val="20"/>
                <w:szCs w:val="20"/>
              </w:rPr>
            </w:pPr>
            <w:r w:rsidRPr="000717E1">
              <w:rPr>
                <w:sz w:val="20"/>
                <w:szCs w:val="20"/>
              </w:rPr>
              <w:t>Case fatality rate (CFR)</w:t>
            </w:r>
          </w:p>
        </w:tc>
        <w:tc>
          <w:tcPr>
            <w:tcW w:w="2125" w:type="pct"/>
            <w:vAlign w:val="center"/>
          </w:tcPr>
          <w:p w14:paraId="0D1EBC50" w14:textId="151D79B5" w:rsidR="00AC64A4" w:rsidRPr="000717E1" w:rsidRDefault="00AC64A4" w:rsidP="00E13A0D">
            <w:pPr>
              <w:pStyle w:val="TableText0"/>
              <w:rPr>
                <w:sz w:val="20"/>
                <w:szCs w:val="20"/>
              </w:rPr>
            </w:pPr>
            <w:r w:rsidRPr="000717E1">
              <w:rPr>
                <w:sz w:val="20"/>
                <w:szCs w:val="20"/>
              </w:rPr>
              <w:t>15.6% per severe exacerbation.</w:t>
            </w:r>
            <w:r w:rsidR="00E140D7" w:rsidRPr="000717E1">
              <w:rPr>
                <w:sz w:val="20"/>
                <w:szCs w:val="20"/>
              </w:rPr>
              <w:t xml:space="preserve"> </w:t>
            </w:r>
            <w:r w:rsidR="002541BF" w:rsidRPr="001F3F0F">
              <w:rPr>
                <w:bCs/>
                <w:iCs/>
              </w:rPr>
              <w:t xml:space="preserve">The Sub-Committees considered a reduction in the CFR input may be appropriate to account for the likely double counting of the mortality impact of severe exacerbations. </w:t>
            </w:r>
          </w:p>
        </w:tc>
        <w:tc>
          <w:tcPr>
            <w:tcW w:w="2249" w:type="pct"/>
            <w:vAlign w:val="center"/>
          </w:tcPr>
          <w:p w14:paraId="6F2AFF75" w14:textId="77777777" w:rsidR="00AC64A4" w:rsidRPr="000717E1" w:rsidRDefault="00AC64A4" w:rsidP="00E13A0D">
            <w:pPr>
              <w:pStyle w:val="TableText0"/>
              <w:rPr>
                <w:rFonts w:cs="Arial"/>
                <w:color w:val="0066FF"/>
                <w:sz w:val="20"/>
                <w:szCs w:val="20"/>
              </w:rPr>
            </w:pPr>
            <w:r w:rsidRPr="000717E1">
              <w:rPr>
                <w:sz w:val="20"/>
                <w:szCs w:val="20"/>
              </w:rPr>
              <w:t xml:space="preserve">High, favoured dupilumab </w:t>
            </w:r>
          </w:p>
          <w:p w14:paraId="5F9726C2" w14:textId="34AA0506" w:rsidR="00AC64A4" w:rsidRPr="00902C1D" w:rsidRDefault="00AC64A4" w:rsidP="00E13A0D">
            <w:pPr>
              <w:pStyle w:val="TableText0"/>
              <w:rPr>
                <w:sz w:val="20"/>
                <w:szCs w:val="20"/>
                <w:vertAlign w:val="superscript"/>
              </w:rPr>
            </w:pPr>
            <w:r w:rsidRPr="000717E1">
              <w:rPr>
                <w:sz w:val="20"/>
                <w:szCs w:val="20"/>
              </w:rPr>
              <w:t>Removing the CFR from the base case increased the ICER to $</w:t>
            </w:r>
            <w:r w:rsidR="00331ADA" w:rsidRPr="00331ADA">
              <w:rPr>
                <w:sz w:val="2"/>
                <w:szCs w:val="20"/>
                <w:highlight w:val="black"/>
              </w:rPr>
              <w:t>redacted content</w:t>
            </w:r>
            <w:r w:rsidR="00902C1D">
              <w:rPr>
                <w:sz w:val="20"/>
                <w:szCs w:val="20"/>
                <w:vertAlign w:val="superscript"/>
              </w:rPr>
              <w:t>2</w:t>
            </w:r>
          </w:p>
        </w:tc>
      </w:tr>
      <w:tr w:rsidR="00AC64A4" w:rsidRPr="000717E1" w14:paraId="532F15A2" w14:textId="77777777" w:rsidTr="00E13A0D">
        <w:tc>
          <w:tcPr>
            <w:tcW w:w="626" w:type="pct"/>
            <w:vAlign w:val="center"/>
          </w:tcPr>
          <w:p w14:paraId="35B11213" w14:textId="77777777" w:rsidR="00AC64A4" w:rsidRPr="000717E1" w:rsidRDefault="00AC64A4" w:rsidP="00E13A0D">
            <w:pPr>
              <w:pStyle w:val="TableText0"/>
              <w:rPr>
                <w:sz w:val="20"/>
                <w:szCs w:val="20"/>
              </w:rPr>
            </w:pPr>
            <w:r w:rsidRPr="000717E1">
              <w:rPr>
                <w:sz w:val="20"/>
                <w:szCs w:val="20"/>
              </w:rPr>
              <w:t>Time horizon</w:t>
            </w:r>
          </w:p>
        </w:tc>
        <w:tc>
          <w:tcPr>
            <w:tcW w:w="2125" w:type="pct"/>
            <w:vAlign w:val="center"/>
          </w:tcPr>
          <w:p w14:paraId="650F3AA4" w14:textId="4944C177" w:rsidR="00AC64A4" w:rsidRPr="000717E1" w:rsidRDefault="00AC64A4" w:rsidP="00E13A0D">
            <w:pPr>
              <w:pStyle w:val="TableText0"/>
              <w:rPr>
                <w:sz w:val="20"/>
                <w:szCs w:val="20"/>
              </w:rPr>
            </w:pPr>
            <w:r w:rsidRPr="000717E1">
              <w:rPr>
                <w:sz w:val="20"/>
                <w:szCs w:val="20"/>
              </w:rPr>
              <w:t>35 years in the base case</w:t>
            </w:r>
            <w:r w:rsidR="00EF0B7F" w:rsidRPr="000717E1">
              <w:rPr>
                <w:sz w:val="20"/>
                <w:szCs w:val="20"/>
              </w:rPr>
              <w:t xml:space="preserve">. </w:t>
            </w:r>
            <w:r w:rsidR="00615703" w:rsidRPr="001F3F0F">
              <w:rPr>
                <w:iCs/>
                <w:sz w:val="20"/>
                <w:szCs w:val="20"/>
              </w:rPr>
              <w:t>T</w:t>
            </w:r>
            <w:r w:rsidR="00CE23AA" w:rsidRPr="001F3F0F">
              <w:rPr>
                <w:rFonts w:eastAsia="Calibri" w:cstheme="minorHAnsi"/>
                <w:iCs/>
                <w:sz w:val="20"/>
                <w:szCs w:val="20"/>
              </w:rPr>
              <w:t>he Sub-Committees considered a 10-year time horizon appropriate</w:t>
            </w:r>
            <w:r w:rsidR="00615703" w:rsidRPr="001F3F0F">
              <w:rPr>
                <w:rFonts w:eastAsia="Calibri" w:cstheme="minorHAnsi"/>
                <w:iCs/>
                <w:sz w:val="20"/>
                <w:szCs w:val="20"/>
              </w:rPr>
              <w:t>.</w:t>
            </w:r>
          </w:p>
        </w:tc>
        <w:tc>
          <w:tcPr>
            <w:tcW w:w="2249" w:type="pct"/>
            <w:vAlign w:val="center"/>
          </w:tcPr>
          <w:p w14:paraId="14499A52" w14:textId="77777777" w:rsidR="00AC64A4" w:rsidRPr="000717E1" w:rsidRDefault="00AC64A4" w:rsidP="00E13A0D">
            <w:pPr>
              <w:pStyle w:val="TableText0"/>
              <w:rPr>
                <w:sz w:val="20"/>
                <w:szCs w:val="20"/>
              </w:rPr>
            </w:pPr>
            <w:r w:rsidRPr="000717E1">
              <w:rPr>
                <w:sz w:val="20"/>
                <w:szCs w:val="20"/>
              </w:rPr>
              <w:t>Moderate, favoured dupilumab</w:t>
            </w:r>
          </w:p>
          <w:p w14:paraId="66B1EF1D" w14:textId="114E5A6D" w:rsidR="00AC64A4" w:rsidRPr="000717E1" w:rsidRDefault="00AC64A4" w:rsidP="00E13A0D">
            <w:pPr>
              <w:pStyle w:val="TableText0"/>
              <w:rPr>
                <w:sz w:val="20"/>
                <w:szCs w:val="20"/>
              </w:rPr>
            </w:pPr>
            <w:r w:rsidRPr="000717E1">
              <w:rPr>
                <w:sz w:val="20"/>
                <w:szCs w:val="20"/>
              </w:rPr>
              <w:t>Use of a 10-year time horizon increased the ICER to $</w:t>
            </w:r>
            <w:r w:rsidR="00331ADA" w:rsidRPr="00331ADA">
              <w:rPr>
                <w:sz w:val="2"/>
                <w:szCs w:val="20"/>
                <w:highlight w:val="black"/>
              </w:rPr>
              <w:t>redacted content</w:t>
            </w:r>
            <w:r w:rsidR="00902C1D">
              <w:rPr>
                <w:sz w:val="20"/>
                <w:szCs w:val="20"/>
                <w:vertAlign w:val="superscript"/>
              </w:rPr>
              <w:t>3</w:t>
            </w:r>
            <w:r w:rsidRPr="000717E1">
              <w:rPr>
                <w:sz w:val="20"/>
                <w:szCs w:val="20"/>
              </w:rPr>
              <w:t xml:space="preserve">/QALY gained. </w:t>
            </w:r>
          </w:p>
        </w:tc>
      </w:tr>
      <w:tr w:rsidR="00AC64A4" w:rsidRPr="000717E1" w14:paraId="4DC52594" w14:textId="77777777" w:rsidTr="00EB25DC">
        <w:tc>
          <w:tcPr>
            <w:tcW w:w="626" w:type="pct"/>
            <w:vAlign w:val="center"/>
          </w:tcPr>
          <w:p w14:paraId="505DC97C" w14:textId="34CEF618" w:rsidR="00AC64A4" w:rsidRPr="000717E1" w:rsidRDefault="007C1837" w:rsidP="00E13A0D">
            <w:pPr>
              <w:pStyle w:val="TableText0"/>
              <w:rPr>
                <w:sz w:val="20"/>
                <w:szCs w:val="20"/>
              </w:rPr>
            </w:pPr>
            <w:r>
              <w:rPr>
                <w:sz w:val="20"/>
                <w:szCs w:val="20"/>
              </w:rPr>
              <w:t>Duration of t</w:t>
            </w:r>
            <w:r w:rsidR="00AC64A4" w:rsidRPr="000717E1">
              <w:rPr>
                <w:sz w:val="20"/>
                <w:szCs w:val="20"/>
              </w:rPr>
              <w:t>reatment effect of dupilumab</w:t>
            </w:r>
          </w:p>
        </w:tc>
        <w:tc>
          <w:tcPr>
            <w:tcW w:w="2125" w:type="pct"/>
            <w:vAlign w:val="center"/>
          </w:tcPr>
          <w:p w14:paraId="39076786" w14:textId="0927B000" w:rsidR="00AC64A4" w:rsidRPr="000717E1" w:rsidRDefault="00AC64A4" w:rsidP="00E13A0D">
            <w:pPr>
              <w:pStyle w:val="TableText0"/>
              <w:rPr>
                <w:i/>
                <w:iCs/>
                <w:sz w:val="20"/>
                <w:szCs w:val="20"/>
              </w:rPr>
            </w:pPr>
            <w:r w:rsidRPr="000717E1">
              <w:rPr>
                <w:sz w:val="20"/>
                <w:szCs w:val="20"/>
              </w:rPr>
              <w:t>The treatment effect on FEV</w:t>
            </w:r>
            <w:r w:rsidRPr="000717E1">
              <w:rPr>
                <w:sz w:val="20"/>
                <w:szCs w:val="20"/>
                <w:vertAlign w:val="subscript"/>
              </w:rPr>
              <w:t>1</w:t>
            </w:r>
            <w:r w:rsidRPr="000717E1">
              <w:rPr>
                <w:sz w:val="20"/>
                <w:szCs w:val="20"/>
              </w:rPr>
              <w:t xml:space="preserve"> was maintained for 2 years beyond the end of the trial period.</w:t>
            </w:r>
            <w:r w:rsidR="00615703" w:rsidRPr="000717E1">
              <w:rPr>
                <w:sz w:val="20"/>
                <w:szCs w:val="20"/>
              </w:rPr>
              <w:t xml:space="preserve"> </w:t>
            </w:r>
            <w:r w:rsidR="00546A40" w:rsidRPr="001F3F0F">
              <w:rPr>
                <w:iCs/>
                <w:sz w:val="20"/>
                <w:szCs w:val="20"/>
              </w:rPr>
              <w:t xml:space="preserve">The Sub-Committees considered that the </w:t>
            </w:r>
            <w:r w:rsidR="009D38BB" w:rsidRPr="001F3F0F">
              <w:rPr>
                <w:iCs/>
                <w:sz w:val="20"/>
                <w:szCs w:val="20"/>
              </w:rPr>
              <w:t xml:space="preserve">assumption of a </w:t>
            </w:r>
            <w:r w:rsidR="003E6127" w:rsidRPr="001F3F0F">
              <w:rPr>
                <w:iCs/>
                <w:sz w:val="20"/>
                <w:szCs w:val="20"/>
              </w:rPr>
              <w:t xml:space="preserve">maintained treatment effect </w:t>
            </w:r>
            <w:r w:rsidR="009D38BB" w:rsidRPr="001F3F0F">
              <w:rPr>
                <w:iCs/>
                <w:sz w:val="20"/>
                <w:szCs w:val="20"/>
              </w:rPr>
              <w:t xml:space="preserve">should </w:t>
            </w:r>
            <w:r w:rsidR="003E6127" w:rsidRPr="001F3F0F">
              <w:rPr>
                <w:iCs/>
                <w:sz w:val="20"/>
                <w:szCs w:val="20"/>
              </w:rPr>
              <w:t xml:space="preserve">be removed. </w:t>
            </w:r>
            <w:r w:rsidR="00CB5089" w:rsidRPr="001F3F0F">
              <w:rPr>
                <w:iCs/>
                <w:sz w:val="20"/>
                <w:szCs w:val="20"/>
              </w:rPr>
              <w:t xml:space="preserve"> </w:t>
            </w:r>
          </w:p>
        </w:tc>
        <w:tc>
          <w:tcPr>
            <w:tcW w:w="2249" w:type="pct"/>
          </w:tcPr>
          <w:p w14:paraId="6C1B5279" w14:textId="77777777" w:rsidR="00AC64A4" w:rsidRPr="000717E1" w:rsidRDefault="00AC64A4" w:rsidP="00EB25DC">
            <w:pPr>
              <w:pStyle w:val="TableText0"/>
              <w:rPr>
                <w:rFonts w:cs="Arial"/>
                <w:color w:val="0066FF"/>
                <w:sz w:val="20"/>
                <w:szCs w:val="20"/>
              </w:rPr>
            </w:pPr>
            <w:r w:rsidRPr="000717E1">
              <w:rPr>
                <w:sz w:val="20"/>
                <w:szCs w:val="20"/>
              </w:rPr>
              <w:t xml:space="preserve">Moderate, favoured dupilumab </w:t>
            </w:r>
          </w:p>
          <w:p w14:paraId="6F37E124" w14:textId="5A080CA4" w:rsidR="00AC64A4" w:rsidRPr="000717E1" w:rsidRDefault="00AC64A4" w:rsidP="00EB25DC">
            <w:pPr>
              <w:pStyle w:val="TableText0"/>
              <w:rPr>
                <w:sz w:val="20"/>
                <w:szCs w:val="20"/>
              </w:rPr>
            </w:pPr>
            <w:r w:rsidRPr="000717E1">
              <w:rPr>
                <w:sz w:val="20"/>
                <w:szCs w:val="20"/>
              </w:rPr>
              <w:t>Removing the maintained treatment effect</w:t>
            </w:r>
            <w:r w:rsidR="008E4A4B" w:rsidRPr="000717E1">
              <w:rPr>
                <w:sz w:val="20"/>
                <w:szCs w:val="20"/>
              </w:rPr>
              <w:t xml:space="preserve"> </w:t>
            </w:r>
            <w:r w:rsidRPr="000717E1">
              <w:rPr>
                <w:sz w:val="20"/>
                <w:szCs w:val="20"/>
              </w:rPr>
              <w:t>increased the ICER to $</w:t>
            </w:r>
            <w:r w:rsidR="00331ADA" w:rsidRPr="00331ADA">
              <w:rPr>
                <w:sz w:val="2"/>
                <w:szCs w:val="20"/>
                <w:highlight w:val="black"/>
              </w:rPr>
              <w:t>redacted content</w:t>
            </w:r>
            <w:r w:rsidR="004C0BD4">
              <w:rPr>
                <w:sz w:val="20"/>
                <w:szCs w:val="20"/>
                <w:vertAlign w:val="superscript"/>
              </w:rPr>
              <w:t>4</w:t>
            </w:r>
            <w:r w:rsidRPr="000717E1">
              <w:rPr>
                <w:sz w:val="20"/>
                <w:szCs w:val="20"/>
              </w:rPr>
              <w:t>/QALY.</w:t>
            </w:r>
          </w:p>
        </w:tc>
      </w:tr>
      <w:tr w:rsidR="00AC64A4" w:rsidRPr="000717E1" w14:paraId="1E76AE16" w14:textId="77777777" w:rsidTr="00EB25DC">
        <w:tc>
          <w:tcPr>
            <w:tcW w:w="626" w:type="pct"/>
            <w:vAlign w:val="center"/>
          </w:tcPr>
          <w:p w14:paraId="1F3F7037" w14:textId="77777777" w:rsidR="00AC64A4" w:rsidRPr="000717E1" w:rsidRDefault="00AC64A4" w:rsidP="00E13A0D">
            <w:pPr>
              <w:pStyle w:val="TableText0"/>
              <w:rPr>
                <w:sz w:val="20"/>
                <w:szCs w:val="20"/>
              </w:rPr>
            </w:pPr>
            <w:r w:rsidRPr="000717E1">
              <w:rPr>
                <w:sz w:val="20"/>
                <w:szCs w:val="20"/>
              </w:rPr>
              <w:t>Exacerbation rates</w:t>
            </w:r>
          </w:p>
        </w:tc>
        <w:tc>
          <w:tcPr>
            <w:tcW w:w="2125" w:type="pct"/>
            <w:vAlign w:val="center"/>
          </w:tcPr>
          <w:p w14:paraId="5FC0B277" w14:textId="77777777" w:rsidR="00AC64A4" w:rsidRPr="000717E1" w:rsidRDefault="00AC64A4" w:rsidP="00E13A0D">
            <w:pPr>
              <w:pStyle w:val="TableText0"/>
              <w:rPr>
                <w:sz w:val="20"/>
                <w:szCs w:val="20"/>
              </w:rPr>
            </w:pPr>
            <w:r w:rsidRPr="000717E1">
              <w:rPr>
                <w:sz w:val="20"/>
                <w:szCs w:val="20"/>
              </w:rPr>
              <w:t xml:space="preserve">Exacerbation rates in the comparator arm were from the year prior to randomisation. </w:t>
            </w:r>
          </w:p>
          <w:p w14:paraId="7E8B59D1" w14:textId="77777777" w:rsidR="00AC64A4" w:rsidRPr="000717E1" w:rsidRDefault="00AC64A4" w:rsidP="00E13A0D">
            <w:pPr>
              <w:pStyle w:val="TableText0"/>
              <w:rPr>
                <w:sz w:val="20"/>
                <w:szCs w:val="20"/>
              </w:rPr>
            </w:pPr>
          </w:p>
          <w:p w14:paraId="430197EB" w14:textId="10D9DF7C" w:rsidR="00AC64A4" w:rsidRPr="000717E1" w:rsidRDefault="00AC64A4" w:rsidP="00E13A0D">
            <w:pPr>
              <w:pStyle w:val="TableText0"/>
              <w:rPr>
                <w:sz w:val="20"/>
                <w:szCs w:val="20"/>
              </w:rPr>
            </w:pPr>
            <w:r w:rsidRPr="000717E1">
              <w:rPr>
                <w:sz w:val="20"/>
                <w:szCs w:val="20"/>
              </w:rPr>
              <w:t xml:space="preserve">Exacerbation rates in the dupilumab arm were the rates for </w:t>
            </w:r>
            <w:r w:rsidRPr="000717E1">
              <w:rPr>
                <w:rFonts w:eastAsia="Calibri" w:cstheme="minorHAnsi"/>
                <w:sz w:val="20"/>
                <w:szCs w:val="20"/>
              </w:rPr>
              <w:t>triple inhaled therapy</w:t>
            </w:r>
            <w:r w:rsidRPr="000717E1">
              <w:rPr>
                <w:rFonts w:eastAsia="Calibri" w:cstheme="minorHAnsi"/>
              </w:rPr>
              <w:t xml:space="preserve"> </w:t>
            </w:r>
            <w:r w:rsidRPr="000717E1">
              <w:rPr>
                <w:sz w:val="20"/>
                <w:szCs w:val="20"/>
              </w:rPr>
              <w:t>times the relative risk of exacerbation observed during the study period</w:t>
            </w:r>
          </w:p>
        </w:tc>
        <w:tc>
          <w:tcPr>
            <w:tcW w:w="2249" w:type="pct"/>
          </w:tcPr>
          <w:p w14:paraId="2F2DE8EA" w14:textId="77777777" w:rsidR="00AC64A4" w:rsidRPr="000717E1" w:rsidRDefault="00AC64A4" w:rsidP="00EB25DC">
            <w:pPr>
              <w:pStyle w:val="TableText0"/>
              <w:rPr>
                <w:rFonts w:cs="Arial"/>
                <w:color w:val="0066FF"/>
                <w:sz w:val="20"/>
                <w:szCs w:val="20"/>
              </w:rPr>
            </w:pPr>
            <w:r w:rsidRPr="000717E1">
              <w:rPr>
                <w:sz w:val="20"/>
                <w:szCs w:val="20"/>
              </w:rPr>
              <w:t xml:space="preserve">Moderate, favoured dupilumab </w:t>
            </w:r>
          </w:p>
          <w:p w14:paraId="0F4D2AFC" w14:textId="1C7B0F40" w:rsidR="00AC64A4" w:rsidRPr="000717E1" w:rsidRDefault="00AC64A4" w:rsidP="00EB25DC">
            <w:pPr>
              <w:pStyle w:val="TableText0"/>
              <w:rPr>
                <w:sz w:val="20"/>
                <w:szCs w:val="20"/>
              </w:rPr>
            </w:pPr>
            <w:r w:rsidRPr="000717E1">
              <w:rPr>
                <w:sz w:val="20"/>
                <w:szCs w:val="20"/>
              </w:rPr>
              <w:t>Use of the exacerbation rates from the trials in comparator arm increased the ICER to $</w:t>
            </w:r>
            <w:r w:rsidR="00331ADA" w:rsidRPr="00331ADA">
              <w:rPr>
                <w:sz w:val="2"/>
                <w:szCs w:val="20"/>
                <w:highlight w:val="black"/>
              </w:rPr>
              <w:t>redacted content</w:t>
            </w:r>
            <w:r w:rsidR="00902C1D">
              <w:rPr>
                <w:sz w:val="20"/>
                <w:szCs w:val="20"/>
                <w:vertAlign w:val="superscript"/>
              </w:rPr>
              <w:t>4</w:t>
            </w:r>
            <w:r w:rsidRPr="000717E1">
              <w:rPr>
                <w:sz w:val="20"/>
                <w:szCs w:val="20"/>
              </w:rPr>
              <w:t>.</w:t>
            </w:r>
          </w:p>
        </w:tc>
      </w:tr>
    </w:tbl>
    <w:p w14:paraId="4A013FBC" w14:textId="1FE72801" w:rsidR="00AC64A4" w:rsidRPr="000717E1" w:rsidRDefault="00AC64A4" w:rsidP="00AC64A4">
      <w:pPr>
        <w:pStyle w:val="FooterTableFigure"/>
      </w:pPr>
      <w:r w:rsidRPr="000717E1">
        <w:t>Source: Compiled during the evaluation</w:t>
      </w:r>
      <w:r w:rsidR="00E320DF" w:rsidRPr="000717E1">
        <w:t>.</w:t>
      </w:r>
    </w:p>
    <w:p w14:paraId="285EDA35" w14:textId="77777777" w:rsidR="00C555B5" w:rsidRDefault="00AC64A4" w:rsidP="00C555B5">
      <w:pPr>
        <w:pStyle w:val="FooterTableFigure"/>
      </w:pPr>
      <w:r w:rsidRPr="000717E1">
        <w:t>CFR = case fatality rate; FEV</w:t>
      </w:r>
      <w:r w:rsidRPr="000717E1">
        <w:rPr>
          <w:vertAlign w:val="subscript"/>
        </w:rPr>
        <w:t>1</w:t>
      </w:r>
      <w:r w:rsidRPr="000717E1">
        <w:t xml:space="preserve"> = forced expiratory volume in 1 second; ICER = incremental cost-effectiveness ratio; QALYs = quality adjusted life years</w:t>
      </w:r>
      <w:r w:rsidR="00E320DF" w:rsidRPr="000717E1">
        <w:t>.</w:t>
      </w:r>
    </w:p>
    <w:p w14:paraId="2D937691" w14:textId="7E1936F9" w:rsidR="00C555B5" w:rsidRPr="00C555B5" w:rsidRDefault="00C555B5" w:rsidP="00C555B5">
      <w:pPr>
        <w:pStyle w:val="FooterTableFigure"/>
        <w:rPr>
          <w:i/>
        </w:rPr>
      </w:pPr>
      <w:r w:rsidRPr="00C555B5">
        <w:rPr>
          <w:i/>
        </w:rPr>
        <w:t xml:space="preserve">The redacted values correspond to the following ranges: </w:t>
      </w:r>
    </w:p>
    <w:p w14:paraId="0D385F09" w14:textId="4DD19A65" w:rsidR="00C555B5" w:rsidRPr="00C555B5" w:rsidRDefault="00C555B5" w:rsidP="00C555B5">
      <w:pPr>
        <w:pStyle w:val="FooterTableFigure"/>
        <w:rPr>
          <w:i/>
        </w:rPr>
      </w:pPr>
      <w:r w:rsidRPr="00C555B5">
        <w:rPr>
          <w:i/>
          <w:vertAlign w:val="superscript"/>
        </w:rPr>
        <w:t>1</w:t>
      </w:r>
      <w:r w:rsidRPr="00C555B5">
        <w:rPr>
          <w:i/>
        </w:rPr>
        <w:t xml:space="preserve"> $35,000 to &lt; $45,000</w:t>
      </w:r>
    </w:p>
    <w:p w14:paraId="46A2A540" w14:textId="56411E33" w:rsidR="00C555B5" w:rsidRPr="00C555B5" w:rsidRDefault="00C555B5" w:rsidP="00C555B5">
      <w:pPr>
        <w:pStyle w:val="FooterTableFigure"/>
        <w:rPr>
          <w:i/>
        </w:rPr>
      </w:pPr>
      <w:r w:rsidRPr="00C555B5">
        <w:rPr>
          <w:i/>
          <w:vertAlign w:val="superscript"/>
        </w:rPr>
        <w:t>2</w:t>
      </w:r>
      <w:r w:rsidRPr="00C555B5">
        <w:rPr>
          <w:i/>
        </w:rPr>
        <w:t xml:space="preserve"> </w:t>
      </w:r>
      <w:r w:rsidR="00887AE3">
        <w:rPr>
          <w:i/>
        </w:rPr>
        <w:t>$</w:t>
      </w:r>
      <w:r w:rsidR="00887AE3" w:rsidRPr="00887AE3">
        <w:rPr>
          <w:i/>
        </w:rPr>
        <w:t>75,000 to &lt; $95,000</w:t>
      </w:r>
    </w:p>
    <w:p w14:paraId="68AA5EF1" w14:textId="5275084E" w:rsidR="00C555B5" w:rsidRPr="00C555B5" w:rsidRDefault="00C555B5" w:rsidP="00C555B5">
      <w:pPr>
        <w:pStyle w:val="FooterTableFigure"/>
        <w:rPr>
          <w:i/>
        </w:rPr>
      </w:pPr>
      <w:r w:rsidRPr="00C555B5">
        <w:rPr>
          <w:i/>
          <w:vertAlign w:val="superscript"/>
        </w:rPr>
        <w:t>3</w:t>
      </w:r>
      <w:r w:rsidRPr="00C555B5">
        <w:rPr>
          <w:i/>
        </w:rPr>
        <w:t xml:space="preserve"> </w:t>
      </w:r>
      <w:r w:rsidR="00933DF1" w:rsidRPr="00933DF1">
        <w:rPr>
          <w:i/>
        </w:rPr>
        <w:t>$55,000 to &lt; $75,000</w:t>
      </w:r>
    </w:p>
    <w:p w14:paraId="2CF6DC8D" w14:textId="6871DF8D" w:rsidR="00AC64A4" w:rsidRPr="000717E1" w:rsidRDefault="00C555B5" w:rsidP="00AC64A4">
      <w:pPr>
        <w:pStyle w:val="FooterTableFigure"/>
      </w:pPr>
      <w:r w:rsidRPr="00C555B5">
        <w:rPr>
          <w:i/>
          <w:vertAlign w:val="superscript"/>
        </w:rPr>
        <w:t>4</w:t>
      </w:r>
      <w:r w:rsidRPr="00C555B5">
        <w:rPr>
          <w:i/>
        </w:rPr>
        <w:t xml:space="preserve"> </w:t>
      </w:r>
      <w:r w:rsidR="004E1C81">
        <w:rPr>
          <w:i/>
        </w:rPr>
        <w:t>$</w:t>
      </w:r>
      <w:r w:rsidR="004E1C81" w:rsidRPr="004E1C81">
        <w:rPr>
          <w:i/>
        </w:rPr>
        <w:t>45,000 to &lt; $55,000</w:t>
      </w:r>
    </w:p>
    <w:p w14:paraId="1577CB1E" w14:textId="3CF8AC4B" w:rsidR="00AC64A4" w:rsidRPr="000717E1" w:rsidRDefault="00AC64A4" w:rsidP="00AC64A4">
      <w:pPr>
        <w:pStyle w:val="3-BodyText"/>
      </w:pPr>
      <w:r w:rsidRPr="000717E1">
        <w:t xml:space="preserve">The results of the stepped economic evaluation are presented in </w:t>
      </w:r>
      <w:r w:rsidRPr="000717E1">
        <w:fldChar w:fldCharType="begin"/>
      </w:r>
      <w:r w:rsidRPr="000717E1">
        <w:instrText xml:space="preserve"> REF _Ref104805160 \h  \* MERGEFORMAT </w:instrText>
      </w:r>
      <w:r w:rsidRPr="000717E1">
        <w:fldChar w:fldCharType="separate"/>
      </w:r>
      <w:r w:rsidR="00281F45" w:rsidRPr="000717E1">
        <w:t xml:space="preserve">Table </w:t>
      </w:r>
      <w:r w:rsidR="00281F45">
        <w:t>14</w:t>
      </w:r>
      <w:r w:rsidRPr="000717E1">
        <w:fldChar w:fldCharType="end"/>
      </w:r>
      <w:r w:rsidRPr="000717E1">
        <w:t xml:space="preserve">. </w:t>
      </w:r>
      <w:r w:rsidRPr="000717E1">
        <w:rPr>
          <w:rFonts w:cstheme="minorHAnsi"/>
        </w:rPr>
        <w:t>In Step 2, adjusting the exacerbation rates for the effect of the COVID-19 epidemic reduced the ICER, largely due to an increase in the incremental benefit (reduction in exacerbations were more than doubled). Implementing the stopping rule (at the end of the trial period, 52 weeks) in Step 5 reduced the ICER from $</w:t>
      </w:r>
      <w:r w:rsidR="00762960">
        <w:rPr>
          <w:rFonts w:cstheme="minorHAnsi"/>
        </w:rPr>
        <w:t xml:space="preserve">95,000 to &lt; $115,000 </w:t>
      </w:r>
      <w:r w:rsidRPr="000717E1">
        <w:rPr>
          <w:rFonts w:cstheme="minorHAnsi"/>
        </w:rPr>
        <w:t>to $</w:t>
      </w:r>
      <w:r w:rsidR="00762960">
        <w:rPr>
          <w:rFonts w:cstheme="minorHAnsi"/>
        </w:rPr>
        <w:t>55,000 to &lt; $75,000</w:t>
      </w:r>
      <w:r w:rsidRPr="000717E1">
        <w:rPr>
          <w:rFonts w:cstheme="minorHAnsi"/>
        </w:rPr>
        <w:t>.</w:t>
      </w:r>
    </w:p>
    <w:p w14:paraId="2FB7F2B9" w14:textId="30CDF1CC" w:rsidR="00AC64A4" w:rsidRPr="000717E1" w:rsidRDefault="00AC64A4" w:rsidP="00AC64A4">
      <w:pPr>
        <w:pStyle w:val="Caption"/>
      </w:pPr>
      <w:bookmarkStart w:id="83" w:name="_Ref104805160"/>
      <w:r w:rsidRPr="000717E1">
        <w:lastRenderedPageBreak/>
        <w:t xml:space="preserve">Table </w:t>
      </w:r>
      <w:fldSimple w:instr=" SEQ Table \* ARABIC ">
        <w:r w:rsidR="00281F45">
          <w:rPr>
            <w:noProof/>
          </w:rPr>
          <w:t>14</w:t>
        </w:r>
      </w:fldSimple>
      <w:bookmarkEnd w:id="83"/>
      <w:r w:rsidRPr="000717E1">
        <w:t>:</w:t>
      </w:r>
      <w:r w:rsidRPr="6B1B3C27">
        <w:rPr>
          <w:rStyle w:val="CommentReference"/>
          <w:b/>
        </w:rPr>
        <w:t xml:space="preserve"> Results of the stepped economic evaluation (discounted)</w:t>
      </w:r>
    </w:p>
    <w:tbl>
      <w:tblPr>
        <w:tblW w:w="5018"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4: Results of the stepped economic evaluation (discounted)"/>
      </w:tblPr>
      <w:tblGrid>
        <w:gridCol w:w="2790"/>
        <w:gridCol w:w="2449"/>
        <w:gridCol w:w="2297"/>
        <w:gridCol w:w="1506"/>
      </w:tblGrid>
      <w:tr w:rsidR="00342349" w:rsidRPr="000717E1" w14:paraId="26599F33" w14:textId="77777777" w:rsidTr="00F34D45">
        <w:trPr>
          <w:tblHeader/>
        </w:trPr>
        <w:tc>
          <w:tcPr>
            <w:tcW w:w="1543" w:type="pct"/>
            <w:vAlign w:val="center"/>
          </w:tcPr>
          <w:p w14:paraId="3EE77F38" w14:textId="77777777" w:rsidR="00AC64A4" w:rsidRPr="000717E1" w:rsidRDefault="00AC64A4" w:rsidP="00334AFB">
            <w:pPr>
              <w:pStyle w:val="In-tableHeading"/>
            </w:pPr>
            <w:r w:rsidRPr="000717E1">
              <w:t>Step and component</w:t>
            </w:r>
          </w:p>
        </w:tc>
        <w:tc>
          <w:tcPr>
            <w:tcW w:w="1354" w:type="pct"/>
            <w:vAlign w:val="center"/>
          </w:tcPr>
          <w:p w14:paraId="52086348" w14:textId="77777777" w:rsidR="00AC64A4" w:rsidRPr="000717E1" w:rsidRDefault="00AC64A4" w:rsidP="00334AFB">
            <w:pPr>
              <w:pStyle w:val="In-tableHeading"/>
            </w:pPr>
            <w:r w:rsidRPr="000717E1">
              <w:t>Proposed medicine</w:t>
            </w:r>
          </w:p>
        </w:tc>
        <w:tc>
          <w:tcPr>
            <w:tcW w:w="1270" w:type="pct"/>
            <w:vAlign w:val="center"/>
          </w:tcPr>
          <w:p w14:paraId="26D59620" w14:textId="77777777" w:rsidR="00AC64A4" w:rsidRPr="000717E1" w:rsidRDefault="00AC64A4" w:rsidP="00334AFB">
            <w:pPr>
              <w:pStyle w:val="In-tableHeading"/>
            </w:pPr>
            <w:r w:rsidRPr="000717E1">
              <w:t>Comparator</w:t>
            </w:r>
          </w:p>
        </w:tc>
        <w:tc>
          <w:tcPr>
            <w:tcW w:w="833" w:type="pct"/>
            <w:vAlign w:val="center"/>
          </w:tcPr>
          <w:p w14:paraId="6AED22B6" w14:textId="77777777" w:rsidR="00AC64A4" w:rsidRPr="000717E1" w:rsidRDefault="00AC64A4" w:rsidP="00334AFB">
            <w:pPr>
              <w:pStyle w:val="In-tableHeading"/>
            </w:pPr>
            <w:r w:rsidRPr="000717E1">
              <w:t>Increment</w:t>
            </w:r>
          </w:p>
        </w:tc>
      </w:tr>
      <w:tr w:rsidR="001037D4" w:rsidRPr="000717E1" w14:paraId="5E9DC2E5" w14:textId="77777777" w:rsidTr="00F34D45">
        <w:tc>
          <w:tcPr>
            <w:tcW w:w="5000" w:type="pct"/>
            <w:gridSpan w:val="4"/>
            <w:vAlign w:val="center"/>
          </w:tcPr>
          <w:p w14:paraId="573D1D66" w14:textId="77777777" w:rsidR="00AC64A4" w:rsidRPr="000717E1" w:rsidRDefault="00AC64A4" w:rsidP="00E13A0D">
            <w:pPr>
              <w:pStyle w:val="TableText0"/>
              <w:rPr>
                <w:b/>
                <w:bCs/>
                <w:sz w:val="20"/>
                <w:szCs w:val="20"/>
              </w:rPr>
            </w:pPr>
            <w:r w:rsidRPr="000717E1">
              <w:rPr>
                <w:b/>
                <w:bCs/>
                <w:sz w:val="20"/>
                <w:szCs w:val="20"/>
              </w:rPr>
              <w:t>Step 1: trial-based costs and outcomes</w:t>
            </w:r>
          </w:p>
        </w:tc>
      </w:tr>
      <w:tr w:rsidR="00342349" w:rsidRPr="000717E1" w14:paraId="0CDB6029" w14:textId="77777777" w:rsidTr="00F34D45">
        <w:tc>
          <w:tcPr>
            <w:tcW w:w="1543" w:type="pct"/>
            <w:vAlign w:val="center"/>
          </w:tcPr>
          <w:p w14:paraId="654ABA29" w14:textId="77777777" w:rsidR="00AC64A4" w:rsidRPr="000717E1" w:rsidRDefault="00AC64A4" w:rsidP="00E13A0D">
            <w:pPr>
              <w:pStyle w:val="TableText0"/>
              <w:rPr>
                <w:rFonts w:ascii="Times" w:hAnsi="Times"/>
                <w:sz w:val="20"/>
                <w:szCs w:val="20"/>
              </w:rPr>
            </w:pPr>
            <w:r w:rsidRPr="000717E1">
              <w:rPr>
                <w:sz w:val="20"/>
                <w:szCs w:val="20"/>
              </w:rPr>
              <w:t>Costs</w:t>
            </w:r>
          </w:p>
        </w:tc>
        <w:tc>
          <w:tcPr>
            <w:tcW w:w="1354" w:type="pct"/>
            <w:vAlign w:val="center"/>
          </w:tcPr>
          <w:p w14:paraId="7ED4911B" w14:textId="2B8A533E" w:rsidR="00AC64A4" w:rsidRPr="000717E1" w:rsidRDefault="00AC64A4" w:rsidP="00E13A0D">
            <w:pPr>
              <w:pStyle w:val="TableText0"/>
              <w:jc w:val="center"/>
              <w:rPr>
                <w:rFonts w:ascii="Times" w:hAnsi="Times"/>
                <w:sz w:val="20"/>
                <w:szCs w:val="20"/>
              </w:rPr>
            </w:pPr>
            <w:r w:rsidRPr="000717E1">
              <w:rPr>
                <w:sz w:val="20"/>
                <w:szCs w:val="20"/>
              </w:rPr>
              <w:t>$</w:t>
            </w:r>
            <w:r w:rsidR="00331ADA" w:rsidRPr="00331ADA">
              <w:rPr>
                <w:sz w:val="2"/>
                <w:szCs w:val="20"/>
                <w:highlight w:val="black"/>
              </w:rPr>
              <w:t>redacted content</w:t>
            </w:r>
          </w:p>
        </w:tc>
        <w:tc>
          <w:tcPr>
            <w:tcW w:w="1270" w:type="pct"/>
            <w:vAlign w:val="center"/>
          </w:tcPr>
          <w:p w14:paraId="3BCFAD53" w14:textId="77777777" w:rsidR="00AC64A4" w:rsidRPr="000717E1" w:rsidRDefault="00AC64A4" w:rsidP="00E13A0D">
            <w:pPr>
              <w:pStyle w:val="TableText0"/>
              <w:jc w:val="center"/>
              <w:rPr>
                <w:rFonts w:ascii="Times" w:hAnsi="Times"/>
                <w:sz w:val="20"/>
                <w:szCs w:val="20"/>
              </w:rPr>
            </w:pPr>
            <w:r w:rsidRPr="000D6D61">
              <w:rPr>
                <w:sz w:val="20"/>
                <w:szCs w:val="20"/>
              </w:rPr>
              <w:t>$1,415</w:t>
            </w:r>
          </w:p>
        </w:tc>
        <w:tc>
          <w:tcPr>
            <w:tcW w:w="833" w:type="pct"/>
            <w:vAlign w:val="center"/>
          </w:tcPr>
          <w:p w14:paraId="29390E03" w14:textId="7665EBB5" w:rsidR="00AC64A4" w:rsidRPr="000717E1" w:rsidRDefault="00AC64A4" w:rsidP="00E13A0D">
            <w:pPr>
              <w:pStyle w:val="TableText0"/>
              <w:jc w:val="center"/>
              <w:rPr>
                <w:rFonts w:ascii="Times" w:hAnsi="Times"/>
                <w:sz w:val="20"/>
                <w:szCs w:val="20"/>
              </w:rPr>
            </w:pPr>
            <w:r w:rsidRPr="000717E1">
              <w:rPr>
                <w:sz w:val="20"/>
                <w:szCs w:val="20"/>
              </w:rPr>
              <w:t>$</w:t>
            </w:r>
            <w:r w:rsidR="00331ADA" w:rsidRPr="00331ADA">
              <w:rPr>
                <w:sz w:val="2"/>
                <w:szCs w:val="20"/>
                <w:highlight w:val="black"/>
              </w:rPr>
              <w:t>redacted content</w:t>
            </w:r>
          </w:p>
        </w:tc>
      </w:tr>
      <w:tr w:rsidR="00342349" w:rsidRPr="000717E1" w14:paraId="161C87AD" w14:textId="77777777" w:rsidTr="00F34D45">
        <w:tc>
          <w:tcPr>
            <w:tcW w:w="1543" w:type="pct"/>
            <w:vAlign w:val="center"/>
          </w:tcPr>
          <w:p w14:paraId="5704BAEB" w14:textId="77777777" w:rsidR="00AC64A4" w:rsidRPr="000717E1" w:rsidRDefault="00AC64A4" w:rsidP="00E13A0D">
            <w:pPr>
              <w:pStyle w:val="TableText0"/>
              <w:rPr>
                <w:rFonts w:ascii="Times" w:hAnsi="Times"/>
                <w:sz w:val="20"/>
                <w:szCs w:val="20"/>
              </w:rPr>
            </w:pPr>
            <w:r w:rsidRPr="000717E1">
              <w:rPr>
                <w:sz w:val="20"/>
                <w:szCs w:val="20"/>
              </w:rPr>
              <w:t>Exacerbations</w:t>
            </w:r>
          </w:p>
        </w:tc>
        <w:tc>
          <w:tcPr>
            <w:tcW w:w="1354" w:type="pct"/>
            <w:vAlign w:val="center"/>
          </w:tcPr>
          <w:p w14:paraId="6B83A1C9" w14:textId="77777777" w:rsidR="00AC64A4" w:rsidRPr="000717E1" w:rsidRDefault="00AC64A4" w:rsidP="00E13A0D">
            <w:pPr>
              <w:pStyle w:val="TableText0"/>
              <w:jc w:val="center"/>
              <w:rPr>
                <w:rFonts w:ascii="Times" w:hAnsi="Times"/>
                <w:sz w:val="20"/>
                <w:szCs w:val="20"/>
                <w:vertAlign w:val="superscript"/>
              </w:rPr>
            </w:pPr>
            <w:r w:rsidRPr="000717E1">
              <w:rPr>
                <w:sz w:val="20"/>
                <w:szCs w:val="20"/>
              </w:rPr>
              <w:t>0.605</w:t>
            </w:r>
          </w:p>
        </w:tc>
        <w:tc>
          <w:tcPr>
            <w:tcW w:w="1270" w:type="pct"/>
            <w:vAlign w:val="center"/>
          </w:tcPr>
          <w:p w14:paraId="33E282BF" w14:textId="77777777" w:rsidR="00AC64A4" w:rsidRPr="000717E1" w:rsidRDefault="00AC64A4" w:rsidP="00E13A0D">
            <w:pPr>
              <w:pStyle w:val="TableText0"/>
              <w:jc w:val="center"/>
              <w:rPr>
                <w:rFonts w:ascii="Times" w:hAnsi="Times"/>
                <w:sz w:val="20"/>
                <w:szCs w:val="20"/>
                <w:vertAlign w:val="superscript"/>
              </w:rPr>
            </w:pPr>
            <w:r w:rsidRPr="000717E1">
              <w:rPr>
                <w:sz w:val="20"/>
                <w:szCs w:val="20"/>
              </w:rPr>
              <w:t>0.846</w:t>
            </w:r>
          </w:p>
        </w:tc>
        <w:tc>
          <w:tcPr>
            <w:tcW w:w="833" w:type="pct"/>
            <w:vAlign w:val="center"/>
          </w:tcPr>
          <w:p w14:paraId="13BEB46D" w14:textId="77777777" w:rsidR="00AC64A4" w:rsidRPr="000717E1" w:rsidRDefault="00AC64A4" w:rsidP="00E13A0D">
            <w:pPr>
              <w:pStyle w:val="TableText0"/>
              <w:jc w:val="center"/>
              <w:rPr>
                <w:sz w:val="20"/>
                <w:szCs w:val="20"/>
                <w:vertAlign w:val="superscript"/>
              </w:rPr>
            </w:pPr>
            <w:r w:rsidRPr="000717E1">
              <w:rPr>
                <w:sz w:val="20"/>
                <w:szCs w:val="20"/>
              </w:rPr>
              <w:t>-0.241</w:t>
            </w:r>
          </w:p>
        </w:tc>
      </w:tr>
      <w:tr w:rsidR="00342349" w:rsidRPr="000717E1" w14:paraId="576E6CF4" w14:textId="77777777" w:rsidTr="00F34D45">
        <w:tc>
          <w:tcPr>
            <w:tcW w:w="4167" w:type="pct"/>
            <w:gridSpan w:val="3"/>
            <w:vAlign w:val="center"/>
          </w:tcPr>
          <w:p w14:paraId="5F8DB5A9" w14:textId="77777777" w:rsidR="00AC64A4" w:rsidRPr="000717E1" w:rsidRDefault="00AC64A4" w:rsidP="00E13A0D">
            <w:pPr>
              <w:pStyle w:val="TableText0"/>
              <w:rPr>
                <w:rFonts w:ascii="Times" w:hAnsi="Times"/>
                <w:sz w:val="20"/>
                <w:szCs w:val="20"/>
              </w:rPr>
            </w:pPr>
            <w:r w:rsidRPr="000717E1">
              <w:rPr>
                <w:sz w:val="20"/>
                <w:szCs w:val="20"/>
              </w:rPr>
              <w:t>Incremental cost/exacerbation avoided</w:t>
            </w:r>
          </w:p>
        </w:tc>
        <w:tc>
          <w:tcPr>
            <w:tcW w:w="833" w:type="pct"/>
            <w:vAlign w:val="center"/>
          </w:tcPr>
          <w:p w14:paraId="5A7F0EFA" w14:textId="7311FAB8" w:rsidR="00AC64A4" w:rsidRPr="00657BC8" w:rsidRDefault="00AC64A4" w:rsidP="00E13A0D">
            <w:pPr>
              <w:pStyle w:val="TableText0"/>
              <w:jc w:val="center"/>
              <w:rPr>
                <w:rFonts w:ascii="Times" w:hAnsi="Times"/>
                <w:sz w:val="20"/>
                <w:szCs w:val="20"/>
                <w:vertAlign w:val="superscript"/>
              </w:rPr>
            </w:pPr>
            <w:r w:rsidRPr="000717E1">
              <w:rPr>
                <w:sz w:val="20"/>
                <w:szCs w:val="20"/>
              </w:rPr>
              <w:t>$</w:t>
            </w:r>
            <w:r w:rsidR="00331ADA" w:rsidRPr="00331ADA">
              <w:rPr>
                <w:sz w:val="2"/>
                <w:szCs w:val="20"/>
                <w:highlight w:val="black"/>
              </w:rPr>
              <w:t>redacted content</w:t>
            </w:r>
            <w:r w:rsidR="00657BC8">
              <w:rPr>
                <w:sz w:val="20"/>
                <w:szCs w:val="20"/>
                <w:vertAlign w:val="superscript"/>
              </w:rPr>
              <w:t>1</w:t>
            </w:r>
          </w:p>
        </w:tc>
      </w:tr>
      <w:tr w:rsidR="001037D4" w:rsidRPr="000717E1" w14:paraId="117FAB62" w14:textId="77777777" w:rsidTr="00F34D45">
        <w:tc>
          <w:tcPr>
            <w:tcW w:w="5000" w:type="pct"/>
            <w:gridSpan w:val="4"/>
            <w:vAlign w:val="center"/>
          </w:tcPr>
          <w:p w14:paraId="4256A834" w14:textId="77777777" w:rsidR="00AC64A4" w:rsidRPr="000717E1" w:rsidRDefault="00AC64A4" w:rsidP="00334AFB">
            <w:pPr>
              <w:pStyle w:val="In-tableHeading"/>
              <w:rPr>
                <w:vertAlign w:val="superscript"/>
              </w:rPr>
            </w:pPr>
            <w:r w:rsidRPr="000717E1">
              <w:t xml:space="preserve">Step 2: Adjust exacerbation rates (pre-trial rates) for effect of COVID-19 </w:t>
            </w:r>
            <w:proofErr w:type="spellStart"/>
            <w:r w:rsidRPr="000717E1">
              <w:t>epidemic</w:t>
            </w:r>
            <w:r w:rsidRPr="000717E1">
              <w:rPr>
                <w:vertAlign w:val="superscript"/>
              </w:rPr>
              <w:t>a</w:t>
            </w:r>
            <w:proofErr w:type="spellEnd"/>
          </w:p>
        </w:tc>
      </w:tr>
      <w:tr w:rsidR="00342349" w:rsidRPr="000717E1" w14:paraId="1E517DD0" w14:textId="77777777" w:rsidTr="00F34D45">
        <w:tc>
          <w:tcPr>
            <w:tcW w:w="1543" w:type="pct"/>
            <w:vAlign w:val="center"/>
          </w:tcPr>
          <w:p w14:paraId="69DE95EE" w14:textId="77777777" w:rsidR="00AC64A4" w:rsidRPr="000717E1" w:rsidRDefault="00AC64A4" w:rsidP="00E13A0D">
            <w:pPr>
              <w:pStyle w:val="TableText0"/>
              <w:rPr>
                <w:rFonts w:ascii="Times" w:hAnsi="Times"/>
                <w:sz w:val="20"/>
                <w:szCs w:val="20"/>
              </w:rPr>
            </w:pPr>
            <w:r w:rsidRPr="000717E1">
              <w:rPr>
                <w:sz w:val="20"/>
                <w:szCs w:val="20"/>
              </w:rPr>
              <w:t>Costs</w:t>
            </w:r>
          </w:p>
        </w:tc>
        <w:tc>
          <w:tcPr>
            <w:tcW w:w="1354" w:type="pct"/>
            <w:vAlign w:val="center"/>
          </w:tcPr>
          <w:p w14:paraId="1B2AC8AB" w14:textId="218A037D" w:rsidR="00AC64A4" w:rsidRPr="000717E1" w:rsidRDefault="00AC64A4" w:rsidP="00E13A0D">
            <w:pPr>
              <w:pStyle w:val="TableText0"/>
              <w:jc w:val="center"/>
              <w:rPr>
                <w:rFonts w:ascii="Times" w:hAnsi="Times"/>
                <w:sz w:val="20"/>
                <w:szCs w:val="20"/>
              </w:rPr>
            </w:pPr>
            <w:r w:rsidRPr="000717E1">
              <w:rPr>
                <w:sz w:val="20"/>
                <w:szCs w:val="20"/>
              </w:rPr>
              <w:t>$</w:t>
            </w:r>
            <w:r w:rsidR="00331ADA" w:rsidRPr="00331ADA">
              <w:rPr>
                <w:sz w:val="2"/>
                <w:szCs w:val="20"/>
                <w:highlight w:val="black"/>
              </w:rPr>
              <w:t>redacted content</w:t>
            </w:r>
          </w:p>
        </w:tc>
        <w:tc>
          <w:tcPr>
            <w:tcW w:w="1270" w:type="pct"/>
            <w:vAlign w:val="center"/>
          </w:tcPr>
          <w:p w14:paraId="53610F9A" w14:textId="77777777" w:rsidR="00AC64A4" w:rsidRPr="000717E1" w:rsidRDefault="00AC64A4" w:rsidP="00E13A0D">
            <w:pPr>
              <w:pStyle w:val="TableText0"/>
              <w:jc w:val="center"/>
              <w:rPr>
                <w:rFonts w:ascii="Times" w:hAnsi="Times"/>
                <w:sz w:val="20"/>
                <w:szCs w:val="20"/>
              </w:rPr>
            </w:pPr>
            <w:r w:rsidRPr="000D6D61">
              <w:rPr>
                <w:sz w:val="20"/>
                <w:szCs w:val="20"/>
              </w:rPr>
              <w:t>$4,377</w:t>
            </w:r>
          </w:p>
        </w:tc>
        <w:tc>
          <w:tcPr>
            <w:tcW w:w="833" w:type="pct"/>
            <w:vAlign w:val="center"/>
          </w:tcPr>
          <w:p w14:paraId="4DA06BB9" w14:textId="17C038C9" w:rsidR="00AC64A4" w:rsidRPr="000717E1" w:rsidRDefault="00AC64A4" w:rsidP="00E13A0D">
            <w:pPr>
              <w:pStyle w:val="TableText0"/>
              <w:jc w:val="center"/>
              <w:rPr>
                <w:rFonts w:ascii="Times" w:hAnsi="Times"/>
                <w:sz w:val="20"/>
                <w:szCs w:val="20"/>
              </w:rPr>
            </w:pPr>
            <w:r w:rsidRPr="000717E1">
              <w:rPr>
                <w:sz w:val="20"/>
                <w:szCs w:val="20"/>
              </w:rPr>
              <w:t>$</w:t>
            </w:r>
            <w:r w:rsidR="00331ADA" w:rsidRPr="00331ADA">
              <w:rPr>
                <w:sz w:val="2"/>
                <w:szCs w:val="20"/>
                <w:highlight w:val="black"/>
              </w:rPr>
              <w:t>redacted content</w:t>
            </w:r>
          </w:p>
        </w:tc>
      </w:tr>
      <w:tr w:rsidR="00342349" w:rsidRPr="000717E1" w14:paraId="3562626D" w14:textId="77777777" w:rsidTr="00F34D45">
        <w:tc>
          <w:tcPr>
            <w:tcW w:w="1543" w:type="pct"/>
            <w:vAlign w:val="center"/>
          </w:tcPr>
          <w:p w14:paraId="375453BA" w14:textId="77777777" w:rsidR="00AC64A4" w:rsidRPr="000717E1" w:rsidRDefault="00AC64A4" w:rsidP="00E13A0D">
            <w:pPr>
              <w:pStyle w:val="TableText0"/>
              <w:rPr>
                <w:rFonts w:ascii="Times" w:hAnsi="Times"/>
                <w:sz w:val="20"/>
                <w:szCs w:val="20"/>
              </w:rPr>
            </w:pPr>
            <w:r w:rsidRPr="000717E1">
              <w:rPr>
                <w:sz w:val="20"/>
                <w:szCs w:val="20"/>
              </w:rPr>
              <w:t>Exacerbations</w:t>
            </w:r>
          </w:p>
        </w:tc>
        <w:tc>
          <w:tcPr>
            <w:tcW w:w="1354" w:type="pct"/>
            <w:vAlign w:val="center"/>
          </w:tcPr>
          <w:p w14:paraId="391CE521" w14:textId="77777777" w:rsidR="00AC64A4" w:rsidRPr="000717E1" w:rsidRDefault="00AC64A4" w:rsidP="00E13A0D">
            <w:pPr>
              <w:pStyle w:val="TableText0"/>
              <w:jc w:val="center"/>
              <w:rPr>
                <w:rFonts w:ascii="Times" w:hAnsi="Times"/>
                <w:sz w:val="20"/>
                <w:szCs w:val="20"/>
              </w:rPr>
            </w:pPr>
            <w:r w:rsidRPr="000717E1">
              <w:rPr>
                <w:sz w:val="20"/>
                <w:szCs w:val="20"/>
              </w:rPr>
              <w:t xml:space="preserve">1.559 </w:t>
            </w:r>
          </w:p>
        </w:tc>
        <w:tc>
          <w:tcPr>
            <w:tcW w:w="1270" w:type="pct"/>
            <w:vAlign w:val="center"/>
          </w:tcPr>
          <w:p w14:paraId="248F05AC" w14:textId="77777777" w:rsidR="00AC64A4" w:rsidRPr="000717E1" w:rsidRDefault="00AC64A4" w:rsidP="00E13A0D">
            <w:pPr>
              <w:pStyle w:val="TableText0"/>
              <w:jc w:val="center"/>
              <w:rPr>
                <w:rFonts w:ascii="Times" w:hAnsi="Times"/>
                <w:sz w:val="20"/>
                <w:szCs w:val="20"/>
              </w:rPr>
            </w:pPr>
            <w:r w:rsidRPr="000717E1">
              <w:rPr>
                <w:sz w:val="20"/>
                <w:szCs w:val="20"/>
              </w:rPr>
              <w:t>2.194</w:t>
            </w:r>
          </w:p>
        </w:tc>
        <w:tc>
          <w:tcPr>
            <w:tcW w:w="833" w:type="pct"/>
            <w:vAlign w:val="center"/>
          </w:tcPr>
          <w:p w14:paraId="1DD9536E" w14:textId="77777777" w:rsidR="00AC64A4" w:rsidRPr="000717E1" w:rsidRDefault="00AC64A4" w:rsidP="00E13A0D">
            <w:pPr>
              <w:pStyle w:val="TableText0"/>
              <w:jc w:val="center"/>
              <w:rPr>
                <w:sz w:val="20"/>
                <w:szCs w:val="20"/>
              </w:rPr>
            </w:pPr>
            <w:r w:rsidRPr="000717E1">
              <w:rPr>
                <w:sz w:val="20"/>
                <w:szCs w:val="20"/>
              </w:rPr>
              <w:t>-0.635</w:t>
            </w:r>
          </w:p>
        </w:tc>
      </w:tr>
      <w:tr w:rsidR="00342349" w:rsidRPr="000717E1" w14:paraId="42A28C3B" w14:textId="77777777" w:rsidTr="00F34D45">
        <w:tc>
          <w:tcPr>
            <w:tcW w:w="4167" w:type="pct"/>
            <w:gridSpan w:val="3"/>
            <w:vAlign w:val="center"/>
          </w:tcPr>
          <w:p w14:paraId="1A66C3AB" w14:textId="77777777" w:rsidR="00AC64A4" w:rsidRPr="000717E1" w:rsidRDefault="00AC64A4" w:rsidP="00E13A0D">
            <w:pPr>
              <w:pStyle w:val="TableText0"/>
              <w:rPr>
                <w:rFonts w:ascii="Times" w:hAnsi="Times"/>
                <w:sz w:val="20"/>
                <w:szCs w:val="20"/>
              </w:rPr>
            </w:pPr>
            <w:r w:rsidRPr="000717E1">
              <w:rPr>
                <w:sz w:val="20"/>
                <w:szCs w:val="20"/>
              </w:rPr>
              <w:t>Incremental cost/ exacerbation avoided</w:t>
            </w:r>
          </w:p>
        </w:tc>
        <w:tc>
          <w:tcPr>
            <w:tcW w:w="833" w:type="pct"/>
            <w:vAlign w:val="center"/>
          </w:tcPr>
          <w:p w14:paraId="736D4951" w14:textId="2C7CF78B" w:rsidR="00AC64A4" w:rsidRPr="00A43065" w:rsidRDefault="00AC64A4" w:rsidP="00E13A0D">
            <w:pPr>
              <w:pStyle w:val="TableText0"/>
              <w:jc w:val="center"/>
              <w:rPr>
                <w:rFonts w:ascii="Times" w:hAnsi="Times"/>
                <w:sz w:val="20"/>
                <w:szCs w:val="20"/>
                <w:vertAlign w:val="superscript"/>
              </w:rPr>
            </w:pPr>
            <w:r w:rsidRPr="000717E1">
              <w:rPr>
                <w:sz w:val="20"/>
                <w:szCs w:val="20"/>
              </w:rPr>
              <w:t>$</w:t>
            </w:r>
            <w:r w:rsidR="00331ADA" w:rsidRPr="00331ADA">
              <w:rPr>
                <w:sz w:val="2"/>
                <w:szCs w:val="20"/>
                <w:highlight w:val="black"/>
              </w:rPr>
              <w:t>redacted content</w:t>
            </w:r>
            <w:r w:rsidR="00A43065">
              <w:rPr>
                <w:sz w:val="20"/>
                <w:szCs w:val="20"/>
                <w:vertAlign w:val="superscript"/>
              </w:rPr>
              <w:t>2</w:t>
            </w:r>
          </w:p>
        </w:tc>
      </w:tr>
      <w:tr w:rsidR="001037D4" w:rsidRPr="000717E1" w14:paraId="70EA0BB8" w14:textId="77777777" w:rsidTr="00F34D45">
        <w:tc>
          <w:tcPr>
            <w:tcW w:w="5000" w:type="pct"/>
            <w:gridSpan w:val="4"/>
            <w:vAlign w:val="center"/>
          </w:tcPr>
          <w:p w14:paraId="70EA8B2C" w14:textId="77777777" w:rsidR="00AC64A4" w:rsidRPr="000717E1" w:rsidRDefault="00AC64A4" w:rsidP="00334AFB">
            <w:pPr>
              <w:pStyle w:val="In-tableHeading"/>
            </w:pPr>
            <w:r w:rsidRPr="000717E1">
              <w:t>Step 3: Limiting time horizon to one year and converting outcomes to QALYs</w:t>
            </w:r>
          </w:p>
        </w:tc>
      </w:tr>
      <w:tr w:rsidR="00342349" w:rsidRPr="000717E1" w14:paraId="0D2AAEB3" w14:textId="77777777" w:rsidTr="00F34D45">
        <w:tc>
          <w:tcPr>
            <w:tcW w:w="1543" w:type="pct"/>
            <w:vAlign w:val="center"/>
          </w:tcPr>
          <w:p w14:paraId="5DD0920B" w14:textId="77777777" w:rsidR="00AC64A4" w:rsidRPr="000717E1" w:rsidRDefault="00AC64A4" w:rsidP="00E13A0D">
            <w:pPr>
              <w:pStyle w:val="TableText0"/>
              <w:rPr>
                <w:rFonts w:ascii="Times" w:hAnsi="Times"/>
                <w:sz w:val="20"/>
                <w:szCs w:val="20"/>
              </w:rPr>
            </w:pPr>
            <w:r w:rsidRPr="000717E1">
              <w:rPr>
                <w:sz w:val="20"/>
                <w:szCs w:val="20"/>
              </w:rPr>
              <w:t>Costs</w:t>
            </w:r>
          </w:p>
        </w:tc>
        <w:tc>
          <w:tcPr>
            <w:tcW w:w="1354" w:type="pct"/>
            <w:vAlign w:val="center"/>
          </w:tcPr>
          <w:p w14:paraId="257FA81C" w14:textId="6C6F9EC5" w:rsidR="00AC64A4" w:rsidRPr="000717E1" w:rsidRDefault="00AC64A4" w:rsidP="00E13A0D">
            <w:pPr>
              <w:pStyle w:val="TableText0"/>
              <w:jc w:val="center"/>
              <w:rPr>
                <w:rFonts w:ascii="Times" w:hAnsi="Times"/>
                <w:sz w:val="20"/>
                <w:szCs w:val="20"/>
              </w:rPr>
            </w:pPr>
            <w:r w:rsidRPr="000717E1">
              <w:rPr>
                <w:sz w:val="20"/>
                <w:szCs w:val="20"/>
              </w:rPr>
              <w:t>$</w:t>
            </w:r>
            <w:r w:rsidR="00331ADA" w:rsidRPr="00331ADA">
              <w:rPr>
                <w:sz w:val="2"/>
                <w:szCs w:val="20"/>
                <w:highlight w:val="black"/>
              </w:rPr>
              <w:t>redacted content</w:t>
            </w:r>
          </w:p>
        </w:tc>
        <w:tc>
          <w:tcPr>
            <w:tcW w:w="1270" w:type="pct"/>
            <w:vAlign w:val="center"/>
          </w:tcPr>
          <w:p w14:paraId="2D60F42B" w14:textId="77777777" w:rsidR="00AC64A4" w:rsidRPr="000717E1" w:rsidRDefault="00AC64A4" w:rsidP="00E13A0D">
            <w:pPr>
              <w:pStyle w:val="TableText0"/>
              <w:jc w:val="center"/>
              <w:rPr>
                <w:rFonts w:ascii="Times" w:hAnsi="Times"/>
                <w:sz w:val="20"/>
                <w:szCs w:val="20"/>
              </w:rPr>
            </w:pPr>
            <w:r w:rsidRPr="000D6D61">
              <w:rPr>
                <w:sz w:val="20"/>
                <w:szCs w:val="20"/>
              </w:rPr>
              <w:t>$6,330</w:t>
            </w:r>
          </w:p>
        </w:tc>
        <w:tc>
          <w:tcPr>
            <w:tcW w:w="833" w:type="pct"/>
            <w:vAlign w:val="center"/>
          </w:tcPr>
          <w:p w14:paraId="7B83DFB9" w14:textId="345C307E" w:rsidR="00AC64A4" w:rsidRPr="000717E1" w:rsidRDefault="00AC64A4" w:rsidP="00E13A0D">
            <w:pPr>
              <w:pStyle w:val="TableText0"/>
              <w:jc w:val="center"/>
              <w:rPr>
                <w:rFonts w:ascii="Times" w:hAnsi="Times"/>
                <w:sz w:val="20"/>
                <w:szCs w:val="20"/>
              </w:rPr>
            </w:pPr>
            <w:r w:rsidRPr="000717E1">
              <w:rPr>
                <w:sz w:val="20"/>
                <w:szCs w:val="20"/>
              </w:rPr>
              <w:t>$</w:t>
            </w:r>
            <w:r w:rsidR="00331ADA" w:rsidRPr="00331ADA">
              <w:rPr>
                <w:sz w:val="2"/>
                <w:szCs w:val="20"/>
                <w:highlight w:val="black"/>
              </w:rPr>
              <w:t>redacted content</w:t>
            </w:r>
          </w:p>
        </w:tc>
      </w:tr>
      <w:tr w:rsidR="00342349" w:rsidRPr="000717E1" w14:paraId="678DAA55" w14:textId="77777777" w:rsidTr="00F34D45">
        <w:tc>
          <w:tcPr>
            <w:tcW w:w="1543" w:type="pct"/>
            <w:vAlign w:val="center"/>
          </w:tcPr>
          <w:p w14:paraId="397CD17C" w14:textId="77777777" w:rsidR="00AC64A4" w:rsidRPr="000717E1" w:rsidRDefault="00AC64A4" w:rsidP="00E13A0D">
            <w:pPr>
              <w:pStyle w:val="TableText0"/>
              <w:rPr>
                <w:rFonts w:ascii="Times" w:hAnsi="Times"/>
                <w:sz w:val="20"/>
                <w:szCs w:val="20"/>
              </w:rPr>
            </w:pPr>
            <w:r w:rsidRPr="000717E1">
              <w:rPr>
                <w:sz w:val="20"/>
                <w:szCs w:val="20"/>
              </w:rPr>
              <w:t>QALYG</w:t>
            </w:r>
          </w:p>
        </w:tc>
        <w:tc>
          <w:tcPr>
            <w:tcW w:w="1354" w:type="pct"/>
            <w:vAlign w:val="center"/>
          </w:tcPr>
          <w:p w14:paraId="047D4E54" w14:textId="77777777" w:rsidR="00AC64A4" w:rsidRPr="000717E1" w:rsidRDefault="00AC64A4" w:rsidP="00E13A0D">
            <w:pPr>
              <w:pStyle w:val="TableText0"/>
              <w:jc w:val="center"/>
              <w:rPr>
                <w:rFonts w:ascii="Times" w:hAnsi="Times"/>
                <w:sz w:val="20"/>
                <w:szCs w:val="20"/>
              </w:rPr>
            </w:pPr>
            <w:r w:rsidRPr="000717E1">
              <w:rPr>
                <w:sz w:val="20"/>
                <w:szCs w:val="20"/>
              </w:rPr>
              <w:t>0.82</w:t>
            </w:r>
          </w:p>
        </w:tc>
        <w:tc>
          <w:tcPr>
            <w:tcW w:w="1270" w:type="pct"/>
            <w:vAlign w:val="center"/>
          </w:tcPr>
          <w:p w14:paraId="56329C8B" w14:textId="77777777" w:rsidR="00AC64A4" w:rsidRPr="000717E1" w:rsidRDefault="00AC64A4" w:rsidP="00E13A0D">
            <w:pPr>
              <w:pStyle w:val="TableText0"/>
              <w:jc w:val="center"/>
              <w:rPr>
                <w:rFonts w:ascii="Times" w:hAnsi="Times"/>
                <w:sz w:val="20"/>
                <w:szCs w:val="20"/>
              </w:rPr>
            </w:pPr>
            <w:r w:rsidRPr="000717E1">
              <w:rPr>
                <w:sz w:val="20"/>
                <w:szCs w:val="20"/>
              </w:rPr>
              <w:t>0.81</w:t>
            </w:r>
          </w:p>
        </w:tc>
        <w:tc>
          <w:tcPr>
            <w:tcW w:w="833" w:type="pct"/>
            <w:vAlign w:val="center"/>
          </w:tcPr>
          <w:p w14:paraId="6EAC6AE4" w14:textId="77777777" w:rsidR="00AC64A4" w:rsidRPr="000717E1" w:rsidRDefault="00AC64A4" w:rsidP="00E13A0D">
            <w:pPr>
              <w:pStyle w:val="TableText0"/>
              <w:jc w:val="center"/>
              <w:rPr>
                <w:sz w:val="20"/>
                <w:szCs w:val="20"/>
              </w:rPr>
            </w:pPr>
            <w:r w:rsidRPr="000717E1">
              <w:rPr>
                <w:sz w:val="20"/>
                <w:szCs w:val="20"/>
              </w:rPr>
              <w:t>0.01</w:t>
            </w:r>
          </w:p>
        </w:tc>
      </w:tr>
      <w:tr w:rsidR="00342349" w:rsidRPr="000717E1" w14:paraId="0042FF5A" w14:textId="77777777" w:rsidTr="00F34D45">
        <w:tc>
          <w:tcPr>
            <w:tcW w:w="4167" w:type="pct"/>
            <w:gridSpan w:val="3"/>
            <w:vAlign w:val="center"/>
          </w:tcPr>
          <w:p w14:paraId="40CC624F" w14:textId="77777777" w:rsidR="00AC64A4" w:rsidRPr="000717E1" w:rsidRDefault="00AC64A4" w:rsidP="00E13A0D">
            <w:pPr>
              <w:pStyle w:val="TableText0"/>
              <w:rPr>
                <w:rFonts w:ascii="Times" w:hAnsi="Times"/>
                <w:sz w:val="20"/>
                <w:szCs w:val="20"/>
              </w:rPr>
            </w:pPr>
            <w:r w:rsidRPr="000717E1">
              <w:rPr>
                <w:sz w:val="20"/>
                <w:szCs w:val="20"/>
              </w:rPr>
              <w:t>Incremental cost/ extra QALY gained</w:t>
            </w:r>
          </w:p>
        </w:tc>
        <w:tc>
          <w:tcPr>
            <w:tcW w:w="833" w:type="pct"/>
            <w:vAlign w:val="center"/>
          </w:tcPr>
          <w:p w14:paraId="7BE44BF5" w14:textId="2611254A" w:rsidR="00AC64A4" w:rsidRPr="004D15ED" w:rsidRDefault="00AC64A4" w:rsidP="00E13A0D">
            <w:pPr>
              <w:pStyle w:val="TableText0"/>
              <w:jc w:val="center"/>
              <w:rPr>
                <w:rFonts w:ascii="Times" w:hAnsi="Times"/>
                <w:sz w:val="20"/>
                <w:szCs w:val="20"/>
                <w:vertAlign w:val="superscript"/>
              </w:rPr>
            </w:pPr>
            <w:r w:rsidRPr="000717E1">
              <w:rPr>
                <w:sz w:val="20"/>
                <w:szCs w:val="20"/>
              </w:rPr>
              <w:t>$</w:t>
            </w:r>
            <w:r w:rsidR="00331ADA" w:rsidRPr="00331ADA">
              <w:rPr>
                <w:sz w:val="2"/>
                <w:szCs w:val="20"/>
                <w:highlight w:val="black"/>
              </w:rPr>
              <w:t>redacted content</w:t>
            </w:r>
            <w:r w:rsidR="004D15ED">
              <w:rPr>
                <w:sz w:val="20"/>
                <w:szCs w:val="20"/>
                <w:vertAlign w:val="superscript"/>
              </w:rPr>
              <w:t>3</w:t>
            </w:r>
          </w:p>
        </w:tc>
      </w:tr>
      <w:tr w:rsidR="001037D4" w:rsidRPr="000717E1" w14:paraId="42495405" w14:textId="77777777" w:rsidTr="00F34D45">
        <w:tc>
          <w:tcPr>
            <w:tcW w:w="5000" w:type="pct"/>
            <w:gridSpan w:val="4"/>
            <w:vAlign w:val="center"/>
          </w:tcPr>
          <w:p w14:paraId="254AD13A" w14:textId="77777777" w:rsidR="00AC64A4" w:rsidRPr="000717E1" w:rsidRDefault="00AC64A4" w:rsidP="00334AFB">
            <w:pPr>
              <w:pStyle w:val="In-tableHeading"/>
            </w:pPr>
            <w:r w:rsidRPr="000717E1">
              <w:t>Step 4: 10-year time horizon</w:t>
            </w:r>
          </w:p>
        </w:tc>
      </w:tr>
      <w:tr w:rsidR="00342349" w:rsidRPr="000717E1" w14:paraId="5A176A5F" w14:textId="77777777" w:rsidTr="00F34D45">
        <w:tc>
          <w:tcPr>
            <w:tcW w:w="1543" w:type="pct"/>
            <w:vAlign w:val="center"/>
          </w:tcPr>
          <w:p w14:paraId="122923A7" w14:textId="77777777" w:rsidR="00AC64A4" w:rsidRPr="000717E1" w:rsidRDefault="00AC64A4" w:rsidP="00E13A0D">
            <w:pPr>
              <w:pStyle w:val="TableText0"/>
              <w:rPr>
                <w:rFonts w:ascii="Times" w:hAnsi="Times"/>
                <w:sz w:val="20"/>
                <w:szCs w:val="20"/>
              </w:rPr>
            </w:pPr>
            <w:r w:rsidRPr="000717E1">
              <w:rPr>
                <w:sz w:val="20"/>
                <w:szCs w:val="20"/>
              </w:rPr>
              <w:t>Costs</w:t>
            </w:r>
          </w:p>
        </w:tc>
        <w:tc>
          <w:tcPr>
            <w:tcW w:w="1354" w:type="pct"/>
            <w:vAlign w:val="center"/>
          </w:tcPr>
          <w:p w14:paraId="4F497D5B" w14:textId="230BD861" w:rsidR="00AC64A4" w:rsidRPr="000717E1" w:rsidRDefault="00AC64A4" w:rsidP="00E13A0D">
            <w:pPr>
              <w:pStyle w:val="TableText0"/>
              <w:jc w:val="center"/>
              <w:rPr>
                <w:rFonts w:ascii="Times" w:hAnsi="Times"/>
                <w:sz w:val="20"/>
                <w:szCs w:val="20"/>
              </w:rPr>
            </w:pPr>
            <w:r w:rsidRPr="000717E1">
              <w:rPr>
                <w:sz w:val="20"/>
                <w:szCs w:val="20"/>
              </w:rPr>
              <w:t>$</w:t>
            </w:r>
            <w:r w:rsidR="00331ADA" w:rsidRPr="00331ADA">
              <w:rPr>
                <w:sz w:val="2"/>
                <w:szCs w:val="20"/>
                <w:highlight w:val="black"/>
              </w:rPr>
              <w:t>redacted content</w:t>
            </w:r>
          </w:p>
        </w:tc>
        <w:tc>
          <w:tcPr>
            <w:tcW w:w="1270" w:type="pct"/>
            <w:vAlign w:val="center"/>
          </w:tcPr>
          <w:p w14:paraId="515AF508" w14:textId="77777777" w:rsidR="00AC64A4" w:rsidRPr="000717E1" w:rsidRDefault="00AC64A4" w:rsidP="00E13A0D">
            <w:pPr>
              <w:pStyle w:val="TableText0"/>
              <w:jc w:val="center"/>
              <w:rPr>
                <w:rFonts w:ascii="Times" w:hAnsi="Times"/>
                <w:sz w:val="20"/>
                <w:szCs w:val="20"/>
              </w:rPr>
            </w:pPr>
            <w:r w:rsidRPr="000D6D61">
              <w:rPr>
                <w:sz w:val="20"/>
                <w:szCs w:val="20"/>
              </w:rPr>
              <w:t>$41,402</w:t>
            </w:r>
          </w:p>
        </w:tc>
        <w:tc>
          <w:tcPr>
            <w:tcW w:w="833" w:type="pct"/>
            <w:vAlign w:val="center"/>
          </w:tcPr>
          <w:p w14:paraId="2977201B" w14:textId="6B4C100B" w:rsidR="00AC64A4" w:rsidRPr="000717E1" w:rsidRDefault="00AC64A4" w:rsidP="00E13A0D">
            <w:pPr>
              <w:pStyle w:val="TableText0"/>
              <w:jc w:val="center"/>
              <w:rPr>
                <w:rFonts w:ascii="Times" w:hAnsi="Times"/>
                <w:sz w:val="20"/>
                <w:szCs w:val="20"/>
              </w:rPr>
            </w:pPr>
            <w:r w:rsidRPr="000717E1">
              <w:rPr>
                <w:sz w:val="20"/>
                <w:szCs w:val="20"/>
              </w:rPr>
              <w:t>$</w:t>
            </w:r>
            <w:r w:rsidR="00331ADA" w:rsidRPr="00331ADA">
              <w:rPr>
                <w:sz w:val="2"/>
                <w:szCs w:val="20"/>
                <w:highlight w:val="black"/>
              </w:rPr>
              <w:t>redacted content</w:t>
            </w:r>
          </w:p>
        </w:tc>
      </w:tr>
      <w:tr w:rsidR="00342349" w:rsidRPr="000717E1" w14:paraId="16B575BE" w14:textId="77777777" w:rsidTr="00F34D45">
        <w:tc>
          <w:tcPr>
            <w:tcW w:w="1543" w:type="pct"/>
            <w:vAlign w:val="center"/>
          </w:tcPr>
          <w:p w14:paraId="4F58B20D" w14:textId="77777777" w:rsidR="00AC64A4" w:rsidRPr="000717E1" w:rsidRDefault="00AC64A4" w:rsidP="00E13A0D">
            <w:pPr>
              <w:pStyle w:val="TableText0"/>
              <w:rPr>
                <w:rFonts w:ascii="Times" w:hAnsi="Times"/>
                <w:sz w:val="20"/>
                <w:szCs w:val="20"/>
              </w:rPr>
            </w:pPr>
            <w:r w:rsidRPr="000717E1">
              <w:rPr>
                <w:sz w:val="20"/>
                <w:szCs w:val="20"/>
              </w:rPr>
              <w:t>QALYG</w:t>
            </w:r>
          </w:p>
        </w:tc>
        <w:tc>
          <w:tcPr>
            <w:tcW w:w="1354" w:type="pct"/>
            <w:vAlign w:val="center"/>
          </w:tcPr>
          <w:p w14:paraId="18B37A03" w14:textId="77777777" w:rsidR="00AC64A4" w:rsidRPr="000717E1" w:rsidRDefault="00AC64A4" w:rsidP="00E13A0D">
            <w:pPr>
              <w:pStyle w:val="TableText0"/>
              <w:jc w:val="center"/>
              <w:rPr>
                <w:rFonts w:ascii="Times" w:hAnsi="Times"/>
                <w:sz w:val="20"/>
                <w:szCs w:val="20"/>
              </w:rPr>
            </w:pPr>
            <w:r w:rsidRPr="000717E1">
              <w:rPr>
                <w:sz w:val="20"/>
                <w:szCs w:val="20"/>
              </w:rPr>
              <w:t>5.05</w:t>
            </w:r>
          </w:p>
        </w:tc>
        <w:tc>
          <w:tcPr>
            <w:tcW w:w="1270" w:type="pct"/>
            <w:vAlign w:val="center"/>
          </w:tcPr>
          <w:p w14:paraId="385C7E09" w14:textId="77777777" w:rsidR="00AC64A4" w:rsidRPr="000717E1" w:rsidRDefault="00AC64A4" w:rsidP="00E13A0D">
            <w:pPr>
              <w:pStyle w:val="TableText0"/>
              <w:jc w:val="center"/>
              <w:rPr>
                <w:rFonts w:ascii="Times" w:hAnsi="Times"/>
                <w:sz w:val="20"/>
                <w:szCs w:val="20"/>
              </w:rPr>
            </w:pPr>
            <w:r w:rsidRPr="000717E1">
              <w:rPr>
                <w:sz w:val="20"/>
                <w:szCs w:val="20"/>
              </w:rPr>
              <w:t>4.63</w:t>
            </w:r>
          </w:p>
        </w:tc>
        <w:tc>
          <w:tcPr>
            <w:tcW w:w="833" w:type="pct"/>
            <w:vAlign w:val="center"/>
          </w:tcPr>
          <w:p w14:paraId="4F5BFAE8" w14:textId="77777777" w:rsidR="00AC64A4" w:rsidRPr="000717E1" w:rsidRDefault="00AC64A4" w:rsidP="00E13A0D">
            <w:pPr>
              <w:pStyle w:val="TableText0"/>
              <w:jc w:val="center"/>
              <w:rPr>
                <w:sz w:val="20"/>
                <w:szCs w:val="20"/>
              </w:rPr>
            </w:pPr>
            <w:r w:rsidRPr="000717E1">
              <w:rPr>
                <w:sz w:val="20"/>
                <w:szCs w:val="20"/>
              </w:rPr>
              <w:t>0.41</w:t>
            </w:r>
          </w:p>
        </w:tc>
      </w:tr>
      <w:tr w:rsidR="00342349" w:rsidRPr="000717E1" w14:paraId="5C392369" w14:textId="77777777" w:rsidTr="00F34D45">
        <w:tc>
          <w:tcPr>
            <w:tcW w:w="4167" w:type="pct"/>
            <w:gridSpan w:val="3"/>
            <w:vAlign w:val="center"/>
          </w:tcPr>
          <w:p w14:paraId="4A72BD3C" w14:textId="77777777" w:rsidR="00AC64A4" w:rsidRPr="000717E1" w:rsidRDefault="00AC64A4" w:rsidP="00E13A0D">
            <w:pPr>
              <w:pStyle w:val="TableText0"/>
              <w:rPr>
                <w:rFonts w:ascii="Times" w:hAnsi="Times"/>
                <w:sz w:val="20"/>
                <w:szCs w:val="20"/>
              </w:rPr>
            </w:pPr>
            <w:r w:rsidRPr="000717E1">
              <w:rPr>
                <w:sz w:val="20"/>
                <w:szCs w:val="20"/>
              </w:rPr>
              <w:t>Incremental cost/extra QALY gained</w:t>
            </w:r>
          </w:p>
        </w:tc>
        <w:tc>
          <w:tcPr>
            <w:tcW w:w="833" w:type="pct"/>
            <w:vAlign w:val="center"/>
          </w:tcPr>
          <w:p w14:paraId="2ED27E04" w14:textId="724897A2" w:rsidR="00AC64A4" w:rsidRPr="00693948" w:rsidRDefault="00AC64A4" w:rsidP="00E13A0D">
            <w:pPr>
              <w:pStyle w:val="TableText0"/>
              <w:jc w:val="center"/>
              <w:rPr>
                <w:rFonts w:ascii="Times" w:hAnsi="Times"/>
                <w:sz w:val="20"/>
                <w:szCs w:val="20"/>
                <w:vertAlign w:val="superscript"/>
              </w:rPr>
            </w:pPr>
            <w:r w:rsidRPr="000717E1">
              <w:rPr>
                <w:sz w:val="20"/>
                <w:szCs w:val="20"/>
              </w:rPr>
              <w:t>$</w:t>
            </w:r>
            <w:r w:rsidR="00331ADA" w:rsidRPr="00331ADA">
              <w:rPr>
                <w:sz w:val="2"/>
                <w:szCs w:val="20"/>
                <w:highlight w:val="black"/>
              </w:rPr>
              <w:t>redacted content</w:t>
            </w:r>
            <w:r w:rsidR="00693948">
              <w:rPr>
                <w:sz w:val="20"/>
                <w:szCs w:val="20"/>
                <w:vertAlign w:val="superscript"/>
              </w:rPr>
              <w:t>4</w:t>
            </w:r>
          </w:p>
        </w:tc>
      </w:tr>
      <w:tr w:rsidR="001037D4" w:rsidRPr="000717E1" w14:paraId="6BB31FAF" w14:textId="77777777" w:rsidTr="00F34D45">
        <w:tc>
          <w:tcPr>
            <w:tcW w:w="5000" w:type="pct"/>
            <w:gridSpan w:val="4"/>
            <w:vAlign w:val="center"/>
          </w:tcPr>
          <w:p w14:paraId="171069AF" w14:textId="77777777" w:rsidR="00AC64A4" w:rsidRPr="000717E1" w:rsidRDefault="00AC64A4" w:rsidP="00334AFB">
            <w:pPr>
              <w:pStyle w:val="In-tableHeading"/>
            </w:pPr>
            <w:r w:rsidRPr="000717E1">
              <w:t>Step 5: Implement stopping rule</w:t>
            </w:r>
          </w:p>
        </w:tc>
      </w:tr>
      <w:tr w:rsidR="00A803ED" w:rsidRPr="000717E1" w14:paraId="1DEEC804" w14:textId="77777777" w:rsidTr="00F34D45">
        <w:tc>
          <w:tcPr>
            <w:tcW w:w="1543" w:type="pct"/>
            <w:vAlign w:val="center"/>
          </w:tcPr>
          <w:p w14:paraId="51D376DB" w14:textId="77777777" w:rsidR="00AC64A4" w:rsidRPr="000717E1" w:rsidRDefault="00AC64A4" w:rsidP="00E13A0D">
            <w:pPr>
              <w:pStyle w:val="TableText0"/>
              <w:rPr>
                <w:rFonts w:ascii="Times" w:hAnsi="Times"/>
                <w:sz w:val="20"/>
                <w:szCs w:val="20"/>
              </w:rPr>
            </w:pPr>
            <w:r w:rsidRPr="000717E1">
              <w:rPr>
                <w:sz w:val="20"/>
                <w:szCs w:val="20"/>
              </w:rPr>
              <w:t>Costs</w:t>
            </w:r>
          </w:p>
        </w:tc>
        <w:tc>
          <w:tcPr>
            <w:tcW w:w="1354" w:type="pct"/>
          </w:tcPr>
          <w:p w14:paraId="38839A2F" w14:textId="7B66A736" w:rsidR="00AC64A4" w:rsidRPr="000717E1" w:rsidRDefault="00AC64A4" w:rsidP="00E13A0D">
            <w:pPr>
              <w:pStyle w:val="TableText0"/>
              <w:jc w:val="center"/>
              <w:rPr>
                <w:rFonts w:ascii="Times" w:hAnsi="Times"/>
                <w:sz w:val="20"/>
                <w:szCs w:val="20"/>
              </w:rPr>
            </w:pPr>
            <w:r w:rsidRPr="000717E1">
              <w:rPr>
                <w:sz w:val="20"/>
                <w:szCs w:val="20"/>
              </w:rPr>
              <w:t>$</w:t>
            </w:r>
            <w:r w:rsidR="00331ADA" w:rsidRPr="00331ADA">
              <w:rPr>
                <w:sz w:val="2"/>
                <w:szCs w:val="20"/>
                <w:highlight w:val="black"/>
              </w:rPr>
              <w:t>redacted content</w:t>
            </w:r>
          </w:p>
        </w:tc>
        <w:tc>
          <w:tcPr>
            <w:tcW w:w="1270" w:type="pct"/>
          </w:tcPr>
          <w:p w14:paraId="2BBEC2C2" w14:textId="77777777" w:rsidR="00AC64A4" w:rsidRPr="000717E1" w:rsidRDefault="00AC64A4" w:rsidP="00E13A0D">
            <w:pPr>
              <w:pStyle w:val="TableText0"/>
              <w:jc w:val="center"/>
              <w:rPr>
                <w:rFonts w:ascii="Times" w:hAnsi="Times"/>
                <w:sz w:val="20"/>
                <w:szCs w:val="20"/>
              </w:rPr>
            </w:pPr>
            <w:r w:rsidRPr="000D6D61">
              <w:rPr>
                <w:sz w:val="20"/>
                <w:szCs w:val="20"/>
              </w:rPr>
              <w:t>$41,402</w:t>
            </w:r>
          </w:p>
        </w:tc>
        <w:tc>
          <w:tcPr>
            <w:tcW w:w="833" w:type="pct"/>
            <w:vAlign w:val="center"/>
          </w:tcPr>
          <w:p w14:paraId="50426378" w14:textId="594EE22B" w:rsidR="00AC64A4" w:rsidRPr="000717E1" w:rsidRDefault="00AC64A4" w:rsidP="00E13A0D">
            <w:pPr>
              <w:pStyle w:val="TableText0"/>
              <w:jc w:val="center"/>
              <w:rPr>
                <w:rFonts w:ascii="Times" w:hAnsi="Times"/>
                <w:sz w:val="20"/>
                <w:szCs w:val="20"/>
              </w:rPr>
            </w:pPr>
            <w:r w:rsidRPr="000717E1">
              <w:rPr>
                <w:sz w:val="20"/>
                <w:szCs w:val="20"/>
              </w:rPr>
              <w:t>$</w:t>
            </w:r>
            <w:r w:rsidR="00331ADA" w:rsidRPr="00331ADA">
              <w:rPr>
                <w:sz w:val="2"/>
                <w:szCs w:val="20"/>
                <w:highlight w:val="black"/>
              </w:rPr>
              <w:t>redacted content</w:t>
            </w:r>
          </w:p>
        </w:tc>
      </w:tr>
      <w:tr w:rsidR="00342349" w:rsidRPr="000717E1" w14:paraId="41010403" w14:textId="77777777" w:rsidTr="00F34D45">
        <w:tc>
          <w:tcPr>
            <w:tcW w:w="1543" w:type="pct"/>
            <w:vAlign w:val="center"/>
          </w:tcPr>
          <w:p w14:paraId="6C7BF7A0" w14:textId="77777777" w:rsidR="00AC64A4" w:rsidRPr="000717E1" w:rsidRDefault="00AC64A4" w:rsidP="00E13A0D">
            <w:pPr>
              <w:pStyle w:val="TableText0"/>
              <w:rPr>
                <w:rFonts w:ascii="Times" w:hAnsi="Times"/>
                <w:sz w:val="20"/>
                <w:szCs w:val="20"/>
              </w:rPr>
            </w:pPr>
            <w:r w:rsidRPr="000717E1">
              <w:rPr>
                <w:sz w:val="20"/>
                <w:szCs w:val="20"/>
              </w:rPr>
              <w:t>QALYG</w:t>
            </w:r>
          </w:p>
        </w:tc>
        <w:tc>
          <w:tcPr>
            <w:tcW w:w="1354" w:type="pct"/>
            <w:vAlign w:val="center"/>
          </w:tcPr>
          <w:p w14:paraId="6AD79B7A" w14:textId="77777777" w:rsidR="00AC64A4" w:rsidRPr="000717E1" w:rsidRDefault="00AC64A4" w:rsidP="00E13A0D">
            <w:pPr>
              <w:pStyle w:val="TableText0"/>
              <w:jc w:val="center"/>
              <w:rPr>
                <w:rFonts w:ascii="Times" w:hAnsi="Times"/>
                <w:sz w:val="20"/>
                <w:szCs w:val="20"/>
              </w:rPr>
            </w:pPr>
            <w:r w:rsidRPr="000717E1">
              <w:rPr>
                <w:sz w:val="20"/>
                <w:szCs w:val="20"/>
              </w:rPr>
              <w:t>5.27</w:t>
            </w:r>
          </w:p>
        </w:tc>
        <w:tc>
          <w:tcPr>
            <w:tcW w:w="1270" w:type="pct"/>
            <w:vAlign w:val="center"/>
          </w:tcPr>
          <w:p w14:paraId="6C7475F4" w14:textId="77777777" w:rsidR="00AC64A4" w:rsidRPr="000717E1" w:rsidRDefault="00AC64A4" w:rsidP="00E13A0D">
            <w:pPr>
              <w:pStyle w:val="TableText0"/>
              <w:jc w:val="center"/>
              <w:rPr>
                <w:rFonts w:ascii="Times" w:hAnsi="Times"/>
                <w:sz w:val="20"/>
                <w:szCs w:val="20"/>
              </w:rPr>
            </w:pPr>
            <w:r w:rsidRPr="000717E1">
              <w:rPr>
                <w:sz w:val="20"/>
                <w:szCs w:val="20"/>
              </w:rPr>
              <w:t>4.63</w:t>
            </w:r>
          </w:p>
        </w:tc>
        <w:tc>
          <w:tcPr>
            <w:tcW w:w="833" w:type="pct"/>
            <w:vAlign w:val="center"/>
          </w:tcPr>
          <w:p w14:paraId="4ADDFB5D" w14:textId="77777777" w:rsidR="00AC64A4" w:rsidRPr="000717E1" w:rsidRDefault="00AC64A4" w:rsidP="00E13A0D">
            <w:pPr>
              <w:pStyle w:val="TableText0"/>
              <w:jc w:val="center"/>
              <w:rPr>
                <w:sz w:val="20"/>
                <w:szCs w:val="20"/>
              </w:rPr>
            </w:pPr>
            <w:r w:rsidRPr="000717E1">
              <w:rPr>
                <w:sz w:val="20"/>
                <w:szCs w:val="20"/>
              </w:rPr>
              <w:t>0.63</w:t>
            </w:r>
          </w:p>
        </w:tc>
      </w:tr>
      <w:tr w:rsidR="00342349" w:rsidRPr="000717E1" w14:paraId="3E9EB58C" w14:textId="77777777" w:rsidTr="00F34D45">
        <w:tc>
          <w:tcPr>
            <w:tcW w:w="4167" w:type="pct"/>
            <w:gridSpan w:val="3"/>
            <w:vAlign w:val="center"/>
          </w:tcPr>
          <w:p w14:paraId="5F03D023" w14:textId="77777777" w:rsidR="00AC64A4" w:rsidRPr="000717E1" w:rsidRDefault="00AC64A4" w:rsidP="00E13A0D">
            <w:pPr>
              <w:pStyle w:val="TableText0"/>
              <w:rPr>
                <w:rFonts w:ascii="Times" w:hAnsi="Times"/>
                <w:sz w:val="20"/>
                <w:szCs w:val="20"/>
              </w:rPr>
            </w:pPr>
            <w:r w:rsidRPr="000717E1">
              <w:rPr>
                <w:sz w:val="20"/>
                <w:szCs w:val="20"/>
              </w:rPr>
              <w:t>Incremental cost/extra QALY gained</w:t>
            </w:r>
          </w:p>
        </w:tc>
        <w:tc>
          <w:tcPr>
            <w:tcW w:w="833" w:type="pct"/>
            <w:vAlign w:val="center"/>
          </w:tcPr>
          <w:p w14:paraId="3054C1E2" w14:textId="4C4DA086" w:rsidR="00AC64A4" w:rsidRPr="00B378C3" w:rsidRDefault="00AC64A4" w:rsidP="00E13A0D">
            <w:pPr>
              <w:pStyle w:val="TableText0"/>
              <w:jc w:val="center"/>
              <w:rPr>
                <w:rFonts w:ascii="Times" w:hAnsi="Times"/>
                <w:sz w:val="20"/>
                <w:szCs w:val="20"/>
                <w:vertAlign w:val="superscript"/>
              </w:rPr>
            </w:pPr>
            <w:r w:rsidRPr="000717E1">
              <w:rPr>
                <w:sz w:val="20"/>
                <w:szCs w:val="20"/>
              </w:rPr>
              <w:t>$</w:t>
            </w:r>
            <w:r w:rsidR="00331ADA" w:rsidRPr="00331ADA">
              <w:rPr>
                <w:sz w:val="2"/>
                <w:szCs w:val="20"/>
                <w:highlight w:val="black"/>
              </w:rPr>
              <w:t>redacted content</w:t>
            </w:r>
            <w:r w:rsidR="00B378C3">
              <w:rPr>
                <w:sz w:val="20"/>
                <w:szCs w:val="20"/>
                <w:vertAlign w:val="superscript"/>
              </w:rPr>
              <w:t>5</w:t>
            </w:r>
          </w:p>
        </w:tc>
      </w:tr>
      <w:tr w:rsidR="001037D4" w:rsidRPr="000717E1" w14:paraId="5B4F5AE8" w14:textId="77777777" w:rsidTr="00F34D45">
        <w:tc>
          <w:tcPr>
            <w:tcW w:w="5000" w:type="pct"/>
            <w:gridSpan w:val="4"/>
            <w:vAlign w:val="center"/>
          </w:tcPr>
          <w:p w14:paraId="69A78968" w14:textId="77777777" w:rsidR="00AC64A4" w:rsidRPr="000717E1" w:rsidRDefault="00AC64A4" w:rsidP="00334AFB">
            <w:pPr>
              <w:pStyle w:val="In-tableHeading"/>
            </w:pPr>
            <w:r w:rsidRPr="000717E1">
              <w:t>Step 6: Lifetime time horizon</w:t>
            </w:r>
          </w:p>
        </w:tc>
      </w:tr>
      <w:tr w:rsidR="00342349" w:rsidRPr="000717E1" w14:paraId="3788DD44" w14:textId="77777777" w:rsidTr="00F34D45">
        <w:tc>
          <w:tcPr>
            <w:tcW w:w="1543" w:type="pct"/>
            <w:vAlign w:val="center"/>
          </w:tcPr>
          <w:p w14:paraId="0E5F675A" w14:textId="77777777" w:rsidR="00AC64A4" w:rsidRPr="000717E1" w:rsidRDefault="00AC64A4" w:rsidP="00E13A0D">
            <w:pPr>
              <w:pStyle w:val="TableText0"/>
              <w:rPr>
                <w:rFonts w:ascii="Times" w:hAnsi="Times"/>
                <w:sz w:val="20"/>
                <w:szCs w:val="20"/>
              </w:rPr>
            </w:pPr>
            <w:r w:rsidRPr="000717E1">
              <w:rPr>
                <w:sz w:val="20"/>
                <w:szCs w:val="20"/>
              </w:rPr>
              <w:t>Costs</w:t>
            </w:r>
          </w:p>
        </w:tc>
        <w:tc>
          <w:tcPr>
            <w:tcW w:w="1354" w:type="pct"/>
            <w:vAlign w:val="center"/>
          </w:tcPr>
          <w:p w14:paraId="7D0C9ED7" w14:textId="731323C0" w:rsidR="00AC64A4" w:rsidRPr="000717E1" w:rsidRDefault="00AC64A4" w:rsidP="00E13A0D">
            <w:pPr>
              <w:pStyle w:val="TableText0"/>
              <w:jc w:val="center"/>
              <w:rPr>
                <w:rFonts w:ascii="Times" w:hAnsi="Times"/>
                <w:sz w:val="20"/>
                <w:szCs w:val="20"/>
              </w:rPr>
            </w:pPr>
            <w:r w:rsidRPr="000717E1">
              <w:rPr>
                <w:sz w:val="20"/>
                <w:szCs w:val="20"/>
              </w:rPr>
              <w:t>$</w:t>
            </w:r>
            <w:r w:rsidR="00331ADA" w:rsidRPr="00331ADA">
              <w:rPr>
                <w:sz w:val="2"/>
                <w:szCs w:val="20"/>
                <w:highlight w:val="black"/>
              </w:rPr>
              <w:t>redacted content</w:t>
            </w:r>
          </w:p>
        </w:tc>
        <w:tc>
          <w:tcPr>
            <w:tcW w:w="1270" w:type="pct"/>
            <w:vAlign w:val="center"/>
          </w:tcPr>
          <w:p w14:paraId="68369251" w14:textId="77777777" w:rsidR="00AC64A4" w:rsidRPr="000717E1" w:rsidRDefault="00AC64A4" w:rsidP="00E13A0D">
            <w:pPr>
              <w:pStyle w:val="TableText0"/>
              <w:jc w:val="center"/>
              <w:rPr>
                <w:rFonts w:ascii="Times" w:hAnsi="Times"/>
                <w:sz w:val="20"/>
                <w:szCs w:val="20"/>
              </w:rPr>
            </w:pPr>
            <w:r w:rsidRPr="000D6D61">
              <w:rPr>
                <w:sz w:val="20"/>
                <w:szCs w:val="20"/>
              </w:rPr>
              <w:t>$51,559</w:t>
            </w:r>
          </w:p>
        </w:tc>
        <w:tc>
          <w:tcPr>
            <w:tcW w:w="833" w:type="pct"/>
            <w:vAlign w:val="center"/>
          </w:tcPr>
          <w:p w14:paraId="10982324" w14:textId="439098F0" w:rsidR="00AC64A4" w:rsidRPr="000717E1" w:rsidRDefault="00AC64A4" w:rsidP="00E13A0D">
            <w:pPr>
              <w:pStyle w:val="TableText0"/>
              <w:jc w:val="center"/>
              <w:rPr>
                <w:rFonts w:ascii="Times" w:hAnsi="Times"/>
                <w:sz w:val="20"/>
                <w:szCs w:val="20"/>
              </w:rPr>
            </w:pPr>
            <w:r w:rsidRPr="000717E1">
              <w:rPr>
                <w:sz w:val="20"/>
                <w:szCs w:val="20"/>
              </w:rPr>
              <w:t>$</w:t>
            </w:r>
            <w:r w:rsidR="00331ADA" w:rsidRPr="00331ADA">
              <w:rPr>
                <w:sz w:val="2"/>
                <w:szCs w:val="20"/>
                <w:highlight w:val="black"/>
              </w:rPr>
              <w:t>redacted content</w:t>
            </w:r>
          </w:p>
        </w:tc>
      </w:tr>
      <w:tr w:rsidR="00342349" w:rsidRPr="000717E1" w14:paraId="210E3759" w14:textId="77777777" w:rsidTr="00F34D45">
        <w:tc>
          <w:tcPr>
            <w:tcW w:w="1543" w:type="pct"/>
            <w:vAlign w:val="center"/>
          </w:tcPr>
          <w:p w14:paraId="189D5498" w14:textId="77777777" w:rsidR="00AC64A4" w:rsidRPr="000717E1" w:rsidRDefault="00AC64A4" w:rsidP="00E13A0D">
            <w:pPr>
              <w:pStyle w:val="TableText0"/>
              <w:rPr>
                <w:rFonts w:ascii="Times" w:hAnsi="Times"/>
                <w:sz w:val="20"/>
                <w:szCs w:val="20"/>
              </w:rPr>
            </w:pPr>
            <w:r w:rsidRPr="000717E1">
              <w:rPr>
                <w:sz w:val="20"/>
                <w:szCs w:val="20"/>
              </w:rPr>
              <w:t>QALYG</w:t>
            </w:r>
          </w:p>
        </w:tc>
        <w:tc>
          <w:tcPr>
            <w:tcW w:w="1354" w:type="pct"/>
            <w:vAlign w:val="center"/>
          </w:tcPr>
          <w:p w14:paraId="66C30B5B" w14:textId="77777777" w:rsidR="00AC64A4" w:rsidRPr="000717E1" w:rsidRDefault="00AC64A4" w:rsidP="00E13A0D">
            <w:pPr>
              <w:pStyle w:val="TableText0"/>
              <w:jc w:val="center"/>
              <w:rPr>
                <w:rFonts w:ascii="Times" w:hAnsi="Times"/>
                <w:sz w:val="20"/>
                <w:szCs w:val="20"/>
              </w:rPr>
            </w:pPr>
            <w:r w:rsidRPr="000717E1">
              <w:rPr>
                <w:sz w:val="20"/>
                <w:szCs w:val="20"/>
              </w:rPr>
              <w:t>6.48</w:t>
            </w:r>
          </w:p>
        </w:tc>
        <w:tc>
          <w:tcPr>
            <w:tcW w:w="1270" w:type="pct"/>
            <w:vAlign w:val="center"/>
          </w:tcPr>
          <w:p w14:paraId="63978E7A" w14:textId="77777777" w:rsidR="00AC64A4" w:rsidRPr="000717E1" w:rsidRDefault="00AC64A4" w:rsidP="00E13A0D">
            <w:pPr>
              <w:pStyle w:val="TableText0"/>
              <w:jc w:val="center"/>
              <w:rPr>
                <w:rFonts w:ascii="Times" w:hAnsi="Times"/>
                <w:sz w:val="20"/>
                <w:szCs w:val="20"/>
              </w:rPr>
            </w:pPr>
            <w:r w:rsidRPr="000717E1">
              <w:rPr>
                <w:sz w:val="20"/>
                <w:szCs w:val="20"/>
              </w:rPr>
              <w:t>5.50</w:t>
            </w:r>
          </w:p>
        </w:tc>
        <w:tc>
          <w:tcPr>
            <w:tcW w:w="833" w:type="pct"/>
            <w:vAlign w:val="center"/>
          </w:tcPr>
          <w:p w14:paraId="4841D827" w14:textId="77777777" w:rsidR="00AC64A4" w:rsidRPr="000717E1" w:rsidRDefault="00AC64A4" w:rsidP="00E13A0D">
            <w:pPr>
              <w:pStyle w:val="TableText0"/>
              <w:jc w:val="center"/>
              <w:rPr>
                <w:sz w:val="20"/>
                <w:szCs w:val="20"/>
              </w:rPr>
            </w:pPr>
            <w:r w:rsidRPr="000717E1">
              <w:rPr>
                <w:sz w:val="20"/>
                <w:szCs w:val="20"/>
              </w:rPr>
              <w:t>0.99</w:t>
            </w:r>
          </w:p>
        </w:tc>
      </w:tr>
      <w:tr w:rsidR="00342349" w:rsidRPr="000717E1" w14:paraId="0EFB61BC" w14:textId="77777777" w:rsidTr="00F34D45">
        <w:tc>
          <w:tcPr>
            <w:tcW w:w="4167" w:type="pct"/>
            <w:gridSpan w:val="3"/>
            <w:vAlign w:val="center"/>
          </w:tcPr>
          <w:p w14:paraId="396E0961" w14:textId="77777777" w:rsidR="00AC64A4" w:rsidRPr="000717E1" w:rsidRDefault="00AC64A4" w:rsidP="00E13A0D">
            <w:pPr>
              <w:pStyle w:val="TableText0"/>
              <w:rPr>
                <w:rFonts w:ascii="Times" w:hAnsi="Times"/>
                <w:sz w:val="20"/>
                <w:szCs w:val="20"/>
              </w:rPr>
            </w:pPr>
            <w:r w:rsidRPr="000717E1">
              <w:rPr>
                <w:sz w:val="20"/>
                <w:szCs w:val="20"/>
              </w:rPr>
              <w:t>Incremental cost/extra QALY gained (base case)</w:t>
            </w:r>
          </w:p>
        </w:tc>
        <w:tc>
          <w:tcPr>
            <w:tcW w:w="833" w:type="pct"/>
            <w:vAlign w:val="center"/>
          </w:tcPr>
          <w:p w14:paraId="4D6AA2FB" w14:textId="6FDCBFB8" w:rsidR="00AC64A4" w:rsidRPr="000D6D61" w:rsidRDefault="00AC64A4" w:rsidP="00E13A0D">
            <w:pPr>
              <w:pStyle w:val="TableText0"/>
              <w:jc w:val="center"/>
              <w:rPr>
                <w:rFonts w:ascii="Times" w:hAnsi="Times"/>
                <w:sz w:val="20"/>
                <w:szCs w:val="20"/>
                <w:vertAlign w:val="superscript"/>
              </w:rPr>
            </w:pPr>
            <w:r w:rsidRPr="000717E1">
              <w:rPr>
                <w:sz w:val="20"/>
                <w:szCs w:val="20"/>
              </w:rPr>
              <w:t>$</w:t>
            </w:r>
            <w:r w:rsidR="00331ADA" w:rsidRPr="00331ADA">
              <w:rPr>
                <w:sz w:val="2"/>
                <w:szCs w:val="20"/>
                <w:highlight w:val="black"/>
              </w:rPr>
              <w:t>redacted content</w:t>
            </w:r>
            <w:r w:rsidR="000D6D61">
              <w:rPr>
                <w:sz w:val="20"/>
                <w:szCs w:val="20"/>
                <w:vertAlign w:val="superscript"/>
              </w:rPr>
              <w:t>6</w:t>
            </w:r>
          </w:p>
        </w:tc>
      </w:tr>
    </w:tbl>
    <w:p w14:paraId="5CE12803" w14:textId="77777777" w:rsidR="00AC64A4" w:rsidRPr="000717E1" w:rsidRDefault="00AC64A4" w:rsidP="00AC64A4">
      <w:pPr>
        <w:pStyle w:val="FooterTableFigure"/>
      </w:pPr>
      <w:r w:rsidRPr="000717E1">
        <w:t>Source: Table 3.8-4, p173 of the submission.</w:t>
      </w:r>
    </w:p>
    <w:p w14:paraId="44C8D634" w14:textId="022564E9" w:rsidR="00AC64A4" w:rsidRPr="000717E1" w:rsidRDefault="00AC64A4" w:rsidP="00AC64A4">
      <w:pPr>
        <w:pStyle w:val="FooterTableFigure"/>
      </w:pPr>
      <w:r w:rsidRPr="000717E1">
        <w:t>ICER = Incremental cost-effectiveness ratio; QALY = quality-adjusted life year; QALYG = QALY gained</w:t>
      </w:r>
      <w:r w:rsidR="00E320DF" w:rsidRPr="000717E1">
        <w:t>.</w:t>
      </w:r>
    </w:p>
    <w:p w14:paraId="67CE5DEF" w14:textId="7D51DAAF" w:rsidR="00AC64A4" w:rsidRDefault="00AC64A4" w:rsidP="00E37DE3">
      <w:pPr>
        <w:pStyle w:val="FooterTableFigure"/>
        <w:spacing w:after="0"/>
      </w:pPr>
      <w:r w:rsidRPr="000717E1">
        <w:rPr>
          <w:vertAlign w:val="superscript"/>
        </w:rPr>
        <w:t>a</w:t>
      </w:r>
      <w:r w:rsidRPr="000717E1">
        <w:t xml:space="preserve"> Rate of moderate exacerbations in the trials, uplifted by 2.5; Rate of severe exacerbations in the trials, uplifted by 3.5 to make the rates in the comparator arm </w:t>
      </w:r>
      <w:proofErr w:type="gramStart"/>
      <w:r w:rsidRPr="000717E1">
        <w:t>similar to</w:t>
      </w:r>
      <w:proofErr w:type="gramEnd"/>
      <w:r w:rsidRPr="000717E1">
        <w:t xml:space="preserve"> those observed in the year prior to the trials</w:t>
      </w:r>
      <w:r w:rsidR="00E320DF" w:rsidRPr="000717E1">
        <w:t>.</w:t>
      </w:r>
    </w:p>
    <w:p w14:paraId="38794360" w14:textId="77777777" w:rsidR="00E37DE3" w:rsidRPr="00E37DE3" w:rsidRDefault="00E37DE3" w:rsidP="00E37DE3">
      <w:pPr>
        <w:jc w:val="left"/>
        <w:rPr>
          <w:rFonts w:ascii="Arial Narrow" w:hAnsi="Arial Narrow"/>
          <w:i/>
          <w:sz w:val="18"/>
          <w:szCs w:val="18"/>
        </w:rPr>
      </w:pPr>
      <w:r w:rsidRPr="00E37DE3">
        <w:rPr>
          <w:rFonts w:ascii="Arial Narrow" w:hAnsi="Arial Narrow"/>
          <w:i/>
          <w:sz w:val="18"/>
          <w:szCs w:val="18"/>
        </w:rPr>
        <w:t xml:space="preserve">The redacted values correspond to the following ranges: </w:t>
      </w:r>
    </w:p>
    <w:p w14:paraId="1F1A9A76" w14:textId="27E9770D" w:rsidR="00E37DE3" w:rsidRPr="00E37DE3" w:rsidRDefault="00E37DE3" w:rsidP="00E37DE3">
      <w:pPr>
        <w:jc w:val="left"/>
        <w:rPr>
          <w:rFonts w:ascii="Arial Narrow" w:hAnsi="Arial Narrow"/>
          <w:i/>
          <w:sz w:val="18"/>
          <w:szCs w:val="18"/>
        </w:rPr>
      </w:pPr>
      <w:r w:rsidRPr="00E37DE3">
        <w:rPr>
          <w:rFonts w:ascii="Arial Narrow" w:hAnsi="Arial Narrow"/>
          <w:i/>
          <w:sz w:val="18"/>
          <w:szCs w:val="18"/>
          <w:vertAlign w:val="superscript"/>
        </w:rPr>
        <w:t>1</w:t>
      </w:r>
      <w:r w:rsidRPr="00E37DE3">
        <w:rPr>
          <w:rFonts w:ascii="Arial Narrow" w:hAnsi="Arial Narrow"/>
          <w:i/>
          <w:sz w:val="18"/>
          <w:szCs w:val="18"/>
        </w:rPr>
        <w:t xml:space="preserve"> </w:t>
      </w:r>
      <w:r w:rsidR="00657BC8" w:rsidRPr="00657BC8">
        <w:rPr>
          <w:rFonts w:ascii="Arial Narrow" w:hAnsi="Arial Narrow"/>
          <w:i/>
          <w:sz w:val="18"/>
          <w:szCs w:val="18"/>
        </w:rPr>
        <w:t>$45,000 to &lt; $55,000</w:t>
      </w:r>
    </w:p>
    <w:p w14:paraId="5AA45983" w14:textId="27531E16" w:rsidR="00E37DE3" w:rsidRPr="00E37DE3" w:rsidRDefault="00E37DE3" w:rsidP="00E37DE3">
      <w:pPr>
        <w:jc w:val="left"/>
        <w:rPr>
          <w:rFonts w:ascii="Arial Narrow" w:hAnsi="Arial Narrow"/>
          <w:i/>
          <w:sz w:val="18"/>
          <w:szCs w:val="18"/>
        </w:rPr>
      </w:pPr>
      <w:r w:rsidRPr="00E37DE3">
        <w:rPr>
          <w:rFonts w:ascii="Arial Narrow" w:hAnsi="Arial Narrow"/>
          <w:i/>
          <w:sz w:val="18"/>
          <w:szCs w:val="18"/>
          <w:vertAlign w:val="superscript"/>
        </w:rPr>
        <w:t>2</w:t>
      </w:r>
      <w:r w:rsidRPr="00E37DE3">
        <w:rPr>
          <w:rFonts w:ascii="Arial Narrow" w:hAnsi="Arial Narrow"/>
          <w:i/>
          <w:sz w:val="18"/>
          <w:szCs w:val="18"/>
        </w:rPr>
        <w:t xml:space="preserve"> </w:t>
      </w:r>
      <w:r w:rsidR="00A43065" w:rsidRPr="00A43065">
        <w:rPr>
          <w:rFonts w:ascii="Arial Narrow" w:hAnsi="Arial Narrow"/>
          <w:i/>
          <w:sz w:val="18"/>
          <w:szCs w:val="18"/>
        </w:rPr>
        <w:t>$15,000 to &lt; $25,000</w:t>
      </w:r>
    </w:p>
    <w:p w14:paraId="6E0ADCB7" w14:textId="420272DF" w:rsidR="00E37DE3" w:rsidRPr="00E37DE3" w:rsidRDefault="00E37DE3" w:rsidP="00E37DE3">
      <w:pPr>
        <w:jc w:val="left"/>
        <w:rPr>
          <w:rFonts w:ascii="Arial Narrow" w:hAnsi="Arial Narrow"/>
          <w:i/>
          <w:sz w:val="18"/>
          <w:szCs w:val="18"/>
        </w:rPr>
      </w:pPr>
      <w:r w:rsidRPr="00E37DE3">
        <w:rPr>
          <w:rFonts w:ascii="Arial Narrow" w:hAnsi="Arial Narrow"/>
          <w:i/>
          <w:sz w:val="18"/>
          <w:szCs w:val="18"/>
          <w:vertAlign w:val="superscript"/>
        </w:rPr>
        <w:t>3</w:t>
      </w:r>
      <w:r w:rsidRPr="00E37DE3">
        <w:rPr>
          <w:rFonts w:ascii="Arial Narrow" w:hAnsi="Arial Narrow"/>
          <w:i/>
          <w:sz w:val="18"/>
          <w:szCs w:val="18"/>
        </w:rPr>
        <w:t xml:space="preserve"> </w:t>
      </w:r>
      <w:r w:rsidR="004D15ED" w:rsidRPr="004D15ED">
        <w:rPr>
          <w:rFonts w:ascii="Arial Narrow" w:hAnsi="Arial Narrow"/>
          <w:i/>
          <w:sz w:val="18"/>
          <w:szCs w:val="18"/>
        </w:rPr>
        <w:t>$955,000 to &lt; $1,055,000</w:t>
      </w:r>
    </w:p>
    <w:p w14:paraId="31C2486D" w14:textId="18438476" w:rsidR="00E37DE3" w:rsidRPr="00E37DE3" w:rsidRDefault="00E37DE3" w:rsidP="00E37DE3">
      <w:pPr>
        <w:jc w:val="left"/>
        <w:rPr>
          <w:rFonts w:ascii="Arial Narrow" w:hAnsi="Arial Narrow"/>
          <w:i/>
          <w:sz w:val="18"/>
          <w:szCs w:val="18"/>
        </w:rPr>
      </w:pPr>
      <w:r w:rsidRPr="00E37DE3">
        <w:rPr>
          <w:rFonts w:ascii="Arial Narrow" w:hAnsi="Arial Narrow"/>
          <w:i/>
          <w:sz w:val="18"/>
          <w:szCs w:val="18"/>
          <w:vertAlign w:val="superscript"/>
        </w:rPr>
        <w:t>4</w:t>
      </w:r>
      <w:r w:rsidRPr="00E37DE3">
        <w:rPr>
          <w:rFonts w:ascii="Arial Narrow" w:hAnsi="Arial Narrow"/>
          <w:i/>
          <w:sz w:val="18"/>
          <w:szCs w:val="18"/>
        </w:rPr>
        <w:t xml:space="preserve"> </w:t>
      </w:r>
      <w:r w:rsidR="00693948" w:rsidRPr="00693948">
        <w:rPr>
          <w:rFonts w:ascii="Arial Narrow" w:hAnsi="Arial Narrow"/>
          <w:i/>
          <w:sz w:val="18"/>
          <w:szCs w:val="18"/>
        </w:rPr>
        <w:t>$95,000 to &lt; $115,000</w:t>
      </w:r>
    </w:p>
    <w:p w14:paraId="05613F77" w14:textId="56DA1195" w:rsidR="00E37DE3" w:rsidRPr="00E37DE3" w:rsidRDefault="00E37DE3" w:rsidP="00E37DE3">
      <w:pPr>
        <w:jc w:val="left"/>
        <w:rPr>
          <w:rFonts w:ascii="Arial Narrow" w:hAnsi="Arial Narrow"/>
          <w:i/>
          <w:sz w:val="18"/>
          <w:szCs w:val="18"/>
        </w:rPr>
      </w:pPr>
      <w:r w:rsidRPr="00E37DE3">
        <w:rPr>
          <w:rFonts w:ascii="Arial Narrow" w:hAnsi="Arial Narrow"/>
          <w:i/>
          <w:sz w:val="18"/>
          <w:szCs w:val="18"/>
          <w:vertAlign w:val="superscript"/>
        </w:rPr>
        <w:t>5</w:t>
      </w:r>
      <w:r w:rsidRPr="00E37DE3">
        <w:rPr>
          <w:rFonts w:ascii="Arial Narrow" w:hAnsi="Arial Narrow"/>
          <w:i/>
          <w:sz w:val="18"/>
          <w:szCs w:val="18"/>
        </w:rPr>
        <w:t xml:space="preserve"> </w:t>
      </w:r>
      <w:r w:rsidR="00B378C3" w:rsidRPr="00B378C3">
        <w:rPr>
          <w:rFonts w:ascii="Arial Narrow" w:hAnsi="Arial Narrow"/>
          <w:i/>
          <w:sz w:val="18"/>
          <w:szCs w:val="18"/>
        </w:rPr>
        <w:t>$55,000 to &lt; $75,000</w:t>
      </w:r>
    </w:p>
    <w:p w14:paraId="7ECC5EBD" w14:textId="3A79896A" w:rsidR="00E37DE3" w:rsidRPr="00E37DE3" w:rsidRDefault="00E37DE3" w:rsidP="00E37DE3">
      <w:pPr>
        <w:jc w:val="left"/>
        <w:rPr>
          <w:rFonts w:ascii="Arial Narrow" w:hAnsi="Arial Narrow"/>
          <w:i/>
          <w:sz w:val="18"/>
          <w:szCs w:val="18"/>
        </w:rPr>
      </w:pPr>
      <w:r w:rsidRPr="00E37DE3">
        <w:rPr>
          <w:rFonts w:ascii="Arial Narrow" w:hAnsi="Arial Narrow"/>
          <w:i/>
          <w:sz w:val="18"/>
          <w:szCs w:val="18"/>
          <w:vertAlign w:val="superscript"/>
        </w:rPr>
        <w:t>6</w:t>
      </w:r>
      <w:r w:rsidRPr="00E37DE3">
        <w:rPr>
          <w:rFonts w:ascii="Arial Narrow" w:hAnsi="Arial Narrow"/>
          <w:i/>
          <w:sz w:val="18"/>
          <w:szCs w:val="18"/>
        </w:rPr>
        <w:t xml:space="preserve"> </w:t>
      </w:r>
      <w:r w:rsidR="000D6D61" w:rsidRPr="000D6D61">
        <w:rPr>
          <w:rFonts w:ascii="Arial Narrow" w:hAnsi="Arial Narrow"/>
          <w:i/>
          <w:sz w:val="18"/>
          <w:szCs w:val="18"/>
        </w:rPr>
        <w:t>$35,000 to &lt; $45,000</w:t>
      </w:r>
    </w:p>
    <w:p w14:paraId="23E86D48" w14:textId="77777777" w:rsidR="00E37DE3" w:rsidRPr="000717E1" w:rsidRDefault="00E37DE3" w:rsidP="00AC64A4">
      <w:pPr>
        <w:pStyle w:val="FooterTableFigure"/>
        <w:rPr>
          <w:sz w:val="20"/>
        </w:rPr>
      </w:pPr>
    </w:p>
    <w:p w14:paraId="104D10D3" w14:textId="0230EC6E" w:rsidR="00331ADA" w:rsidRPr="000717E1" w:rsidRDefault="00AC64A4" w:rsidP="00331ADA">
      <w:pPr>
        <w:pStyle w:val="3-BodyText"/>
      </w:pPr>
      <w:bookmarkStart w:id="84" w:name="_Ref221769430"/>
      <w:r w:rsidRPr="000717E1">
        <w:t xml:space="preserve">The results of key univariate and multivariate analyses (MVA) are summarised in </w:t>
      </w:r>
      <w:r w:rsidRPr="000717E1">
        <w:fldChar w:fldCharType="begin"/>
      </w:r>
      <w:r w:rsidRPr="000717E1">
        <w:instrText xml:space="preserve"> REF _Ref104804865 \h </w:instrText>
      </w:r>
      <w:r w:rsidR="00C66728" w:rsidRPr="000717E1">
        <w:instrText xml:space="preserve"> \* MERGEFORMAT </w:instrText>
      </w:r>
      <w:r w:rsidRPr="000717E1">
        <w:fldChar w:fldCharType="separate"/>
      </w:r>
      <w:r w:rsidR="00281F45" w:rsidRPr="000717E1">
        <w:t>Table</w:t>
      </w:r>
      <w:r w:rsidR="00384E84">
        <w:t> </w:t>
      </w:r>
      <w:r w:rsidR="00281F45">
        <w:rPr>
          <w:noProof/>
        </w:rPr>
        <w:t>15</w:t>
      </w:r>
      <w:r w:rsidRPr="000717E1">
        <w:fldChar w:fldCharType="end"/>
      </w:r>
      <w:r w:rsidRPr="000717E1">
        <w:t xml:space="preserve">. </w:t>
      </w:r>
      <w:r w:rsidR="00535C49" w:rsidRPr="001F3F0F">
        <w:rPr>
          <w:iCs/>
        </w:rPr>
        <w:t>The</w:t>
      </w:r>
      <w:r w:rsidR="00074B65" w:rsidRPr="001F3F0F">
        <w:rPr>
          <w:iCs/>
        </w:rPr>
        <w:t xml:space="preserve"> Sub-Committees </w:t>
      </w:r>
      <w:r w:rsidR="000D0093" w:rsidRPr="001F3F0F">
        <w:rPr>
          <w:iCs/>
        </w:rPr>
        <w:t>considered a revised</w:t>
      </w:r>
      <w:r w:rsidR="00F26683" w:rsidRPr="001F3F0F">
        <w:rPr>
          <w:iCs/>
        </w:rPr>
        <w:t xml:space="preserve"> base case</w:t>
      </w:r>
      <w:r w:rsidR="00535C49" w:rsidRPr="001F3F0F">
        <w:rPr>
          <w:iCs/>
        </w:rPr>
        <w:t xml:space="preserve"> was required to address </w:t>
      </w:r>
      <w:proofErr w:type="gramStart"/>
      <w:r w:rsidR="002C1A51" w:rsidRPr="001F3F0F">
        <w:rPr>
          <w:iCs/>
        </w:rPr>
        <w:t>a number of</w:t>
      </w:r>
      <w:proofErr w:type="gramEnd"/>
      <w:r w:rsidR="002C1A51" w:rsidRPr="001F3F0F">
        <w:rPr>
          <w:iCs/>
        </w:rPr>
        <w:t xml:space="preserve"> unsupported assumptions</w:t>
      </w:r>
      <w:r w:rsidR="00105EF3" w:rsidRPr="001F3F0F">
        <w:rPr>
          <w:iCs/>
        </w:rPr>
        <w:t xml:space="preserve"> </w:t>
      </w:r>
      <w:r w:rsidR="00443DD6" w:rsidRPr="001F3F0F">
        <w:rPr>
          <w:iCs/>
        </w:rPr>
        <w:t>and advised it should</w:t>
      </w:r>
      <w:r w:rsidR="00F26683" w:rsidRPr="001F3F0F">
        <w:rPr>
          <w:iCs/>
        </w:rPr>
        <w:t xml:space="preserve"> </w:t>
      </w:r>
      <w:r w:rsidRPr="000717E1">
        <w:t>includ</w:t>
      </w:r>
      <w:r w:rsidR="00443DD6" w:rsidRPr="000717E1">
        <w:t>e</w:t>
      </w:r>
      <w:r w:rsidRPr="000717E1">
        <w:t xml:space="preserve"> a 10-year time horizon</w:t>
      </w:r>
      <w:r w:rsidR="00443DD6" w:rsidRPr="000717E1">
        <w:t xml:space="preserve"> and </w:t>
      </w:r>
      <w:r w:rsidR="004A600B">
        <w:t xml:space="preserve">the </w:t>
      </w:r>
      <w:r w:rsidRPr="000717E1">
        <w:t>remov</w:t>
      </w:r>
      <w:r w:rsidR="004A600B">
        <w:t>al of</w:t>
      </w:r>
      <w:r w:rsidRPr="000717E1">
        <w:t xml:space="preserve"> </w:t>
      </w:r>
      <w:r w:rsidR="004E7D77" w:rsidRPr="000717E1">
        <w:t xml:space="preserve">the </w:t>
      </w:r>
      <w:proofErr w:type="gramStart"/>
      <w:r w:rsidR="004E7D77" w:rsidRPr="000717E1">
        <w:t>2 year</w:t>
      </w:r>
      <w:proofErr w:type="gramEnd"/>
      <w:r w:rsidR="004E7D77" w:rsidRPr="000717E1">
        <w:t xml:space="preserve"> (maintained) </w:t>
      </w:r>
      <w:r w:rsidRPr="000717E1">
        <w:t>FEV</w:t>
      </w:r>
      <w:r w:rsidRPr="000717E1">
        <w:rPr>
          <w:vertAlign w:val="subscript"/>
        </w:rPr>
        <w:t>1</w:t>
      </w:r>
      <w:r w:rsidRPr="000717E1">
        <w:t xml:space="preserve"> treatment effect beyond the trial period in </w:t>
      </w:r>
      <w:r w:rsidR="004E7D77" w:rsidRPr="000717E1">
        <w:t xml:space="preserve">the </w:t>
      </w:r>
      <w:r w:rsidRPr="000717E1">
        <w:t>dupilumab arm</w:t>
      </w:r>
      <w:r w:rsidR="00E3362A" w:rsidRPr="001F3F0F">
        <w:rPr>
          <w:iCs/>
        </w:rPr>
        <w:t xml:space="preserve">. The Sub-Committees </w:t>
      </w:r>
      <w:r w:rsidR="00080332" w:rsidRPr="001F3F0F">
        <w:rPr>
          <w:iCs/>
        </w:rPr>
        <w:t>noted that these changes to the model</w:t>
      </w:r>
      <w:r w:rsidRPr="000717E1">
        <w:t xml:space="preserve"> increased the ICER to $</w:t>
      </w:r>
      <w:r w:rsidR="00F04341">
        <w:t>55,000 to &lt; $75,000</w:t>
      </w:r>
      <w:r w:rsidRPr="000717E1">
        <w:t>/QALY. Removing the CFR (in addition to the above changes) increased the ICER to $</w:t>
      </w:r>
      <w:r w:rsidR="00903136">
        <w:t>255,000 to &lt; $355,000</w:t>
      </w:r>
      <w:r w:rsidRPr="000717E1">
        <w:t>/QALY.</w:t>
      </w:r>
      <w:r w:rsidR="00D33F77" w:rsidRPr="000717E1">
        <w:t xml:space="preserve"> </w:t>
      </w:r>
      <w:r w:rsidR="00467C3C" w:rsidRPr="001F3F0F">
        <w:rPr>
          <w:iCs/>
          <w:szCs w:val="24"/>
        </w:rPr>
        <w:t xml:space="preserve">As noted in paragraph </w:t>
      </w:r>
      <w:r w:rsidR="00DF6A36" w:rsidRPr="001F3F0F">
        <w:rPr>
          <w:iCs/>
          <w:szCs w:val="24"/>
        </w:rPr>
        <w:fldChar w:fldCharType="begin"/>
      </w:r>
      <w:r w:rsidR="00DF6A36" w:rsidRPr="001F3F0F">
        <w:rPr>
          <w:iCs/>
          <w:szCs w:val="24"/>
        </w:rPr>
        <w:instrText xml:space="preserve"> REF _Ref222840667 \r \h </w:instrText>
      </w:r>
      <w:r w:rsidR="00DF6A36" w:rsidRPr="001F3F0F">
        <w:rPr>
          <w:iCs/>
          <w:szCs w:val="24"/>
        </w:rPr>
      </w:r>
      <w:r w:rsidR="00DF6A36" w:rsidRPr="001F3F0F">
        <w:rPr>
          <w:iCs/>
          <w:szCs w:val="24"/>
        </w:rPr>
        <w:fldChar w:fldCharType="separate"/>
      </w:r>
      <w:r w:rsidR="00D02134">
        <w:rPr>
          <w:iCs/>
          <w:szCs w:val="24"/>
        </w:rPr>
        <w:t>6.46</w:t>
      </w:r>
      <w:r w:rsidR="00DF6A36" w:rsidRPr="001F3F0F">
        <w:rPr>
          <w:iCs/>
          <w:szCs w:val="24"/>
        </w:rPr>
        <w:fldChar w:fldCharType="end"/>
      </w:r>
      <w:r w:rsidR="00467C3C" w:rsidRPr="001F3F0F">
        <w:rPr>
          <w:iCs/>
          <w:szCs w:val="24"/>
        </w:rPr>
        <w:t xml:space="preserve">, the Sub-Committees considered that including a CFR of 15.6% was likely too </w:t>
      </w:r>
      <w:proofErr w:type="gramStart"/>
      <w:r w:rsidR="00467C3C" w:rsidRPr="001F3F0F">
        <w:rPr>
          <w:iCs/>
          <w:szCs w:val="24"/>
        </w:rPr>
        <w:t>optimistic, but</w:t>
      </w:r>
      <w:proofErr w:type="gramEnd"/>
      <w:r w:rsidR="00467C3C" w:rsidRPr="001F3F0F">
        <w:rPr>
          <w:iCs/>
          <w:szCs w:val="24"/>
        </w:rPr>
        <w:t xml:space="preserve"> also considered removing it may be too conservative. The Sub-Committees considered a reduction in the CFR input may be </w:t>
      </w:r>
      <w:r w:rsidR="00467C3C" w:rsidRPr="00275C8E">
        <w:rPr>
          <w:iCs/>
          <w:szCs w:val="24"/>
        </w:rPr>
        <w:t xml:space="preserve">appropriate to account for the likely double counting of the mortality impact of severe exacerbations. The Sub-Committees noted that reducing the CFR for severe </w:t>
      </w:r>
      <w:r w:rsidR="00467C3C" w:rsidRPr="00275C8E">
        <w:rPr>
          <w:iCs/>
          <w:szCs w:val="24"/>
        </w:rPr>
        <w:lastRenderedPageBreak/>
        <w:t>exacerbations to 10% and further to 5% increased the ICER</w:t>
      </w:r>
      <w:r w:rsidR="00467C3C" w:rsidRPr="001F3F0F">
        <w:rPr>
          <w:iCs/>
          <w:szCs w:val="24"/>
        </w:rPr>
        <w:t xml:space="preserve"> to $</w:t>
      </w:r>
      <w:r w:rsidR="00903136">
        <w:rPr>
          <w:iCs/>
          <w:szCs w:val="24"/>
        </w:rPr>
        <w:t xml:space="preserve">75,000 to &lt; $95,000 </w:t>
      </w:r>
      <w:r w:rsidR="00467C3C" w:rsidRPr="001F3F0F">
        <w:rPr>
          <w:iCs/>
          <w:szCs w:val="24"/>
        </w:rPr>
        <w:t>per QALY gained and $</w:t>
      </w:r>
      <w:r w:rsidR="00903136">
        <w:rPr>
          <w:iCs/>
          <w:szCs w:val="24"/>
        </w:rPr>
        <w:t xml:space="preserve">115,000 to &lt; $135,000 </w:t>
      </w:r>
      <w:r w:rsidR="00467C3C" w:rsidRPr="001F3F0F">
        <w:rPr>
          <w:iCs/>
          <w:szCs w:val="24"/>
        </w:rPr>
        <w:t>per QALY gained</w:t>
      </w:r>
      <w:r w:rsidR="00491311">
        <w:rPr>
          <w:iCs/>
          <w:szCs w:val="24"/>
        </w:rPr>
        <w:t>,</w:t>
      </w:r>
      <w:r w:rsidR="00467C3C" w:rsidRPr="001F3F0F">
        <w:rPr>
          <w:iCs/>
          <w:szCs w:val="24"/>
        </w:rPr>
        <w:t xml:space="preserve"> respectively.</w:t>
      </w:r>
      <w:bookmarkEnd w:id="84"/>
      <w:r w:rsidR="00AA5930" w:rsidRPr="000717E1">
        <w:t xml:space="preserve"> </w:t>
      </w:r>
    </w:p>
    <w:p w14:paraId="09350631" w14:textId="54BF96A6" w:rsidR="00AC64A4" w:rsidRPr="000717E1" w:rsidRDefault="00AC64A4" w:rsidP="00AC64A4">
      <w:pPr>
        <w:pStyle w:val="Caption"/>
        <w:rPr>
          <w:rStyle w:val="CommentReference"/>
          <w:b/>
          <w:szCs w:val="24"/>
        </w:rPr>
      </w:pPr>
      <w:bookmarkStart w:id="85" w:name="_Ref104804865"/>
      <w:r w:rsidRPr="000717E1">
        <w:lastRenderedPageBreak/>
        <w:t xml:space="preserve">Table </w:t>
      </w:r>
      <w:fldSimple w:instr=" SEQ Table \* ARABIC ">
        <w:r w:rsidR="00281F45">
          <w:rPr>
            <w:noProof/>
          </w:rPr>
          <w:t>15</w:t>
        </w:r>
      </w:fldSimple>
      <w:bookmarkEnd w:id="85"/>
      <w:r w:rsidRPr="000717E1">
        <w:t>:</w:t>
      </w:r>
      <w:r w:rsidRPr="000717E1">
        <w:rPr>
          <w:rStyle w:val="CommentReference"/>
          <w:b/>
          <w:szCs w:val="24"/>
        </w:rPr>
        <w:t xml:space="preserve"> Sensitivity analyses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15: Sensitivity analyses"/>
      </w:tblPr>
      <w:tblGrid>
        <w:gridCol w:w="3413"/>
        <w:gridCol w:w="1400"/>
        <w:gridCol w:w="1400"/>
        <w:gridCol w:w="1716"/>
        <w:gridCol w:w="1081"/>
      </w:tblGrid>
      <w:tr w:rsidR="00AC64A4" w:rsidRPr="000717E1" w14:paraId="7B8AE548" w14:textId="77777777" w:rsidTr="00491311">
        <w:trPr>
          <w:cantSplit/>
          <w:trHeight w:val="20"/>
          <w:tblHeader/>
        </w:trPr>
        <w:tc>
          <w:tcPr>
            <w:tcW w:w="1894" w:type="pct"/>
            <w:vAlign w:val="center"/>
          </w:tcPr>
          <w:p w14:paraId="6B643459" w14:textId="065E7E22" w:rsidR="00AC64A4" w:rsidRPr="000717E1" w:rsidRDefault="00AC64A4" w:rsidP="00334AFB">
            <w:pPr>
              <w:pStyle w:val="In-tableHeading"/>
            </w:pPr>
            <w:r w:rsidRPr="000717E1">
              <w:t>Analyses</w:t>
            </w:r>
          </w:p>
        </w:tc>
        <w:tc>
          <w:tcPr>
            <w:tcW w:w="777" w:type="pct"/>
            <w:vAlign w:val="center"/>
          </w:tcPr>
          <w:p w14:paraId="7E392EB1" w14:textId="77777777" w:rsidR="00AC64A4" w:rsidRPr="000717E1" w:rsidRDefault="00AC64A4" w:rsidP="00334AFB">
            <w:pPr>
              <w:pStyle w:val="In-tableHeading"/>
            </w:pPr>
            <w:r w:rsidRPr="000717E1">
              <w:t>Incremental QALY</w:t>
            </w:r>
          </w:p>
        </w:tc>
        <w:tc>
          <w:tcPr>
            <w:tcW w:w="777" w:type="pct"/>
            <w:vAlign w:val="center"/>
          </w:tcPr>
          <w:p w14:paraId="72C13FF2" w14:textId="77777777" w:rsidR="00AC64A4" w:rsidRPr="000717E1" w:rsidRDefault="00AC64A4" w:rsidP="00334AFB">
            <w:pPr>
              <w:pStyle w:val="In-tableHeading"/>
            </w:pPr>
            <w:r w:rsidRPr="000717E1">
              <w:t>Incremental cost</w:t>
            </w:r>
          </w:p>
        </w:tc>
        <w:tc>
          <w:tcPr>
            <w:tcW w:w="952" w:type="pct"/>
            <w:vAlign w:val="center"/>
          </w:tcPr>
          <w:p w14:paraId="7ABF2CA8" w14:textId="77777777" w:rsidR="00AC64A4" w:rsidRPr="000717E1" w:rsidRDefault="00AC64A4" w:rsidP="00334AFB">
            <w:pPr>
              <w:pStyle w:val="In-tableHeading"/>
            </w:pPr>
            <w:r w:rsidRPr="000717E1">
              <w:t>ICER</w:t>
            </w:r>
          </w:p>
        </w:tc>
        <w:tc>
          <w:tcPr>
            <w:tcW w:w="600" w:type="pct"/>
            <w:vAlign w:val="center"/>
          </w:tcPr>
          <w:p w14:paraId="13213214" w14:textId="77777777" w:rsidR="00AC64A4" w:rsidRPr="000717E1" w:rsidRDefault="00AC64A4" w:rsidP="00334AFB">
            <w:pPr>
              <w:pStyle w:val="In-tableHeading"/>
            </w:pPr>
            <w:r w:rsidRPr="000717E1">
              <w:t>% change to ICER</w:t>
            </w:r>
          </w:p>
        </w:tc>
      </w:tr>
      <w:tr w:rsidR="00AC64A4" w:rsidRPr="000717E1" w14:paraId="75B08868" w14:textId="77777777" w:rsidTr="00491311">
        <w:trPr>
          <w:cantSplit/>
          <w:trHeight w:val="20"/>
        </w:trPr>
        <w:tc>
          <w:tcPr>
            <w:tcW w:w="1894" w:type="pct"/>
            <w:vAlign w:val="center"/>
          </w:tcPr>
          <w:p w14:paraId="1A8AE7F4" w14:textId="77777777" w:rsidR="00AC64A4" w:rsidRPr="000717E1" w:rsidRDefault="00AC64A4" w:rsidP="00E13A0D">
            <w:pPr>
              <w:pStyle w:val="TableText0"/>
              <w:ind w:left="174" w:hanging="174"/>
              <w:rPr>
                <w:b/>
                <w:bCs/>
                <w:sz w:val="20"/>
                <w:szCs w:val="20"/>
              </w:rPr>
            </w:pPr>
            <w:r w:rsidRPr="000717E1">
              <w:rPr>
                <w:b/>
                <w:bCs/>
                <w:sz w:val="20"/>
                <w:szCs w:val="20"/>
              </w:rPr>
              <w:t>Base case</w:t>
            </w:r>
          </w:p>
        </w:tc>
        <w:tc>
          <w:tcPr>
            <w:tcW w:w="777" w:type="pct"/>
            <w:vAlign w:val="center"/>
          </w:tcPr>
          <w:p w14:paraId="5DF14B96" w14:textId="77777777" w:rsidR="00AC64A4" w:rsidRPr="000717E1" w:rsidRDefault="00AC64A4" w:rsidP="00E13A0D">
            <w:pPr>
              <w:pStyle w:val="TableText0"/>
              <w:jc w:val="center"/>
              <w:rPr>
                <w:b/>
                <w:bCs/>
                <w:sz w:val="20"/>
                <w:szCs w:val="20"/>
                <w:highlight w:val="black"/>
              </w:rPr>
            </w:pPr>
            <w:r w:rsidRPr="000717E1">
              <w:rPr>
                <w:b/>
                <w:bCs/>
                <w:sz w:val="20"/>
                <w:szCs w:val="20"/>
              </w:rPr>
              <w:t>0.99</w:t>
            </w:r>
          </w:p>
        </w:tc>
        <w:tc>
          <w:tcPr>
            <w:tcW w:w="777" w:type="pct"/>
            <w:vAlign w:val="center"/>
          </w:tcPr>
          <w:p w14:paraId="0CEDB26E" w14:textId="4D745636" w:rsidR="00AC64A4" w:rsidRPr="000717E1" w:rsidRDefault="00AC64A4" w:rsidP="00E13A0D">
            <w:pPr>
              <w:pStyle w:val="TableText0"/>
              <w:jc w:val="center"/>
              <w:rPr>
                <w:b/>
                <w:bCs/>
                <w:sz w:val="20"/>
                <w:szCs w:val="20"/>
              </w:rPr>
            </w:pPr>
            <w:r w:rsidRPr="000717E1">
              <w:rPr>
                <w:b/>
                <w:bCs/>
                <w:sz w:val="20"/>
                <w:szCs w:val="20"/>
              </w:rPr>
              <w:t>$</w:t>
            </w:r>
            <w:r w:rsidR="00331ADA" w:rsidRPr="00331ADA">
              <w:rPr>
                <w:b/>
                <w:bCs/>
                <w:sz w:val="2"/>
                <w:szCs w:val="20"/>
                <w:highlight w:val="black"/>
              </w:rPr>
              <w:t>redacted content</w:t>
            </w:r>
          </w:p>
        </w:tc>
        <w:tc>
          <w:tcPr>
            <w:tcW w:w="952" w:type="pct"/>
            <w:vAlign w:val="center"/>
          </w:tcPr>
          <w:p w14:paraId="15E2DFE2" w14:textId="6C3899F6" w:rsidR="00AC64A4" w:rsidRPr="00903136" w:rsidRDefault="00AC64A4" w:rsidP="00E13A0D">
            <w:pPr>
              <w:pStyle w:val="TableText0"/>
              <w:jc w:val="center"/>
              <w:rPr>
                <w:b/>
                <w:bCs/>
                <w:sz w:val="20"/>
                <w:szCs w:val="20"/>
                <w:highlight w:val="black"/>
                <w:vertAlign w:val="superscript"/>
              </w:rPr>
            </w:pPr>
            <w:r w:rsidRPr="000717E1">
              <w:rPr>
                <w:b/>
                <w:bCs/>
                <w:sz w:val="20"/>
                <w:szCs w:val="20"/>
              </w:rPr>
              <w:t>$</w:t>
            </w:r>
            <w:r w:rsidR="00331ADA" w:rsidRPr="00331ADA">
              <w:rPr>
                <w:b/>
                <w:bCs/>
                <w:sz w:val="2"/>
                <w:szCs w:val="20"/>
                <w:highlight w:val="black"/>
              </w:rPr>
              <w:t>redacted content</w:t>
            </w:r>
            <w:r w:rsidR="00903136" w:rsidRPr="00903136">
              <w:rPr>
                <w:b/>
                <w:bCs/>
                <w:sz w:val="20"/>
                <w:szCs w:val="20"/>
                <w:vertAlign w:val="superscript"/>
              </w:rPr>
              <w:t>1</w:t>
            </w:r>
          </w:p>
        </w:tc>
        <w:tc>
          <w:tcPr>
            <w:tcW w:w="600" w:type="pct"/>
          </w:tcPr>
          <w:p w14:paraId="3BB3A43D" w14:textId="77777777" w:rsidR="00AC64A4" w:rsidRPr="000717E1" w:rsidRDefault="00AC64A4" w:rsidP="00E13A0D">
            <w:pPr>
              <w:pStyle w:val="TableText0"/>
              <w:jc w:val="center"/>
              <w:rPr>
                <w:sz w:val="20"/>
                <w:szCs w:val="20"/>
              </w:rPr>
            </w:pPr>
            <w:r w:rsidRPr="000717E1">
              <w:rPr>
                <w:sz w:val="20"/>
                <w:szCs w:val="20"/>
              </w:rPr>
              <w:t>-</w:t>
            </w:r>
          </w:p>
        </w:tc>
      </w:tr>
      <w:tr w:rsidR="00AC64A4" w:rsidRPr="000717E1" w14:paraId="448DBB63" w14:textId="77777777" w:rsidTr="00491311">
        <w:trPr>
          <w:cantSplit/>
          <w:trHeight w:val="20"/>
        </w:trPr>
        <w:tc>
          <w:tcPr>
            <w:tcW w:w="4400" w:type="pct"/>
            <w:gridSpan w:val="4"/>
            <w:vAlign w:val="center"/>
          </w:tcPr>
          <w:p w14:paraId="106DEC3B" w14:textId="77777777" w:rsidR="00AC64A4" w:rsidRPr="000717E1" w:rsidRDefault="00AC64A4" w:rsidP="00E13A0D">
            <w:pPr>
              <w:pStyle w:val="TableText0"/>
              <w:ind w:left="174" w:hanging="174"/>
              <w:rPr>
                <w:sz w:val="20"/>
                <w:szCs w:val="20"/>
              </w:rPr>
            </w:pPr>
            <w:r w:rsidRPr="000717E1">
              <w:rPr>
                <w:sz w:val="20"/>
                <w:szCs w:val="20"/>
              </w:rPr>
              <w:t>Time horizon (base case: 35 years)</w:t>
            </w:r>
          </w:p>
        </w:tc>
        <w:tc>
          <w:tcPr>
            <w:tcW w:w="600" w:type="pct"/>
            <w:vAlign w:val="center"/>
          </w:tcPr>
          <w:p w14:paraId="640C3D04" w14:textId="77777777" w:rsidR="00AC64A4" w:rsidRPr="000717E1" w:rsidRDefault="00AC64A4" w:rsidP="00E13A0D">
            <w:pPr>
              <w:pStyle w:val="TableText0"/>
              <w:jc w:val="center"/>
              <w:rPr>
                <w:sz w:val="20"/>
                <w:szCs w:val="20"/>
              </w:rPr>
            </w:pPr>
          </w:p>
        </w:tc>
      </w:tr>
      <w:tr w:rsidR="00AC64A4" w:rsidRPr="000717E1" w14:paraId="6A447B69" w14:textId="77777777" w:rsidTr="00491311">
        <w:trPr>
          <w:cantSplit/>
          <w:trHeight w:val="20"/>
        </w:trPr>
        <w:tc>
          <w:tcPr>
            <w:tcW w:w="1894" w:type="pct"/>
            <w:vAlign w:val="center"/>
          </w:tcPr>
          <w:p w14:paraId="0C5AA540" w14:textId="2C849570" w:rsidR="00AC64A4" w:rsidRPr="000717E1" w:rsidRDefault="00AC64A4" w:rsidP="00E13A0D">
            <w:pPr>
              <w:pStyle w:val="TableText0"/>
              <w:ind w:left="174" w:hanging="174"/>
              <w:rPr>
                <w:sz w:val="20"/>
                <w:szCs w:val="20"/>
              </w:rPr>
            </w:pPr>
            <w:r w:rsidRPr="000717E1">
              <w:rPr>
                <w:sz w:val="20"/>
                <w:szCs w:val="20"/>
              </w:rPr>
              <w:tab/>
              <w:t>10 years</w:t>
            </w:r>
            <w:r w:rsidR="00E01A8D" w:rsidRPr="000717E1">
              <w:rPr>
                <w:sz w:val="20"/>
                <w:szCs w:val="20"/>
              </w:rPr>
              <w:t xml:space="preserve"> (</w:t>
            </w:r>
            <w:r w:rsidR="002771B9" w:rsidRPr="000717E1">
              <w:rPr>
                <w:sz w:val="20"/>
                <w:szCs w:val="20"/>
              </w:rPr>
              <w:t>A</w:t>
            </w:r>
            <w:r w:rsidR="00E01A8D" w:rsidRPr="000717E1">
              <w:rPr>
                <w:sz w:val="20"/>
                <w:szCs w:val="20"/>
              </w:rPr>
              <w:t>)</w:t>
            </w:r>
          </w:p>
        </w:tc>
        <w:tc>
          <w:tcPr>
            <w:tcW w:w="777" w:type="pct"/>
            <w:vAlign w:val="center"/>
          </w:tcPr>
          <w:p w14:paraId="0C824B64" w14:textId="77777777" w:rsidR="00AC64A4" w:rsidRPr="000717E1" w:rsidRDefault="00AC64A4" w:rsidP="00E13A0D">
            <w:pPr>
              <w:pStyle w:val="TableText0"/>
              <w:jc w:val="center"/>
              <w:rPr>
                <w:sz w:val="20"/>
                <w:szCs w:val="20"/>
              </w:rPr>
            </w:pPr>
            <w:r w:rsidRPr="000717E1">
              <w:rPr>
                <w:sz w:val="20"/>
                <w:szCs w:val="20"/>
              </w:rPr>
              <w:t>0.63</w:t>
            </w:r>
          </w:p>
        </w:tc>
        <w:tc>
          <w:tcPr>
            <w:tcW w:w="777" w:type="pct"/>
            <w:vAlign w:val="center"/>
          </w:tcPr>
          <w:p w14:paraId="7D92E536" w14:textId="473A6457" w:rsidR="00AC64A4" w:rsidRPr="000717E1" w:rsidRDefault="00AC64A4" w:rsidP="00E13A0D">
            <w:pPr>
              <w:pStyle w:val="TableText0"/>
              <w:jc w:val="center"/>
              <w:rPr>
                <w:sz w:val="20"/>
                <w:szCs w:val="20"/>
              </w:rPr>
            </w:pPr>
            <w:r w:rsidRPr="000717E1">
              <w:rPr>
                <w:sz w:val="20"/>
                <w:szCs w:val="20"/>
              </w:rPr>
              <w:t>$</w:t>
            </w:r>
            <w:r w:rsidR="00331ADA" w:rsidRPr="00331ADA">
              <w:rPr>
                <w:sz w:val="2"/>
                <w:szCs w:val="20"/>
                <w:highlight w:val="black"/>
              </w:rPr>
              <w:t>redacted content</w:t>
            </w:r>
          </w:p>
        </w:tc>
        <w:tc>
          <w:tcPr>
            <w:tcW w:w="952" w:type="pct"/>
            <w:vAlign w:val="center"/>
          </w:tcPr>
          <w:p w14:paraId="07703711" w14:textId="70B5B8A4" w:rsidR="00AC64A4" w:rsidRPr="00903136" w:rsidRDefault="00AC64A4" w:rsidP="00E13A0D">
            <w:pPr>
              <w:pStyle w:val="TableText0"/>
              <w:jc w:val="center"/>
              <w:rPr>
                <w:sz w:val="20"/>
                <w:szCs w:val="20"/>
                <w:vertAlign w:val="superscript"/>
              </w:rPr>
            </w:pPr>
            <w:r w:rsidRPr="000717E1">
              <w:rPr>
                <w:sz w:val="20"/>
                <w:szCs w:val="20"/>
              </w:rPr>
              <w:t>$</w:t>
            </w:r>
            <w:r w:rsidR="00331ADA" w:rsidRPr="00331ADA">
              <w:rPr>
                <w:sz w:val="2"/>
                <w:szCs w:val="20"/>
                <w:highlight w:val="black"/>
              </w:rPr>
              <w:t>redacted content</w:t>
            </w:r>
            <w:r w:rsidR="00903136">
              <w:rPr>
                <w:sz w:val="20"/>
                <w:szCs w:val="20"/>
                <w:vertAlign w:val="superscript"/>
              </w:rPr>
              <w:t>2</w:t>
            </w:r>
          </w:p>
        </w:tc>
        <w:tc>
          <w:tcPr>
            <w:tcW w:w="600" w:type="pct"/>
            <w:vAlign w:val="center"/>
          </w:tcPr>
          <w:p w14:paraId="76FD30C2" w14:textId="7C003FC6" w:rsidR="00AC64A4" w:rsidRPr="000717E1" w:rsidRDefault="00331ADA" w:rsidP="00E13A0D">
            <w:pPr>
              <w:pStyle w:val="TableText0"/>
              <w:jc w:val="center"/>
              <w:rPr>
                <w:sz w:val="20"/>
                <w:szCs w:val="20"/>
              </w:rPr>
            </w:pPr>
            <w:r w:rsidRPr="00331ADA">
              <w:rPr>
                <w:sz w:val="2"/>
                <w:szCs w:val="20"/>
                <w:highlight w:val="black"/>
              </w:rPr>
              <w:t>redacted content</w:t>
            </w:r>
            <w:r w:rsidR="00AC64A4" w:rsidRPr="000717E1">
              <w:rPr>
                <w:sz w:val="20"/>
                <w:szCs w:val="20"/>
              </w:rPr>
              <w:t>%</w:t>
            </w:r>
          </w:p>
        </w:tc>
      </w:tr>
      <w:tr w:rsidR="00AC64A4" w:rsidRPr="000717E1" w14:paraId="77433DD6" w14:textId="77777777" w:rsidTr="00491311">
        <w:trPr>
          <w:cantSplit/>
          <w:trHeight w:val="20"/>
        </w:trPr>
        <w:tc>
          <w:tcPr>
            <w:tcW w:w="5000" w:type="pct"/>
            <w:gridSpan w:val="5"/>
            <w:vAlign w:val="center"/>
          </w:tcPr>
          <w:p w14:paraId="603F4B93" w14:textId="77777777" w:rsidR="00AC64A4" w:rsidRPr="000717E1" w:rsidRDefault="00AC64A4" w:rsidP="00E13A0D">
            <w:pPr>
              <w:pStyle w:val="TableText0"/>
              <w:ind w:left="174" w:hanging="174"/>
              <w:rPr>
                <w:rFonts w:eastAsia="Calibri"/>
                <w:sz w:val="20"/>
                <w:szCs w:val="20"/>
              </w:rPr>
            </w:pPr>
            <w:r w:rsidRPr="000717E1">
              <w:rPr>
                <w:sz w:val="20"/>
                <w:szCs w:val="20"/>
              </w:rPr>
              <w:t>Discount rate (base case: 5%)</w:t>
            </w:r>
          </w:p>
        </w:tc>
      </w:tr>
      <w:tr w:rsidR="00AC64A4" w:rsidRPr="000717E1" w14:paraId="736EE2AD" w14:textId="77777777" w:rsidTr="00491311">
        <w:trPr>
          <w:cantSplit/>
          <w:trHeight w:val="20"/>
        </w:trPr>
        <w:tc>
          <w:tcPr>
            <w:tcW w:w="1894" w:type="pct"/>
            <w:vAlign w:val="center"/>
          </w:tcPr>
          <w:p w14:paraId="69A8291C" w14:textId="77777777" w:rsidR="00AC64A4" w:rsidRPr="000717E1" w:rsidRDefault="00AC64A4" w:rsidP="00E13A0D">
            <w:pPr>
              <w:pStyle w:val="TableText0"/>
              <w:ind w:left="174" w:hanging="174"/>
              <w:rPr>
                <w:sz w:val="20"/>
                <w:szCs w:val="20"/>
              </w:rPr>
            </w:pPr>
            <w:r w:rsidRPr="000717E1">
              <w:rPr>
                <w:sz w:val="20"/>
                <w:szCs w:val="20"/>
              </w:rPr>
              <w:tab/>
              <w:t>0%</w:t>
            </w:r>
          </w:p>
        </w:tc>
        <w:tc>
          <w:tcPr>
            <w:tcW w:w="777" w:type="pct"/>
            <w:vAlign w:val="center"/>
          </w:tcPr>
          <w:p w14:paraId="733E0670" w14:textId="77777777" w:rsidR="00AC64A4" w:rsidRPr="000717E1" w:rsidRDefault="00AC64A4" w:rsidP="00E13A0D">
            <w:pPr>
              <w:pStyle w:val="TableText0"/>
              <w:jc w:val="center"/>
              <w:rPr>
                <w:sz w:val="20"/>
                <w:szCs w:val="20"/>
              </w:rPr>
            </w:pPr>
            <w:r w:rsidRPr="000717E1">
              <w:rPr>
                <w:sz w:val="20"/>
                <w:szCs w:val="20"/>
              </w:rPr>
              <w:t>1.52</w:t>
            </w:r>
          </w:p>
        </w:tc>
        <w:tc>
          <w:tcPr>
            <w:tcW w:w="777" w:type="pct"/>
            <w:vAlign w:val="center"/>
          </w:tcPr>
          <w:p w14:paraId="2D89ECC7" w14:textId="5C80E9A5" w:rsidR="00AC64A4" w:rsidRPr="000717E1" w:rsidRDefault="00AC64A4" w:rsidP="00E13A0D">
            <w:pPr>
              <w:pStyle w:val="TableText0"/>
              <w:jc w:val="center"/>
              <w:rPr>
                <w:sz w:val="20"/>
                <w:szCs w:val="20"/>
              </w:rPr>
            </w:pPr>
            <w:r w:rsidRPr="000717E1">
              <w:rPr>
                <w:sz w:val="20"/>
                <w:szCs w:val="20"/>
              </w:rPr>
              <w:t>$</w:t>
            </w:r>
            <w:r w:rsidR="00331ADA" w:rsidRPr="00331ADA">
              <w:rPr>
                <w:sz w:val="2"/>
                <w:szCs w:val="20"/>
                <w:highlight w:val="black"/>
              </w:rPr>
              <w:t>redacted content</w:t>
            </w:r>
          </w:p>
        </w:tc>
        <w:tc>
          <w:tcPr>
            <w:tcW w:w="952" w:type="pct"/>
            <w:vAlign w:val="center"/>
          </w:tcPr>
          <w:p w14:paraId="1F4D4BF6" w14:textId="309FB9AA" w:rsidR="00AC64A4" w:rsidRPr="00E1205A" w:rsidRDefault="00AC64A4" w:rsidP="00E13A0D">
            <w:pPr>
              <w:pStyle w:val="TableText0"/>
              <w:jc w:val="center"/>
              <w:rPr>
                <w:sz w:val="20"/>
                <w:szCs w:val="20"/>
                <w:vertAlign w:val="superscript"/>
              </w:rPr>
            </w:pPr>
            <w:r w:rsidRPr="000717E1">
              <w:rPr>
                <w:sz w:val="20"/>
                <w:szCs w:val="20"/>
              </w:rPr>
              <w:t>$</w:t>
            </w:r>
            <w:r w:rsidR="00331ADA" w:rsidRPr="00331ADA">
              <w:rPr>
                <w:sz w:val="2"/>
                <w:szCs w:val="20"/>
                <w:highlight w:val="black"/>
              </w:rPr>
              <w:t>redacted content</w:t>
            </w:r>
            <w:r w:rsidR="00E1205A">
              <w:rPr>
                <w:sz w:val="20"/>
                <w:szCs w:val="20"/>
                <w:vertAlign w:val="superscript"/>
              </w:rPr>
              <w:t>3</w:t>
            </w:r>
          </w:p>
        </w:tc>
        <w:tc>
          <w:tcPr>
            <w:tcW w:w="600" w:type="pct"/>
            <w:vAlign w:val="center"/>
          </w:tcPr>
          <w:p w14:paraId="7367E2A6" w14:textId="472B9517" w:rsidR="00AC64A4" w:rsidRPr="000717E1" w:rsidRDefault="00AC64A4" w:rsidP="00E13A0D">
            <w:pPr>
              <w:pStyle w:val="TableText0"/>
              <w:jc w:val="center"/>
              <w:rPr>
                <w:sz w:val="20"/>
                <w:szCs w:val="20"/>
              </w:rPr>
            </w:pPr>
            <w:r w:rsidRPr="000717E1">
              <w:rPr>
                <w:sz w:val="20"/>
                <w:szCs w:val="20"/>
              </w:rPr>
              <w:t>-</w:t>
            </w:r>
            <w:r w:rsidR="00331ADA" w:rsidRPr="00331ADA">
              <w:rPr>
                <w:sz w:val="2"/>
                <w:szCs w:val="20"/>
                <w:highlight w:val="black"/>
              </w:rPr>
              <w:t>redacted content</w:t>
            </w:r>
            <w:r w:rsidRPr="000717E1">
              <w:rPr>
                <w:sz w:val="20"/>
                <w:szCs w:val="20"/>
              </w:rPr>
              <w:t>%</w:t>
            </w:r>
          </w:p>
        </w:tc>
      </w:tr>
      <w:tr w:rsidR="00AC64A4" w:rsidRPr="000717E1" w14:paraId="4949D860" w14:textId="77777777" w:rsidTr="00491311">
        <w:trPr>
          <w:cantSplit/>
          <w:trHeight w:val="20"/>
        </w:trPr>
        <w:tc>
          <w:tcPr>
            <w:tcW w:w="1894" w:type="pct"/>
            <w:vAlign w:val="center"/>
          </w:tcPr>
          <w:p w14:paraId="7FFB0818" w14:textId="77777777" w:rsidR="00AC64A4" w:rsidRPr="000717E1" w:rsidRDefault="00AC64A4" w:rsidP="00E13A0D">
            <w:pPr>
              <w:pStyle w:val="TableText0"/>
              <w:ind w:left="174" w:hanging="174"/>
              <w:rPr>
                <w:sz w:val="20"/>
                <w:szCs w:val="20"/>
              </w:rPr>
            </w:pPr>
            <w:r w:rsidRPr="000717E1">
              <w:rPr>
                <w:sz w:val="20"/>
                <w:szCs w:val="20"/>
              </w:rPr>
              <w:tab/>
              <w:t>3.5%</w:t>
            </w:r>
          </w:p>
        </w:tc>
        <w:tc>
          <w:tcPr>
            <w:tcW w:w="777" w:type="pct"/>
            <w:vAlign w:val="center"/>
          </w:tcPr>
          <w:p w14:paraId="5C728DA8" w14:textId="77777777" w:rsidR="00AC64A4" w:rsidRPr="000717E1" w:rsidRDefault="00AC64A4" w:rsidP="00E13A0D">
            <w:pPr>
              <w:pStyle w:val="TableText0"/>
              <w:jc w:val="center"/>
              <w:rPr>
                <w:sz w:val="20"/>
                <w:szCs w:val="20"/>
              </w:rPr>
            </w:pPr>
            <w:r w:rsidRPr="000717E1">
              <w:rPr>
                <w:sz w:val="20"/>
                <w:szCs w:val="20"/>
              </w:rPr>
              <w:t>1.11</w:t>
            </w:r>
          </w:p>
        </w:tc>
        <w:tc>
          <w:tcPr>
            <w:tcW w:w="777" w:type="pct"/>
            <w:vAlign w:val="center"/>
          </w:tcPr>
          <w:p w14:paraId="31B1597F" w14:textId="1749C8C4" w:rsidR="00AC64A4" w:rsidRPr="000717E1" w:rsidRDefault="00AC64A4" w:rsidP="00E13A0D">
            <w:pPr>
              <w:pStyle w:val="TableText0"/>
              <w:jc w:val="center"/>
              <w:rPr>
                <w:sz w:val="20"/>
                <w:szCs w:val="20"/>
              </w:rPr>
            </w:pPr>
            <w:r w:rsidRPr="000717E1">
              <w:rPr>
                <w:sz w:val="20"/>
                <w:szCs w:val="20"/>
              </w:rPr>
              <w:t>$</w:t>
            </w:r>
            <w:r w:rsidR="00331ADA" w:rsidRPr="00331ADA">
              <w:rPr>
                <w:sz w:val="2"/>
                <w:szCs w:val="20"/>
                <w:highlight w:val="black"/>
              </w:rPr>
              <w:t>redacted content</w:t>
            </w:r>
          </w:p>
        </w:tc>
        <w:tc>
          <w:tcPr>
            <w:tcW w:w="952" w:type="pct"/>
            <w:vAlign w:val="center"/>
          </w:tcPr>
          <w:p w14:paraId="7BC33373" w14:textId="33B6DF9B" w:rsidR="00AC64A4" w:rsidRPr="00E1205A" w:rsidRDefault="00AC64A4" w:rsidP="00E13A0D">
            <w:pPr>
              <w:pStyle w:val="TableText0"/>
              <w:jc w:val="center"/>
              <w:rPr>
                <w:sz w:val="20"/>
                <w:szCs w:val="20"/>
                <w:vertAlign w:val="superscript"/>
              </w:rPr>
            </w:pPr>
            <w:r w:rsidRPr="000717E1">
              <w:rPr>
                <w:sz w:val="20"/>
                <w:szCs w:val="20"/>
              </w:rPr>
              <w:t>$</w:t>
            </w:r>
            <w:r w:rsidR="00331ADA" w:rsidRPr="00331ADA">
              <w:rPr>
                <w:sz w:val="2"/>
                <w:szCs w:val="20"/>
                <w:highlight w:val="black"/>
              </w:rPr>
              <w:t>redacted content</w:t>
            </w:r>
            <w:r w:rsidR="00E1205A">
              <w:rPr>
                <w:sz w:val="20"/>
                <w:szCs w:val="20"/>
                <w:vertAlign w:val="superscript"/>
              </w:rPr>
              <w:t>1</w:t>
            </w:r>
          </w:p>
        </w:tc>
        <w:tc>
          <w:tcPr>
            <w:tcW w:w="600" w:type="pct"/>
            <w:vAlign w:val="center"/>
          </w:tcPr>
          <w:p w14:paraId="0A99CC93" w14:textId="4E5E357F" w:rsidR="00AC64A4" w:rsidRPr="000717E1" w:rsidRDefault="00AC64A4" w:rsidP="00E13A0D">
            <w:pPr>
              <w:pStyle w:val="TableText0"/>
              <w:jc w:val="center"/>
              <w:rPr>
                <w:sz w:val="20"/>
                <w:szCs w:val="20"/>
              </w:rPr>
            </w:pPr>
            <w:r w:rsidRPr="000717E1">
              <w:rPr>
                <w:sz w:val="20"/>
                <w:szCs w:val="20"/>
              </w:rPr>
              <w:t>-</w:t>
            </w:r>
            <w:r w:rsidR="00331ADA" w:rsidRPr="00331ADA">
              <w:rPr>
                <w:sz w:val="2"/>
                <w:szCs w:val="20"/>
                <w:highlight w:val="black"/>
              </w:rPr>
              <w:t>redacted content</w:t>
            </w:r>
            <w:r w:rsidRPr="000717E1">
              <w:rPr>
                <w:sz w:val="20"/>
                <w:szCs w:val="20"/>
              </w:rPr>
              <w:t>%</w:t>
            </w:r>
          </w:p>
        </w:tc>
      </w:tr>
      <w:tr w:rsidR="00AC64A4" w:rsidRPr="000717E1" w14:paraId="38D1A659" w14:textId="77777777" w:rsidTr="00491311">
        <w:trPr>
          <w:cantSplit/>
          <w:trHeight w:val="20"/>
        </w:trPr>
        <w:tc>
          <w:tcPr>
            <w:tcW w:w="5000" w:type="pct"/>
            <w:gridSpan w:val="5"/>
            <w:vAlign w:val="center"/>
          </w:tcPr>
          <w:p w14:paraId="30FEC4D3" w14:textId="77777777" w:rsidR="00AC64A4" w:rsidRPr="000717E1" w:rsidRDefault="00AC64A4" w:rsidP="00E13A0D">
            <w:pPr>
              <w:pStyle w:val="TableText0"/>
              <w:rPr>
                <w:sz w:val="20"/>
                <w:szCs w:val="20"/>
              </w:rPr>
            </w:pPr>
            <w:r w:rsidRPr="000717E1">
              <w:rPr>
                <w:sz w:val="20"/>
                <w:szCs w:val="20"/>
              </w:rPr>
              <w:t>Annual discontinuation rate of dupilumab from Year 2 (base case: 15%)</w:t>
            </w:r>
          </w:p>
        </w:tc>
      </w:tr>
      <w:tr w:rsidR="00AC64A4" w:rsidRPr="000717E1" w14:paraId="2D43B3E3" w14:textId="77777777" w:rsidTr="00491311">
        <w:trPr>
          <w:cantSplit/>
          <w:trHeight w:val="20"/>
        </w:trPr>
        <w:tc>
          <w:tcPr>
            <w:tcW w:w="1894" w:type="pct"/>
            <w:vAlign w:val="center"/>
          </w:tcPr>
          <w:p w14:paraId="5DE77A0C" w14:textId="77777777" w:rsidR="00AC64A4" w:rsidRPr="000717E1" w:rsidRDefault="00AC64A4" w:rsidP="00E13A0D">
            <w:pPr>
              <w:pStyle w:val="TableText0"/>
              <w:ind w:left="174" w:hanging="174"/>
              <w:rPr>
                <w:sz w:val="20"/>
                <w:szCs w:val="20"/>
              </w:rPr>
            </w:pPr>
            <w:r w:rsidRPr="000717E1">
              <w:rPr>
                <w:sz w:val="20"/>
                <w:szCs w:val="20"/>
              </w:rPr>
              <w:tab/>
              <w:t>9.3% (same as in Year 1)</w:t>
            </w:r>
          </w:p>
        </w:tc>
        <w:tc>
          <w:tcPr>
            <w:tcW w:w="777" w:type="pct"/>
            <w:vAlign w:val="center"/>
          </w:tcPr>
          <w:p w14:paraId="144216C6" w14:textId="77777777" w:rsidR="00AC64A4" w:rsidRPr="000717E1" w:rsidRDefault="00AC64A4" w:rsidP="00E13A0D">
            <w:pPr>
              <w:pStyle w:val="TableText0"/>
              <w:jc w:val="center"/>
              <w:rPr>
                <w:sz w:val="20"/>
                <w:szCs w:val="20"/>
              </w:rPr>
            </w:pPr>
            <w:r w:rsidRPr="000717E1">
              <w:rPr>
                <w:sz w:val="20"/>
                <w:szCs w:val="20"/>
              </w:rPr>
              <w:t>1.15</w:t>
            </w:r>
          </w:p>
        </w:tc>
        <w:tc>
          <w:tcPr>
            <w:tcW w:w="777" w:type="pct"/>
            <w:vAlign w:val="center"/>
          </w:tcPr>
          <w:p w14:paraId="4670596F" w14:textId="51E69B40" w:rsidR="00AC64A4" w:rsidRPr="000717E1" w:rsidRDefault="00AC64A4" w:rsidP="00E13A0D">
            <w:pPr>
              <w:pStyle w:val="TableText0"/>
              <w:jc w:val="center"/>
              <w:rPr>
                <w:sz w:val="20"/>
                <w:szCs w:val="20"/>
              </w:rPr>
            </w:pPr>
            <w:r w:rsidRPr="000717E1">
              <w:rPr>
                <w:sz w:val="20"/>
                <w:szCs w:val="20"/>
              </w:rPr>
              <w:t>$</w:t>
            </w:r>
            <w:r w:rsidR="00331ADA" w:rsidRPr="00331ADA">
              <w:rPr>
                <w:sz w:val="2"/>
                <w:szCs w:val="20"/>
                <w:highlight w:val="black"/>
              </w:rPr>
              <w:t>redacted content</w:t>
            </w:r>
          </w:p>
        </w:tc>
        <w:tc>
          <w:tcPr>
            <w:tcW w:w="952" w:type="pct"/>
            <w:vAlign w:val="center"/>
          </w:tcPr>
          <w:p w14:paraId="5F23D74E" w14:textId="7A53C5D6" w:rsidR="00AC64A4" w:rsidRPr="00E1205A" w:rsidRDefault="00AC64A4" w:rsidP="00E13A0D">
            <w:pPr>
              <w:pStyle w:val="TableText0"/>
              <w:jc w:val="center"/>
              <w:rPr>
                <w:sz w:val="20"/>
                <w:szCs w:val="20"/>
                <w:vertAlign w:val="superscript"/>
              </w:rPr>
            </w:pPr>
            <w:r w:rsidRPr="000717E1">
              <w:rPr>
                <w:sz w:val="20"/>
                <w:szCs w:val="20"/>
              </w:rPr>
              <w:t>$</w:t>
            </w:r>
            <w:r w:rsidR="00331ADA" w:rsidRPr="00331ADA">
              <w:rPr>
                <w:sz w:val="2"/>
                <w:szCs w:val="20"/>
                <w:highlight w:val="black"/>
              </w:rPr>
              <w:t>redacted content</w:t>
            </w:r>
            <w:r w:rsidR="00E1205A">
              <w:rPr>
                <w:sz w:val="20"/>
                <w:szCs w:val="20"/>
                <w:vertAlign w:val="superscript"/>
              </w:rPr>
              <w:t>1</w:t>
            </w:r>
          </w:p>
        </w:tc>
        <w:tc>
          <w:tcPr>
            <w:tcW w:w="600" w:type="pct"/>
            <w:vAlign w:val="center"/>
          </w:tcPr>
          <w:p w14:paraId="7D07BF52" w14:textId="0761914A" w:rsidR="00AC64A4" w:rsidRPr="000717E1" w:rsidRDefault="00331ADA" w:rsidP="00E13A0D">
            <w:pPr>
              <w:pStyle w:val="TableText0"/>
              <w:jc w:val="center"/>
              <w:rPr>
                <w:sz w:val="20"/>
                <w:szCs w:val="20"/>
              </w:rPr>
            </w:pPr>
            <w:r w:rsidRPr="00331ADA">
              <w:rPr>
                <w:sz w:val="2"/>
                <w:szCs w:val="20"/>
                <w:highlight w:val="black"/>
              </w:rPr>
              <w:t>redacted content</w:t>
            </w:r>
            <w:r w:rsidR="00AC64A4" w:rsidRPr="000717E1">
              <w:rPr>
                <w:sz w:val="20"/>
                <w:szCs w:val="20"/>
              </w:rPr>
              <w:t>%</w:t>
            </w:r>
          </w:p>
        </w:tc>
      </w:tr>
      <w:tr w:rsidR="00AC64A4" w:rsidRPr="000717E1" w14:paraId="7F81D41D" w14:textId="77777777" w:rsidTr="00491311">
        <w:trPr>
          <w:cantSplit/>
          <w:trHeight w:val="20"/>
        </w:trPr>
        <w:tc>
          <w:tcPr>
            <w:tcW w:w="5000" w:type="pct"/>
            <w:gridSpan w:val="5"/>
            <w:vAlign w:val="center"/>
          </w:tcPr>
          <w:p w14:paraId="1958D220" w14:textId="6C0971E4" w:rsidR="00AC64A4" w:rsidRPr="000717E1" w:rsidRDefault="00AC64A4" w:rsidP="00E13A0D">
            <w:pPr>
              <w:pStyle w:val="TableText0"/>
              <w:ind w:left="174" w:hanging="174"/>
              <w:rPr>
                <w:sz w:val="20"/>
                <w:szCs w:val="20"/>
              </w:rPr>
            </w:pPr>
            <w:r w:rsidRPr="000717E1">
              <w:rPr>
                <w:sz w:val="20"/>
                <w:szCs w:val="20"/>
              </w:rPr>
              <w:t>FEV</w:t>
            </w:r>
            <w:r w:rsidRPr="000717E1">
              <w:rPr>
                <w:sz w:val="20"/>
                <w:szCs w:val="20"/>
                <w:vertAlign w:val="subscript"/>
              </w:rPr>
              <w:t>1</w:t>
            </w:r>
            <w:r w:rsidRPr="000717E1">
              <w:rPr>
                <w:sz w:val="20"/>
                <w:szCs w:val="20"/>
              </w:rPr>
              <w:t xml:space="preserve"> Treatment Effect Duration (base case: </w:t>
            </w:r>
            <w:r w:rsidR="005615DC" w:rsidRPr="000717E1">
              <w:rPr>
                <w:sz w:val="20"/>
                <w:szCs w:val="20"/>
              </w:rPr>
              <w:t xml:space="preserve">maintained </w:t>
            </w:r>
            <w:r w:rsidRPr="000717E1">
              <w:rPr>
                <w:sz w:val="20"/>
                <w:szCs w:val="20"/>
              </w:rPr>
              <w:t>2 years after trial period)</w:t>
            </w:r>
          </w:p>
        </w:tc>
      </w:tr>
      <w:tr w:rsidR="00AC64A4" w:rsidRPr="000717E1" w14:paraId="78F1F9DB" w14:textId="77777777" w:rsidTr="00491311">
        <w:trPr>
          <w:cantSplit/>
          <w:trHeight w:val="20"/>
        </w:trPr>
        <w:tc>
          <w:tcPr>
            <w:tcW w:w="1894" w:type="pct"/>
            <w:vAlign w:val="center"/>
          </w:tcPr>
          <w:p w14:paraId="32B3491B" w14:textId="0F9DD5F5" w:rsidR="00AC64A4" w:rsidRPr="000717E1" w:rsidRDefault="00AC64A4" w:rsidP="00E13A0D">
            <w:pPr>
              <w:pStyle w:val="TableText0"/>
              <w:ind w:left="174" w:hanging="174"/>
              <w:rPr>
                <w:sz w:val="20"/>
                <w:szCs w:val="20"/>
              </w:rPr>
            </w:pPr>
            <w:r w:rsidRPr="000717E1">
              <w:rPr>
                <w:sz w:val="20"/>
                <w:szCs w:val="20"/>
              </w:rPr>
              <w:tab/>
              <w:t xml:space="preserve">No </w:t>
            </w:r>
            <w:r w:rsidR="00343B69" w:rsidRPr="000717E1">
              <w:rPr>
                <w:sz w:val="20"/>
                <w:szCs w:val="20"/>
              </w:rPr>
              <w:t>maintenance of FEV</w:t>
            </w:r>
            <w:r w:rsidR="00343B69" w:rsidRPr="000717E1">
              <w:rPr>
                <w:sz w:val="20"/>
                <w:szCs w:val="20"/>
                <w:vertAlign w:val="subscript"/>
              </w:rPr>
              <w:t>1</w:t>
            </w:r>
            <w:r w:rsidR="00343B69" w:rsidRPr="000717E1">
              <w:rPr>
                <w:sz w:val="20"/>
                <w:szCs w:val="20"/>
              </w:rPr>
              <w:t xml:space="preserve"> </w:t>
            </w:r>
            <w:r w:rsidRPr="000717E1">
              <w:rPr>
                <w:sz w:val="20"/>
                <w:szCs w:val="20"/>
              </w:rPr>
              <w:t>treatment effect beyond trial period</w:t>
            </w:r>
            <w:r w:rsidR="00E01A8D" w:rsidRPr="000717E1">
              <w:rPr>
                <w:sz w:val="20"/>
                <w:szCs w:val="20"/>
              </w:rPr>
              <w:t xml:space="preserve"> (</w:t>
            </w:r>
            <w:r w:rsidR="002771B9" w:rsidRPr="000717E1">
              <w:rPr>
                <w:sz w:val="20"/>
                <w:szCs w:val="20"/>
              </w:rPr>
              <w:t>B</w:t>
            </w:r>
            <w:r w:rsidR="00E01A8D" w:rsidRPr="000717E1">
              <w:rPr>
                <w:sz w:val="20"/>
                <w:szCs w:val="20"/>
              </w:rPr>
              <w:t>)</w:t>
            </w:r>
          </w:p>
        </w:tc>
        <w:tc>
          <w:tcPr>
            <w:tcW w:w="777" w:type="pct"/>
            <w:vAlign w:val="center"/>
          </w:tcPr>
          <w:p w14:paraId="2308724B" w14:textId="77777777" w:rsidR="00AC64A4" w:rsidRPr="000717E1" w:rsidRDefault="00AC64A4" w:rsidP="00E13A0D">
            <w:pPr>
              <w:pStyle w:val="TableText0"/>
              <w:jc w:val="center"/>
              <w:rPr>
                <w:sz w:val="20"/>
                <w:szCs w:val="20"/>
              </w:rPr>
            </w:pPr>
            <w:r w:rsidRPr="000717E1">
              <w:rPr>
                <w:sz w:val="20"/>
                <w:szCs w:val="20"/>
              </w:rPr>
              <w:t>0.83</w:t>
            </w:r>
          </w:p>
        </w:tc>
        <w:tc>
          <w:tcPr>
            <w:tcW w:w="777" w:type="pct"/>
            <w:vAlign w:val="center"/>
          </w:tcPr>
          <w:p w14:paraId="161566CA" w14:textId="7DF84F5E" w:rsidR="00AC64A4" w:rsidRPr="000717E1" w:rsidRDefault="00AC64A4" w:rsidP="00E13A0D">
            <w:pPr>
              <w:pStyle w:val="TableText0"/>
              <w:jc w:val="center"/>
              <w:rPr>
                <w:sz w:val="20"/>
                <w:szCs w:val="20"/>
              </w:rPr>
            </w:pPr>
            <w:r w:rsidRPr="000717E1">
              <w:rPr>
                <w:sz w:val="20"/>
                <w:szCs w:val="20"/>
              </w:rPr>
              <w:t>$</w:t>
            </w:r>
            <w:r w:rsidR="00331ADA" w:rsidRPr="00331ADA">
              <w:rPr>
                <w:sz w:val="2"/>
                <w:szCs w:val="20"/>
                <w:highlight w:val="black"/>
              </w:rPr>
              <w:t>redacted content</w:t>
            </w:r>
          </w:p>
        </w:tc>
        <w:tc>
          <w:tcPr>
            <w:tcW w:w="952" w:type="pct"/>
            <w:vAlign w:val="center"/>
          </w:tcPr>
          <w:p w14:paraId="4E15080F" w14:textId="210EBB05" w:rsidR="00AC64A4" w:rsidRPr="00E1205A" w:rsidRDefault="00AC64A4" w:rsidP="00E13A0D">
            <w:pPr>
              <w:pStyle w:val="TableText0"/>
              <w:jc w:val="center"/>
              <w:rPr>
                <w:sz w:val="20"/>
                <w:szCs w:val="20"/>
                <w:vertAlign w:val="superscript"/>
              </w:rPr>
            </w:pPr>
            <w:r w:rsidRPr="000717E1">
              <w:rPr>
                <w:sz w:val="20"/>
                <w:szCs w:val="20"/>
              </w:rPr>
              <w:t>$</w:t>
            </w:r>
            <w:r w:rsidR="00331ADA" w:rsidRPr="00331ADA">
              <w:rPr>
                <w:sz w:val="2"/>
                <w:szCs w:val="20"/>
                <w:highlight w:val="black"/>
              </w:rPr>
              <w:t>redacted content</w:t>
            </w:r>
            <w:r w:rsidR="00E1205A">
              <w:rPr>
                <w:sz w:val="20"/>
                <w:szCs w:val="20"/>
                <w:vertAlign w:val="superscript"/>
              </w:rPr>
              <w:t>1</w:t>
            </w:r>
          </w:p>
        </w:tc>
        <w:tc>
          <w:tcPr>
            <w:tcW w:w="600" w:type="pct"/>
            <w:vAlign w:val="center"/>
          </w:tcPr>
          <w:p w14:paraId="17E2F587" w14:textId="47E90634" w:rsidR="00AC64A4" w:rsidRPr="000717E1" w:rsidRDefault="00331ADA" w:rsidP="00E13A0D">
            <w:pPr>
              <w:pStyle w:val="TableText0"/>
              <w:jc w:val="center"/>
              <w:rPr>
                <w:sz w:val="20"/>
                <w:szCs w:val="20"/>
              </w:rPr>
            </w:pPr>
            <w:r w:rsidRPr="00331ADA">
              <w:rPr>
                <w:sz w:val="2"/>
                <w:szCs w:val="20"/>
                <w:highlight w:val="black"/>
              </w:rPr>
              <w:t>redacted content</w:t>
            </w:r>
            <w:r w:rsidR="00AC64A4" w:rsidRPr="000717E1">
              <w:rPr>
                <w:sz w:val="20"/>
                <w:szCs w:val="20"/>
              </w:rPr>
              <w:t>%</w:t>
            </w:r>
          </w:p>
        </w:tc>
      </w:tr>
      <w:tr w:rsidR="00AC64A4" w:rsidRPr="000717E1" w14:paraId="28CEE236" w14:textId="77777777" w:rsidTr="00491311">
        <w:trPr>
          <w:cantSplit/>
          <w:trHeight w:val="20"/>
        </w:trPr>
        <w:tc>
          <w:tcPr>
            <w:tcW w:w="5000" w:type="pct"/>
            <w:gridSpan w:val="5"/>
            <w:vAlign w:val="center"/>
          </w:tcPr>
          <w:p w14:paraId="760B4123" w14:textId="46085968" w:rsidR="00AC64A4" w:rsidRPr="000717E1" w:rsidRDefault="00AC64A4" w:rsidP="00E13A0D">
            <w:pPr>
              <w:pStyle w:val="TableText0"/>
              <w:ind w:left="174" w:hanging="174"/>
              <w:rPr>
                <w:sz w:val="20"/>
                <w:szCs w:val="20"/>
              </w:rPr>
            </w:pPr>
            <w:r w:rsidRPr="000717E1">
              <w:rPr>
                <w:sz w:val="20"/>
                <w:szCs w:val="20"/>
              </w:rPr>
              <w:t>Baseline Exacerbation Rate in the comparator arm (base case: Year prior to randomisation)</w:t>
            </w:r>
          </w:p>
        </w:tc>
      </w:tr>
      <w:tr w:rsidR="00AC64A4" w:rsidRPr="000717E1" w14:paraId="59482BF7" w14:textId="77777777" w:rsidTr="00491311">
        <w:trPr>
          <w:cantSplit/>
          <w:trHeight w:val="20"/>
        </w:trPr>
        <w:tc>
          <w:tcPr>
            <w:tcW w:w="1894" w:type="pct"/>
            <w:vAlign w:val="center"/>
          </w:tcPr>
          <w:p w14:paraId="23C90D42" w14:textId="69606B8E" w:rsidR="00AC64A4" w:rsidRPr="000717E1" w:rsidRDefault="00AC64A4" w:rsidP="00E13A0D">
            <w:pPr>
              <w:pStyle w:val="TableText0"/>
              <w:ind w:left="174" w:hanging="174"/>
              <w:rPr>
                <w:sz w:val="20"/>
                <w:szCs w:val="20"/>
              </w:rPr>
            </w:pPr>
            <w:r w:rsidRPr="000717E1">
              <w:rPr>
                <w:sz w:val="20"/>
                <w:szCs w:val="20"/>
              </w:rPr>
              <w:tab/>
              <w:t>Pooled BOREAS and NOTUS</w:t>
            </w:r>
            <w:r w:rsidR="00E01A8D" w:rsidRPr="000717E1">
              <w:rPr>
                <w:sz w:val="20"/>
                <w:szCs w:val="20"/>
              </w:rPr>
              <w:t xml:space="preserve"> (</w:t>
            </w:r>
            <w:r w:rsidR="002771B9" w:rsidRPr="000717E1">
              <w:rPr>
                <w:sz w:val="20"/>
                <w:szCs w:val="20"/>
              </w:rPr>
              <w:t>C</w:t>
            </w:r>
            <w:r w:rsidR="00E01A8D" w:rsidRPr="000717E1">
              <w:rPr>
                <w:sz w:val="20"/>
                <w:szCs w:val="20"/>
              </w:rPr>
              <w:t>)</w:t>
            </w:r>
          </w:p>
        </w:tc>
        <w:tc>
          <w:tcPr>
            <w:tcW w:w="777" w:type="pct"/>
            <w:vAlign w:val="center"/>
          </w:tcPr>
          <w:p w14:paraId="730E5612" w14:textId="77777777" w:rsidR="00AC64A4" w:rsidRPr="000717E1" w:rsidRDefault="00AC64A4" w:rsidP="00E13A0D">
            <w:pPr>
              <w:pStyle w:val="TableText0"/>
              <w:jc w:val="center"/>
              <w:rPr>
                <w:sz w:val="20"/>
                <w:szCs w:val="20"/>
              </w:rPr>
            </w:pPr>
            <w:r w:rsidRPr="000717E1">
              <w:rPr>
                <w:sz w:val="20"/>
                <w:szCs w:val="20"/>
              </w:rPr>
              <w:t>0.90</w:t>
            </w:r>
          </w:p>
        </w:tc>
        <w:tc>
          <w:tcPr>
            <w:tcW w:w="777" w:type="pct"/>
            <w:vAlign w:val="center"/>
          </w:tcPr>
          <w:p w14:paraId="0808DA1E" w14:textId="79DA5352" w:rsidR="00AC64A4" w:rsidRPr="000717E1" w:rsidRDefault="00AC64A4" w:rsidP="00E13A0D">
            <w:pPr>
              <w:pStyle w:val="TableText0"/>
              <w:jc w:val="center"/>
              <w:rPr>
                <w:sz w:val="20"/>
                <w:szCs w:val="20"/>
              </w:rPr>
            </w:pPr>
            <w:r w:rsidRPr="000717E1">
              <w:rPr>
                <w:sz w:val="20"/>
                <w:szCs w:val="20"/>
              </w:rPr>
              <w:t>$</w:t>
            </w:r>
            <w:r w:rsidR="00331ADA" w:rsidRPr="00331ADA">
              <w:rPr>
                <w:sz w:val="2"/>
                <w:szCs w:val="20"/>
                <w:highlight w:val="black"/>
              </w:rPr>
              <w:t>redacted content</w:t>
            </w:r>
          </w:p>
        </w:tc>
        <w:tc>
          <w:tcPr>
            <w:tcW w:w="952" w:type="pct"/>
            <w:vAlign w:val="center"/>
          </w:tcPr>
          <w:p w14:paraId="56A461D3" w14:textId="7B388578" w:rsidR="00AC64A4" w:rsidRPr="00E1205A" w:rsidRDefault="00AC64A4" w:rsidP="00E13A0D">
            <w:pPr>
              <w:pStyle w:val="TableText0"/>
              <w:jc w:val="center"/>
              <w:rPr>
                <w:sz w:val="20"/>
                <w:szCs w:val="20"/>
                <w:vertAlign w:val="superscript"/>
              </w:rPr>
            </w:pPr>
            <w:r w:rsidRPr="000717E1">
              <w:rPr>
                <w:sz w:val="20"/>
                <w:szCs w:val="20"/>
              </w:rPr>
              <w:t>$</w:t>
            </w:r>
            <w:r w:rsidR="00331ADA" w:rsidRPr="00331ADA">
              <w:rPr>
                <w:sz w:val="2"/>
                <w:szCs w:val="20"/>
                <w:highlight w:val="black"/>
              </w:rPr>
              <w:t>redacted content</w:t>
            </w:r>
            <w:r w:rsidR="00E1205A">
              <w:rPr>
                <w:sz w:val="20"/>
                <w:szCs w:val="20"/>
                <w:vertAlign w:val="superscript"/>
              </w:rPr>
              <w:t>1</w:t>
            </w:r>
          </w:p>
        </w:tc>
        <w:tc>
          <w:tcPr>
            <w:tcW w:w="600" w:type="pct"/>
            <w:vAlign w:val="center"/>
          </w:tcPr>
          <w:p w14:paraId="7B49CCF1" w14:textId="44739218" w:rsidR="00AC64A4" w:rsidRPr="000717E1" w:rsidRDefault="00331ADA" w:rsidP="00E13A0D">
            <w:pPr>
              <w:pStyle w:val="TableText0"/>
              <w:jc w:val="center"/>
              <w:rPr>
                <w:sz w:val="20"/>
                <w:szCs w:val="20"/>
              </w:rPr>
            </w:pPr>
            <w:r w:rsidRPr="00331ADA">
              <w:rPr>
                <w:sz w:val="2"/>
                <w:szCs w:val="20"/>
                <w:highlight w:val="black"/>
              </w:rPr>
              <w:t>redacted content</w:t>
            </w:r>
            <w:r w:rsidR="00AC64A4" w:rsidRPr="000717E1">
              <w:rPr>
                <w:sz w:val="20"/>
                <w:szCs w:val="20"/>
              </w:rPr>
              <w:t>%</w:t>
            </w:r>
          </w:p>
        </w:tc>
      </w:tr>
      <w:tr w:rsidR="00AC64A4" w:rsidRPr="000717E1" w14:paraId="5B932665" w14:textId="77777777" w:rsidTr="00491311">
        <w:trPr>
          <w:cantSplit/>
          <w:trHeight w:val="20"/>
        </w:trPr>
        <w:tc>
          <w:tcPr>
            <w:tcW w:w="5000" w:type="pct"/>
            <w:gridSpan w:val="5"/>
            <w:vAlign w:val="center"/>
          </w:tcPr>
          <w:p w14:paraId="40CB8AA8" w14:textId="77777777" w:rsidR="00AC64A4" w:rsidRPr="000717E1" w:rsidRDefault="00AC64A4" w:rsidP="00E13A0D">
            <w:pPr>
              <w:pStyle w:val="TableText0"/>
              <w:rPr>
                <w:sz w:val="20"/>
                <w:szCs w:val="20"/>
              </w:rPr>
            </w:pPr>
            <w:r w:rsidRPr="000717E1">
              <w:rPr>
                <w:sz w:val="20"/>
                <w:szCs w:val="20"/>
              </w:rPr>
              <w:t>Annual transition probabilities between COPD stage (base case: adjusted for type 2 inflammation 1.5x)</w:t>
            </w:r>
          </w:p>
        </w:tc>
      </w:tr>
      <w:tr w:rsidR="00AC64A4" w:rsidRPr="000717E1" w14:paraId="409570ED" w14:textId="77777777" w:rsidTr="00491311">
        <w:trPr>
          <w:cantSplit/>
          <w:trHeight w:val="20"/>
        </w:trPr>
        <w:tc>
          <w:tcPr>
            <w:tcW w:w="1894" w:type="pct"/>
            <w:vAlign w:val="center"/>
          </w:tcPr>
          <w:p w14:paraId="3734E8F4" w14:textId="77777777" w:rsidR="00AC64A4" w:rsidRPr="000717E1" w:rsidRDefault="00AC64A4" w:rsidP="00E13A0D">
            <w:pPr>
              <w:pStyle w:val="TableText0"/>
              <w:ind w:left="174" w:hanging="174"/>
              <w:rPr>
                <w:sz w:val="20"/>
                <w:szCs w:val="20"/>
              </w:rPr>
            </w:pPr>
            <w:r w:rsidRPr="000717E1">
              <w:rPr>
                <w:sz w:val="20"/>
                <w:szCs w:val="20"/>
              </w:rPr>
              <w:tab/>
              <w:t>Reduced by 20%</w:t>
            </w:r>
          </w:p>
        </w:tc>
        <w:tc>
          <w:tcPr>
            <w:tcW w:w="777" w:type="pct"/>
            <w:vAlign w:val="center"/>
          </w:tcPr>
          <w:p w14:paraId="03D9A093" w14:textId="77777777" w:rsidR="00AC64A4" w:rsidRPr="000717E1" w:rsidRDefault="00AC64A4" w:rsidP="00E13A0D">
            <w:pPr>
              <w:pStyle w:val="TableText0"/>
              <w:jc w:val="center"/>
              <w:rPr>
                <w:sz w:val="20"/>
                <w:szCs w:val="20"/>
              </w:rPr>
            </w:pPr>
            <w:r w:rsidRPr="000717E1">
              <w:rPr>
                <w:sz w:val="20"/>
                <w:szCs w:val="20"/>
              </w:rPr>
              <w:t>0.97</w:t>
            </w:r>
          </w:p>
        </w:tc>
        <w:tc>
          <w:tcPr>
            <w:tcW w:w="777" w:type="pct"/>
            <w:vAlign w:val="center"/>
          </w:tcPr>
          <w:p w14:paraId="4EF1E944" w14:textId="5FBD750F" w:rsidR="00AC64A4" w:rsidRPr="000717E1" w:rsidRDefault="00AC64A4" w:rsidP="00E13A0D">
            <w:pPr>
              <w:pStyle w:val="TableText0"/>
              <w:jc w:val="center"/>
              <w:rPr>
                <w:sz w:val="20"/>
                <w:szCs w:val="20"/>
              </w:rPr>
            </w:pPr>
            <w:r w:rsidRPr="000717E1">
              <w:rPr>
                <w:sz w:val="20"/>
                <w:szCs w:val="20"/>
              </w:rPr>
              <w:t>$</w:t>
            </w:r>
            <w:r w:rsidR="00331ADA" w:rsidRPr="00331ADA">
              <w:rPr>
                <w:sz w:val="2"/>
                <w:szCs w:val="20"/>
                <w:highlight w:val="black"/>
              </w:rPr>
              <w:t>redacted content</w:t>
            </w:r>
          </w:p>
        </w:tc>
        <w:tc>
          <w:tcPr>
            <w:tcW w:w="952" w:type="pct"/>
            <w:vAlign w:val="center"/>
          </w:tcPr>
          <w:p w14:paraId="318EA295" w14:textId="08318398" w:rsidR="00AC64A4" w:rsidRPr="00E1205A" w:rsidRDefault="00AC64A4" w:rsidP="00E13A0D">
            <w:pPr>
              <w:pStyle w:val="TableText0"/>
              <w:jc w:val="center"/>
              <w:rPr>
                <w:sz w:val="20"/>
                <w:szCs w:val="20"/>
                <w:vertAlign w:val="superscript"/>
              </w:rPr>
            </w:pPr>
            <w:r w:rsidRPr="000717E1">
              <w:rPr>
                <w:sz w:val="20"/>
                <w:szCs w:val="20"/>
              </w:rPr>
              <w:t>$</w:t>
            </w:r>
            <w:r w:rsidR="00331ADA" w:rsidRPr="00331ADA">
              <w:rPr>
                <w:sz w:val="2"/>
                <w:szCs w:val="20"/>
                <w:highlight w:val="black"/>
              </w:rPr>
              <w:t>redacted content</w:t>
            </w:r>
            <w:r w:rsidR="009E08F5" w:rsidRPr="009E08F5">
              <w:rPr>
                <w:sz w:val="20"/>
                <w:szCs w:val="20"/>
                <w:vertAlign w:val="superscript"/>
              </w:rPr>
              <w:t>1</w:t>
            </w:r>
          </w:p>
        </w:tc>
        <w:tc>
          <w:tcPr>
            <w:tcW w:w="600" w:type="pct"/>
            <w:vAlign w:val="center"/>
          </w:tcPr>
          <w:p w14:paraId="47FFEF8B" w14:textId="76A94C36" w:rsidR="00AC64A4" w:rsidRPr="000717E1" w:rsidRDefault="00331ADA" w:rsidP="00E13A0D">
            <w:pPr>
              <w:pStyle w:val="TableText0"/>
              <w:jc w:val="center"/>
              <w:rPr>
                <w:sz w:val="20"/>
                <w:szCs w:val="20"/>
              </w:rPr>
            </w:pPr>
            <w:r w:rsidRPr="00331ADA">
              <w:rPr>
                <w:sz w:val="2"/>
                <w:szCs w:val="20"/>
                <w:highlight w:val="black"/>
              </w:rPr>
              <w:t>redacted content</w:t>
            </w:r>
            <w:r w:rsidR="00AC64A4" w:rsidRPr="000717E1">
              <w:rPr>
                <w:sz w:val="20"/>
                <w:szCs w:val="20"/>
              </w:rPr>
              <w:t>%</w:t>
            </w:r>
          </w:p>
        </w:tc>
      </w:tr>
      <w:tr w:rsidR="00AC64A4" w:rsidRPr="000717E1" w14:paraId="627027D1" w14:textId="77777777" w:rsidTr="00491311">
        <w:trPr>
          <w:cantSplit/>
          <w:trHeight w:val="20"/>
        </w:trPr>
        <w:tc>
          <w:tcPr>
            <w:tcW w:w="1894" w:type="pct"/>
            <w:vAlign w:val="center"/>
          </w:tcPr>
          <w:p w14:paraId="401A0E3D" w14:textId="77777777" w:rsidR="00AC64A4" w:rsidRPr="000717E1" w:rsidRDefault="00AC64A4" w:rsidP="00E13A0D">
            <w:pPr>
              <w:pStyle w:val="TableText0"/>
              <w:ind w:left="174" w:hanging="174"/>
              <w:rPr>
                <w:sz w:val="20"/>
                <w:szCs w:val="20"/>
              </w:rPr>
            </w:pPr>
            <w:r w:rsidRPr="000717E1">
              <w:rPr>
                <w:sz w:val="20"/>
                <w:szCs w:val="20"/>
              </w:rPr>
              <w:tab/>
              <w:t>Reduced by 50%</w:t>
            </w:r>
          </w:p>
        </w:tc>
        <w:tc>
          <w:tcPr>
            <w:tcW w:w="777" w:type="pct"/>
            <w:vAlign w:val="center"/>
          </w:tcPr>
          <w:p w14:paraId="42A10158" w14:textId="77777777" w:rsidR="00AC64A4" w:rsidRPr="000717E1" w:rsidRDefault="00AC64A4" w:rsidP="00E13A0D">
            <w:pPr>
              <w:pStyle w:val="TableText0"/>
              <w:jc w:val="center"/>
              <w:rPr>
                <w:sz w:val="20"/>
                <w:szCs w:val="20"/>
              </w:rPr>
            </w:pPr>
            <w:r w:rsidRPr="000717E1">
              <w:rPr>
                <w:sz w:val="20"/>
                <w:szCs w:val="20"/>
              </w:rPr>
              <w:t>0.93</w:t>
            </w:r>
          </w:p>
        </w:tc>
        <w:tc>
          <w:tcPr>
            <w:tcW w:w="777" w:type="pct"/>
            <w:vAlign w:val="center"/>
          </w:tcPr>
          <w:p w14:paraId="35BD55E0" w14:textId="6F3711CF" w:rsidR="00AC64A4" w:rsidRPr="000717E1" w:rsidRDefault="00AC64A4" w:rsidP="00E13A0D">
            <w:pPr>
              <w:pStyle w:val="TableText0"/>
              <w:jc w:val="center"/>
              <w:rPr>
                <w:sz w:val="20"/>
                <w:szCs w:val="20"/>
              </w:rPr>
            </w:pPr>
            <w:r w:rsidRPr="000717E1">
              <w:rPr>
                <w:sz w:val="20"/>
                <w:szCs w:val="20"/>
              </w:rPr>
              <w:t>$</w:t>
            </w:r>
            <w:r w:rsidR="00331ADA" w:rsidRPr="00331ADA">
              <w:rPr>
                <w:sz w:val="2"/>
                <w:szCs w:val="20"/>
                <w:highlight w:val="black"/>
              </w:rPr>
              <w:t>redacted content</w:t>
            </w:r>
          </w:p>
        </w:tc>
        <w:tc>
          <w:tcPr>
            <w:tcW w:w="952" w:type="pct"/>
            <w:vAlign w:val="center"/>
          </w:tcPr>
          <w:p w14:paraId="3B944219" w14:textId="2A905761" w:rsidR="00AC64A4" w:rsidRPr="009E08F5" w:rsidRDefault="00AC64A4" w:rsidP="00E13A0D">
            <w:pPr>
              <w:pStyle w:val="TableText0"/>
              <w:jc w:val="center"/>
              <w:rPr>
                <w:sz w:val="20"/>
                <w:szCs w:val="20"/>
                <w:vertAlign w:val="superscript"/>
              </w:rPr>
            </w:pPr>
            <w:r w:rsidRPr="000717E1">
              <w:rPr>
                <w:sz w:val="20"/>
                <w:szCs w:val="20"/>
              </w:rPr>
              <w:t>$</w:t>
            </w:r>
            <w:r w:rsidR="00331ADA" w:rsidRPr="00331ADA">
              <w:rPr>
                <w:sz w:val="2"/>
                <w:szCs w:val="20"/>
                <w:highlight w:val="black"/>
              </w:rPr>
              <w:t>redacted content</w:t>
            </w:r>
            <w:r w:rsidR="009E08F5">
              <w:rPr>
                <w:sz w:val="20"/>
                <w:szCs w:val="20"/>
                <w:vertAlign w:val="superscript"/>
              </w:rPr>
              <w:t>1</w:t>
            </w:r>
          </w:p>
        </w:tc>
        <w:tc>
          <w:tcPr>
            <w:tcW w:w="600" w:type="pct"/>
            <w:vAlign w:val="center"/>
          </w:tcPr>
          <w:p w14:paraId="41B89D1D" w14:textId="64A0EC59" w:rsidR="00AC64A4" w:rsidRPr="000717E1" w:rsidRDefault="00331ADA" w:rsidP="00E13A0D">
            <w:pPr>
              <w:pStyle w:val="TableText0"/>
              <w:jc w:val="center"/>
              <w:rPr>
                <w:sz w:val="20"/>
                <w:szCs w:val="20"/>
              </w:rPr>
            </w:pPr>
            <w:r w:rsidRPr="00331ADA">
              <w:rPr>
                <w:sz w:val="2"/>
                <w:szCs w:val="20"/>
                <w:highlight w:val="black"/>
              </w:rPr>
              <w:t>redacted content</w:t>
            </w:r>
            <w:r w:rsidR="00AC64A4" w:rsidRPr="000717E1">
              <w:rPr>
                <w:sz w:val="20"/>
                <w:szCs w:val="20"/>
              </w:rPr>
              <w:t>%</w:t>
            </w:r>
          </w:p>
        </w:tc>
      </w:tr>
      <w:tr w:rsidR="00AC64A4" w:rsidRPr="000717E1" w14:paraId="3A9F15C9" w14:textId="77777777" w:rsidTr="00491311">
        <w:trPr>
          <w:cantSplit/>
          <w:trHeight w:val="20"/>
        </w:trPr>
        <w:tc>
          <w:tcPr>
            <w:tcW w:w="5000" w:type="pct"/>
            <w:gridSpan w:val="5"/>
            <w:vAlign w:val="center"/>
          </w:tcPr>
          <w:p w14:paraId="03B4654E" w14:textId="77777777" w:rsidR="00AC64A4" w:rsidRPr="000717E1" w:rsidRDefault="00AC64A4" w:rsidP="00E13A0D">
            <w:pPr>
              <w:pStyle w:val="TableText0"/>
              <w:ind w:left="174" w:hanging="174"/>
              <w:rPr>
                <w:sz w:val="20"/>
                <w:szCs w:val="20"/>
              </w:rPr>
            </w:pPr>
            <w:r w:rsidRPr="000717E1">
              <w:rPr>
                <w:sz w:val="20"/>
                <w:szCs w:val="20"/>
              </w:rPr>
              <w:t>Excess Mortality Due to Severe Exacerbation (base case: 15.6%)</w:t>
            </w:r>
          </w:p>
        </w:tc>
      </w:tr>
      <w:tr w:rsidR="00AC64A4" w:rsidRPr="000717E1" w14:paraId="64A93C74" w14:textId="77777777" w:rsidTr="00491311">
        <w:trPr>
          <w:cantSplit/>
          <w:trHeight w:val="20"/>
        </w:trPr>
        <w:tc>
          <w:tcPr>
            <w:tcW w:w="1894" w:type="pct"/>
            <w:vAlign w:val="center"/>
          </w:tcPr>
          <w:p w14:paraId="04139F8F" w14:textId="549EC9CA" w:rsidR="00AC64A4" w:rsidRPr="000717E1" w:rsidRDefault="00AC64A4" w:rsidP="00E13A0D">
            <w:pPr>
              <w:pStyle w:val="TableText0"/>
              <w:ind w:left="174" w:hanging="174"/>
              <w:rPr>
                <w:sz w:val="20"/>
                <w:szCs w:val="20"/>
              </w:rPr>
            </w:pPr>
            <w:r w:rsidRPr="000717E1">
              <w:rPr>
                <w:sz w:val="20"/>
                <w:szCs w:val="20"/>
              </w:rPr>
              <w:tab/>
              <w:t>No excess mortality due to severe exacerbation</w:t>
            </w:r>
            <w:r w:rsidR="00E01A8D" w:rsidRPr="000717E1">
              <w:rPr>
                <w:sz w:val="20"/>
                <w:szCs w:val="20"/>
              </w:rPr>
              <w:t xml:space="preserve"> (D)</w:t>
            </w:r>
          </w:p>
        </w:tc>
        <w:tc>
          <w:tcPr>
            <w:tcW w:w="777" w:type="pct"/>
            <w:vAlign w:val="center"/>
          </w:tcPr>
          <w:p w14:paraId="7FDCD4C3" w14:textId="77777777" w:rsidR="00AC64A4" w:rsidRPr="000717E1" w:rsidRDefault="00AC64A4" w:rsidP="00E13A0D">
            <w:pPr>
              <w:pStyle w:val="TableText0"/>
              <w:jc w:val="center"/>
              <w:rPr>
                <w:sz w:val="20"/>
                <w:szCs w:val="20"/>
              </w:rPr>
            </w:pPr>
            <w:r w:rsidRPr="000717E1">
              <w:rPr>
                <w:sz w:val="20"/>
                <w:szCs w:val="20"/>
              </w:rPr>
              <w:t>0.37</w:t>
            </w:r>
          </w:p>
        </w:tc>
        <w:tc>
          <w:tcPr>
            <w:tcW w:w="777" w:type="pct"/>
            <w:vAlign w:val="center"/>
          </w:tcPr>
          <w:p w14:paraId="55DB364C" w14:textId="3D574E1F" w:rsidR="00AC64A4" w:rsidRPr="000717E1" w:rsidRDefault="00AC64A4" w:rsidP="00E13A0D">
            <w:pPr>
              <w:pStyle w:val="TableText0"/>
              <w:jc w:val="center"/>
              <w:rPr>
                <w:sz w:val="20"/>
                <w:szCs w:val="20"/>
              </w:rPr>
            </w:pPr>
            <w:r w:rsidRPr="000717E1">
              <w:rPr>
                <w:sz w:val="20"/>
                <w:szCs w:val="20"/>
              </w:rPr>
              <w:t>$</w:t>
            </w:r>
            <w:r w:rsidR="00331ADA" w:rsidRPr="00331ADA">
              <w:rPr>
                <w:sz w:val="2"/>
                <w:szCs w:val="20"/>
                <w:highlight w:val="black"/>
              </w:rPr>
              <w:t>redacted content</w:t>
            </w:r>
          </w:p>
        </w:tc>
        <w:tc>
          <w:tcPr>
            <w:tcW w:w="952" w:type="pct"/>
            <w:vAlign w:val="center"/>
          </w:tcPr>
          <w:p w14:paraId="55BEEC62" w14:textId="562C3D5D" w:rsidR="00AC64A4" w:rsidRPr="009E08F5" w:rsidRDefault="00AC64A4" w:rsidP="00E13A0D">
            <w:pPr>
              <w:pStyle w:val="TableText0"/>
              <w:jc w:val="center"/>
              <w:rPr>
                <w:sz w:val="20"/>
                <w:szCs w:val="20"/>
                <w:vertAlign w:val="superscript"/>
              </w:rPr>
            </w:pPr>
            <w:r w:rsidRPr="000717E1">
              <w:rPr>
                <w:sz w:val="20"/>
                <w:szCs w:val="20"/>
              </w:rPr>
              <w:t>$</w:t>
            </w:r>
            <w:r w:rsidR="00331ADA" w:rsidRPr="00331ADA">
              <w:rPr>
                <w:sz w:val="2"/>
                <w:szCs w:val="20"/>
                <w:highlight w:val="black"/>
              </w:rPr>
              <w:t>redacted content</w:t>
            </w:r>
            <w:r w:rsidR="009E08F5">
              <w:rPr>
                <w:sz w:val="20"/>
                <w:szCs w:val="20"/>
                <w:vertAlign w:val="superscript"/>
              </w:rPr>
              <w:t>4</w:t>
            </w:r>
          </w:p>
        </w:tc>
        <w:tc>
          <w:tcPr>
            <w:tcW w:w="600" w:type="pct"/>
            <w:vAlign w:val="center"/>
          </w:tcPr>
          <w:p w14:paraId="187F3F39" w14:textId="420D7AB6" w:rsidR="00AC64A4" w:rsidRPr="000717E1" w:rsidRDefault="00331ADA" w:rsidP="00E13A0D">
            <w:pPr>
              <w:pStyle w:val="TableText0"/>
              <w:jc w:val="center"/>
              <w:rPr>
                <w:sz w:val="20"/>
                <w:szCs w:val="20"/>
              </w:rPr>
            </w:pPr>
            <w:r w:rsidRPr="00331ADA">
              <w:rPr>
                <w:sz w:val="2"/>
                <w:szCs w:val="20"/>
                <w:highlight w:val="black"/>
              </w:rPr>
              <w:t>redacted content</w:t>
            </w:r>
            <w:r w:rsidR="00AC64A4" w:rsidRPr="000717E1">
              <w:rPr>
                <w:sz w:val="20"/>
                <w:szCs w:val="20"/>
              </w:rPr>
              <w:t>%</w:t>
            </w:r>
          </w:p>
        </w:tc>
      </w:tr>
      <w:tr w:rsidR="00D30B4D" w:rsidRPr="001F3F0F" w14:paraId="1A84F0A8" w14:textId="77777777" w:rsidTr="00491311">
        <w:trPr>
          <w:cantSplit/>
          <w:trHeight w:val="20"/>
        </w:trPr>
        <w:tc>
          <w:tcPr>
            <w:tcW w:w="1894" w:type="pct"/>
            <w:vAlign w:val="center"/>
          </w:tcPr>
          <w:p w14:paraId="43CFE226" w14:textId="4FB0DC0B" w:rsidR="00D30B4D" w:rsidRPr="00F537DF" w:rsidRDefault="00D30B4D" w:rsidP="00D30B4D">
            <w:pPr>
              <w:pStyle w:val="TableText0"/>
              <w:ind w:left="174" w:hanging="174"/>
              <w:rPr>
                <w:iCs/>
                <w:sz w:val="20"/>
                <w:szCs w:val="20"/>
                <w:vertAlign w:val="superscript"/>
              </w:rPr>
            </w:pPr>
            <w:r w:rsidRPr="00F537DF">
              <w:rPr>
                <w:iCs/>
                <w:sz w:val="20"/>
                <w:szCs w:val="20"/>
              </w:rPr>
              <w:t xml:space="preserve">   Excess mortality due to severe exacerbation 5%</w:t>
            </w:r>
            <w:r w:rsidR="00A05077" w:rsidRPr="00F537DF">
              <w:rPr>
                <w:iCs/>
                <w:sz w:val="20"/>
                <w:szCs w:val="20"/>
              </w:rPr>
              <w:t xml:space="preserve"> (E)</w:t>
            </w:r>
            <w:r w:rsidR="00A84158" w:rsidRPr="00F537DF">
              <w:rPr>
                <w:iCs/>
                <w:sz w:val="20"/>
                <w:szCs w:val="20"/>
              </w:rPr>
              <w:t xml:space="preserve"> </w:t>
            </w:r>
            <w:r w:rsidR="00A84158" w:rsidRPr="00F537DF">
              <w:rPr>
                <w:iCs/>
                <w:sz w:val="20"/>
                <w:szCs w:val="20"/>
                <w:vertAlign w:val="superscript"/>
              </w:rPr>
              <w:t>b</w:t>
            </w:r>
          </w:p>
        </w:tc>
        <w:tc>
          <w:tcPr>
            <w:tcW w:w="777" w:type="pct"/>
          </w:tcPr>
          <w:p w14:paraId="19239610" w14:textId="348B0DB5" w:rsidR="00D30B4D" w:rsidRPr="001F3F0F" w:rsidRDefault="00D30B4D" w:rsidP="00D30B4D">
            <w:pPr>
              <w:pStyle w:val="TableText0"/>
              <w:jc w:val="center"/>
              <w:rPr>
                <w:iCs/>
                <w:sz w:val="20"/>
                <w:szCs w:val="20"/>
              </w:rPr>
            </w:pPr>
            <w:r w:rsidRPr="001F3F0F">
              <w:rPr>
                <w:iCs/>
                <w:sz w:val="20"/>
                <w:szCs w:val="20"/>
              </w:rPr>
              <w:t>0.62</w:t>
            </w:r>
          </w:p>
        </w:tc>
        <w:tc>
          <w:tcPr>
            <w:tcW w:w="777" w:type="pct"/>
          </w:tcPr>
          <w:p w14:paraId="05409784" w14:textId="436D1105" w:rsidR="00D30B4D" w:rsidRPr="001F3F0F" w:rsidRDefault="00D30B4D" w:rsidP="00D30B4D">
            <w:pPr>
              <w:pStyle w:val="TableText0"/>
              <w:jc w:val="center"/>
              <w:rPr>
                <w:iCs/>
                <w:sz w:val="20"/>
                <w:szCs w:val="20"/>
              </w:rPr>
            </w:pPr>
            <w:r w:rsidRPr="001F3F0F">
              <w:rPr>
                <w:iCs/>
                <w:sz w:val="20"/>
                <w:szCs w:val="20"/>
              </w:rPr>
              <w:t>$</w:t>
            </w:r>
            <w:r w:rsidR="00331ADA" w:rsidRPr="00331ADA">
              <w:rPr>
                <w:iCs/>
                <w:sz w:val="2"/>
                <w:szCs w:val="20"/>
                <w:highlight w:val="black"/>
              </w:rPr>
              <w:t>redacted content</w:t>
            </w:r>
          </w:p>
        </w:tc>
        <w:tc>
          <w:tcPr>
            <w:tcW w:w="952" w:type="pct"/>
          </w:tcPr>
          <w:p w14:paraId="1A01632B" w14:textId="19AE24B0" w:rsidR="00D30B4D" w:rsidRPr="009E08F5" w:rsidRDefault="00D30B4D" w:rsidP="00D30B4D">
            <w:pPr>
              <w:pStyle w:val="TableText0"/>
              <w:jc w:val="center"/>
              <w:rPr>
                <w:iCs/>
                <w:sz w:val="20"/>
                <w:szCs w:val="20"/>
                <w:vertAlign w:val="superscript"/>
              </w:rPr>
            </w:pPr>
            <w:r w:rsidRPr="001F3F0F">
              <w:rPr>
                <w:iCs/>
                <w:sz w:val="20"/>
                <w:szCs w:val="20"/>
              </w:rPr>
              <w:t>$</w:t>
            </w:r>
            <w:r w:rsidR="00331ADA" w:rsidRPr="00331ADA">
              <w:rPr>
                <w:iCs/>
                <w:sz w:val="2"/>
                <w:szCs w:val="20"/>
                <w:highlight w:val="black"/>
              </w:rPr>
              <w:t>redacted content</w:t>
            </w:r>
            <w:r w:rsidR="009E08F5">
              <w:rPr>
                <w:iCs/>
                <w:sz w:val="20"/>
                <w:szCs w:val="20"/>
                <w:vertAlign w:val="superscript"/>
              </w:rPr>
              <w:t>2</w:t>
            </w:r>
          </w:p>
        </w:tc>
        <w:tc>
          <w:tcPr>
            <w:tcW w:w="600" w:type="pct"/>
          </w:tcPr>
          <w:p w14:paraId="424635A6" w14:textId="5D51C974" w:rsidR="00D30B4D" w:rsidRPr="001F3F0F" w:rsidRDefault="00331ADA" w:rsidP="00D30B4D">
            <w:pPr>
              <w:pStyle w:val="TableText0"/>
              <w:jc w:val="center"/>
              <w:rPr>
                <w:iCs/>
                <w:sz w:val="20"/>
                <w:szCs w:val="20"/>
              </w:rPr>
            </w:pPr>
            <w:r w:rsidRPr="00331ADA">
              <w:rPr>
                <w:iCs/>
                <w:sz w:val="2"/>
                <w:szCs w:val="20"/>
                <w:highlight w:val="black"/>
              </w:rPr>
              <w:t>redacted content</w:t>
            </w:r>
            <w:r w:rsidR="00D30B4D" w:rsidRPr="001F3F0F">
              <w:rPr>
                <w:iCs/>
                <w:sz w:val="20"/>
                <w:szCs w:val="20"/>
              </w:rPr>
              <w:t>%</w:t>
            </w:r>
          </w:p>
        </w:tc>
      </w:tr>
      <w:tr w:rsidR="00AC27D5" w:rsidRPr="001F3F0F" w14:paraId="240819C2" w14:textId="77777777" w:rsidTr="00491311">
        <w:trPr>
          <w:cantSplit/>
          <w:trHeight w:val="20"/>
        </w:trPr>
        <w:tc>
          <w:tcPr>
            <w:tcW w:w="1894" w:type="pct"/>
            <w:vAlign w:val="center"/>
          </w:tcPr>
          <w:p w14:paraId="42177007" w14:textId="61AA4A50" w:rsidR="00AC27D5" w:rsidRPr="00F537DF" w:rsidRDefault="00AC27D5" w:rsidP="00AC27D5">
            <w:pPr>
              <w:pStyle w:val="TableText0"/>
              <w:ind w:left="174" w:hanging="174"/>
              <w:rPr>
                <w:iCs/>
                <w:sz w:val="20"/>
                <w:szCs w:val="20"/>
                <w:vertAlign w:val="superscript"/>
              </w:rPr>
            </w:pPr>
            <w:r w:rsidRPr="00F537DF">
              <w:rPr>
                <w:iCs/>
                <w:sz w:val="20"/>
                <w:szCs w:val="20"/>
              </w:rPr>
              <w:t xml:space="preserve">   Excess mortality due to severe exacerbation 10 %</w:t>
            </w:r>
            <w:r w:rsidR="00A05077" w:rsidRPr="00F537DF">
              <w:rPr>
                <w:iCs/>
                <w:sz w:val="20"/>
                <w:szCs w:val="20"/>
              </w:rPr>
              <w:t xml:space="preserve"> (F)</w:t>
            </w:r>
            <w:r w:rsidR="00A84158" w:rsidRPr="00F537DF">
              <w:rPr>
                <w:iCs/>
                <w:sz w:val="20"/>
                <w:szCs w:val="20"/>
              </w:rPr>
              <w:t xml:space="preserve"> </w:t>
            </w:r>
            <w:r w:rsidR="00A84158" w:rsidRPr="00F537DF">
              <w:rPr>
                <w:iCs/>
                <w:sz w:val="20"/>
                <w:szCs w:val="20"/>
                <w:vertAlign w:val="superscript"/>
              </w:rPr>
              <w:t>b</w:t>
            </w:r>
          </w:p>
        </w:tc>
        <w:tc>
          <w:tcPr>
            <w:tcW w:w="777" w:type="pct"/>
          </w:tcPr>
          <w:p w14:paraId="1831A3CC" w14:textId="3CD2A2CB" w:rsidR="00AC27D5" w:rsidRPr="001F3F0F" w:rsidRDefault="00AC27D5" w:rsidP="00AC27D5">
            <w:pPr>
              <w:pStyle w:val="TableText0"/>
              <w:jc w:val="center"/>
              <w:rPr>
                <w:iCs/>
                <w:sz w:val="20"/>
                <w:szCs w:val="20"/>
              </w:rPr>
            </w:pPr>
            <w:r w:rsidRPr="001F3F0F">
              <w:rPr>
                <w:iCs/>
                <w:sz w:val="20"/>
                <w:szCs w:val="20"/>
              </w:rPr>
              <w:t>0.82</w:t>
            </w:r>
          </w:p>
        </w:tc>
        <w:tc>
          <w:tcPr>
            <w:tcW w:w="777" w:type="pct"/>
          </w:tcPr>
          <w:p w14:paraId="43658820" w14:textId="0F3572BD" w:rsidR="00AC27D5" w:rsidRPr="001F3F0F" w:rsidRDefault="00AC27D5" w:rsidP="00AC27D5">
            <w:pPr>
              <w:pStyle w:val="TableText0"/>
              <w:jc w:val="center"/>
              <w:rPr>
                <w:iCs/>
                <w:sz w:val="20"/>
                <w:szCs w:val="20"/>
              </w:rPr>
            </w:pPr>
            <w:r w:rsidRPr="001F3F0F">
              <w:rPr>
                <w:iCs/>
                <w:sz w:val="20"/>
                <w:szCs w:val="20"/>
              </w:rPr>
              <w:t>$</w:t>
            </w:r>
            <w:r w:rsidR="00331ADA" w:rsidRPr="00331ADA">
              <w:rPr>
                <w:iCs/>
                <w:sz w:val="2"/>
                <w:szCs w:val="20"/>
                <w:highlight w:val="black"/>
              </w:rPr>
              <w:t>redacted content</w:t>
            </w:r>
          </w:p>
        </w:tc>
        <w:tc>
          <w:tcPr>
            <w:tcW w:w="952" w:type="pct"/>
          </w:tcPr>
          <w:p w14:paraId="29240440" w14:textId="0534326C" w:rsidR="00AC27D5" w:rsidRPr="00DB69D7" w:rsidRDefault="00AC27D5" w:rsidP="00AC27D5">
            <w:pPr>
              <w:pStyle w:val="TableText0"/>
              <w:jc w:val="center"/>
              <w:rPr>
                <w:iCs/>
                <w:sz w:val="20"/>
                <w:szCs w:val="20"/>
                <w:vertAlign w:val="superscript"/>
              </w:rPr>
            </w:pPr>
            <w:r w:rsidRPr="001F3F0F">
              <w:rPr>
                <w:iCs/>
                <w:sz w:val="20"/>
                <w:szCs w:val="20"/>
              </w:rPr>
              <w:t>$</w:t>
            </w:r>
            <w:r w:rsidR="00331ADA" w:rsidRPr="00331ADA">
              <w:rPr>
                <w:iCs/>
                <w:sz w:val="2"/>
                <w:szCs w:val="20"/>
                <w:highlight w:val="black"/>
              </w:rPr>
              <w:t>redacted content</w:t>
            </w:r>
            <w:r w:rsidR="00DB69D7">
              <w:rPr>
                <w:iCs/>
                <w:sz w:val="20"/>
                <w:szCs w:val="20"/>
                <w:vertAlign w:val="superscript"/>
              </w:rPr>
              <w:t>1</w:t>
            </w:r>
          </w:p>
        </w:tc>
        <w:tc>
          <w:tcPr>
            <w:tcW w:w="600" w:type="pct"/>
          </w:tcPr>
          <w:p w14:paraId="65C3CFCF" w14:textId="2D509A2F" w:rsidR="00AC27D5" w:rsidRPr="001F3F0F" w:rsidRDefault="00331ADA" w:rsidP="00AC27D5">
            <w:pPr>
              <w:pStyle w:val="TableText0"/>
              <w:jc w:val="center"/>
              <w:rPr>
                <w:iCs/>
                <w:sz w:val="20"/>
                <w:szCs w:val="20"/>
              </w:rPr>
            </w:pPr>
            <w:r w:rsidRPr="00331ADA">
              <w:rPr>
                <w:iCs/>
                <w:sz w:val="2"/>
                <w:szCs w:val="20"/>
                <w:highlight w:val="black"/>
              </w:rPr>
              <w:t>redacted content</w:t>
            </w:r>
            <w:r w:rsidR="00AC27D5" w:rsidRPr="001F3F0F">
              <w:rPr>
                <w:iCs/>
                <w:sz w:val="20"/>
                <w:szCs w:val="20"/>
              </w:rPr>
              <w:t>%</w:t>
            </w:r>
          </w:p>
        </w:tc>
      </w:tr>
      <w:tr w:rsidR="00AC64A4" w:rsidRPr="000717E1" w14:paraId="1E39AE36" w14:textId="00702A4F" w:rsidTr="00491311">
        <w:trPr>
          <w:cantSplit/>
          <w:trHeight w:val="20"/>
        </w:trPr>
        <w:tc>
          <w:tcPr>
            <w:tcW w:w="1894" w:type="pct"/>
            <w:vAlign w:val="center"/>
          </w:tcPr>
          <w:p w14:paraId="4B812AAC" w14:textId="3D73342F" w:rsidR="00AC64A4" w:rsidRPr="000717E1" w:rsidRDefault="00AC64A4" w:rsidP="00E13A0D">
            <w:pPr>
              <w:pStyle w:val="TableText0"/>
              <w:rPr>
                <w:b/>
                <w:bCs/>
                <w:sz w:val="20"/>
                <w:szCs w:val="20"/>
                <w:vertAlign w:val="superscript"/>
              </w:rPr>
            </w:pPr>
            <w:r w:rsidRPr="000717E1">
              <w:rPr>
                <w:b/>
                <w:bCs/>
                <w:sz w:val="20"/>
                <w:szCs w:val="20"/>
              </w:rPr>
              <w:t>Multivariate analysis</w:t>
            </w:r>
            <w:r w:rsidR="007B332B" w:rsidRPr="000717E1">
              <w:rPr>
                <w:b/>
                <w:bCs/>
                <w:sz w:val="20"/>
                <w:szCs w:val="20"/>
              </w:rPr>
              <w:t xml:space="preserve"> </w:t>
            </w:r>
            <w:r w:rsidR="00827EA5" w:rsidRPr="000717E1">
              <w:rPr>
                <w:b/>
                <w:bCs/>
                <w:sz w:val="20"/>
                <w:szCs w:val="20"/>
                <w:vertAlign w:val="superscript"/>
              </w:rPr>
              <w:t>a</w:t>
            </w:r>
          </w:p>
        </w:tc>
        <w:tc>
          <w:tcPr>
            <w:tcW w:w="777" w:type="pct"/>
            <w:vAlign w:val="center"/>
          </w:tcPr>
          <w:p w14:paraId="354EDDFB" w14:textId="07A5C459" w:rsidR="00AC64A4" w:rsidRPr="000717E1" w:rsidRDefault="00AC64A4" w:rsidP="00E13A0D">
            <w:pPr>
              <w:pStyle w:val="TableText0"/>
              <w:jc w:val="center"/>
              <w:rPr>
                <w:sz w:val="20"/>
                <w:szCs w:val="20"/>
              </w:rPr>
            </w:pPr>
          </w:p>
        </w:tc>
        <w:tc>
          <w:tcPr>
            <w:tcW w:w="777" w:type="pct"/>
            <w:vAlign w:val="center"/>
          </w:tcPr>
          <w:p w14:paraId="2DA6A354" w14:textId="7D6A3291" w:rsidR="00AC64A4" w:rsidRPr="000717E1" w:rsidRDefault="00AC64A4" w:rsidP="00E13A0D">
            <w:pPr>
              <w:pStyle w:val="TableText0"/>
              <w:jc w:val="center"/>
              <w:rPr>
                <w:sz w:val="20"/>
                <w:szCs w:val="20"/>
              </w:rPr>
            </w:pPr>
          </w:p>
        </w:tc>
        <w:tc>
          <w:tcPr>
            <w:tcW w:w="952" w:type="pct"/>
            <w:vAlign w:val="center"/>
          </w:tcPr>
          <w:p w14:paraId="6CD48962" w14:textId="6E22D344" w:rsidR="00AC64A4" w:rsidRPr="000717E1" w:rsidRDefault="00AC64A4" w:rsidP="00E13A0D">
            <w:pPr>
              <w:pStyle w:val="TableText0"/>
              <w:jc w:val="center"/>
              <w:rPr>
                <w:sz w:val="20"/>
                <w:szCs w:val="20"/>
              </w:rPr>
            </w:pPr>
          </w:p>
        </w:tc>
        <w:tc>
          <w:tcPr>
            <w:tcW w:w="600" w:type="pct"/>
            <w:vAlign w:val="center"/>
          </w:tcPr>
          <w:p w14:paraId="30A75376" w14:textId="490FDBCD" w:rsidR="00AC64A4" w:rsidRPr="000717E1" w:rsidRDefault="00AC64A4" w:rsidP="00E13A0D">
            <w:pPr>
              <w:pStyle w:val="TableText0"/>
              <w:jc w:val="center"/>
              <w:rPr>
                <w:sz w:val="20"/>
                <w:szCs w:val="20"/>
              </w:rPr>
            </w:pPr>
          </w:p>
        </w:tc>
      </w:tr>
      <w:tr w:rsidR="00AC64A4" w:rsidRPr="000717E1" w14:paraId="3640E92C" w14:textId="1CA63DE6" w:rsidTr="00491311">
        <w:trPr>
          <w:cantSplit/>
          <w:trHeight w:val="20"/>
        </w:trPr>
        <w:tc>
          <w:tcPr>
            <w:tcW w:w="1894" w:type="pct"/>
            <w:vAlign w:val="center"/>
          </w:tcPr>
          <w:p w14:paraId="25DD0704" w14:textId="331A05F6" w:rsidR="00AC64A4" w:rsidRPr="000717E1" w:rsidRDefault="00AC64A4" w:rsidP="00E13A0D">
            <w:pPr>
              <w:pStyle w:val="TableText0"/>
              <w:rPr>
                <w:sz w:val="20"/>
                <w:szCs w:val="20"/>
              </w:rPr>
            </w:pPr>
            <w:r w:rsidRPr="000717E1">
              <w:rPr>
                <w:sz w:val="20"/>
                <w:szCs w:val="20"/>
              </w:rPr>
              <w:t>10-year time horizon</w:t>
            </w:r>
            <w:r w:rsidR="00E01A8D" w:rsidRPr="000717E1">
              <w:rPr>
                <w:sz w:val="20"/>
                <w:szCs w:val="20"/>
              </w:rPr>
              <w:t xml:space="preserve"> (A)</w:t>
            </w:r>
          </w:p>
          <w:p w14:paraId="2B62DD2D" w14:textId="3D774A82" w:rsidR="00AC64A4" w:rsidRPr="000717E1" w:rsidRDefault="00AC64A4" w:rsidP="00E13A0D">
            <w:pPr>
              <w:pStyle w:val="TableText0"/>
              <w:rPr>
                <w:sz w:val="20"/>
                <w:szCs w:val="20"/>
              </w:rPr>
            </w:pPr>
            <w:r w:rsidRPr="000717E1">
              <w:rPr>
                <w:sz w:val="20"/>
                <w:szCs w:val="20"/>
              </w:rPr>
              <w:t>No FEV</w:t>
            </w:r>
            <w:r w:rsidRPr="000717E1">
              <w:rPr>
                <w:sz w:val="20"/>
                <w:szCs w:val="20"/>
                <w:vertAlign w:val="subscript"/>
              </w:rPr>
              <w:t>1</w:t>
            </w:r>
            <w:r w:rsidRPr="000717E1">
              <w:rPr>
                <w:sz w:val="20"/>
                <w:szCs w:val="20"/>
              </w:rPr>
              <w:t xml:space="preserve"> treatment effect beyond trial period</w:t>
            </w:r>
            <w:r w:rsidR="00D61023" w:rsidRPr="000717E1">
              <w:rPr>
                <w:sz w:val="20"/>
                <w:szCs w:val="20"/>
              </w:rPr>
              <w:t xml:space="preserve"> </w:t>
            </w:r>
            <w:r w:rsidR="00E01A8D" w:rsidRPr="000717E1">
              <w:rPr>
                <w:sz w:val="20"/>
                <w:szCs w:val="20"/>
              </w:rPr>
              <w:t>(B)</w:t>
            </w:r>
          </w:p>
          <w:p w14:paraId="0ACBCE15" w14:textId="25F4AAB2" w:rsidR="00AC64A4" w:rsidRPr="000717E1" w:rsidRDefault="00AC64A4" w:rsidP="00E13A0D">
            <w:pPr>
              <w:pStyle w:val="TableText0"/>
              <w:rPr>
                <w:sz w:val="20"/>
                <w:szCs w:val="20"/>
              </w:rPr>
            </w:pPr>
            <w:r w:rsidRPr="000717E1">
              <w:rPr>
                <w:sz w:val="20"/>
                <w:szCs w:val="20"/>
              </w:rPr>
              <w:t>Baseline exacerbation rate in the comparator arm using trial data</w:t>
            </w:r>
            <w:r w:rsidR="00E01A8D" w:rsidRPr="000717E1">
              <w:rPr>
                <w:sz w:val="20"/>
                <w:szCs w:val="20"/>
              </w:rPr>
              <w:t xml:space="preserve"> (C)</w:t>
            </w:r>
          </w:p>
        </w:tc>
        <w:tc>
          <w:tcPr>
            <w:tcW w:w="777" w:type="pct"/>
            <w:vAlign w:val="center"/>
          </w:tcPr>
          <w:p w14:paraId="47ADC116" w14:textId="16F35CF7" w:rsidR="00AC64A4" w:rsidRPr="000717E1" w:rsidRDefault="00AC64A4" w:rsidP="00E13A0D">
            <w:pPr>
              <w:pStyle w:val="TableText0"/>
              <w:jc w:val="center"/>
              <w:rPr>
                <w:sz w:val="20"/>
                <w:szCs w:val="20"/>
              </w:rPr>
            </w:pPr>
            <w:r w:rsidRPr="000717E1">
              <w:rPr>
                <w:sz w:val="20"/>
                <w:szCs w:val="20"/>
              </w:rPr>
              <w:t>0.47</w:t>
            </w:r>
          </w:p>
        </w:tc>
        <w:tc>
          <w:tcPr>
            <w:tcW w:w="777" w:type="pct"/>
            <w:vAlign w:val="center"/>
          </w:tcPr>
          <w:p w14:paraId="6FD55171" w14:textId="5F9EB34D" w:rsidR="00AC64A4" w:rsidRPr="000717E1" w:rsidRDefault="00AC64A4" w:rsidP="00E13A0D">
            <w:pPr>
              <w:pStyle w:val="TableText0"/>
              <w:jc w:val="center"/>
              <w:rPr>
                <w:sz w:val="20"/>
                <w:szCs w:val="20"/>
              </w:rPr>
            </w:pPr>
            <w:r w:rsidRPr="000717E1">
              <w:rPr>
                <w:sz w:val="20"/>
                <w:szCs w:val="20"/>
              </w:rPr>
              <w:t>$</w:t>
            </w:r>
            <w:r w:rsidR="00331ADA" w:rsidRPr="00331ADA">
              <w:rPr>
                <w:sz w:val="2"/>
                <w:szCs w:val="20"/>
                <w:highlight w:val="black"/>
              </w:rPr>
              <w:t>redacted content</w:t>
            </w:r>
          </w:p>
        </w:tc>
        <w:tc>
          <w:tcPr>
            <w:tcW w:w="952" w:type="pct"/>
            <w:vAlign w:val="center"/>
          </w:tcPr>
          <w:p w14:paraId="65A23DD5" w14:textId="5F1C20F8" w:rsidR="00AC64A4" w:rsidRPr="00DB69D7" w:rsidRDefault="00AC64A4" w:rsidP="00E13A0D">
            <w:pPr>
              <w:pStyle w:val="TableText0"/>
              <w:jc w:val="center"/>
              <w:rPr>
                <w:sz w:val="20"/>
                <w:szCs w:val="20"/>
                <w:vertAlign w:val="superscript"/>
              </w:rPr>
            </w:pPr>
            <w:r w:rsidRPr="000717E1">
              <w:rPr>
                <w:sz w:val="20"/>
                <w:szCs w:val="20"/>
              </w:rPr>
              <w:t>$</w:t>
            </w:r>
            <w:r w:rsidR="00331ADA" w:rsidRPr="00331ADA">
              <w:rPr>
                <w:sz w:val="2"/>
                <w:szCs w:val="20"/>
                <w:highlight w:val="black"/>
              </w:rPr>
              <w:t>redacted content</w:t>
            </w:r>
            <w:r w:rsidR="00DB69D7">
              <w:rPr>
                <w:sz w:val="20"/>
                <w:szCs w:val="20"/>
                <w:vertAlign w:val="superscript"/>
              </w:rPr>
              <w:t>4</w:t>
            </w:r>
          </w:p>
        </w:tc>
        <w:tc>
          <w:tcPr>
            <w:tcW w:w="600" w:type="pct"/>
            <w:vAlign w:val="center"/>
          </w:tcPr>
          <w:p w14:paraId="1C2AEFDE" w14:textId="3E68211C" w:rsidR="00AC64A4" w:rsidRPr="000717E1" w:rsidRDefault="00331ADA" w:rsidP="00E13A0D">
            <w:pPr>
              <w:pStyle w:val="TableText0"/>
              <w:jc w:val="center"/>
              <w:rPr>
                <w:sz w:val="20"/>
                <w:szCs w:val="20"/>
              </w:rPr>
            </w:pPr>
            <w:r w:rsidRPr="00331ADA">
              <w:rPr>
                <w:sz w:val="2"/>
                <w:szCs w:val="20"/>
                <w:highlight w:val="black"/>
              </w:rPr>
              <w:t>redacted content</w:t>
            </w:r>
            <w:r w:rsidR="00AC64A4" w:rsidRPr="000717E1">
              <w:rPr>
                <w:sz w:val="20"/>
                <w:szCs w:val="20"/>
              </w:rPr>
              <w:t>%</w:t>
            </w:r>
          </w:p>
        </w:tc>
      </w:tr>
      <w:tr w:rsidR="00AC64A4" w:rsidRPr="000717E1" w14:paraId="78342E1E" w14:textId="03B69D5A" w:rsidTr="00491311">
        <w:trPr>
          <w:cantSplit/>
          <w:trHeight w:val="20"/>
        </w:trPr>
        <w:tc>
          <w:tcPr>
            <w:tcW w:w="1894" w:type="pct"/>
            <w:vAlign w:val="center"/>
          </w:tcPr>
          <w:p w14:paraId="733E086F" w14:textId="0B5A2260" w:rsidR="00AC64A4" w:rsidRPr="000717E1" w:rsidRDefault="00AC64A4" w:rsidP="00E13A0D">
            <w:pPr>
              <w:pStyle w:val="TableText0"/>
              <w:rPr>
                <w:sz w:val="20"/>
                <w:szCs w:val="20"/>
              </w:rPr>
            </w:pPr>
            <w:r w:rsidRPr="000717E1">
              <w:rPr>
                <w:sz w:val="20"/>
                <w:szCs w:val="20"/>
              </w:rPr>
              <w:t>10-year time horizon</w:t>
            </w:r>
            <w:r w:rsidR="00E01A8D" w:rsidRPr="000717E1">
              <w:rPr>
                <w:sz w:val="20"/>
                <w:szCs w:val="20"/>
              </w:rPr>
              <w:t xml:space="preserve"> (A)</w:t>
            </w:r>
          </w:p>
          <w:p w14:paraId="2DD68728" w14:textId="731567B6" w:rsidR="00AC64A4" w:rsidRPr="000717E1" w:rsidRDefault="00AC64A4" w:rsidP="00E13A0D">
            <w:pPr>
              <w:pStyle w:val="TableText0"/>
              <w:rPr>
                <w:sz w:val="20"/>
                <w:szCs w:val="20"/>
              </w:rPr>
            </w:pPr>
            <w:r w:rsidRPr="000717E1">
              <w:rPr>
                <w:sz w:val="20"/>
                <w:szCs w:val="20"/>
              </w:rPr>
              <w:t>No FEV</w:t>
            </w:r>
            <w:r w:rsidRPr="000717E1">
              <w:rPr>
                <w:sz w:val="20"/>
                <w:szCs w:val="20"/>
                <w:vertAlign w:val="subscript"/>
              </w:rPr>
              <w:t>1</w:t>
            </w:r>
            <w:r w:rsidRPr="000717E1">
              <w:rPr>
                <w:sz w:val="20"/>
                <w:szCs w:val="20"/>
              </w:rPr>
              <w:t xml:space="preserve"> treatment effect beyond trial period</w:t>
            </w:r>
            <w:r w:rsidR="00E01A8D" w:rsidRPr="000717E1">
              <w:rPr>
                <w:sz w:val="20"/>
                <w:szCs w:val="20"/>
              </w:rPr>
              <w:t xml:space="preserve"> (B)</w:t>
            </w:r>
          </w:p>
          <w:p w14:paraId="1A0BD4B0" w14:textId="4543F0A8" w:rsidR="00AC64A4" w:rsidRPr="000717E1" w:rsidRDefault="00AC64A4" w:rsidP="00E13A0D">
            <w:pPr>
              <w:pStyle w:val="TableText0"/>
              <w:rPr>
                <w:sz w:val="20"/>
                <w:szCs w:val="20"/>
              </w:rPr>
            </w:pPr>
            <w:r w:rsidRPr="000717E1">
              <w:rPr>
                <w:sz w:val="20"/>
                <w:szCs w:val="20"/>
              </w:rPr>
              <w:t>Baseline exacerbation rate in the comparator arm using trial data</w:t>
            </w:r>
            <w:r w:rsidR="00E01A8D" w:rsidRPr="000717E1">
              <w:rPr>
                <w:sz w:val="20"/>
                <w:szCs w:val="20"/>
              </w:rPr>
              <w:t xml:space="preserve"> (C)</w:t>
            </w:r>
          </w:p>
          <w:p w14:paraId="52EB1E88" w14:textId="19F9FF19" w:rsidR="00AC64A4" w:rsidRPr="000717E1" w:rsidRDefault="00AC64A4" w:rsidP="00E13A0D">
            <w:pPr>
              <w:pStyle w:val="TableText0"/>
              <w:rPr>
                <w:sz w:val="20"/>
                <w:szCs w:val="20"/>
              </w:rPr>
            </w:pPr>
            <w:r w:rsidRPr="000717E1">
              <w:rPr>
                <w:sz w:val="20"/>
                <w:szCs w:val="20"/>
              </w:rPr>
              <w:t>Removing CFR for severe exacerbation</w:t>
            </w:r>
            <w:r w:rsidR="00E01A8D" w:rsidRPr="000717E1">
              <w:rPr>
                <w:sz w:val="20"/>
                <w:szCs w:val="20"/>
              </w:rPr>
              <w:t xml:space="preserve"> (D)</w:t>
            </w:r>
          </w:p>
        </w:tc>
        <w:tc>
          <w:tcPr>
            <w:tcW w:w="777" w:type="pct"/>
            <w:vAlign w:val="center"/>
          </w:tcPr>
          <w:p w14:paraId="20FF22E5" w14:textId="1C51158F" w:rsidR="00AC64A4" w:rsidRPr="000717E1" w:rsidRDefault="00AC64A4" w:rsidP="00E13A0D">
            <w:pPr>
              <w:pStyle w:val="TableText0"/>
              <w:jc w:val="center"/>
              <w:rPr>
                <w:sz w:val="20"/>
                <w:szCs w:val="20"/>
              </w:rPr>
            </w:pPr>
            <w:r w:rsidRPr="000717E1">
              <w:rPr>
                <w:sz w:val="20"/>
                <w:szCs w:val="20"/>
              </w:rPr>
              <w:t>0.11</w:t>
            </w:r>
          </w:p>
        </w:tc>
        <w:tc>
          <w:tcPr>
            <w:tcW w:w="777" w:type="pct"/>
            <w:vAlign w:val="center"/>
          </w:tcPr>
          <w:p w14:paraId="76EA7CB6" w14:textId="7805BFAC" w:rsidR="00AC64A4" w:rsidRPr="000717E1" w:rsidRDefault="00AC64A4" w:rsidP="00E13A0D">
            <w:pPr>
              <w:pStyle w:val="TableText0"/>
              <w:jc w:val="center"/>
              <w:rPr>
                <w:sz w:val="20"/>
                <w:szCs w:val="20"/>
              </w:rPr>
            </w:pPr>
            <w:r w:rsidRPr="000717E1">
              <w:rPr>
                <w:sz w:val="20"/>
                <w:szCs w:val="20"/>
              </w:rPr>
              <w:t>$</w:t>
            </w:r>
            <w:r w:rsidR="00331ADA" w:rsidRPr="00331ADA">
              <w:rPr>
                <w:sz w:val="2"/>
                <w:szCs w:val="20"/>
                <w:highlight w:val="black"/>
              </w:rPr>
              <w:t>redacted content</w:t>
            </w:r>
          </w:p>
        </w:tc>
        <w:tc>
          <w:tcPr>
            <w:tcW w:w="952" w:type="pct"/>
            <w:vAlign w:val="center"/>
          </w:tcPr>
          <w:p w14:paraId="1CBF43F0" w14:textId="32E8308D" w:rsidR="00AC64A4" w:rsidRPr="009259D1" w:rsidRDefault="00AC64A4" w:rsidP="00E13A0D">
            <w:pPr>
              <w:pStyle w:val="TableText0"/>
              <w:jc w:val="center"/>
              <w:rPr>
                <w:sz w:val="20"/>
                <w:szCs w:val="20"/>
                <w:vertAlign w:val="superscript"/>
              </w:rPr>
            </w:pPr>
            <w:r w:rsidRPr="000717E1">
              <w:rPr>
                <w:sz w:val="20"/>
                <w:szCs w:val="20"/>
              </w:rPr>
              <w:t>$</w:t>
            </w:r>
            <w:r w:rsidR="00331ADA" w:rsidRPr="00331ADA">
              <w:rPr>
                <w:sz w:val="2"/>
                <w:szCs w:val="20"/>
                <w:highlight w:val="black"/>
              </w:rPr>
              <w:t>redacted content</w:t>
            </w:r>
            <w:r w:rsidR="009259D1">
              <w:rPr>
                <w:sz w:val="20"/>
                <w:szCs w:val="20"/>
                <w:vertAlign w:val="superscript"/>
              </w:rPr>
              <w:t>5</w:t>
            </w:r>
          </w:p>
        </w:tc>
        <w:tc>
          <w:tcPr>
            <w:tcW w:w="600" w:type="pct"/>
            <w:vAlign w:val="center"/>
          </w:tcPr>
          <w:p w14:paraId="709DFE5D" w14:textId="336A4D60" w:rsidR="00AC64A4" w:rsidRPr="000717E1" w:rsidRDefault="00331ADA" w:rsidP="00E13A0D">
            <w:pPr>
              <w:pStyle w:val="TableText0"/>
              <w:jc w:val="center"/>
              <w:rPr>
                <w:sz w:val="20"/>
                <w:szCs w:val="20"/>
              </w:rPr>
            </w:pPr>
            <w:r w:rsidRPr="00331ADA">
              <w:rPr>
                <w:sz w:val="2"/>
                <w:szCs w:val="20"/>
                <w:highlight w:val="black"/>
              </w:rPr>
              <w:t>redacted content</w:t>
            </w:r>
            <w:r w:rsidR="00AC64A4" w:rsidRPr="000717E1">
              <w:rPr>
                <w:sz w:val="20"/>
                <w:szCs w:val="20"/>
              </w:rPr>
              <w:t>%</w:t>
            </w:r>
          </w:p>
        </w:tc>
      </w:tr>
      <w:tr w:rsidR="00BE58AC" w:rsidRPr="001F3F0F" w14:paraId="250F4BDB" w14:textId="77777777" w:rsidTr="00491311">
        <w:trPr>
          <w:cantSplit/>
          <w:trHeight w:val="20"/>
        </w:trPr>
        <w:tc>
          <w:tcPr>
            <w:tcW w:w="5000" w:type="pct"/>
            <w:gridSpan w:val="5"/>
            <w:vAlign w:val="center"/>
          </w:tcPr>
          <w:p w14:paraId="1BDDBFAF" w14:textId="20B2ABED" w:rsidR="00BE58AC" w:rsidRPr="001F3F0F" w:rsidRDefault="00BE58AC" w:rsidP="00BE58AC">
            <w:pPr>
              <w:pStyle w:val="TableText0"/>
              <w:rPr>
                <w:b/>
                <w:bCs/>
                <w:iCs/>
                <w:sz w:val="20"/>
                <w:szCs w:val="20"/>
                <w:vertAlign w:val="superscript"/>
              </w:rPr>
            </w:pPr>
            <w:r w:rsidRPr="001F3F0F">
              <w:rPr>
                <w:b/>
                <w:bCs/>
                <w:iCs/>
                <w:sz w:val="20"/>
                <w:szCs w:val="20"/>
              </w:rPr>
              <w:t>Sub-Committees</w:t>
            </w:r>
            <w:r w:rsidR="00345A54" w:rsidRPr="001F3F0F">
              <w:rPr>
                <w:b/>
                <w:bCs/>
                <w:iCs/>
                <w:sz w:val="20"/>
                <w:szCs w:val="20"/>
              </w:rPr>
              <w:t>’</w:t>
            </w:r>
            <w:r w:rsidRPr="001F3F0F">
              <w:rPr>
                <w:b/>
                <w:bCs/>
                <w:iCs/>
                <w:sz w:val="20"/>
                <w:szCs w:val="20"/>
              </w:rPr>
              <w:t xml:space="preserve"> </w:t>
            </w:r>
            <w:r w:rsidR="00627C8B" w:rsidRPr="001F3F0F">
              <w:rPr>
                <w:b/>
                <w:bCs/>
                <w:iCs/>
                <w:sz w:val="20"/>
                <w:szCs w:val="20"/>
              </w:rPr>
              <w:t>requested multivariate analyses</w:t>
            </w:r>
            <w:r w:rsidR="00A84158" w:rsidRPr="001F3F0F">
              <w:rPr>
                <w:b/>
                <w:bCs/>
                <w:iCs/>
                <w:sz w:val="20"/>
                <w:szCs w:val="20"/>
              </w:rPr>
              <w:t xml:space="preserve"> </w:t>
            </w:r>
            <w:r w:rsidR="00A84158" w:rsidRPr="001F3F0F">
              <w:rPr>
                <w:b/>
                <w:bCs/>
                <w:iCs/>
                <w:sz w:val="20"/>
                <w:szCs w:val="20"/>
                <w:vertAlign w:val="superscript"/>
              </w:rPr>
              <w:t>b</w:t>
            </w:r>
          </w:p>
        </w:tc>
      </w:tr>
      <w:tr w:rsidR="00E27951" w:rsidRPr="001F3F0F" w14:paraId="00E54C0F" w14:textId="77777777" w:rsidTr="00491311">
        <w:trPr>
          <w:cantSplit/>
          <w:trHeight w:val="20"/>
        </w:trPr>
        <w:tc>
          <w:tcPr>
            <w:tcW w:w="1894" w:type="pct"/>
            <w:vAlign w:val="center"/>
          </w:tcPr>
          <w:p w14:paraId="730B8908" w14:textId="3A5654F3" w:rsidR="00823983" w:rsidRPr="001F3F0F" w:rsidRDefault="00823983" w:rsidP="00823983">
            <w:pPr>
              <w:pStyle w:val="TableText0"/>
              <w:rPr>
                <w:iCs/>
                <w:sz w:val="20"/>
                <w:szCs w:val="20"/>
              </w:rPr>
            </w:pPr>
            <w:r w:rsidRPr="001F3F0F">
              <w:rPr>
                <w:iCs/>
                <w:sz w:val="20"/>
                <w:szCs w:val="20"/>
              </w:rPr>
              <w:t>10-year time horizon</w:t>
            </w:r>
            <w:r w:rsidR="00E700E4" w:rsidRPr="001F3F0F">
              <w:rPr>
                <w:iCs/>
                <w:sz w:val="20"/>
                <w:szCs w:val="20"/>
              </w:rPr>
              <w:t xml:space="preserve"> (A)</w:t>
            </w:r>
          </w:p>
          <w:p w14:paraId="1B19DBB6" w14:textId="276E191F" w:rsidR="002241F8" w:rsidRPr="001F3F0F" w:rsidRDefault="00823983" w:rsidP="00823983">
            <w:pPr>
              <w:pStyle w:val="TableText0"/>
              <w:rPr>
                <w:iCs/>
                <w:sz w:val="20"/>
                <w:szCs w:val="20"/>
              </w:rPr>
            </w:pPr>
            <w:r w:rsidRPr="001F3F0F">
              <w:rPr>
                <w:iCs/>
                <w:sz w:val="20"/>
                <w:szCs w:val="20"/>
              </w:rPr>
              <w:t xml:space="preserve">No </w:t>
            </w:r>
            <w:r w:rsidR="00343B69" w:rsidRPr="001F3F0F">
              <w:rPr>
                <w:iCs/>
                <w:sz w:val="20"/>
                <w:szCs w:val="20"/>
              </w:rPr>
              <w:t>ma</w:t>
            </w:r>
            <w:r w:rsidR="002A7202" w:rsidRPr="001F3F0F">
              <w:rPr>
                <w:iCs/>
                <w:sz w:val="20"/>
                <w:szCs w:val="20"/>
              </w:rPr>
              <w:t xml:space="preserve">intenance of </w:t>
            </w:r>
            <w:r w:rsidRPr="001F3F0F">
              <w:rPr>
                <w:iCs/>
                <w:sz w:val="20"/>
                <w:szCs w:val="20"/>
              </w:rPr>
              <w:t>FEV</w:t>
            </w:r>
            <w:r w:rsidRPr="001F3F0F">
              <w:rPr>
                <w:iCs/>
                <w:sz w:val="20"/>
                <w:szCs w:val="20"/>
                <w:vertAlign w:val="subscript"/>
              </w:rPr>
              <w:t>1</w:t>
            </w:r>
            <w:r w:rsidRPr="001F3F0F">
              <w:rPr>
                <w:iCs/>
                <w:sz w:val="20"/>
                <w:szCs w:val="20"/>
              </w:rPr>
              <w:t xml:space="preserve"> treatment effect</w:t>
            </w:r>
            <w:r w:rsidR="00460CE9" w:rsidRPr="001F3F0F">
              <w:rPr>
                <w:iCs/>
                <w:sz w:val="20"/>
                <w:szCs w:val="20"/>
              </w:rPr>
              <w:t xml:space="preserve"> beyond trial period </w:t>
            </w:r>
            <w:r w:rsidR="00E700E4" w:rsidRPr="001F3F0F">
              <w:rPr>
                <w:iCs/>
                <w:sz w:val="20"/>
                <w:szCs w:val="20"/>
              </w:rPr>
              <w:t>(B)</w:t>
            </w:r>
          </w:p>
        </w:tc>
        <w:tc>
          <w:tcPr>
            <w:tcW w:w="777" w:type="pct"/>
            <w:vAlign w:val="center"/>
          </w:tcPr>
          <w:p w14:paraId="4A0E8871" w14:textId="7152BEDF" w:rsidR="00E27951" w:rsidRPr="001F3F0F" w:rsidRDefault="00AF5931" w:rsidP="00E27951">
            <w:pPr>
              <w:pStyle w:val="TableText0"/>
              <w:jc w:val="center"/>
              <w:rPr>
                <w:iCs/>
                <w:sz w:val="20"/>
                <w:szCs w:val="20"/>
              </w:rPr>
            </w:pPr>
            <w:r w:rsidRPr="001F3F0F">
              <w:rPr>
                <w:iCs/>
                <w:sz w:val="20"/>
                <w:szCs w:val="20"/>
              </w:rPr>
              <w:t>0.54</w:t>
            </w:r>
          </w:p>
        </w:tc>
        <w:tc>
          <w:tcPr>
            <w:tcW w:w="777" w:type="pct"/>
            <w:vAlign w:val="center"/>
          </w:tcPr>
          <w:p w14:paraId="2A954127" w14:textId="4B475F06" w:rsidR="00E27951" w:rsidRPr="001F3F0F" w:rsidRDefault="00C352D9" w:rsidP="00E27951">
            <w:pPr>
              <w:pStyle w:val="TableText0"/>
              <w:jc w:val="center"/>
              <w:rPr>
                <w:iCs/>
                <w:sz w:val="20"/>
                <w:szCs w:val="20"/>
              </w:rPr>
            </w:pPr>
            <w:r w:rsidRPr="001F3F0F">
              <w:rPr>
                <w:iCs/>
                <w:sz w:val="20"/>
                <w:szCs w:val="20"/>
              </w:rPr>
              <w:t>$</w:t>
            </w:r>
            <w:r w:rsidR="00331ADA" w:rsidRPr="00331ADA">
              <w:rPr>
                <w:iCs/>
                <w:sz w:val="2"/>
                <w:szCs w:val="20"/>
                <w:highlight w:val="black"/>
              </w:rPr>
              <w:t>redacted content</w:t>
            </w:r>
          </w:p>
        </w:tc>
        <w:tc>
          <w:tcPr>
            <w:tcW w:w="952" w:type="pct"/>
            <w:vAlign w:val="center"/>
          </w:tcPr>
          <w:p w14:paraId="3AF13070" w14:textId="26099061" w:rsidR="00E27951" w:rsidRPr="009259D1" w:rsidRDefault="00790DE8" w:rsidP="00E27951">
            <w:pPr>
              <w:pStyle w:val="TableText0"/>
              <w:jc w:val="center"/>
              <w:rPr>
                <w:iCs/>
                <w:sz w:val="20"/>
                <w:szCs w:val="20"/>
                <w:vertAlign w:val="superscript"/>
              </w:rPr>
            </w:pPr>
            <w:r w:rsidRPr="001F3F0F">
              <w:rPr>
                <w:iCs/>
                <w:sz w:val="20"/>
                <w:szCs w:val="20"/>
              </w:rPr>
              <w:t>$</w:t>
            </w:r>
            <w:r w:rsidR="00331ADA" w:rsidRPr="00331ADA">
              <w:rPr>
                <w:iCs/>
                <w:sz w:val="2"/>
                <w:szCs w:val="20"/>
                <w:highlight w:val="black"/>
              </w:rPr>
              <w:t>redacted content</w:t>
            </w:r>
            <w:r w:rsidR="009259D1">
              <w:rPr>
                <w:iCs/>
                <w:sz w:val="20"/>
                <w:szCs w:val="20"/>
                <w:vertAlign w:val="superscript"/>
              </w:rPr>
              <w:t>2</w:t>
            </w:r>
          </w:p>
        </w:tc>
        <w:tc>
          <w:tcPr>
            <w:tcW w:w="600" w:type="pct"/>
            <w:vAlign w:val="center"/>
          </w:tcPr>
          <w:p w14:paraId="51DC062A" w14:textId="5EE35654" w:rsidR="00E27951" w:rsidRPr="001F3F0F" w:rsidRDefault="00331ADA" w:rsidP="00E27951">
            <w:pPr>
              <w:pStyle w:val="TableText0"/>
              <w:jc w:val="center"/>
              <w:rPr>
                <w:iCs/>
                <w:sz w:val="20"/>
                <w:szCs w:val="20"/>
              </w:rPr>
            </w:pPr>
            <w:r w:rsidRPr="00331ADA">
              <w:rPr>
                <w:iCs/>
                <w:sz w:val="2"/>
                <w:szCs w:val="20"/>
                <w:highlight w:val="black"/>
              </w:rPr>
              <w:t>redacted content</w:t>
            </w:r>
            <w:r w:rsidR="00585460" w:rsidRPr="001F3F0F">
              <w:rPr>
                <w:iCs/>
                <w:sz w:val="20"/>
                <w:szCs w:val="20"/>
              </w:rPr>
              <w:t>%</w:t>
            </w:r>
          </w:p>
        </w:tc>
      </w:tr>
      <w:tr w:rsidR="009F277D" w:rsidRPr="001F3F0F" w14:paraId="6BB2D4BE" w14:textId="77777777" w:rsidTr="00491311">
        <w:trPr>
          <w:cantSplit/>
          <w:trHeight w:val="20"/>
        </w:trPr>
        <w:tc>
          <w:tcPr>
            <w:tcW w:w="1894" w:type="pct"/>
          </w:tcPr>
          <w:p w14:paraId="488E5BBF" w14:textId="6B0E9E64" w:rsidR="009F277D" w:rsidRPr="00F537DF" w:rsidRDefault="009F277D" w:rsidP="009F277D">
            <w:pPr>
              <w:pStyle w:val="TableText0"/>
              <w:rPr>
                <w:iCs/>
                <w:sz w:val="20"/>
                <w:szCs w:val="20"/>
              </w:rPr>
            </w:pPr>
            <w:r w:rsidRPr="00F537DF">
              <w:rPr>
                <w:iCs/>
                <w:sz w:val="20"/>
                <w:szCs w:val="20"/>
              </w:rPr>
              <w:t>10-year time horizon</w:t>
            </w:r>
            <w:r w:rsidR="00301834" w:rsidRPr="00F537DF">
              <w:rPr>
                <w:iCs/>
                <w:sz w:val="20"/>
                <w:szCs w:val="20"/>
              </w:rPr>
              <w:t xml:space="preserve"> (A)</w:t>
            </w:r>
          </w:p>
          <w:p w14:paraId="3B80B444" w14:textId="77777777" w:rsidR="00301834" w:rsidRPr="00F537DF" w:rsidRDefault="00301834" w:rsidP="009F277D">
            <w:pPr>
              <w:pStyle w:val="TableText0"/>
              <w:rPr>
                <w:iCs/>
                <w:sz w:val="20"/>
                <w:szCs w:val="20"/>
              </w:rPr>
            </w:pPr>
            <w:r w:rsidRPr="00F537DF">
              <w:rPr>
                <w:iCs/>
                <w:sz w:val="20"/>
                <w:szCs w:val="20"/>
              </w:rPr>
              <w:t>No maintenance of FEV</w:t>
            </w:r>
            <w:r w:rsidRPr="00F537DF">
              <w:rPr>
                <w:iCs/>
                <w:sz w:val="20"/>
                <w:szCs w:val="20"/>
                <w:vertAlign w:val="subscript"/>
              </w:rPr>
              <w:t>1</w:t>
            </w:r>
            <w:r w:rsidRPr="00F537DF">
              <w:rPr>
                <w:iCs/>
                <w:sz w:val="20"/>
                <w:szCs w:val="20"/>
              </w:rPr>
              <w:t xml:space="preserve"> treatment effect beyond trial period (B)</w:t>
            </w:r>
          </w:p>
          <w:p w14:paraId="57495740" w14:textId="28707DFF" w:rsidR="009F277D" w:rsidRPr="00F537DF" w:rsidRDefault="009F277D" w:rsidP="009F277D">
            <w:pPr>
              <w:pStyle w:val="TableText0"/>
              <w:rPr>
                <w:iCs/>
                <w:sz w:val="20"/>
                <w:szCs w:val="20"/>
              </w:rPr>
            </w:pPr>
            <w:r w:rsidRPr="00F537DF">
              <w:rPr>
                <w:iCs/>
                <w:sz w:val="20"/>
                <w:szCs w:val="20"/>
              </w:rPr>
              <w:t>CFR for severe exacerbation (10%)</w:t>
            </w:r>
            <w:r w:rsidR="00301834" w:rsidRPr="00F537DF">
              <w:rPr>
                <w:iCs/>
                <w:sz w:val="20"/>
                <w:szCs w:val="20"/>
              </w:rPr>
              <w:t xml:space="preserve"> </w:t>
            </w:r>
            <w:r w:rsidR="00A05077" w:rsidRPr="00F537DF">
              <w:rPr>
                <w:iCs/>
                <w:sz w:val="20"/>
                <w:szCs w:val="20"/>
              </w:rPr>
              <w:t>(F)</w:t>
            </w:r>
          </w:p>
        </w:tc>
        <w:tc>
          <w:tcPr>
            <w:tcW w:w="777" w:type="pct"/>
            <w:vAlign w:val="center"/>
          </w:tcPr>
          <w:p w14:paraId="33A517B4" w14:textId="6652ADA8" w:rsidR="009F277D" w:rsidRPr="001F3F0F" w:rsidRDefault="001448E6" w:rsidP="00CB0066">
            <w:pPr>
              <w:pStyle w:val="TableText0"/>
              <w:jc w:val="center"/>
              <w:rPr>
                <w:iCs/>
                <w:sz w:val="20"/>
                <w:szCs w:val="20"/>
              </w:rPr>
            </w:pPr>
            <w:r w:rsidRPr="001F3F0F">
              <w:rPr>
                <w:iCs/>
                <w:sz w:val="20"/>
                <w:szCs w:val="20"/>
              </w:rPr>
              <w:t>0.41</w:t>
            </w:r>
          </w:p>
        </w:tc>
        <w:tc>
          <w:tcPr>
            <w:tcW w:w="777" w:type="pct"/>
            <w:vAlign w:val="center"/>
          </w:tcPr>
          <w:p w14:paraId="5F8B2BFB" w14:textId="3C4ABB57" w:rsidR="009F277D" w:rsidRPr="001F3F0F" w:rsidRDefault="00CB0066" w:rsidP="00CB0066">
            <w:pPr>
              <w:pStyle w:val="TableText0"/>
              <w:jc w:val="center"/>
              <w:rPr>
                <w:iCs/>
                <w:sz w:val="20"/>
                <w:szCs w:val="20"/>
              </w:rPr>
            </w:pPr>
            <w:r w:rsidRPr="001F3F0F">
              <w:rPr>
                <w:iCs/>
                <w:sz w:val="20"/>
                <w:szCs w:val="20"/>
              </w:rPr>
              <w:t>$</w:t>
            </w:r>
            <w:r w:rsidR="00331ADA" w:rsidRPr="00331ADA">
              <w:rPr>
                <w:iCs/>
                <w:sz w:val="2"/>
                <w:szCs w:val="20"/>
                <w:highlight w:val="black"/>
              </w:rPr>
              <w:t>redacted content</w:t>
            </w:r>
          </w:p>
        </w:tc>
        <w:tc>
          <w:tcPr>
            <w:tcW w:w="952" w:type="pct"/>
            <w:vAlign w:val="center"/>
          </w:tcPr>
          <w:p w14:paraId="792322FB" w14:textId="54210381" w:rsidR="009F277D" w:rsidRPr="009259D1" w:rsidRDefault="00CB0066" w:rsidP="00CB0066">
            <w:pPr>
              <w:pStyle w:val="TableText0"/>
              <w:jc w:val="center"/>
              <w:rPr>
                <w:iCs/>
                <w:sz w:val="20"/>
                <w:szCs w:val="20"/>
                <w:vertAlign w:val="superscript"/>
              </w:rPr>
            </w:pPr>
            <w:r w:rsidRPr="001F3F0F">
              <w:rPr>
                <w:iCs/>
                <w:sz w:val="20"/>
                <w:szCs w:val="20"/>
              </w:rPr>
              <w:t>$</w:t>
            </w:r>
            <w:r w:rsidR="00331ADA" w:rsidRPr="00331ADA">
              <w:rPr>
                <w:iCs/>
                <w:sz w:val="2"/>
                <w:szCs w:val="20"/>
                <w:highlight w:val="black"/>
              </w:rPr>
              <w:t>redacted content</w:t>
            </w:r>
            <w:r w:rsidR="009259D1" w:rsidRPr="009259D1">
              <w:rPr>
                <w:iCs/>
                <w:sz w:val="20"/>
                <w:szCs w:val="20"/>
                <w:vertAlign w:val="superscript"/>
              </w:rPr>
              <w:t>4</w:t>
            </w:r>
          </w:p>
        </w:tc>
        <w:tc>
          <w:tcPr>
            <w:tcW w:w="600" w:type="pct"/>
            <w:vAlign w:val="center"/>
          </w:tcPr>
          <w:p w14:paraId="5401FF7A" w14:textId="6AE24D1D" w:rsidR="009F277D" w:rsidRPr="001F3F0F" w:rsidRDefault="00331ADA" w:rsidP="00CB0066">
            <w:pPr>
              <w:pStyle w:val="TableText0"/>
              <w:jc w:val="center"/>
              <w:rPr>
                <w:iCs/>
                <w:sz w:val="20"/>
                <w:szCs w:val="20"/>
              </w:rPr>
            </w:pPr>
            <w:r w:rsidRPr="00331ADA">
              <w:rPr>
                <w:iCs/>
                <w:sz w:val="2"/>
                <w:szCs w:val="20"/>
                <w:highlight w:val="black"/>
              </w:rPr>
              <w:t>redacted content</w:t>
            </w:r>
            <w:r w:rsidR="00CB0066" w:rsidRPr="001F3F0F">
              <w:rPr>
                <w:iCs/>
                <w:sz w:val="20"/>
                <w:szCs w:val="20"/>
              </w:rPr>
              <w:t>%</w:t>
            </w:r>
          </w:p>
        </w:tc>
      </w:tr>
      <w:tr w:rsidR="00307955" w:rsidRPr="001F3F0F" w14:paraId="4712F9F2" w14:textId="77777777" w:rsidTr="00491311">
        <w:trPr>
          <w:cantSplit/>
          <w:trHeight w:val="20"/>
        </w:trPr>
        <w:tc>
          <w:tcPr>
            <w:tcW w:w="1894" w:type="pct"/>
            <w:tcBorders>
              <w:top w:val="single" w:sz="4" w:space="0" w:color="auto"/>
              <w:left w:val="single" w:sz="4" w:space="0" w:color="auto"/>
              <w:bottom w:val="single" w:sz="4" w:space="0" w:color="auto"/>
              <w:right w:val="single" w:sz="4" w:space="0" w:color="auto"/>
            </w:tcBorders>
          </w:tcPr>
          <w:p w14:paraId="047B8EBA" w14:textId="77777777" w:rsidR="00307955" w:rsidRPr="00F537DF" w:rsidRDefault="00307955">
            <w:pPr>
              <w:pStyle w:val="TableText0"/>
              <w:rPr>
                <w:iCs/>
                <w:sz w:val="20"/>
                <w:szCs w:val="20"/>
              </w:rPr>
            </w:pPr>
            <w:r w:rsidRPr="00F537DF">
              <w:rPr>
                <w:iCs/>
                <w:sz w:val="20"/>
                <w:szCs w:val="20"/>
              </w:rPr>
              <w:t>10-year time horizon (A)</w:t>
            </w:r>
          </w:p>
          <w:p w14:paraId="131F2095" w14:textId="77777777" w:rsidR="00307955" w:rsidRPr="00F537DF" w:rsidRDefault="00307955">
            <w:pPr>
              <w:pStyle w:val="TableText0"/>
              <w:rPr>
                <w:iCs/>
                <w:sz w:val="20"/>
                <w:szCs w:val="20"/>
              </w:rPr>
            </w:pPr>
            <w:r w:rsidRPr="00F537DF">
              <w:rPr>
                <w:iCs/>
                <w:sz w:val="20"/>
                <w:szCs w:val="20"/>
              </w:rPr>
              <w:t>No maintenance of FEV1 treatment effect beyond trial period (B)</w:t>
            </w:r>
          </w:p>
          <w:p w14:paraId="2C31B1A6" w14:textId="527E5F2E" w:rsidR="00307955" w:rsidRPr="00F537DF" w:rsidRDefault="00307955">
            <w:pPr>
              <w:pStyle w:val="TableText0"/>
              <w:rPr>
                <w:iCs/>
                <w:sz w:val="20"/>
                <w:szCs w:val="20"/>
              </w:rPr>
            </w:pPr>
            <w:r w:rsidRPr="00F537DF">
              <w:rPr>
                <w:iCs/>
                <w:sz w:val="20"/>
                <w:szCs w:val="20"/>
              </w:rPr>
              <w:t>CFR for severe exacerbation (5%)</w:t>
            </w:r>
            <w:r w:rsidR="00A05077" w:rsidRPr="00F537DF">
              <w:rPr>
                <w:iCs/>
                <w:sz w:val="20"/>
                <w:szCs w:val="20"/>
              </w:rPr>
              <w:t>(E)</w:t>
            </w:r>
          </w:p>
        </w:tc>
        <w:tc>
          <w:tcPr>
            <w:tcW w:w="777" w:type="pct"/>
            <w:tcBorders>
              <w:top w:val="single" w:sz="4" w:space="0" w:color="auto"/>
              <w:left w:val="single" w:sz="4" w:space="0" w:color="auto"/>
              <w:bottom w:val="single" w:sz="4" w:space="0" w:color="auto"/>
              <w:right w:val="single" w:sz="4" w:space="0" w:color="auto"/>
            </w:tcBorders>
            <w:vAlign w:val="center"/>
          </w:tcPr>
          <w:p w14:paraId="0978E5A8" w14:textId="77777777" w:rsidR="00307955" w:rsidRPr="001F3F0F" w:rsidRDefault="00307955">
            <w:pPr>
              <w:pStyle w:val="TableText0"/>
              <w:jc w:val="center"/>
              <w:rPr>
                <w:iCs/>
                <w:sz w:val="20"/>
                <w:szCs w:val="20"/>
              </w:rPr>
            </w:pPr>
            <w:r w:rsidRPr="001F3F0F">
              <w:rPr>
                <w:iCs/>
                <w:sz w:val="20"/>
                <w:szCs w:val="20"/>
              </w:rPr>
              <w:t>0.28</w:t>
            </w:r>
          </w:p>
        </w:tc>
        <w:tc>
          <w:tcPr>
            <w:tcW w:w="777" w:type="pct"/>
            <w:tcBorders>
              <w:top w:val="single" w:sz="4" w:space="0" w:color="auto"/>
              <w:left w:val="single" w:sz="4" w:space="0" w:color="auto"/>
              <w:bottom w:val="single" w:sz="4" w:space="0" w:color="auto"/>
              <w:right w:val="single" w:sz="4" w:space="0" w:color="auto"/>
            </w:tcBorders>
            <w:vAlign w:val="center"/>
          </w:tcPr>
          <w:p w14:paraId="7E0F01EB" w14:textId="7504F1B8" w:rsidR="00307955" w:rsidRPr="001F3F0F" w:rsidRDefault="00307955">
            <w:pPr>
              <w:pStyle w:val="TableText0"/>
              <w:jc w:val="center"/>
              <w:rPr>
                <w:iCs/>
                <w:sz w:val="20"/>
                <w:szCs w:val="20"/>
              </w:rPr>
            </w:pPr>
            <w:r w:rsidRPr="001F3F0F">
              <w:rPr>
                <w:iCs/>
                <w:sz w:val="20"/>
                <w:szCs w:val="20"/>
              </w:rPr>
              <w:t>$</w:t>
            </w:r>
            <w:r w:rsidR="00331ADA" w:rsidRPr="00331ADA">
              <w:rPr>
                <w:iCs/>
                <w:sz w:val="2"/>
                <w:szCs w:val="20"/>
                <w:highlight w:val="black"/>
              </w:rPr>
              <w:t>redacted content</w:t>
            </w:r>
          </w:p>
        </w:tc>
        <w:tc>
          <w:tcPr>
            <w:tcW w:w="952" w:type="pct"/>
            <w:tcBorders>
              <w:top w:val="single" w:sz="4" w:space="0" w:color="auto"/>
              <w:left w:val="single" w:sz="4" w:space="0" w:color="auto"/>
              <w:bottom w:val="single" w:sz="4" w:space="0" w:color="auto"/>
              <w:right w:val="single" w:sz="4" w:space="0" w:color="auto"/>
            </w:tcBorders>
            <w:vAlign w:val="center"/>
          </w:tcPr>
          <w:p w14:paraId="20C994CD" w14:textId="50758BD5" w:rsidR="00307955" w:rsidRPr="009259D1" w:rsidRDefault="00307955">
            <w:pPr>
              <w:pStyle w:val="TableText0"/>
              <w:jc w:val="center"/>
              <w:rPr>
                <w:iCs/>
                <w:sz w:val="20"/>
                <w:szCs w:val="20"/>
                <w:vertAlign w:val="superscript"/>
              </w:rPr>
            </w:pPr>
            <w:r w:rsidRPr="001F3F0F">
              <w:rPr>
                <w:iCs/>
                <w:sz w:val="20"/>
                <w:szCs w:val="20"/>
              </w:rPr>
              <w:t>$</w:t>
            </w:r>
            <w:r w:rsidR="00331ADA" w:rsidRPr="00331ADA">
              <w:rPr>
                <w:iCs/>
                <w:sz w:val="2"/>
                <w:szCs w:val="20"/>
                <w:highlight w:val="black"/>
              </w:rPr>
              <w:t>redacted content</w:t>
            </w:r>
            <w:r w:rsidR="008B6805">
              <w:rPr>
                <w:iCs/>
                <w:sz w:val="20"/>
                <w:szCs w:val="20"/>
                <w:vertAlign w:val="superscript"/>
              </w:rPr>
              <w:t>6</w:t>
            </w:r>
          </w:p>
        </w:tc>
        <w:tc>
          <w:tcPr>
            <w:tcW w:w="600" w:type="pct"/>
            <w:tcBorders>
              <w:top w:val="single" w:sz="4" w:space="0" w:color="auto"/>
              <w:left w:val="single" w:sz="4" w:space="0" w:color="auto"/>
              <w:bottom w:val="single" w:sz="4" w:space="0" w:color="auto"/>
              <w:right w:val="single" w:sz="4" w:space="0" w:color="auto"/>
            </w:tcBorders>
            <w:vAlign w:val="center"/>
          </w:tcPr>
          <w:p w14:paraId="705E3CD5" w14:textId="4A0F780A" w:rsidR="00307955" w:rsidRPr="001F3F0F" w:rsidRDefault="00331ADA">
            <w:pPr>
              <w:pStyle w:val="TableText0"/>
              <w:jc w:val="center"/>
              <w:rPr>
                <w:iCs/>
                <w:sz w:val="20"/>
                <w:szCs w:val="20"/>
              </w:rPr>
            </w:pPr>
            <w:r w:rsidRPr="00331ADA">
              <w:rPr>
                <w:iCs/>
                <w:sz w:val="2"/>
                <w:szCs w:val="20"/>
                <w:highlight w:val="black"/>
              </w:rPr>
              <w:t>redacted content</w:t>
            </w:r>
            <w:r w:rsidR="00307955" w:rsidRPr="001F3F0F">
              <w:rPr>
                <w:iCs/>
                <w:sz w:val="20"/>
                <w:szCs w:val="20"/>
              </w:rPr>
              <w:t>%</w:t>
            </w:r>
          </w:p>
        </w:tc>
      </w:tr>
      <w:tr w:rsidR="00585460" w:rsidRPr="001F3F0F" w14:paraId="0DAACBDE" w14:textId="77777777" w:rsidTr="00491311">
        <w:trPr>
          <w:cantSplit/>
          <w:trHeight w:val="20"/>
        </w:trPr>
        <w:tc>
          <w:tcPr>
            <w:tcW w:w="1894" w:type="pct"/>
            <w:vAlign w:val="center"/>
          </w:tcPr>
          <w:p w14:paraId="74857FEA" w14:textId="6CD736D9" w:rsidR="004E0319" w:rsidRPr="001F3F0F" w:rsidRDefault="004E0319" w:rsidP="004E0319">
            <w:pPr>
              <w:pStyle w:val="TableText0"/>
              <w:rPr>
                <w:iCs/>
                <w:sz w:val="20"/>
                <w:szCs w:val="20"/>
              </w:rPr>
            </w:pPr>
            <w:r w:rsidRPr="001F3F0F">
              <w:rPr>
                <w:iCs/>
                <w:sz w:val="20"/>
                <w:szCs w:val="20"/>
              </w:rPr>
              <w:t>10-year time horizon</w:t>
            </w:r>
            <w:r w:rsidR="00E700E4" w:rsidRPr="001F3F0F">
              <w:rPr>
                <w:iCs/>
                <w:sz w:val="20"/>
                <w:szCs w:val="20"/>
              </w:rPr>
              <w:t xml:space="preserve"> (A)</w:t>
            </w:r>
          </w:p>
          <w:p w14:paraId="40893004" w14:textId="41150C70" w:rsidR="004E0319" w:rsidRPr="001F3F0F" w:rsidRDefault="004E0319" w:rsidP="004E0319">
            <w:pPr>
              <w:pStyle w:val="TableText0"/>
              <w:rPr>
                <w:iCs/>
                <w:sz w:val="20"/>
                <w:szCs w:val="20"/>
              </w:rPr>
            </w:pPr>
            <w:r w:rsidRPr="001F3F0F">
              <w:rPr>
                <w:iCs/>
                <w:sz w:val="20"/>
                <w:szCs w:val="20"/>
              </w:rPr>
              <w:t xml:space="preserve">No </w:t>
            </w:r>
            <w:r w:rsidR="002A7202" w:rsidRPr="001F3F0F">
              <w:rPr>
                <w:iCs/>
                <w:sz w:val="20"/>
                <w:szCs w:val="20"/>
              </w:rPr>
              <w:t xml:space="preserve">maintenance </w:t>
            </w:r>
            <w:r w:rsidR="000C3BD5" w:rsidRPr="001F3F0F">
              <w:rPr>
                <w:iCs/>
                <w:sz w:val="20"/>
                <w:szCs w:val="20"/>
              </w:rPr>
              <w:t xml:space="preserve">of </w:t>
            </w:r>
            <w:r w:rsidRPr="001F3F0F">
              <w:rPr>
                <w:iCs/>
                <w:sz w:val="20"/>
                <w:szCs w:val="20"/>
              </w:rPr>
              <w:t>FEV</w:t>
            </w:r>
            <w:r w:rsidRPr="001F3F0F">
              <w:rPr>
                <w:iCs/>
                <w:sz w:val="20"/>
                <w:szCs w:val="20"/>
                <w:vertAlign w:val="subscript"/>
              </w:rPr>
              <w:t>1</w:t>
            </w:r>
            <w:r w:rsidRPr="001F3F0F">
              <w:rPr>
                <w:iCs/>
                <w:sz w:val="20"/>
                <w:szCs w:val="20"/>
              </w:rPr>
              <w:t xml:space="preserve"> treatment effect</w:t>
            </w:r>
            <w:r w:rsidR="00460CE9" w:rsidRPr="001F3F0F">
              <w:rPr>
                <w:iCs/>
                <w:sz w:val="20"/>
                <w:szCs w:val="20"/>
              </w:rPr>
              <w:t xml:space="preserve"> beyond trial period</w:t>
            </w:r>
            <w:r w:rsidR="00E700E4" w:rsidRPr="001F3F0F">
              <w:rPr>
                <w:iCs/>
                <w:sz w:val="20"/>
                <w:szCs w:val="20"/>
              </w:rPr>
              <w:t xml:space="preserve"> (B)</w:t>
            </w:r>
          </w:p>
          <w:p w14:paraId="7649CD67" w14:textId="7AA71453" w:rsidR="00585460" w:rsidRPr="001F3F0F" w:rsidRDefault="004E0319" w:rsidP="004E0319">
            <w:pPr>
              <w:pStyle w:val="TableText0"/>
              <w:rPr>
                <w:iCs/>
                <w:sz w:val="20"/>
                <w:szCs w:val="20"/>
              </w:rPr>
            </w:pPr>
            <w:r w:rsidRPr="001F3F0F">
              <w:rPr>
                <w:iCs/>
                <w:sz w:val="20"/>
                <w:szCs w:val="20"/>
              </w:rPr>
              <w:t>Removing CFR for severe exacerbation</w:t>
            </w:r>
            <w:r w:rsidR="00E700E4" w:rsidRPr="001F3F0F">
              <w:rPr>
                <w:iCs/>
                <w:sz w:val="20"/>
                <w:szCs w:val="20"/>
              </w:rPr>
              <w:t xml:space="preserve"> (D)</w:t>
            </w:r>
          </w:p>
        </w:tc>
        <w:tc>
          <w:tcPr>
            <w:tcW w:w="777" w:type="pct"/>
            <w:vAlign w:val="center"/>
          </w:tcPr>
          <w:p w14:paraId="0859D91D" w14:textId="0862681C" w:rsidR="00585460" w:rsidRPr="001F3F0F" w:rsidRDefault="00326FD8" w:rsidP="00E27951">
            <w:pPr>
              <w:pStyle w:val="TableText0"/>
              <w:jc w:val="center"/>
              <w:rPr>
                <w:iCs/>
                <w:sz w:val="20"/>
                <w:szCs w:val="20"/>
              </w:rPr>
            </w:pPr>
            <w:r w:rsidRPr="001F3F0F">
              <w:rPr>
                <w:iCs/>
                <w:sz w:val="20"/>
                <w:szCs w:val="20"/>
              </w:rPr>
              <w:t>0.12</w:t>
            </w:r>
          </w:p>
        </w:tc>
        <w:tc>
          <w:tcPr>
            <w:tcW w:w="777" w:type="pct"/>
            <w:vAlign w:val="center"/>
          </w:tcPr>
          <w:p w14:paraId="79EAE833" w14:textId="2A9BDCE1" w:rsidR="00585460" w:rsidRPr="001F3F0F" w:rsidRDefault="00814B8F" w:rsidP="00E27951">
            <w:pPr>
              <w:pStyle w:val="TableText0"/>
              <w:jc w:val="center"/>
              <w:rPr>
                <w:iCs/>
                <w:sz w:val="20"/>
                <w:szCs w:val="20"/>
              </w:rPr>
            </w:pPr>
            <w:r w:rsidRPr="001F3F0F">
              <w:rPr>
                <w:iCs/>
                <w:sz w:val="20"/>
                <w:szCs w:val="20"/>
              </w:rPr>
              <w:t>$</w:t>
            </w:r>
            <w:r w:rsidR="00331ADA" w:rsidRPr="00331ADA">
              <w:rPr>
                <w:iCs/>
                <w:sz w:val="2"/>
                <w:szCs w:val="20"/>
                <w:highlight w:val="black"/>
              </w:rPr>
              <w:t>redacted content</w:t>
            </w:r>
          </w:p>
        </w:tc>
        <w:tc>
          <w:tcPr>
            <w:tcW w:w="952" w:type="pct"/>
            <w:vAlign w:val="center"/>
          </w:tcPr>
          <w:p w14:paraId="43DAF559" w14:textId="0DA490D9" w:rsidR="00585460" w:rsidRPr="008B6805" w:rsidRDefault="00144E28" w:rsidP="00E27951">
            <w:pPr>
              <w:pStyle w:val="TableText0"/>
              <w:jc w:val="center"/>
              <w:rPr>
                <w:iCs/>
                <w:sz w:val="20"/>
                <w:szCs w:val="20"/>
                <w:vertAlign w:val="superscript"/>
              </w:rPr>
            </w:pPr>
            <w:r w:rsidRPr="001F3F0F">
              <w:rPr>
                <w:iCs/>
                <w:sz w:val="20"/>
                <w:szCs w:val="20"/>
              </w:rPr>
              <w:t>$</w:t>
            </w:r>
            <w:r w:rsidR="00331ADA" w:rsidRPr="00331ADA">
              <w:rPr>
                <w:iCs/>
                <w:sz w:val="2"/>
                <w:szCs w:val="20"/>
                <w:highlight w:val="black"/>
              </w:rPr>
              <w:t>redacted content</w:t>
            </w:r>
            <w:r w:rsidR="008B6805">
              <w:rPr>
                <w:iCs/>
                <w:sz w:val="20"/>
                <w:szCs w:val="20"/>
                <w:vertAlign w:val="superscript"/>
              </w:rPr>
              <w:t>5</w:t>
            </w:r>
          </w:p>
        </w:tc>
        <w:tc>
          <w:tcPr>
            <w:tcW w:w="600" w:type="pct"/>
            <w:vAlign w:val="center"/>
          </w:tcPr>
          <w:p w14:paraId="420324E2" w14:textId="552FF24F" w:rsidR="00585460" w:rsidRPr="001F3F0F" w:rsidRDefault="00331ADA" w:rsidP="00E27951">
            <w:pPr>
              <w:pStyle w:val="TableText0"/>
              <w:jc w:val="center"/>
              <w:rPr>
                <w:iCs/>
                <w:sz w:val="20"/>
                <w:szCs w:val="20"/>
              </w:rPr>
            </w:pPr>
            <w:r w:rsidRPr="00331ADA">
              <w:rPr>
                <w:iCs/>
                <w:sz w:val="2"/>
                <w:szCs w:val="20"/>
                <w:highlight w:val="black"/>
              </w:rPr>
              <w:t>redacted content</w:t>
            </w:r>
            <w:r w:rsidR="000554F8" w:rsidRPr="001F3F0F">
              <w:rPr>
                <w:iCs/>
                <w:sz w:val="20"/>
                <w:szCs w:val="20"/>
              </w:rPr>
              <w:t>%</w:t>
            </w:r>
          </w:p>
        </w:tc>
      </w:tr>
    </w:tbl>
    <w:p w14:paraId="04DA2A51" w14:textId="77777777" w:rsidR="00AC64A4" w:rsidRPr="000717E1" w:rsidRDefault="00AC64A4" w:rsidP="00AC64A4">
      <w:pPr>
        <w:pStyle w:val="FooterTableFigure"/>
        <w:rPr>
          <w:rStyle w:val="CommentReference"/>
        </w:rPr>
      </w:pPr>
      <w:r w:rsidRPr="000717E1">
        <w:lastRenderedPageBreak/>
        <w:t>Source: Table 3.9-1, p177 of the submission</w:t>
      </w:r>
    </w:p>
    <w:p w14:paraId="40960AD1" w14:textId="5612953D" w:rsidR="00AC64A4" w:rsidRPr="000717E1" w:rsidRDefault="00E320DF" w:rsidP="00AC64A4">
      <w:pPr>
        <w:pStyle w:val="FooterTableFigure"/>
        <w:rPr>
          <w:rFonts w:eastAsia="Calibri"/>
          <w:szCs w:val="20"/>
        </w:rPr>
      </w:pPr>
      <w:r w:rsidRPr="000717E1">
        <w:rPr>
          <w:rFonts w:eastAsia="Calibri"/>
          <w:szCs w:val="20"/>
        </w:rPr>
        <w:t xml:space="preserve">CFR = case fatality rate; </w:t>
      </w:r>
      <w:r w:rsidR="00AC64A4" w:rsidRPr="000717E1">
        <w:rPr>
          <w:rFonts w:eastAsia="Calibri"/>
          <w:szCs w:val="20"/>
        </w:rPr>
        <w:t>FEV</w:t>
      </w:r>
      <w:r w:rsidR="00AC64A4" w:rsidRPr="000717E1">
        <w:rPr>
          <w:rFonts w:eastAsia="Calibri"/>
          <w:szCs w:val="20"/>
          <w:vertAlign w:val="subscript"/>
        </w:rPr>
        <w:t>1</w:t>
      </w:r>
      <w:r w:rsidR="00AC64A4" w:rsidRPr="000717E1">
        <w:rPr>
          <w:rFonts w:eastAsia="Calibri"/>
          <w:szCs w:val="20"/>
        </w:rPr>
        <w:t xml:space="preserve"> = forced expiratory volume in 1 second; ICER = incremental cost-effectiveness ratio; QALY = quality adjusted life year.</w:t>
      </w:r>
    </w:p>
    <w:p w14:paraId="4FC227A5" w14:textId="766372A6" w:rsidR="00827EA5" w:rsidRDefault="00827EA5" w:rsidP="00AC64A4">
      <w:pPr>
        <w:pStyle w:val="FooterTableFigure"/>
        <w:rPr>
          <w:rFonts w:eastAsia="Calibri"/>
          <w:szCs w:val="20"/>
        </w:rPr>
      </w:pPr>
      <w:r w:rsidRPr="000717E1">
        <w:rPr>
          <w:rFonts w:eastAsia="Calibri"/>
          <w:szCs w:val="20"/>
          <w:vertAlign w:val="superscript"/>
        </w:rPr>
        <w:t>a</w:t>
      </w:r>
      <w:r w:rsidRPr="000717E1">
        <w:rPr>
          <w:rFonts w:eastAsia="Calibri"/>
          <w:szCs w:val="20"/>
        </w:rPr>
        <w:t xml:space="preserve"> </w:t>
      </w:r>
      <w:r w:rsidR="007B332B" w:rsidRPr="000717E1">
        <w:rPr>
          <w:rFonts w:eastAsia="Calibri"/>
          <w:szCs w:val="20"/>
        </w:rPr>
        <w:t>Compiled during the evaluation</w:t>
      </w:r>
      <w:r w:rsidR="00157C30">
        <w:rPr>
          <w:rFonts w:eastAsia="Calibri"/>
          <w:szCs w:val="20"/>
        </w:rPr>
        <w:t>.</w:t>
      </w:r>
      <w:r w:rsidR="00CE30E3">
        <w:rPr>
          <w:rFonts w:eastAsia="Calibri"/>
          <w:szCs w:val="20"/>
        </w:rPr>
        <w:t xml:space="preserve">   </w:t>
      </w:r>
      <w:r w:rsidR="00A84158" w:rsidRPr="000717E1">
        <w:rPr>
          <w:rFonts w:eastAsia="Calibri"/>
          <w:szCs w:val="20"/>
          <w:vertAlign w:val="superscript"/>
        </w:rPr>
        <w:t>b</w:t>
      </w:r>
      <w:r w:rsidR="00A84158" w:rsidRPr="000717E1">
        <w:rPr>
          <w:rFonts w:eastAsia="Calibri"/>
          <w:szCs w:val="20"/>
        </w:rPr>
        <w:t xml:space="preserve"> Complied during the </w:t>
      </w:r>
      <w:r w:rsidR="00571304" w:rsidRPr="000717E1">
        <w:rPr>
          <w:rFonts w:eastAsia="Calibri"/>
          <w:szCs w:val="20"/>
        </w:rPr>
        <w:t>preparation of the ESC</w:t>
      </w:r>
      <w:r w:rsidR="002A3439" w:rsidRPr="000717E1">
        <w:rPr>
          <w:rFonts w:eastAsia="Calibri"/>
          <w:szCs w:val="20"/>
        </w:rPr>
        <w:t xml:space="preserve"> DUSC</w:t>
      </w:r>
      <w:r w:rsidR="00571304" w:rsidRPr="000717E1">
        <w:rPr>
          <w:rFonts w:eastAsia="Calibri"/>
          <w:szCs w:val="20"/>
        </w:rPr>
        <w:t xml:space="preserve"> ADV</w:t>
      </w:r>
      <w:r w:rsidR="00157C30">
        <w:rPr>
          <w:rFonts w:eastAsia="Calibri"/>
          <w:szCs w:val="20"/>
        </w:rPr>
        <w:t>.</w:t>
      </w:r>
    </w:p>
    <w:p w14:paraId="3621F3F6" w14:textId="1D0EB605" w:rsidR="00903136" w:rsidRDefault="00903136" w:rsidP="00AC64A4">
      <w:pPr>
        <w:pStyle w:val="FooterTableFigure"/>
        <w:rPr>
          <w:rFonts w:eastAsia="Calibri"/>
          <w:i/>
          <w:iCs/>
          <w:szCs w:val="20"/>
        </w:rPr>
      </w:pPr>
      <w:r>
        <w:rPr>
          <w:rFonts w:eastAsia="Calibri"/>
          <w:i/>
          <w:iCs/>
          <w:szCs w:val="20"/>
        </w:rPr>
        <w:t xml:space="preserve">The </w:t>
      </w:r>
      <w:r w:rsidR="00E1205A">
        <w:rPr>
          <w:rFonts w:eastAsia="Calibri"/>
          <w:i/>
          <w:iCs/>
          <w:szCs w:val="20"/>
        </w:rPr>
        <w:t>redacted values correspond to the following ranges:</w:t>
      </w:r>
    </w:p>
    <w:p w14:paraId="4C874BB8" w14:textId="5591366C" w:rsidR="00E1205A" w:rsidRPr="0071470E" w:rsidRDefault="00E1205A" w:rsidP="00AC64A4">
      <w:pPr>
        <w:pStyle w:val="FooterTableFigure"/>
        <w:rPr>
          <w:rFonts w:eastAsia="Calibri"/>
          <w:i/>
          <w:iCs/>
          <w:szCs w:val="20"/>
        </w:rPr>
      </w:pPr>
      <w:r w:rsidRPr="0071470E">
        <w:rPr>
          <w:rFonts w:eastAsia="Calibri"/>
          <w:i/>
          <w:iCs/>
          <w:szCs w:val="20"/>
          <w:vertAlign w:val="superscript"/>
        </w:rPr>
        <w:t>1</w:t>
      </w:r>
      <w:r w:rsidRPr="0071470E">
        <w:rPr>
          <w:rFonts w:eastAsia="Calibri"/>
          <w:i/>
          <w:iCs/>
          <w:szCs w:val="20"/>
        </w:rPr>
        <w:t xml:space="preserve"> $35,000 to &lt; $45,000</w:t>
      </w:r>
    </w:p>
    <w:p w14:paraId="72789F33" w14:textId="4E89AE6E" w:rsidR="00E1205A" w:rsidRPr="0071470E" w:rsidRDefault="00E1205A" w:rsidP="00AC64A4">
      <w:pPr>
        <w:pStyle w:val="FooterTableFigure"/>
        <w:rPr>
          <w:rFonts w:eastAsia="Calibri"/>
          <w:i/>
          <w:iCs/>
          <w:szCs w:val="20"/>
        </w:rPr>
      </w:pPr>
      <w:r w:rsidRPr="0071470E">
        <w:rPr>
          <w:rFonts w:eastAsia="Calibri"/>
          <w:i/>
          <w:iCs/>
          <w:szCs w:val="20"/>
          <w:vertAlign w:val="superscript"/>
        </w:rPr>
        <w:t>2</w:t>
      </w:r>
      <w:r w:rsidRPr="0071470E">
        <w:rPr>
          <w:rFonts w:eastAsia="Calibri"/>
          <w:i/>
          <w:iCs/>
          <w:szCs w:val="20"/>
        </w:rPr>
        <w:t xml:space="preserve"> $55,000 to &lt; $75,000</w:t>
      </w:r>
    </w:p>
    <w:p w14:paraId="7B21A472" w14:textId="38BF27BF" w:rsidR="00E1205A" w:rsidRPr="0071470E" w:rsidRDefault="00E1205A" w:rsidP="00AC64A4">
      <w:pPr>
        <w:pStyle w:val="FooterTableFigure"/>
        <w:rPr>
          <w:rFonts w:eastAsia="Calibri"/>
          <w:i/>
          <w:iCs/>
          <w:szCs w:val="20"/>
        </w:rPr>
      </w:pPr>
      <w:r w:rsidRPr="0071470E">
        <w:rPr>
          <w:rFonts w:eastAsia="Calibri"/>
          <w:i/>
          <w:iCs/>
          <w:szCs w:val="20"/>
          <w:vertAlign w:val="superscript"/>
        </w:rPr>
        <w:t>3</w:t>
      </w:r>
      <w:r w:rsidRPr="0071470E">
        <w:rPr>
          <w:rFonts w:eastAsia="Calibri"/>
          <w:i/>
          <w:iCs/>
          <w:szCs w:val="20"/>
        </w:rPr>
        <w:t xml:space="preserve"> $25,000 to &lt; $35,000</w:t>
      </w:r>
    </w:p>
    <w:p w14:paraId="25A2D799" w14:textId="18968981" w:rsidR="009E08F5" w:rsidRPr="0071470E" w:rsidRDefault="009E08F5" w:rsidP="00AC64A4">
      <w:pPr>
        <w:pStyle w:val="FooterTableFigure"/>
        <w:rPr>
          <w:rFonts w:eastAsia="Calibri"/>
          <w:i/>
          <w:iCs/>
          <w:szCs w:val="20"/>
        </w:rPr>
      </w:pPr>
      <w:r w:rsidRPr="0071470E">
        <w:rPr>
          <w:rFonts w:eastAsia="Calibri"/>
          <w:i/>
          <w:iCs/>
          <w:szCs w:val="20"/>
          <w:vertAlign w:val="superscript"/>
        </w:rPr>
        <w:t>4</w:t>
      </w:r>
      <w:r w:rsidRPr="0071470E">
        <w:rPr>
          <w:rFonts w:eastAsia="Calibri"/>
          <w:i/>
          <w:iCs/>
          <w:szCs w:val="20"/>
        </w:rPr>
        <w:t xml:space="preserve"> $75,000 to &lt; $95,000</w:t>
      </w:r>
    </w:p>
    <w:p w14:paraId="2D9AEBB7" w14:textId="02B48FEB" w:rsidR="009259D1" w:rsidRPr="0071470E" w:rsidRDefault="009259D1" w:rsidP="00AC64A4">
      <w:pPr>
        <w:pStyle w:val="FooterTableFigure"/>
        <w:rPr>
          <w:rFonts w:eastAsia="Calibri"/>
          <w:i/>
          <w:iCs/>
          <w:szCs w:val="20"/>
        </w:rPr>
      </w:pPr>
      <w:r w:rsidRPr="0071470E">
        <w:rPr>
          <w:rFonts w:eastAsia="Calibri"/>
          <w:i/>
          <w:iCs/>
          <w:szCs w:val="20"/>
          <w:vertAlign w:val="superscript"/>
        </w:rPr>
        <w:t>5</w:t>
      </w:r>
      <w:r w:rsidRPr="0071470E">
        <w:rPr>
          <w:rFonts w:eastAsia="Calibri"/>
          <w:i/>
          <w:iCs/>
          <w:szCs w:val="20"/>
        </w:rPr>
        <w:t xml:space="preserve"> $255,000 to &lt; $355,000</w:t>
      </w:r>
    </w:p>
    <w:p w14:paraId="0A02427C" w14:textId="68EA6364" w:rsidR="009259D1" w:rsidRPr="0071470E" w:rsidRDefault="008B6805" w:rsidP="00AC64A4">
      <w:pPr>
        <w:pStyle w:val="FooterTableFigure"/>
        <w:rPr>
          <w:rFonts w:eastAsia="Calibri"/>
          <w:i/>
          <w:iCs/>
          <w:szCs w:val="20"/>
        </w:rPr>
      </w:pPr>
      <w:r w:rsidRPr="0071470E">
        <w:rPr>
          <w:rFonts w:eastAsia="Calibri"/>
          <w:i/>
          <w:iCs/>
          <w:szCs w:val="20"/>
          <w:vertAlign w:val="superscript"/>
        </w:rPr>
        <w:t xml:space="preserve">6 </w:t>
      </w:r>
      <w:r w:rsidRPr="0071470E">
        <w:rPr>
          <w:rFonts w:eastAsia="Calibri"/>
          <w:i/>
          <w:iCs/>
          <w:szCs w:val="20"/>
        </w:rPr>
        <w:t>$115,000 to &lt; $135,000</w:t>
      </w:r>
    </w:p>
    <w:p w14:paraId="66D2852C" w14:textId="77777777" w:rsidR="00E1205A" w:rsidRPr="00E1205A" w:rsidRDefault="00E1205A" w:rsidP="00AC64A4">
      <w:pPr>
        <w:pStyle w:val="FooterTableFigure"/>
        <w:rPr>
          <w:rFonts w:eastAsia="Calibri"/>
          <w:szCs w:val="20"/>
        </w:rPr>
      </w:pPr>
    </w:p>
    <w:p w14:paraId="674ED4CB" w14:textId="0FCD2A03" w:rsidR="00332E98" w:rsidRPr="000717E1" w:rsidRDefault="0089789B" w:rsidP="0089789B">
      <w:pPr>
        <w:pStyle w:val="3-BodyText"/>
      </w:pPr>
      <w:bookmarkStart w:id="86" w:name="_Ref225935404"/>
      <w:r w:rsidRPr="00E06D31">
        <w:t>The ICERs</w:t>
      </w:r>
      <w:r>
        <w:t xml:space="preserve"> for PBAC recommendations</w:t>
      </w:r>
      <w:r w:rsidRPr="00E06D31">
        <w:t xml:space="preserve"> for related conditions includ</w:t>
      </w:r>
      <w:r>
        <w:t>e</w:t>
      </w:r>
      <w:r w:rsidRPr="00E06D31">
        <w:t xml:space="preserve"> $40,000 - $45,000 per QALY for omalizumab for uncontrolled severe allergic asthma (omalizumab PSD, November 2010 PBAC Meeting) and $45,000 to &lt; $55,000 per QALY gained for tezepelumab for non-eosinophilic and non-allergic severe uncontrolled asthma (paragraph 7.11, tezepelumab PSD, November 2025 PBAC Meeting). The net cost to the PBS/RPBS for omalizumab was estimated by the submission to be less than </w:t>
      </w:r>
      <w:r w:rsidR="00566360">
        <w:br/>
      </w:r>
      <w:r w:rsidRPr="00E06D31">
        <w:t>$10 million in any of the first 5 years (omalizumab PSD, November 2010 PBAC Meeting). The net cost to the PBS/RPBS for of listing tezepelumab was estimated by the submission to be $30 million to &lt; $40 million in Year 6, and a total of $100 million to &lt; $200 million in the first 6 years of listing</w:t>
      </w:r>
      <w:r>
        <w:t xml:space="preserve"> (paragraph 6.84, tezepelumab PSD, November 2025 PBAC Meeting)</w:t>
      </w:r>
      <w:r w:rsidRPr="00E06D31">
        <w:t xml:space="preserve">.  </w:t>
      </w:r>
      <w:r>
        <w:t xml:space="preserve">The PBAC has previously suggested lower acceptable ICERs for other conditions with larger numbers of eligible patients and larger estimated net costs to the PBS/RPBS than those reported for omalizumab and tezepelumab. An ICER of less than $15,000 - $45,000 per QALY was accepted for </w:t>
      </w:r>
      <w:proofErr w:type="spellStart"/>
      <w:r>
        <w:t>evolocumab</w:t>
      </w:r>
      <w:proofErr w:type="spellEnd"/>
      <w:r>
        <w:t xml:space="preserve"> (paragraph 5.8, </w:t>
      </w:r>
      <w:proofErr w:type="spellStart"/>
      <w:r>
        <w:t>evolocumab</w:t>
      </w:r>
      <w:proofErr w:type="spellEnd"/>
      <w:r>
        <w:t xml:space="preserve"> PSD, November 2019 PBAC Meeting), an ICER in the order of $30,000 per QALY gained was considered appropriate in the PBAC’s deferral of tirzepatide for the treatment of adult patients with inadequately controlled type 2 diabetes (paragraph 7.9, tirzepatide PSD, July 2025 PBAC Meeting), and an ICER of up to $25,000 per QALY gained for semaglutide for use in patients with established cardiovascular disease with obesity accepted (paragraph 7.12, semaglutide PSD, November 2025 PBAC Meeting).</w:t>
      </w:r>
      <w:bookmarkEnd w:id="86"/>
      <w:r>
        <w:t xml:space="preserve">  </w:t>
      </w:r>
    </w:p>
    <w:p w14:paraId="020D6AA0" w14:textId="77777777" w:rsidR="00AC64A4" w:rsidRPr="000717E1" w:rsidRDefault="00AC64A4" w:rsidP="00AC64A4">
      <w:pPr>
        <w:pStyle w:val="4-SubsectionHeading"/>
      </w:pPr>
      <w:bookmarkStart w:id="87" w:name="_Toc219880046"/>
      <w:bookmarkEnd w:id="66"/>
      <w:r w:rsidRPr="000717E1">
        <w:lastRenderedPageBreak/>
        <w:t>Dupilumab cost/patient/year</w:t>
      </w:r>
      <w:bookmarkEnd w:id="87"/>
    </w:p>
    <w:p w14:paraId="57C0281B" w14:textId="0F6AE3A3" w:rsidR="00AC64A4" w:rsidRPr="000717E1" w:rsidRDefault="00AC64A4" w:rsidP="004F04F1">
      <w:pPr>
        <w:pStyle w:val="Caption"/>
        <w:rPr>
          <w:rStyle w:val="CommentReference"/>
          <w:b/>
          <w:szCs w:val="24"/>
        </w:rPr>
      </w:pPr>
      <w:bookmarkStart w:id="88" w:name="_Ref104805102"/>
      <w:r w:rsidRPr="000717E1">
        <w:t xml:space="preserve">Table </w:t>
      </w:r>
      <w:fldSimple w:instr=" SEQ Table \* ARABIC ">
        <w:r w:rsidR="00281F45">
          <w:rPr>
            <w:noProof/>
          </w:rPr>
          <w:t>16</w:t>
        </w:r>
      </w:fldSimple>
      <w:bookmarkEnd w:id="88"/>
      <w:r w:rsidRPr="000717E1">
        <w:t>:</w:t>
      </w:r>
      <w:r w:rsidRPr="000717E1">
        <w:rPr>
          <w:rStyle w:val="CommentReference"/>
          <w:b/>
          <w:szCs w:val="24"/>
        </w:rPr>
        <w:t xml:space="preserve"> Drug cost per patient for Dupilumab and triple inhaled therapy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6: Drug cost per patient for Dupilumab and triple inhaled therapy"/>
      </w:tblPr>
      <w:tblGrid>
        <w:gridCol w:w="1468"/>
        <w:gridCol w:w="1256"/>
        <w:gridCol w:w="1254"/>
        <w:gridCol w:w="1258"/>
        <w:gridCol w:w="1254"/>
        <w:gridCol w:w="1260"/>
        <w:gridCol w:w="1260"/>
      </w:tblGrid>
      <w:tr w:rsidR="00AC64A4" w:rsidRPr="000717E1" w14:paraId="696FCD7D" w14:textId="77777777" w:rsidTr="00E13A0D">
        <w:trPr>
          <w:cantSplit/>
          <w:tblHeader/>
          <w:jc w:val="center"/>
        </w:trPr>
        <w:tc>
          <w:tcPr>
            <w:tcW w:w="815" w:type="pct"/>
            <w:vAlign w:val="center"/>
          </w:tcPr>
          <w:p w14:paraId="01CF858E" w14:textId="77777777" w:rsidR="00AC64A4" w:rsidRPr="000717E1" w:rsidRDefault="00AC64A4" w:rsidP="004F04F1">
            <w:pPr>
              <w:pStyle w:val="In-tableHeading"/>
            </w:pPr>
          </w:p>
        </w:tc>
        <w:tc>
          <w:tcPr>
            <w:tcW w:w="697" w:type="pct"/>
            <w:vAlign w:val="center"/>
          </w:tcPr>
          <w:p w14:paraId="114358BA" w14:textId="77777777" w:rsidR="00AC64A4" w:rsidRPr="000717E1" w:rsidRDefault="00AC64A4" w:rsidP="004F04F1">
            <w:pPr>
              <w:pStyle w:val="In-tableHeading"/>
              <w:jc w:val="center"/>
            </w:pPr>
            <w:r w:rsidRPr="000717E1">
              <w:t>Dupilumab</w:t>
            </w:r>
          </w:p>
          <w:p w14:paraId="5FAF9DA1" w14:textId="77777777" w:rsidR="00AC64A4" w:rsidRPr="000717E1" w:rsidRDefault="00AC64A4" w:rsidP="004F04F1">
            <w:pPr>
              <w:pStyle w:val="In-tableHeading"/>
              <w:jc w:val="center"/>
            </w:pPr>
            <w:r w:rsidRPr="000717E1">
              <w:t>Trial dose and duration</w:t>
            </w:r>
          </w:p>
        </w:tc>
        <w:tc>
          <w:tcPr>
            <w:tcW w:w="696" w:type="pct"/>
            <w:vAlign w:val="center"/>
          </w:tcPr>
          <w:p w14:paraId="6F3F13F5" w14:textId="77777777" w:rsidR="00AC64A4" w:rsidRPr="000717E1" w:rsidRDefault="00AC64A4" w:rsidP="004F04F1">
            <w:pPr>
              <w:pStyle w:val="In-tableHeading"/>
              <w:jc w:val="center"/>
            </w:pPr>
            <w:r w:rsidRPr="000717E1">
              <w:t>Dupilumab</w:t>
            </w:r>
          </w:p>
          <w:p w14:paraId="61EDA27A" w14:textId="77777777" w:rsidR="00AC64A4" w:rsidRPr="000717E1" w:rsidRDefault="00AC64A4" w:rsidP="004F04F1">
            <w:pPr>
              <w:pStyle w:val="In-tableHeading"/>
              <w:jc w:val="center"/>
            </w:pPr>
            <w:r w:rsidRPr="000717E1">
              <w:t>Model</w:t>
            </w:r>
          </w:p>
        </w:tc>
        <w:tc>
          <w:tcPr>
            <w:tcW w:w="698" w:type="pct"/>
            <w:vAlign w:val="center"/>
          </w:tcPr>
          <w:p w14:paraId="747F018D" w14:textId="77777777" w:rsidR="00AC64A4" w:rsidRPr="000717E1" w:rsidRDefault="00AC64A4" w:rsidP="004F04F1">
            <w:pPr>
              <w:pStyle w:val="In-tableHeading"/>
              <w:jc w:val="center"/>
            </w:pPr>
            <w:r w:rsidRPr="000717E1">
              <w:t>Dupilumab</w:t>
            </w:r>
          </w:p>
          <w:p w14:paraId="476B7941" w14:textId="77777777" w:rsidR="00AC64A4" w:rsidRPr="000717E1" w:rsidRDefault="00AC64A4" w:rsidP="004F04F1">
            <w:pPr>
              <w:pStyle w:val="In-tableHeading"/>
              <w:jc w:val="center"/>
            </w:pPr>
            <w:r w:rsidRPr="000717E1">
              <w:t>Financial estimates</w:t>
            </w:r>
          </w:p>
        </w:tc>
        <w:tc>
          <w:tcPr>
            <w:tcW w:w="696" w:type="pct"/>
            <w:vAlign w:val="center"/>
          </w:tcPr>
          <w:p w14:paraId="01179659" w14:textId="77777777" w:rsidR="00AC64A4" w:rsidRPr="000717E1" w:rsidRDefault="00AC64A4" w:rsidP="004F04F1">
            <w:pPr>
              <w:pStyle w:val="In-tableHeading"/>
              <w:jc w:val="center"/>
            </w:pPr>
            <w:r w:rsidRPr="000717E1">
              <w:t>Triple therapy</w:t>
            </w:r>
          </w:p>
          <w:p w14:paraId="00EF7EBF" w14:textId="682D5F7A" w:rsidR="00AC64A4" w:rsidRPr="00467643" w:rsidRDefault="00AC64A4" w:rsidP="004F04F1">
            <w:pPr>
              <w:pStyle w:val="In-tableHeading"/>
              <w:jc w:val="center"/>
              <w:rPr>
                <w:vertAlign w:val="superscript"/>
              </w:rPr>
            </w:pPr>
            <w:r w:rsidRPr="000717E1">
              <w:t xml:space="preserve">Trial dose and </w:t>
            </w:r>
            <w:proofErr w:type="spellStart"/>
            <w:r w:rsidRPr="000717E1">
              <w:t>duration</w:t>
            </w:r>
            <w:r w:rsidR="00C418B4">
              <w:rPr>
                <w:vertAlign w:val="superscript"/>
              </w:rPr>
              <w:t>j</w:t>
            </w:r>
            <w:proofErr w:type="spellEnd"/>
          </w:p>
        </w:tc>
        <w:tc>
          <w:tcPr>
            <w:tcW w:w="699" w:type="pct"/>
            <w:vAlign w:val="center"/>
          </w:tcPr>
          <w:p w14:paraId="7EDE1184" w14:textId="77777777" w:rsidR="00AC64A4" w:rsidRPr="000717E1" w:rsidRDefault="00AC64A4" w:rsidP="004F04F1">
            <w:pPr>
              <w:pStyle w:val="In-tableHeading"/>
              <w:jc w:val="center"/>
            </w:pPr>
            <w:r w:rsidRPr="000717E1">
              <w:t>Triple therapy</w:t>
            </w:r>
          </w:p>
          <w:p w14:paraId="28530022" w14:textId="77777777" w:rsidR="00AC64A4" w:rsidRPr="000717E1" w:rsidRDefault="00AC64A4" w:rsidP="004F04F1">
            <w:pPr>
              <w:pStyle w:val="In-tableHeading"/>
              <w:jc w:val="center"/>
            </w:pPr>
            <w:r w:rsidRPr="000717E1">
              <w:t>Model</w:t>
            </w:r>
          </w:p>
        </w:tc>
        <w:tc>
          <w:tcPr>
            <w:tcW w:w="699" w:type="pct"/>
            <w:vAlign w:val="center"/>
          </w:tcPr>
          <w:p w14:paraId="1338D75F" w14:textId="77777777" w:rsidR="00AC64A4" w:rsidRPr="000717E1" w:rsidRDefault="00AC64A4" w:rsidP="004F04F1">
            <w:pPr>
              <w:pStyle w:val="In-tableHeading"/>
              <w:jc w:val="center"/>
            </w:pPr>
            <w:r w:rsidRPr="000717E1">
              <w:t>Triple therapy</w:t>
            </w:r>
          </w:p>
          <w:p w14:paraId="06AB01C6" w14:textId="01AB2FBF" w:rsidR="00AC64A4" w:rsidRPr="000717E1" w:rsidRDefault="00AC64A4" w:rsidP="004F04F1">
            <w:pPr>
              <w:pStyle w:val="In-tableHeading"/>
              <w:jc w:val="center"/>
              <w:rPr>
                <w:vertAlign w:val="superscript"/>
              </w:rPr>
            </w:pPr>
            <w:r w:rsidRPr="000717E1">
              <w:t xml:space="preserve">Financial </w:t>
            </w:r>
            <w:proofErr w:type="spellStart"/>
            <w:r w:rsidRPr="000717E1">
              <w:t>estimates</w:t>
            </w:r>
            <w:r w:rsidR="00FA2C80" w:rsidRPr="00FA2C80">
              <w:rPr>
                <w:b w:val="0"/>
                <w:vertAlign w:val="superscript"/>
              </w:rPr>
              <w:t>n</w:t>
            </w:r>
            <w:proofErr w:type="spellEnd"/>
          </w:p>
        </w:tc>
      </w:tr>
      <w:tr w:rsidR="00AC64A4" w:rsidRPr="000717E1" w14:paraId="4BF11A82" w14:textId="77777777" w:rsidTr="00E13A0D">
        <w:trPr>
          <w:cantSplit/>
          <w:jc w:val="center"/>
        </w:trPr>
        <w:tc>
          <w:tcPr>
            <w:tcW w:w="815" w:type="pct"/>
            <w:vAlign w:val="center"/>
          </w:tcPr>
          <w:p w14:paraId="012B15F9" w14:textId="77777777" w:rsidR="00AC64A4" w:rsidRPr="000717E1" w:rsidRDefault="00AC64A4" w:rsidP="004F04F1">
            <w:pPr>
              <w:pStyle w:val="TableText0"/>
              <w:rPr>
                <w:sz w:val="20"/>
                <w:szCs w:val="20"/>
              </w:rPr>
            </w:pPr>
            <w:r w:rsidRPr="000717E1">
              <w:rPr>
                <w:sz w:val="20"/>
                <w:szCs w:val="20"/>
              </w:rPr>
              <w:t>Mean dose</w:t>
            </w:r>
          </w:p>
        </w:tc>
        <w:tc>
          <w:tcPr>
            <w:tcW w:w="697" w:type="pct"/>
            <w:vAlign w:val="center"/>
          </w:tcPr>
          <w:p w14:paraId="6CF69199" w14:textId="77777777" w:rsidR="00AC64A4" w:rsidRPr="000717E1" w:rsidRDefault="00AC64A4" w:rsidP="004F04F1">
            <w:pPr>
              <w:pStyle w:val="TableText0"/>
              <w:jc w:val="center"/>
              <w:rPr>
                <w:sz w:val="20"/>
                <w:szCs w:val="20"/>
              </w:rPr>
            </w:pPr>
            <w:r w:rsidRPr="000717E1">
              <w:rPr>
                <w:sz w:val="20"/>
                <w:szCs w:val="20"/>
              </w:rPr>
              <w:t>300 mg</w:t>
            </w:r>
          </w:p>
        </w:tc>
        <w:tc>
          <w:tcPr>
            <w:tcW w:w="696" w:type="pct"/>
            <w:vAlign w:val="center"/>
          </w:tcPr>
          <w:p w14:paraId="4A3C97DD" w14:textId="77777777" w:rsidR="00AC64A4" w:rsidRPr="000717E1" w:rsidRDefault="00AC64A4" w:rsidP="004F04F1">
            <w:pPr>
              <w:pStyle w:val="TableText0"/>
              <w:jc w:val="center"/>
              <w:rPr>
                <w:sz w:val="20"/>
                <w:szCs w:val="20"/>
              </w:rPr>
            </w:pPr>
            <w:r w:rsidRPr="000717E1">
              <w:rPr>
                <w:sz w:val="20"/>
                <w:szCs w:val="20"/>
              </w:rPr>
              <w:t>300 mg</w:t>
            </w:r>
          </w:p>
        </w:tc>
        <w:tc>
          <w:tcPr>
            <w:tcW w:w="698" w:type="pct"/>
            <w:vAlign w:val="center"/>
          </w:tcPr>
          <w:p w14:paraId="119AD347" w14:textId="77777777" w:rsidR="00AC64A4" w:rsidRPr="000717E1" w:rsidRDefault="00AC64A4" w:rsidP="004F04F1">
            <w:pPr>
              <w:pStyle w:val="TableText0"/>
              <w:jc w:val="center"/>
              <w:rPr>
                <w:sz w:val="20"/>
                <w:szCs w:val="20"/>
              </w:rPr>
            </w:pPr>
            <w:r w:rsidRPr="000717E1">
              <w:rPr>
                <w:sz w:val="20"/>
                <w:szCs w:val="20"/>
              </w:rPr>
              <w:t>300 mg</w:t>
            </w:r>
          </w:p>
        </w:tc>
        <w:tc>
          <w:tcPr>
            <w:tcW w:w="696" w:type="pct"/>
            <w:vAlign w:val="center"/>
          </w:tcPr>
          <w:p w14:paraId="7BA80409" w14:textId="77777777" w:rsidR="00AC64A4" w:rsidRPr="000717E1" w:rsidRDefault="00AC64A4" w:rsidP="004F04F1">
            <w:pPr>
              <w:pStyle w:val="TableText0"/>
              <w:jc w:val="center"/>
              <w:rPr>
                <w:sz w:val="20"/>
                <w:szCs w:val="20"/>
              </w:rPr>
            </w:pPr>
            <w:r w:rsidRPr="000717E1">
              <w:rPr>
                <w:sz w:val="20"/>
                <w:szCs w:val="20"/>
              </w:rPr>
              <w:t>Triple therapy</w:t>
            </w:r>
          </w:p>
        </w:tc>
        <w:tc>
          <w:tcPr>
            <w:tcW w:w="699" w:type="pct"/>
            <w:vAlign w:val="center"/>
          </w:tcPr>
          <w:p w14:paraId="77AFC4C7" w14:textId="77777777" w:rsidR="00AC64A4" w:rsidRPr="000717E1" w:rsidRDefault="00AC64A4" w:rsidP="004F04F1">
            <w:pPr>
              <w:pStyle w:val="TableText0"/>
              <w:jc w:val="center"/>
              <w:rPr>
                <w:sz w:val="20"/>
                <w:szCs w:val="20"/>
              </w:rPr>
            </w:pPr>
            <w:r w:rsidRPr="000717E1">
              <w:rPr>
                <w:sz w:val="20"/>
                <w:szCs w:val="20"/>
              </w:rPr>
              <w:t>Triple therapy</w:t>
            </w:r>
          </w:p>
        </w:tc>
        <w:tc>
          <w:tcPr>
            <w:tcW w:w="699" w:type="pct"/>
            <w:vAlign w:val="center"/>
          </w:tcPr>
          <w:p w14:paraId="2D1CFBB5" w14:textId="77777777" w:rsidR="00AC64A4" w:rsidRPr="000717E1" w:rsidRDefault="00AC64A4" w:rsidP="004F04F1">
            <w:pPr>
              <w:pStyle w:val="TableText0"/>
              <w:jc w:val="center"/>
              <w:rPr>
                <w:sz w:val="20"/>
                <w:szCs w:val="20"/>
              </w:rPr>
            </w:pPr>
            <w:r w:rsidRPr="000717E1">
              <w:rPr>
                <w:sz w:val="20"/>
                <w:szCs w:val="20"/>
              </w:rPr>
              <w:t>Triple therapy</w:t>
            </w:r>
          </w:p>
        </w:tc>
      </w:tr>
      <w:tr w:rsidR="00AC64A4" w:rsidRPr="000717E1" w14:paraId="13FB0CF0" w14:textId="77777777" w:rsidTr="00E13A0D">
        <w:trPr>
          <w:cantSplit/>
          <w:jc w:val="center"/>
        </w:trPr>
        <w:tc>
          <w:tcPr>
            <w:tcW w:w="815" w:type="pct"/>
            <w:vAlign w:val="center"/>
          </w:tcPr>
          <w:p w14:paraId="7B92B933" w14:textId="77777777" w:rsidR="00AC64A4" w:rsidRPr="000717E1" w:rsidRDefault="00AC64A4" w:rsidP="004F04F1">
            <w:pPr>
              <w:pStyle w:val="TableText0"/>
              <w:rPr>
                <w:sz w:val="20"/>
                <w:szCs w:val="20"/>
              </w:rPr>
            </w:pPr>
            <w:r w:rsidRPr="000717E1">
              <w:rPr>
                <w:sz w:val="20"/>
                <w:szCs w:val="20"/>
              </w:rPr>
              <w:t>Cost per dose</w:t>
            </w:r>
          </w:p>
        </w:tc>
        <w:tc>
          <w:tcPr>
            <w:tcW w:w="697" w:type="pct"/>
            <w:vAlign w:val="center"/>
          </w:tcPr>
          <w:p w14:paraId="46D7E0C6" w14:textId="76FDC9F8" w:rsidR="00AC64A4" w:rsidRPr="000717E1" w:rsidRDefault="00AC64A4" w:rsidP="004F04F1">
            <w:pPr>
              <w:pStyle w:val="TableText0"/>
              <w:jc w:val="center"/>
              <w:rPr>
                <w:sz w:val="20"/>
                <w:szCs w:val="20"/>
                <w:vertAlign w:val="superscript"/>
              </w:rPr>
            </w:pPr>
            <w:r w:rsidRPr="000717E1">
              <w:rPr>
                <w:sz w:val="20"/>
                <w:szCs w:val="20"/>
              </w:rPr>
              <w:t>$</w:t>
            </w:r>
            <w:r w:rsidR="00331ADA" w:rsidRPr="00331ADA">
              <w:rPr>
                <w:sz w:val="2"/>
                <w:szCs w:val="20"/>
                <w:highlight w:val="black"/>
              </w:rPr>
              <w:t xml:space="preserve">redacted </w:t>
            </w:r>
            <w:proofErr w:type="spellStart"/>
            <w:r w:rsidR="00331ADA" w:rsidRPr="00331ADA">
              <w:rPr>
                <w:sz w:val="2"/>
                <w:szCs w:val="20"/>
                <w:highlight w:val="black"/>
              </w:rPr>
              <w:t>content</w:t>
            </w:r>
            <w:r w:rsidRPr="000717E1">
              <w:rPr>
                <w:sz w:val="20"/>
                <w:szCs w:val="20"/>
                <w:vertAlign w:val="superscript"/>
              </w:rPr>
              <w:t>a</w:t>
            </w:r>
            <w:proofErr w:type="spellEnd"/>
          </w:p>
        </w:tc>
        <w:tc>
          <w:tcPr>
            <w:tcW w:w="696" w:type="pct"/>
            <w:vAlign w:val="center"/>
          </w:tcPr>
          <w:p w14:paraId="62D6E086" w14:textId="2FA58ED3" w:rsidR="00AC64A4" w:rsidRPr="000717E1" w:rsidRDefault="00AC64A4" w:rsidP="004F04F1">
            <w:pPr>
              <w:pStyle w:val="TableText0"/>
              <w:jc w:val="center"/>
              <w:rPr>
                <w:sz w:val="20"/>
                <w:szCs w:val="20"/>
              </w:rPr>
            </w:pPr>
            <w:r w:rsidRPr="000717E1">
              <w:rPr>
                <w:sz w:val="20"/>
                <w:szCs w:val="20"/>
              </w:rPr>
              <w:t>$</w:t>
            </w:r>
            <w:r w:rsidR="00331ADA" w:rsidRPr="00331ADA">
              <w:rPr>
                <w:sz w:val="2"/>
                <w:szCs w:val="20"/>
                <w:highlight w:val="black"/>
              </w:rPr>
              <w:t xml:space="preserve">redacted </w:t>
            </w:r>
            <w:proofErr w:type="spellStart"/>
            <w:r w:rsidR="00331ADA" w:rsidRPr="00331ADA">
              <w:rPr>
                <w:sz w:val="2"/>
                <w:szCs w:val="20"/>
                <w:highlight w:val="black"/>
              </w:rPr>
              <w:t>content</w:t>
            </w:r>
            <w:r w:rsidRPr="000717E1">
              <w:rPr>
                <w:sz w:val="20"/>
                <w:szCs w:val="20"/>
                <w:vertAlign w:val="superscript"/>
              </w:rPr>
              <w:t>a</w:t>
            </w:r>
            <w:proofErr w:type="spellEnd"/>
          </w:p>
        </w:tc>
        <w:tc>
          <w:tcPr>
            <w:tcW w:w="698" w:type="pct"/>
            <w:vAlign w:val="center"/>
          </w:tcPr>
          <w:p w14:paraId="6870514A" w14:textId="26465357" w:rsidR="00AC64A4" w:rsidRPr="000717E1" w:rsidRDefault="00AC64A4" w:rsidP="004F04F1">
            <w:pPr>
              <w:pStyle w:val="TableText0"/>
              <w:jc w:val="center"/>
              <w:rPr>
                <w:sz w:val="20"/>
                <w:szCs w:val="20"/>
              </w:rPr>
            </w:pPr>
            <w:r w:rsidRPr="000717E1">
              <w:rPr>
                <w:sz w:val="20"/>
                <w:szCs w:val="20"/>
              </w:rPr>
              <w:t>$</w:t>
            </w:r>
            <w:r w:rsidR="00331ADA" w:rsidRPr="00331ADA">
              <w:rPr>
                <w:sz w:val="2"/>
                <w:szCs w:val="20"/>
                <w:highlight w:val="black"/>
              </w:rPr>
              <w:t>redacted content</w:t>
            </w:r>
          </w:p>
        </w:tc>
        <w:tc>
          <w:tcPr>
            <w:tcW w:w="696" w:type="pct"/>
            <w:vAlign w:val="center"/>
          </w:tcPr>
          <w:p w14:paraId="37EB7134" w14:textId="77777777" w:rsidR="00AC64A4" w:rsidRPr="000717E1" w:rsidRDefault="00AC64A4" w:rsidP="004F04F1">
            <w:pPr>
              <w:pStyle w:val="TableText0"/>
              <w:jc w:val="center"/>
              <w:rPr>
                <w:sz w:val="20"/>
                <w:szCs w:val="20"/>
              </w:rPr>
            </w:pPr>
            <w:r w:rsidRPr="000717E1">
              <w:rPr>
                <w:sz w:val="20"/>
                <w:szCs w:val="20"/>
              </w:rPr>
              <w:t>NA</w:t>
            </w:r>
          </w:p>
        </w:tc>
        <w:tc>
          <w:tcPr>
            <w:tcW w:w="699" w:type="pct"/>
            <w:vAlign w:val="center"/>
          </w:tcPr>
          <w:p w14:paraId="5E62B241" w14:textId="6DC0607E" w:rsidR="00AC64A4" w:rsidRPr="000717E1" w:rsidRDefault="00AC64A4" w:rsidP="004F04F1">
            <w:pPr>
              <w:pStyle w:val="TableText0"/>
              <w:jc w:val="center"/>
              <w:rPr>
                <w:sz w:val="20"/>
                <w:szCs w:val="20"/>
                <w:vertAlign w:val="superscript"/>
              </w:rPr>
            </w:pPr>
            <w:proofErr w:type="spellStart"/>
            <w:r w:rsidRPr="000717E1">
              <w:rPr>
                <w:sz w:val="20"/>
                <w:szCs w:val="20"/>
              </w:rPr>
              <w:t>NA</w:t>
            </w:r>
            <w:r w:rsidR="00C418B4" w:rsidRPr="00C418B4">
              <w:rPr>
                <w:sz w:val="20"/>
                <w:szCs w:val="20"/>
                <w:vertAlign w:val="superscript"/>
              </w:rPr>
              <w:t>k</w:t>
            </w:r>
            <w:proofErr w:type="spellEnd"/>
          </w:p>
        </w:tc>
        <w:tc>
          <w:tcPr>
            <w:tcW w:w="699" w:type="pct"/>
            <w:vAlign w:val="center"/>
          </w:tcPr>
          <w:p w14:paraId="0B5D43B4" w14:textId="22799E79" w:rsidR="00AC64A4" w:rsidRPr="000717E1" w:rsidRDefault="00AC64A4" w:rsidP="004F04F1">
            <w:pPr>
              <w:pStyle w:val="TableText0"/>
              <w:jc w:val="center"/>
              <w:rPr>
                <w:sz w:val="20"/>
                <w:szCs w:val="20"/>
              </w:rPr>
            </w:pPr>
            <w:r w:rsidRPr="000717E1">
              <w:rPr>
                <w:sz w:val="20"/>
                <w:szCs w:val="20"/>
              </w:rPr>
              <w:t>NA</w:t>
            </w:r>
          </w:p>
        </w:tc>
      </w:tr>
      <w:tr w:rsidR="00AC64A4" w:rsidRPr="000717E1" w14:paraId="0847E053" w14:textId="77777777" w:rsidTr="00E13A0D">
        <w:trPr>
          <w:cantSplit/>
          <w:jc w:val="center"/>
        </w:trPr>
        <w:tc>
          <w:tcPr>
            <w:tcW w:w="815" w:type="pct"/>
            <w:vAlign w:val="center"/>
          </w:tcPr>
          <w:p w14:paraId="212BFDAD" w14:textId="77777777" w:rsidR="00AC64A4" w:rsidRPr="000717E1" w:rsidRDefault="00AC64A4" w:rsidP="004F04F1">
            <w:pPr>
              <w:pStyle w:val="TableText0"/>
              <w:rPr>
                <w:sz w:val="20"/>
                <w:szCs w:val="20"/>
              </w:rPr>
            </w:pPr>
            <w:r w:rsidRPr="000717E1">
              <w:rPr>
                <w:sz w:val="20"/>
                <w:szCs w:val="20"/>
              </w:rPr>
              <w:t>Doses per month</w:t>
            </w:r>
          </w:p>
        </w:tc>
        <w:tc>
          <w:tcPr>
            <w:tcW w:w="697" w:type="pct"/>
            <w:vAlign w:val="center"/>
          </w:tcPr>
          <w:p w14:paraId="2FAF88F3" w14:textId="77777777" w:rsidR="00AC64A4" w:rsidRPr="000717E1" w:rsidRDefault="00AC64A4" w:rsidP="004F04F1">
            <w:pPr>
              <w:pStyle w:val="TableText0"/>
              <w:jc w:val="center"/>
              <w:rPr>
                <w:sz w:val="20"/>
                <w:szCs w:val="20"/>
                <w:vertAlign w:val="superscript"/>
              </w:rPr>
            </w:pPr>
            <w:r w:rsidRPr="000717E1">
              <w:rPr>
                <w:sz w:val="20"/>
                <w:szCs w:val="20"/>
              </w:rPr>
              <w:t>2.17</w:t>
            </w:r>
            <w:r w:rsidRPr="000717E1">
              <w:rPr>
                <w:sz w:val="20"/>
                <w:szCs w:val="20"/>
                <w:vertAlign w:val="superscript"/>
              </w:rPr>
              <w:t>b</w:t>
            </w:r>
          </w:p>
        </w:tc>
        <w:tc>
          <w:tcPr>
            <w:tcW w:w="696" w:type="pct"/>
            <w:vAlign w:val="center"/>
          </w:tcPr>
          <w:p w14:paraId="7C25A778" w14:textId="77777777" w:rsidR="00AC64A4" w:rsidRPr="000717E1" w:rsidRDefault="00AC64A4" w:rsidP="004F04F1">
            <w:pPr>
              <w:pStyle w:val="TableText0"/>
              <w:jc w:val="center"/>
              <w:rPr>
                <w:sz w:val="20"/>
                <w:szCs w:val="20"/>
              </w:rPr>
            </w:pPr>
            <w:r w:rsidRPr="000717E1">
              <w:rPr>
                <w:sz w:val="20"/>
                <w:szCs w:val="20"/>
              </w:rPr>
              <w:t>2.17</w:t>
            </w:r>
            <w:r w:rsidRPr="000717E1">
              <w:rPr>
                <w:sz w:val="20"/>
                <w:szCs w:val="20"/>
                <w:vertAlign w:val="superscript"/>
              </w:rPr>
              <w:t>b</w:t>
            </w:r>
          </w:p>
        </w:tc>
        <w:tc>
          <w:tcPr>
            <w:tcW w:w="698" w:type="pct"/>
            <w:vAlign w:val="center"/>
          </w:tcPr>
          <w:p w14:paraId="4B969497" w14:textId="77777777" w:rsidR="00AC64A4" w:rsidRPr="000717E1" w:rsidRDefault="00AC64A4" w:rsidP="004F04F1">
            <w:pPr>
              <w:pStyle w:val="TableText0"/>
              <w:jc w:val="center"/>
              <w:rPr>
                <w:sz w:val="20"/>
                <w:szCs w:val="20"/>
              </w:rPr>
            </w:pPr>
            <w:r w:rsidRPr="000717E1">
              <w:rPr>
                <w:sz w:val="20"/>
                <w:szCs w:val="20"/>
              </w:rPr>
              <w:t>2.17</w:t>
            </w:r>
          </w:p>
        </w:tc>
        <w:tc>
          <w:tcPr>
            <w:tcW w:w="696" w:type="pct"/>
            <w:vAlign w:val="center"/>
          </w:tcPr>
          <w:p w14:paraId="6ACF3135" w14:textId="77777777" w:rsidR="00AC64A4" w:rsidRPr="000717E1" w:rsidRDefault="00AC64A4" w:rsidP="004F04F1">
            <w:pPr>
              <w:pStyle w:val="TableText0"/>
              <w:jc w:val="center"/>
              <w:rPr>
                <w:sz w:val="20"/>
                <w:szCs w:val="20"/>
              </w:rPr>
            </w:pPr>
            <w:r w:rsidRPr="000717E1">
              <w:rPr>
                <w:sz w:val="20"/>
                <w:szCs w:val="20"/>
              </w:rPr>
              <w:t>NA</w:t>
            </w:r>
          </w:p>
        </w:tc>
        <w:tc>
          <w:tcPr>
            <w:tcW w:w="699" w:type="pct"/>
            <w:vAlign w:val="center"/>
          </w:tcPr>
          <w:p w14:paraId="299F9B9E" w14:textId="000D9421" w:rsidR="00AC64A4" w:rsidRPr="000717E1" w:rsidRDefault="00AC64A4" w:rsidP="004F04F1">
            <w:pPr>
              <w:pStyle w:val="TableText0"/>
              <w:jc w:val="center"/>
              <w:rPr>
                <w:sz w:val="20"/>
                <w:szCs w:val="20"/>
                <w:vertAlign w:val="superscript"/>
              </w:rPr>
            </w:pPr>
            <w:proofErr w:type="spellStart"/>
            <w:r w:rsidRPr="000717E1">
              <w:rPr>
                <w:sz w:val="20"/>
                <w:szCs w:val="20"/>
              </w:rPr>
              <w:t>NA</w:t>
            </w:r>
            <w:r w:rsidR="00C418B4" w:rsidRPr="00C418B4">
              <w:rPr>
                <w:sz w:val="20"/>
                <w:szCs w:val="20"/>
                <w:vertAlign w:val="superscript"/>
              </w:rPr>
              <w:t>k</w:t>
            </w:r>
            <w:proofErr w:type="spellEnd"/>
          </w:p>
        </w:tc>
        <w:tc>
          <w:tcPr>
            <w:tcW w:w="699" w:type="pct"/>
            <w:vAlign w:val="center"/>
          </w:tcPr>
          <w:p w14:paraId="6B21BC76" w14:textId="2EC13AAF" w:rsidR="00AC64A4" w:rsidRPr="000717E1" w:rsidRDefault="00AC64A4" w:rsidP="004F04F1">
            <w:pPr>
              <w:pStyle w:val="TableText0"/>
              <w:jc w:val="center"/>
              <w:rPr>
                <w:sz w:val="20"/>
                <w:szCs w:val="20"/>
              </w:rPr>
            </w:pPr>
            <w:r w:rsidRPr="000717E1">
              <w:rPr>
                <w:sz w:val="20"/>
                <w:szCs w:val="20"/>
              </w:rPr>
              <w:t>NA</w:t>
            </w:r>
          </w:p>
        </w:tc>
      </w:tr>
      <w:tr w:rsidR="00AC64A4" w:rsidRPr="000717E1" w14:paraId="72FBBEC3" w14:textId="77777777" w:rsidTr="00E13A0D">
        <w:trPr>
          <w:cantSplit/>
          <w:jc w:val="center"/>
        </w:trPr>
        <w:tc>
          <w:tcPr>
            <w:tcW w:w="815" w:type="pct"/>
            <w:vAlign w:val="center"/>
          </w:tcPr>
          <w:p w14:paraId="48758188" w14:textId="77777777" w:rsidR="00AC64A4" w:rsidRPr="000717E1" w:rsidRDefault="00AC64A4" w:rsidP="004F04F1">
            <w:pPr>
              <w:pStyle w:val="TableText0"/>
              <w:rPr>
                <w:sz w:val="20"/>
                <w:szCs w:val="20"/>
              </w:rPr>
            </w:pPr>
            <w:r w:rsidRPr="000717E1">
              <w:rPr>
                <w:sz w:val="20"/>
                <w:szCs w:val="20"/>
              </w:rPr>
              <w:t>Doses per year</w:t>
            </w:r>
          </w:p>
        </w:tc>
        <w:tc>
          <w:tcPr>
            <w:tcW w:w="697" w:type="pct"/>
            <w:vAlign w:val="center"/>
          </w:tcPr>
          <w:p w14:paraId="5EF70CC8" w14:textId="77777777" w:rsidR="00AC64A4" w:rsidRPr="000717E1" w:rsidRDefault="00AC64A4" w:rsidP="004F04F1">
            <w:pPr>
              <w:pStyle w:val="TableText0"/>
              <w:jc w:val="center"/>
              <w:rPr>
                <w:sz w:val="20"/>
                <w:szCs w:val="20"/>
                <w:vertAlign w:val="superscript"/>
              </w:rPr>
            </w:pPr>
            <w:r w:rsidRPr="000717E1">
              <w:rPr>
                <w:sz w:val="20"/>
                <w:szCs w:val="20"/>
              </w:rPr>
              <w:t>26.07</w:t>
            </w:r>
            <w:r w:rsidRPr="000717E1">
              <w:rPr>
                <w:sz w:val="20"/>
                <w:szCs w:val="20"/>
                <w:vertAlign w:val="superscript"/>
              </w:rPr>
              <w:t>c</w:t>
            </w:r>
          </w:p>
        </w:tc>
        <w:tc>
          <w:tcPr>
            <w:tcW w:w="696" w:type="pct"/>
            <w:vAlign w:val="center"/>
          </w:tcPr>
          <w:p w14:paraId="46B22E58" w14:textId="77777777" w:rsidR="00AC64A4" w:rsidRPr="000717E1" w:rsidRDefault="00AC64A4" w:rsidP="004F04F1">
            <w:pPr>
              <w:pStyle w:val="TableText0"/>
              <w:jc w:val="center"/>
              <w:rPr>
                <w:sz w:val="20"/>
                <w:szCs w:val="20"/>
              </w:rPr>
            </w:pPr>
            <w:r w:rsidRPr="000717E1">
              <w:rPr>
                <w:sz w:val="20"/>
                <w:szCs w:val="20"/>
              </w:rPr>
              <w:t>26.07</w:t>
            </w:r>
            <w:r w:rsidRPr="000717E1">
              <w:rPr>
                <w:sz w:val="20"/>
                <w:szCs w:val="20"/>
                <w:vertAlign w:val="superscript"/>
              </w:rPr>
              <w:t>c</w:t>
            </w:r>
          </w:p>
        </w:tc>
        <w:tc>
          <w:tcPr>
            <w:tcW w:w="698" w:type="pct"/>
            <w:vAlign w:val="center"/>
          </w:tcPr>
          <w:p w14:paraId="3CA8D011" w14:textId="77777777" w:rsidR="00AC64A4" w:rsidRPr="000717E1" w:rsidRDefault="00AC64A4" w:rsidP="004F04F1">
            <w:pPr>
              <w:pStyle w:val="TableText0"/>
              <w:jc w:val="center"/>
              <w:rPr>
                <w:sz w:val="20"/>
                <w:szCs w:val="20"/>
              </w:rPr>
            </w:pPr>
            <w:r w:rsidRPr="000717E1">
              <w:rPr>
                <w:sz w:val="20"/>
                <w:szCs w:val="20"/>
              </w:rPr>
              <w:t>26.07</w:t>
            </w:r>
          </w:p>
        </w:tc>
        <w:tc>
          <w:tcPr>
            <w:tcW w:w="696" w:type="pct"/>
            <w:vAlign w:val="center"/>
          </w:tcPr>
          <w:p w14:paraId="3342FDCF" w14:textId="77777777" w:rsidR="00AC64A4" w:rsidRPr="000717E1" w:rsidRDefault="00AC64A4" w:rsidP="004F04F1">
            <w:pPr>
              <w:pStyle w:val="TableText0"/>
              <w:jc w:val="center"/>
              <w:rPr>
                <w:sz w:val="20"/>
                <w:szCs w:val="20"/>
              </w:rPr>
            </w:pPr>
            <w:r w:rsidRPr="000717E1">
              <w:rPr>
                <w:sz w:val="20"/>
                <w:szCs w:val="20"/>
              </w:rPr>
              <w:t>NA</w:t>
            </w:r>
          </w:p>
        </w:tc>
        <w:tc>
          <w:tcPr>
            <w:tcW w:w="699" w:type="pct"/>
            <w:vAlign w:val="center"/>
          </w:tcPr>
          <w:p w14:paraId="2C0FBBAD" w14:textId="0B09F662" w:rsidR="00AC64A4" w:rsidRPr="000717E1" w:rsidRDefault="00AC64A4" w:rsidP="004F04F1">
            <w:pPr>
              <w:pStyle w:val="TableText0"/>
              <w:jc w:val="center"/>
              <w:rPr>
                <w:sz w:val="20"/>
                <w:szCs w:val="20"/>
                <w:vertAlign w:val="superscript"/>
              </w:rPr>
            </w:pPr>
            <w:proofErr w:type="spellStart"/>
            <w:r w:rsidRPr="000717E1">
              <w:rPr>
                <w:sz w:val="20"/>
                <w:szCs w:val="20"/>
              </w:rPr>
              <w:t>NA</w:t>
            </w:r>
            <w:r w:rsidR="00C418B4" w:rsidRPr="00C418B4">
              <w:rPr>
                <w:sz w:val="20"/>
                <w:szCs w:val="20"/>
                <w:vertAlign w:val="superscript"/>
              </w:rPr>
              <w:t>k</w:t>
            </w:r>
            <w:proofErr w:type="spellEnd"/>
          </w:p>
        </w:tc>
        <w:tc>
          <w:tcPr>
            <w:tcW w:w="699" w:type="pct"/>
            <w:vAlign w:val="center"/>
          </w:tcPr>
          <w:p w14:paraId="729FAEA4" w14:textId="45F5244A" w:rsidR="00AC64A4" w:rsidRPr="000717E1" w:rsidRDefault="00AC64A4" w:rsidP="004F04F1">
            <w:pPr>
              <w:pStyle w:val="TableText0"/>
              <w:jc w:val="center"/>
              <w:rPr>
                <w:sz w:val="20"/>
                <w:szCs w:val="20"/>
              </w:rPr>
            </w:pPr>
            <w:r w:rsidRPr="000717E1">
              <w:rPr>
                <w:sz w:val="20"/>
                <w:szCs w:val="20"/>
              </w:rPr>
              <w:t>NA</w:t>
            </w:r>
          </w:p>
        </w:tc>
      </w:tr>
      <w:tr w:rsidR="00AC64A4" w:rsidRPr="000717E1" w14:paraId="0CEA3715" w14:textId="77777777" w:rsidTr="00E13A0D">
        <w:trPr>
          <w:cantSplit/>
          <w:jc w:val="center"/>
        </w:trPr>
        <w:tc>
          <w:tcPr>
            <w:tcW w:w="815" w:type="pct"/>
            <w:vAlign w:val="center"/>
          </w:tcPr>
          <w:p w14:paraId="3ED24257" w14:textId="77777777" w:rsidR="00AC64A4" w:rsidRPr="000717E1" w:rsidRDefault="00AC64A4" w:rsidP="004F04F1">
            <w:pPr>
              <w:pStyle w:val="TableText0"/>
              <w:rPr>
                <w:sz w:val="20"/>
                <w:szCs w:val="20"/>
              </w:rPr>
            </w:pPr>
            <w:r w:rsidRPr="000717E1">
              <w:rPr>
                <w:sz w:val="20"/>
                <w:szCs w:val="20"/>
              </w:rPr>
              <w:t>Compliance</w:t>
            </w:r>
          </w:p>
        </w:tc>
        <w:tc>
          <w:tcPr>
            <w:tcW w:w="697" w:type="pct"/>
            <w:vAlign w:val="center"/>
          </w:tcPr>
          <w:p w14:paraId="2347D50E" w14:textId="77777777" w:rsidR="00AC64A4" w:rsidRPr="000717E1" w:rsidRDefault="00AC64A4" w:rsidP="004F04F1">
            <w:pPr>
              <w:pStyle w:val="TableText0"/>
              <w:jc w:val="center"/>
              <w:rPr>
                <w:sz w:val="20"/>
                <w:szCs w:val="20"/>
                <w:vertAlign w:val="superscript"/>
              </w:rPr>
            </w:pPr>
            <w:r w:rsidRPr="000717E1">
              <w:rPr>
                <w:sz w:val="20"/>
                <w:szCs w:val="20"/>
              </w:rPr>
              <w:t>98%</w:t>
            </w:r>
            <w:r w:rsidRPr="000717E1">
              <w:rPr>
                <w:sz w:val="20"/>
                <w:szCs w:val="20"/>
                <w:vertAlign w:val="superscript"/>
              </w:rPr>
              <w:t>d</w:t>
            </w:r>
          </w:p>
        </w:tc>
        <w:tc>
          <w:tcPr>
            <w:tcW w:w="696" w:type="pct"/>
            <w:vAlign w:val="center"/>
          </w:tcPr>
          <w:p w14:paraId="15C53E93" w14:textId="77777777" w:rsidR="00AC64A4" w:rsidRPr="000717E1" w:rsidRDefault="00AC64A4" w:rsidP="004F04F1">
            <w:pPr>
              <w:pStyle w:val="TableText0"/>
              <w:jc w:val="center"/>
              <w:rPr>
                <w:sz w:val="20"/>
                <w:szCs w:val="20"/>
                <w:vertAlign w:val="superscript"/>
              </w:rPr>
            </w:pPr>
            <w:r w:rsidRPr="000717E1">
              <w:rPr>
                <w:sz w:val="20"/>
                <w:szCs w:val="20"/>
              </w:rPr>
              <w:t>100%</w:t>
            </w:r>
            <w:r w:rsidRPr="000717E1">
              <w:rPr>
                <w:sz w:val="20"/>
                <w:szCs w:val="20"/>
                <w:vertAlign w:val="superscript"/>
              </w:rPr>
              <w:t>h</w:t>
            </w:r>
          </w:p>
        </w:tc>
        <w:tc>
          <w:tcPr>
            <w:tcW w:w="698" w:type="pct"/>
            <w:vAlign w:val="center"/>
          </w:tcPr>
          <w:p w14:paraId="4AFE41A1" w14:textId="77777777" w:rsidR="00AC64A4" w:rsidRPr="000717E1" w:rsidRDefault="00AC64A4" w:rsidP="004F04F1">
            <w:pPr>
              <w:pStyle w:val="TableText0"/>
              <w:jc w:val="center"/>
              <w:rPr>
                <w:sz w:val="20"/>
                <w:szCs w:val="20"/>
                <w:vertAlign w:val="superscript"/>
              </w:rPr>
            </w:pPr>
            <w:r w:rsidRPr="000717E1">
              <w:rPr>
                <w:sz w:val="20"/>
                <w:szCs w:val="20"/>
              </w:rPr>
              <w:t>100%</w:t>
            </w:r>
            <w:r w:rsidRPr="000717E1">
              <w:rPr>
                <w:sz w:val="20"/>
                <w:szCs w:val="20"/>
                <w:vertAlign w:val="superscript"/>
              </w:rPr>
              <w:t>h</w:t>
            </w:r>
          </w:p>
        </w:tc>
        <w:tc>
          <w:tcPr>
            <w:tcW w:w="696" w:type="pct"/>
            <w:vAlign w:val="center"/>
          </w:tcPr>
          <w:p w14:paraId="1728881F" w14:textId="77777777" w:rsidR="00AC64A4" w:rsidRPr="000717E1" w:rsidRDefault="00AC64A4" w:rsidP="004F04F1">
            <w:pPr>
              <w:pStyle w:val="TableText0"/>
              <w:jc w:val="center"/>
              <w:rPr>
                <w:sz w:val="20"/>
                <w:szCs w:val="20"/>
              </w:rPr>
            </w:pPr>
            <w:r w:rsidRPr="000717E1">
              <w:rPr>
                <w:sz w:val="20"/>
                <w:szCs w:val="20"/>
              </w:rPr>
              <w:t>NA</w:t>
            </w:r>
          </w:p>
        </w:tc>
        <w:tc>
          <w:tcPr>
            <w:tcW w:w="699" w:type="pct"/>
            <w:vAlign w:val="center"/>
          </w:tcPr>
          <w:p w14:paraId="08FABD72" w14:textId="77777777" w:rsidR="00AC64A4" w:rsidRPr="000717E1" w:rsidRDefault="00AC64A4" w:rsidP="004F04F1">
            <w:pPr>
              <w:pStyle w:val="TableText0"/>
              <w:jc w:val="center"/>
              <w:rPr>
                <w:sz w:val="20"/>
                <w:szCs w:val="20"/>
              </w:rPr>
            </w:pPr>
            <w:r w:rsidRPr="000717E1">
              <w:rPr>
                <w:sz w:val="20"/>
                <w:szCs w:val="20"/>
              </w:rPr>
              <w:t>100%</w:t>
            </w:r>
            <w:r w:rsidRPr="000717E1">
              <w:rPr>
                <w:sz w:val="20"/>
                <w:szCs w:val="20"/>
                <w:vertAlign w:val="superscript"/>
              </w:rPr>
              <w:t>h</w:t>
            </w:r>
          </w:p>
        </w:tc>
        <w:tc>
          <w:tcPr>
            <w:tcW w:w="699" w:type="pct"/>
            <w:vAlign w:val="center"/>
          </w:tcPr>
          <w:p w14:paraId="16426A06" w14:textId="5EAEBC30" w:rsidR="00AC64A4" w:rsidRPr="000717E1" w:rsidRDefault="00A43D6A" w:rsidP="004F04F1">
            <w:pPr>
              <w:pStyle w:val="TableText0"/>
              <w:jc w:val="center"/>
              <w:rPr>
                <w:sz w:val="20"/>
                <w:szCs w:val="20"/>
              </w:rPr>
            </w:pPr>
            <w:r w:rsidRPr="000717E1">
              <w:rPr>
                <w:sz w:val="20"/>
                <w:szCs w:val="20"/>
              </w:rPr>
              <w:t>NA</w:t>
            </w:r>
          </w:p>
        </w:tc>
      </w:tr>
      <w:tr w:rsidR="00AC64A4" w:rsidRPr="000717E1" w14:paraId="5ED47316" w14:textId="77777777" w:rsidTr="00E13A0D">
        <w:trPr>
          <w:cantSplit/>
          <w:jc w:val="center"/>
        </w:trPr>
        <w:tc>
          <w:tcPr>
            <w:tcW w:w="815" w:type="pct"/>
            <w:vAlign w:val="center"/>
          </w:tcPr>
          <w:p w14:paraId="104FDE60" w14:textId="77777777" w:rsidR="00AC64A4" w:rsidRPr="000717E1" w:rsidRDefault="00AC64A4" w:rsidP="004F04F1">
            <w:pPr>
              <w:pStyle w:val="TableText0"/>
              <w:rPr>
                <w:sz w:val="20"/>
                <w:szCs w:val="20"/>
              </w:rPr>
            </w:pPr>
            <w:r w:rsidRPr="000717E1">
              <w:rPr>
                <w:sz w:val="20"/>
                <w:szCs w:val="20"/>
              </w:rPr>
              <w:t>Mean duration</w:t>
            </w:r>
          </w:p>
        </w:tc>
        <w:tc>
          <w:tcPr>
            <w:tcW w:w="697" w:type="pct"/>
            <w:vAlign w:val="center"/>
          </w:tcPr>
          <w:p w14:paraId="6312AFC3" w14:textId="77777777" w:rsidR="00AC64A4" w:rsidRPr="000717E1" w:rsidRDefault="00AC64A4" w:rsidP="004F04F1">
            <w:pPr>
              <w:pStyle w:val="TableText0"/>
              <w:jc w:val="center"/>
              <w:rPr>
                <w:sz w:val="20"/>
                <w:szCs w:val="20"/>
                <w:vertAlign w:val="superscript"/>
              </w:rPr>
            </w:pPr>
            <w:r w:rsidRPr="000717E1">
              <w:rPr>
                <w:sz w:val="20"/>
                <w:szCs w:val="20"/>
              </w:rPr>
              <w:t xml:space="preserve">0.91 </w:t>
            </w:r>
            <w:proofErr w:type="spellStart"/>
            <w:r w:rsidRPr="000717E1">
              <w:rPr>
                <w:sz w:val="20"/>
                <w:szCs w:val="20"/>
              </w:rPr>
              <w:t>years</w:t>
            </w:r>
            <w:r w:rsidRPr="000717E1">
              <w:rPr>
                <w:sz w:val="20"/>
                <w:szCs w:val="20"/>
                <w:vertAlign w:val="superscript"/>
              </w:rPr>
              <w:t>e</w:t>
            </w:r>
            <w:proofErr w:type="spellEnd"/>
          </w:p>
        </w:tc>
        <w:tc>
          <w:tcPr>
            <w:tcW w:w="696" w:type="pct"/>
            <w:vAlign w:val="center"/>
          </w:tcPr>
          <w:p w14:paraId="5EEDB018" w14:textId="1BDCAABE" w:rsidR="00AC64A4" w:rsidRPr="000717E1" w:rsidRDefault="00761187" w:rsidP="004F04F1">
            <w:pPr>
              <w:pStyle w:val="TableText0"/>
              <w:jc w:val="center"/>
              <w:rPr>
                <w:sz w:val="20"/>
                <w:szCs w:val="20"/>
                <w:vertAlign w:val="superscript"/>
              </w:rPr>
            </w:pPr>
            <w:r w:rsidRPr="000717E1">
              <w:rPr>
                <w:sz w:val="20"/>
                <w:szCs w:val="20"/>
              </w:rPr>
              <w:t xml:space="preserve">4.17 </w:t>
            </w:r>
            <w:proofErr w:type="spellStart"/>
            <w:r w:rsidRPr="000717E1">
              <w:rPr>
                <w:sz w:val="20"/>
                <w:szCs w:val="20"/>
              </w:rPr>
              <w:t>years</w:t>
            </w:r>
            <w:r w:rsidR="00834BAB" w:rsidRPr="000717E1">
              <w:rPr>
                <w:sz w:val="20"/>
                <w:szCs w:val="20"/>
                <w:vertAlign w:val="superscript"/>
              </w:rPr>
              <w:t>i</w:t>
            </w:r>
            <w:proofErr w:type="spellEnd"/>
          </w:p>
        </w:tc>
        <w:tc>
          <w:tcPr>
            <w:tcW w:w="698" w:type="pct"/>
            <w:vAlign w:val="center"/>
          </w:tcPr>
          <w:p w14:paraId="5F8963E8" w14:textId="54929F7D" w:rsidR="00AC64A4" w:rsidRPr="000717E1" w:rsidRDefault="00586145" w:rsidP="004F04F1">
            <w:pPr>
              <w:pStyle w:val="TableText0"/>
              <w:jc w:val="center"/>
              <w:rPr>
                <w:sz w:val="20"/>
                <w:szCs w:val="20"/>
                <w:vertAlign w:val="superscript"/>
              </w:rPr>
            </w:pPr>
            <w:r>
              <w:rPr>
                <w:sz w:val="20"/>
                <w:szCs w:val="20"/>
              </w:rPr>
              <w:t>NA</w:t>
            </w:r>
          </w:p>
        </w:tc>
        <w:tc>
          <w:tcPr>
            <w:tcW w:w="696" w:type="pct"/>
            <w:vAlign w:val="center"/>
          </w:tcPr>
          <w:p w14:paraId="34CA974B" w14:textId="77777777" w:rsidR="00AC64A4" w:rsidRPr="000717E1" w:rsidRDefault="00AC64A4" w:rsidP="004F04F1">
            <w:pPr>
              <w:pStyle w:val="TableText0"/>
              <w:jc w:val="center"/>
              <w:rPr>
                <w:sz w:val="20"/>
                <w:szCs w:val="20"/>
              </w:rPr>
            </w:pPr>
            <w:r w:rsidRPr="000717E1">
              <w:rPr>
                <w:sz w:val="20"/>
                <w:szCs w:val="20"/>
              </w:rPr>
              <w:t>NA</w:t>
            </w:r>
          </w:p>
        </w:tc>
        <w:tc>
          <w:tcPr>
            <w:tcW w:w="699" w:type="pct"/>
            <w:vAlign w:val="center"/>
          </w:tcPr>
          <w:p w14:paraId="5B1AF42F" w14:textId="39CDED3A" w:rsidR="00AC64A4" w:rsidRPr="000717E1" w:rsidRDefault="00DA08A7" w:rsidP="004F04F1">
            <w:pPr>
              <w:pStyle w:val="TableText0"/>
              <w:jc w:val="center"/>
              <w:rPr>
                <w:sz w:val="20"/>
                <w:szCs w:val="20"/>
                <w:vertAlign w:val="superscript"/>
              </w:rPr>
            </w:pPr>
            <w:r w:rsidRPr="000717E1">
              <w:rPr>
                <w:sz w:val="20"/>
                <w:szCs w:val="20"/>
              </w:rPr>
              <w:t xml:space="preserve">7.39 </w:t>
            </w:r>
            <w:proofErr w:type="spellStart"/>
            <w:r w:rsidRPr="000717E1">
              <w:rPr>
                <w:sz w:val="20"/>
                <w:szCs w:val="20"/>
              </w:rPr>
              <w:t>years</w:t>
            </w:r>
            <w:r w:rsidR="00FA2C80" w:rsidRPr="00FA2C80">
              <w:rPr>
                <w:sz w:val="20"/>
                <w:szCs w:val="20"/>
                <w:vertAlign w:val="superscript"/>
              </w:rPr>
              <w:t>l</w:t>
            </w:r>
            <w:proofErr w:type="spellEnd"/>
          </w:p>
        </w:tc>
        <w:tc>
          <w:tcPr>
            <w:tcW w:w="699" w:type="pct"/>
            <w:vAlign w:val="center"/>
          </w:tcPr>
          <w:p w14:paraId="3416840B" w14:textId="053075F4" w:rsidR="00AC64A4" w:rsidRPr="000717E1" w:rsidRDefault="002E5B76" w:rsidP="004F04F1">
            <w:pPr>
              <w:pStyle w:val="TableText0"/>
              <w:jc w:val="center"/>
              <w:rPr>
                <w:sz w:val="20"/>
                <w:szCs w:val="20"/>
              </w:rPr>
            </w:pPr>
            <w:r w:rsidRPr="000717E1">
              <w:rPr>
                <w:sz w:val="20"/>
                <w:szCs w:val="20"/>
              </w:rPr>
              <w:t>NA</w:t>
            </w:r>
          </w:p>
        </w:tc>
      </w:tr>
      <w:tr w:rsidR="00AC64A4" w:rsidRPr="000717E1" w14:paraId="1C6AE2C6" w14:textId="77777777" w:rsidTr="00E13A0D">
        <w:trPr>
          <w:cantSplit/>
          <w:jc w:val="center"/>
        </w:trPr>
        <w:tc>
          <w:tcPr>
            <w:tcW w:w="815" w:type="pct"/>
            <w:vAlign w:val="center"/>
          </w:tcPr>
          <w:p w14:paraId="174FEBB6" w14:textId="77777777" w:rsidR="00AC64A4" w:rsidRPr="000717E1" w:rsidRDefault="00AC64A4" w:rsidP="004F04F1">
            <w:pPr>
              <w:pStyle w:val="TableText0"/>
              <w:rPr>
                <w:sz w:val="20"/>
                <w:szCs w:val="20"/>
              </w:rPr>
            </w:pPr>
            <w:r w:rsidRPr="000717E1">
              <w:rPr>
                <w:sz w:val="20"/>
                <w:szCs w:val="20"/>
              </w:rPr>
              <w:t>Cost/patient/month</w:t>
            </w:r>
          </w:p>
        </w:tc>
        <w:tc>
          <w:tcPr>
            <w:tcW w:w="697" w:type="pct"/>
            <w:vAlign w:val="center"/>
          </w:tcPr>
          <w:p w14:paraId="70125AFD" w14:textId="2E82226F" w:rsidR="00AC64A4" w:rsidRPr="000717E1" w:rsidRDefault="00AC64A4" w:rsidP="004F04F1">
            <w:pPr>
              <w:pStyle w:val="TableText0"/>
              <w:jc w:val="center"/>
              <w:rPr>
                <w:sz w:val="20"/>
                <w:szCs w:val="20"/>
                <w:vertAlign w:val="superscript"/>
              </w:rPr>
            </w:pPr>
            <w:r w:rsidRPr="000717E1">
              <w:rPr>
                <w:sz w:val="20"/>
                <w:szCs w:val="20"/>
              </w:rPr>
              <w:t>$</w:t>
            </w:r>
            <w:r w:rsidR="00331ADA" w:rsidRPr="00331ADA">
              <w:rPr>
                <w:sz w:val="2"/>
                <w:szCs w:val="20"/>
                <w:highlight w:val="black"/>
              </w:rPr>
              <w:t xml:space="preserve">redacted </w:t>
            </w:r>
            <w:proofErr w:type="spellStart"/>
            <w:r w:rsidR="00331ADA" w:rsidRPr="00331ADA">
              <w:rPr>
                <w:sz w:val="2"/>
                <w:szCs w:val="20"/>
                <w:highlight w:val="black"/>
              </w:rPr>
              <w:t>content</w:t>
            </w:r>
            <w:r w:rsidRPr="000717E1">
              <w:rPr>
                <w:sz w:val="20"/>
                <w:szCs w:val="20"/>
                <w:vertAlign w:val="superscript"/>
              </w:rPr>
              <w:t>f</w:t>
            </w:r>
            <w:proofErr w:type="spellEnd"/>
          </w:p>
        </w:tc>
        <w:tc>
          <w:tcPr>
            <w:tcW w:w="696" w:type="pct"/>
            <w:vAlign w:val="center"/>
          </w:tcPr>
          <w:p w14:paraId="0B398CC1" w14:textId="4ABCD7D3" w:rsidR="00AC64A4" w:rsidRPr="000717E1" w:rsidRDefault="00AC64A4" w:rsidP="004F04F1">
            <w:pPr>
              <w:pStyle w:val="TableText0"/>
              <w:jc w:val="center"/>
              <w:rPr>
                <w:sz w:val="20"/>
                <w:szCs w:val="20"/>
                <w:vertAlign w:val="superscript"/>
              </w:rPr>
            </w:pPr>
            <w:r w:rsidRPr="000717E1">
              <w:rPr>
                <w:sz w:val="20"/>
                <w:szCs w:val="20"/>
              </w:rPr>
              <w:t>$</w:t>
            </w:r>
            <w:r w:rsidR="00331ADA" w:rsidRPr="00331ADA">
              <w:rPr>
                <w:sz w:val="2"/>
                <w:szCs w:val="20"/>
                <w:highlight w:val="black"/>
              </w:rPr>
              <w:t xml:space="preserve">redacted </w:t>
            </w:r>
            <w:proofErr w:type="spellStart"/>
            <w:r w:rsidR="00331ADA" w:rsidRPr="00331ADA">
              <w:rPr>
                <w:sz w:val="2"/>
                <w:szCs w:val="20"/>
                <w:highlight w:val="black"/>
              </w:rPr>
              <w:t>content</w:t>
            </w:r>
            <w:r w:rsidRPr="000717E1">
              <w:rPr>
                <w:sz w:val="20"/>
                <w:szCs w:val="20"/>
                <w:vertAlign w:val="superscript"/>
              </w:rPr>
              <w:t>f</w:t>
            </w:r>
            <w:proofErr w:type="spellEnd"/>
          </w:p>
        </w:tc>
        <w:tc>
          <w:tcPr>
            <w:tcW w:w="698" w:type="pct"/>
            <w:vAlign w:val="center"/>
          </w:tcPr>
          <w:p w14:paraId="39D990DF" w14:textId="1872BF4A" w:rsidR="00AC64A4" w:rsidRPr="000717E1" w:rsidRDefault="00AC64A4" w:rsidP="004F04F1">
            <w:pPr>
              <w:pStyle w:val="TableText0"/>
              <w:jc w:val="center"/>
              <w:rPr>
                <w:sz w:val="20"/>
                <w:szCs w:val="20"/>
                <w:vertAlign w:val="superscript"/>
              </w:rPr>
            </w:pPr>
            <w:r w:rsidRPr="000717E1">
              <w:rPr>
                <w:sz w:val="20"/>
                <w:szCs w:val="20"/>
              </w:rPr>
              <w:t>$</w:t>
            </w:r>
            <w:r w:rsidR="00331ADA" w:rsidRPr="00331ADA">
              <w:rPr>
                <w:sz w:val="2"/>
                <w:szCs w:val="20"/>
                <w:highlight w:val="black"/>
              </w:rPr>
              <w:t xml:space="preserve">redacted </w:t>
            </w:r>
            <w:proofErr w:type="spellStart"/>
            <w:r w:rsidR="00331ADA" w:rsidRPr="00331ADA">
              <w:rPr>
                <w:sz w:val="2"/>
                <w:szCs w:val="20"/>
                <w:highlight w:val="black"/>
              </w:rPr>
              <w:t>content</w:t>
            </w:r>
            <w:r w:rsidRPr="000717E1">
              <w:rPr>
                <w:sz w:val="20"/>
                <w:szCs w:val="20"/>
                <w:vertAlign w:val="superscript"/>
              </w:rPr>
              <w:t>f</w:t>
            </w:r>
            <w:proofErr w:type="spellEnd"/>
          </w:p>
        </w:tc>
        <w:tc>
          <w:tcPr>
            <w:tcW w:w="696" w:type="pct"/>
            <w:vAlign w:val="center"/>
          </w:tcPr>
          <w:p w14:paraId="6A977CCC" w14:textId="77777777" w:rsidR="00AC64A4" w:rsidRPr="000717E1" w:rsidRDefault="00AC64A4" w:rsidP="004F04F1">
            <w:pPr>
              <w:pStyle w:val="TableText0"/>
              <w:jc w:val="center"/>
              <w:rPr>
                <w:sz w:val="20"/>
                <w:szCs w:val="20"/>
              </w:rPr>
            </w:pPr>
            <w:r w:rsidRPr="000717E1">
              <w:rPr>
                <w:sz w:val="20"/>
                <w:szCs w:val="20"/>
              </w:rPr>
              <w:t>NA</w:t>
            </w:r>
          </w:p>
        </w:tc>
        <w:tc>
          <w:tcPr>
            <w:tcW w:w="699" w:type="pct"/>
            <w:vAlign w:val="center"/>
          </w:tcPr>
          <w:p w14:paraId="509B8A61" w14:textId="7C23B09D" w:rsidR="00AC64A4" w:rsidRPr="00FA2C80" w:rsidRDefault="00AC64A4" w:rsidP="004F04F1">
            <w:pPr>
              <w:pStyle w:val="TableText0"/>
              <w:jc w:val="center"/>
              <w:rPr>
                <w:sz w:val="20"/>
                <w:szCs w:val="20"/>
                <w:vertAlign w:val="superscript"/>
              </w:rPr>
            </w:pPr>
            <w:r w:rsidRPr="000717E1">
              <w:rPr>
                <w:sz w:val="20"/>
                <w:szCs w:val="20"/>
              </w:rPr>
              <w:t>$83.66</w:t>
            </w:r>
            <w:r w:rsidR="00FA2C80">
              <w:rPr>
                <w:sz w:val="20"/>
                <w:szCs w:val="20"/>
                <w:vertAlign w:val="superscript"/>
              </w:rPr>
              <w:t>m</w:t>
            </w:r>
          </w:p>
        </w:tc>
        <w:tc>
          <w:tcPr>
            <w:tcW w:w="699" w:type="pct"/>
            <w:vAlign w:val="center"/>
          </w:tcPr>
          <w:p w14:paraId="7A189722" w14:textId="54C2E65D" w:rsidR="00AC64A4" w:rsidRPr="000717E1" w:rsidRDefault="00A43D6A" w:rsidP="004F04F1">
            <w:pPr>
              <w:pStyle w:val="TableText0"/>
              <w:jc w:val="center"/>
              <w:rPr>
                <w:sz w:val="20"/>
                <w:szCs w:val="20"/>
              </w:rPr>
            </w:pPr>
            <w:r w:rsidRPr="000717E1">
              <w:rPr>
                <w:sz w:val="20"/>
                <w:szCs w:val="20"/>
              </w:rPr>
              <w:t>NA</w:t>
            </w:r>
          </w:p>
        </w:tc>
      </w:tr>
      <w:tr w:rsidR="00AC64A4" w:rsidRPr="000717E1" w14:paraId="62F81AAE" w14:textId="77777777" w:rsidTr="00E13A0D">
        <w:trPr>
          <w:cantSplit/>
          <w:jc w:val="center"/>
        </w:trPr>
        <w:tc>
          <w:tcPr>
            <w:tcW w:w="815" w:type="pct"/>
            <w:vAlign w:val="center"/>
          </w:tcPr>
          <w:p w14:paraId="4B8A7D4D" w14:textId="77777777" w:rsidR="00AC64A4" w:rsidRPr="000717E1" w:rsidRDefault="00AC64A4" w:rsidP="004F04F1">
            <w:pPr>
              <w:pStyle w:val="TableText0"/>
              <w:rPr>
                <w:sz w:val="20"/>
                <w:szCs w:val="20"/>
              </w:rPr>
            </w:pPr>
            <w:r w:rsidRPr="000717E1">
              <w:rPr>
                <w:sz w:val="20"/>
                <w:szCs w:val="20"/>
              </w:rPr>
              <w:t>Cost/patient/year</w:t>
            </w:r>
          </w:p>
        </w:tc>
        <w:tc>
          <w:tcPr>
            <w:tcW w:w="697" w:type="pct"/>
            <w:vAlign w:val="center"/>
          </w:tcPr>
          <w:p w14:paraId="1AF5D5BB" w14:textId="674E57A4" w:rsidR="00AC64A4" w:rsidRPr="000717E1" w:rsidRDefault="00AC64A4" w:rsidP="004F04F1">
            <w:pPr>
              <w:pStyle w:val="TableText0"/>
              <w:jc w:val="center"/>
              <w:rPr>
                <w:sz w:val="20"/>
                <w:szCs w:val="20"/>
                <w:vertAlign w:val="superscript"/>
              </w:rPr>
            </w:pPr>
            <w:r w:rsidRPr="000717E1">
              <w:rPr>
                <w:sz w:val="20"/>
                <w:szCs w:val="20"/>
              </w:rPr>
              <w:t>$</w:t>
            </w:r>
            <w:r w:rsidR="00331ADA" w:rsidRPr="00331ADA">
              <w:rPr>
                <w:sz w:val="2"/>
                <w:szCs w:val="20"/>
                <w:highlight w:val="black"/>
              </w:rPr>
              <w:t xml:space="preserve">redacted </w:t>
            </w:r>
            <w:proofErr w:type="spellStart"/>
            <w:r w:rsidR="00331ADA" w:rsidRPr="00331ADA">
              <w:rPr>
                <w:sz w:val="2"/>
                <w:szCs w:val="20"/>
                <w:highlight w:val="black"/>
              </w:rPr>
              <w:t>content</w:t>
            </w:r>
            <w:r w:rsidRPr="000717E1">
              <w:rPr>
                <w:sz w:val="20"/>
                <w:szCs w:val="20"/>
                <w:vertAlign w:val="superscript"/>
              </w:rPr>
              <w:t>g</w:t>
            </w:r>
            <w:proofErr w:type="spellEnd"/>
          </w:p>
        </w:tc>
        <w:tc>
          <w:tcPr>
            <w:tcW w:w="696" w:type="pct"/>
            <w:vAlign w:val="center"/>
          </w:tcPr>
          <w:p w14:paraId="641529D8" w14:textId="63ABEB01" w:rsidR="00AC64A4" w:rsidRPr="000717E1" w:rsidRDefault="00AC64A4" w:rsidP="004F04F1">
            <w:pPr>
              <w:pStyle w:val="TableText0"/>
              <w:jc w:val="center"/>
              <w:rPr>
                <w:sz w:val="20"/>
                <w:szCs w:val="20"/>
                <w:vertAlign w:val="superscript"/>
              </w:rPr>
            </w:pPr>
            <w:r w:rsidRPr="000717E1">
              <w:rPr>
                <w:sz w:val="20"/>
                <w:szCs w:val="20"/>
              </w:rPr>
              <w:t>$</w:t>
            </w:r>
            <w:r w:rsidR="00331ADA" w:rsidRPr="00331ADA">
              <w:rPr>
                <w:sz w:val="2"/>
                <w:szCs w:val="20"/>
                <w:highlight w:val="black"/>
              </w:rPr>
              <w:t xml:space="preserve">redacted </w:t>
            </w:r>
            <w:proofErr w:type="spellStart"/>
            <w:r w:rsidR="00331ADA" w:rsidRPr="00331ADA">
              <w:rPr>
                <w:sz w:val="2"/>
                <w:szCs w:val="20"/>
                <w:highlight w:val="black"/>
              </w:rPr>
              <w:t>content</w:t>
            </w:r>
            <w:r w:rsidRPr="000717E1">
              <w:rPr>
                <w:sz w:val="20"/>
                <w:szCs w:val="20"/>
                <w:vertAlign w:val="superscript"/>
              </w:rPr>
              <w:t>g</w:t>
            </w:r>
            <w:proofErr w:type="spellEnd"/>
          </w:p>
        </w:tc>
        <w:tc>
          <w:tcPr>
            <w:tcW w:w="698" w:type="pct"/>
            <w:vAlign w:val="center"/>
          </w:tcPr>
          <w:p w14:paraId="1AF3252E" w14:textId="62CC0297" w:rsidR="00AC64A4" w:rsidRPr="000717E1" w:rsidRDefault="00AC64A4" w:rsidP="004F04F1">
            <w:pPr>
              <w:pStyle w:val="TableText0"/>
              <w:jc w:val="center"/>
              <w:rPr>
                <w:sz w:val="20"/>
                <w:szCs w:val="20"/>
                <w:vertAlign w:val="superscript"/>
              </w:rPr>
            </w:pPr>
            <w:r w:rsidRPr="000717E1">
              <w:rPr>
                <w:sz w:val="20"/>
                <w:szCs w:val="20"/>
              </w:rPr>
              <w:t>$</w:t>
            </w:r>
            <w:r w:rsidR="00331ADA" w:rsidRPr="00331ADA">
              <w:rPr>
                <w:sz w:val="2"/>
                <w:szCs w:val="20"/>
                <w:highlight w:val="black"/>
              </w:rPr>
              <w:t xml:space="preserve">redacted </w:t>
            </w:r>
            <w:proofErr w:type="spellStart"/>
            <w:r w:rsidR="00331ADA" w:rsidRPr="00331ADA">
              <w:rPr>
                <w:sz w:val="2"/>
                <w:szCs w:val="20"/>
                <w:highlight w:val="black"/>
              </w:rPr>
              <w:t>content</w:t>
            </w:r>
            <w:r w:rsidRPr="000717E1">
              <w:rPr>
                <w:sz w:val="20"/>
                <w:szCs w:val="20"/>
                <w:vertAlign w:val="superscript"/>
              </w:rPr>
              <w:t>g</w:t>
            </w:r>
            <w:proofErr w:type="spellEnd"/>
          </w:p>
        </w:tc>
        <w:tc>
          <w:tcPr>
            <w:tcW w:w="696" w:type="pct"/>
            <w:vAlign w:val="center"/>
          </w:tcPr>
          <w:p w14:paraId="7CE603CA" w14:textId="77777777" w:rsidR="00AC64A4" w:rsidRPr="000717E1" w:rsidRDefault="00AC64A4" w:rsidP="004F04F1">
            <w:pPr>
              <w:pStyle w:val="TableText0"/>
              <w:jc w:val="center"/>
              <w:rPr>
                <w:sz w:val="20"/>
                <w:szCs w:val="20"/>
              </w:rPr>
            </w:pPr>
            <w:r w:rsidRPr="000717E1">
              <w:rPr>
                <w:sz w:val="20"/>
                <w:szCs w:val="20"/>
              </w:rPr>
              <w:t>NA</w:t>
            </w:r>
          </w:p>
        </w:tc>
        <w:tc>
          <w:tcPr>
            <w:tcW w:w="699" w:type="pct"/>
            <w:vAlign w:val="center"/>
          </w:tcPr>
          <w:p w14:paraId="1F2C516C" w14:textId="2D3C92B7" w:rsidR="00AC64A4" w:rsidRPr="000717E1" w:rsidRDefault="00AC64A4" w:rsidP="004F04F1">
            <w:pPr>
              <w:pStyle w:val="TableText0"/>
              <w:jc w:val="center"/>
              <w:rPr>
                <w:sz w:val="20"/>
                <w:szCs w:val="20"/>
                <w:vertAlign w:val="superscript"/>
              </w:rPr>
            </w:pPr>
            <w:r w:rsidRPr="000717E1">
              <w:rPr>
                <w:sz w:val="20"/>
                <w:szCs w:val="20"/>
              </w:rPr>
              <w:t>$1,003.90</w:t>
            </w:r>
          </w:p>
        </w:tc>
        <w:tc>
          <w:tcPr>
            <w:tcW w:w="699" w:type="pct"/>
            <w:vAlign w:val="center"/>
          </w:tcPr>
          <w:p w14:paraId="023C6B96" w14:textId="538D6BF3" w:rsidR="00AC64A4" w:rsidRPr="000717E1" w:rsidRDefault="00A43D6A" w:rsidP="004F04F1">
            <w:pPr>
              <w:pStyle w:val="TableText0"/>
              <w:jc w:val="center"/>
              <w:rPr>
                <w:sz w:val="20"/>
                <w:szCs w:val="20"/>
              </w:rPr>
            </w:pPr>
            <w:r w:rsidRPr="000717E1">
              <w:rPr>
                <w:sz w:val="20"/>
                <w:szCs w:val="20"/>
              </w:rPr>
              <w:t>NA</w:t>
            </w:r>
          </w:p>
        </w:tc>
      </w:tr>
    </w:tbl>
    <w:p w14:paraId="63246019" w14:textId="66721436" w:rsidR="00AC64A4" w:rsidRPr="000717E1" w:rsidRDefault="00AC64A4" w:rsidP="004F04F1">
      <w:pPr>
        <w:pStyle w:val="FooterTableFigure"/>
        <w:keepNext/>
      </w:pPr>
      <w:r w:rsidRPr="000717E1">
        <w:t xml:space="preserve">Source: ‘Drug </w:t>
      </w:r>
      <w:proofErr w:type="spellStart"/>
      <w:r w:rsidRPr="000717E1">
        <w:t>Acqu</w:t>
      </w:r>
      <w:proofErr w:type="spellEnd"/>
      <w:r w:rsidRPr="000717E1">
        <w:t xml:space="preserve"> and Admin’ worksheet of the economic model workbook provided with the submission, Table 2.4-4, p60 of the submission</w:t>
      </w:r>
      <w:r w:rsidR="007B332B" w:rsidRPr="000717E1">
        <w:t>; and compiled during the evaluation.</w:t>
      </w:r>
    </w:p>
    <w:p w14:paraId="05879C97" w14:textId="6E20E508" w:rsidR="00AC64A4" w:rsidRPr="000717E1" w:rsidRDefault="00AC64A4" w:rsidP="004F04F1">
      <w:pPr>
        <w:pStyle w:val="FooterTableFigure"/>
        <w:keepNext/>
      </w:pPr>
      <w:r w:rsidRPr="000717E1">
        <w:rPr>
          <w:vertAlign w:val="superscript"/>
        </w:rPr>
        <w:t>a</w:t>
      </w:r>
      <w:r w:rsidRPr="000717E1">
        <w:t xml:space="preserve"> Cost of the pack ($</w:t>
      </w:r>
      <w:r w:rsidR="00331ADA" w:rsidRPr="00331ADA">
        <w:rPr>
          <w:sz w:val="2"/>
          <w:highlight w:val="black"/>
        </w:rPr>
        <w:t>redacted content</w:t>
      </w:r>
      <w:r w:rsidRPr="000717E1">
        <w:t>) divided by doses in the pack (2)</w:t>
      </w:r>
    </w:p>
    <w:p w14:paraId="3E8F09D9" w14:textId="60C91024" w:rsidR="00AC64A4" w:rsidRPr="000717E1" w:rsidRDefault="00AC64A4" w:rsidP="004F04F1">
      <w:pPr>
        <w:pStyle w:val="FooterTableFigure"/>
        <w:keepNext/>
      </w:pPr>
      <w:r w:rsidRPr="000717E1">
        <w:rPr>
          <w:vertAlign w:val="superscript"/>
        </w:rPr>
        <w:t>b</w:t>
      </w:r>
      <w:r w:rsidRPr="000717E1">
        <w:t xml:space="preserve"> 1 dose every 14 days = 2.17 doses per month (30.41 days per month)</w:t>
      </w:r>
    </w:p>
    <w:p w14:paraId="10799E21" w14:textId="544128F6" w:rsidR="00AC64A4" w:rsidRPr="000717E1" w:rsidRDefault="00AC64A4" w:rsidP="004F04F1">
      <w:pPr>
        <w:pStyle w:val="FooterTableFigure"/>
        <w:keepNext/>
      </w:pPr>
      <w:r w:rsidRPr="000717E1">
        <w:rPr>
          <w:vertAlign w:val="superscript"/>
        </w:rPr>
        <w:t>c</w:t>
      </w:r>
      <w:r w:rsidRPr="000717E1">
        <w:t xml:space="preserve"> Doses per month x 12</w:t>
      </w:r>
    </w:p>
    <w:p w14:paraId="24B418BA" w14:textId="1102B216" w:rsidR="00AC64A4" w:rsidRPr="000717E1" w:rsidRDefault="00AC64A4" w:rsidP="004F04F1">
      <w:pPr>
        <w:pStyle w:val="FooterTableFigure"/>
        <w:keepNext/>
      </w:pPr>
      <w:r w:rsidRPr="000717E1">
        <w:rPr>
          <w:vertAlign w:val="superscript"/>
        </w:rPr>
        <w:t>d</w:t>
      </w:r>
      <w:r w:rsidRPr="000717E1">
        <w:t xml:space="preserve"> Reported in trials (p60 of the submission)</w:t>
      </w:r>
    </w:p>
    <w:p w14:paraId="4AA28AB9" w14:textId="6416B3E7" w:rsidR="00C7373F" w:rsidRPr="000717E1" w:rsidRDefault="00AC64A4" w:rsidP="004F04F1">
      <w:pPr>
        <w:pStyle w:val="FooterTableFigure"/>
        <w:keepNext/>
      </w:pPr>
      <w:proofErr w:type="spellStart"/>
      <w:r w:rsidRPr="000717E1">
        <w:rPr>
          <w:vertAlign w:val="superscript"/>
        </w:rPr>
        <w:t>e</w:t>
      </w:r>
      <w:proofErr w:type="spellEnd"/>
      <w:r w:rsidRPr="000717E1">
        <w:t xml:space="preserve"> mean duration 332.83 days</w:t>
      </w:r>
    </w:p>
    <w:p w14:paraId="33209EF5" w14:textId="4DF64FB5" w:rsidR="00AC64A4" w:rsidRPr="000717E1" w:rsidRDefault="00AC64A4" w:rsidP="004F04F1">
      <w:pPr>
        <w:pStyle w:val="FooterTableFigure"/>
        <w:keepNext/>
      </w:pPr>
      <w:r w:rsidRPr="000717E1">
        <w:rPr>
          <w:vertAlign w:val="superscript"/>
        </w:rPr>
        <w:t>f</w:t>
      </w:r>
      <w:r w:rsidRPr="000717E1">
        <w:t xml:space="preserve"> Cost per dose x doses per month</w:t>
      </w:r>
    </w:p>
    <w:p w14:paraId="057EE0D1" w14:textId="791349DB" w:rsidR="00AC64A4" w:rsidRPr="000717E1" w:rsidRDefault="00AC64A4" w:rsidP="004F04F1">
      <w:pPr>
        <w:pStyle w:val="FooterTableFigure"/>
        <w:keepNext/>
      </w:pPr>
      <w:r w:rsidRPr="000717E1">
        <w:rPr>
          <w:vertAlign w:val="superscript"/>
        </w:rPr>
        <w:t>g</w:t>
      </w:r>
      <w:r w:rsidRPr="000717E1">
        <w:t xml:space="preserve"> Cost per dose x doses per year x compliance</w:t>
      </w:r>
    </w:p>
    <w:p w14:paraId="6F837429" w14:textId="03724ED6" w:rsidR="00AC64A4" w:rsidRPr="000717E1" w:rsidRDefault="00AC64A4" w:rsidP="004F04F1">
      <w:pPr>
        <w:pStyle w:val="FooterTableFigure"/>
        <w:keepNext/>
      </w:pPr>
      <w:r w:rsidRPr="000717E1">
        <w:rPr>
          <w:vertAlign w:val="superscript"/>
        </w:rPr>
        <w:t>h</w:t>
      </w:r>
      <w:r w:rsidRPr="000717E1">
        <w:t xml:space="preserve"> Submission’s assumption</w:t>
      </w:r>
    </w:p>
    <w:p w14:paraId="6D19DDFD" w14:textId="2543BDCD" w:rsidR="000E55FE" w:rsidRPr="000717E1" w:rsidRDefault="00AC64A4" w:rsidP="004F04F1">
      <w:pPr>
        <w:pStyle w:val="FooterTableFigure"/>
        <w:keepNext/>
      </w:pPr>
      <w:r w:rsidRPr="000717E1">
        <w:rPr>
          <w:vertAlign w:val="superscript"/>
        </w:rPr>
        <w:t>i</w:t>
      </w:r>
      <w:r w:rsidRPr="000717E1">
        <w:t xml:space="preserve"> </w:t>
      </w:r>
      <w:r w:rsidR="00834BAB" w:rsidRPr="000717E1">
        <w:t>Duration in the trial period (0.96 years) + Duration in the Markov period (3.21 years) - Undiscounted</w:t>
      </w:r>
    </w:p>
    <w:p w14:paraId="210C389D" w14:textId="4078C455" w:rsidR="00AC64A4" w:rsidRPr="000717E1" w:rsidRDefault="00C418B4" w:rsidP="004F04F1">
      <w:pPr>
        <w:pStyle w:val="FooterTableFigure"/>
        <w:keepNext/>
      </w:pPr>
      <w:r>
        <w:rPr>
          <w:vertAlign w:val="superscript"/>
        </w:rPr>
        <w:t>j</w:t>
      </w:r>
      <w:r w:rsidR="002919DB" w:rsidRPr="000717E1">
        <w:rPr>
          <w:vertAlign w:val="superscript"/>
        </w:rPr>
        <w:t xml:space="preserve"> </w:t>
      </w:r>
      <w:r w:rsidR="00AC64A4" w:rsidRPr="000717E1">
        <w:t>Formulation of triple therapy used in the key trials is not known</w:t>
      </w:r>
    </w:p>
    <w:p w14:paraId="6CE4B247" w14:textId="44FB5278" w:rsidR="00AC64A4" w:rsidRPr="000717E1" w:rsidRDefault="00C418B4" w:rsidP="004F04F1">
      <w:pPr>
        <w:pStyle w:val="FooterTableFigure"/>
        <w:keepNext/>
      </w:pPr>
      <w:r>
        <w:rPr>
          <w:vertAlign w:val="superscript"/>
        </w:rPr>
        <w:t>k</w:t>
      </w:r>
      <w:r w:rsidR="00AC64A4" w:rsidRPr="000717E1">
        <w:t xml:space="preserve"> Three different PBS listed triple therapy formulations were considered in the submission. It is not possible to present the combined doses</w:t>
      </w:r>
    </w:p>
    <w:p w14:paraId="1C98466E" w14:textId="5E52BF6A" w:rsidR="00AC64A4" w:rsidRPr="000717E1" w:rsidRDefault="00FA2C80" w:rsidP="004F04F1">
      <w:pPr>
        <w:pStyle w:val="FooterTableFigure"/>
        <w:keepNext/>
      </w:pPr>
      <w:r>
        <w:rPr>
          <w:vertAlign w:val="superscript"/>
        </w:rPr>
        <w:t>l</w:t>
      </w:r>
      <w:r w:rsidR="00B44F8A" w:rsidRPr="000717E1">
        <w:rPr>
          <w:vertAlign w:val="superscript"/>
        </w:rPr>
        <w:t xml:space="preserve"> </w:t>
      </w:r>
      <w:r w:rsidR="006E42D4" w:rsidRPr="000717E1">
        <w:t>Duration in the trial period (0.94 years) + Duration in the Markov period (6.45 years) - Undiscounted</w:t>
      </w:r>
    </w:p>
    <w:p w14:paraId="18D2AE86" w14:textId="62FCA201" w:rsidR="00AC64A4" w:rsidRPr="000717E1" w:rsidRDefault="00FA2C80" w:rsidP="004F04F1">
      <w:pPr>
        <w:pStyle w:val="FooterTableFigure"/>
        <w:keepNext/>
      </w:pPr>
      <w:r>
        <w:rPr>
          <w:vertAlign w:val="superscript"/>
        </w:rPr>
        <w:t>m</w:t>
      </w:r>
      <w:r w:rsidR="00AC64A4" w:rsidRPr="000717E1">
        <w:t xml:space="preserve"> Weighted cost of fixed dose triple therapy formulations listed on PBS (Cell G:23, ‘Drug </w:t>
      </w:r>
      <w:proofErr w:type="spellStart"/>
      <w:r w:rsidR="00AC64A4" w:rsidRPr="000717E1">
        <w:t>Acqu</w:t>
      </w:r>
      <w:proofErr w:type="spellEnd"/>
      <w:r w:rsidR="00AC64A4" w:rsidRPr="000717E1">
        <w:t xml:space="preserve"> and Admin’ worksheet of the economic model workbook)</w:t>
      </w:r>
    </w:p>
    <w:p w14:paraId="405AF1B3" w14:textId="548C2F42" w:rsidR="00440413" w:rsidRPr="000717E1" w:rsidRDefault="00FA2C80" w:rsidP="004F04F1">
      <w:pPr>
        <w:pStyle w:val="FooterTableFigure"/>
        <w:keepNext/>
      </w:pPr>
      <w:r>
        <w:rPr>
          <w:vertAlign w:val="superscript"/>
        </w:rPr>
        <w:t>n</w:t>
      </w:r>
      <w:r w:rsidR="00440413" w:rsidRPr="000717E1">
        <w:rPr>
          <w:vertAlign w:val="superscript"/>
        </w:rPr>
        <w:t xml:space="preserve"> </w:t>
      </w:r>
      <w:r w:rsidR="00675153" w:rsidRPr="000717E1">
        <w:t>Financial estimates did not include the cost of triple therapy</w:t>
      </w:r>
    </w:p>
    <w:p w14:paraId="6991EE31" w14:textId="0F78A136" w:rsidR="00AC64A4" w:rsidRPr="000717E1" w:rsidRDefault="00AC64A4" w:rsidP="00AC64A4">
      <w:pPr>
        <w:pStyle w:val="3-BodyText"/>
      </w:pPr>
      <w:bookmarkStart w:id="89" w:name="_Hlk107307804"/>
      <w:r w:rsidRPr="000717E1">
        <w:t>The annual cost of dupilumab is $</w:t>
      </w:r>
      <w:r w:rsidR="00331ADA" w:rsidRPr="00331ADA">
        <w:rPr>
          <w:sz w:val="2"/>
          <w:highlight w:val="black"/>
        </w:rPr>
        <w:t>redacted content</w:t>
      </w:r>
      <w:r w:rsidRPr="000717E1">
        <w:t xml:space="preserve"> based on the effective price ($</w:t>
      </w:r>
      <w:r w:rsidR="00331ADA" w:rsidRPr="00331ADA">
        <w:rPr>
          <w:sz w:val="2"/>
          <w:highlight w:val="black"/>
        </w:rPr>
        <w:t>redacted content</w:t>
      </w:r>
      <w:r w:rsidRPr="000717E1">
        <w:t xml:space="preserve">/28 x 365.25) assuming 100% compliance. The dose applied in the economic model and the financial estimates was consistent with the trial dose. The annual cost of </w:t>
      </w:r>
      <w:r w:rsidRPr="000717E1">
        <w:rPr>
          <w:rFonts w:eastAsia="Calibri" w:cstheme="minorHAnsi"/>
        </w:rPr>
        <w:t xml:space="preserve">triple inhaled therapy </w:t>
      </w:r>
      <w:r w:rsidRPr="000717E1">
        <w:t xml:space="preserve">in the model and the financial estimates was calculated as the weighted average of three triple inhaled therapies currently listed on the PBS (11379X – 63.1%, 12468F – 20.9%, 12672Y – 16.0%). The weights were estimated based on the market share of the respective triple inhaled therapies currently listed on the PBS. </w:t>
      </w:r>
      <w:bookmarkEnd w:id="89"/>
    </w:p>
    <w:p w14:paraId="599CC56E" w14:textId="77777777" w:rsidR="00AC64A4" w:rsidRPr="000717E1" w:rsidRDefault="00AC64A4" w:rsidP="00AC64A4">
      <w:pPr>
        <w:pStyle w:val="4-SubsectionHeading"/>
      </w:pPr>
      <w:bookmarkStart w:id="90" w:name="_Toc22897647"/>
      <w:bookmarkStart w:id="91" w:name="_Toc202884181"/>
      <w:bookmarkStart w:id="92" w:name="_Toc216468729"/>
      <w:bookmarkStart w:id="93" w:name="_Toc219880047"/>
      <w:bookmarkStart w:id="94" w:name="_Toc22897648"/>
      <w:bookmarkStart w:id="95" w:name="_Toc202884182"/>
      <w:bookmarkStart w:id="96" w:name="_Toc216468730"/>
      <w:bookmarkEnd w:id="67"/>
      <w:bookmarkEnd w:id="68"/>
      <w:bookmarkEnd w:id="69"/>
      <w:r w:rsidRPr="000717E1">
        <w:t>Estimated PBS usage &amp; financial implications</w:t>
      </w:r>
      <w:bookmarkEnd w:id="90"/>
      <w:bookmarkEnd w:id="91"/>
      <w:bookmarkEnd w:id="92"/>
      <w:bookmarkEnd w:id="93"/>
    </w:p>
    <w:p w14:paraId="501E3D13" w14:textId="10BABFD0" w:rsidR="00BE3BAB" w:rsidRPr="000717E1" w:rsidRDefault="00BE3BAB" w:rsidP="00BE3BAB">
      <w:pPr>
        <w:pStyle w:val="3-BodyText"/>
        <w:rPr>
          <w:rFonts w:eastAsia="Calibri" w:cstheme="minorHAnsi"/>
        </w:rPr>
      </w:pPr>
      <w:bookmarkStart w:id="97" w:name="_Toc219880048"/>
      <w:bookmarkEnd w:id="94"/>
      <w:bookmarkEnd w:id="95"/>
      <w:bookmarkEnd w:id="96"/>
      <w:r w:rsidRPr="001F3F0F">
        <w:rPr>
          <w:iCs/>
          <w:lang w:eastAsia="en-US"/>
        </w:rPr>
        <w:t xml:space="preserve">This submission </w:t>
      </w:r>
      <w:r w:rsidR="002F662A">
        <w:rPr>
          <w:iCs/>
          <w:lang w:eastAsia="en-US"/>
        </w:rPr>
        <w:t>was</w:t>
      </w:r>
      <w:r w:rsidRPr="001F3F0F">
        <w:rPr>
          <w:iCs/>
          <w:lang w:eastAsia="en-US"/>
        </w:rPr>
        <w:t xml:space="preserve"> jointly considered by DUSC and ESC</w:t>
      </w:r>
      <w:r w:rsidRPr="000717E1">
        <w:rPr>
          <w:lang w:eastAsia="en-US"/>
        </w:rPr>
        <w:t>.</w:t>
      </w:r>
    </w:p>
    <w:p w14:paraId="07A9C013" w14:textId="6B210AEE" w:rsidR="00445769" w:rsidRPr="000717E1" w:rsidRDefault="00445769" w:rsidP="00445769">
      <w:pPr>
        <w:pStyle w:val="3-BodyText"/>
        <w:rPr>
          <w:lang w:eastAsia="en-US"/>
        </w:rPr>
      </w:pPr>
      <w:r w:rsidRPr="000717E1">
        <w:rPr>
          <w:lang w:eastAsia="en-US"/>
        </w:rPr>
        <w:t xml:space="preserve">The submission used both epidemiological </w:t>
      </w:r>
      <w:r w:rsidR="00566889" w:rsidRPr="000717E1">
        <w:rPr>
          <w:lang w:eastAsia="en-US"/>
        </w:rPr>
        <w:t xml:space="preserve">sources </w:t>
      </w:r>
      <w:r w:rsidRPr="000717E1">
        <w:rPr>
          <w:lang w:eastAsia="en-US"/>
        </w:rPr>
        <w:t>and</w:t>
      </w:r>
      <w:r w:rsidR="004237DF" w:rsidRPr="000717E1">
        <w:rPr>
          <w:lang w:eastAsia="en-US"/>
        </w:rPr>
        <w:t xml:space="preserve"> </w:t>
      </w:r>
      <w:r w:rsidRPr="000717E1">
        <w:rPr>
          <w:lang w:eastAsia="en-US"/>
        </w:rPr>
        <w:t xml:space="preserve">PBS 10% sample data to estimate the number of patients eligible for treatment with dupilumab. </w:t>
      </w:r>
      <w:r w:rsidRPr="000717E1">
        <w:t xml:space="preserve">The submission stated that the epidemiological approach underestimated the number of people on triple therapy compared to the PBS 10% sample and applied an average of the two approaches in the base case. </w:t>
      </w:r>
      <w:r w:rsidRPr="001F3F0F">
        <w:rPr>
          <w:rFonts w:cs="Calibri"/>
          <w:iCs/>
        </w:rPr>
        <w:t>T</w:t>
      </w:r>
      <w:r w:rsidR="006533F7" w:rsidRPr="001F3F0F">
        <w:rPr>
          <w:rFonts w:cs="Calibri"/>
          <w:iCs/>
        </w:rPr>
        <w:t>he evaluation considered</w:t>
      </w:r>
      <w:r w:rsidR="006533F7" w:rsidRPr="000717E1">
        <w:rPr>
          <w:rFonts w:cs="Calibri"/>
        </w:rPr>
        <w:t xml:space="preserve"> t</w:t>
      </w:r>
      <w:r w:rsidRPr="000717E1">
        <w:rPr>
          <w:rFonts w:cs="Calibri"/>
        </w:rPr>
        <w:t>his methodology unconventional and likely to overestimate the eligible population.</w:t>
      </w:r>
      <w:r w:rsidRPr="000717E1">
        <w:t xml:space="preserve"> The submission tested the impact of using only one of the approaches in a sensitivity analysis.</w:t>
      </w:r>
      <w:r w:rsidR="00925CCE" w:rsidRPr="001F3F0F">
        <w:rPr>
          <w:iCs/>
        </w:rPr>
        <w:t xml:space="preserve"> The PSCR stated that the two approaches to estimate the number of people on triple therapy were broadly consistent, and an average of the two was proposed as the most </w:t>
      </w:r>
      <w:r w:rsidR="00925CCE" w:rsidRPr="001F3F0F">
        <w:rPr>
          <w:iCs/>
        </w:rPr>
        <w:lastRenderedPageBreak/>
        <w:t xml:space="preserve">reasonable estimate, while the sponsor acknowledged that some uncertainty remains, they considered that the base case presented provides robust estimates based on the best available data. </w:t>
      </w:r>
      <w:r w:rsidR="00925CCE" w:rsidRPr="001F3F0F" w:rsidDel="002B560E">
        <w:rPr>
          <w:iCs/>
        </w:rPr>
        <w:t xml:space="preserve">The Sub-Committees considered that the estimates derived from the use of the epidemiological </w:t>
      </w:r>
      <w:r w:rsidR="00A85FAB" w:rsidRPr="001F3F0F">
        <w:rPr>
          <w:iCs/>
        </w:rPr>
        <w:t xml:space="preserve">sources </w:t>
      </w:r>
      <w:r w:rsidR="00925CCE" w:rsidRPr="001F3F0F" w:rsidDel="002B560E">
        <w:rPr>
          <w:iCs/>
        </w:rPr>
        <w:t xml:space="preserve">and </w:t>
      </w:r>
      <w:r w:rsidR="00E429FD" w:rsidRPr="001F3F0F">
        <w:rPr>
          <w:iCs/>
        </w:rPr>
        <w:t>the PBS data</w:t>
      </w:r>
      <w:r w:rsidR="00925CCE" w:rsidRPr="001F3F0F" w:rsidDel="002B560E">
        <w:rPr>
          <w:iCs/>
        </w:rPr>
        <w:t xml:space="preserve"> were </w:t>
      </w:r>
      <w:r w:rsidR="00B043DE" w:rsidRPr="001F3F0F">
        <w:rPr>
          <w:iCs/>
        </w:rPr>
        <w:t>uncertain</w:t>
      </w:r>
      <w:r w:rsidR="003015A8" w:rsidRPr="001F3F0F">
        <w:rPr>
          <w:iCs/>
        </w:rPr>
        <w:t xml:space="preserve"> and considered that a</w:t>
      </w:r>
      <w:r w:rsidR="0053356A" w:rsidRPr="001F3F0F">
        <w:rPr>
          <w:iCs/>
        </w:rPr>
        <w:t xml:space="preserve">n </w:t>
      </w:r>
      <w:r w:rsidR="003015A8" w:rsidRPr="001F3F0F">
        <w:rPr>
          <w:iCs/>
        </w:rPr>
        <w:t xml:space="preserve">approach based on the </w:t>
      </w:r>
      <w:r w:rsidR="00485392" w:rsidRPr="001F3F0F">
        <w:rPr>
          <w:iCs/>
        </w:rPr>
        <w:t>a</w:t>
      </w:r>
      <w:r w:rsidR="002021D3" w:rsidRPr="001F3F0F">
        <w:rPr>
          <w:iCs/>
        </w:rPr>
        <w:t xml:space="preserve">ctual treated </w:t>
      </w:r>
      <w:r w:rsidR="003015A8" w:rsidRPr="001F3F0F">
        <w:rPr>
          <w:iCs/>
        </w:rPr>
        <w:t>prevalent population would provide more certain estimates</w:t>
      </w:r>
      <w:r w:rsidR="00B6674B" w:rsidRPr="001F3F0F">
        <w:rPr>
          <w:iCs/>
        </w:rPr>
        <w:t>.</w:t>
      </w:r>
    </w:p>
    <w:p w14:paraId="476369F0" w14:textId="0DDF1255" w:rsidR="008572C5" w:rsidRPr="000717E1" w:rsidRDefault="00445769" w:rsidP="0060791D">
      <w:pPr>
        <w:pStyle w:val="3-BodyText"/>
        <w:numPr>
          <w:ilvl w:val="1"/>
          <w:numId w:val="6"/>
        </w:numPr>
      </w:pPr>
      <w:r w:rsidRPr="000717E1">
        <w:t>The key inputs used to estimate the utilisation of dupilumab are presented in</w:t>
      </w:r>
      <w:r w:rsidR="008572C5" w:rsidRPr="000717E1">
        <w:rPr>
          <w:lang w:eastAsia="en-US"/>
        </w:rPr>
        <w:t xml:space="preserve"> </w:t>
      </w:r>
      <w:r w:rsidR="00070FF8" w:rsidRPr="000717E1">
        <w:fldChar w:fldCharType="begin"/>
      </w:r>
      <w:r w:rsidR="00070FF8" w:rsidRPr="000717E1">
        <w:instrText xml:space="preserve"> REF _Ref221787230 \h  \* MERGEFORMAT </w:instrText>
      </w:r>
      <w:r w:rsidR="00070FF8" w:rsidRPr="000717E1">
        <w:fldChar w:fldCharType="separate"/>
      </w:r>
      <w:r w:rsidR="00281F45" w:rsidRPr="00281F45">
        <w:t>Table</w:t>
      </w:r>
      <w:r w:rsidR="00B02446">
        <w:t> </w:t>
      </w:r>
      <w:r w:rsidR="00281F45" w:rsidRPr="00281F45">
        <w:t>17</w:t>
      </w:r>
      <w:r w:rsidR="00070FF8" w:rsidRPr="000717E1">
        <w:fldChar w:fldCharType="end"/>
      </w:r>
      <w:r w:rsidR="00070FF8" w:rsidRPr="000717E1">
        <w:t>.</w:t>
      </w:r>
    </w:p>
    <w:p w14:paraId="57A4BEFC" w14:textId="773DA83B" w:rsidR="00445769" w:rsidRPr="000717E1" w:rsidRDefault="008572C5" w:rsidP="008572C5">
      <w:pPr>
        <w:pStyle w:val="3-BodyText"/>
        <w:keepNext/>
        <w:numPr>
          <w:ilvl w:val="0"/>
          <w:numId w:val="0"/>
        </w:numPr>
        <w:rPr>
          <w:rStyle w:val="CommentReference"/>
          <w:rFonts w:asciiTheme="minorHAnsi" w:hAnsiTheme="minorHAnsi"/>
          <w:b w:val="0"/>
          <w:sz w:val="24"/>
          <w:szCs w:val="22"/>
          <w:lang w:eastAsia="en-US"/>
        </w:rPr>
      </w:pPr>
      <w:bookmarkStart w:id="98" w:name="_Ref221787230"/>
      <w:r w:rsidRPr="000717E1">
        <w:rPr>
          <w:rStyle w:val="CommentReference"/>
          <w:rFonts w:eastAsia="Times New Roman" w:cs="Arial"/>
          <w:bCs/>
          <w:szCs w:val="24"/>
        </w:rPr>
        <w:t xml:space="preserve">Table </w:t>
      </w:r>
      <w:r w:rsidRPr="000717E1">
        <w:rPr>
          <w:rStyle w:val="CommentReference"/>
          <w:rFonts w:eastAsia="Times New Roman" w:cs="Arial"/>
          <w:bCs/>
          <w:szCs w:val="24"/>
        </w:rPr>
        <w:fldChar w:fldCharType="begin"/>
      </w:r>
      <w:r w:rsidRPr="000717E1">
        <w:rPr>
          <w:rStyle w:val="CommentReference"/>
          <w:rFonts w:eastAsia="Times New Roman" w:cs="Arial"/>
          <w:bCs/>
          <w:szCs w:val="24"/>
        </w:rPr>
        <w:instrText xml:space="preserve"> SEQ Table \* ARABIC </w:instrText>
      </w:r>
      <w:r w:rsidRPr="000717E1">
        <w:rPr>
          <w:rStyle w:val="CommentReference"/>
          <w:rFonts w:eastAsia="Times New Roman" w:cs="Arial"/>
          <w:bCs/>
          <w:szCs w:val="24"/>
        </w:rPr>
        <w:fldChar w:fldCharType="separate"/>
      </w:r>
      <w:r w:rsidR="00281F45">
        <w:rPr>
          <w:rStyle w:val="CommentReference"/>
          <w:rFonts w:eastAsia="Times New Roman" w:cs="Arial"/>
          <w:bCs/>
          <w:noProof/>
          <w:szCs w:val="24"/>
        </w:rPr>
        <w:t>17</w:t>
      </w:r>
      <w:r w:rsidRPr="000717E1">
        <w:rPr>
          <w:rStyle w:val="CommentReference"/>
          <w:rFonts w:eastAsia="Times New Roman" w:cs="Arial"/>
          <w:bCs/>
          <w:szCs w:val="24"/>
        </w:rPr>
        <w:fldChar w:fldCharType="end"/>
      </w:r>
      <w:bookmarkEnd w:id="98"/>
      <w:r w:rsidRPr="000717E1">
        <w:rPr>
          <w:rStyle w:val="CommentReference"/>
          <w:rFonts w:eastAsia="Times New Roman" w:cs="Arial"/>
          <w:bCs/>
          <w:szCs w:val="24"/>
        </w:rPr>
        <w:t xml:space="preserve">: </w:t>
      </w:r>
      <w:r w:rsidR="00445769" w:rsidRPr="000717E1">
        <w:rPr>
          <w:rStyle w:val="CommentReference"/>
          <w:rFonts w:eastAsia="Times New Roman" w:cs="Arial"/>
          <w:bCs/>
          <w:szCs w:val="24"/>
        </w:rPr>
        <w:t>Key</w:t>
      </w:r>
      <w:r w:rsidR="00445769" w:rsidRPr="000717E1">
        <w:rPr>
          <w:rStyle w:val="CommentReference"/>
          <w:szCs w:val="24"/>
        </w:rPr>
        <w:t xml:space="preserve">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Caption w:val="Table 17: Key inputs for financial estimates"/>
      </w:tblPr>
      <w:tblGrid>
        <w:gridCol w:w="1837"/>
        <w:gridCol w:w="1986"/>
        <w:gridCol w:w="1842"/>
        <w:gridCol w:w="3345"/>
      </w:tblGrid>
      <w:tr w:rsidR="00342349" w:rsidRPr="000717E1" w14:paraId="568B1F2D" w14:textId="77777777" w:rsidTr="00B77713">
        <w:trPr>
          <w:tblHeader/>
        </w:trPr>
        <w:tc>
          <w:tcPr>
            <w:tcW w:w="1020" w:type="pct"/>
            <w:vAlign w:val="center"/>
          </w:tcPr>
          <w:p w14:paraId="55A698E0" w14:textId="77777777" w:rsidR="00775EFA" w:rsidRPr="000717E1" w:rsidRDefault="00775EFA" w:rsidP="00775EFA">
            <w:pPr>
              <w:keepNext/>
              <w:keepLines/>
              <w:ind w:left="174" w:hanging="174"/>
              <w:jc w:val="center"/>
              <w:rPr>
                <w:rFonts w:ascii="Arial Narrow" w:eastAsiaTheme="majorEastAsia" w:hAnsi="Arial Narrow" w:cs="Times New Roman"/>
                <w:b/>
                <w:sz w:val="20"/>
                <w:szCs w:val="20"/>
              </w:rPr>
            </w:pPr>
            <w:r w:rsidRPr="000717E1">
              <w:rPr>
                <w:rFonts w:ascii="Arial Narrow" w:eastAsiaTheme="majorEastAsia" w:hAnsi="Arial Narrow" w:cs="Times New Roman"/>
                <w:b/>
                <w:sz w:val="20"/>
                <w:szCs w:val="20"/>
              </w:rPr>
              <w:t>Data</w:t>
            </w:r>
          </w:p>
        </w:tc>
        <w:tc>
          <w:tcPr>
            <w:tcW w:w="1102" w:type="pct"/>
            <w:vAlign w:val="center"/>
          </w:tcPr>
          <w:p w14:paraId="7343BF29" w14:textId="77777777" w:rsidR="00775EFA" w:rsidRPr="000717E1" w:rsidRDefault="00775EFA" w:rsidP="00775EFA">
            <w:pPr>
              <w:keepNext/>
              <w:keepLines/>
              <w:ind w:left="174" w:hanging="174"/>
              <w:jc w:val="center"/>
              <w:rPr>
                <w:rFonts w:ascii="Arial Narrow" w:eastAsiaTheme="majorEastAsia" w:hAnsi="Arial Narrow" w:cs="Times New Roman"/>
                <w:b/>
                <w:sz w:val="20"/>
                <w:szCs w:val="20"/>
              </w:rPr>
            </w:pPr>
            <w:r w:rsidRPr="000717E1">
              <w:rPr>
                <w:rFonts w:ascii="Arial Narrow" w:eastAsiaTheme="majorEastAsia" w:hAnsi="Arial Narrow" w:cs="Times New Roman"/>
                <w:b/>
                <w:sz w:val="20"/>
                <w:szCs w:val="20"/>
              </w:rPr>
              <w:t>Value</w:t>
            </w:r>
          </w:p>
        </w:tc>
        <w:tc>
          <w:tcPr>
            <w:tcW w:w="1022" w:type="pct"/>
            <w:vAlign w:val="center"/>
          </w:tcPr>
          <w:p w14:paraId="0909766B" w14:textId="77777777" w:rsidR="00775EFA" w:rsidRPr="000717E1" w:rsidRDefault="00775EFA" w:rsidP="00775EFA">
            <w:pPr>
              <w:keepNext/>
              <w:keepLines/>
              <w:ind w:left="174" w:hanging="174"/>
              <w:jc w:val="center"/>
              <w:rPr>
                <w:rFonts w:ascii="Arial Narrow" w:eastAsiaTheme="majorEastAsia" w:hAnsi="Arial Narrow" w:cs="Times New Roman"/>
                <w:b/>
                <w:sz w:val="20"/>
                <w:szCs w:val="20"/>
              </w:rPr>
            </w:pPr>
            <w:r w:rsidRPr="000717E1">
              <w:rPr>
                <w:rFonts w:ascii="Arial Narrow" w:eastAsiaTheme="majorEastAsia" w:hAnsi="Arial Narrow" w:cs="Times New Roman"/>
                <w:b/>
                <w:sz w:val="20"/>
                <w:szCs w:val="20"/>
              </w:rPr>
              <w:t>Source</w:t>
            </w:r>
          </w:p>
        </w:tc>
        <w:tc>
          <w:tcPr>
            <w:tcW w:w="1856" w:type="pct"/>
            <w:vAlign w:val="center"/>
          </w:tcPr>
          <w:p w14:paraId="4B109759" w14:textId="727DAB41" w:rsidR="00775EFA" w:rsidRPr="000717E1" w:rsidRDefault="00775EFA" w:rsidP="00775EFA">
            <w:pPr>
              <w:keepNext/>
              <w:keepLines/>
              <w:ind w:left="174" w:hanging="174"/>
              <w:jc w:val="center"/>
              <w:rPr>
                <w:rFonts w:ascii="Arial Narrow" w:eastAsiaTheme="majorEastAsia" w:hAnsi="Arial Narrow" w:cs="Times New Roman"/>
                <w:b/>
                <w:sz w:val="20"/>
                <w:szCs w:val="20"/>
              </w:rPr>
            </w:pPr>
            <w:r w:rsidRPr="001F3F0F" w:rsidDel="00083B64">
              <w:rPr>
                <w:rFonts w:ascii="Arial Narrow" w:eastAsiaTheme="majorEastAsia" w:hAnsi="Arial Narrow" w:cs="Times New Roman"/>
                <w:b/>
                <w:sz w:val="20"/>
                <w:szCs w:val="20"/>
              </w:rPr>
              <w:t>Comment</w:t>
            </w:r>
          </w:p>
        </w:tc>
      </w:tr>
      <w:tr w:rsidR="008C3527" w:rsidRPr="000717E1" w14:paraId="25843F3B" w14:textId="77777777" w:rsidTr="00D53D4A">
        <w:tc>
          <w:tcPr>
            <w:tcW w:w="5000" w:type="pct"/>
            <w:gridSpan w:val="4"/>
            <w:vAlign w:val="center"/>
          </w:tcPr>
          <w:p w14:paraId="3237E621" w14:textId="77777777" w:rsidR="00775EFA" w:rsidRPr="000717E1" w:rsidRDefault="00775EFA" w:rsidP="00BA74E1">
            <w:pPr>
              <w:keepNext/>
              <w:keepLines/>
              <w:ind w:left="174" w:hanging="174"/>
              <w:rPr>
                <w:rFonts w:ascii="Arial Narrow" w:eastAsiaTheme="majorEastAsia" w:hAnsi="Arial Narrow" w:cs="Times New Roman"/>
                <w:b/>
                <w:sz w:val="20"/>
                <w:szCs w:val="20"/>
              </w:rPr>
            </w:pPr>
            <w:r w:rsidRPr="000717E1">
              <w:rPr>
                <w:rFonts w:ascii="Arial Narrow" w:eastAsiaTheme="majorEastAsia" w:hAnsi="Arial Narrow" w:cs="Times New Roman"/>
                <w:b/>
                <w:sz w:val="20"/>
                <w:szCs w:val="20"/>
              </w:rPr>
              <w:t>Eligible population</w:t>
            </w:r>
          </w:p>
        </w:tc>
      </w:tr>
      <w:tr w:rsidR="008C3527" w:rsidRPr="000717E1" w14:paraId="3E97C124" w14:textId="77777777" w:rsidTr="00D53D4A">
        <w:tc>
          <w:tcPr>
            <w:tcW w:w="5000" w:type="pct"/>
            <w:gridSpan w:val="4"/>
            <w:vAlign w:val="center"/>
          </w:tcPr>
          <w:p w14:paraId="5D7A7999" w14:textId="77777777" w:rsidR="00775EFA" w:rsidRPr="000717E1" w:rsidRDefault="00775EFA" w:rsidP="00BA74E1">
            <w:pPr>
              <w:keepNext/>
              <w:keepLines/>
              <w:ind w:left="174" w:hanging="174"/>
              <w:rPr>
                <w:rFonts w:ascii="Arial Narrow" w:eastAsiaTheme="majorEastAsia" w:hAnsi="Arial Narrow" w:cs="Times New Roman"/>
                <w:b/>
                <w:sz w:val="20"/>
                <w:szCs w:val="20"/>
              </w:rPr>
            </w:pPr>
            <w:r w:rsidRPr="000717E1">
              <w:rPr>
                <w:rFonts w:ascii="Arial Narrow" w:eastAsiaTheme="majorEastAsia" w:hAnsi="Arial Narrow" w:cs="Times New Roman"/>
                <w:b/>
                <w:sz w:val="20"/>
                <w:szCs w:val="20"/>
              </w:rPr>
              <w:t>Epidemiological approach</w:t>
            </w:r>
          </w:p>
        </w:tc>
      </w:tr>
      <w:tr w:rsidR="001429A4" w:rsidRPr="000717E1" w14:paraId="4FF37886" w14:textId="77777777" w:rsidTr="00B77713">
        <w:tc>
          <w:tcPr>
            <w:tcW w:w="1020" w:type="pct"/>
          </w:tcPr>
          <w:p w14:paraId="5ED964C2" w14:textId="77777777" w:rsidR="00775EFA" w:rsidRPr="000717E1" w:rsidRDefault="00775EFA" w:rsidP="00B77713">
            <w:pPr>
              <w:jc w:val="left"/>
              <w:rPr>
                <w:rFonts w:ascii="Arial Narrow" w:eastAsiaTheme="majorEastAsia" w:hAnsi="Arial Narrow" w:cstheme="majorBidi"/>
                <w:sz w:val="20"/>
                <w:szCs w:val="20"/>
              </w:rPr>
            </w:pPr>
            <w:r w:rsidRPr="000717E1">
              <w:rPr>
                <w:rFonts w:ascii="Arial Narrow" w:eastAsiaTheme="majorEastAsia" w:hAnsi="Arial Narrow" w:cstheme="majorBidi"/>
                <w:sz w:val="20"/>
                <w:szCs w:val="20"/>
              </w:rPr>
              <w:t>Australian population aged 35 years and older</w:t>
            </w:r>
          </w:p>
        </w:tc>
        <w:tc>
          <w:tcPr>
            <w:tcW w:w="1102" w:type="pct"/>
          </w:tcPr>
          <w:p w14:paraId="54FB48C8" w14:textId="77777777" w:rsidR="00775EFA" w:rsidRPr="000717E1" w:rsidRDefault="00775EFA" w:rsidP="00B77713">
            <w:pPr>
              <w:jc w:val="left"/>
              <w:rPr>
                <w:rFonts w:ascii="Arial Narrow" w:eastAsiaTheme="majorEastAsia" w:hAnsi="Arial Narrow" w:cstheme="majorBidi"/>
                <w:bCs/>
                <w:sz w:val="20"/>
                <w:szCs w:val="20"/>
              </w:rPr>
            </w:pPr>
            <w:r w:rsidRPr="000717E1">
              <w:rPr>
                <w:rFonts w:ascii="Arial Narrow" w:eastAsiaTheme="majorEastAsia" w:hAnsi="Arial Narrow" w:cstheme="majorBidi"/>
                <w:bCs/>
                <w:sz w:val="20"/>
                <w:szCs w:val="20"/>
              </w:rPr>
              <w:t xml:space="preserve">Yr 1: 15,572,275 to </w:t>
            </w:r>
          </w:p>
          <w:p w14:paraId="4724067C" w14:textId="77777777" w:rsidR="00775EFA" w:rsidRPr="000717E1" w:rsidRDefault="00775EFA" w:rsidP="00B77713">
            <w:pPr>
              <w:jc w:val="left"/>
              <w:rPr>
                <w:rFonts w:ascii="Arial Narrow" w:eastAsiaTheme="majorEastAsia" w:hAnsi="Arial Narrow" w:cstheme="majorBidi"/>
                <w:sz w:val="20"/>
                <w:szCs w:val="20"/>
              </w:rPr>
            </w:pPr>
            <w:r w:rsidRPr="000717E1">
              <w:rPr>
                <w:rFonts w:ascii="Arial Narrow" w:eastAsiaTheme="majorEastAsia" w:hAnsi="Arial Narrow" w:cstheme="majorBidi"/>
                <w:sz w:val="20"/>
                <w:szCs w:val="20"/>
              </w:rPr>
              <w:t>Yr 6: 16,962,091</w:t>
            </w:r>
          </w:p>
        </w:tc>
        <w:tc>
          <w:tcPr>
            <w:tcW w:w="1022" w:type="pct"/>
          </w:tcPr>
          <w:p w14:paraId="4C19971E" w14:textId="77777777" w:rsidR="00775EFA" w:rsidRPr="000717E1" w:rsidRDefault="00775EFA" w:rsidP="00B77713">
            <w:pPr>
              <w:jc w:val="left"/>
              <w:rPr>
                <w:rFonts w:ascii="Arial Narrow" w:eastAsiaTheme="majorEastAsia" w:hAnsi="Arial Narrow" w:cstheme="majorBidi"/>
                <w:sz w:val="20"/>
                <w:szCs w:val="20"/>
              </w:rPr>
            </w:pPr>
            <w:r w:rsidRPr="000717E1">
              <w:rPr>
                <w:rFonts w:ascii="Arial Narrow" w:eastAsiaTheme="majorEastAsia" w:hAnsi="Arial Narrow" w:cstheme="majorBidi"/>
                <w:sz w:val="20"/>
                <w:szCs w:val="20"/>
              </w:rPr>
              <w:t>ABS 3222.0 – medium series</w:t>
            </w:r>
          </w:p>
        </w:tc>
        <w:tc>
          <w:tcPr>
            <w:tcW w:w="1856" w:type="pct"/>
          </w:tcPr>
          <w:p w14:paraId="0CC72C19" w14:textId="54E572F2" w:rsidR="00775EFA" w:rsidRPr="000717E1" w:rsidRDefault="009A080A" w:rsidP="00B77713">
            <w:pPr>
              <w:jc w:val="left"/>
              <w:rPr>
                <w:rFonts w:ascii="Arial Narrow" w:eastAsiaTheme="majorEastAsia" w:hAnsi="Arial Narrow" w:cstheme="majorBidi"/>
                <w:sz w:val="20"/>
                <w:szCs w:val="20"/>
              </w:rPr>
            </w:pPr>
            <w:r w:rsidRPr="001F3F0F">
              <w:rPr>
                <w:rFonts w:ascii="Arial Narrow" w:eastAsiaTheme="majorEastAsia" w:hAnsi="Arial Narrow" w:cstheme="majorBidi"/>
                <w:iCs/>
                <w:sz w:val="20"/>
                <w:szCs w:val="20"/>
              </w:rPr>
              <w:t xml:space="preserve">The Sub-Committees considered this </w:t>
            </w:r>
            <w:r w:rsidR="007B032E" w:rsidRPr="001F3F0F">
              <w:rPr>
                <w:rFonts w:ascii="Arial Narrow" w:eastAsiaTheme="majorEastAsia" w:hAnsi="Arial Narrow" w:cstheme="majorBidi"/>
                <w:iCs/>
                <w:sz w:val="20"/>
                <w:szCs w:val="20"/>
              </w:rPr>
              <w:t xml:space="preserve">was </w:t>
            </w:r>
            <w:r w:rsidRPr="001F3F0F">
              <w:rPr>
                <w:rFonts w:ascii="Arial Narrow" w:eastAsiaTheme="majorEastAsia" w:hAnsi="Arial Narrow" w:cstheme="majorBidi"/>
                <w:iCs/>
                <w:sz w:val="20"/>
                <w:szCs w:val="20"/>
              </w:rPr>
              <w:t>reasonable.</w:t>
            </w:r>
          </w:p>
        </w:tc>
      </w:tr>
      <w:tr w:rsidR="001429A4" w:rsidRPr="000717E1" w14:paraId="383D15F3" w14:textId="77777777" w:rsidTr="00B77713">
        <w:tc>
          <w:tcPr>
            <w:tcW w:w="1020" w:type="pct"/>
          </w:tcPr>
          <w:p w14:paraId="4A63846C" w14:textId="77777777" w:rsidR="00775EFA" w:rsidRPr="000717E1" w:rsidRDefault="00775EFA" w:rsidP="00B77713">
            <w:pPr>
              <w:jc w:val="left"/>
              <w:rPr>
                <w:rFonts w:ascii="Arial Narrow" w:eastAsiaTheme="majorEastAsia" w:hAnsi="Arial Narrow" w:cstheme="majorBidi"/>
                <w:sz w:val="20"/>
                <w:szCs w:val="20"/>
              </w:rPr>
            </w:pPr>
            <w:r w:rsidRPr="000717E1">
              <w:rPr>
                <w:rFonts w:ascii="Arial Narrow" w:eastAsiaTheme="majorEastAsia" w:hAnsi="Arial Narrow" w:cstheme="majorBidi"/>
                <w:sz w:val="20"/>
                <w:szCs w:val="20"/>
              </w:rPr>
              <w:t>Prevalence of treated COPD in Australia for people aged 35 years and older</w:t>
            </w:r>
          </w:p>
        </w:tc>
        <w:tc>
          <w:tcPr>
            <w:tcW w:w="1102" w:type="pct"/>
          </w:tcPr>
          <w:p w14:paraId="66DBF19B" w14:textId="2715E182" w:rsidR="00D94FA5" w:rsidRPr="000717E1" w:rsidRDefault="00775EFA" w:rsidP="00B77713">
            <w:pPr>
              <w:jc w:val="left"/>
              <w:rPr>
                <w:rFonts w:ascii="Arial Narrow" w:eastAsiaTheme="majorEastAsia" w:hAnsi="Arial Narrow" w:cstheme="majorBidi"/>
                <w:sz w:val="20"/>
                <w:szCs w:val="20"/>
              </w:rPr>
            </w:pPr>
            <w:r w:rsidRPr="000717E1">
              <w:rPr>
                <w:rFonts w:ascii="Arial Narrow" w:eastAsiaTheme="majorEastAsia" w:hAnsi="Arial Narrow" w:cstheme="majorBidi"/>
                <w:sz w:val="20"/>
                <w:szCs w:val="20"/>
              </w:rPr>
              <w:t>2.7%</w:t>
            </w:r>
          </w:p>
        </w:tc>
        <w:tc>
          <w:tcPr>
            <w:tcW w:w="1022" w:type="pct"/>
          </w:tcPr>
          <w:p w14:paraId="1ED0C75D" w14:textId="77777777" w:rsidR="00775EFA" w:rsidRPr="000717E1" w:rsidRDefault="00775EFA" w:rsidP="00B77713">
            <w:pPr>
              <w:jc w:val="left"/>
              <w:rPr>
                <w:rFonts w:ascii="Arial Narrow" w:eastAsiaTheme="majorEastAsia" w:hAnsi="Arial Narrow" w:cstheme="majorBidi"/>
                <w:bCs/>
                <w:sz w:val="20"/>
                <w:szCs w:val="20"/>
              </w:rPr>
            </w:pPr>
            <w:r w:rsidRPr="000717E1">
              <w:rPr>
                <w:rFonts w:ascii="Arial Narrow" w:eastAsiaTheme="majorEastAsia" w:hAnsi="Arial Narrow" w:cstheme="majorBidi"/>
                <w:bCs/>
                <w:sz w:val="20"/>
                <w:szCs w:val="20"/>
              </w:rPr>
              <w:t>AIHW 2023a (NIHSI multi-source prevalence of COPD)</w:t>
            </w:r>
          </w:p>
        </w:tc>
        <w:tc>
          <w:tcPr>
            <w:tcW w:w="1856" w:type="pct"/>
          </w:tcPr>
          <w:p w14:paraId="4A7CFE85" w14:textId="7AC62F43" w:rsidR="00775EFA" w:rsidRPr="000717E1" w:rsidRDefault="007B032E" w:rsidP="00B77713">
            <w:pPr>
              <w:jc w:val="left"/>
              <w:rPr>
                <w:rFonts w:ascii="Arial Narrow" w:eastAsiaTheme="majorEastAsia" w:hAnsi="Arial Narrow" w:cstheme="majorBidi"/>
                <w:sz w:val="20"/>
                <w:szCs w:val="20"/>
              </w:rPr>
            </w:pPr>
            <w:r w:rsidRPr="001F3F0F">
              <w:rPr>
                <w:rFonts w:ascii="Arial Narrow" w:eastAsiaTheme="majorEastAsia" w:hAnsi="Arial Narrow" w:cstheme="majorBidi"/>
                <w:iCs/>
                <w:sz w:val="20"/>
                <w:szCs w:val="20"/>
              </w:rPr>
              <w:t>The Sub-Committees considered this was reasonable.</w:t>
            </w:r>
          </w:p>
        </w:tc>
      </w:tr>
      <w:tr w:rsidR="001429A4" w:rsidRPr="000717E1" w14:paraId="48AEEEC4" w14:textId="77777777" w:rsidTr="00B77713">
        <w:tc>
          <w:tcPr>
            <w:tcW w:w="1020" w:type="pct"/>
          </w:tcPr>
          <w:p w14:paraId="1A7FD8C1" w14:textId="77777777" w:rsidR="00775EFA" w:rsidRPr="000717E1" w:rsidRDefault="00775EFA" w:rsidP="00B77713">
            <w:pPr>
              <w:jc w:val="left"/>
              <w:rPr>
                <w:rFonts w:ascii="Arial Narrow" w:eastAsiaTheme="majorEastAsia" w:hAnsi="Arial Narrow" w:cstheme="majorBidi"/>
                <w:sz w:val="20"/>
                <w:szCs w:val="20"/>
              </w:rPr>
            </w:pPr>
            <w:r w:rsidRPr="000717E1">
              <w:rPr>
                <w:rFonts w:ascii="Arial Narrow" w:eastAsiaTheme="majorEastAsia" w:hAnsi="Arial Narrow" w:cstheme="majorBidi"/>
                <w:sz w:val="20"/>
                <w:szCs w:val="20"/>
              </w:rPr>
              <w:t>Proportion of patients with moderate or severe COPD</w:t>
            </w:r>
          </w:p>
        </w:tc>
        <w:tc>
          <w:tcPr>
            <w:tcW w:w="1102" w:type="pct"/>
          </w:tcPr>
          <w:p w14:paraId="35AB36E9" w14:textId="5CA6C321" w:rsidR="00775EFA" w:rsidRPr="00766874" w:rsidRDefault="00775EFA" w:rsidP="00B77713">
            <w:pPr>
              <w:jc w:val="left"/>
              <w:rPr>
                <w:rFonts w:ascii="Arial Narrow" w:eastAsiaTheme="majorEastAsia" w:hAnsi="Arial Narrow" w:cstheme="majorBidi"/>
                <w:sz w:val="20"/>
                <w:szCs w:val="20"/>
              </w:rPr>
            </w:pPr>
            <w:r w:rsidRPr="00766874">
              <w:rPr>
                <w:rFonts w:ascii="Arial Narrow" w:eastAsiaTheme="majorEastAsia" w:hAnsi="Arial Narrow" w:cstheme="majorBidi"/>
                <w:sz w:val="20"/>
                <w:szCs w:val="20"/>
              </w:rPr>
              <w:t xml:space="preserve">Moderate – </w:t>
            </w:r>
            <w:r w:rsidR="00331ADA" w:rsidRPr="00331ADA">
              <w:rPr>
                <w:rFonts w:ascii="Arial Narrow" w:eastAsiaTheme="majorEastAsia" w:hAnsi="Arial Narrow" w:cstheme="majorBidi"/>
                <w:sz w:val="2"/>
                <w:szCs w:val="20"/>
                <w:highlight w:val="black"/>
              </w:rPr>
              <w:t>redacted content</w:t>
            </w:r>
            <w:r w:rsidRPr="00766874">
              <w:rPr>
                <w:rFonts w:ascii="Arial Narrow" w:eastAsiaTheme="majorEastAsia" w:hAnsi="Arial Narrow" w:cstheme="majorBidi"/>
                <w:sz w:val="20"/>
                <w:szCs w:val="20"/>
              </w:rPr>
              <w:t>%</w:t>
            </w:r>
            <w:r w:rsidR="00B93D3D" w:rsidRPr="00766874">
              <w:rPr>
                <w:rFonts w:ascii="Arial Narrow" w:eastAsiaTheme="majorEastAsia" w:hAnsi="Arial Narrow" w:cstheme="majorBidi"/>
                <w:sz w:val="20"/>
                <w:szCs w:val="20"/>
              </w:rPr>
              <w:t xml:space="preserve"> </w:t>
            </w:r>
          </w:p>
          <w:p w14:paraId="04665779" w14:textId="70775BFE" w:rsidR="00775EFA" w:rsidRPr="000717E1" w:rsidRDefault="00775EFA" w:rsidP="00B77713">
            <w:pPr>
              <w:jc w:val="left"/>
              <w:rPr>
                <w:rFonts w:ascii="Arial Narrow" w:eastAsiaTheme="majorEastAsia" w:hAnsi="Arial Narrow" w:cstheme="majorBidi"/>
                <w:sz w:val="20"/>
                <w:szCs w:val="20"/>
              </w:rPr>
            </w:pPr>
            <w:r w:rsidRPr="00766874">
              <w:rPr>
                <w:rFonts w:ascii="Arial Narrow" w:eastAsiaTheme="majorEastAsia" w:hAnsi="Arial Narrow" w:cstheme="majorBidi"/>
                <w:sz w:val="20"/>
                <w:szCs w:val="20"/>
              </w:rPr>
              <w:t xml:space="preserve">Severe – </w:t>
            </w:r>
            <w:r w:rsidR="00331ADA" w:rsidRPr="00331ADA">
              <w:rPr>
                <w:rFonts w:ascii="Arial Narrow" w:eastAsiaTheme="majorEastAsia" w:hAnsi="Arial Narrow" w:cstheme="majorBidi"/>
                <w:sz w:val="2"/>
                <w:szCs w:val="20"/>
                <w:highlight w:val="black"/>
              </w:rPr>
              <w:t>redacted content</w:t>
            </w:r>
            <w:r w:rsidRPr="00766874">
              <w:rPr>
                <w:rFonts w:ascii="Arial Narrow" w:eastAsiaTheme="majorEastAsia" w:hAnsi="Arial Narrow" w:cstheme="majorBidi"/>
                <w:sz w:val="20"/>
                <w:szCs w:val="20"/>
              </w:rPr>
              <w:t>%</w:t>
            </w:r>
          </w:p>
        </w:tc>
        <w:tc>
          <w:tcPr>
            <w:tcW w:w="1022" w:type="pct"/>
          </w:tcPr>
          <w:p w14:paraId="653673BA" w14:textId="77777777" w:rsidR="00775EFA" w:rsidRPr="000717E1" w:rsidRDefault="00775EFA" w:rsidP="00B77713">
            <w:pPr>
              <w:jc w:val="left"/>
              <w:rPr>
                <w:rFonts w:ascii="Arial Narrow" w:eastAsiaTheme="majorEastAsia" w:hAnsi="Arial Narrow" w:cstheme="majorBidi"/>
                <w:sz w:val="20"/>
                <w:szCs w:val="20"/>
              </w:rPr>
            </w:pPr>
            <w:r w:rsidRPr="000717E1">
              <w:rPr>
                <w:rFonts w:ascii="Arial Narrow" w:eastAsiaTheme="majorEastAsia" w:hAnsi="Arial Narrow" w:cstheme="majorBidi"/>
                <w:sz w:val="20"/>
                <w:szCs w:val="20"/>
              </w:rPr>
              <w:t>METIS survey – Sponsor commissioned clinician survey of 100 GPs and 46 Respiratory Physicians</w:t>
            </w:r>
          </w:p>
        </w:tc>
        <w:tc>
          <w:tcPr>
            <w:tcW w:w="1856" w:type="pct"/>
          </w:tcPr>
          <w:p w14:paraId="3810AE3A" w14:textId="3B12A91B" w:rsidR="00775EFA" w:rsidRPr="000717E1" w:rsidRDefault="00775EFA" w:rsidP="00B77713">
            <w:pPr>
              <w:jc w:val="left"/>
              <w:rPr>
                <w:rFonts w:ascii="Arial Narrow" w:eastAsiaTheme="majorEastAsia" w:hAnsi="Arial Narrow" w:cstheme="majorBidi"/>
                <w:sz w:val="20"/>
                <w:szCs w:val="20"/>
              </w:rPr>
            </w:pPr>
            <w:r w:rsidRPr="000717E1">
              <w:rPr>
                <w:rFonts w:ascii="Arial Narrow" w:eastAsiaTheme="majorEastAsia" w:hAnsi="Arial Narrow" w:cstheme="majorBidi"/>
                <w:sz w:val="20"/>
                <w:szCs w:val="20"/>
              </w:rPr>
              <w:t>GPs and Respiratory physicians were asked to report what proportion of their patients would qualify as having mild</w:t>
            </w:r>
            <w:r w:rsidR="00A77024" w:rsidRPr="000717E1">
              <w:rPr>
                <w:rFonts w:ascii="Arial Narrow" w:eastAsiaTheme="majorEastAsia" w:hAnsi="Arial Narrow" w:cstheme="majorBidi"/>
                <w:sz w:val="20"/>
                <w:szCs w:val="20"/>
              </w:rPr>
              <w:t>,</w:t>
            </w:r>
            <w:r w:rsidRPr="000717E1">
              <w:rPr>
                <w:rFonts w:ascii="Arial Narrow" w:eastAsiaTheme="majorEastAsia" w:hAnsi="Arial Narrow" w:cstheme="majorBidi"/>
                <w:sz w:val="20"/>
                <w:szCs w:val="20"/>
              </w:rPr>
              <w:t xml:space="preserve"> moderate or severe COPD based on COPD-X definitions. </w:t>
            </w:r>
            <w:r w:rsidR="00402C32">
              <w:rPr>
                <w:rFonts w:ascii="Arial Narrow" w:eastAsiaTheme="majorEastAsia" w:hAnsi="Arial Narrow" w:cstheme="majorBidi"/>
                <w:sz w:val="20"/>
                <w:szCs w:val="20"/>
              </w:rPr>
              <w:t>The evaluators considered i</w:t>
            </w:r>
            <w:r w:rsidRPr="000717E1">
              <w:rPr>
                <w:rFonts w:ascii="Arial Narrow" w:eastAsiaTheme="majorEastAsia" w:hAnsi="Arial Narrow" w:cstheme="majorBidi"/>
                <w:sz w:val="20"/>
                <w:szCs w:val="20"/>
              </w:rPr>
              <w:t xml:space="preserve">t </w:t>
            </w:r>
            <w:r w:rsidR="00402C32">
              <w:rPr>
                <w:rFonts w:ascii="Arial Narrow" w:eastAsiaTheme="majorEastAsia" w:hAnsi="Arial Narrow" w:cstheme="majorBidi"/>
                <w:sz w:val="20"/>
                <w:szCs w:val="20"/>
              </w:rPr>
              <w:t>wa</w:t>
            </w:r>
            <w:r w:rsidRPr="000717E1">
              <w:rPr>
                <w:rFonts w:ascii="Arial Narrow" w:eastAsiaTheme="majorEastAsia" w:hAnsi="Arial Narrow" w:cstheme="majorBidi"/>
                <w:sz w:val="20"/>
                <w:szCs w:val="20"/>
              </w:rPr>
              <w:t>s not clear if the p</w:t>
            </w:r>
            <w:r w:rsidR="0022434D" w:rsidRPr="000717E1">
              <w:rPr>
                <w:rFonts w:ascii="Arial Narrow" w:eastAsiaTheme="majorEastAsia" w:hAnsi="Arial Narrow" w:cstheme="majorBidi"/>
                <w:sz w:val="20"/>
                <w:szCs w:val="20"/>
              </w:rPr>
              <w:t>articipant</w:t>
            </w:r>
            <w:r w:rsidR="00592593" w:rsidRPr="000717E1">
              <w:rPr>
                <w:rFonts w:ascii="Arial Narrow" w:eastAsiaTheme="majorEastAsia" w:hAnsi="Arial Narrow" w:cstheme="majorBidi"/>
                <w:sz w:val="20"/>
                <w:szCs w:val="20"/>
              </w:rPr>
              <w:t xml:space="preserve"> feedback</w:t>
            </w:r>
            <w:r w:rsidRPr="000717E1">
              <w:rPr>
                <w:rFonts w:ascii="Arial Narrow" w:eastAsiaTheme="majorEastAsia" w:hAnsi="Arial Narrow" w:cstheme="majorBidi"/>
                <w:sz w:val="20"/>
                <w:szCs w:val="20"/>
              </w:rPr>
              <w:t xml:space="preserve"> in METIS survey was representative of all COPD patients in Australia.</w:t>
            </w:r>
          </w:p>
          <w:p w14:paraId="5640AA75" w14:textId="77777777" w:rsidR="008F2AC8" w:rsidRPr="000717E1" w:rsidRDefault="008F2AC8" w:rsidP="00B77713">
            <w:pPr>
              <w:jc w:val="left"/>
              <w:rPr>
                <w:rFonts w:ascii="Arial Narrow" w:eastAsiaTheme="majorEastAsia" w:hAnsi="Arial Narrow" w:cstheme="majorBidi"/>
                <w:sz w:val="20"/>
                <w:szCs w:val="20"/>
              </w:rPr>
            </w:pPr>
          </w:p>
          <w:p w14:paraId="007FFA38" w14:textId="3D7EACA8" w:rsidR="00775EFA" w:rsidRPr="000717E1" w:rsidRDefault="00DE1DBC" w:rsidP="00B77713">
            <w:pPr>
              <w:jc w:val="left"/>
              <w:rPr>
                <w:rFonts w:ascii="Arial Narrow" w:eastAsiaTheme="majorEastAsia" w:hAnsi="Arial Narrow" w:cstheme="majorBidi"/>
                <w:sz w:val="20"/>
                <w:szCs w:val="20"/>
              </w:rPr>
            </w:pPr>
            <w:r w:rsidRPr="001F3F0F">
              <w:rPr>
                <w:rFonts w:ascii="Arial Narrow" w:eastAsiaTheme="majorEastAsia" w:hAnsi="Arial Narrow" w:cstheme="majorBidi"/>
                <w:iCs/>
                <w:sz w:val="20"/>
                <w:szCs w:val="20"/>
              </w:rPr>
              <w:t xml:space="preserve">The Sub-Committees agreed with the </w:t>
            </w:r>
            <w:r w:rsidR="00BF53FF" w:rsidRPr="001F3F0F">
              <w:rPr>
                <w:rFonts w:ascii="Arial Narrow" w:eastAsiaTheme="majorEastAsia" w:hAnsi="Arial Narrow" w:cstheme="majorBidi"/>
                <w:iCs/>
                <w:sz w:val="20"/>
                <w:szCs w:val="20"/>
              </w:rPr>
              <w:t>evaluation</w:t>
            </w:r>
            <w:r w:rsidRPr="001F3F0F">
              <w:rPr>
                <w:rFonts w:ascii="Arial Narrow" w:eastAsiaTheme="majorEastAsia" w:hAnsi="Arial Narrow" w:cstheme="majorBidi"/>
                <w:iCs/>
                <w:sz w:val="20"/>
                <w:szCs w:val="20"/>
              </w:rPr>
              <w:t xml:space="preserve"> and considered that this estimate was uncertain.</w:t>
            </w:r>
          </w:p>
        </w:tc>
      </w:tr>
      <w:tr w:rsidR="001429A4" w:rsidRPr="000717E1" w14:paraId="51CB912F" w14:textId="77777777" w:rsidTr="00B77713">
        <w:tc>
          <w:tcPr>
            <w:tcW w:w="1020" w:type="pct"/>
          </w:tcPr>
          <w:p w14:paraId="7A0AA66C" w14:textId="77777777" w:rsidR="00775EFA" w:rsidRPr="000717E1" w:rsidRDefault="00775EFA" w:rsidP="00B77713">
            <w:pPr>
              <w:jc w:val="left"/>
              <w:rPr>
                <w:rFonts w:ascii="Arial Narrow" w:eastAsiaTheme="majorEastAsia" w:hAnsi="Arial Narrow" w:cstheme="majorBidi"/>
                <w:sz w:val="20"/>
                <w:szCs w:val="20"/>
              </w:rPr>
            </w:pPr>
            <w:r w:rsidRPr="000717E1">
              <w:rPr>
                <w:rFonts w:ascii="Arial Narrow" w:eastAsiaTheme="majorEastAsia" w:hAnsi="Arial Narrow" w:cstheme="majorBidi"/>
                <w:sz w:val="20"/>
                <w:szCs w:val="20"/>
              </w:rPr>
              <w:t>Proportion of patients with moderate or severe COPD on triple therapy</w:t>
            </w:r>
          </w:p>
        </w:tc>
        <w:tc>
          <w:tcPr>
            <w:tcW w:w="1102" w:type="pct"/>
          </w:tcPr>
          <w:p w14:paraId="059F8502" w14:textId="60CC2A42" w:rsidR="00775EFA" w:rsidRPr="000717E1" w:rsidRDefault="00775EFA" w:rsidP="00B77713">
            <w:pPr>
              <w:jc w:val="left"/>
              <w:rPr>
                <w:rFonts w:ascii="Arial Narrow" w:eastAsiaTheme="majorEastAsia" w:hAnsi="Arial Narrow" w:cstheme="majorBidi"/>
                <w:sz w:val="20"/>
                <w:szCs w:val="20"/>
              </w:rPr>
            </w:pPr>
            <w:r w:rsidRPr="000717E1">
              <w:rPr>
                <w:rFonts w:ascii="Arial Narrow" w:eastAsiaTheme="majorEastAsia" w:hAnsi="Arial Narrow" w:cstheme="majorBidi"/>
                <w:sz w:val="20"/>
                <w:szCs w:val="20"/>
              </w:rPr>
              <w:t xml:space="preserve">Moderate – </w:t>
            </w:r>
            <w:r w:rsidR="00331ADA" w:rsidRPr="00331ADA">
              <w:rPr>
                <w:rFonts w:ascii="Arial Narrow" w:eastAsiaTheme="majorEastAsia" w:hAnsi="Arial Narrow" w:cstheme="majorBidi"/>
                <w:sz w:val="2"/>
                <w:szCs w:val="20"/>
                <w:highlight w:val="black"/>
              </w:rPr>
              <w:t>redacted content</w:t>
            </w:r>
            <w:r w:rsidRPr="000717E1">
              <w:rPr>
                <w:rFonts w:ascii="Arial Narrow" w:eastAsiaTheme="majorEastAsia" w:hAnsi="Arial Narrow" w:cstheme="majorBidi"/>
                <w:sz w:val="20"/>
                <w:szCs w:val="20"/>
              </w:rPr>
              <w:t>%</w:t>
            </w:r>
          </w:p>
          <w:p w14:paraId="53BE564C" w14:textId="64869E31" w:rsidR="00775EFA" w:rsidRPr="000717E1" w:rsidRDefault="00775EFA" w:rsidP="00B77713">
            <w:pPr>
              <w:jc w:val="left"/>
              <w:rPr>
                <w:rFonts w:ascii="Arial Narrow" w:eastAsiaTheme="majorEastAsia" w:hAnsi="Arial Narrow" w:cstheme="majorBidi"/>
                <w:sz w:val="20"/>
                <w:szCs w:val="20"/>
              </w:rPr>
            </w:pPr>
            <w:r w:rsidRPr="000717E1">
              <w:rPr>
                <w:rFonts w:ascii="Arial Narrow" w:eastAsiaTheme="majorEastAsia" w:hAnsi="Arial Narrow" w:cstheme="majorBidi"/>
                <w:sz w:val="20"/>
                <w:szCs w:val="20"/>
              </w:rPr>
              <w:t xml:space="preserve">Severe – </w:t>
            </w:r>
            <w:r w:rsidR="00331ADA" w:rsidRPr="00331ADA">
              <w:rPr>
                <w:rFonts w:ascii="Arial Narrow" w:eastAsiaTheme="majorEastAsia" w:hAnsi="Arial Narrow" w:cstheme="majorBidi"/>
                <w:sz w:val="2"/>
                <w:szCs w:val="20"/>
                <w:highlight w:val="black"/>
              </w:rPr>
              <w:t>redacted content</w:t>
            </w:r>
            <w:r w:rsidRPr="000717E1">
              <w:rPr>
                <w:rFonts w:ascii="Arial Narrow" w:eastAsiaTheme="majorEastAsia" w:hAnsi="Arial Narrow" w:cstheme="majorBidi"/>
                <w:sz w:val="20"/>
                <w:szCs w:val="20"/>
              </w:rPr>
              <w:t>%</w:t>
            </w:r>
          </w:p>
          <w:p w14:paraId="480180C5" w14:textId="77777777" w:rsidR="00775EFA" w:rsidRPr="000717E1" w:rsidRDefault="00775EFA" w:rsidP="00B77713">
            <w:pPr>
              <w:jc w:val="left"/>
              <w:rPr>
                <w:rFonts w:ascii="Arial Narrow" w:eastAsiaTheme="majorEastAsia" w:hAnsi="Arial Narrow" w:cstheme="majorBidi"/>
                <w:sz w:val="20"/>
                <w:szCs w:val="20"/>
              </w:rPr>
            </w:pPr>
          </w:p>
          <w:p w14:paraId="7CB5D343" w14:textId="45B2908D" w:rsidR="00775EFA" w:rsidRPr="000717E1" w:rsidRDefault="00775EFA" w:rsidP="00B77713">
            <w:pPr>
              <w:jc w:val="left"/>
              <w:rPr>
                <w:rFonts w:ascii="Arial Narrow" w:eastAsiaTheme="majorEastAsia" w:hAnsi="Arial Narrow" w:cstheme="majorBidi"/>
                <w:sz w:val="20"/>
                <w:szCs w:val="20"/>
              </w:rPr>
            </w:pPr>
            <w:r w:rsidRPr="000717E1">
              <w:rPr>
                <w:rFonts w:ascii="Arial Narrow" w:eastAsiaTheme="majorEastAsia" w:hAnsi="Arial Narrow" w:cstheme="majorBidi"/>
                <w:sz w:val="20"/>
                <w:szCs w:val="20"/>
              </w:rPr>
              <w:t xml:space="preserve">With </w:t>
            </w:r>
            <w:r w:rsidRPr="00835D58">
              <w:rPr>
                <w:rFonts w:ascii="Arial Narrow" w:eastAsiaTheme="majorEastAsia" w:hAnsi="Arial Narrow" w:cstheme="majorBidi"/>
                <w:sz w:val="20"/>
                <w:szCs w:val="20"/>
              </w:rPr>
              <w:t xml:space="preserve">growth rate of </w:t>
            </w:r>
            <w:r w:rsidR="00331ADA" w:rsidRPr="00331ADA">
              <w:rPr>
                <w:rFonts w:ascii="Arial Narrow" w:eastAsiaTheme="majorEastAsia" w:hAnsi="Arial Narrow" w:cstheme="majorBidi"/>
                <w:sz w:val="2"/>
                <w:szCs w:val="20"/>
                <w:highlight w:val="black"/>
              </w:rPr>
              <w:t>redacted content</w:t>
            </w:r>
            <w:r w:rsidRPr="00835D58">
              <w:rPr>
                <w:rFonts w:ascii="Arial Narrow" w:eastAsiaTheme="majorEastAsia" w:hAnsi="Arial Narrow" w:cstheme="majorBidi"/>
                <w:sz w:val="20"/>
                <w:szCs w:val="20"/>
              </w:rPr>
              <w:t xml:space="preserve">% - Yr 1 and 2, </w:t>
            </w:r>
            <w:r w:rsidR="00331ADA" w:rsidRPr="00331ADA">
              <w:rPr>
                <w:rFonts w:ascii="Arial Narrow" w:eastAsiaTheme="majorEastAsia" w:hAnsi="Arial Narrow" w:cstheme="majorBidi"/>
                <w:sz w:val="2"/>
                <w:szCs w:val="20"/>
                <w:highlight w:val="black"/>
              </w:rPr>
              <w:t>redacted content</w:t>
            </w:r>
            <w:r w:rsidRPr="00835D58">
              <w:rPr>
                <w:rFonts w:ascii="Arial Narrow" w:eastAsiaTheme="majorEastAsia" w:hAnsi="Arial Narrow" w:cstheme="majorBidi"/>
                <w:sz w:val="20"/>
                <w:szCs w:val="20"/>
              </w:rPr>
              <w:t xml:space="preserve">% - Yr 3, </w:t>
            </w:r>
            <w:r w:rsidR="00331ADA" w:rsidRPr="00331ADA">
              <w:rPr>
                <w:rFonts w:ascii="Arial Narrow" w:eastAsiaTheme="majorEastAsia" w:hAnsi="Arial Narrow" w:cstheme="majorBidi"/>
                <w:sz w:val="2"/>
                <w:szCs w:val="20"/>
                <w:highlight w:val="black"/>
              </w:rPr>
              <w:t>redacted content</w:t>
            </w:r>
            <w:r w:rsidRPr="00835D58">
              <w:rPr>
                <w:rFonts w:ascii="Arial Narrow" w:eastAsiaTheme="majorEastAsia" w:hAnsi="Arial Narrow" w:cstheme="majorBidi"/>
                <w:sz w:val="20"/>
                <w:szCs w:val="20"/>
              </w:rPr>
              <w:t>% - Yr 4, 5, 6</w:t>
            </w:r>
          </w:p>
        </w:tc>
        <w:tc>
          <w:tcPr>
            <w:tcW w:w="1022" w:type="pct"/>
          </w:tcPr>
          <w:p w14:paraId="6676BF67" w14:textId="77777777" w:rsidR="00775EFA" w:rsidRPr="000717E1" w:rsidRDefault="00775EFA" w:rsidP="00B77713">
            <w:pPr>
              <w:jc w:val="left"/>
              <w:rPr>
                <w:rFonts w:ascii="Arial Narrow" w:eastAsiaTheme="majorEastAsia" w:hAnsi="Arial Narrow" w:cstheme="majorBidi"/>
                <w:sz w:val="20"/>
                <w:szCs w:val="20"/>
              </w:rPr>
            </w:pPr>
            <w:r w:rsidRPr="000717E1">
              <w:rPr>
                <w:rFonts w:ascii="Arial Narrow" w:eastAsiaTheme="majorEastAsia" w:hAnsi="Arial Narrow" w:cstheme="majorBidi"/>
                <w:sz w:val="20"/>
                <w:szCs w:val="20"/>
              </w:rPr>
              <w:t>Proportion of patients based on METIS survey.</w:t>
            </w:r>
          </w:p>
          <w:p w14:paraId="7499BB3D" w14:textId="77777777" w:rsidR="00775EFA" w:rsidRPr="000717E1" w:rsidRDefault="00775EFA" w:rsidP="00B77713">
            <w:pPr>
              <w:jc w:val="left"/>
              <w:rPr>
                <w:rFonts w:ascii="Arial Narrow" w:eastAsiaTheme="majorEastAsia" w:hAnsi="Arial Narrow" w:cstheme="majorBidi"/>
                <w:sz w:val="20"/>
                <w:szCs w:val="20"/>
              </w:rPr>
            </w:pPr>
          </w:p>
          <w:p w14:paraId="48B117C8" w14:textId="0AE8C0F5" w:rsidR="00775EFA" w:rsidRPr="000717E1" w:rsidRDefault="00775EFA" w:rsidP="00B77713">
            <w:pPr>
              <w:jc w:val="left"/>
              <w:rPr>
                <w:rFonts w:ascii="Arial Narrow" w:eastAsiaTheme="majorEastAsia" w:hAnsi="Arial Narrow" w:cstheme="majorBidi"/>
                <w:sz w:val="20"/>
                <w:szCs w:val="20"/>
              </w:rPr>
            </w:pPr>
            <w:r w:rsidRPr="000717E1">
              <w:rPr>
                <w:rFonts w:ascii="Arial Narrow" w:eastAsiaTheme="majorEastAsia" w:hAnsi="Arial Narrow" w:cstheme="majorBidi"/>
                <w:sz w:val="20"/>
                <w:szCs w:val="20"/>
              </w:rPr>
              <w:t xml:space="preserve">Growth rate based on PBS 10% sample which indicates a growth in the market with the introduction of </w:t>
            </w:r>
            <w:r w:rsidR="00D92DE9" w:rsidRPr="000717E1">
              <w:rPr>
                <w:rFonts w:ascii="Arial Narrow" w:eastAsiaTheme="majorEastAsia" w:hAnsi="Arial Narrow" w:cstheme="majorBidi"/>
                <w:sz w:val="20"/>
                <w:szCs w:val="20"/>
              </w:rPr>
              <w:t xml:space="preserve">single inhaler </w:t>
            </w:r>
            <w:r w:rsidRPr="000717E1">
              <w:rPr>
                <w:rFonts w:ascii="Arial Narrow" w:eastAsiaTheme="majorEastAsia" w:hAnsi="Arial Narrow" w:cstheme="majorBidi"/>
                <w:sz w:val="20"/>
                <w:szCs w:val="20"/>
              </w:rPr>
              <w:t>FDC triple therapy in 2018.</w:t>
            </w:r>
          </w:p>
        </w:tc>
        <w:tc>
          <w:tcPr>
            <w:tcW w:w="1856" w:type="pct"/>
          </w:tcPr>
          <w:p w14:paraId="3724AE94" w14:textId="011240A2" w:rsidR="00775EFA" w:rsidRPr="000717E1" w:rsidRDefault="00775EFA" w:rsidP="00B77713">
            <w:pPr>
              <w:jc w:val="left"/>
              <w:rPr>
                <w:rFonts w:ascii="Arial Narrow" w:eastAsiaTheme="majorEastAsia" w:hAnsi="Arial Narrow" w:cstheme="majorBidi"/>
                <w:sz w:val="20"/>
                <w:szCs w:val="20"/>
              </w:rPr>
            </w:pPr>
            <w:r w:rsidRPr="000717E1">
              <w:rPr>
                <w:rFonts w:ascii="Arial Narrow" w:eastAsiaTheme="majorEastAsia" w:hAnsi="Arial Narrow" w:cstheme="majorBidi"/>
                <w:sz w:val="20"/>
                <w:szCs w:val="20"/>
              </w:rPr>
              <w:t xml:space="preserve">Triple therapy was assumed to grow at a stable </w:t>
            </w:r>
            <w:r w:rsidRPr="00835D58">
              <w:rPr>
                <w:rFonts w:ascii="Arial Narrow" w:eastAsiaTheme="majorEastAsia" w:hAnsi="Arial Narrow" w:cstheme="majorBidi"/>
                <w:sz w:val="20"/>
                <w:szCs w:val="20"/>
              </w:rPr>
              <w:t xml:space="preserve">rate of </w:t>
            </w:r>
            <w:r w:rsidR="00331ADA" w:rsidRPr="00331ADA">
              <w:rPr>
                <w:rFonts w:ascii="Arial Narrow" w:eastAsiaTheme="majorEastAsia" w:hAnsi="Arial Narrow" w:cstheme="majorBidi"/>
                <w:sz w:val="2"/>
                <w:szCs w:val="20"/>
                <w:highlight w:val="black"/>
              </w:rPr>
              <w:t>redacted content</w:t>
            </w:r>
            <w:r w:rsidRPr="00835D58">
              <w:rPr>
                <w:rFonts w:ascii="Arial Narrow" w:eastAsiaTheme="majorEastAsia" w:hAnsi="Arial Narrow" w:cstheme="majorBidi"/>
                <w:sz w:val="20"/>
                <w:szCs w:val="20"/>
              </w:rPr>
              <w:t>% from</w:t>
            </w:r>
            <w:r w:rsidRPr="000717E1">
              <w:rPr>
                <w:rFonts w:ascii="Arial Narrow" w:eastAsiaTheme="majorEastAsia" w:hAnsi="Arial Narrow" w:cstheme="majorBidi"/>
                <w:sz w:val="20"/>
                <w:szCs w:val="20"/>
              </w:rPr>
              <w:t xml:space="preserve"> Year 4. T</w:t>
            </w:r>
            <w:r w:rsidR="00A35233">
              <w:rPr>
                <w:rFonts w:ascii="Arial Narrow" w:eastAsiaTheme="majorEastAsia" w:hAnsi="Arial Narrow" w:cstheme="majorBidi"/>
                <w:sz w:val="20"/>
                <w:szCs w:val="20"/>
              </w:rPr>
              <w:t>he evaluators considered t</w:t>
            </w:r>
            <w:r w:rsidRPr="000717E1">
              <w:rPr>
                <w:rFonts w:ascii="Arial Narrow" w:eastAsiaTheme="majorEastAsia" w:hAnsi="Arial Narrow" w:cstheme="majorBidi"/>
                <w:sz w:val="20"/>
                <w:szCs w:val="20"/>
              </w:rPr>
              <w:t xml:space="preserve">here </w:t>
            </w:r>
            <w:r w:rsidR="00A35233">
              <w:rPr>
                <w:rFonts w:ascii="Arial Narrow" w:eastAsiaTheme="majorEastAsia" w:hAnsi="Arial Narrow" w:cstheme="majorBidi"/>
                <w:sz w:val="20"/>
                <w:szCs w:val="20"/>
              </w:rPr>
              <w:t>wa</w:t>
            </w:r>
            <w:r w:rsidRPr="000717E1">
              <w:rPr>
                <w:rFonts w:ascii="Arial Narrow" w:eastAsiaTheme="majorEastAsia" w:hAnsi="Arial Narrow" w:cstheme="majorBidi"/>
                <w:sz w:val="20"/>
                <w:szCs w:val="20"/>
              </w:rPr>
              <w:t>s no evidence that this growth will slow down or plateau in future. This makes the magnitude of the estimates uncertain.</w:t>
            </w:r>
          </w:p>
          <w:p w14:paraId="0E5DF0A5" w14:textId="77777777" w:rsidR="00AB4E43" w:rsidRPr="000717E1" w:rsidRDefault="00AB4E43" w:rsidP="00B77713">
            <w:pPr>
              <w:jc w:val="left"/>
              <w:rPr>
                <w:rFonts w:ascii="Arial Narrow" w:eastAsiaTheme="majorEastAsia" w:hAnsi="Arial Narrow" w:cstheme="majorBidi"/>
                <w:sz w:val="20"/>
                <w:szCs w:val="20"/>
              </w:rPr>
            </w:pPr>
          </w:p>
          <w:p w14:paraId="4CEA40FA" w14:textId="0485C9B2" w:rsidR="00775EFA" w:rsidRPr="000717E1" w:rsidRDefault="00AB4E43" w:rsidP="00B77713">
            <w:pPr>
              <w:jc w:val="left"/>
              <w:rPr>
                <w:rFonts w:ascii="Arial Narrow" w:eastAsiaTheme="majorEastAsia" w:hAnsi="Arial Narrow" w:cstheme="majorBidi"/>
                <w:i/>
                <w:iCs/>
                <w:sz w:val="20"/>
                <w:szCs w:val="20"/>
              </w:rPr>
            </w:pPr>
            <w:r w:rsidRPr="001F3F0F">
              <w:rPr>
                <w:rFonts w:ascii="Arial Narrow" w:eastAsiaTheme="majorEastAsia" w:hAnsi="Arial Narrow" w:cstheme="majorBidi"/>
                <w:iCs/>
                <w:sz w:val="20"/>
                <w:szCs w:val="20"/>
              </w:rPr>
              <w:t xml:space="preserve">The Sub-Committees agreed with the </w:t>
            </w:r>
            <w:r w:rsidR="00796497" w:rsidRPr="001F3F0F">
              <w:rPr>
                <w:rFonts w:ascii="Arial Narrow" w:eastAsiaTheme="majorEastAsia" w:hAnsi="Arial Narrow" w:cstheme="majorBidi"/>
                <w:iCs/>
                <w:sz w:val="20"/>
                <w:szCs w:val="20"/>
              </w:rPr>
              <w:t>evaluation</w:t>
            </w:r>
            <w:r w:rsidRPr="001F3F0F">
              <w:rPr>
                <w:rFonts w:ascii="Arial Narrow" w:eastAsiaTheme="majorEastAsia" w:hAnsi="Arial Narrow" w:cstheme="majorBidi"/>
                <w:iCs/>
                <w:sz w:val="20"/>
                <w:szCs w:val="20"/>
              </w:rPr>
              <w:t xml:space="preserve"> and considered that this estimate was uncertain</w:t>
            </w:r>
            <w:r w:rsidRPr="000717E1">
              <w:rPr>
                <w:rFonts w:ascii="Arial Narrow" w:eastAsiaTheme="majorEastAsia" w:hAnsi="Arial Narrow" w:cstheme="majorBidi"/>
                <w:sz w:val="20"/>
                <w:szCs w:val="20"/>
              </w:rPr>
              <w:t>.</w:t>
            </w:r>
            <w:r w:rsidR="0043082E" w:rsidRPr="000717E1">
              <w:rPr>
                <w:rFonts w:ascii="Arial Narrow" w:eastAsiaTheme="majorEastAsia" w:hAnsi="Arial Narrow" w:cstheme="majorBidi"/>
                <w:sz w:val="20"/>
                <w:szCs w:val="20"/>
              </w:rPr>
              <w:t xml:space="preserve"> </w:t>
            </w:r>
            <w:r w:rsidR="006C1D30" w:rsidRPr="001F3F0F">
              <w:rPr>
                <w:rFonts w:ascii="Arial Narrow" w:eastAsiaTheme="majorEastAsia" w:hAnsi="Arial Narrow" w:cstheme="majorBidi"/>
                <w:iCs/>
                <w:sz w:val="20"/>
                <w:szCs w:val="20"/>
              </w:rPr>
              <w:t xml:space="preserve">The Sub-Committees </w:t>
            </w:r>
            <w:r w:rsidR="00072D6F" w:rsidRPr="001F3F0F">
              <w:rPr>
                <w:rFonts w:ascii="Arial Narrow" w:eastAsiaTheme="majorEastAsia" w:hAnsi="Arial Narrow" w:cstheme="majorBidi"/>
                <w:iCs/>
                <w:sz w:val="20"/>
                <w:szCs w:val="20"/>
              </w:rPr>
              <w:t>noted</w:t>
            </w:r>
            <w:r w:rsidR="00E11852" w:rsidRPr="001F3F0F">
              <w:rPr>
                <w:rFonts w:ascii="Arial Narrow" w:eastAsiaTheme="majorEastAsia" w:hAnsi="Arial Narrow" w:cstheme="majorBidi"/>
                <w:iCs/>
                <w:sz w:val="20"/>
                <w:szCs w:val="20"/>
              </w:rPr>
              <w:t xml:space="preserve"> that clinicians in the</w:t>
            </w:r>
            <w:r w:rsidR="00072D6F" w:rsidRPr="001F3F0F">
              <w:rPr>
                <w:rFonts w:ascii="Arial Narrow" w:eastAsiaTheme="majorEastAsia" w:hAnsi="Arial Narrow" w:cstheme="majorBidi"/>
                <w:iCs/>
                <w:sz w:val="20"/>
                <w:szCs w:val="20"/>
              </w:rPr>
              <w:t xml:space="preserve"> METIS survey</w:t>
            </w:r>
            <w:r w:rsidR="00E11852" w:rsidRPr="001F3F0F">
              <w:rPr>
                <w:rFonts w:ascii="Arial Narrow" w:eastAsiaTheme="majorEastAsia" w:hAnsi="Arial Narrow" w:cstheme="majorBidi"/>
                <w:iCs/>
                <w:sz w:val="20"/>
                <w:szCs w:val="20"/>
              </w:rPr>
              <w:t xml:space="preserve"> were </w:t>
            </w:r>
            <w:r w:rsidR="002A1566" w:rsidRPr="001F3F0F">
              <w:rPr>
                <w:rFonts w:ascii="Arial Narrow" w:eastAsiaTheme="majorEastAsia" w:hAnsi="Arial Narrow" w:cstheme="majorBidi"/>
                <w:iCs/>
                <w:sz w:val="20"/>
                <w:szCs w:val="20"/>
              </w:rPr>
              <w:t>asked about patients</w:t>
            </w:r>
            <w:r w:rsidR="00602DE4" w:rsidRPr="001F3F0F">
              <w:rPr>
                <w:rFonts w:ascii="Arial Narrow" w:eastAsiaTheme="majorEastAsia" w:hAnsi="Arial Narrow" w:cstheme="majorBidi"/>
                <w:iCs/>
                <w:sz w:val="20"/>
                <w:szCs w:val="20"/>
              </w:rPr>
              <w:t xml:space="preserve"> not only on triple therapy </w:t>
            </w:r>
            <w:r w:rsidR="00853BC2" w:rsidRPr="001F3F0F">
              <w:rPr>
                <w:rFonts w:ascii="Arial Narrow" w:eastAsiaTheme="majorEastAsia" w:hAnsi="Arial Narrow" w:cstheme="majorBidi"/>
                <w:iCs/>
                <w:sz w:val="20"/>
                <w:szCs w:val="20"/>
              </w:rPr>
              <w:t xml:space="preserve">but also patients </w:t>
            </w:r>
            <w:r w:rsidR="0013279C" w:rsidRPr="001F3F0F">
              <w:rPr>
                <w:rFonts w:ascii="Arial Narrow" w:eastAsiaTheme="majorEastAsia" w:hAnsi="Arial Narrow" w:cstheme="majorBidi"/>
                <w:iCs/>
                <w:sz w:val="20"/>
                <w:szCs w:val="20"/>
              </w:rPr>
              <w:t xml:space="preserve">with dual therapy </w:t>
            </w:r>
            <w:r w:rsidR="003D6BD0" w:rsidRPr="001F3F0F">
              <w:rPr>
                <w:rFonts w:ascii="Arial Narrow" w:eastAsiaTheme="majorEastAsia" w:hAnsi="Arial Narrow" w:cstheme="majorBidi"/>
                <w:iCs/>
                <w:sz w:val="20"/>
                <w:szCs w:val="20"/>
              </w:rPr>
              <w:t xml:space="preserve">(LAMA+LABA if ICS </w:t>
            </w:r>
            <w:r w:rsidR="00626878" w:rsidRPr="001F3F0F">
              <w:rPr>
                <w:rFonts w:ascii="Arial Narrow" w:eastAsiaTheme="majorEastAsia" w:hAnsi="Arial Narrow" w:cstheme="majorBidi"/>
                <w:iCs/>
                <w:sz w:val="20"/>
                <w:szCs w:val="20"/>
              </w:rPr>
              <w:t xml:space="preserve">was </w:t>
            </w:r>
            <w:r w:rsidR="003D6BD0" w:rsidRPr="001F3F0F">
              <w:rPr>
                <w:rFonts w:ascii="Arial Narrow" w:eastAsiaTheme="majorEastAsia" w:hAnsi="Arial Narrow" w:cstheme="majorBidi"/>
                <w:iCs/>
                <w:sz w:val="20"/>
                <w:szCs w:val="20"/>
              </w:rPr>
              <w:t>contraindicated)</w:t>
            </w:r>
            <w:r w:rsidR="002664B8" w:rsidRPr="001F3F0F">
              <w:rPr>
                <w:rFonts w:ascii="Arial Narrow" w:eastAsiaTheme="majorEastAsia" w:hAnsi="Arial Narrow" w:cstheme="majorBidi"/>
                <w:iCs/>
                <w:sz w:val="20"/>
                <w:szCs w:val="20"/>
              </w:rPr>
              <w:t>. The Sub-Committee</w:t>
            </w:r>
            <w:r w:rsidR="006C1D30" w:rsidRPr="001F3F0F">
              <w:rPr>
                <w:rFonts w:ascii="Arial Narrow" w:eastAsiaTheme="majorEastAsia" w:hAnsi="Arial Narrow" w:cstheme="majorBidi"/>
                <w:iCs/>
                <w:sz w:val="20"/>
                <w:szCs w:val="20"/>
              </w:rPr>
              <w:t xml:space="preserve"> considered that the inclusion of</w:t>
            </w:r>
            <w:r w:rsidR="002A1566" w:rsidRPr="001F3F0F">
              <w:rPr>
                <w:rFonts w:ascii="Arial Narrow" w:eastAsiaTheme="majorEastAsia" w:hAnsi="Arial Narrow" w:cstheme="majorBidi"/>
                <w:iCs/>
                <w:sz w:val="20"/>
                <w:szCs w:val="20"/>
              </w:rPr>
              <w:t xml:space="preserve"> </w:t>
            </w:r>
            <w:r w:rsidR="007724D4" w:rsidRPr="001F3F0F">
              <w:rPr>
                <w:rFonts w:ascii="Arial Narrow" w:eastAsiaTheme="majorEastAsia" w:hAnsi="Arial Narrow" w:cstheme="majorBidi"/>
                <w:iCs/>
                <w:sz w:val="20"/>
                <w:szCs w:val="20"/>
              </w:rPr>
              <w:t>dual</w:t>
            </w:r>
            <w:r w:rsidR="006C1D30" w:rsidRPr="001F3F0F">
              <w:rPr>
                <w:rFonts w:ascii="Arial Narrow" w:eastAsiaTheme="majorEastAsia" w:hAnsi="Arial Narrow" w:cstheme="majorBidi"/>
                <w:iCs/>
                <w:sz w:val="20"/>
                <w:szCs w:val="20"/>
              </w:rPr>
              <w:t xml:space="preserve"> therapy due to contraindication of </w:t>
            </w:r>
            <w:r w:rsidR="00125398" w:rsidRPr="001F3F0F">
              <w:rPr>
                <w:rFonts w:ascii="Arial Narrow" w:eastAsiaTheme="majorEastAsia" w:hAnsi="Arial Narrow" w:cstheme="majorBidi"/>
                <w:iCs/>
                <w:sz w:val="20"/>
                <w:szCs w:val="20"/>
              </w:rPr>
              <w:t>ICS</w:t>
            </w:r>
            <w:r w:rsidR="006C1D30" w:rsidRPr="001F3F0F">
              <w:rPr>
                <w:rFonts w:ascii="Arial Narrow" w:eastAsiaTheme="majorEastAsia" w:hAnsi="Arial Narrow" w:cstheme="majorBidi"/>
                <w:iCs/>
                <w:sz w:val="20"/>
                <w:szCs w:val="20"/>
              </w:rPr>
              <w:t xml:space="preserve"> </w:t>
            </w:r>
            <w:r w:rsidR="00522D4C" w:rsidRPr="001F3F0F">
              <w:rPr>
                <w:rFonts w:ascii="Arial Narrow" w:eastAsiaTheme="majorEastAsia" w:hAnsi="Arial Narrow" w:cstheme="majorBidi"/>
                <w:iCs/>
                <w:sz w:val="20"/>
                <w:szCs w:val="20"/>
              </w:rPr>
              <w:t xml:space="preserve">may </w:t>
            </w:r>
            <w:r w:rsidR="006C1D30" w:rsidRPr="001F3F0F">
              <w:rPr>
                <w:rFonts w:ascii="Arial Narrow" w:eastAsiaTheme="majorEastAsia" w:hAnsi="Arial Narrow" w:cstheme="majorBidi"/>
                <w:iCs/>
                <w:sz w:val="20"/>
                <w:szCs w:val="20"/>
              </w:rPr>
              <w:t>lead to an overestimate of patients on triple therapy.</w:t>
            </w:r>
          </w:p>
        </w:tc>
      </w:tr>
      <w:tr w:rsidR="001429A4" w:rsidRPr="000717E1" w14:paraId="4BB6D1CE" w14:textId="77777777" w:rsidTr="00B77713">
        <w:tc>
          <w:tcPr>
            <w:tcW w:w="1020" w:type="pct"/>
          </w:tcPr>
          <w:p w14:paraId="098D942A" w14:textId="77777777" w:rsidR="00775EFA" w:rsidRPr="000717E1" w:rsidRDefault="00775EFA" w:rsidP="00B77713">
            <w:pPr>
              <w:jc w:val="left"/>
              <w:rPr>
                <w:rFonts w:ascii="Arial Narrow" w:eastAsiaTheme="majorEastAsia" w:hAnsi="Arial Narrow" w:cstheme="majorBidi"/>
                <w:sz w:val="20"/>
                <w:szCs w:val="20"/>
              </w:rPr>
            </w:pPr>
            <w:r w:rsidRPr="000717E1">
              <w:rPr>
                <w:rFonts w:ascii="Arial Narrow" w:eastAsiaTheme="majorEastAsia" w:hAnsi="Arial Narrow" w:cstheme="majorBidi"/>
                <w:sz w:val="20"/>
                <w:szCs w:val="20"/>
              </w:rPr>
              <w:t>Serum eosinophils ≥ 300 µL</w:t>
            </w:r>
          </w:p>
        </w:tc>
        <w:tc>
          <w:tcPr>
            <w:tcW w:w="1102" w:type="pct"/>
          </w:tcPr>
          <w:p w14:paraId="1779CBCD" w14:textId="15DBE7DF" w:rsidR="00775EFA" w:rsidRPr="000717E1" w:rsidRDefault="00775EFA" w:rsidP="00B77713">
            <w:pPr>
              <w:jc w:val="left"/>
              <w:rPr>
                <w:rFonts w:ascii="Arial Narrow" w:eastAsiaTheme="majorEastAsia" w:hAnsi="Arial Narrow" w:cstheme="majorBidi"/>
                <w:sz w:val="20"/>
                <w:szCs w:val="20"/>
              </w:rPr>
            </w:pPr>
            <w:r w:rsidRPr="000717E1">
              <w:rPr>
                <w:rFonts w:ascii="Arial Narrow" w:eastAsiaTheme="majorEastAsia" w:hAnsi="Arial Narrow" w:cstheme="majorBidi"/>
                <w:sz w:val="20"/>
                <w:szCs w:val="20"/>
              </w:rPr>
              <w:t>33.7%</w:t>
            </w:r>
          </w:p>
        </w:tc>
        <w:tc>
          <w:tcPr>
            <w:tcW w:w="1022" w:type="pct"/>
          </w:tcPr>
          <w:p w14:paraId="368C4852" w14:textId="77777777" w:rsidR="00775EFA" w:rsidRPr="000717E1" w:rsidRDefault="00775EFA" w:rsidP="00B77713">
            <w:pPr>
              <w:jc w:val="left"/>
              <w:rPr>
                <w:rFonts w:ascii="Arial Narrow" w:eastAsiaTheme="majorEastAsia" w:hAnsi="Arial Narrow" w:cstheme="majorBidi"/>
                <w:sz w:val="20"/>
                <w:szCs w:val="20"/>
              </w:rPr>
            </w:pPr>
            <w:r w:rsidRPr="000717E1">
              <w:rPr>
                <w:rFonts w:ascii="Arial Narrow" w:eastAsiaTheme="majorEastAsia" w:hAnsi="Arial Narrow" w:cstheme="majorBidi"/>
                <w:sz w:val="20"/>
                <w:szCs w:val="20"/>
              </w:rPr>
              <w:t>BOREAS CSR p42</w:t>
            </w:r>
          </w:p>
        </w:tc>
        <w:tc>
          <w:tcPr>
            <w:tcW w:w="1856" w:type="pct"/>
          </w:tcPr>
          <w:p w14:paraId="3EBF4B41" w14:textId="42720DA0" w:rsidR="00775EFA" w:rsidRPr="000717E1" w:rsidRDefault="0063026A" w:rsidP="00B77713">
            <w:pPr>
              <w:jc w:val="left"/>
              <w:rPr>
                <w:rFonts w:ascii="Arial Narrow" w:eastAsiaTheme="majorEastAsia" w:hAnsi="Arial Narrow" w:cstheme="majorBidi"/>
                <w:sz w:val="20"/>
                <w:szCs w:val="20"/>
              </w:rPr>
            </w:pPr>
            <w:r w:rsidRPr="001F3F0F">
              <w:rPr>
                <w:rFonts w:ascii="Arial Narrow" w:eastAsiaTheme="majorEastAsia" w:hAnsi="Arial Narrow" w:cstheme="majorBidi"/>
                <w:iCs/>
                <w:sz w:val="20"/>
                <w:szCs w:val="20"/>
              </w:rPr>
              <w:t xml:space="preserve">The </w:t>
            </w:r>
            <w:r w:rsidR="00E72170" w:rsidRPr="001F3F0F">
              <w:rPr>
                <w:rFonts w:ascii="Arial Narrow" w:eastAsiaTheme="majorEastAsia" w:hAnsi="Arial Narrow" w:cstheme="majorBidi"/>
                <w:iCs/>
                <w:sz w:val="20"/>
                <w:szCs w:val="20"/>
              </w:rPr>
              <w:t xml:space="preserve">Sub-Committees noted that the 33.7% reported in the BOREAS CSR </w:t>
            </w:r>
            <w:r w:rsidR="003469B6" w:rsidRPr="001F3F0F">
              <w:rPr>
                <w:rFonts w:ascii="Arial Narrow" w:eastAsiaTheme="majorEastAsia" w:hAnsi="Arial Narrow" w:cstheme="majorBidi"/>
                <w:iCs/>
                <w:sz w:val="20"/>
                <w:szCs w:val="20"/>
              </w:rPr>
              <w:t xml:space="preserve">is </w:t>
            </w:r>
            <w:r w:rsidR="00662505" w:rsidRPr="001F3F0F">
              <w:rPr>
                <w:rFonts w:ascii="Arial Narrow" w:eastAsiaTheme="majorEastAsia" w:hAnsi="Arial Narrow" w:cstheme="majorBidi"/>
                <w:iCs/>
                <w:sz w:val="20"/>
                <w:szCs w:val="20"/>
              </w:rPr>
              <w:t>the percentage of pa</w:t>
            </w:r>
            <w:r w:rsidR="00C66BE4" w:rsidRPr="001F3F0F">
              <w:rPr>
                <w:rFonts w:ascii="Arial Narrow" w:eastAsiaTheme="majorEastAsia" w:hAnsi="Arial Narrow" w:cstheme="majorBidi"/>
                <w:iCs/>
                <w:sz w:val="20"/>
                <w:szCs w:val="20"/>
              </w:rPr>
              <w:t xml:space="preserve">rticipants who </w:t>
            </w:r>
            <w:r w:rsidR="006C1D35" w:rsidRPr="001F3F0F">
              <w:rPr>
                <w:rFonts w:ascii="Arial Narrow" w:eastAsiaTheme="majorEastAsia" w:hAnsi="Arial Narrow" w:cstheme="majorBidi"/>
                <w:iCs/>
                <w:sz w:val="20"/>
                <w:szCs w:val="20"/>
              </w:rPr>
              <w:t>failed</w:t>
            </w:r>
            <w:r w:rsidR="00A45A60" w:rsidRPr="001F3F0F">
              <w:rPr>
                <w:rFonts w:ascii="Arial Narrow" w:eastAsiaTheme="majorEastAsia" w:hAnsi="Arial Narrow" w:cstheme="majorBidi"/>
                <w:iCs/>
                <w:sz w:val="20"/>
                <w:szCs w:val="20"/>
              </w:rPr>
              <w:t xml:space="preserve"> to meet the </w:t>
            </w:r>
            <w:r w:rsidR="004F5F98" w:rsidRPr="001F3F0F">
              <w:rPr>
                <w:rFonts w:ascii="Arial Narrow" w:eastAsiaTheme="majorEastAsia" w:hAnsi="Arial Narrow" w:cstheme="majorBidi"/>
                <w:iCs/>
                <w:sz w:val="20"/>
                <w:szCs w:val="20"/>
              </w:rPr>
              <w:t>inclusion criteria</w:t>
            </w:r>
            <w:r w:rsidR="00F41BF2" w:rsidRPr="001F3F0F">
              <w:rPr>
                <w:rFonts w:ascii="Arial Narrow" w:eastAsiaTheme="majorEastAsia" w:hAnsi="Arial Narrow" w:cstheme="majorBidi"/>
                <w:iCs/>
                <w:sz w:val="20"/>
                <w:szCs w:val="20"/>
              </w:rPr>
              <w:t xml:space="preserve"> as they did </w:t>
            </w:r>
            <w:r w:rsidR="00B06AA0" w:rsidRPr="001F3F0F">
              <w:rPr>
                <w:rFonts w:ascii="Arial Narrow" w:eastAsiaTheme="majorEastAsia" w:hAnsi="Arial Narrow" w:cstheme="majorBidi"/>
                <w:iCs/>
                <w:sz w:val="20"/>
                <w:szCs w:val="20"/>
              </w:rPr>
              <w:t xml:space="preserve">NOT </w:t>
            </w:r>
            <w:r w:rsidR="00F41BF2" w:rsidRPr="001F3F0F">
              <w:rPr>
                <w:rFonts w:ascii="Arial Narrow" w:eastAsiaTheme="majorEastAsia" w:hAnsi="Arial Narrow" w:cstheme="majorBidi"/>
                <w:iCs/>
                <w:sz w:val="20"/>
                <w:szCs w:val="20"/>
              </w:rPr>
              <w:lastRenderedPageBreak/>
              <w:t>have a</w:t>
            </w:r>
            <w:r w:rsidR="000B446E" w:rsidRPr="001F3F0F">
              <w:rPr>
                <w:rFonts w:ascii="Arial Narrow" w:eastAsiaTheme="majorEastAsia" w:hAnsi="Arial Narrow" w:cstheme="majorBidi"/>
                <w:iCs/>
                <w:sz w:val="20"/>
                <w:szCs w:val="20"/>
              </w:rPr>
              <w:t xml:space="preserve">n </w:t>
            </w:r>
            <w:r w:rsidR="004A52E0">
              <w:rPr>
                <w:rFonts w:ascii="Arial Narrow" w:eastAsiaTheme="majorEastAsia" w:hAnsi="Arial Narrow" w:cstheme="majorBidi"/>
                <w:iCs/>
                <w:sz w:val="20"/>
                <w:szCs w:val="20"/>
              </w:rPr>
              <w:t>BEC</w:t>
            </w:r>
            <w:r w:rsidR="000B446E" w:rsidRPr="001F3F0F">
              <w:rPr>
                <w:rFonts w:ascii="Arial Narrow" w:eastAsiaTheme="majorEastAsia" w:hAnsi="Arial Narrow" w:cstheme="majorBidi"/>
                <w:iCs/>
                <w:sz w:val="20"/>
                <w:szCs w:val="20"/>
              </w:rPr>
              <w:t xml:space="preserve"> ≥ 300 cells/</w:t>
            </w:r>
            <w:proofErr w:type="spellStart"/>
            <w:r w:rsidR="000B446E" w:rsidRPr="001F3F0F">
              <w:rPr>
                <w:rFonts w:ascii="Arial Narrow" w:eastAsiaTheme="majorEastAsia" w:hAnsi="Arial Narrow" w:cstheme="majorBidi"/>
                <w:iCs/>
                <w:sz w:val="20"/>
                <w:szCs w:val="20"/>
              </w:rPr>
              <w:t>μL</w:t>
            </w:r>
            <w:proofErr w:type="spellEnd"/>
            <w:r w:rsidR="00E91642" w:rsidRPr="001F3F0F">
              <w:rPr>
                <w:rFonts w:ascii="Arial Narrow" w:eastAsiaTheme="majorEastAsia" w:hAnsi="Arial Narrow" w:cstheme="majorBidi"/>
                <w:iCs/>
                <w:sz w:val="20"/>
                <w:szCs w:val="20"/>
              </w:rPr>
              <w:t xml:space="preserve"> (</w:t>
            </w:r>
            <w:r w:rsidR="000B446E" w:rsidRPr="001F3F0F">
              <w:rPr>
                <w:rFonts w:ascii="Arial Narrow" w:eastAsiaTheme="majorEastAsia" w:hAnsi="Arial Narrow" w:cstheme="majorBidi"/>
                <w:iCs/>
                <w:sz w:val="20"/>
                <w:szCs w:val="20"/>
              </w:rPr>
              <w:t>Visit 1</w:t>
            </w:r>
            <w:r w:rsidR="00E91642" w:rsidRPr="001F3F0F">
              <w:rPr>
                <w:rFonts w:ascii="Arial Narrow" w:eastAsiaTheme="majorEastAsia" w:hAnsi="Arial Narrow" w:cstheme="majorBidi"/>
                <w:iCs/>
                <w:sz w:val="20"/>
                <w:szCs w:val="20"/>
              </w:rPr>
              <w:t>)</w:t>
            </w:r>
            <w:r w:rsidR="000B446E" w:rsidRPr="001F3F0F">
              <w:rPr>
                <w:rFonts w:ascii="Arial Narrow" w:eastAsiaTheme="majorEastAsia" w:hAnsi="Arial Narrow" w:cstheme="majorBidi"/>
                <w:iCs/>
                <w:sz w:val="20"/>
                <w:szCs w:val="20"/>
              </w:rPr>
              <w:t>.</w:t>
            </w:r>
            <w:r w:rsidR="000B446E" w:rsidRPr="000717E1">
              <w:rPr>
                <w:rFonts w:ascii="Arial Narrow" w:eastAsiaTheme="majorEastAsia" w:hAnsi="Arial Narrow" w:cstheme="majorBidi"/>
                <w:sz w:val="20"/>
                <w:szCs w:val="20"/>
              </w:rPr>
              <w:t xml:space="preserve"> </w:t>
            </w:r>
            <w:r w:rsidR="0015079E" w:rsidRPr="001F3F0F">
              <w:rPr>
                <w:rFonts w:ascii="Arial Narrow" w:eastAsiaTheme="majorEastAsia" w:hAnsi="Arial Narrow" w:cstheme="majorBidi"/>
                <w:iCs/>
                <w:sz w:val="20"/>
                <w:szCs w:val="20"/>
              </w:rPr>
              <w:t xml:space="preserve">As such, the Sub-Committees considered this input </w:t>
            </w:r>
            <w:r w:rsidR="00434070" w:rsidRPr="001F3F0F">
              <w:rPr>
                <w:rFonts w:ascii="Arial Narrow" w:eastAsiaTheme="majorEastAsia" w:hAnsi="Arial Narrow" w:cstheme="majorBidi"/>
                <w:iCs/>
                <w:sz w:val="20"/>
                <w:szCs w:val="20"/>
              </w:rPr>
              <w:t xml:space="preserve">as a baseline </w:t>
            </w:r>
            <w:r w:rsidR="00581B42" w:rsidRPr="001F3F0F">
              <w:rPr>
                <w:rFonts w:ascii="Arial Narrow" w:eastAsiaTheme="majorEastAsia" w:hAnsi="Arial Narrow" w:cstheme="majorBidi"/>
                <w:iCs/>
                <w:sz w:val="20"/>
                <w:szCs w:val="20"/>
              </w:rPr>
              <w:t>measure was</w:t>
            </w:r>
            <w:r w:rsidR="0015079E" w:rsidRPr="001F3F0F">
              <w:rPr>
                <w:rFonts w:ascii="Arial Narrow" w:eastAsiaTheme="majorEastAsia" w:hAnsi="Arial Narrow" w:cstheme="majorBidi"/>
                <w:iCs/>
                <w:sz w:val="20"/>
                <w:szCs w:val="20"/>
              </w:rPr>
              <w:t xml:space="preserve"> not appropriate.</w:t>
            </w:r>
            <w:r w:rsidR="0015079E" w:rsidRPr="000717E1">
              <w:rPr>
                <w:rFonts w:ascii="Arial Narrow" w:eastAsiaTheme="majorEastAsia" w:hAnsi="Arial Narrow" w:cstheme="majorBidi"/>
                <w:sz w:val="20"/>
                <w:szCs w:val="20"/>
              </w:rPr>
              <w:t xml:space="preserve"> </w:t>
            </w:r>
            <w:r w:rsidR="00FE3DC6" w:rsidRPr="001F3F0F">
              <w:rPr>
                <w:rFonts w:ascii="Arial Narrow" w:eastAsiaTheme="majorEastAsia" w:hAnsi="Arial Narrow" w:cstheme="majorBidi"/>
                <w:iCs/>
                <w:sz w:val="20"/>
                <w:szCs w:val="20"/>
              </w:rPr>
              <w:t xml:space="preserve">The Sub-Committees noted that </w:t>
            </w:r>
            <w:r w:rsidR="00E45520" w:rsidRPr="001F3F0F">
              <w:rPr>
                <w:rFonts w:ascii="Arial Narrow" w:eastAsiaTheme="majorEastAsia" w:hAnsi="Arial Narrow" w:cstheme="majorBidi"/>
                <w:iCs/>
                <w:sz w:val="20"/>
                <w:szCs w:val="20"/>
              </w:rPr>
              <w:t>the submission stated</w:t>
            </w:r>
            <w:r w:rsidR="009138D7" w:rsidRPr="001F3F0F">
              <w:rPr>
                <w:rFonts w:ascii="Arial Narrow" w:eastAsiaTheme="majorEastAsia" w:hAnsi="Arial Narrow" w:cstheme="majorBidi"/>
                <w:iCs/>
                <w:sz w:val="20"/>
                <w:szCs w:val="20"/>
              </w:rPr>
              <w:t xml:space="preserve"> th</w:t>
            </w:r>
            <w:r w:rsidR="00DA7F7A" w:rsidRPr="001F3F0F">
              <w:rPr>
                <w:rFonts w:ascii="Arial Narrow" w:eastAsiaTheme="majorEastAsia" w:hAnsi="Arial Narrow" w:cstheme="majorBidi"/>
                <w:iCs/>
                <w:sz w:val="20"/>
                <w:szCs w:val="20"/>
              </w:rPr>
              <w:t xml:space="preserve">at in the peer-review literature estimates </w:t>
            </w:r>
            <w:r w:rsidR="00796F7C" w:rsidRPr="001F3F0F">
              <w:rPr>
                <w:rFonts w:ascii="Arial Narrow" w:eastAsiaTheme="majorEastAsia" w:hAnsi="Arial Narrow" w:cstheme="majorBidi"/>
                <w:iCs/>
                <w:sz w:val="20"/>
                <w:szCs w:val="20"/>
              </w:rPr>
              <w:t>vary from</w:t>
            </w:r>
            <w:r w:rsidR="004D4C1F" w:rsidRPr="001F3F0F">
              <w:rPr>
                <w:rFonts w:ascii="Arial Narrow" w:eastAsiaTheme="majorEastAsia" w:hAnsi="Arial Narrow" w:cstheme="majorBidi"/>
                <w:iCs/>
                <w:sz w:val="20"/>
                <w:szCs w:val="20"/>
              </w:rPr>
              <w:t xml:space="preserve"> 29% to 40%. </w:t>
            </w:r>
            <w:r w:rsidR="00025102" w:rsidRPr="001F3F0F">
              <w:rPr>
                <w:rFonts w:ascii="Arial Narrow" w:eastAsiaTheme="majorEastAsia" w:hAnsi="Arial Narrow" w:cstheme="majorBidi"/>
                <w:iCs/>
                <w:sz w:val="20"/>
                <w:szCs w:val="20"/>
              </w:rPr>
              <w:t>The Sub-Committee also noted that the submission used the results of an Australian study of COPD in outpatient clinic</w:t>
            </w:r>
            <w:r w:rsidR="00DA0398" w:rsidRPr="001F3F0F">
              <w:rPr>
                <w:rFonts w:ascii="Arial Narrow" w:eastAsiaTheme="majorEastAsia" w:hAnsi="Arial Narrow" w:cstheme="majorBidi"/>
                <w:iCs/>
                <w:sz w:val="20"/>
                <w:szCs w:val="20"/>
              </w:rPr>
              <w:t>s</w:t>
            </w:r>
            <w:r w:rsidR="00025102" w:rsidRPr="001F3F0F">
              <w:rPr>
                <w:rFonts w:ascii="Arial Narrow" w:eastAsiaTheme="majorEastAsia" w:hAnsi="Arial Narrow" w:cstheme="majorBidi"/>
                <w:iCs/>
                <w:sz w:val="20"/>
                <w:szCs w:val="20"/>
              </w:rPr>
              <w:t xml:space="preserve"> (Hiles et al. 2021) in a sensitivity analysis. The Hiles et al. 2021 study estimated 29.4% of patients have an </w:t>
            </w:r>
            <w:r w:rsidR="004A52E0">
              <w:rPr>
                <w:rFonts w:ascii="Arial Narrow" w:eastAsiaTheme="majorEastAsia" w:hAnsi="Arial Narrow" w:cstheme="majorBidi"/>
                <w:iCs/>
                <w:sz w:val="20"/>
                <w:szCs w:val="20"/>
              </w:rPr>
              <w:t>BEC</w:t>
            </w:r>
            <w:r w:rsidR="00025102" w:rsidRPr="001F3F0F">
              <w:rPr>
                <w:rFonts w:ascii="Arial Narrow" w:eastAsiaTheme="majorEastAsia" w:hAnsi="Arial Narrow" w:cstheme="majorBidi"/>
                <w:iCs/>
                <w:sz w:val="20"/>
                <w:szCs w:val="20"/>
              </w:rPr>
              <w:t xml:space="preserve"> ≥ 300 cells/</w:t>
            </w:r>
            <w:proofErr w:type="spellStart"/>
            <w:r w:rsidR="00025102" w:rsidRPr="001F3F0F">
              <w:rPr>
                <w:rFonts w:ascii="Arial Narrow" w:eastAsiaTheme="majorEastAsia" w:hAnsi="Arial Narrow" w:cstheme="majorBidi"/>
                <w:iCs/>
                <w:sz w:val="20"/>
                <w:szCs w:val="20"/>
              </w:rPr>
              <w:t>μL</w:t>
            </w:r>
            <w:proofErr w:type="spellEnd"/>
            <w:r w:rsidR="00025102" w:rsidRPr="001F3F0F">
              <w:rPr>
                <w:rFonts w:ascii="Arial Narrow" w:eastAsiaTheme="majorEastAsia" w:hAnsi="Arial Narrow" w:cstheme="majorBidi"/>
                <w:iCs/>
                <w:sz w:val="20"/>
                <w:szCs w:val="20"/>
              </w:rPr>
              <w:t xml:space="preserve">. </w:t>
            </w:r>
            <w:r w:rsidR="004A7109" w:rsidRPr="001F3F0F">
              <w:rPr>
                <w:rFonts w:ascii="Arial Narrow" w:eastAsiaTheme="majorEastAsia" w:hAnsi="Arial Narrow" w:cstheme="majorBidi"/>
                <w:iCs/>
                <w:sz w:val="20"/>
                <w:szCs w:val="20"/>
              </w:rPr>
              <w:t xml:space="preserve">The Sub-Committee noted that this was consistent with the </w:t>
            </w:r>
            <w:r w:rsidR="00466672" w:rsidRPr="001F3F0F">
              <w:rPr>
                <w:rFonts w:ascii="Arial Narrow" w:eastAsiaTheme="majorEastAsia" w:hAnsi="Arial Narrow" w:cstheme="majorBidi"/>
                <w:iCs/>
                <w:sz w:val="20"/>
                <w:szCs w:val="20"/>
              </w:rPr>
              <w:t>findings</w:t>
            </w:r>
            <w:r w:rsidR="00550F22" w:rsidRPr="001F3F0F">
              <w:rPr>
                <w:rFonts w:ascii="Arial Narrow" w:eastAsiaTheme="majorEastAsia" w:hAnsi="Arial Narrow" w:cstheme="majorBidi"/>
                <w:iCs/>
                <w:sz w:val="20"/>
                <w:szCs w:val="20"/>
              </w:rPr>
              <w:t xml:space="preserve"> from</w:t>
            </w:r>
            <w:r w:rsidR="00CE21E1" w:rsidRPr="001F3F0F">
              <w:rPr>
                <w:rFonts w:ascii="Arial Narrow" w:eastAsiaTheme="majorEastAsia" w:hAnsi="Arial Narrow" w:cstheme="majorBidi"/>
                <w:iCs/>
                <w:sz w:val="20"/>
                <w:szCs w:val="20"/>
              </w:rPr>
              <w:t xml:space="preserve"> </w:t>
            </w:r>
            <w:r w:rsidR="00B565BF" w:rsidRPr="001F3F0F">
              <w:rPr>
                <w:rFonts w:ascii="Arial Narrow" w:eastAsiaTheme="majorEastAsia" w:hAnsi="Arial Narrow" w:cstheme="majorBidi"/>
                <w:iCs/>
                <w:sz w:val="20"/>
                <w:szCs w:val="20"/>
              </w:rPr>
              <w:t xml:space="preserve">the </w:t>
            </w:r>
            <w:r w:rsidR="00775EFA" w:rsidRPr="001F3F0F">
              <w:rPr>
                <w:rFonts w:ascii="Arial Narrow" w:eastAsiaTheme="majorEastAsia" w:hAnsi="Arial Narrow" w:cstheme="majorBidi"/>
                <w:sz w:val="20"/>
                <w:szCs w:val="20"/>
              </w:rPr>
              <w:t>METIS survey</w:t>
            </w:r>
            <w:r w:rsidR="00FF0FB5" w:rsidRPr="001F3F0F">
              <w:rPr>
                <w:rFonts w:ascii="Arial Narrow" w:eastAsiaTheme="majorEastAsia" w:hAnsi="Arial Narrow" w:cstheme="majorBidi"/>
                <w:iCs/>
                <w:sz w:val="20"/>
                <w:szCs w:val="20"/>
              </w:rPr>
              <w:t xml:space="preserve"> </w:t>
            </w:r>
            <w:r w:rsidR="00824034" w:rsidRPr="001F3F0F">
              <w:rPr>
                <w:rFonts w:ascii="Arial Narrow" w:eastAsiaTheme="majorEastAsia" w:hAnsi="Arial Narrow" w:cstheme="majorBidi"/>
                <w:iCs/>
                <w:sz w:val="20"/>
                <w:szCs w:val="20"/>
              </w:rPr>
              <w:t xml:space="preserve">in </w:t>
            </w:r>
            <w:r w:rsidR="00FF0FB5" w:rsidRPr="001F3F0F">
              <w:rPr>
                <w:rFonts w:ascii="Arial Narrow" w:eastAsiaTheme="majorEastAsia" w:hAnsi="Arial Narrow" w:cstheme="majorBidi"/>
                <w:iCs/>
                <w:sz w:val="20"/>
                <w:szCs w:val="20"/>
              </w:rPr>
              <w:t>which</w:t>
            </w:r>
            <w:r w:rsidR="00EF250C" w:rsidRPr="001F3F0F">
              <w:rPr>
                <w:rFonts w:ascii="Arial Narrow" w:eastAsiaTheme="majorEastAsia" w:hAnsi="Arial Narrow" w:cstheme="majorBidi"/>
                <w:iCs/>
                <w:sz w:val="20"/>
                <w:szCs w:val="20"/>
              </w:rPr>
              <w:t xml:space="preserve"> clinicians</w:t>
            </w:r>
            <w:r w:rsidR="00FF0FB5" w:rsidRPr="001F3F0F">
              <w:rPr>
                <w:rFonts w:ascii="Arial Narrow" w:eastAsiaTheme="majorEastAsia" w:hAnsi="Arial Narrow" w:cstheme="majorBidi"/>
                <w:iCs/>
                <w:sz w:val="20"/>
                <w:szCs w:val="20"/>
              </w:rPr>
              <w:t xml:space="preserve"> estimated the percentage </w:t>
            </w:r>
            <w:r w:rsidR="00775EFA" w:rsidRPr="001F3F0F">
              <w:rPr>
                <w:rFonts w:ascii="Arial Narrow" w:eastAsiaTheme="majorEastAsia" w:hAnsi="Arial Narrow" w:cstheme="majorBidi"/>
                <w:sz w:val="20"/>
                <w:szCs w:val="20"/>
              </w:rPr>
              <w:t xml:space="preserve">of patients with </w:t>
            </w:r>
            <w:r w:rsidR="004A52E0">
              <w:rPr>
                <w:rFonts w:ascii="Arial Narrow" w:eastAsiaTheme="majorEastAsia" w:hAnsi="Arial Narrow" w:cstheme="majorBidi"/>
                <w:sz w:val="20"/>
                <w:szCs w:val="20"/>
              </w:rPr>
              <w:t>BEC</w:t>
            </w:r>
            <w:r w:rsidR="00775EFA" w:rsidRPr="001F3F0F">
              <w:rPr>
                <w:rFonts w:ascii="Arial Narrow" w:eastAsiaTheme="majorEastAsia" w:hAnsi="Arial Narrow" w:cstheme="majorBidi"/>
                <w:sz w:val="20"/>
                <w:szCs w:val="20"/>
              </w:rPr>
              <w:t xml:space="preserve"> ≥ 300 cells/</w:t>
            </w:r>
            <w:proofErr w:type="spellStart"/>
            <w:r w:rsidR="00775EFA" w:rsidRPr="001F3F0F">
              <w:rPr>
                <w:rFonts w:ascii="Arial Narrow" w:eastAsiaTheme="majorEastAsia" w:hAnsi="Arial Narrow" w:cstheme="majorBidi"/>
                <w:sz w:val="20"/>
                <w:szCs w:val="20"/>
              </w:rPr>
              <w:t>μL</w:t>
            </w:r>
            <w:proofErr w:type="spellEnd"/>
            <w:r w:rsidR="00775EFA" w:rsidRPr="001F3F0F">
              <w:rPr>
                <w:rFonts w:ascii="Arial Narrow" w:eastAsiaTheme="majorEastAsia" w:hAnsi="Arial Narrow" w:cstheme="majorBidi"/>
                <w:sz w:val="20"/>
                <w:szCs w:val="20"/>
              </w:rPr>
              <w:t xml:space="preserve"> in the last 12 months varied from 19% to 28% </w:t>
            </w:r>
            <w:r w:rsidR="007D11E3" w:rsidRPr="001F3F0F">
              <w:rPr>
                <w:rFonts w:ascii="Arial Narrow" w:eastAsiaTheme="majorEastAsia" w:hAnsi="Arial Narrow" w:cstheme="majorBidi"/>
                <w:sz w:val="20"/>
                <w:szCs w:val="20"/>
              </w:rPr>
              <w:t>in</w:t>
            </w:r>
            <w:r w:rsidR="00775EFA" w:rsidRPr="001F3F0F">
              <w:rPr>
                <w:rFonts w:ascii="Arial Narrow" w:eastAsiaTheme="majorEastAsia" w:hAnsi="Arial Narrow" w:cstheme="majorBidi"/>
                <w:sz w:val="20"/>
                <w:szCs w:val="20"/>
              </w:rPr>
              <w:t xml:space="preserve"> moderate COPD and </w:t>
            </w:r>
            <w:r w:rsidR="00C90295" w:rsidRPr="001F3F0F">
              <w:rPr>
                <w:rFonts w:ascii="Arial Narrow" w:eastAsiaTheme="majorEastAsia" w:hAnsi="Arial Narrow" w:cstheme="majorBidi"/>
                <w:iCs/>
                <w:sz w:val="20"/>
                <w:szCs w:val="20"/>
              </w:rPr>
              <w:t xml:space="preserve">was estimated to be </w:t>
            </w:r>
            <w:r w:rsidR="00775EFA" w:rsidRPr="001F3F0F">
              <w:rPr>
                <w:rFonts w:ascii="Arial Narrow" w:eastAsiaTheme="majorEastAsia" w:hAnsi="Arial Narrow" w:cstheme="majorBidi"/>
                <w:sz w:val="20"/>
                <w:szCs w:val="20"/>
              </w:rPr>
              <w:t xml:space="preserve">30% </w:t>
            </w:r>
            <w:r w:rsidR="007D11E3" w:rsidRPr="001F3F0F">
              <w:rPr>
                <w:rFonts w:ascii="Arial Narrow" w:eastAsiaTheme="majorEastAsia" w:hAnsi="Arial Narrow" w:cstheme="majorBidi"/>
                <w:sz w:val="20"/>
                <w:szCs w:val="20"/>
              </w:rPr>
              <w:t xml:space="preserve">in </w:t>
            </w:r>
            <w:r w:rsidR="00775EFA" w:rsidRPr="001F3F0F">
              <w:rPr>
                <w:rFonts w:ascii="Arial Narrow" w:eastAsiaTheme="majorEastAsia" w:hAnsi="Arial Narrow" w:cstheme="majorBidi"/>
                <w:sz w:val="20"/>
                <w:szCs w:val="20"/>
              </w:rPr>
              <w:t>severe COPD.</w:t>
            </w:r>
            <w:r w:rsidR="00775EFA" w:rsidRPr="000717E1">
              <w:rPr>
                <w:rFonts w:ascii="Arial Narrow" w:eastAsiaTheme="majorEastAsia" w:hAnsi="Arial Narrow" w:cstheme="majorBidi"/>
                <w:sz w:val="20"/>
                <w:szCs w:val="20"/>
              </w:rPr>
              <w:t xml:space="preserve"> </w:t>
            </w:r>
          </w:p>
        </w:tc>
      </w:tr>
      <w:tr w:rsidR="001429A4" w:rsidRPr="000717E1" w14:paraId="2A29B000" w14:textId="77777777" w:rsidTr="00B77713">
        <w:tc>
          <w:tcPr>
            <w:tcW w:w="1020" w:type="pct"/>
          </w:tcPr>
          <w:p w14:paraId="3F9BB9D5" w14:textId="77777777" w:rsidR="00775EFA" w:rsidRPr="000717E1" w:rsidRDefault="00775EFA" w:rsidP="00B77713">
            <w:pPr>
              <w:jc w:val="left"/>
              <w:rPr>
                <w:rFonts w:ascii="Arial Narrow" w:eastAsiaTheme="majorEastAsia" w:hAnsi="Arial Narrow" w:cstheme="majorBidi"/>
                <w:sz w:val="20"/>
                <w:szCs w:val="20"/>
              </w:rPr>
            </w:pPr>
            <w:r w:rsidRPr="000717E1">
              <w:rPr>
                <w:rFonts w:ascii="Arial Narrow" w:eastAsiaTheme="majorEastAsia" w:hAnsi="Arial Narrow" w:cstheme="majorBidi"/>
                <w:sz w:val="20"/>
                <w:szCs w:val="20"/>
              </w:rPr>
              <w:lastRenderedPageBreak/>
              <w:t>Proportion of moderate and severe COPD patients at high risk of exacerbation</w:t>
            </w:r>
          </w:p>
        </w:tc>
        <w:tc>
          <w:tcPr>
            <w:tcW w:w="1102" w:type="pct"/>
          </w:tcPr>
          <w:p w14:paraId="5434ECBB" w14:textId="0447050E" w:rsidR="00775EFA" w:rsidRPr="000717E1" w:rsidRDefault="00775EFA" w:rsidP="00B77713">
            <w:pPr>
              <w:jc w:val="left"/>
              <w:rPr>
                <w:rFonts w:ascii="Arial Narrow" w:eastAsiaTheme="majorEastAsia" w:hAnsi="Arial Narrow" w:cstheme="majorBidi"/>
                <w:sz w:val="20"/>
                <w:szCs w:val="20"/>
              </w:rPr>
            </w:pPr>
            <w:r w:rsidRPr="000717E1">
              <w:rPr>
                <w:rFonts w:ascii="Arial Narrow" w:eastAsiaTheme="majorEastAsia" w:hAnsi="Arial Narrow" w:cstheme="majorBidi"/>
                <w:sz w:val="20"/>
                <w:szCs w:val="20"/>
              </w:rPr>
              <w:t xml:space="preserve">Moderate – </w:t>
            </w:r>
            <w:r w:rsidR="00331ADA" w:rsidRPr="00331ADA">
              <w:rPr>
                <w:rFonts w:ascii="Arial Narrow" w:eastAsiaTheme="majorEastAsia" w:hAnsi="Arial Narrow" w:cstheme="majorBidi"/>
                <w:sz w:val="2"/>
                <w:szCs w:val="20"/>
                <w:highlight w:val="black"/>
              </w:rPr>
              <w:t>redacted content</w:t>
            </w:r>
            <w:r w:rsidRPr="000717E1">
              <w:rPr>
                <w:rFonts w:ascii="Arial Narrow" w:eastAsiaTheme="majorEastAsia" w:hAnsi="Arial Narrow" w:cstheme="majorBidi"/>
                <w:sz w:val="20"/>
                <w:szCs w:val="20"/>
              </w:rPr>
              <w:t>%</w:t>
            </w:r>
          </w:p>
          <w:p w14:paraId="0D6A9F4C" w14:textId="2908EA5C" w:rsidR="007E6298" w:rsidRPr="000717E1" w:rsidRDefault="00775EFA" w:rsidP="00B77713">
            <w:pPr>
              <w:jc w:val="left"/>
              <w:rPr>
                <w:rFonts w:ascii="Arial Narrow" w:eastAsiaTheme="majorEastAsia" w:hAnsi="Arial Narrow" w:cstheme="majorBidi"/>
                <w:sz w:val="20"/>
                <w:szCs w:val="20"/>
              </w:rPr>
            </w:pPr>
            <w:r w:rsidRPr="000717E1">
              <w:rPr>
                <w:rFonts w:ascii="Arial Narrow" w:eastAsiaTheme="majorEastAsia" w:hAnsi="Arial Narrow" w:cstheme="majorBidi"/>
                <w:sz w:val="20"/>
                <w:szCs w:val="20"/>
              </w:rPr>
              <w:t xml:space="preserve">Severe – </w:t>
            </w:r>
            <w:r w:rsidR="00331ADA" w:rsidRPr="00331ADA">
              <w:rPr>
                <w:rFonts w:ascii="Arial Narrow" w:eastAsiaTheme="majorEastAsia" w:hAnsi="Arial Narrow" w:cstheme="majorBidi"/>
                <w:sz w:val="2"/>
                <w:szCs w:val="20"/>
                <w:highlight w:val="black"/>
              </w:rPr>
              <w:t>redacted content</w:t>
            </w:r>
            <w:r w:rsidRPr="000717E1">
              <w:rPr>
                <w:rFonts w:ascii="Arial Narrow" w:eastAsiaTheme="majorEastAsia" w:hAnsi="Arial Narrow" w:cstheme="majorBidi"/>
                <w:sz w:val="20"/>
                <w:szCs w:val="20"/>
              </w:rPr>
              <w:t>%</w:t>
            </w:r>
          </w:p>
        </w:tc>
        <w:tc>
          <w:tcPr>
            <w:tcW w:w="1022" w:type="pct"/>
          </w:tcPr>
          <w:p w14:paraId="4E6DE686" w14:textId="77777777" w:rsidR="00775EFA" w:rsidRPr="000717E1" w:rsidRDefault="00775EFA" w:rsidP="00B77713">
            <w:pPr>
              <w:jc w:val="left"/>
              <w:rPr>
                <w:rFonts w:ascii="Arial Narrow" w:eastAsiaTheme="majorEastAsia" w:hAnsi="Arial Narrow" w:cstheme="majorBidi"/>
                <w:sz w:val="20"/>
                <w:szCs w:val="20"/>
              </w:rPr>
            </w:pPr>
            <w:r w:rsidRPr="000717E1">
              <w:rPr>
                <w:rFonts w:ascii="Arial Narrow" w:eastAsiaTheme="majorEastAsia" w:hAnsi="Arial Narrow" w:cstheme="majorBidi"/>
                <w:sz w:val="20"/>
                <w:szCs w:val="20"/>
              </w:rPr>
              <w:t>METIS survey</w:t>
            </w:r>
          </w:p>
        </w:tc>
        <w:tc>
          <w:tcPr>
            <w:tcW w:w="1856" w:type="pct"/>
          </w:tcPr>
          <w:p w14:paraId="41AE4CF4" w14:textId="2EF4BAC0" w:rsidR="00775EFA" w:rsidRPr="000717E1" w:rsidRDefault="00F34F80" w:rsidP="00B77713">
            <w:pPr>
              <w:jc w:val="left"/>
              <w:rPr>
                <w:rFonts w:ascii="Arial Narrow" w:eastAsiaTheme="majorEastAsia" w:hAnsi="Arial Narrow" w:cstheme="majorBidi"/>
                <w:sz w:val="20"/>
                <w:szCs w:val="20"/>
              </w:rPr>
            </w:pPr>
            <w:r>
              <w:rPr>
                <w:rFonts w:ascii="Arial Narrow" w:eastAsiaTheme="majorEastAsia" w:hAnsi="Arial Narrow" w:cstheme="majorBidi"/>
                <w:sz w:val="20"/>
                <w:szCs w:val="20"/>
              </w:rPr>
              <w:t>The evaluation considered i</w:t>
            </w:r>
            <w:r w:rsidR="00775EFA" w:rsidRPr="000717E1">
              <w:rPr>
                <w:rFonts w:ascii="Arial Narrow" w:eastAsiaTheme="majorEastAsia" w:hAnsi="Arial Narrow" w:cstheme="majorBidi"/>
                <w:sz w:val="20"/>
                <w:szCs w:val="20"/>
              </w:rPr>
              <w:t>t is not clear if the</w:t>
            </w:r>
            <w:r w:rsidR="00D8301C" w:rsidRPr="000717E1">
              <w:rPr>
                <w:rFonts w:ascii="Arial Narrow" w:eastAsiaTheme="majorEastAsia" w:hAnsi="Arial Narrow" w:cstheme="majorBidi"/>
                <w:sz w:val="20"/>
                <w:szCs w:val="20"/>
              </w:rPr>
              <w:t xml:space="preserve"> clinician estimates from</w:t>
            </w:r>
            <w:r w:rsidR="00F97365" w:rsidRPr="000717E1">
              <w:rPr>
                <w:rFonts w:ascii="Arial Narrow" w:eastAsiaTheme="majorEastAsia" w:hAnsi="Arial Narrow" w:cstheme="majorBidi"/>
                <w:sz w:val="20"/>
                <w:szCs w:val="20"/>
              </w:rPr>
              <w:t xml:space="preserve"> the</w:t>
            </w:r>
            <w:r w:rsidR="00775EFA" w:rsidRPr="000717E1">
              <w:rPr>
                <w:rFonts w:ascii="Arial Narrow" w:eastAsiaTheme="majorEastAsia" w:hAnsi="Arial Narrow" w:cstheme="majorBidi"/>
                <w:sz w:val="20"/>
                <w:szCs w:val="20"/>
              </w:rPr>
              <w:t xml:space="preserve"> METIS survey was representative of all COPD patients in Australia.</w:t>
            </w:r>
          </w:p>
          <w:p w14:paraId="7FF18681" w14:textId="77777777" w:rsidR="00A66EC4" w:rsidRPr="000717E1" w:rsidRDefault="00A66EC4" w:rsidP="00B77713">
            <w:pPr>
              <w:jc w:val="left"/>
              <w:rPr>
                <w:rFonts w:ascii="Arial Narrow" w:eastAsiaTheme="majorEastAsia" w:hAnsi="Arial Narrow" w:cstheme="majorBidi"/>
                <w:sz w:val="20"/>
                <w:szCs w:val="20"/>
              </w:rPr>
            </w:pPr>
          </w:p>
          <w:p w14:paraId="69317A32" w14:textId="2E90A0F0" w:rsidR="00775EFA" w:rsidRPr="000717E1" w:rsidRDefault="00A66EC4" w:rsidP="00B77713">
            <w:pPr>
              <w:jc w:val="left"/>
              <w:rPr>
                <w:rFonts w:ascii="Arial Narrow" w:eastAsiaTheme="majorEastAsia" w:hAnsi="Arial Narrow" w:cstheme="majorBidi"/>
                <w:sz w:val="20"/>
                <w:szCs w:val="20"/>
              </w:rPr>
            </w:pPr>
            <w:r w:rsidRPr="001F3F0F">
              <w:rPr>
                <w:rFonts w:ascii="Arial Narrow" w:eastAsiaTheme="majorEastAsia" w:hAnsi="Arial Narrow" w:cstheme="majorBidi"/>
                <w:iCs/>
                <w:sz w:val="20"/>
                <w:szCs w:val="20"/>
              </w:rPr>
              <w:t xml:space="preserve">The Sub-Committees agreed with the </w:t>
            </w:r>
            <w:r w:rsidR="00683348" w:rsidRPr="001F3F0F">
              <w:rPr>
                <w:rFonts w:ascii="Arial Narrow" w:eastAsiaTheme="majorEastAsia" w:hAnsi="Arial Narrow" w:cstheme="majorBidi"/>
                <w:iCs/>
                <w:sz w:val="20"/>
                <w:szCs w:val="20"/>
              </w:rPr>
              <w:t>evaluation</w:t>
            </w:r>
            <w:r w:rsidRPr="001F3F0F">
              <w:rPr>
                <w:rFonts w:ascii="Arial Narrow" w:eastAsiaTheme="majorEastAsia" w:hAnsi="Arial Narrow" w:cstheme="majorBidi"/>
                <w:iCs/>
                <w:sz w:val="20"/>
                <w:szCs w:val="20"/>
              </w:rPr>
              <w:t xml:space="preserve"> that this </w:t>
            </w:r>
            <w:r w:rsidR="00ED4FBF" w:rsidRPr="001F3F0F">
              <w:rPr>
                <w:rFonts w:ascii="Arial Narrow" w:eastAsiaTheme="majorEastAsia" w:hAnsi="Arial Narrow" w:cstheme="majorBidi"/>
                <w:iCs/>
                <w:sz w:val="20"/>
                <w:szCs w:val="20"/>
              </w:rPr>
              <w:t>estimate was</w:t>
            </w:r>
            <w:r w:rsidRPr="001F3F0F">
              <w:rPr>
                <w:rFonts w:ascii="Arial Narrow" w:eastAsiaTheme="majorEastAsia" w:hAnsi="Arial Narrow" w:cstheme="majorBidi"/>
                <w:iCs/>
                <w:sz w:val="20"/>
                <w:szCs w:val="20"/>
              </w:rPr>
              <w:t xml:space="preserve"> uncertain.</w:t>
            </w:r>
          </w:p>
        </w:tc>
      </w:tr>
      <w:tr w:rsidR="008C3527" w:rsidRPr="000717E1" w14:paraId="04CDDBEA" w14:textId="77777777" w:rsidTr="00D53D4A">
        <w:tc>
          <w:tcPr>
            <w:tcW w:w="5000" w:type="pct"/>
            <w:gridSpan w:val="4"/>
            <w:vAlign w:val="center"/>
          </w:tcPr>
          <w:p w14:paraId="1C51AFB1" w14:textId="37A7C917" w:rsidR="00775EFA" w:rsidRPr="000717E1" w:rsidRDefault="00882ADC" w:rsidP="00BA74E1">
            <w:pPr>
              <w:keepNext/>
              <w:keepLines/>
              <w:ind w:left="174" w:hanging="174"/>
              <w:rPr>
                <w:rFonts w:ascii="Arial Narrow" w:eastAsiaTheme="majorEastAsia" w:hAnsi="Arial Narrow" w:cs="Times New Roman"/>
                <w:b/>
                <w:sz w:val="20"/>
                <w:szCs w:val="20"/>
              </w:rPr>
            </w:pPr>
            <w:r w:rsidRPr="000717E1">
              <w:rPr>
                <w:rFonts w:ascii="Arial Narrow" w:eastAsiaTheme="majorEastAsia" w:hAnsi="Arial Narrow" w:cs="Times New Roman"/>
                <w:b/>
                <w:sz w:val="20"/>
                <w:szCs w:val="20"/>
              </w:rPr>
              <w:t>PBS 10% sample</w:t>
            </w:r>
            <w:r w:rsidR="00775EFA" w:rsidRPr="000717E1">
              <w:rPr>
                <w:rFonts w:ascii="Arial Narrow" w:eastAsiaTheme="majorEastAsia" w:hAnsi="Arial Narrow" w:cs="Times New Roman"/>
                <w:b/>
                <w:sz w:val="20"/>
                <w:szCs w:val="20"/>
              </w:rPr>
              <w:t xml:space="preserve"> approach</w:t>
            </w:r>
          </w:p>
        </w:tc>
      </w:tr>
      <w:tr w:rsidR="001429A4" w:rsidRPr="000717E1" w14:paraId="2AC6157F" w14:textId="77777777" w:rsidTr="00B77713">
        <w:tc>
          <w:tcPr>
            <w:tcW w:w="1020" w:type="pct"/>
          </w:tcPr>
          <w:p w14:paraId="687A65D7" w14:textId="77777777" w:rsidR="00775EFA" w:rsidRPr="000717E1" w:rsidRDefault="00775EFA" w:rsidP="00B77713">
            <w:pPr>
              <w:jc w:val="left"/>
              <w:rPr>
                <w:rFonts w:ascii="Arial Narrow" w:eastAsiaTheme="majorEastAsia" w:hAnsi="Arial Narrow" w:cstheme="majorBidi"/>
                <w:sz w:val="20"/>
                <w:szCs w:val="20"/>
              </w:rPr>
            </w:pPr>
            <w:r w:rsidRPr="000717E1">
              <w:rPr>
                <w:rFonts w:ascii="Arial Narrow" w:eastAsiaTheme="majorEastAsia" w:hAnsi="Arial Narrow" w:cstheme="majorBidi"/>
                <w:sz w:val="20"/>
                <w:szCs w:val="20"/>
              </w:rPr>
              <w:t>Patients receiving triple therapy</w:t>
            </w:r>
          </w:p>
        </w:tc>
        <w:tc>
          <w:tcPr>
            <w:tcW w:w="1102" w:type="pct"/>
          </w:tcPr>
          <w:p w14:paraId="3AA1CE09" w14:textId="4701C7C1" w:rsidR="00775EFA" w:rsidRPr="00555CEF" w:rsidRDefault="00775EFA" w:rsidP="00B77713">
            <w:pPr>
              <w:jc w:val="left"/>
              <w:rPr>
                <w:rFonts w:ascii="Arial Narrow" w:eastAsiaTheme="majorEastAsia" w:hAnsi="Arial Narrow" w:cstheme="majorBidi"/>
                <w:sz w:val="20"/>
                <w:szCs w:val="20"/>
                <w:vertAlign w:val="superscript"/>
              </w:rPr>
            </w:pPr>
            <w:r w:rsidRPr="000717E1">
              <w:rPr>
                <w:rFonts w:ascii="Arial Narrow" w:eastAsiaTheme="majorEastAsia" w:hAnsi="Arial Narrow" w:cstheme="majorBidi"/>
                <w:sz w:val="20"/>
                <w:szCs w:val="20"/>
              </w:rPr>
              <w:t xml:space="preserve">Yr 1: </w:t>
            </w:r>
            <w:r w:rsidR="00331ADA" w:rsidRPr="00331ADA">
              <w:rPr>
                <w:rFonts w:ascii="Arial Narrow" w:eastAsiaTheme="majorEastAsia" w:hAnsi="Arial Narrow" w:cstheme="majorBidi"/>
                <w:sz w:val="2"/>
                <w:szCs w:val="20"/>
                <w:highlight w:val="black"/>
              </w:rPr>
              <w:t>redacted content</w:t>
            </w:r>
            <w:r w:rsidR="00555CEF">
              <w:rPr>
                <w:rFonts w:ascii="Arial Narrow" w:eastAsiaTheme="majorEastAsia" w:hAnsi="Arial Narrow" w:cstheme="majorBidi"/>
                <w:sz w:val="20"/>
                <w:szCs w:val="20"/>
                <w:vertAlign w:val="superscript"/>
              </w:rPr>
              <w:t>1</w:t>
            </w:r>
          </w:p>
          <w:p w14:paraId="6C69FC71" w14:textId="35DDD2F6" w:rsidR="00775EFA" w:rsidRPr="000717E1" w:rsidRDefault="00775EFA" w:rsidP="00B77713">
            <w:pPr>
              <w:jc w:val="left"/>
              <w:rPr>
                <w:rFonts w:ascii="Arial Narrow" w:eastAsiaTheme="majorEastAsia" w:hAnsi="Arial Narrow" w:cstheme="majorBidi"/>
                <w:sz w:val="20"/>
                <w:szCs w:val="20"/>
              </w:rPr>
            </w:pPr>
            <w:r w:rsidRPr="000717E1">
              <w:rPr>
                <w:rFonts w:ascii="Arial Narrow" w:eastAsiaTheme="majorEastAsia" w:hAnsi="Arial Narrow" w:cstheme="majorBidi"/>
                <w:sz w:val="20"/>
                <w:szCs w:val="20"/>
              </w:rPr>
              <w:t xml:space="preserve">Yr 2: </w:t>
            </w:r>
            <w:r w:rsidR="00331ADA" w:rsidRPr="00331ADA">
              <w:rPr>
                <w:rFonts w:ascii="Arial Narrow" w:eastAsiaTheme="majorEastAsia" w:hAnsi="Arial Narrow" w:cstheme="majorBidi"/>
                <w:sz w:val="2"/>
                <w:szCs w:val="20"/>
                <w:highlight w:val="black"/>
              </w:rPr>
              <w:t>redacted content</w:t>
            </w:r>
            <w:r w:rsidR="00417C5A">
              <w:rPr>
                <w:rFonts w:ascii="Arial Narrow" w:eastAsiaTheme="majorEastAsia" w:hAnsi="Arial Narrow" w:cstheme="majorBidi"/>
                <w:sz w:val="20"/>
                <w:szCs w:val="20"/>
                <w:vertAlign w:val="superscript"/>
              </w:rPr>
              <w:t>1</w:t>
            </w:r>
          </w:p>
          <w:p w14:paraId="39067EB3" w14:textId="17C79F5B" w:rsidR="00775EFA" w:rsidRPr="00417C5A" w:rsidRDefault="00775EFA" w:rsidP="00B77713">
            <w:pPr>
              <w:jc w:val="left"/>
              <w:rPr>
                <w:rFonts w:ascii="Arial Narrow" w:eastAsiaTheme="majorEastAsia" w:hAnsi="Arial Narrow" w:cstheme="majorBidi"/>
                <w:sz w:val="20"/>
                <w:szCs w:val="20"/>
                <w:vertAlign w:val="superscript"/>
              </w:rPr>
            </w:pPr>
            <w:r w:rsidRPr="000717E1">
              <w:rPr>
                <w:rFonts w:ascii="Arial Narrow" w:eastAsiaTheme="majorEastAsia" w:hAnsi="Arial Narrow" w:cstheme="majorBidi"/>
                <w:sz w:val="20"/>
                <w:szCs w:val="20"/>
              </w:rPr>
              <w:t xml:space="preserve">Yr 3: </w:t>
            </w:r>
            <w:r w:rsidR="00331ADA" w:rsidRPr="00331ADA">
              <w:rPr>
                <w:rFonts w:ascii="Arial Narrow" w:eastAsiaTheme="majorEastAsia" w:hAnsi="Arial Narrow" w:cstheme="majorBidi"/>
                <w:sz w:val="2"/>
                <w:szCs w:val="20"/>
                <w:highlight w:val="black"/>
              </w:rPr>
              <w:t>redacted content</w:t>
            </w:r>
            <w:r w:rsidR="00417C5A">
              <w:rPr>
                <w:rFonts w:ascii="Arial Narrow" w:eastAsiaTheme="majorEastAsia" w:hAnsi="Arial Narrow" w:cstheme="majorBidi"/>
                <w:sz w:val="20"/>
                <w:szCs w:val="20"/>
                <w:vertAlign w:val="superscript"/>
              </w:rPr>
              <w:t>2</w:t>
            </w:r>
          </w:p>
          <w:p w14:paraId="49377869" w14:textId="0A1C885E" w:rsidR="00775EFA" w:rsidRPr="000717E1" w:rsidRDefault="00775EFA" w:rsidP="00B77713">
            <w:pPr>
              <w:jc w:val="left"/>
              <w:rPr>
                <w:rFonts w:ascii="Arial Narrow" w:eastAsiaTheme="majorEastAsia" w:hAnsi="Arial Narrow" w:cstheme="majorBidi"/>
                <w:sz w:val="20"/>
                <w:szCs w:val="20"/>
              </w:rPr>
            </w:pPr>
            <w:r w:rsidRPr="000717E1">
              <w:rPr>
                <w:rFonts w:ascii="Arial Narrow" w:eastAsiaTheme="majorEastAsia" w:hAnsi="Arial Narrow" w:cstheme="majorBidi"/>
                <w:sz w:val="20"/>
                <w:szCs w:val="20"/>
              </w:rPr>
              <w:t xml:space="preserve">Yr 4: </w:t>
            </w:r>
            <w:r w:rsidR="00331ADA" w:rsidRPr="00331ADA">
              <w:rPr>
                <w:rFonts w:ascii="Arial Narrow" w:eastAsiaTheme="majorEastAsia" w:hAnsi="Arial Narrow" w:cstheme="majorBidi"/>
                <w:sz w:val="2"/>
                <w:szCs w:val="20"/>
                <w:highlight w:val="black"/>
              </w:rPr>
              <w:t>redacted content</w:t>
            </w:r>
            <w:r w:rsidR="00417C5A">
              <w:rPr>
                <w:rFonts w:ascii="Arial Narrow" w:eastAsiaTheme="majorEastAsia" w:hAnsi="Arial Narrow" w:cstheme="majorBidi"/>
                <w:sz w:val="20"/>
                <w:szCs w:val="20"/>
                <w:vertAlign w:val="superscript"/>
              </w:rPr>
              <w:t>2</w:t>
            </w:r>
          </w:p>
          <w:p w14:paraId="701336BF" w14:textId="662B7CCE" w:rsidR="00775EFA" w:rsidRPr="000717E1" w:rsidRDefault="00775EFA" w:rsidP="00B77713">
            <w:pPr>
              <w:jc w:val="left"/>
              <w:rPr>
                <w:rFonts w:ascii="Arial Narrow" w:eastAsiaTheme="majorEastAsia" w:hAnsi="Arial Narrow" w:cstheme="majorBidi"/>
                <w:sz w:val="20"/>
                <w:szCs w:val="20"/>
              </w:rPr>
            </w:pPr>
            <w:r w:rsidRPr="000717E1">
              <w:rPr>
                <w:rFonts w:ascii="Arial Narrow" w:eastAsiaTheme="majorEastAsia" w:hAnsi="Arial Narrow" w:cstheme="majorBidi"/>
                <w:sz w:val="20"/>
                <w:szCs w:val="20"/>
              </w:rPr>
              <w:t xml:space="preserve">Yr 5: </w:t>
            </w:r>
            <w:r w:rsidR="00331ADA" w:rsidRPr="00331ADA">
              <w:rPr>
                <w:rFonts w:ascii="Arial Narrow" w:eastAsiaTheme="majorEastAsia" w:hAnsi="Arial Narrow" w:cstheme="majorBidi"/>
                <w:sz w:val="2"/>
                <w:szCs w:val="20"/>
                <w:highlight w:val="black"/>
              </w:rPr>
              <w:t>redacted content</w:t>
            </w:r>
            <w:r w:rsidR="00417C5A">
              <w:rPr>
                <w:rFonts w:ascii="Arial Narrow" w:eastAsiaTheme="majorEastAsia" w:hAnsi="Arial Narrow" w:cstheme="majorBidi"/>
                <w:sz w:val="20"/>
                <w:szCs w:val="20"/>
                <w:vertAlign w:val="superscript"/>
              </w:rPr>
              <w:t>2</w:t>
            </w:r>
          </w:p>
          <w:p w14:paraId="2C283F17" w14:textId="4FDD7D70" w:rsidR="00775EFA" w:rsidRPr="000717E1" w:rsidRDefault="00775EFA" w:rsidP="00B77713">
            <w:pPr>
              <w:jc w:val="left"/>
              <w:rPr>
                <w:rFonts w:ascii="Arial Narrow" w:eastAsiaTheme="majorEastAsia" w:hAnsi="Arial Narrow" w:cstheme="majorBidi"/>
                <w:sz w:val="20"/>
                <w:szCs w:val="20"/>
              </w:rPr>
            </w:pPr>
            <w:r w:rsidRPr="000717E1">
              <w:rPr>
                <w:rFonts w:ascii="Arial Narrow" w:eastAsiaTheme="majorEastAsia" w:hAnsi="Arial Narrow" w:cstheme="majorBidi"/>
                <w:sz w:val="20"/>
                <w:szCs w:val="20"/>
              </w:rPr>
              <w:t xml:space="preserve">Yr 6: </w:t>
            </w:r>
            <w:r w:rsidR="00331ADA" w:rsidRPr="00331ADA">
              <w:rPr>
                <w:rFonts w:ascii="Arial Narrow" w:eastAsiaTheme="majorEastAsia" w:hAnsi="Arial Narrow" w:cstheme="majorBidi"/>
                <w:sz w:val="2"/>
                <w:szCs w:val="20"/>
                <w:highlight w:val="black"/>
              </w:rPr>
              <w:t>redacted content</w:t>
            </w:r>
            <w:r w:rsidR="00417C5A">
              <w:rPr>
                <w:rFonts w:ascii="Arial Narrow" w:eastAsiaTheme="majorEastAsia" w:hAnsi="Arial Narrow" w:cstheme="majorBidi"/>
                <w:sz w:val="20"/>
                <w:szCs w:val="20"/>
                <w:vertAlign w:val="superscript"/>
              </w:rPr>
              <w:t>2</w:t>
            </w:r>
          </w:p>
        </w:tc>
        <w:tc>
          <w:tcPr>
            <w:tcW w:w="1022" w:type="pct"/>
          </w:tcPr>
          <w:p w14:paraId="1F091905" w14:textId="4A30899F" w:rsidR="00775EFA" w:rsidRPr="000717E1" w:rsidRDefault="00775EFA" w:rsidP="00B77713">
            <w:pPr>
              <w:jc w:val="left"/>
              <w:rPr>
                <w:rFonts w:ascii="Arial Narrow" w:eastAsiaTheme="majorEastAsia" w:hAnsi="Arial Narrow" w:cstheme="majorBidi"/>
                <w:sz w:val="20"/>
                <w:szCs w:val="20"/>
              </w:rPr>
            </w:pPr>
            <w:r w:rsidRPr="000717E1">
              <w:rPr>
                <w:rFonts w:ascii="Arial Narrow" w:eastAsiaTheme="majorEastAsia" w:hAnsi="Arial Narrow" w:cstheme="majorBidi"/>
                <w:sz w:val="20"/>
                <w:szCs w:val="20"/>
              </w:rPr>
              <w:t>PBS 10% sample used to determine the number of patients who were dispensed at least one script for triple therapy in the previous 12 months.</w:t>
            </w:r>
            <w:r w:rsidRPr="000717E1">
              <w:rPr>
                <w:rFonts w:ascii="Arial Narrow" w:eastAsiaTheme="majorEastAsia" w:hAnsi="Arial Narrow" w:cstheme="majorBidi"/>
                <w:sz w:val="20"/>
                <w:szCs w:val="20"/>
              </w:rPr>
              <w:br/>
            </w:r>
            <w:r w:rsidR="00331ADA" w:rsidRPr="00331ADA">
              <w:rPr>
                <w:rFonts w:ascii="Arial Narrow" w:eastAsiaTheme="majorEastAsia" w:hAnsi="Arial Narrow" w:cstheme="majorBidi"/>
                <w:sz w:val="2"/>
                <w:szCs w:val="20"/>
                <w:highlight w:val="black"/>
              </w:rPr>
              <w:t>redacted content</w:t>
            </w:r>
            <w:r w:rsidR="00417C5A">
              <w:rPr>
                <w:rFonts w:ascii="Arial Narrow" w:eastAsiaTheme="majorEastAsia" w:hAnsi="Arial Narrow" w:cstheme="majorBidi"/>
                <w:sz w:val="20"/>
                <w:szCs w:val="20"/>
                <w:vertAlign w:val="superscript"/>
              </w:rPr>
              <w:t>1</w:t>
            </w:r>
            <w:r w:rsidRPr="000717E1">
              <w:rPr>
                <w:rFonts w:ascii="Arial Narrow" w:eastAsiaTheme="majorEastAsia" w:hAnsi="Arial Narrow" w:cstheme="majorBidi"/>
                <w:sz w:val="20"/>
                <w:szCs w:val="20"/>
              </w:rPr>
              <w:t xml:space="preserve"> </w:t>
            </w:r>
            <w:r w:rsidR="00F95A5E" w:rsidRPr="000717E1">
              <w:rPr>
                <w:rFonts w:ascii="Arial Narrow" w:eastAsiaTheme="majorEastAsia" w:hAnsi="Arial Narrow" w:cstheme="majorBidi"/>
                <w:sz w:val="20"/>
                <w:szCs w:val="20"/>
              </w:rPr>
              <w:t xml:space="preserve">patients on </w:t>
            </w:r>
            <w:r w:rsidR="00FD2EB0" w:rsidRPr="00835D58">
              <w:rPr>
                <w:rFonts w:ascii="Arial Narrow" w:eastAsiaTheme="majorEastAsia" w:hAnsi="Arial Narrow" w:cstheme="majorBidi"/>
                <w:sz w:val="20"/>
                <w:szCs w:val="20"/>
              </w:rPr>
              <w:t>triple therapy</w:t>
            </w:r>
            <w:r w:rsidRPr="00835D58">
              <w:rPr>
                <w:rFonts w:ascii="Arial Narrow" w:eastAsiaTheme="majorEastAsia" w:hAnsi="Arial Narrow" w:cstheme="majorBidi"/>
                <w:sz w:val="20"/>
                <w:szCs w:val="20"/>
              </w:rPr>
              <w:t xml:space="preserve"> in 2025 with a growth rate of </w:t>
            </w:r>
            <w:r w:rsidR="00331ADA" w:rsidRPr="00331ADA">
              <w:rPr>
                <w:rFonts w:ascii="Arial Narrow" w:eastAsiaTheme="majorEastAsia" w:hAnsi="Arial Narrow" w:cstheme="majorBidi"/>
                <w:sz w:val="2"/>
                <w:szCs w:val="20"/>
                <w:highlight w:val="black"/>
              </w:rPr>
              <w:t>redacted content</w:t>
            </w:r>
            <w:r w:rsidRPr="00835D58">
              <w:rPr>
                <w:rFonts w:ascii="Arial Narrow" w:eastAsiaTheme="majorEastAsia" w:hAnsi="Arial Narrow" w:cstheme="majorBidi"/>
                <w:sz w:val="20"/>
                <w:szCs w:val="20"/>
              </w:rPr>
              <w:t xml:space="preserve">% - Year 1 and 2, </w:t>
            </w:r>
            <w:r w:rsidR="00331ADA" w:rsidRPr="00331ADA">
              <w:rPr>
                <w:rFonts w:ascii="Arial Narrow" w:eastAsiaTheme="majorEastAsia" w:hAnsi="Arial Narrow" w:cstheme="majorBidi"/>
                <w:sz w:val="2"/>
                <w:szCs w:val="20"/>
                <w:highlight w:val="black"/>
              </w:rPr>
              <w:t>redacted content</w:t>
            </w:r>
            <w:r w:rsidRPr="00835D58">
              <w:rPr>
                <w:rFonts w:ascii="Arial Narrow" w:eastAsiaTheme="majorEastAsia" w:hAnsi="Arial Narrow" w:cstheme="majorBidi"/>
                <w:sz w:val="20"/>
                <w:szCs w:val="20"/>
              </w:rPr>
              <w:t xml:space="preserve">% - Year 3, </w:t>
            </w:r>
            <w:r w:rsidR="00331ADA" w:rsidRPr="00331ADA">
              <w:rPr>
                <w:rFonts w:ascii="Arial Narrow" w:eastAsiaTheme="majorEastAsia" w:hAnsi="Arial Narrow" w:cstheme="majorBidi"/>
                <w:sz w:val="2"/>
                <w:szCs w:val="20"/>
                <w:highlight w:val="black"/>
              </w:rPr>
              <w:t>redacted content</w:t>
            </w:r>
            <w:r w:rsidRPr="00835D58">
              <w:rPr>
                <w:rFonts w:ascii="Arial Narrow" w:eastAsiaTheme="majorEastAsia" w:hAnsi="Arial Narrow" w:cstheme="majorBidi"/>
                <w:sz w:val="20"/>
                <w:szCs w:val="20"/>
              </w:rPr>
              <w:t>% - Year 4, 5, 6.</w:t>
            </w:r>
            <w:r w:rsidRPr="000717E1">
              <w:rPr>
                <w:rFonts w:ascii="Arial Narrow" w:eastAsiaTheme="majorEastAsia" w:hAnsi="Arial Narrow" w:cstheme="majorBidi"/>
                <w:sz w:val="20"/>
                <w:szCs w:val="20"/>
              </w:rPr>
              <w:t xml:space="preserve"> </w:t>
            </w:r>
          </w:p>
        </w:tc>
        <w:tc>
          <w:tcPr>
            <w:tcW w:w="1856" w:type="pct"/>
          </w:tcPr>
          <w:p w14:paraId="7DF899CB" w14:textId="3653E4E2" w:rsidR="00775EFA" w:rsidRPr="000717E1" w:rsidRDefault="00775EFA" w:rsidP="00B77713">
            <w:pPr>
              <w:jc w:val="left"/>
              <w:rPr>
                <w:rFonts w:ascii="Arial Narrow" w:eastAsiaTheme="majorEastAsia" w:hAnsi="Arial Narrow" w:cstheme="majorBidi"/>
                <w:sz w:val="20"/>
                <w:szCs w:val="20"/>
              </w:rPr>
            </w:pPr>
            <w:r w:rsidRPr="000717E1">
              <w:rPr>
                <w:rFonts w:ascii="Arial Narrow" w:eastAsiaTheme="majorEastAsia" w:hAnsi="Arial Narrow" w:cstheme="majorBidi"/>
                <w:sz w:val="20"/>
                <w:szCs w:val="20"/>
              </w:rPr>
              <w:t xml:space="preserve">While the assumption of a </w:t>
            </w:r>
            <w:r w:rsidR="00331ADA" w:rsidRPr="00331ADA">
              <w:rPr>
                <w:rFonts w:ascii="Arial Narrow" w:eastAsiaTheme="majorEastAsia" w:hAnsi="Arial Narrow" w:cstheme="majorBidi"/>
                <w:sz w:val="2"/>
                <w:szCs w:val="20"/>
                <w:highlight w:val="black"/>
              </w:rPr>
              <w:t>redacted content</w:t>
            </w:r>
            <w:r w:rsidRPr="000717E1">
              <w:rPr>
                <w:rFonts w:ascii="Arial Narrow" w:eastAsiaTheme="majorEastAsia" w:hAnsi="Arial Narrow" w:cstheme="majorBidi"/>
                <w:sz w:val="20"/>
                <w:szCs w:val="20"/>
              </w:rPr>
              <w:t>% growth rate in the first two years of listing is reasonable, there is no evidence that this growth will slow down or plateau in future.</w:t>
            </w:r>
          </w:p>
          <w:p w14:paraId="3B11891E" w14:textId="6FB82AA7" w:rsidR="00775EFA" w:rsidRPr="00CC73DE" w:rsidRDefault="000E1258" w:rsidP="00B77713">
            <w:pPr>
              <w:jc w:val="left"/>
              <w:rPr>
                <w:rFonts w:ascii="Arial Narrow" w:eastAsiaTheme="majorEastAsia" w:hAnsi="Arial Narrow" w:cstheme="majorBidi"/>
                <w:iCs/>
                <w:sz w:val="20"/>
                <w:szCs w:val="20"/>
              </w:rPr>
            </w:pPr>
            <w:r w:rsidRPr="001F3F0F">
              <w:rPr>
                <w:rFonts w:ascii="Arial Narrow" w:eastAsiaTheme="majorEastAsia" w:hAnsi="Arial Narrow" w:cstheme="majorBidi"/>
                <w:iCs/>
                <w:sz w:val="20"/>
                <w:szCs w:val="20"/>
              </w:rPr>
              <w:t>The Sub-Committees considered that this estimate was uncertain.</w:t>
            </w:r>
            <w:r w:rsidR="002E19F7" w:rsidRPr="001F3F0F">
              <w:rPr>
                <w:rFonts w:ascii="Arial Narrow" w:eastAsiaTheme="majorEastAsia" w:hAnsi="Arial Narrow" w:cstheme="majorBidi"/>
                <w:iCs/>
                <w:sz w:val="20"/>
                <w:szCs w:val="20"/>
              </w:rPr>
              <w:t xml:space="preserve"> </w:t>
            </w:r>
            <w:r w:rsidR="00975DD4" w:rsidRPr="001F3F0F">
              <w:rPr>
                <w:rFonts w:ascii="Arial Narrow" w:eastAsiaTheme="majorEastAsia" w:hAnsi="Arial Narrow" w:cstheme="majorBidi"/>
                <w:iCs/>
                <w:sz w:val="20"/>
                <w:szCs w:val="20"/>
              </w:rPr>
              <w:t>The Sub-Committee</w:t>
            </w:r>
            <w:r w:rsidR="008C6B9C" w:rsidRPr="001F3F0F">
              <w:rPr>
                <w:rFonts w:ascii="Arial Narrow" w:eastAsiaTheme="majorEastAsia" w:hAnsi="Arial Narrow" w:cstheme="majorBidi"/>
                <w:iCs/>
                <w:sz w:val="20"/>
                <w:szCs w:val="20"/>
              </w:rPr>
              <w:t>s</w:t>
            </w:r>
            <w:r w:rsidR="00975DD4" w:rsidRPr="001F3F0F">
              <w:rPr>
                <w:rFonts w:ascii="Arial Narrow" w:eastAsiaTheme="majorEastAsia" w:hAnsi="Arial Narrow" w:cstheme="majorBidi"/>
                <w:iCs/>
                <w:sz w:val="20"/>
                <w:szCs w:val="20"/>
              </w:rPr>
              <w:t xml:space="preserve"> noted that </w:t>
            </w:r>
            <w:r w:rsidR="001070EA" w:rsidRPr="001F3F0F">
              <w:rPr>
                <w:rFonts w:ascii="Arial Narrow" w:eastAsiaTheme="majorEastAsia" w:hAnsi="Arial Narrow" w:cstheme="majorBidi"/>
                <w:iCs/>
                <w:sz w:val="20"/>
                <w:szCs w:val="20"/>
              </w:rPr>
              <w:t xml:space="preserve">the </w:t>
            </w:r>
            <w:r w:rsidR="00331ADA" w:rsidRPr="00331ADA">
              <w:rPr>
                <w:rFonts w:ascii="Arial Narrow" w:eastAsiaTheme="majorEastAsia" w:hAnsi="Arial Narrow" w:cstheme="majorBidi"/>
                <w:iCs/>
                <w:sz w:val="2"/>
                <w:szCs w:val="20"/>
                <w:highlight w:val="black"/>
              </w:rPr>
              <w:t>redacted content</w:t>
            </w:r>
            <w:r w:rsidR="00417C5A">
              <w:rPr>
                <w:rFonts w:ascii="Arial Narrow" w:eastAsiaTheme="majorEastAsia" w:hAnsi="Arial Narrow" w:cstheme="majorBidi"/>
                <w:iCs/>
                <w:sz w:val="20"/>
                <w:szCs w:val="20"/>
                <w:vertAlign w:val="superscript"/>
              </w:rPr>
              <w:t>1</w:t>
            </w:r>
            <w:r w:rsidR="001070EA" w:rsidRPr="001F3F0F">
              <w:rPr>
                <w:rFonts w:ascii="Arial Narrow" w:eastAsiaTheme="majorEastAsia" w:hAnsi="Arial Narrow" w:cstheme="majorBidi"/>
                <w:iCs/>
                <w:sz w:val="20"/>
                <w:szCs w:val="20"/>
              </w:rPr>
              <w:t xml:space="preserve"> patients reported </w:t>
            </w:r>
            <w:r w:rsidR="00F1414D" w:rsidRPr="001F3F0F">
              <w:rPr>
                <w:rFonts w:ascii="Arial Narrow" w:eastAsiaTheme="majorEastAsia" w:hAnsi="Arial Narrow" w:cstheme="majorBidi"/>
                <w:iCs/>
                <w:sz w:val="20"/>
                <w:szCs w:val="20"/>
              </w:rPr>
              <w:t xml:space="preserve">by the submission </w:t>
            </w:r>
            <w:r w:rsidR="001070EA" w:rsidRPr="001F3F0F">
              <w:rPr>
                <w:rFonts w:ascii="Arial Narrow" w:eastAsiaTheme="majorEastAsia" w:hAnsi="Arial Narrow" w:cstheme="majorBidi"/>
                <w:iCs/>
                <w:sz w:val="20"/>
                <w:szCs w:val="20"/>
              </w:rPr>
              <w:t xml:space="preserve">to be on triple therapy in 2025 was based on </w:t>
            </w:r>
            <w:r w:rsidR="00331ADA" w:rsidRPr="00331ADA">
              <w:rPr>
                <w:rFonts w:ascii="Arial Narrow" w:eastAsiaTheme="majorEastAsia" w:hAnsi="Arial Narrow" w:cstheme="majorBidi"/>
                <w:iCs/>
                <w:sz w:val="2"/>
                <w:szCs w:val="20"/>
                <w:highlight w:val="black"/>
              </w:rPr>
              <w:t>redacted content</w:t>
            </w:r>
            <w:r w:rsidR="00417C5A">
              <w:rPr>
                <w:rFonts w:ascii="Arial Narrow" w:eastAsiaTheme="majorEastAsia" w:hAnsi="Arial Narrow" w:cstheme="majorBidi"/>
                <w:iCs/>
                <w:sz w:val="20"/>
                <w:szCs w:val="20"/>
                <w:vertAlign w:val="superscript"/>
              </w:rPr>
              <w:t>1</w:t>
            </w:r>
            <w:r w:rsidR="002823DE" w:rsidRPr="001F3F0F">
              <w:rPr>
                <w:rFonts w:ascii="Arial Narrow" w:eastAsiaTheme="majorEastAsia" w:hAnsi="Arial Narrow" w:cstheme="majorBidi"/>
                <w:iCs/>
                <w:sz w:val="20"/>
                <w:szCs w:val="20"/>
              </w:rPr>
              <w:t xml:space="preserve"> patients receiving </w:t>
            </w:r>
            <w:r w:rsidR="00AC76D9" w:rsidRPr="001F3F0F">
              <w:rPr>
                <w:rFonts w:ascii="Arial Narrow" w:eastAsiaTheme="majorEastAsia" w:hAnsi="Arial Narrow" w:cstheme="majorBidi"/>
                <w:iCs/>
                <w:sz w:val="20"/>
                <w:szCs w:val="20"/>
              </w:rPr>
              <w:t xml:space="preserve">single inhaler </w:t>
            </w:r>
            <w:r w:rsidR="00264348" w:rsidRPr="001F3F0F">
              <w:rPr>
                <w:rFonts w:ascii="Arial Narrow" w:eastAsiaTheme="majorEastAsia" w:hAnsi="Arial Narrow" w:cstheme="majorBidi"/>
                <w:iCs/>
                <w:sz w:val="20"/>
                <w:szCs w:val="20"/>
              </w:rPr>
              <w:t xml:space="preserve">FDC triple therapy and </w:t>
            </w:r>
            <w:r w:rsidR="00331ADA" w:rsidRPr="00331ADA">
              <w:rPr>
                <w:rFonts w:ascii="Arial Narrow" w:eastAsiaTheme="majorEastAsia" w:hAnsi="Arial Narrow" w:cstheme="majorBidi"/>
                <w:iCs/>
                <w:sz w:val="2"/>
                <w:szCs w:val="20"/>
                <w:highlight w:val="black"/>
              </w:rPr>
              <w:t>redacted content</w:t>
            </w:r>
            <w:r w:rsidR="00417C5A">
              <w:rPr>
                <w:rFonts w:ascii="Arial Narrow" w:eastAsiaTheme="majorEastAsia" w:hAnsi="Arial Narrow" w:cstheme="majorBidi"/>
                <w:iCs/>
                <w:sz w:val="20"/>
                <w:szCs w:val="20"/>
                <w:vertAlign w:val="superscript"/>
              </w:rPr>
              <w:t>3</w:t>
            </w:r>
            <w:r w:rsidR="00482794" w:rsidRPr="001F3F0F">
              <w:rPr>
                <w:rFonts w:ascii="Arial Narrow" w:eastAsiaTheme="majorEastAsia" w:hAnsi="Arial Narrow" w:cstheme="majorBidi"/>
                <w:iCs/>
                <w:sz w:val="20"/>
                <w:szCs w:val="20"/>
              </w:rPr>
              <w:t xml:space="preserve"> patients </w:t>
            </w:r>
            <w:r w:rsidR="00BD7D0B" w:rsidRPr="001F3F0F">
              <w:rPr>
                <w:rFonts w:ascii="Arial Narrow" w:eastAsiaTheme="majorEastAsia" w:hAnsi="Arial Narrow" w:cstheme="majorBidi"/>
                <w:iCs/>
                <w:sz w:val="20"/>
                <w:szCs w:val="20"/>
              </w:rPr>
              <w:t>receiving open triple therapy</w:t>
            </w:r>
            <w:r w:rsidR="00721E9B" w:rsidRPr="001F3F0F">
              <w:rPr>
                <w:rFonts w:ascii="Arial Narrow" w:eastAsiaTheme="majorEastAsia" w:hAnsi="Arial Narrow" w:cstheme="majorBidi"/>
                <w:iCs/>
                <w:sz w:val="20"/>
                <w:szCs w:val="20"/>
              </w:rPr>
              <w:t>.</w:t>
            </w:r>
            <w:r w:rsidR="000F14AC" w:rsidRPr="001F3F0F">
              <w:rPr>
                <w:rFonts w:ascii="Arial Narrow" w:eastAsiaTheme="majorEastAsia" w:hAnsi="Arial Narrow" w:cstheme="majorBidi"/>
                <w:iCs/>
                <w:sz w:val="20"/>
                <w:szCs w:val="20"/>
              </w:rPr>
              <w:t xml:space="preserve"> The Sub-Committee</w:t>
            </w:r>
            <w:r w:rsidR="0027106E" w:rsidRPr="001F3F0F">
              <w:rPr>
                <w:rFonts w:ascii="Arial Narrow" w:eastAsiaTheme="majorEastAsia" w:hAnsi="Arial Narrow" w:cstheme="majorBidi"/>
                <w:iCs/>
                <w:sz w:val="20"/>
                <w:szCs w:val="20"/>
              </w:rPr>
              <w:t>s</w:t>
            </w:r>
            <w:r w:rsidR="000F14AC" w:rsidRPr="001F3F0F">
              <w:rPr>
                <w:rFonts w:ascii="Arial Narrow" w:eastAsiaTheme="majorEastAsia" w:hAnsi="Arial Narrow" w:cstheme="majorBidi"/>
                <w:iCs/>
                <w:sz w:val="20"/>
                <w:szCs w:val="20"/>
              </w:rPr>
              <w:t xml:space="preserve"> noted that </w:t>
            </w:r>
            <w:r w:rsidR="00545F77" w:rsidRPr="001F3F0F">
              <w:rPr>
                <w:rFonts w:ascii="Arial Narrow" w:eastAsiaTheme="majorEastAsia" w:hAnsi="Arial Narrow" w:cstheme="majorBidi"/>
                <w:iCs/>
                <w:sz w:val="20"/>
                <w:szCs w:val="20"/>
              </w:rPr>
              <w:t xml:space="preserve">based on the 100% PBS sample, </w:t>
            </w:r>
            <w:r w:rsidR="003B6989" w:rsidRPr="001F3F0F">
              <w:rPr>
                <w:rFonts w:ascii="Arial Narrow" w:eastAsiaTheme="majorEastAsia" w:hAnsi="Arial Narrow" w:cstheme="majorBidi"/>
                <w:iCs/>
                <w:sz w:val="20"/>
                <w:szCs w:val="20"/>
              </w:rPr>
              <w:t>the</w:t>
            </w:r>
            <w:r w:rsidR="00FD4AFA" w:rsidRPr="001F3F0F">
              <w:rPr>
                <w:rFonts w:ascii="Arial Narrow" w:eastAsiaTheme="majorEastAsia" w:hAnsi="Arial Narrow" w:cstheme="majorBidi"/>
                <w:iCs/>
                <w:sz w:val="20"/>
                <w:szCs w:val="20"/>
              </w:rPr>
              <w:t xml:space="preserve"> number of</w:t>
            </w:r>
            <w:r w:rsidR="003B6989" w:rsidRPr="001F3F0F">
              <w:rPr>
                <w:rFonts w:ascii="Arial Narrow" w:eastAsiaTheme="majorEastAsia" w:hAnsi="Arial Narrow" w:cstheme="majorBidi"/>
                <w:iCs/>
                <w:sz w:val="20"/>
                <w:szCs w:val="20"/>
              </w:rPr>
              <w:t xml:space="preserve"> prevalent patient</w:t>
            </w:r>
            <w:r w:rsidR="00FD4AFA" w:rsidRPr="001F3F0F">
              <w:rPr>
                <w:rFonts w:ascii="Arial Narrow" w:eastAsiaTheme="majorEastAsia" w:hAnsi="Arial Narrow" w:cstheme="majorBidi"/>
                <w:iCs/>
                <w:sz w:val="20"/>
                <w:szCs w:val="20"/>
              </w:rPr>
              <w:t xml:space="preserve">s </w:t>
            </w:r>
            <w:r w:rsidR="006C626B" w:rsidRPr="001F3F0F">
              <w:rPr>
                <w:rFonts w:ascii="Arial Narrow" w:eastAsiaTheme="majorEastAsia" w:hAnsi="Arial Narrow" w:cstheme="majorBidi"/>
                <w:iCs/>
                <w:sz w:val="20"/>
                <w:szCs w:val="20"/>
              </w:rPr>
              <w:t xml:space="preserve">who </w:t>
            </w:r>
            <w:r w:rsidR="00764CDF" w:rsidRPr="001F3F0F">
              <w:rPr>
                <w:rFonts w:ascii="Arial Narrow" w:eastAsiaTheme="majorEastAsia" w:hAnsi="Arial Narrow" w:cstheme="majorBidi"/>
                <w:iCs/>
                <w:sz w:val="20"/>
                <w:szCs w:val="20"/>
              </w:rPr>
              <w:t xml:space="preserve">had received at least one </w:t>
            </w:r>
            <w:r w:rsidR="00F45862" w:rsidRPr="001F3F0F">
              <w:rPr>
                <w:rFonts w:ascii="Arial Narrow" w:eastAsiaTheme="majorEastAsia" w:hAnsi="Arial Narrow" w:cstheme="majorBidi"/>
                <w:iCs/>
                <w:sz w:val="20"/>
                <w:szCs w:val="20"/>
              </w:rPr>
              <w:t xml:space="preserve">prescription for </w:t>
            </w:r>
            <w:r w:rsidR="00AC76D9" w:rsidRPr="001F3F0F">
              <w:rPr>
                <w:rFonts w:ascii="Arial Narrow" w:eastAsiaTheme="majorEastAsia" w:hAnsi="Arial Narrow" w:cstheme="majorBidi"/>
                <w:iCs/>
                <w:sz w:val="20"/>
                <w:szCs w:val="20"/>
              </w:rPr>
              <w:t xml:space="preserve">single inhaler </w:t>
            </w:r>
            <w:r w:rsidR="00F45862" w:rsidRPr="001F3F0F">
              <w:rPr>
                <w:rFonts w:ascii="Arial Narrow" w:eastAsiaTheme="majorEastAsia" w:hAnsi="Arial Narrow" w:cstheme="majorBidi"/>
                <w:iCs/>
                <w:sz w:val="20"/>
                <w:szCs w:val="20"/>
              </w:rPr>
              <w:t xml:space="preserve">FDC triple therapy in </w:t>
            </w:r>
            <w:r w:rsidR="008F560A" w:rsidRPr="001F3F0F">
              <w:rPr>
                <w:rFonts w:ascii="Arial Narrow" w:eastAsiaTheme="majorEastAsia" w:hAnsi="Arial Narrow" w:cstheme="majorBidi"/>
                <w:iCs/>
                <w:sz w:val="20"/>
                <w:szCs w:val="20"/>
              </w:rPr>
              <w:t>2025 was</w:t>
            </w:r>
            <w:r w:rsidR="00FD4AFA" w:rsidRPr="001F3F0F">
              <w:rPr>
                <w:rFonts w:ascii="Arial Narrow" w:eastAsiaTheme="majorEastAsia" w:hAnsi="Arial Narrow" w:cstheme="majorBidi"/>
                <w:iCs/>
                <w:sz w:val="20"/>
                <w:szCs w:val="20"/>
              </w:rPr>
              <w:t xml:space="preserve"> 186,168</w:t>
            </w:r>
            <w:r w:rsidR="0055661A" w:rsidRPr="001F3F0F">
              <w:rPr>
                <w:rFonts w:ascii="Arial Narrow" w:eastAsiaTheme="majorEastAsia" w:hAnsi="Arial Narrow" w:cstheme="majorBidi"/>
                <w:iCs/>
                <w:sz w:val="20"/>
                <w:szCs w:val="20"/>
              </w:rPr>
              <w:t xml:space="preserve"> </w:t>
            </w:r>
            <w:r w:rsidR="000943F3">
              <w:rPr>
                <w:rFonts w:ascii="Arial Narrow" w:eastAsiaTheme="majorEastAsia" w:hAnsi="Arial Narrow" w:cstheme="majorBidi"/>
                <w:iCs/>
                <w:sz w:val="20"/>
                <w:szCs w:val="20"/>
              </w:rPr>
              <w:t>(</w:t>
            </w:r>
            <w:r w:rsidR="000943F3" w:rsidRPr="000943F3">
              <w:rPr>
                <w:rFonts w:ascii="Arial Narrow" w:eastAsiaTheme="majorEastAsia" w:hAnsi="Arial Narrow" w:cstheme="majorBidi"/>
                <w:iCs/>
                <w:sz w:val="20"/>
                <w:szCs w:val="20"/>
              </w:rPr>
              <w:t xml:space="preserve">see </w:t>
            </w:r>
            <w:r w:rsidR="000943F3" w:rsidRPr="000943F3">
              <w:rPr>
                <w:rFonts w:ascii="Arial Narrow" w:eastAsiaTheme="majorEastAsia" w:hAnsi="Arial Narrow" w:cstheme="majorBidi"/>
                <w:iCs/>
                <w:sz w:val="20"/>
                <w:szCs w:val="20"/>
              </w:rPr>
              <w:fldChar w:fldCharType="begin"/>
            </w:r>
            <w:r w:rsidR="000943F3" w:rsidRPr="000943F3">
              <w:rPr>
                <w:rFonts w:ascii="Arial Narrow" w:eastAsiaTheme="majorEastAsia" w:hAnsi="Arial Narrow" w:cstheme="majorBidi"/>
                <w:iCs/>
                <w:sz w:val="20"/>
                <w:szCs w:val="20"/>
              </w:rPr>
              <w:instrText xml:space="preserve"> REF _Ref225427706 \h  \* MERGEFORMAT </w:instrText>
            </w:r>
            <w:r w:rsidR="000943F3" w:rsidRPr="000943F3">
              <w:rPr>
                <w:rFonts w:ascii="Arial Narrow" w:eastAsiaTheme="majorEastAsia" w:hAnsi="Arial Narrow" w:cstheme="majorBidi"/>
                <w:iCs/>
                <w:sz w:val="20"/>
                <w:szCs w:val="20"/>
              </w:rPr>
            </w:r>
            <w:r w:rsidR="000943F3" w:rsidRPr="000943F3">
              <w:rPr>
                <w:rFonts w:ascii="Arial Narrow" w:eastAsiaTheme="majorEastAsia" w:hAnsi="Arial Narrow" w:cstheme="majorBidi"/>
                <w:iCs/>
                <w:sz w:val="20"/>
                <w:szCs w:val="20"/>
              </w:rPr>
              <w:fldChar w:fldCharType="separate"/>
            </w:r>
            <w:r w:rsidR="00E41EEC" w:rsidRPr="00E41EEC">
              <w:rPr>
                <w:rFonts w:ascii="Arial Narrow" w:hAnsi="Arial Narrow"/>
                <w:snapToGrid w:val="0"/>
                <w:sz w:val="20"/>
                <w:szCs w:val="20"/>
              </w:rPr>
              <w:t xml:space="preserve">Table </w:t>
            </w:r>
            <w:r w:rsidR="00E41EEC" w:rsidRPr="00E41EEC">
              <w:rPr>
                <w:rFonts w:ascii="Arial Narrow" w:hAnsi="Arial Narrow"/>
                <w:noProof/>
                <w:snapToGrid w:val="0"/>
                <w:sz w:val="20"/>
                <w:szCs w:val="20"/>
              </w:rPr>
              <w:t>19</w:t>
            </w:r>
            <w:r w:rsidR="000943F3" w:rsidRPr="000943F3">
              <w:rPr>
                <w:rFonts w:ascii="Arial Narrow" w:eastAsiaTheme="majorEastAsia" w:hAnsi="Arial Narrow" w:cstheme="majorBidi"/>
                <w:iCs/>
                <w:sz w:val="20"/>
                <w:szCs w:val="20"/>
              </w:rPr>
              <w:fldChar w:fldCharType="end"/>
            </w:r>
            <w:r w:rsidR="000943F3">
              <w:rPr>
                <w:rFonts w:ascii="Arial Narrow" w:eastAsiaTheme="majorEastAsia" w:hAnsi="Arial Narrow" w:cstheme="majorBidi"/>
                <w:iCs/>
                <w:sz w:val="20"/>
                <w:szCs w:val="20"/>
              </w:rPr>
              <w:t xml:space="preserve">). </w:t>
            </w:r>
          </w:p>
        </w:tc>
      </w:tr>
      <w:tr w:rsidR="001429A4" w:rsidRPr="000717E1" w14:paraId="0C218946" w14:textId="77777777" w:rsidTr="00B77713">
        <w:tc>
          <w:tcPr>
            <w:tcW w:w="1020" w:type="pct"/>
          </w:tcPr>
          <w:p w14:paraId="0C337B90" w14:textId="77777777" w:rsidR="00775EFA" w:rsidRPr="000717E1" w:rsidRDefault="00775EFA" w:rsidP="00B77713">
            <w:pPr>
              <w:jc w:val="left"/>
              <w:rPr>
                <w:rFonts w:ascii="Arial Narrow" w:eastAsiaTheme="majorEastAsia" w:hAnsi="Arial Narrow" w:cstheme="majorBidi"/>
                <w:sz w:val="20"/>
                <w:szCs w:val="20"/>
              </w:rPr>
            </w:pPr>
            <w:r w:rsidRPr="000717E1">
              <w:rPr>
                <w:rFonts w:ascii="Arial Narrow" w:eastAsiaTheme="majorEastAsia" w:hAnsi="Arial Narrow" w:cstheme="majorBidi"/>
                <w:sz w:val="20"/>
                <w:szCs w:val="20"/>
              </w:rPr>
              <w:t>Serum eosinophils ≥ 300 µL</w:t>
            </w:r>
          </w:p>
        </w:tc>
        <w:tc>
          <w:tcPr>
            <w:tcW w:w="1102" w:type="pct"/>
          </w:tcPr>
          <w:p w14:paraId="2E17EF4C" w14:textId="77777777" w:rsidR="00775EFA" w:rsidRPr="000717E1" w:rsidRDefault="00775EFA" w:rsidP="00B77713">
            <w:pPr>
              <w:jc w:val="left"/>
              <w:rPr>
                <w:rFonts w:ascii="Arial Narrow" w:eastAsiaTheme="majorEastAsia" w:hAnsi="Arial Narrow" w:cstheme="majorBidi"/>
                <w:sz w:val="20"/>
                <w:szCs w:val="20"/>
              </w:rPr>
            </w:pPr>
            <w:r w:rsidRPr="000717E1">
              <w:rPr>
                <w:rFonts w:ascii="Arial Narrow" w:eastAsiaTheme="majorEastAsia" w:hAnsi="Arial Narrow" w:cstheme="majorBidi"/>
                <w:sz w:val="20"/>
                <w:szCs w:val="20"/>
              </w:rPr>
              <w:t>33.7%</w:t>
            </w:r>
          </w:p>
        </w:tc>
        <w:tc>
          <w:tcPr>
            <w:tcW w:w="1022" w:type="pct"/>
          </w:tcPr>
          <w:p w14:paraId="674401FC" w14:textId="2808B111" w:rsidR="00775EFA" w:rsidRPr="000717E1" w:rsidRDefault="00775EFA" w:rsidP="00B77713">
            <w:pPr>
              <w:jc w:val="left"/>
              <w:rPr>
                <w:rFonts w:ascii="Arial Narrow" w:eastAsiaTheme="majorEastAsia" w:hAnsi="Arial Narrow" w:cstheme="majorBidi"/>
                <w:sz w:val="20"/>
                <w:szCs w:val="20"/>
              </w:rPr>
            </w:pPr>
            <w:r w:rsidRPr="000717E1">
              <w:rPr>
                <w:rFonts w:ascii="Arial Narrow" w:eastAsiaTheme="majorEastAsia" w:hAnsi="Arial Narrow" w:cstheme="majorBidi"/>
                <w:sz w:val="20"/>
                <w:szCs w:val="20"/>
              </w:rPr>
              <w:t>BOREAS CSR p42</w:t>
            </w:r>
          </w:p>
        </w:tc>
        <w:tc>
          <w:tcPr>
            <w:tcW w:w="1856" w:type="pct"/>
          </w:tcPr>
          <w:p w14:paraId="370D1669" w14:textId="77777777" w:rsidR="00775EFA" w:rsidRPr="000717E1" w:rsidRDefault="00775EFA" w:rsidP="00B77713">
            <w:pPr>
              <w:jc w:val="left"/>
              <w:rPr>
                <w:rFonts w:ascii="Arial Narrow" w:eastAsiaTheme="majorEastAsia" w:hAnsi="Arial Narrow" w:cstheme="majorBidi"/>
                <w:sz w:val="20"/>
                <w:szCs w:val="20"/>
              </w:rPr>
            </w:pPr>
            <w:r w:rsidRPr="000717E1">
              <w:rPr>
                <w:rFonts w:ascii="Arial Narrow" w:eastAsiaTheme="majorEastAsia" w:hAnsi="Arial Narrow" w:cstheme="majorBidi"/>
                <w:sz w:val="20"/>
                <w:szCs w:val="20"/>
              </w:rPr>
              <w:t xml:space="preserve">Same input as Epidemiological approach. See above for comment on this input. </w:t>
            </w:r>
          </w:p>
        </w:tc>
      </w:tr>
      <w:tr w:rsidR="001429A4" w:rsidRPr="000717E1" w14:paraId="3DD47976" w14:textId="77777777" w:rsidTr="00B77713">
        <w:tc>
          <w:tcPr>
            <w:tcW w:w="1020" w:type="pct"/>
          </w:tcPr>
          <w:p w14:paraId="7D9BEEB5" w14:textId="77777777" w:rsidR="00775EFA" w:rsidRPr="000717E1" w:rsidRDefault="00775EFA" w:rsidP="00B77713">
            <w:pPr>
              <w:jc w:val="left"/>
              <w:rPr>
                <w:rFonts w:ascii="Arial Narrow" w:eastAsiaTheme="majorEastAsia" w:hAnsi="Arial Narrow" w:cstheme="majorBidi"/>
                <w:sz w:val="20"/>
                <w:szCs w:val="20"/>
              </w:rPr>
            </w:pPr>
            <w:r w:rsidRPr="000717E1">
              <w:rPr>
                <w:rFonts w:ascii="Arial Narrow" w:eastAsiaTheme="majorEastAsia" w:hAnsi="Arial Narrow" w:cstheme="majorBidi"/>
                <w:sz w:val="20"/>
                <w:szCs w:val="20"/>
              </w:rPr>
              <w:t>Proportion at high risk of exacerbation</w:t>
            </w:r>
          </w:p>
        </w:tc>
        <w:tc>
          <w:tcPr>
            <w:tcW w:w="1102" w:type="pct"/>
          </w:tcPr>
          <w:p w14:paraId="6221A35E" w14:textId="216F10DF" w:rsidR="00775EFA" w:rsidRPr="000717E1" w:rsidRDefault="00331ADA" w:rsidP="00B77713">
            <w:pPr>
              <w:jc w:val="left"/>
              <w:rPr>
                <w:rFonts w:ascii="Arial Narrow" w:eastAsiaTheme="majorEastAsia" w:hAnsi="Arial Narrow" w:cstheme="majorBidi"/>
                <w:sz w:val="20"/>
                <w:szCs w:val="20"/>
              </w:rPr>
            </w:pPr>
            <w:r w:rsidRPr="00331ADA">
              <w:rPr>
                <w:rFonts w:ascii="Arial Narrow" w:eastAsiaTheme="majorEastAsia" w:hAnsi="Arial Narrow" w:cstheme="majorBidi"/>
                <w:sz w:val="2"/>
                <w:szCs w:val="20"/>
                <w:highlight w:val="black"/>
              </w:rPr>
              <w:t>redacted content</w:t>
            </w:r>
            <w:r w:rsidR="00775EFA" w:rsidRPr="000717E1">
              <w:rPr>
                <w:rFonts w:ascii="Arial Narrow" w:eastAsiaTheme="majorEastAsia" w:hAnsi="Arial Narrow" w:cstheme="majorBidi"/>
                <w:sz w:val="20"/>
                <w:szCs w:val="20"/>
              </w:rPr>
              <w:t>%</w:t>
            </w:r>
          </w:p>
        </w:tc>
        <w:tc>
          <w:tcPr>
            <w:tcW w:w="1022" w:type="pct"/>
          </w:tcPr>
          <w:p w14:paraId="3F8532AD" w14:textId="77777777" w:rsidR="00775EFA" w:rsidRPr="000717E1" w:rsidRDefault="00775EFA" w:rsidP="00B77713">
            <w:pPr>
              <w:jc w:val="left"/>
              <w:rPr>
                <w:rFonts w:ascii="Arial Narrow" w:eastAsiaTheme="majorEastAsia" w:hAnsi="Arial Narrow" w:cstheme="majorBidi"/>
                <w:sz w:val="20"/>
                <w:szCs w:val="20"/>
              </w:rPr>
            </w:pPr>
            <w:r w:rsidRPr="000717E1">
              <w:rPr>
                <w:rFonts w:ascii="Arial Narrow" w:eastAsiaTheme="majorEastAsia" w:hAnsi="Arial Narrow" w:cstheme="majorBidi"/>
                <w:sz w:val="20"/>
                <w:szCs w:val="20"/>
              </w:rPr>
              <w:t xml:space="preserve">Average of the proportion of moderate and severe COPD patients at high risk of exacerbation from Epidemiological </w:t>
            </w:r>
            <w:r w:rsidRPr="000717E1">
              <w:rPr>
                <w:rFonts w:ascii="Arial Narrow" w:eastAsiaTheme="majorEastAsia" w:hAnsi="Arial Narrow" w:cstheme="majorBidi"/>
                <w:sz w:val="20"/>
                <w:szCs w:val="20"/>
              </w:rPr>
              <w:lastRenderedPageBreak/>
              <w:t>approach (METIS survey)</w:t>
            </w:r>
          </w:p>
        </w:tc>
        <w:tc>
          <w:tcPr>
            <w:tcW w:w="1856" w:type="pct"/>
          </w:tcPr>
          <w:p w14:paraId="73F5F568" w14:textId="77777777" w:rsidR="00775EFA" w:rsidRPr="000717E1" w:rsidRDefault="00775EFA" w:rsidP="00B77713">
            <w:pPr>
              <w:jc w:val="left"/>
              <w:rPr>
                <w:rFonts w:ascii="Arial Narrow" w:eastAsiaTheme="majorEastAsia" w:hAnsi="Arial Narrow" w:cstheme="majorBidi"/>
                <w:sz w:val="20"/>
                <w:szCs w:val="20"/>
              </w:rPr>
            </w:pPr>
            <w:r w:rsidRPr="000717E1">
              <w:rPr>
                <w:rFonts w:ascii="Arial Narrow" w:eastAsiaTheme="majorEastAsia" w:hAnsi="Arial Narrow" w:cstheme="majorBidi"/>
                <w:sz w:val="20"/>
                <w:szCs w:val="20"/>
              </w:rPr>
              <w:lastRenderedPageBreak/>
              <w:t xml:space="preserve">Same input as Epidemiological approach. See above for comment on this input. </w:t>
            </w:r>
          </w:p>
        </w:tc>
      </w:tr>
      <w:tr w:rsidR="008C3527" w:rsidRPr="000717E1" w14:paraId="2EDF0BAF" w14:textId="77777777" w:rsidTr="00D53D4A">
        <w:tc>
          <w:tcPr>
            <w:tcW w:w="5000" w:type="pct"/>
            <w:gridSpan w:val="4"/>
            <w:vAlign w:val="center"/>
          </w:tcPr>
          <w:p w14:paraId="1B448640" w14:textId="5437F5D9" w:rsidR="00775EFA" w:rsidRPr="000717E1" w:rsidRDefault="00775EFA" w:rsidP="00BA74E1">
            <w:pPr>
              <w:keepNext/>
              <w:keepLines/>
              <w:ind w:left="174" w:hanging="174"/>
              <w:rPr>
                <w:rFonts w:ascii="Arial Narrow" w:eastAsiaTheme="majorEastAsia" w:hAnsi="Arial Narrow" w:cs="Times New Roman"/>
                <w:b/>
                <w:sz w:val="20"/>
                <w:szCs w:val="20"/>
              </w:rPr>
            </w:pPr>
            <w:r w:rsidRPr="000717E1">
              <w:rPr>
                <w:rFonts w:ascii="Arial Narrow" w:eastAsiaTheme="majorEastAsia" w:hAnsi="Arial Narrow" w:cs="Times New Roman"/>
                <w:b/>
                <w:sz w:val="20"/>
                <w:szCs w:val="20"/>
              </w:rPr>
              <w:t xml:space="preserve">Average of Epidemiological and </w:t>
            </w:r>
            <w:r w:rsidR="004A315C" w:rsidRPr="000717E1">
              <w:rPr>
                <w:rFonts w:ascii="Arial Narrow" w:eastAsiaTheme="majorEastAsia" w:hAnsi="Arial Narrow" w:cs="Times New Roman"/>
                <w:b/>
                <w:sz w:val="20"/>
                <w:szCs w:val="20"/>
              </w:rPr>
              <w:t>PBS 10% sample</w:t>
            </w:r>
            <w:r w:rsidRPr="000717E1">
              <w:rPr>
                <w:rFonts w:ascii="Arial Narrow" w:eastAsiaTheme="majorEastAsia" w:hAnsi="Arial Narrow" w:cs="Times New Roman"/>
                <w:b/>
                <w:sz w:val="20"/>
                <w:szCs w:val="20"/>
              </w:rPr>
              <w:t xml:space="preserve"> approaches</w:t>
            </w:r>
          </w:p>
        </w:tc>
      </w:tr>
      <w:tr w:rsidR="001429A4" w:rsidRPr="000717E1" w14:paraId="502040A1" w14:textId="77777777" w:rsidTr="00B77713">
        <w:tc>
          <w:tcPr>
            <w:tcW w:w="1020" w:type="pct"/>
          </w:tcPr>
          <w:p w14:paraId="3DD00886" w14:textId="77777777" w:rsidR="00775EFA" w:rsidRPr="000717E1" w:rsidRDefault="00775EFA" w:rsidP="00B77713">
            <w:pPr>
              <w:jc w:val="left"/>
              <w:rPr>
                <w:rFonts w:ascii="Arial Narrow" w:eastAsiaTheme="majorEastAsia" w:hAnsi="Arial Narrow" w:cstheme="majorBidi"/>
                <w:sz w:val="20"/>
                <w:szCs w:val="20"/>
              </w:rPr>
            </w:pPr>
            <w:r w:rsidRPr="000717E1">
              <w:rPr>
                <w:rFonts w:ascii="Arial Narrow" w:eastAsiaTheme="majorEastAsia" w:hAnsi="Arial Narrow" w:cstheme="majorBidi"/>
                <w:sz w:val="20"/>
                <w:szCs w:val="20"/>
              </w:rPr>
              <w:t>Base case eligible population</w:t>
            </w:r>
          </w:p>
        </w:tc>
        <w:tc>
          <w:tcPr>
            <w:tcW w:w="1102" w:type="pct"/>
          </w:tcPr>
          <w:p w14:paraId="70E3CF3F" w14:textId="0535021C" w:rsidR="00775EFA" w:rsidRPr="00685156" w:rsidRDefault="00775EFA" w:rsidP="00B77713">
            <w:pPr>
              <w:jc w:val="left"/>
              <w:rPr>
                <w:rFonts w:ascii="Arial Narrow" w:eastAsiaTheme="majorEastAsia" w:hAnsi="Arial Narrow" w:cstheme="majorBidi"/>
                <w:sz w:val="20"/>
                <w:szCs w:val="20"/>
                <w:vertAlign w:val="superscript"/>
              </w:rPr>
            </w:pPr>
            <w:r w:rsidRPr="000717E1">
              <w:rPr>
                <w:rFonts w:ascii="Arial Narrow" w:eastAsiaTheme="majorEastAsia" w:hAnsi="Arial Narrow" w:cstheme="majorBidi"/>
                <w:sz w:val="20"/>
                <w:szCs w:val="20"/>
              </w:rPr>
              <w:t xml:space="preserve">Yr 1: </w:t>
            </w:r>
            <w:r w:rsidR="00331ADA" w:rsidRPr="00331ADA">
              <w:rPr>
                <w:rFonts w:ascii="Arial Narrow" w:eastAsiaTheme="majorEastAsia" w:hAnsi="Arial Narrow" w:cstheme="majorBidi"/>
                <w:sz w:val="2"/>
                <w:szCs w:val="20"/>
                <w:highlight w:val="black"/>
              </w:rPr>
              <w:t>redacted content</w:t>
            </w:r>
            <w:r w:rsidR="00685156">
              <w:rPr>
                <w:rFonts w:ascii="Arial Narrow" w:eastAsiaTheme="majorEastAsia" w:hAnsi="Arial Narrow" w:cstheme="majorBidi"/>
                <w:sz w:val="20"/>
                <w:szCs w:val="20"/>
                <w:vertAlign w:val="superscript"/>
              </w:rPr>
              <w:t>4</w:t>
            </w:r>
          </w:p>
          <w:p w14:paraId="6E92AA88" w14:textId="270C6FC0" w:rsidR="00775EFA" w:rsidRPr="00685156" w:rsidRDefault="00775EFA" w:rsidP="00B77713">
            <w:pPr>
              <w:jc w:val="left"/>
              <w:rPr>
                <w:rFonts w:ascii="Arial Narrow" w:eastAsiaTheme="majorEastAsia" w:hAnsi="Arial Narrow" w:cstheme="majorBidi"/>
                <w:sz w:val="20"/>
                <w:szCs w:val="20"/>
                <w:vertAlign w:val="superscript"/>
              </w:rPr>
            </w:pPr>
            <w:r w:rsidRPr="000717E1">
              <w:rPr>
                <w:rFonts w:ascii="Arial Narrow" w:eastAsiaTheme="majorEastAsia" w:hAnsi="Arial Narrow" w:cstheme="majorBidi"/>
                <w:sz w:val="20"/>
                <w:szCs w:val="20"/>
              </w:rPr>
              <w:t xml:space="preserve">Yr 2: </w:t>
            </w:r>
            <w:r w:rsidR="00331ADA" w:rsidRPr="00331ADA">
              <w:rPr>
                <w:rFonts w:ascii="Arial Narrow" w:eastAsiaTheme="majorEastAsia" w:hAnsi="Arial Narrow" w:cstheme="majorBidi"/>
                <w:sz w:val="2"/>
                <w:szCs w:val="20"/>
                <w:highlight w:val="black"/>
              </w:rPr>
              <w:t>redacted content</w:t>
            </w:r>
            <w:r w:rsidR="00685156">
              <w:rPr>
                <w:rFonts w:ascii="Arial Narrow" w:eastAsiaTheme="majorEastAsia" w:hAnsi="Arial Narrow" w:cstheme="majorBidi"/>
                <w:sz w:val="20"/>
                <w:szCs w:val="20"/>
                <w:vertAlign w:val="superscript"/>
              </w:rPr>
              <w:t>3</w:t>
            </w:r>
          </w:p>
          <w:p w14:paraId="0BA50CFC" w14:textId="4A1D2FDF" w:rsidR="00775EFA" w:rsidRPr="000717E1" w:rsidRDefault="00775EFA" w:rsidP="00B77713">
            <w:pPr>
              <w:jc w:val="left"/>
              <w:rPr>
                <w:rFonts w:ascii="Arial Narrow" w:eastAsiaTheme="majorEastAsia" w:hAnsi="Arial Narrow" w:cstheme="majorBidi"/>
                <w:sz w:val="20"/>
                <w:szCs w:val="20"/>
              </w:rPr>
            </w:pPr>
            <w:r w:rsidRPr="000717E1">
              <w:rPr>
                <w:rFonts w:ascii="Arial Narrow" w:eastAsiaTheme="majorEastAsia" w:hAnsi="Arial Narrow" w:cstheme="majorBidi"/>
                <w:sz w:val="20"/>
                <w:szCs w:val="20"/>
              </w:rPr>
              <w:t xml:space="preserve">Yr 3: </w:t>
            </w:r>
            <w:r w:rsidR="00331ADA" w:rsidRPr="00331ADA">
              <w:rPr>
                <w:rFonts w:ascii="Arial Narrow" w:eastAsiaTheme="majorEastAsia" w:hAnsi="Arial Narrow" w:cstheme="majorBidi"/>
                <w:sz w:val="2"/>
                <w:szCs w:val="20"/>
                <w:highlight w:val="black"/>
              </w:rPr>
              <w:t>redacted content</w:t>
            </w:r>
            <w:r w:rsidR="00685156">
              <w:rPr>
                <w:rFonts w:ascii="Arial Narrow" w:eastAsiaTheme="majorEastAsia" w:hAnsi="Arial Narrow" w:cstheme="majorBidi"/>
                <w:sz w:val="20"/>
                <w:szCs w:val="20"/>
                <w:vertAlign w:val="superscript"/>
              </w:rPr>
              <w:t>3</w:t>
            </w:r>
          </w:p>
          <w:p w14:paraId="55EFD079" w14:textId="2497900E" w:rsidR="00775EFA" w:rsidRPr="000717E1" w:rsidRDefault="00775EFA" w:rsidP="00B77713">
            <w:pPr>
              <w:jc w:val="left"/>
              <w:rPr>
                <w:rFonts w:ascii="Arial Narrow" w:eastAsiaTheme="majorEastAsia" w:hAnsi="Arial Narrow" w:cstheme="majorBidi"/>
                <w:sz w:val="20"/>
                <w:szCs w:val="20"/>
              </w:rPr>
            </w:pPr>
            <w:r w:rsidRPr="000717E1">
              <w:rPr>
                <w:rFonts w:ascii="Arial Narrow" w:eastAsiaTheme="majorEastAsia" w:hAnsi="Arial Narrow" w:cstheme="majorBidi"/>
                <w:sz w:val="20"/>
                <w:szCs w:val="20"/>
              </w:rPr>
              <w:t xml:space="preserve">Yr 4: </w:t>
            </w:r>
            <w:r w:rsidR="00331ADA" w:rsidRPr="00331ADA">
              <w:rPr>
                <w:rFonts w:ascii="Arial Narrow" w:eastAsiaTheme="majorEastAsia" w:hAnsi="Arial Narrow" w:cstheme="majorBidi"/>
                <w:sz w:val="2"/>
                <w:szCs w:val="20"/>
                <w:highlight w:val="black"/>
              </w:rPr>
              <w:t>redacted content</w:t>
            </w:r>
            <w:r w:rsidR="00685156">
              <w:rPr>
                <w:rFonts w:ascii="Arial Narrow" w:eastAsiaTheme="majorEastAsia" w:hAnsi="Arial Narrow" w:cstheme="majorBidi"/>
                <w:sz w:val="20"/>
                <w:szCs w:val="20"/>
                <w:vertAlign w:val="superscript"/>
              </w:rPr>
              <w:t>3</w:t>
            </w:r>
          </w:p>
          <w:p w14:paraId="6C1DA33F" w14:textId="328AACF1" w:rsidR="00775EFA" w:rsidRPr="000717E1" w:rsidRDefault="00775EFA" w:rsidP="00B77713">
            <w:pPr>
              <w:jc w:val="left"/>
              <w:rPr>
                <w:rFonts w:ascii="Arial Narrow" w:eastAsiaTheme="majorEastAsia" w:hAnsi="Arial Narrow" w:cstheme="majorBidi"/>
                <w:sz w:val="20"/>
                <w:szCs w:val="20"/>
              </w:rPr>
            </w:pPr>
            <w:r w:rsidRPr="000717E1">
              <w:rPr>
                <w:rFonts w:ascii="Arial Narrow" w:eastAsiaTheme="majorEastAsia" w:hAnsi="Arial Narrow" w:cstheme="majorBidi"/>
                <w:sz w:val="20"/>
                <w:szCs w:val="20"/>
              </w:rPr>
              <w:t xml:space="preserve">Yr 5: </w:t>
            </w:r>
            <w:r w:rsidR="00331ADA" w:rsidRPr="00331ADA">
              <w:rPr>
                <w:rFonts w:ascii="Arial Narrow" w:eastAsiaTheme="majorEastAsia" w:hAnsi="Arial Narrow" w:cstheme="majorBidi"/>
                <w:sz w:val="2"/>
                <w:szCs w:val="20"/>
                <w:highlight w:val="black"/>
              </w:rPr>
              <w:t>redacted content</w:t>
            </w:r>
            <w:r w:rsidR="00685156">
              <w:rPr>
                <w:rFonts w:ascii="Arial Narrow" w:eastAsiaTheme="majorEastAsia" w:hAnsi="Arial Narrow" w:cstheme="majorBidi"/>
                <w:sz w:val="20"/>
                <w:szCs w:val="20"/>
                <w:vertAlign w:val="superscript"/>
              </w:rPr>
              <w:t>3</w:t>
            </w:r>
          </w:p>
          <w:p w14:paraId="480C9A4D" w14:textId="23448253" w:rsidR="00775EFA" w:rsidRPr="000717E1" w:rsidRDefault="00775EFA" w:rsidP="00B77713">
            <w:pPr>
              <w:jc w:val="left"/>
              <w:rPr>
                <w:rFonts w:ascii="Arial Narrow" w:eastAsiaTheme="majorEastAsia" w:hAnsi="Arial Narrow" w:cstheme="majorBidi"/>
                <w:sz w:val="20"/>
                <w:szCs w:val="20"/>
              </w:rPr>
            </w:pPr>
            <w:r w:rsidRPr="000717E1">
              <w:rPr>
                <w:rFonts w:ascii="Arial Narrow" w:eastAsiaTheme="majorEastAsia" w:hAnsi="Arial Narrow" w:cstheme="majorBidi"/>
                <w:sz w:val="20"/>
                <w:szCs w:val="20"/>
              </w:rPr>
              <w:t xml:space="preserve">Yr 6: </w:t>
            </w:r>
            <w:r w:rsidR="00331ADA" w:rsidRPr="00331ADA">
              <w:rPr>
                <w:rFonts w:ascii="Arial Narrow" w:eastAsiaTheme="majorEastAsia" w:hAnsi="Arial Narrow" w:cstheme="majorBidi"/>
                <w:sz w:val="2"/>
                <w:szCs w:val="20"/>
                <w:highlight w:val="black"/>
              </w:rPr>
              <w:t>redacted content</w:t>
            </w:r>
            <w:r w:rsidR="00685156">
              <w:rPr>
                <w:rFonts w:ascii="Arial Narrow" w:eastAsiaTheme="majorEastAsia" w:hAnsi="Arial Narrow" w:cstheme="majorBidi"/>
                <w:sz w:val="20"/>
                <w:szCs w:val="20"/>
                <w:vertAlign w:val="superscript"/>
              </w:rPr>
              <w:t>3</w:t>
            </w:r>
          </w:p>
        </w:tc>
        <w:tc>
          <w:tcPr>
            <w:tcW w:w="1022" w:type="pct"/>
          </w:tcPr>
          <w:p w14:paraId="268863E6" w14:textId="22073FF3" w:rsidR="00775EFA" w:rsidRPr="000717E1" w:rsidRDefault="00775EFA" w:rsidP="00B77713">
            <w:pPr>
              <w:jc w:val="left"/>
              <w:rPr>
                <w:rFonts w:ascii="Arial Narrow" w:eastAsiaTheme="majorEastAsia" w:hAnsi="Arial Narrow" w:cstheme="majorBidi"/>
                <w:sz w:val="20"/>
                <w:szCs w:val="20"/>
              </w:rPr>
            </w:pPr>
            <w:r w:rsidRPr="000717E1">
              <w:rPr>
                <w:rFonts w:ascii="Arial Narrow" w:eastAsiaTheme="majorEastAsia" w:hAnsi="Arial Narrow" w:cstheme="majorBidi"/>
                <w:sz w:val="20"/>
                <w:szCs w:val="20"/>
              </w:rPr>
              <w:t xml:space="preserve">Eligible patient population determined by averaging </w:t>
            </w:r>
            <w:r w:rsidR="0076407E" w:rsidRPr="000717E1">
              <w:rPr>
                <w:rFonts w:ascii="Arial Narrow" w:eastAsiaTheme="majorEastAsia" w:hAnsi="Arial Narrow" w:cstheme="majorBidi"/>
                <w:sz w:val="20"/>
                <w:szCs w:val="20"/>
              </w:rPr>
              <w:t>both the</w:t>
            </w:r>
            <w:r w:rsidR="00150B05" w:rsidRPr="000717E1">
              <w:rPr>
                <w:rFonts w:ascii="Arial Narrow" w:eastAsiaTheme="majorEastAsia" w:hAnsi="Arial Narrow" w:cstheme="majorBidi"/>
                <w:sz w:val="20"/>
                <w:szCs w:val="20"/>
              </w:rPr>
              <w:t xml:space="preserve"> epidemiological</w:t>
            </w:r>
            <w:r w:rsidR="00AA529E" w:rsidRPr="000717E1">
              <w:rPr>
                <w:rFonts w:ascii="Arial Narrow" w:eastAsiaTheme="majorEastAsia" w:hAnsi="Arial Narrow" w:cstheme="majorBidi"/>
                <w:sz w:val="20"/>
                <w:szCs w:val="20"/>
              </w:rPr>
              <w:t xml:space="preserve"> and </w:t>
            </w:r>
            <w:r w:rsidR="00551678" w:rsidRPr="000717E1">
              <w:rPr>
                <w:rFonts w:ascii="Arial Narrow" w:eastAsiaTheme="majorEastAsia" w:hAnsi="Arial Narrow" w:cstheme="majorBidi"/>
                <w:sz w:val="20"/>
                <w:szCs w:val="20"/>
              </w:rPr>
              <w:t xml:space="preserve">the PBS 10% sample </w:t>
            </w:r>
            <w:r w:rsidR="00150B05" w:rsidRPr="000717E1">
              <w:rPr>
                <w:rFonts w:ascii="Arial Narrow" w:eastAsiaTheme="majorEastAsia" w:hAnsi="Arial Narrow" w:cstheme="majorBidi"/>
                <w:sz w:val="20"/>
                <w:szCs w:val="20"/>
              </w:rPr>
              <w:t>approaches</w:t>
            </w:r>
            <w:r w:rsidRPr="000717E1">
              <w:rPr>
                <w:rFonts w:ascii="Arial Narrow" w:eastAsiaTheme="majorEastAsia" w:hAnsi="Arial Narrow" w:cstheme="majorBidi"/>
                <w:sz w:val="20"/>
                <w:szCs w:val="20"/>
              </w:rPr>
              <w:t xml:space="preserve"> </w:t>
            </w:r>
          </w:p>
        </w:tc>
        <w:tc>
          <w:tcPr>
            <w:tcW w:w="1856" w:type="pct"/>
          </w:tcPr>
          <w:p w14:paraId="7DC82FCD" w14:textId="1AEB3FBD" w:rsidR="00775EFA" w:rsidRPr="000717E1" w:rsidRDefault="00775EFA" w:rsidP="00B77713">
            <w:pPr>
              <w:jc w:val="left"/>
              <w:rPr>
                <w:rFonts w:ascii="Arial Narrow" w:eastAsiaTheme="majorEastAsia" w:hAnsi="Arial Narrow" w:cstheme="majorBidi"/>
                <w:sz w:val="20"/>
                <w:szCs w:val="20"/>
              </w:rPr>
            </w:pPr>
            <w:bookmarkStart w:id="99" w:name="_Hlk217310978"/>
            <w:r w:rsidRPr="000717E1">
              <w:rPr>
                <w:rFonts w:ascii="Arial Narrow" w:eastAsiaTheme="majorEastAsia" w:hAnsi="Arial Narrow" w:cstheme="majorBidi"/>
                <w:sz w:val="20"/>
                <w:szCs w:val="20"/>
              </w:rPr>
              <w:t>Th</w:t>
            </w:r>
            <w:r w:rsidR="00F11F63" w:rsidRPr="000717E1">
              <w:rPr>
                <w:rFonts w:ascii="Arial Narrow" w:eastAsiaTheme="majorEastAsia" w:hAnsi="Arial Narrow" w:cstheme="majorBidi"/>
                <w:sz w:val="20"/>
                <w:szCs w:val="20"/>
              </w:rPr>
              <w:t>e evaluati</w:t>
            </w:r>
            <w:r w:rsidR="00AC08E6" w:rsidRPr="000717E1">
              <w:rPr>
                <w:rFonts w:ascii="Arial Narrow" w:eastAsiaTheme="majorEastAsia" w:hAnsi="Arial Narrow" w:cstheme="majorBidi"/>
                <w:sz w:val="20"/>
                <w:szCs w:val="20"/>
              </w:rPr>
              <w:t>o</w:t>
            </w:r>
            <w:r w:rsidR="00F11F63" w:rsidRPr="000717E1">
              <w:rPr>
                <w:rFonts w:ascii="Arial Narrow" w:eastAsiaTheme="majorEastAsia" w:hAnsi="Arial Narrow" w:cstheme="majorBidi"/>
                <w:sz w:val="20"/>
                <w:szCs w:val="20"/>
              </w:rPr>
              <w:t>n considered th</w:t>
            </w:r>
            <w:r w:rsidRPr="000717E1">
              <w:rPr>
                <w:rFonts w:ascii="Arial Narrow" w:eastAsiaTheme="majorEastAsia" w:hAnsi="Arial Narrow" w:cstheme="majorBidi"/>
                <w:sz w:val="20"/>
                <w:szCs w:val="20"/>
              </w:rPr>
              <w:t>is methodology is unconventional and is likely to overestimate the eligible population.</w:t>
            </w:r>
            <w:bookmarkEnd w:id="99"/>
          </w:p>
          <w:p w14:paraId="774297AF" w14:textId="77777777" w:rsidR="002375C7" w:rsidRPr="001F3F0F" w:rsidRDefault="002375C7" w:rsidP="00B77713">
            <w:pPr>
              <w:jc w:val="left"/>
              <w:rPr>
                <w:rFonts w:ascii="Arial Narrow" w:hAnsi="Arial Narrow"/>
                <w:iCs/>
                <w:sz w:val="20"/>
                <w:szCs w:val="20"/>
              </w:rPr>
            </w:pPr>
          </w:p>
          <w:p w14:paraId="3F36D864" w14:textId="77777777" w:rsidR="00775EFA" w:rsidRPr="001F3F0F" w:rsidRDefault="006B355F" w:rsidP="00B77713">
            <w:pPr>
              <w:jc w:val="left"/>
              <w:rPr>
                <w:rFonts w:ascii="Arial Narrow" w:hAnsi="Arial Narrow"/>
                <w:iCs/>
                <w:sz w:val="20"/>
                <w:szCs w:val="20"/>
              </w:rPr>
            </w:pPr>
            <w:r w:rsidRPr="001F3F0F">
              <w:rPr>
                <w:rFonts w:ascii="Arial Narrow" w:hAnsi="Arial Narrow"/>
                <w:iCs/>
                <w:sz w:val="20"/>
                <w:szCs w:val="20"/>
              </w:rPr>
              <w:t>T</w:t>
            </w:r>
            <w:r w:rsidR="00945751" w:rsidRPr="001F3F0F">
              <w:rPr>
                <w:rFonts w:ascii="Arial Narrow" w:hAnsi="Arial Narrow"/>
                <w:iCs/>
                <w:sz w:val="20"/>
                <w:szCs w:val="20"/>
              </w:rPr>
              <w:t xml:space="preserve">he </w:t>
            </w:r>
            <w:r w:rsidR="008A1018" w:rsidRPr="001F3F0F">
              <w:rPr>
                <w:rFonts w:ascii="Arial Narrow" w:hAnsi="Arial Narrow"/>
                <w:iCs/>
                <w:sz w:val="20"/>
                <w:szCs w:val="20"/>
              </w:rPr>
              <w:t xml:space="preserve">Sub-Committees considered </w:t>
            </w:r>
            <w:r w:rsidR="0069273E" w:rsidRPr="001F3F0F">
              <w:rPr>
                <w:rFonts w:ascii="Arial Narrow" w:hAnsi="Arial Narrow"/>
                <w:iCs/>
                <w:sz w:val="20"/>
                <w:szCs w:val="20"/>
              </w:rPr>
              <w:t xml:space="preserve">that </w:t>
            </w:r>
            <w:r w:rsidR="0054300D" w:rsidRPr="001F3F0F">
              <w:rPr>
                <w:rFonts w:ascii="Arial Narrow" w:hAnsi="Arial Narrow"/>
                <w:iCs/>
                <w:sz w:val="20"/>
                <w:szCs w:val="20"/>
              </w:rPr>
              <w:t>for the epidemiological approach</w:t>
            </w:r>
            <w:r w:rsidR="00C422C6" w:rsidRPr="001F3F0F">
              <w:rPr>
                <w:rFonts w:ascii="Arial Narrow" w:hAnsi="Arial Narrow"/>
                <w:iCs/>
                <w:sz w:val="20"/>
                <w:szCs w:val="20"/>
              </w:rPr>
              <w:t>,</w:t>
            </w:r>
            <w:r w:rsidR="00A2146B" w:rsidRPr="001F3F0F">
              <w:rPr>
                <w:rFonts w:ascii="Arial Narrow" w:hAnsi="Arial Narrow"/>
                <w:iCs/>
                <w:sz w:val="20"/>
                <w:szCs w:val="20"/>
              </w:rPr>
              <w:t xml:space="preserve"> </w:t>
            </w:r>
            <w:r w:rsidR="008A1018" w:rsidRPr="001F3F0F">
              <w:rPr>
                <w:rFonts w:ascii="Arial Narrow" w:hAnsi="Arial Narrow"/>
                <w:iCs/>
                <w:sz w:val="20"/>
                <w:szCs w:val="20"/>
              </w:rPr>
              <w:t xml:space="preserve">the proportion of </w:t>
            </w:r>
            <w:r w:rsidR="007D27DE" w:rsidRPr="001F3F0F">
              <w:rPr>
                <w:rFonts w:ascii="Arial Narrow" w:hAnsi="Arial Narrow"/>
                <w:iCs/>
                <w:sz w:val="20"/>
                <w:szCs w:val="20"/>
              </w:rPr>
              <w:t xml:space="preserve">the population </w:t>
            </w:r>
            <w:r w:rsidR="00237666" w:rsidRPr="001F3F0F">
              <w:rPr>
                <w:rFonts w:ascii="Arial Narrow" w:hAnsi="Arial Narrow"/>
                <w:iCs/>
                <w:sz w:val="20"/>
                <w:szCs w:val="20"/>
              </w:rPr>
              <w:t xml:space="preserve">who </w:t>
            </w:r>
            <w:r w:rsidR="00A00C94" w:rsidRPr="001F3F0F">
              <w:rPr>
                <w:rFonts w:ascii="Arial Narrow" w:hAnsi="Arial Narrow"/>
                <w:iCs/>
                <w:sz w:val="20"/>
                <w:szCs w:val="20"/>
              </w:rPr>
              <w:t xml:space="preserve">had used triple therapy in the preceding 3 months </w:t>
            </w:r>
            <w:r w:rsidR="00E63E97" w:rsidRPr="001F3F0F">
              <w:rPr>
                <w:rFonts w:ascii="Arial Narrow" w:hAnsi="Arial Narrow"/>
                <w:iCs/>
                <w:sz w:val="20"/>
                <w:szCs w:val="20"/>
              </w:rPr>
              <w:t>based on the METIS survey</w:t>
            </w:r>
            <w:r w:rsidR="00A00C94" w:rsidRPr="001F3F0F">
              <w:rPr>
                <w:rFonts w:ascii="Arial Narrow" w:hAnsi="Arial Narrow"/>
                <w:iCs/>
                <w:sz w:val="20"/>
                <w:szCs w:val="20"/>
              </w:rPr>
              <w:t xml:space="preserve"> </w:t>
            </w:r>
            <w:r w:rsidR="008C6C59" w:rsidRPr="001F3F0F">
              <w:rPr>
                <w:rFonts w:ascii="Arial Narrow" w:hAnsi="Arial Narrow"/>
                <w:iCs/>
                <w:sz w:val="20"/>
                <w:szCs w:val="20"/>
              </w:rPr>
              <w:t>remained</w:t>
            </w:r>
            <w:r w:rsidR="00540B77" w:rsidRPr="001F3F0F">
              <w:rPr>
                <w:rFonts w:ascii="Arial Narrow" w:hAnsi="Arial Narrow"/>
                <w:iCs/>
                <w:sz w:val="20"/>
                <w:szCs w:val="20"/>
              </w:rPr>
              <w:t xml:space="preserve"> an area of uncertainty</w:t>
            </w:r>
            <w:r w:rsidR="00E84653" w:rsidRPr="001F3F0F">
              <w:rPr>
                <w:rFonts w:ascii="Arial Narrow" w:hAnsi="Arial Narrow"/>
                <w:iCs/>
                <w:sz w:val="20"/>
                <w:szCs w:val="20"/>
              </w:rPr>
              <w:t xml:space="preserve"> due to concerns around the representativeness of the survey to the PBS population</w:t>
            </w:r>
            <w:r w:rsidR="00540B77" w:rsidRPr="001F3F0F">
              <w:rPr>
                <w:rFonts w:ascii="Arial Narrow" w:hAnsi="Arial Narrow"/>
                <w:iCs/>
                <w:sz w:val="20"/>
                <w:szCs w:val="20"/>
              </w:rPr>
              <w:t>.</w:t>
            </w:r>
          </w:p>
          <w:p w14:paraId="596D45EB" w14:textId="24D15737" w:rsidR="009412D1" w:rsidRPr="000717E1" w:rsidRDefault="009412D1" w:rsidP="00B77713">
            <w:pPr>
              <w:jc w:val="left"/>
              <w:rPr>
                <w:rFonts w:ascii="Arial Narrow" w:eastAsiaTheme="majorEastAsia" w:hAnsi="Arial Narrow" w:cstheme="majorBidi"/>
                <w:i/>
                <w:iCs/>
                <w:sz w:val="20"/>
                <w:szCs w:val="20"/>
              </w:rPr>
            </w:pPr>
            <w:r w:rsidRPr="001F3F0F" w:rsidDel="002B560E">
              <w:rPr>
                <w:rFonts w:ascii="Arial Narrow" w:hAnsi="Arial Narrow"/>
                <w:iCs/>
                <w:sz w:val="20"/>
                <w:szCs w:val="20"/>
              </w:rPr>
              <w:t xml:space="preserve">The Sub-Committees considered that the estimates derived from the use of the </w:t>
            </w:r>
            <w:r w:rsidR="000B6221" w:rsidRPr="001F3F0F">
              <w:rPr>
                <w:rFonts w:ascii="Arial Narrow" w:hAnsi="Arial Narrow"/>
                <w:iCs/>
                <w:sz w:val="20"/>
                <w:szCs w:val="20"/>
              </w:rPr>
              <w:t xml:space="preserve">average of the </w:t>
            </w:r>
            <w:r w:rsidRPr="001F3F0F" w:rsidDel="002B560E">
              <w:rPr>
                <w:rFonts w:ascii="Arial Narrow" w:hAnsi="Arial Narrow"/>
                <w:iCs/>
                <w:sz w:val="20"/>
                <w:szCs w:val="20"/>
              </w:rPr>
              <w:t xml:space="preserve">epidemiological and </w:t>
            </w:r>
            <w:r w:rsidRPr="001F3F0F">
              <w:rPr>
                <w:rFonts w:ascii="Arial Narrow" w:hAnsi="Arial Narrow"/>
                <w:iCs/>
                <w:sz w:val="20"/>
                <w:szCs w:val="20"/>
              </w:rPr>
              <w:t xml:space="preserve">PBS 10% sample </w:t>
            </w:r>
            <w:r w:rsidRPr="001F3F0F" w:rsidDel="002B560E">
              <w:rPr>
                <w:rFonts w:ascii="Arial Narrow" w:hAnsi="Arial Narrow"/>
                <w:iCs/>
                <w:sz w:val="20"/>
                <w:szCs w:val="20"/>
              </w:rPr>
              <w:t>approach</w:t>
            </w:r>
            <w:r w:rsidRPr="001F3F0F">
              <w:rPr>
                <w:rFonts w:ascii="Arial Narrow" w:hAnsi="Arial Narrow"/>
                <w:iCs/>
                <w:sz w:val="20"/>
                <w:szCs w:val="20"/>
              </w:rPr>
              <w:t>es</w:t>
            </w:r>
            <w:r w:rsidRPr="001F3F0F" w:rsidDel="002B560E">
              <w:rPr>
                <w:rFonts w:ascii="Arial Narrow" w:hAnsi="Arial Narrow"/>
                <w:iCs/>
                <w:sz w:val="20"/>
                <w:szCs w:val="20"/>
              </w:rPr>
              <w:t xml:space="preserve"> were </w:t>
            </w:r>
            <w:r w:rsidRPr="001F3F0F">
              <w:rPr>
                <w:rFonts w:ascii="Arial Narrow" w:hAnsi="Arial Narrow"/>
                <w:iCs/>
                <w:sz w:val="20"/>
                <w:szCs w:val="20"/>
              </w:rPr>
              <w:t>uncertain and considered that a market share approach based on the actual treated prevalent population would provide more certain estimates.</w:t>
            </w:r>
          </w:p>
        </w:tc>
      </w:tr>
      <w:tr w:rsidR="008C3527" w:rsidRPr="000717E1" w14:paraId="704736E1" w14:textId="77777777" w:rsidTr="00D53D4A">
        <w:tc>
          <w:tcPr>
            <w:tcW w:w="5000" w:type="pct"/>
            <w:gridSpan w:val="4"/>
            <w:vAlign w:val="center"/>
          </w:tcPr>
          <w:p w14:paraId="005C4EC9" w14:textId="77777777" w:rsidR="00775EFA" w:rsidRPr="000717E1" w:rsidRDefault="00775EFA" w:rsidP="00BA74E1">
            <w:pPr>
              <w:keepNext/>
              <w:keepLines/>
              <w:ind w:left="174" w:hanging="174"/>
              <w:rPr>
                <w:rFonts w:ascii="Arial Narrow" w:eastAsiaTheme="majorEastAsia" w:hAnsi="Arial Narrow" w:cs="Times New Roman"/>
                <w:b/>
                <w:bCs/>
                <w:sz w:val="20"/>
                <w:szCs w:val="20"/>
              </w:rPr>
            </w:pPr>
            <w:r w:rsidRPr="000717E1">
              <w:rPr>
                <w:rFonts w:ascii="Arial Narrow" w:eastAsiaTheme="majorEastAsia" w:hAnsi="Arial Narrow" w:cs="Times New Roman"/>
                <w:b/>
                <w:sz w:val="20"/>
                <w:szCs w:val="20"/>
              </w:rPr>
              <w:t>Grandfather population</w:t>
            </w:r>
          </w:p>
        </w:tc>
      </w:tr>
      <w:tr w:rsidR="001429A4" w:rsidRPr="000717E1" w14:paraId="0A835563" w14:textId="77777777" w:rsidTr="00B77713">
        <w:tc>
          <w:tcPr>
            <w:tcW w:w="1020" w:type="pct"/>
          </w:tcPr>
          <w:p w14:paraId="771148FA" w14:textId="77777777" w:rsidR="00775EFA" w:rsidRPr="000717E1" w:rsidDel="00C10051" w:rsidRDefault="00775EFA" w:rsidP="00B77713">
            <w:pPr>
              <w:jc w:val="left"/>
              <w:rPr>
                <w:rFonts w:ascii="Arial Narrow" w:eastAsiaTheme="majorEastAsia" w:hAnsi="Arial Narrow" w:cstheme="majorBidi"/>
                <w:sz w:val="20"/>
                <w:szCs w:val="20"/>
              </w:rPr>
            </w:pPr>
            <w:r w:rsidRPr="000717E1">
              <w:rPr>
                <w:rFonts w:ascii="Arial Narrow" w:eastAsiaTheme="majorEastAsia" w:hAnsi="Arial Narrow" w:cstheme="majorBidi"/>
                <w:sz w:val="20"/>
                <w:szCs w:val="20"/>
              </w:rPr>
              <w:t>Grandfather population</w:t>
            </w:r>
          </w:p>
        </w:tc>
        <w:tc>
          <w:tcPr>
            <w:tcW w:w="1102" w:type="pct"/>
          </w:tcPr>
          <w:p w14:paraId="6D2994FB" w14:textId="718A57AA" w:rsidR="00775EFA" w:rsidRPr="007D588C" w:rsidDel="00D05F81" w:rsidRDefault="00331ADA" w:rsidP="00B77713">
            <w:pPr>
              <w:jc w:val="left"/>
              <w:rPr>
                <w:rFonts w:ascii="Arial Narrow" w:eastAsiaTheme="majorEastAsia" w:hAnsi="Arial Narrow" w:cstheme="majorBidi"/>
                <w:sz w:val="20"/>
                <w:szCs w:val="20"/>
                <w:vertAlign w:val="superscript"/>
              </w:rPr>
            </w:pPr>
            <w:r w:rsidRPr="00331ADA">
              <w:rPr>
                <w:rFonts w:ascii="Arial Narrow" w:eastAsiaTheme="majorEastAsia" w:hAnsi="Arial Narrow" w:cstheme="majorBidi"/>
                <w:sz w:val="2"/>
                <w:szCs w:val="20"/>
                <w:highlight w:val="black"/>
              </w:rPr>
              <w:t>redacted content</w:t>
            </w:r>
            <w:r w:rsidR="007D588C">
              <w:rPr>
                <w:rFonts w:ascii="Arial Narrow" w:eastAsiaTheme="majorEastAsia" w:hAnsi="Arial Narrow" w:cstheme="majorBidi"/>
                <w:sz w:val="20"/>
                <w:szCs w:val="20"/>
                <w:vertAlign w:val="superscript"/>
              </w:rPr>
              <w:t>5</w:t>
            </w:r>
          </w:p>
        </w:tc>
        <w:tc>
          <w:tcPr>
            <w:tcW w:w="1022" w:type="pct"/>
          </w:tcPr>
          <w:p w14:paraId="6F454C41" w14:textId="34CB0F3D" w:rsidR="00775EFA" w:rsidRPr="000717E1" w:rsidRDefault="00AB6CEE" w:rsidP="00B77713">
            <w:pPr>
              <w:jc w:val="left"/>
              <w:rPr>
                <w:rFonts w:ascii="Arial Narrow" w:eastAsiaTheme="majorEastAsia" w:hAnsi="Arial Narrow" w:cstheme="majorBidi"/>
                <w:sz w:val="20"/>
                <w:szCs w:val="20"/>
              </w:rPr>
            </w:pPr>
            <w:r w:rsidRPr="000717E1">
              <w:rPr>
                <w:rFonts w:ascii="Arial Narrow" w:eastAsiaTheme="majorEastAsia" w:hAnsi="Arial Narrow" w:cstheme="majorBidi"/>
                <w:sz w:val="20"/>
                <w:szCs w:val="20"/>
              </w:rPr>
              <w:t>Spon</w:t>
            </w:r>
            <w:r w:rsidR="00B47D1C" w:rsidRPr="000717E1">
              <w:rPr>
                <w:rFonts w:ascii="Arial Narrow" w:eastAsiaTheme="majorEastAsia" w:hAnsi="Arial Narrow" w:cstheme="majorBidi"/>
                <w:sz w:val="20"/>
                <w:szCs w:val="20"/>
              </w:rPr>
              <w:t>sor</w:t>
            </w:r>
            <w:r w:rsidRPr="000717E1">
              <w:rPr>
                <w:rFonts w:ascii="Arial Narrow" w:eastAsiaTheme="majorEastAsia" w:hAnsi="Arial Narrow" w:cstheme="majorBidi"/>
                <w:sz w:val="20"/>
                <w:szCs w:val="20"/>
              </w:rPr>
              <w:t xml:space="preserve"> </w:t>
            </w:r>
            <w:r w:rsidR="00775EFA" w:rsidRPr="000717E1">
              <w:rPr>
                <w:rFonts w:ascii="Arial Narrow" w:eastAsiaTheme="majorEastAsia" w:hAnsi="Arial Narrow" w:cstheme="majorBidi"/>
                <w:sz w:val="20"/>
                <w:szCs w:val="20"/>
              </w:rPr>
              <w:t xml:space="preserve">forecasts. Grandfathered patients considered to be a subset of the eligible patient population and were assumed to have the same discontinuation rates as initiating patients.  </w:t>
            </w:r>
          </w:p>
        </w:tc>
        <w:tc>
          <w:tcPr>
            <w:tcW w:w="1856" w:type="pct"/>
          </w:tcPr>
          <w:p w14:paraId="508B492E" w14:textId="28A2A2B6" w:rsidR="00775EFA" w:rsidRPr="000717E1" w:rsidRDefault="00775EFA" w:rsidP="00B77713">
            <w:pPr>
              <w:jc w:val="left"/>
              <w:rPr>
                <w:rFonts w:ascii="Arial Narrow" w:eastAsiaTheme="majorEastAsia" w:hAnsi="Arial Narrow" w:cstheme="majorBidi"/>
                <w:sz w:val="20"/>
                <w:szCs w:val="20"/>
              </w:rPr>
            </w:pPr>
          </w:p>
        </w:tc>
      </w:tr>
      <w:tr w:rsidR="008C3527" w:rsidRPr="000717E1" w14:paraId="2C6D218F" w14:textId="77777777" w:rsidTr="00D53D4A">
        <w:tc>
          <w:tcPr>
            <w:tcW w:w="5000" w:type="pct"/>
            <w:gridSpan w:val="4"/>
            <w:vAlign w:val="center"/>
          </w:tcPr>
          <w:p w14:paraId="6B6F6B1D" w14:textId="77777777" w:rsidR="00775EFA" w:rsidRPr="000717E1" w:rsidRDefault="00775EFA" w:rsidP="00BA74E1">
            <w:pPr>
              <w:keepNext/>
              <w:keepLines/>
              <w:ind w:left="174" w:hanging="174"/>
              <w:rPr>
                <w:rFonts w:ascii="Arial Narrow" w:eastAsiaTheme="majorEastAsia" w:hAnsi="Arial Narrow" w:cs="Times New Roman"/>
                <w:b/>
                <w:sz w:val="20"/>
                <w:szCs w:val="20"/>
              </w:rPr>
            </w:pPr>
            <w:r w:rsidRPr="000717E1">
              <w:rPr>
                <w:rFonts w:ascii="Arial Narrow" w:eastAsiaTheme="majorEastAsia" w:hAnsi="Arial Narrow" w:cs="Times New Roman"/>
                <w:b/>
                <w:sz w:val="20"/>
                <w:szCs w:val="20"/>
              </w:rPr>
              <w:t>Treatment utilisation</w:t>
            </w:r>
          </w:p>
        </w:tc>
      </w:tr>
      <w:tr w:rsidR="001429A4" w:rsidRPr="000717E1" w14:paraId="6BF850AC" w14:textId="77777777" w:rsidTr="00B77713">
        <w:tc>
          <w:tcPr>
            <w:tcW w:w="1020" w:type="pct"/>
          </w:tcPr>
          <w:p w14:paraId="71AD45AF" w14:textId="77777777" w:rsidR="00775EFA" w:rsidRPr="000717E1" w:rsidRDefault="00775EFA" w:rsidP="00B77713">
            <w:pPr>
              <w:jc w:val="left"/>
              <w:rPr>
                <w:rFonts w:ascii="Arial Narrow" w:eastAsiaTheme="majorEastAsia" w:hAnsi="Arial Narrow" w:cstheme="majorBidi"/>
                <w:sz w:val="20"/>
                <w:szCs w:val="20"/>
              </w:rPr>
            </w:pPr>
            <w:r w:rsidRPr="000717E1">
              <w:rPr>
                <w:rFonts w:ascii="Arial Narrow" w:eastAsiaTheme="majorEastAsia" w:hAnsi="Arial Narrow" w:cstheme="majorBidi"/>
                <w:sz w:val="20"/>
                <w:szCs w:val="20"/>
              </w:rPr>
              <w:t>Uptake rate</w:t>
            </w:r>
          </w:p>
        </w:tc>
        <w:tc>
          <w:tcPr>
            <w:tcW w:w="1102" w:type="pct"/>
          </w:tcPr>
          <w:p w14:paraId="1F574981" w14:textId="5F7C4D38" w:rsidR="00775EFA" w:rsidRPr="000717E1" w:rsidRDefault="00775EFA" w:rsidP="00B77713">
            <w:pPr>
              <w:jc w:val="left"/>
              <w:rPr>
                <w:rFonts w:ascii="Arial Narrow" w:eastAsiaTheme="majorEastAsia" w:hAnsi="Arial Narrow" w:cstheme="majorBidi"/>
                <w:sz w:val="20"/>
                <w:szCs w:val="20"/>
              </w:rPr>
            </w:pPr>
            <w:r w:rsidRPr="000717E1">
              <w:rPr>
                <w:rFonts w:ascii="Arial Narrow" w:eastAsiaTheme="majorEastAsia" w:hAnsi="Arial Narrow" w:cstheme="majorBidi"/>
                <w:sz w:val="20"/>
                <w:szCs w:val="20"/>
              </w:rPr>
              <w:t xml:space="preserve">Yr 1: </w:t>
            </w:r>
            <w:r w:rsidR="00331ADA" w:rsidRPr="00331ADA">
              <w:rPr>
                <w:rFonts w:ascii="Arial Narrow" w:eastAsiaTheme="majorEastAsia" w:hAnsi="Arial Narrow" w:cstheme="majorBidi"/>
                <w:sz w:val="2"/>
                <w:szCs w:val="20"/>
                <w:highlight w:val="black"/>
              </w:rPr>
              <w:t>redacted content</w:t>
            </w:r>
            <w:r w:rsidRPr="000717E1">
              <w:rPr>
                <w:rFonts w:ascii="Arial Narrow" w:eastAsiaTheme="majorEastAsia" w:hAnsi="Arial Narrow" w:cstheme="majorBidi"/>
                <w:sz w:val="20"/>
                <w:szCs w:val="20"/>
              </w:rPr>
              <w:t>%</w:t>
            </w:r>
          </w:p>
          <w:p w14:paraId="72ABA84F" w14:textId="4A53ED87" w:rsidR="00775EFA" w:rsidRPr="000717E1" w:rsidRDefault="00775EFA" w:rsidP="00B77713">
            <w:pPr>
              <w:jc w:val="left"/>
              <w:rPr>
                <w:rFonts w:ascii="Arial Narrow" w:eastAsiaTheme="majorEastAsia" w:hAnsi="Arial Narrow" w:cstheme="majorBidi"/>
                <w:sz w:val="20"/>
                <w:szCs w:val="20"/>
              </w:rPr>
            </w:pPr>
            <w:r w:rsidRPr="000717E1">
              <w:rPr>
                <w:rFonts w:ascii="Arial Narrow" w:eastAsiaTheme="majorEastAsia" w:hAnsi="Arial Narrow" w:cstheme="majorBidi"/>
                <w:sz w:val="20"/>
                <w:szCs w:val="20"/>
              </w:rPr>
              <w:t xml:space="preserve">Yr 2: </w:t>
            </w:r>
            <w:r w:rsidR="00331ADA" w:rsidRPr="00331ADA">
              <w:rPr>
                <w:rFonts w:ascii="Arial Narrow" w:eastAsiaTheme="majorEastAsia" w:hAnsi="Arial Narrow" w:cstheme="majorBidi"/>
                <w:sz w:val="2"/>
                <w:szCs w:val="20"/>
                <w:highlight w:val="black"/>
              </w:rPr>
              <w:t>redacted content</w:t>
            </w:r>
            <w:r w:rsidRPr="000717E1">
              <w:rPr>
                <w:rFonts w:ascii="Arial Narrow" w:eastAsiaTheme="majorEastAsia" w:hAnsi="Arial Narrow" w:cstheme="majorBidi"/>
                <w:sz w:val="20"/>
                <w:szCs w:val="20"/>
              </w:rPr>
              <w:t>%</w:t>
            </w:r>
          </w:p>
          <w:p w14:paraId="3E64E5B8" w14:textId="06EBC78A" w:rsidR="00775EFA" w:rsidRPr="000717E1" w:rsidRDefault="00775EFA" w:rsidP="00B77713">
            <w:pPr>
              <w:jc w:val="left"/>
              <w:rPr>
                <w:rFonts w:ascii="Arial Narrow" w:eastAsiaTheme="majorEastAsia" w:hAnsi="Arial Narrow" w:cstheme="majorBidi"/>
                <w:sz w:val="20"/>
                <w:szCs w:val="20"/>
              </w:rPr>
            </w:pPr>
            <w:r w:rsidRPr="000717E1">
              <w:rPr>
                <w:rFonts w:ascii="Arial Narrow" w:eastAsiaTheme="majorEastAsia" w:hAnsi="Arial Narrow" w:cstheme="majorBidi"/>
                <w:sz w:val="20"/>
                <w:szCs w:val="20"/>
              </w:rPr>
              <w:t xml:space="preserve">Yr 3: </w:t>
            </w:r>
            <w:r w:rsidR="00331ADA" w:rsidRPr="00331ADA">
              <w:rPr>
                <w:rFonts w:ascii="Arial Narrow" w:eastAsiaTheme="majorEastAsia" w:hAnsi="Arial Narrow" w:cstheme="majorBidi"/>
                <w:sz w:val="2"/>
                <w:szCs w:val="20"/>
                <w:highlight w:val="black"/>
              </w:rPr>
              <w:t>redacted content</w:t>
            </w:r>
            <w:r w:rsidRPr="000717E1">
              <w:rPr>
                <w:rFonts w:ascii="Arial Narrow" w:eastAsiaTheme="majorEastAsia" w:hAnsi="Arial Narrow" w:cstheme="majorBidi"/>
                <w:sz w:val="20"/>
                <w:szCs w:val="20"/>
              </w:rPr>
              <w:t>%</w:t>
            </w:r>
          </w:p>
          <w:p w14:paraId="3FCDA9F9" w14:textId="66E53520" w:rsidR="00775EFA" w:rsidRPr="000717E1" w:rsidRDefault="00775EFA" w:rsidP="00B77713">
            <w:pPr>
              <w:jc w:val="left"/>
              <w:rPr>
                <w:rFonts w:ascii="Arial Narrow" w:eastAsiaTheme="majorEastAsia" w:hAnsi="Arial Narrow" w:cstheme="majorBidi"/>
                <w:sz w:val="20"/>
                <w:szCs w:val="20"/>
              </w:rPr>
            </w:pPr>
            <w:r w:rsidRPr="000717E1">
              <w:rPr>
                <w:rFonts w:ascii="Arial Narrow" w:eastAsiaTheme="majorEastAsia" w:hAnsi="Arial Narrow" w:cstheme="majorBidi"/>
                <w:sz w:val="20"/>
                <w:szCs w:val="20"/>
              </w:rPr>
              <w:t xml:space="preserve">Yr 4: </w:t>
            </w:r>
            <w:r w:rsidR="00331ADA" w:rsidRPr="00331ADA">
              <w:rPr>
                <w:rFonts w:ascii="Arial Narrow" w:eastAsiaTheme="majorEastAsia" w:hAnsi="Arial Narrow" w:cstheme="majorBidi"/>
                <w:sz w:val="2"/>
                <w:szCs w:val="20"/>
                <w:highlight w:val="black"/>
              </w:rPr>
              <w:t>redacted content</w:t>
            </w:r>
            <w:r w:rsidRPr="000717E1">
              <w:rPr>
                <w:rFonts w:ascii="Arial Narrow" w:eastAsiaTheme="majorEastAsia" w:hAnsi="Arial Narrow" w:cstheme="majorBidi"/>
                <w:sz w:val="20"/>
                <w:szCs w:val="20"/>
              </w:rPr>
              <w:t>%</w:t>
            </w:r>
          </w:p>
          <w:p w14:paraId="4FFE7F09" w14:textId="1C599230" w:rsidR="00775EFA" w:rsidRPr="000717E1" w:rsidRDefault="00775EFA" w:rsidP="00B77713">
            <w:pPr>
              <w:jc w:val="left"/>
              <w:rPr>
                <w:rFonts w:ascii="Arial Narrow" w:eastAsiaTheme="majorEastAsia" w:hAnsi="Arial Narrow" w:cstheme="majorBidi"/>
                <w:sz w:val="20"/>
                <w:szCs w:val="20"/>
              </w:rPr>
            </w:pPr>
            <w:r w:rsidRPr="000717E1">
              <w:rPr>
                <w:rFonts w:ascii="Arial Narrow" w:eastAsiaTheme="majorEastAsia" w:hAnsi="Arial Narrow" w:cstheme="majorBidi"/>
                <w:sz w:val="20"/>
                <w:szCs w:val="20"/>
              </w:rPr>
              <w:t xml:space="preserve">Yr 5: </w:t>
            </w:r>
            <w:r w:rsidR="00331ADA" w:rsidRPr="00331ADA">
              <w:rPr>
                <w:rFonts w:ascii="Arial Narrow" w:eastAsiaTheme="majorEastAsia" w:hAnsi="Arial Narrow" w:cstheme="majorBidi"/>
                <w:sz w:val="2"/>
                <w:szCs w:val="20"/>
                <w:highlight w:val="black"/>
              </w:rPr>
              <w:t>redacted content</w:t>
            </w:r>
            <w:r w:rsidRPr="000717E1">
              <w:rPr>
                <w:rFonts w:ascii="Arial Narrow" w:eastAsiaTheme="majorEastAsia" w:hAnsi="Arial Narrow" w:cstheme="majorBidi"/>
                <w:sz w:val="20"/>
                <w:szCs w:val="20"/>
              </w:rPr>
              <w:t>%</w:t>
            </w:r>
          </w:p>
          <w:p w14:paraId="715C6458" w14:textId="3A955F30" w:rsidR="00775EFA" w:rsidRPr="000717E1" w:rsidRDefault="00775EFA" w:rsidP="00B77713">
            <w:pPr>
              <w:jc w:val="left"/>
              <w:rPr>
                <w:rFonts w:ascii="Arial Narrow" w:eastAsiaTheme="majorEastAsia" w:hAnsi="Arial Narrow" w:cstheme="majorBidi"/>
                <w:sz w:val="20"/>
                <w:szCs w:val="20"/>
              </w:rPr>
            </w:pPr>
            <w:r w:rsidRPr="000717E1">
              <w:rPr>
                <w:rFonts w:ascii="Arial Narrow" w:eastAsiaTheme="majorEastAsia" w:hAnsi="Arial Narrow" w:cstheme="majorBidi"/>
                <w:sz w:val="20"/>
                <w:szCs w:val="20"/>
              </w:rPr>
              <w:t xml:space="preserve">Yr 6: </w:t>
            </w:r>
            <w:r w:rsidR="00331ADA" w:rsidRPr="00331ADA">
              <w:rPr>
                <w:rFonts w:ascii="Arial Narrow" w:eastAsiaTheme="majorEastAsia" w:hAnsi="Arial Narrow" w:cstheme="majorBidi"/>
                <w:sz w:val="2"/>
                <w:szCs w:val="20"/>
                <w:highlight w:val="black"/>
              </w:rPr>
              <w:t>redacted content</w:t>
            </w:r>
            <w:r w:rsidRPr="000717E1">
              <w:rPr>
                <w:rFonts w:ascii="Arial Narrow" w:eastAsiaTheme="majorEastAsia" w:hAnsi="Arial Narrow" w:cstheme="majorBidi"/>
                <w:sz w:val="20"/>
                <w:szCs w:val="20"/>
              </w:rPr>
              <w:t>%</w:t>
            </w:r>
          </w:p>
        </w:tc>
        <w:tc>
          <w:tcPr>
            <w:tcW w:w="1022" w:type="pct"/>
          </w:tcPr>
          <w:p w14:paraId="00826947" w14:textId="77777777" w:rsidR="00775EFA" w:rsidRPr="000717E1" w:rsidRDefault="00775EFA" w:rsidP="00B77713">
            <w:pPr>
              <w:jc w:val="left"/>
              <w:rPr>
                <w:rFonts w:ascii="Arial Narrow" w:eastAsiaTheme="majorEastAsia" w:hAnsi="Arial Narrow" w:cstheme="majorBidi"/>
                <w:sz w:val="20"/>
                <w:szCs w:val="20"/>
              </w:rPr>
            </w:pPr>
            <w:r w:rsidRPr="000717E1">
              <w:rPr>
                <w:rFonts w:ascii="Arial Narrow" w:eastAsiaTheme="majorEastAsia" w:hAnsi="Arial Narrow" w:cstheme="majorBidi"/>
                <w:sz w:val="20"/>
                <w:szCs w:val="20"/>
              </w:rPr>
              <w:t xml:space="preserve">Prescribing rates reported by respiratory physicians from market research undertaken by the sponsor (INSIGHTS 2025). </w:t>
            </w:r>
          </w:p>
        </w:tc>
        <w:tc>
          <w:tcPr>
            <w:tcW w:w="1856" w:type="pct"/>
          </w:tcPr>
          <w:p w14:paraId="2D2B21F7" w14:textId="71FC43D5" w:rsidR="00775EFA" w:rsidRPr="000717E1" w:rsidRDefault="00775EFA" w:rsidP="00B77713">
            <w:pPr>
              <w:jc w:val="left"/>
              <w:rPr>
                <w:rFonts w:ascii="Arial Narrow" w:eastAsiaTheme="majorEastAsia" w:hAnsi="Arial Narrow" w:cstheme="majorBidi"/>
                <w:sz w:val="20"/>
                <w:szCs w:val="20"/>
              </w:rPr>
            </w:pPr>
            <w:r w:rsidRPr="000717E1">
              <w:rPr>
                <w:rFonts w:ascii="Arial Narrow" w:eastAsiaTheme="majorEastAsia" w:hAnsi="Arial Narrow" w:cstheme="majorBidi"/>
                <w:sz w:val="20"/>
                <w:szCs w:val="20"/>
              </w:rPr>
              <w:t>There is a wide variation in the prescribing rates of dupilumab reported by the respiratory physicians (&lt;</w:t>
            </w:r>
            <w:r w:rsidR="00331ADA" w:rsidRPr="00331ADA">
              <w:rPr>
                <w:rFonts w:ascii="Arial Narrow" w:eastAsiaTheme="majorEastAsia" w:hAnsi="Arial Narrow" w:cstheme="majorBidi"/>
                <w:sz w:val="2"/>
                <w:szCs w:val="20"/>
                <w:highlight w:val="black"/>
              </w:rPr>
              <w:t>redacted content</w:t>
            </w:r>
            <w:r w:rsidRPr="000717E1">
              <w:rPr>
                <w:rFonts w:ascii="Arial Narrow" w:eastAsiaTheme="majorEastAsia" w:hAnsi="Arial Narrow" w:cstheme="majorBidi"/>
                <w:sz w:val="20"/>
                <w:szCs w:val="20"/>
              </w:rPr>
              <w:t xml:space="preserve">% to </w:t>
            </w:r>
            <w:r w:rsidR="00331ADA" w:rsidRPr="00331ADA">
              <w:rPr>
                <w:rFonts w:ascii="Arial Narrow" w:eastAsiaTheme="majorEastAsia" w:hAnsi="Arial Narrow" w:cstheme="majorBidi"/>
                <w:sz w:val="2"/>
                <w:szCs w:val="20"/>
                <w:highlight w:val="black"/>
              </w:rPr>
              <w:t>redacted content</w:t>
            </w:r>
            <w:r w:rsidRPr="000717E1">
              <w:rPr>
                <w:rFonts w:ascii="Arial Narrow" w:eastAsiaTheme="majorEastAsia" w:hAnsi="Arial Narrow" w:cstheme="majorBidi"/>
                <w:sz w:val="20"/>
                <w:szCs w:val="20"/>
              </w:rPr>
              <w:t xml:space="preserve">%) in the INSIGHTS survey. </w:t>
            </w:r>
          </w:p>
          <w:p w14:paraId="260D6C16" w14:textId="08869771" w:rsidR="0009551B" w:rsidRPr="000717E1" w:rsidRDefault="0009551B" w:rsidP="00B77713">
            <w:pPr>
              <w:jc w:val="left"/>
              <w:rPr>
                <w:rFonts w:ascii="Arial Narrow" w:eastAsiaTheme="majorEastAsia" w:hAnsi="Arial Narrow" w:cstheme="majorBidi"/>
                <w:sz w:val="20"/>
                <w:szCs w:val="20"/>
              </w:rPr>
            </w:pPr>
          </w:p>
        </w:tc>
      </w:tr>
      <w:tr w:rsidR="001429A4" w:rsidRPr="000717E1" w14:paraId="7785DB8E" w14:textId="77777777" w:rsidTr="00B77713">
        <w:tc>
          <w:tcPr>
            <w:tcW w:w="1020" w:type="pct"/>
          </w:tcPr>
          <w:p w14:paraId="303BC32B" w14:textId="77777777" w:rsidR="00775EFA" w:rsidRPr="000717E1" w:rsidRDefault="00775EFA" w:rsidP="00B77713">
            <w:pPr>
              <w:jc w:val="left"/>
              <w:rPr>
                <w:rFonts w:ascii="Arial Narrow" w:eastAsiaTheme="majorEastAsia" w:hAnsi="Arial Narrow" w:cstheme="majorBidi"/>
                <w:sz w:val="20"/>
                <w:szCs w:val="20"/>
              </w:rPr>
            </w:pPr>
            <w:r w:rsidRPr="000717E1">
              <w:rPr>
                <w:rFonts w:ascii="Arial Narrow" w:eastAsiaTheme="majorEastAsia" w:hAnsi="Arial Narrow" w:cstheme="majorBidi"/>
                <w:sz w:val="20"/>
                <w:szCs w:val="20"/>
              </w:rPr>
              <w:t>Persistence rates</w:t>
            </w:r>
          </w:p>
        </w:tc>
        <w:tc>
          <w:tcPr>
            <w:tcW w:w="1102" w:type="pct"/>
          </w:tcPr>
          <w:p w14:paraId="7FBB2168" w14:textId="77777777" w:rsidR="00775EFA" w:rsidRPr="000717E1" w:rsidRDefault="00775EFA" w:rsidP="00B77713">
            <w:pPr>
              <w:jc w:val="left"/>
              <w:rPr>
                <w:rFonts w:ascii="Arial Narrow" w:eastAsiaTheme="majorEastAsia" w:hAnsi="Arial Narrow" w:cstheme="majorBidi"/>
                <w:sz w:val="20"/>
                <w:szCs w:val="20"/>
              </w:rPr>
            </w:pPr>
            <w:r w:rsidRPr="000717E1">
              <w:rPr>
                <w:rFonts w:ascii="Arial Narrow" w:eastAsiaTheme="majorEastAsia" w:hAnsi="Arial Narrow" w:cstheme="majorBidi"/>
                <w:sz w:val="20"/>
                <w:szCs w:val="20"/>
              </w:rPr>
              <w:t xml:space="preserve">Yr 1: 85.4%, </w:t>
            </w:r>
          </w:p>
          <w:p w14:paraId="48FD9C59" w14:textId="77777777" w:rsidR="00775EFA" w:rsidRPr="000717E1" w:rsidRDefault="00775EFA" w:rsidP="00B77713">
            <w:pPr>
              <w:jc w:val="left"/>
              <w:rPr>
                <w:rFonts w:ascii="Arial Narrow" w:eastAsiaTheme="majorEastAsia" w:hAnsi="Arial Narrow" w:cstheme="majorBidi"/>
                <w:sz w:val="20"/>
                <w:szCs w:val="20"/>
              </w:rPr>
            </w:pPr>
            <w:r w:rsidRPr="000717E1">
              <w:rPr>
                <w:rFonts w:ascii="Arial Narrow" w:eastAsiaTheme="majorEastAsia" w:hAnsi="Arial Narrow" w:cstheme="majorBidi"/>
                <w:sz w:val="20"/>
                <w:szCs w:val="20"/>
              </w:rPr>
              <w:t>Yr 2 to Year 6: 85.0%</w:t>
            </w:r>
          </w:p>
          <w:p w14:paraId="4463EF0E" w14:textId="77777777" w:rsidR="00775EFA" w:rsidRPr="000717E1" w:rsidRDefault="00775EFA" w:rsidP="00B77713">
            <w:pPr>
              <w:jc w:val="left"/>
              <w:rPr>
                <w:rFonts w:ascii="Arial Narrow" w:eastAsiaTheme="majorEastAsia" w:hAnsi="Arial Narrow" w:cstheme="majorBidi"/>
                <w:sz w:val="20"/>
                <w:szCs w:val="20"/>
              </w:rPr>
            </w:pPr>
          </w:p>
        </w:tc>
        <w:tc>
          <w:tcPr>
            <w:tcW w:w="1022" w:type="pct"/>
          </w:tcPr>
          <w:p w14:paraId="48D6B511" w14:textId="77777777" w:rsidR="00775EFA" w:rsidRPr="000717E1" w:rsidRDefault="00775EFA" w:rsidP="00B77713">
            <w:pPr>
              <w:jc w:val="left"/>
              <w:rPr>
                <w:rFonts w:ascii="Arial Narrow" w:eastAsiaTheme="majorEastAsia" w:hAnsi="Arial Narrow" w:cstheme="majorBidi"/>
                <w:sz w:val="20"/>
                <w:szCs w:val="20"/>
              </w:rPr>
            </w:pPr>
            <w:r w:rsidRPr="000717E1">
              <w:rPr>
                <w:rFonts w:ascii="Arial Narrow" w:eastAsiaTheme="majorEastAsia" w:hAnsi="Arial Narrow" w:cstheme="majorBidi"/>
                <w:sz w:val="20"/>
                <w:szCs w:val="20"/>
              </w:rPr>
              <w:t xml:space="preserve">It is assumed that 94.2% of initiating patients will meet the continuation criteria with a further 9.3% expected to discontinue by the end of the first year (94.2% x 90.7% = 85.4%) with 85% from subsequent years (Global advisory board and precedents). </w:t>
            </w:r>
          </w:p>
        </w:tc>
        <w:tc>
          <w:tcPr>
            <w:tcW w:w="1856" w:type="pct"/>
          </w:tcPr>
          <w:p w14:paraId="204C82FC" w14:textId="2A951A62" w:rsidR="00775EFA" w:rsidRDefault="00775EFA" w:rsidP="00B77713">
            <w:pPr>
              <w:jc w:val="left"/>
              <w:rPr>
                <w:rFonts w:ascii="Arial Narrow" w:eastAsiaTheme="majorEastAsia" w:hAnsi="Arial Narrow" w:cstheme="majorBidi"/>
                <w:sz w:val="20"/>
                <w:szCs w:val="20"/>
              </w:rPr>
            </w:pPr>
            <w:r w:rsidRPr="000717E1">
              <w:rPr>
                <w:rFonts w:ascii="Arial Narrow" w:eastAsiaTheme="majorEastAsia" w:hAnsi="Arial Narrow" w:cstheme="majorBidi"/>
                <w:sz w:val="20"/>
                <w:szCs w:val="20"/>
              </w:rPr>
              <w:t>Annual discontinuation rate is consistent with the economic model</w:t>
            </w:r>
            <w:r w:rsidR="00994363">
              <w:rPr>
                <w:rFonts w:ascii="Arial Narrow" w:eastAsiaTheme="majorEastAsia" w:hAnsi="Arial Narrow" w:cstheme="majorBidi"/>
                <w:sz w:val="20"/>
                <w:szCs w:val="20"/>
              </w:rPr>
              <w:t xml:space="preserve">, </w:t>
            </w:r>
            <w:r w:rsidR="009F082A">
              <w:rPr>
                <w:rFonts w:ascii="Arial Narrow" w:eastAsiaTheme="majorEastAsia" w:hAnsi="Arial Narrow" w:cstheme="majorBidi"/>
                <w:sz w:val="20"/>
                <w:szCs w:val="20"/>
              </w:rPr>
              <w:t xml:space="preserve">although applied differently </w:t>
            </w:r>
            <w:r w:rsidR="00B954D9">
              <w:rPr>
                <w:rFonts w:ascii="Arial Narrow" w:eastAsiaTheme="majorEastAsia" w:hAnsi="Arial Narrow" w:cstheme="majorBidi"/>
                <w:sz w:val="20"/>
                <w:szCs w:val="20"/>
              </w:rPr>
              <w:t>in the economic model</w:t>
            </w:r>
            <w:r w:rsidRPr="000717E1">
              <w:rPr>
                <w:rFonts w:ascii="Arial Narrow" w:eastAsiaTheme="majorEastAsia" w:hAnsi="Arial Narrow" w:cstheme="majorBidi"/>
                <w:sz w:val="20"/>
                <w:szCs w:val="20"/>
              </w:rPr>
              <w:t>.</w:t>
            </w:r>
            <w:r w:rsidR="000102EE">
              <w:rPr>
                <w:rFonts w:ascii="Arial Narrow" w:eastAsiaTheme="majorEastAsia" w:hAnsi="Arial Narrow" w:cstheme="majorBidi"/>
                <w:sz w:val="20"/>
                <w:szCs w:val="20"/>
              </w:rPr>
              <w:t xml:space="preserve"> Used </w:t>
            </w:r>
            <w:r w:rsidR="002B22AE">
              <w:rPr>
                <w:rFonts w:ascii="Arial Narrow" w:eastAsiaTheme="majorEastAsia" w:hAnsi="Arial Narrow" w:cstheme="majorBidi"/>
                <w:sz w:val="20"/>
                <w:szCs w:val="20"/>
              </w:rPr>
              <w:t>in the financial estimates t</w:t>
            </w:r>
            <w:r w:rsidR="000102EE">
              <w:rPr>
                <w:rFonts w:ascii="Arial Narrow" w:eastAsiaTheme="majorEastAsia" w:hAnsi="Arial Narrow" w:cstheme="majorBidi"/>
                <w:sz w:val="20"/>
                <w:szCs w:val="20"/>
              </w:rPr>
              <w:t>o determine the split between initiating and continuing patients.</w:t>
            </w:r>
            <w:r w:rsidR="00655CCC">
              <w:rPr>
                <w:rFonts w:ascii="Arial Narrow" w:eastAsiaTheme="majorEastAsia" w:hAnsi="Arial Narrow" w:cstheme="majorBidi"/>
                <w:sz w:val="20"/>
                <w:szCs w:val="20"/>
              </w:rPr>
              <w:t xml:space="preserve"> </w:t>
            </w:r>
            <w:r w:rsidR="00F17ED3">
              <w:rPr>
                <w:rFonts w:ascii="Arial Narrow" w:eastAsiaTheme="majorEastAsia" w:hAnsi="Arial Narrow" w:cstheme="majorBidi"/>
                <w:sz w:val="20"/>
                <w:szCs w:val="20"/>
              </w:rPr>
              <w:t>Pa</w:t>
            </w:r>
            <w:r w:rsidR="00F07B1A">
              <w:rPr>
                <w:rFonts w:ascii="Arial Narrow" w:eastAsiaTheme="majorEastAsia" w:hAnsi="Arial Narrow" w:cstheme="majorBidi"/>
                <w:sz w:val="20"/>
                <w:szCs w:val="20"/>
              </w:rPr>
              <w:t>tients who discontinued treatment were not removed from the prevalent pool for subsequent years.</w:t>
            </w:r>
          </w:p>
          <w:p w14:paraId="6FED23DD" w14:textId="1A4B051C" w:rsidR="00BE252E" w:rsidRPr="000717E1" w:rsidRDefault="00BE252E" w:rsidP="00B77713">
            <w:pPr>
              <w:jc w:val="left"/>
              <w:rPr>
                <w:rFonts w:ascii="Arial Narrow" w:eastAsiaTheme="majorEastAsia" w:hAnsi="Arial Narrow" w:cstheme="majorBidi"/>
                <w:sz w:val="20"/>
                <w:szCs w:val="20"/>
              </w:rPr>
            </w:pPr>
          </w:p>
        </w:tc>
      </w:tr>
      <w:tr w:rsidR="001429A4" w:rsidRPr="000717E1" w14:paraId="137D1556" w14:textId="77777777" w:rsidTr="00B77713">
        <w:tc>
          <w:tcPr>
            <w:tcW w:w="1020" w:type="pct"/>
          </w:tcPr>
          <w:p w14:paraId="6544C39B" w14:textId="77777777" w:rsidR="00775EFA" w:rsidRPr="000717E1" w:rsidRDefault="00775EFA" w:rsidP="00B77713">
            <w:pPr>
              <w:jc w:val="left"/>
              <w:rPr>
                <w:rFonts w:ascii="Arial Narrow" w:eastAsiaTheme="majorEastAsia" w:hAnsi="Arial Narrow" w:cstheme="majorBidi"/>
                <w:sz w:val="20"/>
                <w:szCs w:val="20"/>
              </w:rPr>
            </w:pPr>
            <w:r w:rsidRPr="000717E1">
              <w:rPr>
                <w:rFonts w:ascii="Arial Narrow" w:eastAsiaTheme="majorEastAsia" w:hAnsi="Arial Narrow" w:cstheme="majorBidi"/>
                <w:sz w:val="20"/>
                <w:szCs w:val="20"/>
              </w:rPr>
              <w:lastRenderedPageBreak/>
              <w:t>% compliance</w:t>
            </w:r>
          </w:p>
        </w:tc>
        <w:tc>
          <w:tcPr>
            <w:tcW w:w="1102" w:type="pct"/>
          </w:tcPr>
          <w:p w14:paraId="1A10F63D" w14:textId="77777777" w:rsidR="00775EFA" w:rsidRPr="000717E1" w:rsidRDefault="00775EFA" w:rsidP="00B77713">
            <w:pPr>
              <w:jc w:val="left"/>
              <w:rPr>
                <w:rFonts w:ascii="Arial Narrow" w:eastAsiaTheme="majorEastAsia" w:hAnsi="Arial Narrow" w:cstheme="majorBidi"/>
                <w:sz w:val="20"/>
                <w:szCs w:val="20"/>
              </w:rPr>
            </w:pPr>
            <w:r w:rsidRPr="000717E1">
              <w:rPr>
                <w:rFonts w:ascii="Arial Narrow" w:eastAsiaTheme="majorEastAsia" w:hAnsi="Arial Narrow" w:cstheme="majorBidi"/>
                <w:sz w:val="20"/>
                <w:szCs w:val="20"/>
              </w:rPr>
              <w:t>100%</w:t>
            </w:r>
          </w:p>
        </w:tc>
        <w:tc>
          <w:tcPr>
            <w:tcW w:w="1022" w:type="pct"/>
          </w:tcPr>
          <w:p w14:paraId="17C34F57" w14:textId="77777777" w:rsidR="00775EFA" w:rsidRPr="000717E1" w:rsidRDefault="00775EFA" w:rsidP="00B77713">
            <w:pPr>
              <w:jc w:val="left"/>
              <w:rPr>
                <w:rFonts w:ascii="Arial Narrow" w:eastAsiaTheme="majorEastAsia" w:hAnsi="Arial Narrow" w:cstheme="majorBidi"/>
                <w:sz w:val="20"/>
                <w:szCs w:val="20"/>
              </w:rPr>
            </w:pPr>
            <w:r w:rsidRPr="000717E1">
              <w:rPr>
                <w:rFonts w:ascii="Arial Narrow" w:eastAsiaTheme="majorEastAsia" w:hAnsi="Arial Narrow" w:cstheme="majorBidi"/>
                <w:sz w:val="20"/>
                <w:szCs w:val="20"/>
              </w:rPr>
              <w:t xml:space="preserve">13 scripts for one full year of treatment </w:t>
            </w:r>
          </w:p>
        </w:tc>
        <w:tc>
          <w:tcPr>
            <w:tcW w:w="1856" w:type="pct"/>
          </w:tcPr>
          <w:p w14:paraId="3AC77387" w14:textId="77777777" w:rsidR="00775EFA" w:rsidRPr="000717E1" w:rsidRDefault="00775EFA" w:rsidP="00B77713">
            <w:pPr>
              <w:keepNext/>
              <w:keepLines/>
              <w:jc w:val="left"/>
              <w:rPr>
                <w:rFonts w:ascii="Arial Narrow" w:eastAsiaTheme="majorEastAsia" w:hAnsi="Arial Narrow" w:cstheme="majorBidi"/>
                <w:sz w:val="20"/>
                <w:szCs w:val="20"/>
              </w:rPr>
            </w:pPr>
            <w:r w:rsidRPr="000717E1">
              <w:rPr>
                <w:rFonts w:ascii="Arial Narrow" w:eastAsiaTheme="majorEastAsia" w:hAnsi="Arial Narrow" w:cstheme="majorBidi"/>
                <w:sz w:val="20"/>
                <w:szCs w:val="20"/>
              </w:rPr>
              <w:t>The mean compliance with administration was high &gt;98% in both BOREAS and NOTUS trials but trials may not reflect real world compliance.</w:t>
            </w:r>
          </w:p>
          <w:p w14:paraId="2FC00DE6" w14:textId="77777777" w:rsidR="0013023E" w:rsidRPr="000717E1" w:rsidRDefault="0013023E" w:rsidP="00B77713">
            <w:pPr>
              <w:keepNext/>
              <w:keepLines/>
              <w:jc w:val="left"/>
              <w:rPr>
                <w:rFonts w:ascii="Arial Narrow" w:eastAsiaTheme="majorEastAsia" w:hAnsi="Arial Narrow" w:cstheme="majorBidi"/>
                <w:sz w:val="20"/>
                <w:szCs w:val="20"/>
              </w:rPr>
            </w:pPr>
          </w:p>
          <w:p w14:paraId="10A7E15B" w14:textId="5E8B560F" w:rsidR="00775EFA" w:rsidRPr="000717E1" w:rsidRDefault="0013023E" w:rsidP="005A0704">
            <w:pPr>
              <w:keepNext/>
              <w:keepLines/>
              <w:jc w:val="left"/>
              <w:rPr>
                <w:rFonts w:ascii="Arial Narrow" w:eastAsiaTheme="majorEastAsia" w:hAnsi="Arial Narrow" w:cstheme="majorBidi"/>
                <w:sz w:val="20"/>
                <w:szCs w:val="20"/>
              </w:rPr>
            </w:pPr>
            <w:r w:rsidRPr="001F3F0F">
              <w:rPr>
                <w:rFonts w:ascii="Arial Narrow" w:eastAsiaTheme="majorEastAsia" w:hAnsi="Arial Narrow" w:cstheme="majorBidi"/>
                <w:iCs/>
                <w:sz w:val="20"/>
                <w:szCs w:val="20"/>
              </w:rPr>
              <w:t>The Sub-Committees noted that the BOREAS and NOTUS trials had very high compliance rate (&gt;98%) and considered that this is unlikely to reflect real world experience.</w:t>
            </w:r>
            <w:r w:rsidR="00C15275" w:rsidRPr="001F3F0F">
              <w:rPr>
                <w:rFonts w:ascii="Arial Narrow" w:eastAsiaTheme="majorEastAsia" w:hAnsi="Arial Narrow" w:cstheme="majorBidi"/>
                <w:iCs/>
                <w:sz w:val="20"/>
                <w:szCs w:val="20"/>
              </w:rPr>
              <w:t xml:space="preserve"> The Sub-Committees considered a compliance rate of 93% may be more appropriate.</w:t>
            </w:r>
            <w:r w:rsidR="008A460F">
              <w:rPr>
                <w:rFonts w:ascii="Arial Narrow" w:eastAsiaTheme="majorEastAsia" w:hAnsi="Arial Narrow" w:cstheme="majorBidi"/>
                <w:iCs/>
                <w:sz w:val="20"/>
                <w:szCs w:val="20"/>
              </w:rPr>
              <w:t xml:space="preserve"> The PBAC noted a compliance rate of 93% was consistent with that </w:t>
            </w:r>
            <w:r w:rsidR="00BF7996">
              <w:rPr>
                <w:rFonts w:ascii="Arial Narrow" w:eastAsiaTheme="majorEastAsia" w:hAnsi="Arial Narrow" w:cstheme="majorBidi"/>
                <w:iCs/>
                <w:sz w:val="20"/>
                <w:szCs w:val="20"/>
              </w:rPr>
              <w:t>considered appropriate by</w:t>
            </w:r>
            <w:r w:rsidR="008A460F">
              <w:rPr>
                <w:rFonts w:ascii="Arial Narrow" w:eastAsiaTheme="majorEastAsia" w:hAnsi="Arial Narrow" w:cstheme="majorBidi"/>
                <w:iCs/>
                <w:sz w:val="20"/>
                <w:szCs w:val="20"/>
              </w:rPr>
              <w:t xml:space="preserve"> DUSC in the </w:t>
            </w:r>
            <w:r w:rsidR="00985CBC">
              <w:rPr>
                <w:rFonts w:ascii="Arial Narrow" w:eastAsiaTheme="majorEastAsia" w:hAnsi="Arial Narrow" w:cstheme="majorBidi"/>
                <w:iCs/>
                <w:sz w:val="20"/>
                <w:szCs w:val="20"/>
              </w:rPr>
              <w:t>consideration of tezepelumab for non-</w:t>
            </w:r>
            <w:r w:rsidR="00470A84">
              <w:rPr>
                <w:rFonts w:ascii="Arial Narrow" w:eastAsiaTheme="majorEastAsia" w:hAnsi="Arial Narrow" w:cstheme="majorBidi"/>
                <w:iCs/>
                <w:sz w:val="20"/>
                <w:szCs w:val="20"/>
              </w:rPr>
              <w:t>eosi</w:t>
            </w:r>
            <w:r w:rsidR="00827556">
              <w:rPr>
                <w:rFonts w:ascii="Arial Narrow" w:eastAsiaTheme="majorEastAsia" w:hAnsi="Arial Narrow" w:cstheme="majorBidi"/>
                <w:iCs/>
                <w:sz w:val="20"/>
                <w:szCs w:val="20"/>
              </w:rPr>
              <w:t>nophi</w:t>
            </w:r>
            <w:r w:rsidR="00B9439C">
              <w:rPr>
                <w:rFonts w:ascii="Arial Narrow" w:eastAsiaTheme="majorEastAsia" w:hAnsi="Arial Narrow" w:cstheme="majorBidi"/>
                <w:iCs/>
                <w:sz w:val="20"/>
                <w:szCs w:val="20"/>
              </w:rPr>
              <w:t xml:space="preserve">lic </w:t>
            </w:r>
            <w:r w:rsidR="003F4A66">
              <w:rPr>
                <w:rFonts w:ascii="Arial Narrow" w:eastAsiaTheme="majorEastAsia" w:hAnsi="Arial Narrow" w:cstheme="majorBidi"/>
                <w:iCs/>
                <w:sz w:val="20"/>
                <w:szCs w:val="20"/>
              </w:rPr>
              <w:t>and non-allergic severe uncontrolled asthma population</w:t>
            </w:r>
            <w:r w:rsidR="00BF7996">
              <w:rPr>
                <w:rFonts w:ascii="Arial Narrow" w:eastAsiaTheme="majorEastAsia" w:hAnsi="Arial Narrow" w:cstheme="majorBidi"/>
                <w:iCs/>
                <w:sz w:val="20"/>
                <w:szCs w:val="20"/>
              </w:rPr>
              <w:t xml:space="preserve"> (Table 20, </w:t>
            </w:r>
            <w:r w:rsidR="003E2732">
              <w:rPr>
                <w:rFonts w:ascii="Arial Narrow" w:eastAsiaTheme="majorEastAsia" w:hAnsi="Arial Narrow" w:cstheme="majorBidi"/>
                <w:iCs/>
                <w:sz w:val="20"/>
                <w:szCs w:val="20"/>
              </w:rPr>
              <w:t xml:space="preserve">tezepelumab </w:t>
            </w:r>
            <w:r w:rsidR="00EA2B38">
              <w:rPr>
                <w:rFonts w:ascii="Arial Narrow" w:eastAsiaTheme="majorEastAsia" w:hAnsi="Arial Narrow" w:cstheme="majorBidi"/>
                <w:iCs/>
                <w:sz w:val="20"/>
                <w:szCs w:val="20"/>
              </w:rPr>
              <w:t xml:space="preserve">PSD, November 2025 PBAC meeting). </w:t>
            </w:r>
            <w:r w:rsidR="003F4A66">
              <w:rPr>
                <w:rFonts w:ascii="Arial Narrow" w:eastAsiaTheme="majorEastAsia" w:hAnsi="Arial Narrow" w:cstheme="majorBidi"/>
                <w:iCs/>
                <w:sz w:val="20"/>
                <w:szCs w:val="20"/>
              </w:rPr>
              <w:t xml:space="preserve"> </w:t>
            </w:r>
          </w:p>
        </w:tc>
      </w:tr>
      <w:tr w:rsidR="008C3527" w:rsidRPr="000717E1" w14:paraId="1145F5D2" w14:textId="77777777" w:rsidTr="00D53D4A">
        <w:tc>
          <w:tcPr>
            <w:tcW w:w="5000" w:type="pct"/>
            <w:gridSpan w:val="4"/>
            <w:vAlign w:val="center"/>
          </w:tcPr>
          <w:p w14:paraId="40A83D56" w14:textId="77777777" w:rsidR="00775EFA" w:rsidRPr="000717E1" w:rsidRDefault="00775EFA" w:rsidP="00BA74E1">
            <w:pPr>
              <w:keepNext/>
              <w:keepLines/>
              <w:ind w:left="174" w:hanging="174"/>
              <w:rPr>
                <w:rFonts w:ascii="Arial Narrow" w:eastAsiaTheme="majorEastAsia" w:hAnsi="Arial Narrow" w:cs="Times New Roman"/>
                <w:b/>
                <w:sz w:val="20"/>
                <w:szCs w:val="20"/>
              </w:rPr>
            </w:pPr>
            <w:r w:rsidRPr="000717E1">
              <w:rPr>
                <w:rFonts w:ascii="Arial Narrow" w:eastAsiaTheme="majorEastAsia" w:hAnsi="Arial Narrow" w:cs="Times New Roman"/>
                <w:b/>
                <w:sz w:val="20"/>
                <w:szCs w:val="20"/>
              </w:rPr>
              <w:t>Costs</w:t>
            </w:r>
          </w:p>
        </w:tc>
      </w:tr>
      <w:tr w:rsidR="001429A4" w:rsidRPr="000717E1" w14:paraId="628630BB" w14:textId="77777777" w:rsidTr="00B77713">
        <w:tc>
          <w:tcPr>
            <w:tcW w:w="1020" w:type="pct"/>
          </w:tcPr>
          <w:p w14:paraId="43F42A24" w14:textId="77777777" w:rsidR="00775EFA" w:rsidRPr="000717E1" w:rsidRDefault="00775EFA" w:rsidP="00B77713">
            <w:pPr>
              <w:jc w:val="left"/>
              <w:rPr>
                <w:rFonts w:ascii="Arial Narrow" w:eastAsiaTheme="majorEastAsia" w:hAnsi="Arial Narrow" w:cstheme="majorBidi"/>
                <w:sz w:val="20"/>
                <w:szCs w:val="20"/>
              </w:rPr>
            </w:pPr>
            <w:r w:rsidRPr="000717E1">
              <w:rPr>
                <w:rFonts w:ascii="Arial Narrow" w:eastAsiaTheme="majorEastAsia" w:hAnsi="Arial Narrow" w:cstheme="majorBidi"/>
                <w:sz w:val="20"/>
                <w:szCs w:val="20"/>
              </w:rPr>
              <w:t>Dupilumab</w:t>
            </w:r>
          </w:p>
        </w:tc>
        <w:tc>
          <w:tcPr>
            <w:tcW w:w="1102" w:type="pct"/>
          </w:tcPr>
          <w:p w14:paraId="09019168" w14:textId="77777777" w:rsidR="00775EFA" w:rsidRPr="000717E1" w:rsidRDefault="00775EFA" w:rsidP="00B77713">
            <w:pPr>
              <w:jc w:val="left"/>
              <w:rPr>
                <w:rFonts w:ascii="Arial Narrow" w:eastAsiaTheme="majorEastAsia" w:hAnsi="Arial Narrow" w:cstheme="majorBidi"/>
                <w:sz w:val="20"/>
                <w:szCs w:val="20"/>
              </w:rPr>
            </w:pPr>
            <w:r w:rsidRPr="000717E1">
              <w:rPr>
                <w:rFonts w:ascii="Arial Narrow" w:eastAsiaTheme="majorEastAsia" w:hAnsi="Arial Narrow" w:cstheme="majorBidi"/>
                <w:sz w:val="20"/>
                <w:szCs w:val="20"/>
              </w:rPr>
              <w:t xml:space="preserve">Published DPMQ - </w:t>
            </w:r>
            <w:r w:rsidRPr="00EF3618">
              <w:rPr>
                <w:rFonts w:ascii="Arial Narrow" w:eastAsiaTheme="majorEastAsia" w:hAnsi="Arial Narrow" w:cstheme="majorBidi"/>
                <w:sz w:val="20"/>
                <w:szCs w:val="20"/>
              </w:rPr>
              <w:t>$1,755.99</w:t>
            </w:r>
          </w:p>
          <w:p w14:paraId="1C33EC98" w14:textId="5C93BA42" w:rsidR="00775EFA" w:rsidRPr="000717E1" w:rsidRDefault="00775EFA" w:rsidP="00B77713">
            <w:pPr>
              <w:jc w:val="left"/>
              <w:rPr>
                <w:rFonts w:ascii="Arial Narrow" w:eastAsiaTheme="majorEastAsia" w:hAnsi="Arial Narrow" w:cstheme="majorBidi"/>
                <w:sz w:val="20"/>
                <w:szCs w:val="20"/>
              </w:rPr>
            </w:pPr>
            <w:r w:rsidRPr="000717E1">
              <w:rPr>
                <w:rFonts w:ascii="Arial Narrow" w:eastAsiaTheme="majorEastAsia" w:hAnsi="Arial Narrow" w:cstheme="majorBidi"/>
                <w:sz w:val="20"/>
                <w:szCs w:val="20"/>
              </w:rPr>
              <w:t>Effective DPMQ - $</w:t>
            </w:r>
            <w:r w:rsidR="00331ADA" w:rsidRPr="00331ADA">
              <w:rPr>
                <w:rFonts w:ascii="Arial Narrow" w:eastAsiaTheme="majorEastAsia" w:hAnsi="Arial Narrow" w:cstheme="majorBidi"/>
                <w:sz w:val="2"/>
                <w:szCs w:val="20"/>
                <w:highlight w:val="black"/>
              </w:rPr>
              <w:t>redacted content</w:t>
            </w:r>
          </w:p>
        </w:tc>
        <w:tc>
          <w:tcPr>
            <w:tcW w:w="1022" w:type="pct"/>
          </w:tcPr>
          <w:p w14:paraId="0F084456" w14:textId="77777777" w:rsidR="00775EFA" w:rsidRPr="000717E1" w:rsidRDefault="00775EFA" w:rsidP="00B77713">
            <w:pPr>
              <w:jc w:val="left"/>
              <w:rPr>
                <w:rFonts w:ascii="Arial Narrow" w:eastAsiaTheme="majorEastAsia" w:hAnsi="Arial Narrow" w:cstheme="majorBidi"/>
                <w:sz w:val="20"/>
                <w:szCs w:val="20"/>
              </w:rPr>
            </w:pPr>
            <w:r w:rsidRPr="000717E1">
              <w:rPr>
                <w:rFonts w:ascii="Arial Narrow" w:eastAsiaTheme="majorEastAsia" w:hAnsi="Arial Narrow" w:cstheme="majorBidi"/>
                <w:sz w:val="20"/>
                <w:szCs w:val="20"/>
              </w:rPr>
              <w:t>Proposed published and effective price of dupilumab.</w:t>
            </w:r>
          </w:p>
        </w:tc>
        <w:tc>
          <w:tcPr>
            <w:tcW w:w="1856" w:type="pct"/>
          </w:tcPr>
          <w:p w14:paraId="4B3244CC" w14:textId="77777777" w:rsidR="00775EFA" w:rsidRPr="000717E1" w:rsidRDefault="00775EFA" w:rsidP="00B77713">
            <w:pPr>
              <w:jc w:val="left"/>
              <w:rPr>
                <w:rFonts w:ascii="Arial Narrow" w:eastAsiaTheme="majorEastAsia" w:hAnsi="Arial Narrow" w:cstheme="majorBidi"/>
                <w:sz w:val="20"/>
                <w:szCs w:val="20"/>
              </w:rPr>
            </w:pPr>
          </w:p>
        </w:tc>
      </w:tr>
      <w:tr w:rsidR="001429A4" w:rsidRPr="000717E1" w14:paraId="6504181D" w14:textId="77777777" w:rsidTr="00B77713">
        <w:tc>
          <w:tcPr>
            <w:tcW w:w="1020" w:type="pct"/>
          </w:tcPr>
          <w:p w14:paraId="510861FB" w14:textId="661E3BAD" w:rsidR="00775EFA" w:rsidRPr="000717E1" w:rsidRDefault="00775EFA" w:rsidP="00B77713">
            <w:pPr>
              <w:jc w:val="left"/>
              <w:rPr>
                <w:rFonts w:ascii="Arial Narrow" w:eastAsiaTheme="majorEastAsia" w:hAnsi="Arial Narrow" w:cstheme="majorBidi"/>
                <w:sz w:val="20"/>
                <w:szCs w:val="20"/>
              </w:rPr>
            </w:pPr>
            <w:r w:rsidRPr="000717E1">
              <w:rPr>
                <w:rFonts w:ascii="Arial Narrow" w:eastAsiaTheme="majorEastAsia" w:hAnsi="Arial Narrow" w:cstheme="majorBidi"/>
                <w:sz w:val="20"/>
                <w:szCs w:val="20"/>
              </w:rPr>
              <w:t>Cost offset due to reduction in use of amoxycillin and prednisolone</w:t>
            </w:r>
          </w:p>
        </w:tc>
        <w:tc>
          <w:tcPr>
            <w:tcW w:w="1102" w:type="pct"/>
          </w:tcPr>
          <w:p w14:paraId="49A3B12D" w14:textId="77777777" w:rsidR="00775EFA" w:rsidRPr="000717E1" w:rsidRDefault="00775EFA" w:rsidP="00B77713">
            <w:pPr>
              <w:jc w:val="left"/>
              <w:rPr>
                <w:rFonts w:ascii="Arial Narrow" w:eastAsiaTheme="majorEastAsia" w:hAnsi="Arial Narrow" w:cstheme="majorBidi"/>
                <w:sz w:val="20"/>
                <w:szCs w:val="20"/>
              </w:rPr>
            </w:pPr>
            <w:r w:rsidRPr="000717E1">
              <w:rPr>
                <w:rFonts w:ascii="Arial Narrow" w:eastAsiaTheme="majorEastAsia" w:hAnsi="Arial Narrow" w:cstheme="majorBidi"/>
                <w:sz w:val="20"/>
                <w:szCs w:val="20"/>
              </w:rPr>
              <w:t>Amoxicillin 250mg capsule, 20 (11998L) - $19.22 (DPMQ)</w:t>
            </w:r>
          </w:p>
          <w:p w14:paraId="27D0E0C5" w14:textId="77777777" w:rsidR="00775EFA" w:rsidRPr="000717E1" w:rsidRDefault="00775EFA" w:rsidP="00B77713">
            <w:pPr>
              <w:jc w:val="left"/>
              <w:rPr>
                <w:rFonts w:ascii="Arial Narrow" w:eastAsiaTheme="majorEastAsia" w:hAnsi="Arial Narrow" w:cstheme="majorBidi"/>
                <w:sz w:val="20"/>
                <w:szCs w:val="20"/>
              </w:rPr>
            </w:pPr>
          </w:p>
          <w:p w14:paraId="134B9BBE" w14:textId="77777777" w:rsidR="00775EFA" w:rsidRPr="000717E1" w:rsidRDefault="00775EFA" w:rsidP="00B77713">
            <w:pPr>
              <w:jc w:val="left"/>
              <w:rPr>
                <w:rFonts w:ascii="Arial Narrow" w:eastAsiaTheme="majorEastAsia" w:hAnsi="Arial Narrow" w:cstheme="majorBidi"/>
                <w:sz w:val="20"/>
                <w:szCs w:val="20"/>
              </w:rPr>
            </w:pPr>
            <w:r w:rsidRPr="000717E1">
              <w:rPr>
                <w:rFonts w:ascii="Arial Narrow" w:eastAsiaTheme="majorEastAsia" w:hAnsi="Arial Narrow" w:cstheme="majorBidi"/>
                <w:sz w:val="20"/>
                <w:szCs w:val="20"/>
              </w:rPr>
              <w:t>Prednisolone 5 mg tablet, 60 (1917X) – $17.33 (DPMQ)</w:t>
            </w:r>
          </w:p>
        </w:tc>
        <w:tc>
          <w:tcPr>
            <w:tcW w:w="1022" w:type="pct"/>
          </w:tcPr>
          <w:p w14:paraId="56A28803" w14:textId="77777777" w:rsidR="00775EFA" w:rsidRPr="000717E1" w:rsidRDefault="00775EFA" w:rsidP="00B77713">
            <w:pPr>
              <w:jc w:val="left"/>
              <w:rPr>
                <w:rFonts w:ascii="Arial Narrow" w:eastAsiaTheme="majorEastAsia" w:hAnsi="Arial Narrow" w:cstheme="majorBidi"/>
                <w:sz w:val="20"/>
                <w:szCs w:val="20"/>
              </w:rPr>
            </w:pPr>
            <w:r w:rsidRPr="000717E1">
              <w:rPr>
                <w:rFonts w:ascii="Arial Narrow" w:eastAsiaTheme="majorEastAsia" w:hAnsi="Arial Narrow" w:cstheme="majorBidi"/>
                <w:sz w:val="20"/>
                <w:szCs w:val="20"/>
              </w:rPr>
              <w:t xml:space="preserve">Frequency of use of amoxicillin and prednisolone derived from METIS survey was multiplied with the reduction in exacerbations to derive reduction in use of amoxicillin and prednisolone. </w:t>
            </w:r>
          </w:p>
        </w:tc>
        <w:tc>
          <w:tcPr>
            <w:tcW w:w="1856" w:type="pct"/>
          </w:tcPr>
          <w:p w14:paraId="3448B993" w14:textId="77777777" w:rsidR="00775EFA" w:rsidRPr="000717E1" w:rsidDel="00642613" w:rsidRDefault="00775EFA" w:rsidP="00B77713">
            <w:pPr>
              <w:jc w:val="left"/>
              <w:rPr>
                <w:rFonts w:ascii="Arial Narrow" w:eastAsiaTheme="majorEastAsia" w:hAnsi="Arial Narrow" w:cstheme="majorBidi"/>
                <w:sz w:val="20"/>
                <w:szCs w:val="20"/>
              </w:rPr>
            </w:pPr>
            <w:r w:rsidRPr="000717E1">
              <w:rPr>
                <w:rFonts w:ascii="Arial Narrow" w:eastAsiaTheme="majorEastAsia" w:hAnsi="Arial Narrow" w:cstheme="majorBidi"/>
                <w:sz w:val="20"/>
                <w:szCs w:val="20"/>
              </w:rPr>
              <w:t xml:space="preserve">The submission assumed dupilumab will result in fewer moderate and severe exacerbations each year compared to </w:t>
            </w:r>
            <w:r w:rsidRPr="000717E1">
              <w:rPr>
                <w:rFonts w:ascii="Arial Narrow" w:eastAsia="Calibri" w:hAnsi="Arial Narrow" w:cstheme="minorHAnsi"/>
                <w:sz w:val="20"/>
                <w:szCs w:val="20"/>
              </w:rPr>
              <w:t xml:space="preserve">triple inhaled therapy </w:t>
            </w:r>
            <w:r w:rsidRPr="000717E1">
              <w:rPr>
                <w:rFonts w:ascii="Arial Narrow" w:eastAsiaTheme="majorEastAsia" w:hAnsi="Arial Narrow" w:cstheme="majorBidi"/>
                <w:sz w:val="20"/>
                <w:szCs w:val="20"/>
              </w:rPr>
              <w:t xml:space="preserve">only. This was based on observations from the trial data (pooled BOREAS and NOTUS) and consistent with the estimates in the economic model for cycle 1. </w:t>
            </w:r>
          </w:p>
        </w:tc>
      </w:tr>
      <w:tr w:rsidR="001429A4" w:rsidRPr="000717E1" w14:paraId="0740F56C" w14:textId="77777777" w:rsidTr="00B77713">
        <w:tc>
          <w:tcPr>
            <w:tcW w:w="1020" w:type="pct"/>
          </w:tcPr>
          <w:p w14:paraId="691DF6F6" w14:textId="77777777" w:rsidR="00775EFA" w:rsidRPr="000717E1" w:rsidRDefault="00775EFA" w:rsidP="00B77713">
            <w:pPr>
              <w:jc w:val="left"/>
              <w:rPr>
                <w:rFonts w:ascii="Arial Narrow" w:eastAsiaTheme="majorEastAsia" w:hAnsi="Arial Narrow" w:cstheme="majorBidi"/>
                <w:sz w:val="20"/>
                <w:szCs w:val="20"/>
              </w:rPr>
            </w:pPr>
            <w:r w:rsidRPr="000717E1">
              <w:rPr>
                <w:rFonts w:ascii="Arial Narrow" w:eastAsiaTheme="majorEastAsia" w:hAnsi="Arial Narrow" w:cstheme="majorBidi"/>
                <w:sz w:val="20"/>
                <w:szCs w:val="20"/>
              </w:rPr>
              <w:t>Other cost offsets/additional costs</w:t>
            </w:r>
          </w:p>
        </w:tc>
        <w:tc>
          <w:tcPr>
            <w:tcW w:w="1102" w:type="pct"/>
          </w:tcPr>
          <w:p w14:paraId="3D9820D2" w14:textId="77777777" w:rsidR="00775EFA" w:rsidRPr="000717E1" w:rsidRDefault="00775EFA" w:rsidP="00B77713">
            <w:pPr>
              <w:keepNext/>
              <w:keepLines/>
              <w:jc w:val="left"/>
              <w:rPr>
                <w:rFonts w:ascii="Arial Narrow" w:eastAsiaTheme="majorEastAsia" w:hAnsi="Arial Narrow" w:cstheme="majorBidi"/>
                <w:sz w:val="20"/>
                <w:szCs w:val="20"/>
              </w:rPr>
            </w:pPr>
            <w:r w:rsidRPr="000717E1">
              <w:rPr>
                <w:rFonts w:ascii="Arial Narrow" w:eastAsiaTheme="majorEastAsia" w:hAnsi="Arial Narrow" w:cstheme="majorBidi"/>
                <w:sz w:val="20"/>
                <w:szCs w:val="20"/>
              </w:rPr>
              <w:t>Specialist attendance - $101.30 (MBS item 104)</w:t>
            </w:r>
          </w:p>
          <w:p w14:paraId="102FEFE2" w14:textId="77777777" w:rsidR="00775EFA" w:rsidRPr="000717E1" w:rsidRDefault="00775EFA" w:rsidP="00B77713">
            <w:pPr>
              <w:keepNext/>
              <w:keepLines/>
              <w:jc w:val="left"/>
              <w:rPr>
                <w:rFonts w:ascii="Arial Narrow" w:eastAsiaTheme="majorEastAsia" w:hAnsi="Arial Narrow" w:cstheme="majorBidi"/>
                <w:sz w:val="20"/>
                <w:szCs w:val="20"/>
              </w:rPr>
            </w:pPr>
            <w:r w:rsidRPr="000717E1">
              <w:rPr>
                <w:rFonts w:ascii="Arial Narrow" w:eastAsiaTheme="majorEastAsia" w:hAnsi="Arial Narrow" w:cstheme="majorBidi"/>
                <w:sz w:val="20"/>
                <w:szCs w:val="20"/>
              </w:rPr>
              <w:t>GP attendance - $43.90 (MBS item 23)</w:t>
            </w:r>
          </w:p>
          <w:p w14:paraId="1A12718B" w14:textId="77777777" w:rsidR="00775EFA" w:rsidRPr="000717E1" w:rsidRDefault="00775EFA" w:rsidP="00B77713">
            <w:pPr>
              <w:keepNext/>
              <w:keepLines/>
              <w:jc w:val="left"/>
              <w:rPr>
                <w:rFonts w:ascii="Arial Narrow" w:eastAsiaTheme="majorEastAsia" w:hAnsi="Arial Narrow" w:cstheme="majorBidi"/>
                <w:sz w:val="20"/>
                <w:szCs w:val="20"/>
              </w:rPr>
            </w:pPr>
            <w:r w:rsidRPr="000717E1">
              <w:rPr>
                <w:rFonts w:ascii="Arial Narrow" w:eastAsiaTheme="majorEastAsia" w:hAnsi="Arial Narrow" w:cstheme="majorBidi"/>
                <w:sz w:val="20"/>
                <w:szCs w:val="20"/>
              </w:rPr>
              <w:t>ED visit - $1,651.00</w:t>
            </w:r>
          </w:p>
          <w:p w14:paraId="509A9D10" w14:textId="77777777" w:rsidR="00775EFA" w:rsidRPr="000717E1" w:rsidRDefault="00775EFA" w:rsidP="00B77713">
            <w:pPr>
              <w:keepNext/>
              <w:keepLines/>
              <w:jc w:val="left"/>
              <w:rPr>
                <w:rFonts w:ascii="Arial Narrow" w:eastAsiaTheme="majorEastAsia" w:hAnsi="Arial Narrow" w:cstheme="majorBidi"/>
                <w:sz w:val="20"/>
                <w:szCs w:val="20"/>
              </w:rPr>
            </w:pPr>
            <w:r w:rsidRPr="000717E1">
              <w:rPr>
                <w:rFonts w:ascii="Arial Narrow" w:eastAsiaTheme="majorEastAsia" w:hAnsi="Arial Narrow" w:cstheme="majorBidi"/>
                <w:sz w:val="20"/>
                <w:szCs w:val="20"/>
              </w:rPr>
              <w:t>Ambulance - $914.00</w:t>
            </w:r>
          </w:p>
          <w:p w14:paraId="56885829" w14:textId="77777777" w:rsidR="00775EFA" w:rsidRPr="000717E1" w:rsidRDefault="00775EFA" w:rsidP="00B77713">
            <w:pPr>
              <w:keepNext/>
              <w:keepLines/>
              <w:jc w:val="left"/>
              <w:rPr>
                <w:rFonts w:ascii="Arial Narrow" w:eastAsiaTheme="majorEastAsia" w:hAnsi="Arial Narrow" w:cstheme="majorBidi"/>
                <w:sz w:val="20"/>
                <w:szCs w:val="20"/>
              </w:rPr>
            </w:pPr>
            <w:r w:rsidRPr="000717E1">
              <w:rPr>
                <w:rFonts w:ascii="Arial Narrow" w:eastAsiaTheme="majorEastAsia" w:hAnsi="Arial Narrow" w:cstheme="majorBidi"/>
                <w:sz w:val="20"/>
                <w:szCs w:val="20"/>
              </w:rPr>
              <w:t>Hospitalisation - $8,312.00 (AR-DRG E65A &amp; E65B)</w:t>
            </w:r>
          </w:p>
          <w:p w14:paraId="47AB0592" w14:textId="77777777" w:rsidR="00775EFA" w:rsidRPr="000717E1" w:rsidRDefault="00775EFA" w:rsidP="00B77713">
            <w:pPr>
              <w:jc w:val="left"/>
              <w:rPr>
                <w:rFonts w:ascii="Arial Narrow" w:eastAsiaTheme="majorEastAsia" w:hAnsi="Arial Narrow" w:cstheme="majorBidi"/>
                <w:sz w:val="20"/>
                <w:szCs w:val="20"/>
              </w:rPr>
            </w:pPr>
          </w:p>
        </w:tc>
        <w:tc>
          <w:tcPr>
            <w:tcW w:w="1022" w:type="pct"/>
          </w:tcPr>
          <w:p w14:paraId="0701825E" w14:textId="77777777" w:rsidR="00775EFA" w:rsidRPr="000717E1" w:rsidRDefault="00775EFA" w:rsidP="00B77713">
            <w:pPr>
              <w:jc w:val="left"/>
              <w:rPr>
                <w:rFonts w:ascii="Arial Narrow" w:eastAsiaTheme="majorEastAsia" w:hAnsi="Arial Narrow" w:cstheme="majorBidi"/>
                <w:sz w:val="20"/>
                <w:szCs w:val="20"/>
              </w:rPr>
            </w:pPr>
            <w:r w:rsidRPr="000717E1">
              <w:rPr>
                <w:rFonts w:ascii="Arial Narrow" w:eastAsiaTheme="majorEastAsia" w:hAnsi="Arial Narrow" w:cstheme="majorBidi"/>
                <w:sz w:val="20"/>
                <w:szCs w:val="20"/>
              </w:rPr>
              <w:t xml:space="preserve">Cost of each item multiplied with reduction in resource due to reduction in exacerbations. </w:t>
            </w:r>
          </w:p>
        </w:tc>
        <w:tc>
          <w:tcPr>
            <w:tcW w:w="1856" w:type="pct"/>
          </w:tcPr>
          <w:p w14:paraId="5FF2F8D5" w14:textId="77777777" w:rsidR="00775EFA" w:rsidRPr="000717E1" w:rsidRDefault="00775EFA" w:rsidP="00B77713">
            <w:pPr>
              <w:jc w:val="left"/>
              <w:rPr>
                <w:rFonts w:ascii="Arial Narrow" w:eastAsiaTheme="majorEastAsia" w:hAnsi="Arial Narrow" w:cstheme="majorBidi"/>
                <w:sz w:val="20"/>
                <w:szCs w:val="20"/>
              </w:rPr>
            </w:pPr>
            <w:r w:rsidRPr="000717E1">
              <w:rPr>
                <w:rFonts w:ascii="Arial Narrow" w:eastAsiaTheme="majorEastAsia" w:hAnsi="Arial Narrow" w:cstheme="majorBidi"/>
                <w:sz w:val="20"/>
                <w:szCs w:val="20"/>
              </w:rPr>
              <w:t>It is not appropriate to include cost offsets associated with GP and specialist visits as these are not likely to be realised. ED visit, ambulance and hospitalisation should not be included as they do not accrue a PBS or MBS cost.</w:t>
            </w:r>
          </w:p>
        </w:tc>
      </w:tr>
      <w:tr w:rsidR="001429A4" w:rsidRPr="000717E1" w14:paraId="6E2C949A" w14:textId="77777777" w:rsidTr="00B77713">
        <w:tc>
          <w:tcPr>
            <w:tcW w:w="1020" w:type="pct"/>
          </w:tcPr>
          <w:p w14:paraId="6213F53E" w14:textId="77777777" w:rsidR="00775EFA" w:rsidRPr="000717E1" w:rsidRDefault="00775EFA" w:rsidP="00B77713">
            <w:pPr>
              <w:jc w:val="left"/>
              <w:rPr>
                <w:rFonts w:ascii="Arial Narrow" w:eastAsiaTheme="majorEastAsia" w:hAnsi="Arial Narrow" w:cstheme="majorBidi"/>
                <w:sz w:val="20"/>
                <w:szCs w:val="20"/>
              </w:rPr>
            </w:pPr>
            <w:r w:rsidRPr="000717E1">
              <w:rPr>
                <w:rFonts w:ascii="Arial Narrow" w:eastAsiaTheme="majorEastAsia" w:hAnsi="Arial Narrow" w:cstheme="majorBidi"/>
                <w:sz w:val="20"/>
                <w:szCs w:val="20"/>
              </w:rPr>
              <w:t>Patient copayment</w:t>
            </w:r>
          </w:p>
        </w:tc>
        <w:tc>
          <w:tcPr>
            <w:tcW w:w="1102" w:type="pct"/>
          </w:tcPr>
          <w:p w14:paraId="32B43087" w14:textId="77777777" w:rsidR="00775EFA" w:rsidRPr="000717E1" w:rsidRDefault="00775EFA" w:rsidP="00B77713">
            <w:pPr>
              <w:jc w:val="left"/>
              <w:rPr>
                <w:rFonts w:ascii="Arial Narrow" w:eastAsiaTheme="majorEastAsia" w:hAnsi="Arial Narrow" w:cstheme="majorBidi"/>
                <w:sz w:val="20"/>
                <w:szCs w:val="20"/>
              </w:rPr>
            </w:pPr>
            <w:r w:rsidRPr="000717E1">
              <w:rPr>
                <w:rFonts w:ascii="Arial Narrow" w:eastAsiaTheme="majorEastAsia" w:hAnsi="Arial Narrow" w:cstheme="majorBidi"/>
                <w:sz w:val="20"/>
                <w:szCs w:val="20"/>
              </w:rPr>
              <w:t>PBS – $8.60</w:t>
            </w:r>
          </w:p>
          <w:p w14:paraId="45B67F30" w14:textId="77777777" w:rsidR="00775EFA" w:rsidRPr="000717E1" w:rsidRDefault="00775EFA" w:rsidP="00B77713">
            <w:pPr>
              <w:jc w:val="left"/>
              <w:rPr>
                <w:rFonts w:ascii="Arial Narrow" w:eastAsiaTheme="majorEastAsia" w:hAnsi="Arial Narrow" w:cstheme="majorBidi"/>
                <w:sz w:val="20"/>
                <w:szCs w:val="20"/>
              </w:rPr>
            </w:pPr>
            <w:r w:rsidRPr="000717E1">
              <w:rPr>
                <w:rFonts w:ascii="Arial Narrow" w:eastAsiaTheme="majorEastAsia" w:hAnsi="Arial Narrow" w:cstheme="majorBidi"/>
                <w:sz w:val="20"/>
                <w:szCs w:val="20"/>
              </w:rPr>
              <w:t xml:space="preserve">RPBS – $4.10 </w:t>
            </w:r>
          </w:p>
        </w:tc>
        <w:tc>
          <w:tcPr>
            <w:tcW w:w="1022" w:type="pct"/>
          </w:tcPr>
          <w:p w14:paraId="053A2D9B" w14:textId="77777777" w:rsidR="00775EFA" w:rsidRPr="000717E1" w:rsidRDefault="00775EFA" w:rsidP="00B77713">
            <w:pPr>
              <w:jc w:val="left"/>
              <w:rPr>
                <w:rFonts w:ascii="Arial Narrow" w:eastAsiaTheme="majorEastAsia" w:hAnsi="Arial Narrow" w:cstheme="majorBidi"/>
                <w:sz w:val="20"/>
                <w:szCs w:val="20"/>
              </w:rPr>
            </w:pPr>
            <w:r w:rsidRPr="000717E1">
              <w:rPr>
                <w:rFonts w:ascii="Arial Narrow" w:eastAsiaTheme="majorEastAsia" w:hAnsi="Arial Narrow" w:cstheme="majorBidi"/>
                <w:sz w:val="20"/>
                <w:szCs w:val="20"/>
              </w:rPr>
              <w:t>Average of PBS and RPBS copayments based on dispensing data for PBS items 11379X, 12468F, 12672Y for triple inhaled therapy.</w:t>
            </w:r>
          </w:p>
        </w:tc>
        <w:tc>
          <w:tcPr>
            <w:tcW w:w="1856" w:type="pct"/>
          </w:tcPr>
          <w:p w14:paraId="23F44CA1" w14:textId="23175BDF" w:rsidR="00775EFA" w:rsidRPr="000717E1" w:rsidRDefault="00775EFA" w:rsidP="00B77713">
            <w:pPr>
              <w:jc w:val="left"/>
              <w:rPr>
                <w:rFonts w:ascii="Arial Narrow" w:eastAsiaTheme="majorEastAsia" w:hAnsi="Arial Narrow" w:cstheme="majorBidi"/>
                <w:sz w:val="20"/>
                <w:szCs w:val="20"/>
              </w:rPr>
            </w:pPr>
          </w:p>
        </w:tc>
      </w:tr>
      <w:tr w:rsidR="001429A4" w:rsidRPr="000717E1" w14:paraId="1E3D1E21" w14:textId="77777777" w:rsidTr="00B77713">
        <w:tc>
          <w:tcPr>
            <w:tcW w:w="1020" w:type="pct"/>
          </w:tcPr>
          <w:p w14:paraId="3F4DC92A" w14:textId="77777777" w:rsidR="00775EFA" w:rsidRPr="000717E1" w:rsidRDefault="00775EFA" w:rsidP="00B77713">
            <w:pPr>
              <w:jc w:val="left"/>
              <w:rPr>
                <w:rFonts w:ascii="Arial Narrow" w:eastAsiaTheme="majorEastAsia" w:hAnsi="Arial Narrow" w:cstheme="majorBidi"/>
                <w:sz w:val="20"/>
                <w:szCs w:val="20"/>
              </w:rPr>
            </w:pPr>
            <w:r w:rsidRPr="000717E1">
              <w:rPr>
                <w:rFonts w:ascii="Arial Narrow" w:eastAsiaTheme="majorEastAsia" w:hAnsi="Arial Narrow" w:cstheme="majorBidi"/>
                <w:sz w:val="20"/>
                <w:szCs w:val="20"/>
              </w:rPr>
              <w:t>Administration costs</w:t>
            </w:r>
          </w:p>
        </w:tc>
        <w:tc>
          <w:tcPr>
            <w:tcW w:w="1102" w:type="pct"/>
          </w:tcPr>
          <w:p w14:paraId="262B156B" w14:textId="77777777" w:rsidR="00775EFA" w:rsidRPr="000717E1" w:rsidRDefault="00775EFA" w:rsidP="00B77713">
            <w:pPr>
              <w:jc w:val="left"/>
              <w:rPr>
                <w:rFonts w:ascii="Arial Narrow" w:eastAsiaTheme="majorEastAsia" w:hAnsi="Arial Narrow" w:cstheme="majorBidi"/>
                <w:sz w:val="20"/>
                <w:szCs w:val="20"/>
              </w:rPr>
            </w:pPr>
            <w:r w:rsidRPr="000717E1">
              <w:rPr>
                <w:rFonts w:ascii="Arial Narrow" w:eastAsiaTheme="majorEastAsia" w:hAnsi="Arial Narrow" w:cstheme="majorBidi"/>
                <w:sz w:val="20"/>
                <w:szCs w:val="20"/>
              </w:rPr>
              <w:t>$88.90</w:t>
            </w:r>
          </w:p>
        </w:tc>
        <w:tc>
          <w:tcPr>
            <w:tcW w:w="1022" w:type="pct"/>
          </w:tcPr>
          <w:p w14:paraId="5DE17672" w14:textId="77777777" w:rsidR="00775EFA" w:rsidRPr="000717E1" w:rsidRDefault="00775EFA" w:rsidP="00B77713">
            <w:pPr>
              <w:jc w:val="left"/>
              <w:rPr>
                <w:rFonts w:ascii="Arial Narrow" w:eastAsiaTheme="majorEastAsia" w:hAnsi="Arial Narrow" w:cstheme="majorBidi"/>
                <w:sz w:val="20"/>
                <w:szCs w:val="20"/>
              </w:rPr>
            </w:pPr>
            <w:r w:rsidRPr="000717E1">
              <w:rPr>
                <w:rFonts w:ascii="Arial Narrow" w:eastAsiaTheme="majorEastAsia" w:hAnsi="Arial Narrow" w:cstheme="majorBidi"/>
                <w:sz w:val="20"/>
                <w:szCs w:val="20"/>
              </w:rPr>
              <w:t>MBS item 82215 – nurse training for subcutaneous injection</w:t>
            </w:r>
          </w:p>
        </w:tc>
        <w:tc>
          <w:tcPr>
            <w:tcW w:w="1856" w:type="pct"/>
          </w:tcPr>
          <w:p w14:paraId="2D89E5AE" w14:textId="77777777" w:rsidR="00775EFA" w:rsidRPr="000717E1" w:rsidRDefault="00775EFA" w:rsidP="00B77713">
            <w:pPr>
              <w:jc w:val="left"/>
              <w:rPr>
                <w:rFonts w:ascii="Arial Narrow" w:eastAsiaTheme="majorEastAsia" w:hAnsi="Arial Narrow" w:cstheme="majorBidi"/>
                <w:sz w:val="20"/>
                <w:szCs w:val="20"/>
              </w:rPr>
            </w:pPr>
            <w:r w:rsidRPr="000717E1">
              <w:rPr>
                <w:rFonts w:ascii="Arial Narrow" w:eastAsiaTheme="majorEastAsia" w:hAnsi="Arial Narrow" w:cstheme="majorBidi"/>
                <w:sz w:val="20"/>
                <w:szCs w:val="20"/>
              </w:rPr>
              <w:t>Included only as one-off cost for initiating patients. Some patients may require assistance with administration more than once over their treatment duration.</w:t>
            </w:r>
          </w:p>
        </w:tc>
      </w:tr>
    </w:tbl>
    <w:p w14:paraId="29B98A44" w14:textId="77777777" w:rsidR="00775EFA" w:rsidRPr="000717E1" w:rsidRDefault="00775EFA" w:rsidP="00775EFA">
      <w:pPr>
        <w:spacing w:after="120"/>
        <w:contextualSpacing/>
        <w:rPr>
          <w:rFonts w:ascii="Arial Narrow" w:hAnsi="Arial Narrow"/>
          <w:snapToGrid w:val="0"/>
          <w:sz w:val="18"/>
          <w:szCs w:val="22"/>
        </w:rPr>
      </w:pPr>
      <w:r w:rsidRPr="000717E1">
        <w:rPr>
          <w:rFonts w:ascii="Arial Narrow" w:hAnsi="Arial Narrow"/>
          <w:snapToGrid w:val="0"/>
          <w:sz w:val="18"/>
          <w:szCs w:val="22"/>
        </w:rPr>
        <w:lastRenderedPageBreak/>
        <w:t>Source: compiled during the evaluation based on Table 4.1-1, p180; Table 4.1-4, p183; Table 4.2-6, p192, Section 4.2 and Section 4.5 of the submission.</w:t>
      </w:r>
    </w:p>
    <w:p w14:paraId="4DFA27F9" w14:textId="132C36EE" w:rsidR="00775EFA" w:rsidRDefault="00775EFA" w:rsidP="00775EFA">
      <w:pPr>
        <w:spacing w:after="120"/>
        <w:contextualSpacing/>
        <w:rPr>
          <w:rFonts w:ascii="Arial Narrow" w:hAnsi="Arial Narrow"/>
          <w:snapToGrid w:val="0"/>
          <w:sz w:val="18"/>
          <w:szCs w:val="22"/>
        </w:rPr>
      </w:pPr>
      <w:r w:rsidRPr="000717E1">
        <w:rPr>
          <w:rFonts w:ascii="Arial Narrow" w:hAnsi="Arial Narrow"/>
          <w:snapToGrid w:val="0"/>
          <w:sz w:val="18"/>
          <w:szCs w:val="22"/>
        </w:rPr>
        <w:t xml:space="preserve">AR-DRG = Australian Refined Diagnosis Related Group; ABS = Australian Bureau of Statistics; AIHW = Australian Institute of Health and Welfare; COPD = chronic obstructive pulmonary disease; DPMQ = dispense price for maximum quantity; ED = Emergency Department; </w:t>
      </w:r>
      <w:r w:rsidR="004A52E0">
        <w:rPr>
          <w:rFonts w:ascii="Arial Narrow" w:hAnsi="Arial Narrow"/>
          <w:snapToGrid w:val="0"/>
          <w:sz w:val="18"/>
          <w:szCs w:val="22"/>
        </w:rPr>
        <w:t>BEC</w:t>
      </w:r>
      <w:r w:rsidRPr="000717E1">
        <w:rPr>
          <w:rFonts w:ascii="Arial Narrow" w:hAnsi="Arial Narrow"/>
          <w:snapToGrid w:val="0"/>
          <w:sz w:val="18"/>
          <w:szCs w:val="22"/>
        </w:rPr>
        <w:t xml:space="preserve"> = </w:t>
      </w:r>
      <w:r w:rsidR="004A52E0">
        <w:rPr>
          <w:rFonts w:ascii="Arial Narrow" w:hAnsi="Arial Narrow"/>
          <w:snapToGrid w:val="0"/>
          <w:sz w:val="18"/>
          <w:szCs w:val="22"/>
        </w:rPr>
        <w:t xml:space="preserve">blood </w:t>
      </w:r>
      <w:r w:rsidRPr="000717E1">
        <w:rPr>
          <w:rFonts w:ascii="Arial Narrow" w:hAnsi="Arial Narrow"/>
          <w:snapToGrid w:val="0"/>
          <w:sz w:val="18"/>
          <w:szCs w:val="22"/>
        </w:rPr>
        <w:t>eosinophil</w:t>
      </w:r>
      <w:r w:rsidR="004A52E0">
        <w:rPr>
          <w:rFonts w:ascii="Arial Narrow" w:hAnsi="Arial Narrow"/>
          <w:snapToGrid w:val="0"/>
          <w:sz w:val="18"/>
          <w:szCs w:val="22"/>
        </w:rPr>
        <w:t xml:space="preserve"> count</w:t>
      </w:r>
      <w:r w:rsidRPr="000717E1">
        <w:rPr>
          <w:rFonts w:ascii="Arial Narrow" w:hAnsi="Arial Narrow"/>
          <w:snapToGrid w:val="0"/>
          <w:sz w:val="18"/>
          <w:szCs w:val="22"/>
        </w:rPr>
        <w:t xml:space="preserve">; </w:t>
      </w:r>
      <w:r w:rsidR="0066076D" w:rsidRPr="000717E1">
        <w:rPr>
          <w:rFonts w:ascii="Arial Narrow" w:hAnsi="Arial Narrow"/>
          <w:snapToGrid w:val="0"/>
          <w:sz w:val="18"/>
          <w:szCs w:val="22"/>
        </w:rPr>
        <w:t xml:space="preserve">FDC = fixed dose combination; </w:t>
      </w:r>
      <w:r w:rsidRPr="000717E1">
        <w:rPr>
          <w:rFonts w:ascii="Arial Narrow" w:hAnsi="Arial Narrow"/>
          <w:snapToGrid w:val="0"/>
          <w:sz w:val="18"/>
          <w:szCs w:val="22"/>
        </w:rPr>
        <w:t>GP = general physician; MBS = Medicare Benefits Schedule; PBS = Pharmaceutical Benefits Scheme; RP = respiratory physician; RPBS = Repatriation Pharmaceutical Benefits Scheme; Yr = Year.</w:t>
      </w:r>
    </w:p>
    <w:p w14:paraId="5D5D7B74" w14:textId="20344E39" w:rsidR="00C37FF6" w:rsidRDefault="000D0C1B" w:rsidP="00775EFA">
      <w:pPr>
        <w:spacing w:after="120"/>
        <w:contextualSpacing/>
        <w:rPr>
          <w:rFonts w:ascii="Arial Narrow" w:hAnsi="Arial Narrow"/>
          <w:i/>
          <w:iCs/>
          <w:snapToGrid w:val="0"/>
          <w:sz w:val="18"/>
          <w:szCs w:val="22"/>
        </w:rPr>
      </w:pPr>
      <w:r>
        <w:rPr>
          <w:rFonts w:ascii="Arial Narrow" w:hAnsi="Arial Narrow"/>
          <w:i/>
          <w:iCs/>
          <w:snapToGrid w:val="0"/>
          <w:sz w:val="18"/>
          <w:szCs w:val="22"/>
        </w:rPr>
        <w:t>The redacted values correspond to the following ranges:</w:t>
      </w:r>
    </w:p>
    <w:p w14:paraId="4581F5A7" w14:textId="703F425A" w:rsidR="000D0C1B" w:rsidRDefault="000D0C1B" w:rsidP="00775EFA">
      <w:pPr>
        <w:spacing w:after="120"/>
        <w:contextualSpacing/>
        <w:rPr>
          <w:rFonts w:ascii="Arial Narrow" w:hAnsi="Arial Narrow"/>
          <w:i/>
          <w:iCs/>
          <w:snapToGrid w:val="0"/>
          <w:sz w:val="18"/>
          <w:szCs w:val="22"/>
        </w:rPr>
      </w:pPr>
      <w:r>
        <w:rPr>
          <w:rFonts w:ascii="Arial Narrow" w:hAnsi="Arial Narrow"/>
          <w:i/>
          <w:iCs/>
          <w:snapToGrid w:val="0"/>
          <w:sz w:val="18"/>
          <w:szCs w:val="22"/>
          <w:vertAlign w:val="superscript"/>
        </w:rPr>
        <w:t>1</w:t>
      </w:r>
      <w:r>
        <w:rPr>
          <w:rFonts w:ascii="Arial Narrow" w:hAnsi="Arial Narrow"/>
          <w:i/>
          <w:iCs/>
          <w:snapToGrid w:val="0"/>
          <w:sz w:val="18"/>
          <w:szCs w:val="22"/>
        </w:rPr>
        <w:t xml:space="preserve"> </w:t>
      </w:r>
      <w:r w:rsidR="00F702FD">
        <w:rPr>
          <w:rFonts w:ascii="Arial Narrow" w:hAnsi="Arial Narrow"/>
          <w:i/>
          <w:iCs/>
          <w:snapToGrid w:val="0"/>
          <w:sz w:val="18"/>
          <w:szCs w:val="22"/>
        </w:rPr>
        <w:t>100,000 to &lt; 200,000</w:t>
      </w:r>
    </w:p>
    <w:p w14:paraId="32EDE177" w14:textId="28B4298E" w:rsidR="00F702FD" w:rsidRDefault="00417C5A" w:rsidP="00775EFA">
      <w:pPr>
        <w:spacing w:after="120"/>
        <w:contextualSpacing/>
        <w:rPr>
          <w:rFonts w:ascii="Arial Narrow" w:hAnsi="Arial Narrow"/>
          <w:i/>
          <w:iCs/>
          <w:snapToGrid w:val="0"/>
          <w:sz w:val="18"/>
          <w:szCs w:val="22"/>
        </w:rPr>
      </w:pPr>
      <w:r>
        <w:rPr>
          <w:rFonts w:ascii="Arial Narrow" w:hAnsi="Arial Narrow"/>
          <w:i/>
          <w:iCs/>
          <w:snapToGrid w:val="0"/>
          <w:sz w:val="18"/>
          <w:szCs w:val="22"/>
          <w:vertAlign w:val="superscript"/>
        </w:rPr>
        <w:t>2</w:t>
      </w:r>
      <w:r>
        <w:rPr>
          <w:rFonts w:ascii="Arial Narrow" w:hAnsi="Arial Narrow"/>
          <w:i/>
          <w:iCs/>
          <w:snapToGrid w:val="0"/>
          <w:sz w:val="18"/>
          <w:szCs w:val="22"/>
        </w:rPr>
        <w:t xml:space="preserve"> 200,000 to &lt; 300,000</w:t>
      </w:r>
    </w:p>
    <w:p w14:paraId="4AB19A0D" w14:textId="129BEAAE" w:rsidR="00417C5A" w:rsidRDefault="00417C5A" w:rsidP="00775EFA">
      <w:pPr>
        <w:spacing w:after="120"/>
        <w:contextualSpacing/>
        <w:rPr>
          <w:rFonts w:ascii="Arial Narrow" w:hAnsi="Arial Narrow"/>
          <w:i/>
          <w:iCs/>
          <w:snapToGrid w:val="0"/>
          <w:sz w:val="18"/>
          <w:szCs w:val="22"/>
        </w:rPr>
      </w:pPr>
      <w:r>
        <w:rPr>
          <w:rFonts w:ascii="Arial Narrow" w:hAnsi="Arial Narrow"/>
          <w:i/>
          <w:iCs/>
          <w:snapToGrid w:val="0"/>
          <w:sz w:val="18"/>
          <w:szCs w:val="22"/>
          <w:vertAlign w:val="superscript"/>
        </w:rPr>
        <w:t xml:space="preserve">3 </w:t>
      </w:r>
      <w:r w:rsidR="00685156">
        <w:rPr>
          <w:rFonts w:ascii="Arial Narrow" w:hAnsi="Arial Narrow"/>
          <w:i/>
          <w:iCs/>
          <w:snapToGrid w:val="0"/>
          <w:sz w:val="18"/>
          <w:szCs w:val="22"/>
        </w:rPr>
        <w:t>30,000 to &lt; 40,000</w:t>
      </w:r>
    </w:p>
    <w:p w14:paraId="759F59BE" w14:textId="3894DFD9" w:rsidR="00685156" w:rsidRDefault="00685156" w:rsidP="00775EFA">
      <w:pPr>
        <w:spacing w:after="120"/>
        <w:contextualSpacing/>
        <w:rPr>
          <w:rFonts w:ascii="Arial Narrow" w:hAnsi="Arial Narrow"/>
          <w:i/>
          <w:iCs/>
          <w:snapToGrid w:val="0"/>
          <w:sz w:val="18"/>
          <w:szCs w:val="22"/>
        </w:rPr>
      </w:pPr>
      <w:r>
        <w:rPr>
          <w:rFonts w:ascii="Arial Narrow" w:hAnsi="Arial Narrow"/>
          <w:i/>
          <w:iCs/>
          <w:snapToGrid w:val="0"/>
          <w:sz w:val="18"/>
          <w:szCs w:val="22"/>
          <w:vertAlign w:val="superscript"/>
        </w:rPr>
        <w:t>4</w:t>
      </w:r>
      <w:r>
        <w:rPr>
          <w:rFonts w:ascii="Arial Narrow" w:hAnsi="Arial Narrow"/>
          <w:i/>
          <w:iCs/>
          <w:snapToGrid w:val="0"/>
          <w:sz w:val="18"/>
          <w:szCs w:val="22"/>
        </w:rPr>
        <w:t xml:space="preserve"> 20,000 to &lt; 30,000</w:t>
      </w:r>
    </w:p>
    <w:p w14:paraId="49DA1EDC" w14:textId="3B7757B8" w:rsidR="00685156" w:rsidRPr="00E62353" w:rsidRDefault="00E62353" w:rsidP="00775EFA">
      <w:pPr>
        <w:spacing w:after="120"/>
        <w:contextualSpacing/>
        <w:rPr>
          <w:rFonts w:ascii="Arial Narrow" w:hAnsi="Arial Narrow"/>
          <w:i/>
          <w:iCs/>
          <w:snapToGrid w:val="0"/>
          <w:sz w:val="18"/>
          <w:szCs w:val="22"/>
        </w:rPr>
      </w:pPr>
      <w:r>
        <w:rPr>
          <w:rFonts w:ascii="Arial Narrow" w:hAnsi="Arial Narrow"/>
          <w:i/>
          <w:iCs/>
          <w:snapToGrid w:val="0"/>
          <w:sz w:val="18"/>
          <w:szCs w:val="22"/>
          <w:vertAlign w:val="superscript"/>
        </w:rPr>
        <w:t>5</w:t>
      </w:r>
      <w:r>
        <w:rPr>
          <w:rFonts w:ascii="Arial Narrow" w:hAnsi="Arial Narrow"/>
          <w:i/>
          <w:iCs/>
          <w:snapToGrid w:val="0"/>
          <w:sz w:val="18"/>
          <w:szCs w:val="22"/>
        </w:rPr>
        <w:t xml:space="preserve"> </w:t>
      </w:r>
      <w:r w:rsidR="007D588C">
        <w:rPr>
          <w:rFonts w:ascii="Arial Narrow" w:hAnsi="Arial Narrow"/>
          <w:i/>
          <w:iCs/>
          <w:snapToGrid w:val="0"/>
          <w:sz w:val="18"/>
          <w:szCs w:val="22"/>
        </w:rPr>
        <w:t>500 to &lt; 5,000</w:t>
      </w:r>
    </w:p>
    <w:p w14:paraId="0D696A9D" w14:textId="447BAD77" w:rsidR="00445769" w:rsidRPr="000717E1" w:rsidRDefault="00445769" w:rsidP="00445769">
      <w:pPr>
        <w:pStyle w:val="3-BodyText"/>
      </w:pPr>
      <w:r w:rsidRPr="000717E1">
        <w:t xml:space="preserve">A summary of the estimated use and financial implications is presented in </w:t>
      </w:r>
      <w:r w:rsidR="00C75FD1" w:rsidRPr="000717E1">
        <w:fldChar w:fldCharType="begin"/>
      </w:r>
      <w:r w:rsidR="00C75FD1" w:rsidRPr="000717E1">
        <w:instrText xml:space="preserve"> REF _Ref104805295 \h </w:instrText>
      </w:r>
      <w:r w:rsidR="00C75FD1" w:rsidRPr="000717E1">
        <w:fldChar w:fldCharType="separate"/>
      </w:r>
      <w:r w:rsidR="00281F45" w:rsidRPr="000717E1">
        <w:t xml:space="preserve">Table </w:t>
      </w:r>
      <w:r w:rsidR="00281F45">
        <w:rPr>
          <w:noProof/>
        </w:rPr>
        <w:t>18</w:t>
      </w:r>
      <w:r w:rsidR="00C75FD1" w:rsidRPr="000717E1">
        <w:fldChar w:fldCharType="end"/>
      </w:r>
      <w:r w:rsidR="00C75FD1" w:rsidRPr="000717E1">
        <w:t>.</w:t>
      </w:r>
    </w:p>
    <w:p w14:paraId="202BCBB9" w14:textId="3C9F1941" w:rsidR="00445769" w:rsidRPr="000717E1" w:rsidRDefault="002333EF" w:rsidP="00445769">
      <w:pPr>
        <w:pStyle w:val="Caption"/>
      </w:pPr>
      <w:bookmarkStart w:id="100" w:name="_Ref104805295"/>
      <w:r w:rsidRPr="000717E1">
        <w:lastRenderedPageBreak/>
        <w:t xml:space="preserve">Table </w:t>
      </w:r>
      <w:fldSimple w:instr=" SEQ Table \* ARABIC ">
        <w:r w:rsidR="00281F45">
          <w:rPr>
            <w:noProof/>
          </w:rPr>
          <w:t>18</w:t>
        </w:r>
      </w:fldSimple>
      <w:bookmarkEnd w:id="100"/>
      <w:r w:rsidR="00445769" w:rsidRPr="000717E1">
        <w:t>:</w:t>
      </w:r>
      <w:r w:rsidR="00445769" w:rsidRPr="000717E1">
        <w:rPr>
          <w:rStyle w:val="CommentReference"/>
          <w:b/>
          <w:szCs w:val="24"/>
        </w:rPr>
        <w:t xml:space="preserve"> Estimated use and financial implications (effective price)</w:t>
      </w:r>
    </w:p>
    <w:tbl>
      <w:tblPr>
        <w:tblW w:w="51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8: Estimated use and financial implications (effective price)"/>
      </w:tblPr>
      <w:tblGrid>
        <w:gridCol w:w="2143"/>
        <w:gridCol w:w="982"/>
        <w:gridCol w:w="983"/>
        <w:gridCol w:w="983"/>
        <w:gridCol w:w="983"/>
        <w:gridCol w:w="983"/>
        <w:gridCol w:w="983"/>
        <w:gridCol w:w="1161"/>
      </w:tblGrid>
      <w:tr w:rsidR="00445769" w:rsidRPr="000717E1" w14:paraId="71934D25" w14:textId="77777777">
        <w:trPr>
          <w:tblHeader/>
        </w:trPr>
        <w:tc>
          <w:tcPr>
            <w:tcW w:w="1165" w:type="pct"/>
            <w:vAlign w:val="center"/>
          </w:tcPr>
          <w:p w14:paraId="4B334502" w14:textId="77777777" w:rsidR="00445769" w:rsidRPr="000717E1" w:rsidRDefault="00445769" w:rsidP="00334AFB">
            <w:pPr>
              <w:pStyle w:val="In-tableHeading"/>
            </w:pPr>
          </w:p>
        </w:tc>
        <w:tc>
          <w:tcPr>
            <w:tcW w:w="534" w:type="pct"/>
            <w:vAlign w:val="center"/>
          </w:tcPr>
          <w:p w14:paraId="08EB3E8A" w14:textId="77777777" w:rsidR="00445769" w:rsidRPr="000717E1" w:rsidRDefault="00445769" w:rsidP="0049436C">
            <w:pPr>
              <w:pStyle w:val="In-tableHeading"/>
              <w:jc w:val="center"/>
            </w:pPr>
            <w:r w:rsidRPr="000717E1">
              <w:t>Year 1</w:t>
            </w:r>
          </w:p>
        </w:tc>
        <w:tc>
          <w:tcPr>
            <w:tcW w:w="534" w:type="pct"/>
            <w:vAlign w:val="center"/>
          </w:tcPr>
          <w:p w14:paraId="43CADB52" w14:textId="77777777" w:rsidR="00445769" w:rsidRPr="000717E1" w:rsidRDefault="00445769" w:rsidP="0049436C">
            <w:pPr>
              <w:pStyle w:val="In-tableHeading"/>
              <w:jc w:val="center"/>
            </w:pPr>
            <w:r w:rsidRPr="000717E1">
              <w:t>Year 2</w:t>
            </w:r>
          </w:p>
        </w:tc>
        <w:tc>
          <w:tcPr>
            <w:tcW w:w="534" w:type="pct"/>
            <w:vAlign w:val="center"/>
          </w:tcPr>
          <w:p w14:paraId="584CB28D" w14:textId="77777777" w:rsidR="00445769" w:rsidRPr="000717E1" w:rsidRDefault="00445769" w:rsidP="0049436C">
            <w:pPr>
              <w:pStyle w:val="In-tableHeading"/>
              <w:jc w:val="center"/>
            </w:pPr>
            <w:r w:rsidRPr="000717E1">
              <w:t>Year 3</w:t>
            </w:r>
          </w:p>
        </w:tc>
        <w:tc>
          <w:tcPr>
            <w:tcW w:w="534" w:type="pct"/>
            <w:vAlign w:val="center"/>
          </w:tcPr>
          <w:p w14:paraId="116ABC4B" w14:textId="77777777" w:rsidR="00445769" w:rsidRPr="000717E1" w:rsidRDefault="00445769" w:rsidP="0049436C">
            <w:pPr>
              <w:pStyle w:val="In-tableHeading"/>
              <w:jc w:val="center"/>
            </w:pPr>
            <w:r w:rsidRPr="000717E1">
              <w:t>Year 4</w:t>
            </w:r>
          </w:p>
        </w:tc>
        <w:tc>
          <w:tcPr>
            <w:tcW w:w="534" w:type="pct"/>
            <w:vAlign w:val="center"/>
          </w:tcPr>
          <w:p w14:paraId="46C64065" w14:textId="77777777" w:rsidR="00445769" w:rsidRPr="000717E1" w:rsidRDefault="00445769" w:rsidP="0049436C">
            <w:pPr>
              <w:pStyle w:val="In-tableHeading"/>
              <w:jc w:val="center"/>
            </w:pPr>
            <w:r w:rsidRPr="000717E1">
              <w:t>Year 5</w:t>
            </w:r>
          </w:p>
        </w:tc>
        <w:tc>
          <w:tcPr>
            <w:tcW w:w="534" w:type="pct"/>
            <w:vAlign w:val="center"/>
          </w:tcPr>
          <w:p w14:paraId="3EA1308B" w14:textId="77777777" w:rsidR="00445769" w:rsidRPr="000717E1" w:rsidRDefault="00445769" w:rsidP="0049436C">
            <w:pPr>
              <w:pStyle w:val="In-tableHeading"/>
              <w:jc w:val="center"/>
            </w:pPr>
            <w:r w:rsidRPr="000717E1">
              <w:t>Year 6</w:t>
            </w:r>
          </w:p>
        </w:tc>
        <w:tc>
          <w:tcPr>
            <w:tcW w:w="631" w:type="pct"/>
            <w:vAlign w:val="center"/>
          </w:tcPr>
          <w:p w14:paraId="48D013C5" w14:textId="77777777" w:rsidR="00445769" w:rsidRPr="000717E1" w:rsidRDefault="00445769" w:rsidP="0049436C">
            <w:pPr>
              <w:pStyle w:val="In-tableHeading"/>
              <w:jc w:val="center"/>
            </w:pPr>
            <w:r w:rsidRPr="000717E1">
              <w:t>Total</w:t>
            </w:r>
          </w:p>
        </w:tc>
      </w:tr>
      <w:tr w:rsidR="00445769" w:rsidRPr="000717E1" w14:paraId="11CAD6B1" w14:textId="77777777">
        <w:trPr>
          <w:tblHeader/>
        </w:trPr>
        <w:tc>
          <w:tcPr>
            <w:tcW w:w="5000" w:type="pct"/>
            <w:gridSpan w:val="8"/>
            <w:vAlign w:val="center"/>
          </w:tcPr>
          <w:p w14:paraId="3B0389D0" w14:textId="77777777" w:rsidR="00445769" w:rsidRPr="000717E1" w:rsidRDefault="00445769" w:rsidP="00334AFB">
            <w:pPr>
              <w:pStyle w:val="In-tableHeading"/>
            </w:pPr>
            <w:r w:rsidRPr="000717E1">
              <w:t>Eligible for dupilumab</w:t>
            </w:r>
          </w:p>
        </w:tc>
      </w:tr>
      <w:tr w:rsidR="00445769" w:rsidRPr="000717E1" w14:paraId="2DCC4EF0" w14:textId="77777777">
        <w:trPr>
          <w:tblHeader/>
        </w:trPr>
        <w:tc>
          <w:tcPr>
            <w:tcW w:w="1165" w:type="pct"/>
            <w:vAlign w:val="center"/>
          </w:tcPr>
          <w:p w14:paraId="2D9B0DE2" w14:textId="77777777" w:rsidR="00445769" w:rsidRPr="000717E1" w:rsidRDefault="00445769">
            <w:pPr>
              <w:pStyle w:val="TableText0"/>
              <w:rPr>
                <w:sz w:val="20"/>
                <w:szCs w:val="20"/>
              </w:rPr>
            </w:pPr>
            <w:r w:rsidRPr="000717E1">
              <w:rPr>
                <w:sz w:val="20"/>
                <w:szCs w:val="20"/>
              </w:rPr>
              <w:t>Epidemiological approach</w:t>
            </w:r>
          </w:p>
        </w:tc>
        <w:tc>
          <w:tcPr>
            <w:tcW w:w="534" w:type="pct"/>
          </w:tcPr>
          <w:p w14:paraId="307058D1" w14:textId="594A50E8" w:rsidR="00445769" w:rsidRPr="008F002E" w:rsidRDefault="00331ADA">
            <w:pPr>
              <w:pStyle w:val="TableText0"/>
              <w:jc w:val="center"/>
              <w:rPr>
                <w:sz w:val="20"/>
                <w:szCs w:val="20"/>
                <w:highlight w:val="darkGray"/>
                <w:vertAlign w:val="superscript"/>
              </w:rPr>
            </w:pPr>
            <w:r w:rsidRPr="00331ADA">
              <w:rPr>
                <w:sz w:val="2"/>
                <w:szCs w:val="20"/>
                <w:highlight w:val="black"/>
              </w:rPr>
              <w:t>redacted content</w:t>
            </w:r>
            <w:r w:rsidR="008F002E" w:rsidRPr="008F002E">
              <w:rPr>
                <w:sz w:val="20"/>
                <w:szCs w:val="20"/>
                <w:vertAlign w:val="superscript"/>
              </w:rPr>
              <w:t>1</w:t>
            </w:r>
          </w:p>
        </w:tc>
        <w:tc>
          <w:tcPr>
            <w:tcW w:w="534" w:type="pct"/>
          </w:tcPr>
          <w:p w14:paraId="610C08DD" w14:textId="36BBDB9B" w:rsidR="00445769" w:rsidRPr="00B801B6" w:rsidRDefault="00331ADA">
            <w:pPr>
              <w:pStyle w:val="TableText0"/>
              <w:jc w:val="center"/>
              <w:rPr>
                <w:sz w:val="20"/>
                <w:szCs w:val="20"/>
                <w:highlight w:val="darkGray"/>
              </w:rPr>
            </w:pPr>
            <w:r w:rsidRPr="00331ADA">
              <w:rPr>
                <w:sz w:val="2"/>
                <w:szCs w:val="20"/>
                <w:highlight w:val="black"/>
              </w:rPr>
              <w:t>redacted content</w:t>
            </w:r>
            <w:r w:rsidR="008F002E" w:rsidRPr="008F002E">
              <w:rPr>
                <w:sz w:val="20"/>
                <w:szCs w:val="20"/>
                <w:vertAlign w:val="superscript"/>
              </w:rPr>
              <w:t>1</w:t>
            </w:r>
          </w:p>
        </w:tc>
        <w:tc>
          <w:tcPr>
            <w:tcW w:w="534" w:type="pct"/>
          </w:tcPr>
          <w:p w14:paraId="25BCF64E" w14:textId="5EFDD560" w:rsidR="00445769" w:rsidRPr="008F002E" w:rsidRDefault="00331ADA">
            <w:pPr>
              <w:pStyle w:val="TableText0"/>
              <w:jc w:val="center"/>
              <w:rPr>
                <w:sz w:val="20"/>
                <w:szCs w:val="20"/>
                <w:highlight w:val="darkGray"/>
                <w:vertAlign w:val="superscript"/>
              </w:rPr>
            </w:pPr>
            <w:r w:rsidRPr="00331ADA">
              <w:rPr>
                <w:sz w:val="2"/>
                <w:szCs w:val="20"/>
                <w:highlight w:val="black"/>
              </w:rPr>
              <w:t>redacted content</w:t>
            </w:r>
            <w:r w:rsidR="008F002E" w:rsidRPr="008F002E">
              <w:rPr>
                <w:sz w:val="20"/>
                <w:szCs w:val="20"/>
                <w:vertAlign w:val="superscript"/>
              </w:rPr>
              <w:t>2</w:t>
            </w:r>
          </w:p>
        </w:tc>
        <w:tc>
          <w:tcPr>
            <w:tcW w:w="534" w:type="pct"/>
          </w:tcPr>
          <w:p w14:paraId="5D41D704" w14:textId="676AF12A" w:rsidR="00445769" w:rsidRPr="00B801B6" w:rsidRDefault="00331ADA">
            <w:pPr>
              <w:pStyle w:val="TableText0"/>
              <w:jc w:val="center"/>
              <w:rPr>
                <w:sz w:val="20"/>
                <w:szCs w:val="20"/>
                <w:highlight w:val="darkGray"/>
              </w:rPr>
            </w:pPr>
            <w:r w:rsidRPr="00331ADA">
              <w:rPr>
                <w:sz w:val="2"/>
                <w:szCs w:val="20"/>
                <w:highlight w:val="black"/>
              </w:rPr>
              <w:t>redacted content</w:t>
            </w:r>
            <w:r w:rsidR="008F002E" w:rsidRPr="008F002E">
              <w:rPr>
                <w:sz w:val="20"/>
                <w:szCs w:val="20"/>
                <w:vertAlign w:val="superscript"/>
              </w:rPr>
              <w:t>2</w:t>
            </w:r>
          </w:p>
        </w:tc>
        <w:tc>
          <w:tcPr>
            <w:tcW w:w="534" w:type="pct"/>
          </w:tcPr>
          <w:p w14:paraId="41E295A3" w14:textId="42948AA5" w:rsidR="00445769" w:rsidRPr="00B801B6" w:rsidRDefault="00331ADA">
            <w:pPr>
              <w:pStyle w:val="TableText0"/>
              <w:jc w:val="center"/>
              <w:rPr>
                <w:sz w:val="20"/>
                <w:szCs w:val="20"/>
                <w:highlight w:val="darkGray"/>
              </w:rPr>
            </w:pPr>
            <w:r w:rsidRPr="00331ADA">
              <w:rPr>
                <w:sz w:val="2"/>
                <w:szCs w:val="20"/>
                <w:highlight w:val="black"/>
              </w:rPr>
              <w:t>redacted content</w:t>
            </w:r>
            <w:r w:rsidR="008F002E" w:rsidRPr="008F002E">
              <w:rPr>
                <w:sz w:val="20"/>
                <w:szCs w:val="20"/>
                <w:vertAlign w:val="superscript"/>
              </w:rPr>
              <w:t>2</w:t>
            </w:r>
          </w:p>
        </w:tc>
        <w:tc>
          <w:tcPr>
            <w:tcW w:w="534" w:type="pct"/>
          </w:tcPr>
          <w:p w14:paraId="2C93583F" w14:textId="724DC984" w:rsidR="00445769" w:rsidRPr="00B801B6" w:rsidRDefault="00331ADA">
            <w:pPr>
              <w:pStyle w:val="TableText0"/>
              <w:jc w:val="center"/>
              <w:rPr>
                <w:sz w:val="20"/>
                <w:szCs w:val="20"/>
                <w:highlight w:val="darkGray"/>
              </w:rPr>
            </w:pPr>
            <w:r w:rsidRPr="00331ADA">
              <w:rPr>
                <w:sz w:val="2"/>
                <w:szCs w:val="20"/>
                <w:highlight w:val="black"/>
              </w:rPr>
              <w:t>redacted content</w:t>
            </w:r>
            <w:r w:rsidR="008F002E" w:rsidRPr="008F002E">
              <w:rPr>
                <w:sz w:val="20"/>
                <w:szCs w:val="20"/>
                <w:vertAlign w:val="superscript"/>
              </w:rPr>
              <w:t>2</w:t>
            </w:r>
          </w:p>
        </w:tc>
        <w:tc>
          <w:tcPr>
            <w:tcW w:w="631" w:type="pct"/>
            <w:vAlign w:val="center"/>
          </w:tcPr>
          <w:p w14:paraId="2BAD2E0C" w14:textId="742C6B6B" w:rsidR="00445769" w:rsidRPr="00B801B6" w:rsidRDefault="00331ADA">
            <w:pPr>
              <w:pStyle w:val="TableText0"/>
              <w:jc w:val="center"/>
              <w:rPr>
                <w:sz w:val="20"/>
                <w:szCs w:val="20"/>
                <w:highlight w:val="darkGray"/>
              </w:rPr>
            </w:pPr>
            <w:r w:rsidRPr="00331ADA">
              <w:rPr>
                <w:sz w:val="2"/>
                <w:szCs w:val="20"/>
                <w:highlight w:val="black"/>
              </w:rPr>
              <w:t>redacted content</w:t>
            </w:r>
            <w:r w:rsidR="008F002E">
              <w:rPr>
                <w:sz w:val="20"/>
                <w:szCs w:val="20"/>
                <w:vertAlign w:val="superscript"/>
              </w:rPr>
              <w:t>3</w:t>
            </w:r>
          </w:p>
        </w:tc>
      </w:tr>
      <w:tr w:rsidR="00445769" w:rsidRPr="000717E1" w14:paraId="1B5FF02C" w14:textId="77777777">
        <w:trPr>
          <w:tblHeader/>
        </w:trPr>
        <w:tc>
          <w:tcPr>
            <w:tcW w:w="1165" w:type="pct"/>
            <w:vAlign w:val="center"/>
          </w:tcPr>
          <w:p w14:paraId="11FD1918" w14:textId="0AC2A95E" w:rsidR="00445769" w:rsidRPr="000717E1" w:rsidRDefault="00C712CC">
            <w:pPr>
              <w:pStyle w:val="TableText0"/>
              <w:rPr>
                <w:sz w:val="20"/>
                <w:szCs w:val="20"/>
              </w:rPr>
            </w:pPr>
            <w:r w:rsidRPr="000717E1">
              <w:rPr>
                <w:sz w:val="20"/>
                <w:szCs w:val="20"/>
              </w:rPr>
              <w:t>PBS 10% sample</w:t>
            </w:r>
            <w:r w:rsidR="00445769" w:rsidRPr="000717E1">
              <w:rPr>
                <w:sz w:val="20"/>
                <w:szCs w:val="20"/>
              </w:rPr>
              <w:t xml:space="preserve"> approach</w:t>
            </w:r>
          </w:p>
        </w:tc>
        <w:tc>
          <w:tcPr>
            <w:tcW w:w="534" w:type="pct"/>
          </w:tcPr>
          <w:p w14:paraId="35B86145" w14:textId="181C31E5" w:rsidR="00445769" w:rsidRPr="006447F1" w:rsidRDefault="00331ADA" w:rsidP="00C712CC">
            <w:pPr>
              <w:pStyle w:val="TableText0"/>
              <w:jc w:val="center"/>
              <w:rPr>
                <w:sz w:val="20"/>
                <w:szCs w:val="20"/>
                <w:highlight w:val="darkGray"/>
              </w:rPr>
            </w:pPr>
            <w:r w:rsidRPr="00331ADA">
              <w:rPr>
                <w:sz w:val="2"/>
                <w:szCs w:val="20"/>
                <w:highlight w:val="black"/>
              </w:rPr>
              <w:t>redacted content</w:t>
            </w:r>
            <w:r w:rsidR="008F002E" w:rsidRPr="008F002E">
              <w:rPr>
                <w:sz w:val="20"/>
                <w:szCs w:val="20"/>
                <w:vertAlign w:val="superscript"/>
              </w:rPr>
              <w:t>2</w:t>
            </w:r>
          </w:p>
        </w:tc>
        <w:tc>
          <w:tcPr>
            <w:tcW w:w="534" w:type="pct"/>
          </w:tcPr>
          <w:p w14:paraId="7D786CB4" w14:textId="4483EEE3" w:rsidR="00445769" w:rsidRPr="006447F1" w:rsidRDefault="00331ADA" w:rsidP="00C712CC">
            <w:pPr>
              <w:pStyle w:val="TableText0"/>
              <w:jc w:val="center"/>
              <w:rPr>
                <w:sz w:val="20"/>
                <w:szCs w:val="20"/>
                <w:highlight w:val="darkGray"/>
              </w:rPr>
            </w:pPr>
            <w:r w:rsidRPr="00331ADA">
              <w:rPr>
                <w:sz w:val="2"/>
                <w:szCs w:val="20"/>
                <w:highlight w:val="black"/>
              </w:rPr>
              <w:t>redacted content</w:t>
            </w:r>
            <w:r w:rsidR="008F002E" w:rsidRPr="008F002E">
              <w:rPr>
                <w:sz w:val="20"/>
                <w:szCs w:val="20"/>
                <w:vertAlign w:val="superscript"/>
              </w:rPr>
              <w:t>2</w:t>
            </w:r>
          </w:p>
        </w:tc>
        <w:tc>
          <w:tcPr>
            <w:tcW w:w="534" w:type="pct"/>
          </w:tcPr>
          <w:p w14:paraId="0FEF3107" w14:textId="331474E2" w:rsidR="00445769" w:rsidRPr="006447F1" w:rsidRDefault="00331ADA" w:rsidP="00C712CC">
            <w:pPr>
              <w:pStyle w:val="TableText0"/>
              <w:jc w:val="center"/>
              <w:rPr>
                <w:sz w:val="20"/>
                <w:szCs w:val="20"/>
                <w:highlight w:val="darkGray"/>
              </w:rPr>
            </w:pPr>
            <w:r w:rsidRPr="00331ADA">
              <w:rPr>
                <w:sz w:val="2"/>
                <w:szCs w:val="20"/>
                <w:highlight w:val="black"/>
              </w:rPr>
              <w:t>redacted content</w:t>
            </w:r>
            <w:r w:rsidR="008F002E" w:rsidRPr="008F002E">
              <w:rPr>
                <w:sz w:val="20"/>
                <w:szCs w:val="20"/>
                <w:vertAlign w:val="superscript"/>
              </w:rPr>
              <w:t>2</w:t>
            </w:r>
          </w:p>
        </w:tc>
        <w:tc>
          <w:tcPr>
            <w:tcW w:w="534" w:type="pct"/>
          </w:tcPr>
          <w:p w14:paraId="663881ED" w14:textId="273DC9CF" w:rsidR="00445769" w:rsidRPr="006447F1" w:rsidRDefault="00331ADA" w:rsidP="00C712CC">
            <w:pPr>
              <w:pStyle w:val="TableText0"/>
              <w:jc w:val="center"/>
              <w:rPr>
                <w:sz w:val="20"/>
                <w:szCs w:val="20"/>
                <w:highlight w:val="darkGray"/>
              </w:rPr>
            </w:pPr>
            <w:r w:rsidRPr="00331ADA">
              <w:rPr>
                <w:sz w:val="2"/>
                <w:szCs w:val="20"/>
                <w:highlight w:val="black"/>
              </w:rPr>
              <w:t>redacted content</w:t>
            </w:r>
            <w:r w:rsidR="008F002E" w:rsidRPr="008F002E">
              <w:rPr>
                <w:sz w:val="20"/>
                <w:szCs w:val="20"/>
                <w:vertAlign w:val="superscript"/>
              </w:rPr>
              <w:t>2</w:t>
            </w:r>
          </w:p>
        </w:tc>
        <w:tc>
          <w:tcPr>
            <w:tcW w:w="534" w:type="pct"/>
          </w:tcPr>
          <w:p w14:paraId="20DD5DA1" w14:textId="5C573AF9" w:rsidR="00445769" w:rsidRPr="006447F1" w:rsidRDefault="00331ADA" w:rsidP="00C712CC">
            <w:pPr>
              <w:pStyle w:val="TableText0"/>
              <w:jc w:val="center"/>
              <w:rPr>
                <w:sz w:val="20"/>
                <w:szCs w:val="20"/>
                <w:highlight w:val="darkGray"/>
              </w:rPr>
            </w:pPr>
            <w:r w:rsidRPr="00331ADA">
              <w:rPr>
                <w:sz w:val="2"/>
                <w:szCs w:val="20"/>
                <w:highlight w:val="black"/>
              </w:rPr>
              <w:t>redacted content</w:t>
            </w:r>
            <w:r w:rsidR="008F002E" w:rsidRPr="008F002E">
              <w:rPr>
                <w:sz w:val="20"/>
                <w:szCs w:val="20"/>
                <w:vertAlign w:val="superscript"/>
              </w:rPr>
              <w:t>2</w:t>
            </w:r>
          </w:p>
        </w:tc>
        <w:tc>
          <w:tcPr>
            <w:tcW w:w="534" w:type="pct"/>
          </w:tcPr>
          <w:p w14:paraId="675DBEFB" w14:textId="1E207BA6" w:rsidR="00445769" w:rsidRPr="006447F1" w:rsidRDefault="00331ADA" w:rsidP="00C712CC">
            <w:pPr>
              <w:pStyle w:val="TableText0"/>
              <w:jc w:val="center"/>
              <w:rPr>
                <w:sz w:val="20"/>
                <w:szCs w:val="20"/>
                <w:highlight w:val="darkGray"/>
              </w:rPr>
            </w:pPr>
            <w:r w:rsidRPr="00331ADA">
              <w:rPr>
                <w:sz w:val="2"/>
                <w:szCs w:val="20"/>
                <w:highlight w:val="black"/>
              </w:rPr>
              <w:t>redacted content</w:t>
            </w:r>
            <w:r w:rsidR="008F002E" w:rsidRPr="008F002E">
              <w:rPr>
                <w:sz w:val="20"/>
                <w:szCs w:val="20"/>
                <w:vertAlign w:val="superscript"/>
              </w:rPr>
              <w:t>2</w:t>
            </w:r>
          </w:p>
        </w:tc>
        <w:tc>
          <w:tcPr>
            <w:tcW w:w="631" w:type="pct"/>
            <w:vAlign w:val="center"/>
          </w:tcPr>
          <w:p w14:paraId="127486B1" w14:textId="7722F416" w:rsidR="00445769" w:rsidRPr="006447F1" w:rsidRDefault="00331ADA">
            <w:pPr>
              <w:pStyle w:val="TableText0"/>
              <w:jc w:val="center"/>
              <w:rPr>
                <w:bCs/>
                <w:sz w:val="20"/>
                <w:szCs w:val="20"/>
                <w:highlight w:val="darkGray"/>
              </w:rPr>
            </w:pPr>
            <w:r w:rsidRPr="00331ADA">
              <w:rPr>
                <w:bCs/>
                <w:sz w:val="2"/>
                <w:szCs w:val="20"/>
                <w:highlight w:val="black"/>
              </w:rPr>
              <w:t>redacted content</w:t>
            </w:r>
            <w:r w:rsidR="008F002E">
              <w:rPr>
                <w:sz w:val="20"/>
                <w:szCs w:val="20"/>
                <w:vertAlign w:val="superscript"/>
              </w:rPr>
              <w:t>4</w:t>
            </w:r>
          </w:p>
        </w:tc>
      </w:tr>
      <w:tr w:rsidR="00445769" w:rsidRPr="000717E1" w14:paraId="4E1FBE7F" w14:textId="77777777">
        <w:trPr>
          <w:tblHeader/>
        </w:trPr>
        <w:tc>
          <w:tcPr>
            <w:tcW w:w="1165" w:type="pct"/>
            <w:vAlign w:val="center"/>
          </w:tcPr>
          <w:p w14:paraId="4A8D807B" w14:textId="77777777" w:rsidR="00445769" w:rsidRPr="000717E1" w:rsidRDefault="00445769">
            <w:pPr>
              <w:pStyle w:val="TableText0"/>
              <w:rPr>
                <w:sz w:val="20"/>
                <w:szCs w:val="20"/>
              </w:rPr>
            </w:pPr>
            <w:r w:rsidRPr="000717E1">
              <w:rPr>
                <w:sz w:val="20"/>
                <w:szCs w:val="20"/>
              </w:rPr>
              <w:t>Average of both approaches</w:t>
            </w:r>
          </w:p>
        </w:tc>
        <w:tc>
          <w:tcPr>
            <w:tcW w:w="534" w:type="pct"/>
          </w:tcPr>
          <w:p w14:paraId="3186C6E0" w14:textId="3F67A54A" w:rsidR="00445769" w:rsidRPr="00855AF9" w:rsidRDefault="00331ADA">
            <w:pPr>
              <w:pStyle w:val="TableText0"/>
              <w:jc w:val="center"/>
              <w:rPr>
                <w:bCs/>
                <w:sz w:val="20"/>
                <w:szCs w:val="20"/>
                <w:highlight w:val="darkGray"/>
                <w:vertAlign w:val="superscript"/>
              </w:rPr>
            </w:pPr>
            <w:r w:rsidRPr="00331ADA">
              <w:rPr>
                <w:bCs/>
                <w:sz w:val="2"/>
                <w:szCs w:val="20"/>
                <w:highlight w:val="black"/>
              </w:rPr>
              <w:t>redacted content</w:t>
            </w:r>
            <w:r w:rsidR="00855AF9" w:rsidRPr="00855AF9">
              <w:rPr>
                <w:bCs/>
                <w:sz w:val="20"/>
                <w:szCs w:val="20"/>
                <w:vertAlign w:val="superscript"/>
              </w:rPr>
              <w:t>1</w:t>
            </w:r>
          </w:p>
        </w:tc>
        <w:tc>
          <w:tcPr>
            <w:tcW w:w="534" w:type="pct"/>
          </w:tcPr>
          <w:p w14:paraId="1A885133" w14:textId="6744F80B" w:rsidR="00445769" w:rsidRPr="00B801B6" w:rsidRDefault="00331ADA">
            <w:pPr>
              <w:pStyle w:val="TableText0"/>
              <w:jc w:val="center"/>
              <w:rPr>
                <w:bCs/>
                <w:sz w:val="20"/>
                <w:szCs w:val="20"/>
                <w:highlight w:val="darkGray"/>
              </w:rPr>
            </w:pPr>
            <w:r w:rsidRPr="00331ADA">
              <w:rPr>
                <w:bCs/>
                <w:sz w:val="2"/>
                <w:szCs w:val="20"/>
                <w:highlight w:val="black"/>
              </w:rPr>
              <w:t>redacted content</w:t>
            </w:r>
            <w:r w:rsidR="00855AF9" w:rsidRPr="008F002E">
              <w:rPr>
                <w:sz w:val="20"/>
                <w:szCs w:val="20"/>
                <w:vertAlign w:val="superscript"/>
              </w:rPr>
              <w:t>2</w:t>
            </w:r>
          </w:p>
        </w:tc>
        <w:tc>
          <w:tcPr>
            <w:tcW w:w="534" w:type="pct"/>
          </w:tcPr>
          <w:p w14:paraId="7A9FD27D" w14:textId="20EE02DF" w:rsidR="00445769" w:rsidRPr="00B801B6" w:rsidRDefault="00331ADA">
            <w:pPr>
              <w:pStyle w:val="TableText0"/>
              <w:jc w:val="center"/>
              <w:rPr>
                <w:bCs/>
                <w:sz w:val="20"/>
                <w:szCs w:val="20"/>
                <w:highlight w:val="darkGray"/>
              </w:rPr>
            </w:pPr>
            <w:r w:rsidRPr="00331ADA">
              <w:rPr>
                <w:bCs/>
                <w:sz w:val="2"/>
                <w:szCs w:val="20"/>
                <w:highlight w:val="black"/>
              </w:rPr>
              <w:t>redacted content</w:t>
            </w:r>
            <w:r w:rsidR="00855AF9" w:rsidRPr="008F002E">
              <w:rPr>
                <w:sz w:val="20"/>
                <w:szCs w:val="20"/>
                <w:vertAlign w:val="superscript"/>
              </w:rPr>
              <w:t>2</w:t>
            </w:r>
          </w:p>
        </w:tc>
        <w:tc>
          <w:tcPr>
            <w:tcW w:w="534" w:type="pct"/>
          </w:tcPr>
          <w:p w14:paraId="605AF1C1" w14:textId="644C1DF8" w:rsidR="00445769" w:rsidRPr="00B801B6" w:rsidRDefault="00331ADA">
            <w:pPr>
              <w:pStyle w:val="TableText0"/>
              <w:jc w:val="center"/>
              <w:rPr>
                <w:bCs/>
                <w:sz w:val="20"/>
                <w:szCs w:val="20"/>
                <w:highlight w:val="darkGray"/>
              </w:rPr>
            </w:pPr>
            <w:r w:rsidRPr="00331ADA">
              <w:rPr>
                <w:bCs/>
                <w:sz w:val="2"/>
                <w:szCs w:val="20"/>
                <w:highlight w:val="black"/>
              </w:rPr>
              <w:t>redacted content</w:t>
            </w:r>
            <w:r w:rsidR="00855AF9" w:rsidRPr="008F002E">
              <w:rPr>
                <w:sz w:val="20"/>
                <w:szCs w:val="20"/>
                <w:vertAlign w:val="superscript"/>
              </w:rPr>
              <w:t>2</w:t>
            </w:r>
          </w:p>
        </w:tc>
        <w:tc>
          <w:tcPr>
            <w:tcW w:w="534" w:type="pct"/>
          </w:tcPr>
          <w:p w14:paraId="1BF96C21" w14:textId="7D6F5931" w:rsidR="00445769" w:rsidRPr="00B801B6" w:rsidRDefault="00331ADA">
            <w:pPr>
              <w:pStyle w:val="TableText0"/>
              <w:jc w:val="center"/>
              <w:rPr>
                <w:bCs/>
                <w:sz w:val="20"/>
                <w:szCs w:val="20"/>
                <w:highlight w:val="darkGray"/>
              </w:rPr>
            </w:pPr>
            <w:r w:rsidRPr="00331ADA">
              <w:rPr>
                <w:bCs/>
                <w:sz w:val="2"/>
                <w:szCs w:val="20"/>
                <w:highlight w:val="black"/>
              </w:rPr>
              <w:t>redacted content</w:t>
            </w:r>
            <w:r w:rsidR="00855AF9" w:rsidRPr="008F002E">
              <w:rPr>
                <w:sz w:val="20"/>
                <w:szCs w:val="20"/>
                <w:vertAlign w:val="superscript"/>
              </w:rPr>
              <w:t>2</w:t>
            </w:r>
          </w:p>
        </w:tc>
        <w:tc>
          <w:tcPr>
            <w:tcW w:w="534" w:type="pct"/>
          </w:tcPr>
          <w:p w14:paraId="4AB600DC" w14:textId="0C3E8CBC" w:rsidR="00445769" w:rsidRPr="00B801B6" w:rsidRDefault="00331ADA">
            <w:pPr>
              <w:pStyle w:val="TableText0"/>
              <w:jc w:val="center"/>
              <w:rPr>
                <w:bCs/>
                <w:sz w:val="20"/>
                <w:szCs w:val="20"/>
                <w:highlight w:val="darkGray"/>
              </w:rPr>
            </w:pPr>
            <w:r w:rsidRPr="00331ADA">
              <w:rPr>
                <w:bCs/>
                <w:sz w:val="2"/>
                <w:szCs w:val="20"/>
                <w:highlight w:val="black"/>
              </w:rPr>
              <w:t>redacted content</w:t>
            </w:r>
            <w:r w:rsidR="00855AF9" w:rsidRPr="008F002E">
              <w:rPr>
                <w:sz w:val="20"/>
                <w:szCs w:val="20"/>
                <w:vertAlign w:val="superscript"/>
              </w:rPr>
              <w:t>2</w:t>
            </w:r>
          </w:p>
        </w:tc>
        <w:tc>
          <w:tcPr>
            <w:tcW w:w="631" w:type="pct"/>
            <w:vAlign w:val="center"/>
          </w:tcPr>
          <w:p w14:paraId="434BCDB7" w14:textId="49EB7D36" w:rsidR="00445769" w:rsidRPr="00B801B6" w:rsidRDefault="00331ADA">
            <w:pPr>
              <w:pStyle w:val="TableText0"/>
              <w:jc w:val="center"/>
              <w:rPr>
                <w:bCs/>
                <w:sz w:val="20"/>
                <w:szCs w:val="20"/>
                <w:highlight w:val="darkGray"/>
              </w:rPr>
            </w:pPr>
            <w:r w:rsidRPr="00331ADA">
              <w:rPr>
                <w:bCs/>
                <w:sz w:val="2"/>
                <w:szCs w:val="20"/>
                <w:highlight w:val="black"/>
              </w:rPr>
              <w:t>redacted content</w:t>
            </w:r>
            <w:r w:rsidR="00855AF9">
              <w:rPr>
                <w:sz w:val="20"/>
                <w:szCs w:val="20"/>
                <w:vertAlign w:val="superscript"/>
              </w:rPr>
              <w:t>4</w:t>
            </w:r>
          </w:p>
        </w:tc>
      </w:tr>
      <w:tr w:rsidR="00445769" w:rsidRPr="000717E1" w14:paraId="0E9295FA" w14:textId="77777777">
        <w:tc>
          <w:tcPr>
            <w:tcW w:w="4369" w:type="pct"/>
            <w:gridSpan w:val="7"/>
            <w:vAlign w:val="center"/>
          </w:tcPr>
          <w:p w14:paraId="32DBDFE2" w14:textId="77777777" w:rsidR="00445769" w:rsidRPr="000717E1" w:rsidRDefault="00445769" w:rsidP="00334AFB">
            <w:pPr>
              <w:pStyle w:val="In-tableHeading"/>
            </w:pPr>
            <w:r w:rsidRPr="000717E1">
              <w:t>Estimated extent of use</w:t>
            </w:r>
          </w:p>
        </w:tc>
        <w:tc>
          <w:tcPr>
            <w:tcW w:w="631" w:type="pct"/>
          </w:tcPr>
          <w:p w14:paraId="3828C176" w14:textId="77777777" w:rsidR="00445769" w:rsidRPr="000717E1" w:rsidRDefault="00445769" w:rsidP="00334AFB">
            <w:pPr>
              <w:pStyle w:val="In-tableHeading"/>
            </w:pPr>
          </w:p>
        </w:tc>
      </w:tr>
      <w:tr w:rsidR="00445769" w:rsidRPr="000717E1" w14:paraId="2755FA38" w14:textId="77777777">
        <w:tc>
          <w:tcPr>
            <w:tcW w:w="1165" w:type="pct"/>
            <w:vAlign w:val="center"/>
          </w:tcPr>
          <w:p w14:paraId="28903D96" w14:textId="77777777" w:rsidR="00445769" w:rsidRPr="000717E1" w:rsidRDefault="00445769">
            <w:pPr>
              <w:pStyle w:val="TableText0"/>
              <w:rPr>
                <w:sz w:val="20"/>
                <w:szCs w:val="20"/>
              </w:rPr>
            </w:pPr>
            <w:r w:rsidRPr="000717E1">
              <w:rPr>
                <w:sz w:val="20"/>
                <w:szCs w:val="20"/>
              </w:rPr>
              <w:t xml:space="preserve">Number of patients </w:t>
            </w:r>
            <w:proofErr w:type="spellStart"/>
            <w:r w:rsidRPr="000717E1">
              <w:rPr>
                <w:sz w:val="20"/>
                <w:szCs w:val="20"/>
              </w:rPr>
              <w:t>treated</w:t>
            </w:r>
            <w:r w:rsidRPr="000717E1">
              <w:rPr>
                <w:sz w:val="20"/>
                <w:szCs w:val="20"/>
                <w:vertAlign w:val="superscript"/>
              </w:rPr>
              <w:t>a</w:t>
            </w:r>
            <w:proofErr w:type="spellEnd"/>
          </w:p>
        </w:tc>
        <w:tc>
          <w:tcPr>
            <w:tcW w:w="534" w:type="pct"/>
            <w:vAlign w:val="center"/>
          </w:tcPr>
          <w:p w14:paraId="40976BF3" w14:textId="36DBDE99" w:rsidR="00445769" w:rsidRPr="000717E1" w:rsidRDefault="00331ADA">
            <w:pPr>
              <w:pStyle w:val="TableText0"/>
              <w:jc w:val="center"/>
              <w:rPr>
                <w:sz w:val="20"/>
                <w:szCs w:val="20"/>
                <w:vertAlign w:val="superscript"/>
              </w:rPr>
            </w:pPr>
            <w:r w:rsidRPr="00331ADA">
              <w:rPr>
                <w:sz w:val="2"/>
                <w:szCs w:val="20"/>
                <w:highlight w:val="black"/>
              </w:rPr>
              <w:t xml:space="preserve">redacted </w:t>
            </w:r>
            <w:proofErr w:type="spellStart"/>
            <w:r w:rsidRPr="00331ADA">
              <w:rPr>
                <w:sz w:val="2"/>
                <w:szCs w:val="20"/>
                <w:highlight w:val="black"/>
              </w:rPr>
              <w:t>content</w:t>
            </w:r>
            <w:r w:rsidR="00445769" w:rsidRPr="000717E1">
              <w:rPr>
                <w:sz w:val="20"/>
                <w:szCs w:val="20"/>
                <w:vertAlign w:val="superscript"/>
              </w:rPr>
              <w:t>b</w:t>
            </w:r>
            <w:proofErr w:type="spellEnd"/>
            <w:r w:rsidR="00855AF9">
              <w:rPr>
                <w:sz w:val="20"/>
                <w:szCs w:val="20"/>
                <w:vertAlign w:val="superscript"/>
              </w:rPr>
              <w:t xml:space="preserve"> </w:t>
            </w:r>
            <w:r w:rsidR="00167F46">
              <w:rPr>
                <w:sz w:val="20"/>
                <w:szCs w:val="20"/>
                <w:vertAlign w:val="superscript"/>
              </w:rPr>
              <w:t>5</w:t>
            </w:r>
          </w:p>
        </w:tc>
        <w:tc>
          <w:tcPr>
            <w:tcW w:w="534" w:type="pct"/>
            <w:vAlign w:val="center"/>
          </w:tcPr>
          <w:p w14:paraId="0C15158F" w14:textId="4C814D2D" w:rsidR="00445769" w:rsidRPr="00167F46" w:rsidRDefault="00331ADA">
            <w:pPr>
              <w:pStyle w:val="TableText0"/>
              <w:jc w:val="center"/>
              <w:rPr>
                <w:sz w:val="20"/>
                <w:szCs w:val="20"/>
                <w:highlight w:val="darkGray"/>
                <w:vertAlign w:val="superscript"/>
              </w:rPr>
            </w:pPr>
            <w:r w:rsidRPr="00331ADA">
              <w:rPr>
                <w:sz w:val="2"/>
                <w:szCs w:val="20"/>
                <w:highlight w:val="black"/>
              </w:rPr>
              <w:t>redacted content</w:t>
            </w:r>
            <w:r w:rsidR="0095748F" w:rsidRPr="0095748F">
              <w:rPr>
                <w:sz w:val="20"/>
                <w:szCs w:val="20"/>
                <w:vertAlign w:val="superscript"/>
              </w:rPr>
              <w:t>6</w:t>
            </w:r>
          </w:p>
        </w:tc>
        <w:tc>
          <w:tcPr>
            <w:tcW w:w="534" w:type="pct"/>
            <w:vAlign w:val="center"/>
          </w:tcPr>
          <w:p w14:paraId="1FE8BEFB" w14:textId="5418107F" w:rsidR="00445769" w:rsidRPr="00B801B6" w:rsidRDefault="00331ADA">
            <w:pPr>
              <w:pStyle w:val="TableText0"/>
              <w:jc w:val="center"/>
              <w:rPr>
                <w:sz w:val="20"/>
                <w:szCs w:val="20"/>
                <w:highlight w:val="darkGray"/>
              </w:rPr>
            </w:pPr>
            <w:r w:rsidRPr="00331ADA">
              <w:rPr>
                <w:sz w:val="2"/>
                <w:szCs w:val="20"/>
                <w:highlight w:val="black"/>
              </w:rPr>
              <w:t>redacted content</w:t>
            </w:r>
            <w:r w:rsidR="0095748F" w:rsidRPr="0095748F">
              <w:rPr>
                <w:sz w:val="20"/>
                <w:szCs w:val="20"/>
                <w:vertAlign w:val="superscript"/>
              </w:rPr>
              <w:t>6</w:t>
            </w:r>
          </w:p>
        </w:tc>
        <w:tc>
          <w:tcPr>
            <w:tcW w:w="534" w:type="pct"/>
            <w:vAlign w:val="center"/>
          </w:tcPr>
          <w:p w14:paraId="3EF36738" w14:textId="6DAAA0ED" w:rsidR="00445769" w:rsidRPr="00B801B6" w:rsidRDefault="00331ADA">
            <w:pPr>
              <w:pStyle w:val="TableText0"/>
              <w:jc w:val="center"/>
              <w:rPr>
                <w:sz w:val="20"/>
                <w:szCs w:val="20"/>
                <w:highlight w:val="darkGray"/>
              </w:rPr>
            </w:pPr>
            <w:r w:rsidRPr="00331ADA">
              <w:rPr>
                <w:sz w:val="2"/>
                <w:szCs w:val="20"/>
                <w:highlight w:val="black"/>
              </w:rPr>
              <w:t>redacted content</w:t>
            </w:r>
            <w:r w:rsidR="0095748F" w:rsidRPr="008F002E">
              <w:rPr>
                <w:sz w:val="20"/>
                <w:szCs w:val="20"/>
                <w:vertAlign w:val="superscript"/>
              </w:rPr>
              <w:t>1</w:t>
            </w:r>
          </w:p>
        </w:tc>
        <w:tc>
          <w:tcPr>
            <w:tcW w:w="534" w:type="pct"/>
            <w:vAlign w:val="center"/>
          </w:tcPr>
          <w:p w14:paraId="1ACBA67D" w14:textId="21E0D5BA" w:rsidR="00445769" w:rsidRPr="00B801B6" w:rsidRDefault="00331ADA">
            <w:pPr>
              <w:pStyle w:val="TableText0"/>
              <w:jc w:val="center"/>
              <w:rPr>
                <w:sz w:val="20"/>
                <w:szCs w:val="20"/>
                <w:highlight w:val="darkGray"/>
              </w:rPr>
            </w:pPr>
            <w:r w:rsidRPr="00331ADA">
              <w:rPr>
                <w:sz w:val="2"/>
                <w:szCs w:val="20"/>
                <w:highlight w:val="black"/>
              </w:rPr>
              <w:t>redacted content</w:t>
            </w:r>
            <w:r w:rsidR="0095748F" w:rsidRPr="008F002E">
              <w:rPr>
                <w:sz w:val="20"/>
                <w:szCs w:val="20"/>
                <w:vertAlign w:val="superscript"/>
              </w:rPr>
              <w:t>1</w:t>
            </w:r>
          </w:p>
        </w:tc>
        <w:tc>
          <w:tcPr>
            <w:tcW w:w="534" w:type="pct"/>
            <w:vAlign w:val="center"/>
          </w:tcPr>
          <w:p w14:paraId="11BEC668" w14:textId="009CDF94" w:rsidR="00445769" w:rsidRPr="00B801B6" w:rsidRDefault="00331ADA">
            <w:pPr>
              <w:pStyle w:val="TableText0"/>
              <w:jc w:val="center"/>
              <w:rPr>
                <w:sz w:val="20"/>
                <w:szCs w:val="20"/>
                <w:highlight w:val="darkGray"/>
              </w:rPr>
            </w:pPr>
            <w:r w:rsidRPr="00331ADA">
              <w:rPr>
                <w:sz w:val="2"/>
                <w:szCs w:val="20"/>
                <w:highlight w:val="black"/>
              </w:rPr>
              <w:t>redacted content</w:t>
            </w:r>
            <w:r w:rsidR="0095748F" w:rsidRPr="008F002E">
              <w:rPr>
                <w:sz w:val="20"/>
                <w:szCs w:val="20"/>
                <w:vertAlign w:val="superscript"/>
              </w:rPr>
              <w:t>1</w:t>
            </w:r>
          </w:p>
        </w:tc>
        <w:tc>
          <w:tcPr>
            <w:tcW w:w="631" w:type="pct"/>
            <w:vAlign w:val="bottom"/>
          </w:tcPr>
          <w:p w14:paraId="5ECE31B6" w14:textId="50A853B0" w:rsidR="00445769" w:rsidRPr="00B801B6" w:rsidRDefault="00331ADA">
            <w:pPr>
              <w:pStyle w:val="TableText0"/>
              <w:jc w:val="center"/>
              <w:rPr>
                <w:sz w:val="20"/>
                <w:szCs w:val="20"/>
                <w:highlight w:val="darkGray"/>
              </w:rPr>
            </w:pPr>
            <w:r w:rsidRPr="00331ADA">
              <w:rPr>
                <w:rFonts w:cs="Calibri"/>
                <w:color w:val="000000"/>
                <w:sz w:val="2"/>
                <w:szCs w:val="20"/>
                <w:highlight w:val="black"/>
              </w:rPr>
              <w:t>redacted content</w:t>
            </w:r>
            <w:r w:rsidR="0095748F">
              <w:rPr>
                <w:sz w:val="20"/>
                <w:szCs w:val="20"/>
                <w:vertAlign w:val="superscript"/>
              </w:rPr>
              <w:t>3</w:t>
            </w:r>
          </w:p>
        </w:tc>
      </w:tr>
      <w:tr w:rsidR="00445769" w:rsidRPr="000717E1" w14:paraId="6E6A235B" w14:textId="77777777">
        <w:tc>
          <w:tcPr>
            <w:tcW w:w="1165" w:type="pct"/>
            <w:vAlign w:val="center"/>
          </w:tcPr>
          <w:p w14:paraId="286D0DC9" w14:textId="77777777" w:rsidR="00445769" w:rsidRPr="000717E1" w:rsidRDefault="00445769">
            <w:pPr>
              <w:pStyle w:val="TableText0"/>
              <w:rPr>
                <w:sz w:val="20"/>
                <w:szCs w:val="20"/>
              </w:rPr>
            </w:pPr>
            <w:r w:rsidRPr="000717E1">
              <w:rPr>
                <w:sz w:val="20"/>
                <w:szCs w:val="20"/>
              </w:rPr>
              <w:t xml:space="preserve">Number of scripts </w:t>
            </w:r>
            <w:proofErr w:type="spellStart"/>
            <w:r w:rsidRPr="000717E1">
              <w:rPr>
                <w:sz w:val="20"/>
                <w:szCs w:val="20"/>
              </w:rPr>
              <w:t>dispensed</w:t>
            </w:r>
            <w:r w:rsidRPr="000717E1">
              <w:rPr>
                <w:sz w:val="20"/>
                <w:szCs w:val="20"/>
                <w:vertAlign w:val="superscript"/>
              </w:rPr>
              <w:t>c</w:t>
            </w:r>
            <w:proofErr w:type="spellEnd"/>
          </w:p>
        </w:tc>
        <w:tc>
          <w:tcPr>
            <w:tcW w:w="534" w:type="pct"/>
            <w:vAlign w:val="center"/>
          </w:tcPr>
          <w:p w14:paraId="7AB6B0E2" w14:textId="5265E772" w:rsidR="00445769" w:rsidRPr="00B801B6" w:rsidRDefault="00331ADA">
            <w:pPr>
              <w:pStyle w:val="TableText0"/>
              <w:jc w:val="center"/>
              <w:rPr>
                <w:sz w:val="20"/>
                <w:szCs w:val="20"/>
                <w:highlight w:val="darkGray"/>
              </w:rPr>
            </w:pPr>
            <w:r w:rsidRPr="00331ADA">
              <w:rPr>
                <w:sz w:val="2"/>
                <w:szCs w:val="20"/>
                <w:highlight w:val="black"/>
              </w:rPr>
              <w:t>redacted content</w:t>
            </w:r>
            <w:r w:rsidR="00335523">
              <w:rPr>
                <w:sz w:val="20"/>
                <w:szCs w:val="20"/>
                <w:vertAlign w:val="superscript"/>
              </w:rPr>
              <w:t>3</w:t>
            </w:r>
          </w:p>
        </w:tc>
        <w:tc>
          <w:tcPr>
            <w:tcW w:w="534" w:type="pct"/>
            <w:vAlign w:val="center"/>
          </w:tcPr>
          <w:p w14:paraId="4DACB846" w14:textId="300B9E1C" w:rsidR="00445769" w:rsidRPr="00B801B6" w:rsidRDefault="00331ADA">
            <w:pPr>
              <w:pStyle w:val="TableText0"/>
              <w:jc w:val="center"/>
              <w:rPr>
                <w:sz w:val="20"/>
                <w:szCs w:val="20"/>
                <w:highlight w:val="darkGray"/>
              </w:rPr>
            </w:pPr>
            <w:r w:rsidRPr="00331ADA">
              <w:rPr>
                <w:sz w:val="2"/>
                <w:szCs w:val="20"/>
                <w:highlight w:val="black"/>
              </w:rPr>
              <w:t>redacted content</w:t>
            </w:r>
            <w:r w:rsidR="00335523">
              <w:rPr>
                <w:sz w:val="20"/>
                <w:szCs w:val="20"/>
                <w:vertAlign w:val="superscript"/>
              </w:rPr>
              <w:t>3</w:t>
            </w:r>
          </w:p>
        </w:tc>
        <w:tc>
          <w:tcPr>
            <w:tcW w:w="534" w:type="pct"/>
            <w:vAlign w:val="center"/>
          </w:tcPr>
          <w:p w14:paraId="76263E1A" w14:textId="25787E06" w:rsidR="00445769" w:rsidRPr="00B801B6" w:rsidRDefault="00331ADA">
            <w:pPr>
              <w:pStyle w:val="TableText0"/>
              <w:jc w:val="center"/>
              <w:rPr>
                <w:sz w:val="20"/>
                <w:szCs w:val="20"/>
                <w:highlight w:val="darkGray"/>
              </w:rPr>
            </w:pPr>
            <w:r w:rsidRPr="00331ADA">
              <w:rPr>
                <w:sz w:val="2"/>
                <w:szCs w:val="20"/>
                <w:highlight w:val="black"/>
              </w:rPr>
              <w:t>redacted content</w:t>
            </w:r>
            <w:r w:rsidR="00335523">
              <w:rPr>
                <w:sz w:val="20"/>
                <w:szCs w:val="20"/>
                <w:vertAlign w:val="superscript"/>
              </w:rPr>
              <w:t>4</w:t>
            </w:r>
          </w:p>
        </w:tc>
        <w:tc>
          <w:tcPr>
            <w:tcW w:w="534" w:type="pct"/>
            <w:vAlign w:val="center"/>
          </w:tcPr>
          <w:p w14:paraId="34296222" w14:textId="5A3ED5BB" w:rsidR="00445769" w:rsidRPr="00B801B6" w:rsidRDefault="00331ADA">
            <w:pPr>
              <w:pStyle w:val="TableText0"/>
              <w:jc w:val="center"/>
              <w:rPr>
                <w:sz w:val="20"/>
                <w:szCs w:val="20"/>
                <w:highlight w:val="darkGray"/>
              </w:rPr>
            </w:pPr>
            <w:r w:rsidRPr="00331ADA">
              <w:rPr>
                <w:sz w:val="2"/>
                <w:szCs w:val="20"/>
                <w:highlight w:val="black"/>
              </w:rPr>
              <w:t>redacted content</w:t>
            </w:r>
            <w:r w:rsidR="00335523">
              <w:rPr>
                <w:sz w:val="20"/>
                <w:szCs w:val="20"/>
                <w:vertAlign w:val="superscript"/>
              </w:rPr>
              <w:t>4</w:t>
            </w:r>
          </w:p>
        </w:tc>
        <w:tc>
          <w:tcPr>
            <w:tcW w:w="534" w:type="pct"/>
            <w:vAlign w:val="center"/>
          </w:tcPr>
          <w:p w14:paraId="32A68167" w14:textId="365FDED3" w:rsidR="00445769" w:rsidRPr="00335523" w:rsidRDefault="00331ADA">
            <w:pPr>
              <w:pStyle w:val="TableText0"/>
              <w:jc w:val="center"/>
              <w:rPr>
                <w:sz w:val="20"/>
                <w:szCs w:val="20"/>
                <w:highlight w:val="darkGray"/>
                <w:vertAlign w:val="superscript"/>
              </w:rPr>
            </w:pPr>
            <w:r w:rsidRPr="00331ADA">
              <w:rPr>
                <w:sz w:val="2"/>
                <w:szCs w:val="20"/>
                <w:highlight w:val="black"/>
              </w:rPr>
              <w:t>redacted content</w:t>
            </w:r>
            <w:r w:rsidR="00335523" w:rsidRPr="00335523">
              <w:rPr>
                <w:sz w:val="20"/>
                <w:szCs w:val="20"/>
                <w:vertAlign w:val="superscript"/>
              </w:rPr>
              <w:t>7</w:t>
            </w:r>
          </w:p>
        </w:tc>
        <w:tc>
          <w:tcPr>
            <w:tcW w:w="534" w:type="pct"/>
            <w:vAlign w:val="center"/>
          </w:tcPr>
          <w:p w14:paraId="38BF1819" w14:textId="2AEFBFBA" w:rsidR="00445769" w:rsidRPr="00B801B6" w:rsidRDefault="00331ADA">
            <w:pPr>
              <w:pStyle w:val="TableText0"/>
              <w:jc w:val="center"/>
              <w:rPr>
                <w:sz w:val="20"/>
                <w:szCs w:val="20"/>
                <w:highlight w:val="darkGray"/>
              </w:rPr>
            </w:pPr>
            <w:r w:rsidRPr="00331ADA">
              <w:rPr>
                <w:sz w:val="2"/>
                <w:szCs w:val="20"/>
                <w:highlight w:val="black"/>
              </w:rPr>
              <w:t>redacted content</w:t>
            </w:r>
            <w:r w:rsidR="00335523" w:rsidRPr="00335523">
              <w:rPr>
                <w:sz w:val="20"/>
                <w:szCs w:val="20"/>
                <w:vertAlign w:val="superscript"/>
              </w:rPr>
              <w:t>7</w:t>
            </w:r>
          </w:p>
        </w:tc>
        <w:tc>
          <w:tcPr>
            <w:tcW w:w="631" w:type="pct"/>
            <w:vAlign w:val="center"/>
          </w:tcPr>
          <w:p w14:paraId="160C3C18" w14:textId="3A61880B" w:rsidR="00445769" w:rsidRPr="00B801B6" w:rsidRDefault="00331ADA">
            <w:pPr>
              <w:pStyle w:val="TableText0"/>
              <w:jc w:val="center"/>
              <w:rPr>
                <w:sz w:val="20"/>
                <w:szCs w:val="20"/>
                <w:highlight w:val="darkGray"/>
              </w:rPr>
            </w:pPr>
            <w:r w:rsidRPr="00331ADA">
              <w:rPr>
                <w:rFonts w:cs="Calibri"/>
                <w:color w:val="000000"/>
                <w:sz w:val="2"/>
                <w:szCs w:val="20"/>
                <w:highlight w:val="black"/>
              </w:rPr>
              <w:t>redacted content</w:t>
            </w:r>
            <w:r w:rsidR="00335523">
              <w:rPr>
                <w:sz w:val="20"/>
                <w:szCs w:val="20"/>
                <w:vertAlign w:val="superscript"/>
              </w:rPr>
              <w:t>8</w:t>
            </w:r>
          </w:p>
        </w:tc>
      </w:tr>
      <w:tr w:rsidR="00445769" w:rsidRPr="000717E1" w14:paraId="114817EB" w14:textId="77777777">
        <w:tc>
          <w:tcPr>
            <w:tcW w:w="5000" w:type="pct"/>
            <w:gridSpan w:val="8"/>
            <w:vAlign w:val="center"/>
          </w:tcPr>
          <w:p w14:paraId="78DB5490" w14:textId="77777777" w:rsidR="00445769" w:rsidRPr="000717E1" w:rsidRDefault="00445769" w:rsidP="00334AFB">
            <w:pPr>
              <w:pStyle w:val="In-tableHeading"/>
            </w:pPr>
            <w:r w:rsidRPr="000717E1">
              <w:t>Estimated financial implications of dupilumab</w:t>
            </w:r>
          </w:p>
        </w:tc>
      </w:tr>
      <w:tr w:rsidR="00445769" w:rsidRPr="000717E1" w14:paraId="3B0B2F20" w14:textId="77777777">
        <w:tc>
          <w:tcPr>
            <w:tcW w:w="1165" w:type="pct"/>
            <w:vAlign w:val="center"/>
          </w:tcPr>
          <w:p w14:paraId="15CA52BD" w14:textId="77777777" w:rsidR="00445769" w:rsidRPr="000717E1" w:rsidRDefault="00445769">
            <w:pPr>
              <w:pStyle w:val="TableText0"/>
              <w:rPr>
                <w:sz w:val="20"/>
                <w:szCs w:val="20"/>
              </w:rPr>
            </w:pPr>
            <w:r w:rsidRPr="000717E1">
              <w:rPr>
                <w:sz w:val="20"/>
                <w:szCs w:val="20"/>
              </w:rPr>
              <w:t xml:space="preserve">Cost to PBS/RPBS less copayments </w:t>
            </w:r>
          </w:p>
        </w:tc>
        <w:tc>
          <w:tcPr>
            <w:tcW w:w="534" w:type="pct"/>
            <w:vAlign w:val="center"/>
          </w:tcPr>
          <w:p w14:paraId="0DD4D143" w14:textId="65275B58" w:rsidR="00445769" w:rsidRPr="00A42BF7" w:rsidRDefault="00445769" w:rsidP="005036BE">
            <w:pPr>
              <w:pStyle w:val="TableText0"/>
              <w:jc w:val="center"/>
              <w:rPr>
                <w:vertAlign w:val="superscript"/>
              </w:rPr>
            </w:pPr>
            <w:r w:rsidRPr="000717E1">
              <w:rPr>
                <w:spacing w:val="-2"/>
              </w:rPr>
              <w:t>$</w:t>
            </w:r>
            <w:r w:rsidR="00331ADA" w:rsidRPr="00331ADA">
              <w:rPr>
                <w:spacing w:val="-2"/>
                <w:sz w:val="2"/>
                <w:highlight w:val="black"/>
              </w:rPr>
              <w:t>redacted content</w:t>
            </w:r>
            <w:r w:rsidR="00A42BF7">
              <w:rPr>
                <w:spacing w:val="-2"/>
                <w:vertAlign w:val="superscript"/>
              </w:rPr>
              <w:t>9</w:t>
            </w:r>
          </w:p>
        </w:tc>
        <w:tc>
          <w:tcPr>
            <w:tcW w:w="534" w:type="pct"/>
            <w:vAlign w:val="center"/>
          </w:tcPr>
          <w:p w14:paraId="386CBE73" w14:textId="343F9E81" w:rsidR="00445769" w:rsidRPr="000717E1" w:rsidRDefault="00445769">
            <w:pPr>
              <w:pStyle w:val="TableText0"/>
              <w:jc w:val="center"/>
            </w:pPr>
            <w:r w:rsidRPr="000717E1">
              <w:rPr>
                <w:spacing w:val="-2"/>
              </w:rPr>
              <w:t>$</w:t>
            </w:r>
            <w:r w:rsidR="00331ADA" w:rsidRPr="00331ADA">
              <w:rPr>
                <w:spacing w:val="-2"/>
                <w:sz w:val="2"/>
                <w:highlight w:val="black"/>
              </w:rPr>
              <w:t>redacted content</w:t>
            </w:r>
            <w:r w:rsidR="00A42BF7">
              <w:rPr>
                <w:spacing w:val="-2"/>
                <w:vertAlign w:val="superscript"/>
              </w:rPr>
              <w:t>9</w:t>
            </w:r>
          </w:p>
        </w:tc>
        <w:tc>
          <w:tcPr>
            <w:tcW w:w="534" w:type="pct"/>
            <w:vAlign w:val="center"/>
          </w:tcPr>
          <w:p w14:paraId="3ED303B7" w14:textId="1B319B7B" w:rsidR="00445769" w:rsidRPr="000717E1" w:rsidRDefault="00445769">
            <w:pPr>
              <w:pStyle w:val="TableText0"/>
              <w:jc w:val="center"/>
            </w:pPr>
            <w:r w:rsidRPr="000717E1">
              <w:rPr>
                <w:spacing w:val="-2"/>
              </w:rPr>
              <w:t>$</w:t>
            </w:r>
            <w:r w:rsidR="00331ADA" w:rsidRPr="00331ADA">
              <w:rPr>
                <w:spacing w:val="-2"/>
                <w:sz w:val="2"/>
                <w:highlight w:val="black"/>
              </w:rPr>
              <w:t>redacted content</w:t>
            </w:r>
            <w:r w:rsidR="00A42BF7">
              <w:rPr>
                <w:spacing w:val="-2"/>
                <w:vertAlign w:val="superscript"/>
              </w:rPr>
              <w:t>10</w:t>
            </w:r>
          </w:p>
        </w:tc>
        <w:tc>
          <w:tcPr>
            <w:tcW w:w="534" w:type="pct"/>
            <w:vAlign w:val="center"/>
          </w:tcPr>
          <w:p w14:paraId="40425753" w14:textId="348AAFA7" w:rsidR="00445769" w:rsidRPr="000717E1" w:rsidRDefault="00445769">
            <w:pPr>
              <w:pStyle w:val="TableText0"/>
              <w:jc w:val="center"/>
            </w:pPr>
            <w:r w:rsidRPr="000717E1">
              <w:rPr>
                <w:spacing w:val="-2"/>
              </w:rPr>
              <w:t>$</w:t>
            </w:r>
            <w:r w:rsidR="00331ADA" w:rsidRPr="00331ADA">
              <w:rPr>
                <w:spacing w:val="-2"/>
                <w:sz w:val="2"/>
                <w:highlight w:val="black"/>
              </w:rPr>
              <w:t>redacted content</w:t>
            </w:r>
            <w:r w:rsidR="00A42BF7">
              <w:rPr>
                <w:spacing w:val="-2"/>
                <w:vertAlign w:val="superscript"/>
              </w:rPr>
              <w:t>11</w:t>
            </w:r>
          </w:p>
        </w:tc>
        <w:tc>
          <w:tcPr>
            <w:tcW w:w="534" w:type="pct"/>
            <w:vAlign w:val="center"/>
          </w:tcPr>
          <w:p w14:paraId="4C1CEECE" w14:textId="4908B8A0" w:rsidR="00445769" w:rsidRPr="000717E1" w:rsidRDefault="00445769">
            <w:pPr>
              <w:pStyle w:val="TableText0"/>
              <w:jc w:val="center"/>
            </w:pPr>
            <w:r w:rsidRPr="000717E1">
              <w:rPr>
                <w:spacing w:val="-2"/>
              </w:rPr>
              <w:t>$</w:t>
            </w:r>
            <w:r w:rsidR="00331ADA" w:rsidRPr="00331ADA">
              <w:rPr>
                <w:spacing w:val="-2"/>
                <w:sz w:val="2"/>
                <w:highlight w:val="black"/>
              </w:rPr>
              <w:t>redacted content</w:t>
            </w:r>
            <w:r w:rsidR="00A42BF7">
              <w:rPr>
                <w:spacing w:val="-2"/>
                <w:vertAlign w:val="superscript"/>
              </w:rPr>
              <w:t>11</w:t>
            </w:r>
          </w:p>
        </w:tc>
        <w:tc>
          <w:tcPr>
            <w:tcW w:w="534" w:type="pct"/>
            <w:vAlign w:val="center"/>
          </w:tcPr>
          <w:p w14:paraId="0D024502" w14:textId="016F138F" w:rsidR="00445769" w:rsidRPr="000717E1" w:rsidRDefault="00445769" w:rsidP="005036BE">
            <w:pPr>
              <w:pStyle w:val="TableText0"/>
              <w:jc w:val="center"/>
            </w:pPr>
            <w:r w:rsidRPr="000717E1">
              <w:rPr>
                <w:spacing w:val="-2"/>
              </w:rPr>
              <w:t>$</w:t>
            </w:r>
            <w:r w:rsidR="00331ADA" w:rsidRPr="00331ADA">
              <w:rPr>
                <w:spacing w:val="-2"/>
                <w:sz w:val="2"/>
                <w:highlight w:val="black"/>
              </w:rPr>
              <w:t>redacted content</w:t>
            </w:r>
            <w:r w:rsidR="00A42BF7">
              <w:rPr>
                <w:spacing w:val="-2"/>
                <w:vertAlign w:val="superscript"/>
              </w:rPr>
              <w:t>11</w:t>
            </w:r>
          </w:p>
        </w:tc>
        <w:tc>
          <w:tcPr>
            <w:tcW w:w="631" w:type="pct"/>
            <w:vAlign w:val="center"/>
          </w:tcPr>
          <w:p w14:paraId="2B1E0DFB" w14:textId="53F122ED" w:rsidR="00445769" w:rsidRPr="005036BE" w:rsidRDefault="00445769" w:rsidP="00917689">
            <w:pPr>
              <w:keepNext/>
              <w:keepLines/>
              <w:jc w:val="center"/>
              <w:rPr>
                <w:rFonts w:ascii="Arial Narrow" w:hAnsi="Arial Narrow" w:cs="Calibri"/>
                <w:color w:val="000000"/>
                <w:sz w:val="18"/>
                <w:szCs w:val="18"/>
                <w:vertAlign w:val="superscript"/>
              </w:rPr>
            </w:pPr>
            <w:r w:rsidRPr="000717E1">
              <w:rPr>
                <w:rFonts w:ascii="Arial Narrow" w:hAnsi="Arial Narrow"/>
                <w:color w:val="000000"/>
                <w:spacing w:val="-2"/>
                <w:sz w:val="18"/>
                <w:szCs w:val="18"/>
              </w:rPr>
              <w:t>$</w:t>
            </w:r>
            <w:r w:rsidR="00331ADA" w:rsidRPr="00331ADA">
              <w:rPr>
                <w:rFonts w:ascii="Arial Narrow" w:hAnsi="Arial Narrow"/>
                <w:color w:val="000000"/>
                <w:spacing w:val="-2"/>
                <w:sz w:val="2"/>
                <w:szCs w:val="18"/>
                <w:highlight w:val="black"/>
              </w:rPr>
              <w:t>redacted content</w:t>
            </w:r>
            <w:r w:rsidR="005036BE">
              <w:rPr>
                <w:rFonts w:ascii="Arial Narrow" w:hAnsi="Arial Narrow"/>
                <w:color w:val="000000"/>
                <w:spacing w:val="-2"/>
                <w:sz w:val="18"/>
                <w:szCs w:val="18"/>
                <w:vertAlign w:val="superscript"/>
              </w:rPr>
              <w:t>12</w:t>
            </w:r>
          </w:p>
        </w:tc>
      </w:tr>
      <w:tr w:rsidR="00445769" w:rsidRPr="000717E1" w14:paraId="3B3EB8E6" w14:textId="77777777">
        <w:tc>
          <w:tcPr>
            <w:tcW w:w="5000" w:type="pct"/>
            <w:gridSpan w:val="8"/>
            <w:vAlign w:val="center"/>
          </w:tcPr>
          <w:p w14:paraId="371BA968" w14:textId="77777777" w:rsidR="00445769" w:rsidRPr="000717E1" w:rsidRDefault="00445769">
            <w:pPr>
              <w:pStyle w:val="TableText0"/>
              <w:rPr>
                <w:b/>
                <w:bCs/>
                <w:sz w:val="20"/>
                <w:szCs w:val="20"/>
              </w:rPr>
            </w:pPr>
            <w:r w:rsidRPr="000717E1">
              <w:rPr>
                <w:b/>
                <w:bCs/>
                <w:sz w:val="20"/>
                <w:szCs w:val="20"/>
              </w:rPr>
              <w:t>Estimated financial implications for other medicines</w:t>
            </w:r>
          </w:p>
        </w:tc>
      </w:tr>
      <w:tr w:rsidR="00445769" w:rsidRPr="000717E1" w14:paraId="070AF4E5" w14:textId="77777777">
        <w:tc>
          <w:tcPr>
            <w:tcW w:w="1165" w:type="pct"/>
            <w:vAlign w:val="center"/>
          </w:tcPr>
          <w:p w14:paraId="70481948" w14:textId="77777777" w:rsidR="00445769" w:rsidRPr="000717E1" w:rsidRDefault="00445769">
            <w:pPr>
              <w:pStyle w:val="TableText0"/>
              <w:rPr>
                <w:sz w:val="20"/>
                <w:szCs w:val="20"/>
              </w:rPr>
            </w:pPr>
            <w:r w:rsidRPr="000717E1">
              <w:rPr>
                <w:sz w:val="20"/>
                <w:szCs w:val="20"/>
              </w:rPr>
              <w:t>Cost to PBS/RPBS less copayments</w:t>
            </w:r>
          </w:p>
        </w:tc>
        <w:tc>
          <w:tcPr>
            <w:tcW w:w="534" w:type="pct"/>
            <w:vAlign w:val="center"/>
          </w:tcPr>
          <w:p w14:paraId="18FED52C" w14:textId="79892B17" w:rsidR="00445769" w:rsidRPr="00204E2D" w:rsidRDefault="00445769">
            <w:pPr>
              <w:pStyle w:val="TableText0"/>
              <w:jc w:val="center"/>
              <w:rPr>
                <w:vertAlign w:val="superscript"/>
              </w:rPr>
            </w:pPr>
            <w:r w:rsidRPr="000717E1">
              <w:t>-$</w:t>
            </w:r>
            <w:r w:rsidR="00331ADA" w:rsidRPr="00331ADA">
              <w:rPr>
                <w:sz w:val="2"/>
                <w:highlight w:val="black"/>
              </w:rPr>
              <w:t>redacted content</w:t>
            </w:r>
            <w:r w:rsidR="00204E2D">
              <w:rPr>
                <w:vertAlign w:val="superscript"/>
              </w:rPr>
              <w:t>13</w:t>
            </w:r>
          </w:p>
        </w:tc>
        <w:tc>
          <w:tcPr>
            <w:tcW w:w="534" w:type="pct"/>
            <w:vAlign w:val="center"/>
          </w:tcPr>
          <w:p w14:paraId="0344AFC3" w14:textId="288D6048" w:rsidR="00445769" w:rsidRPr="000717E1" w:rsidRDefault="00445769">
            <w:pPr>
              <w:pStyle w:val="TableText0"/>
              <w:jc w:val="center"/>
            </w:pPr>
            <w:r w:rsidRPr="000717E1">
              <w:t>-$</w:t>
            </w:r>
            <w:r w:rsidR="00331ADA" w:rsidRPr="00331ADA">
              <w:rPr>
                <w:sz w:val="2"/>
                <w:highlight w:val="black"/>
              </w:rPr>
              <w:t>redacted content</w:t>
            </w:r>
            <w:r w:rsidR="00204E2D">
              <w:rPr>
                <w:vertAlign w:val="superscript"/>
              </w:rPr>
              <w:t>13</w:t>
            </w:r>
          </w:p>
        </w:tc>
        <w:tc>
          <w:tcPr>
            <w:tcW w:w="534" w:type="pct"/>
            <w:vAlign w:val="center"/>
          </w:tcPr>
          <w:p w14:paraId="7D1776D8" w14:textId="4B09C8C0" w:rsidR="00445769" w:rsidRPr="000717E1" w:rsidRDefault="00445769">
            <w:pPr>
              <w:pStyle w:val="TableText0"/>
              <w:jc w:val="center"/>
            </w:pPr>
            <w:r w:rsidRPr="000717E1">
              <w:t>-$</w:t>
            </w:r>
            <w:r w:rsidR="00331ADA" w:rsidRPr="00331ADA">
              <w:rPr>
                <w:sz w:val="2"/>
                <w:highlight w:val="black"/>
              </w:rPr>
              <w:t>redacted content</w:t>
            </w:r>
            <w:r w:rsidR="00204E2D">
              <w:rPr>
                <w:vertAlign w:val="superscript"/>
              </w:rPr>
              <w:t>13</w:t>
            </w:r>
          </w:p>
        </w:tc>
        <w:tc>
          <w:tcPr>
            <w:tcW w:w="534" w:type="pct"/>
            <w:vAlign w:val="center"/>
          </w:tcPr>
          <w:p w14:paraId="083746B8" w14:textId="013828C8" w:rsidR="00445769" w:rsidRPr="000717E1" w:rsidRDefault="00445769">
            <w:pPr>
              <w:pStyle w:val="TableText0"/>
              <w:jc w:val="center"/>
            </w:pPr>
            <w:r w:rsidRPr="000717E1">
              <w:t>-$</w:t>
            </w:r>
            <w:r w:rsidR="00331ADA" w:rsidRPr="00331ADA">
              <w:rPr>
                <w:sz w:val="2"/>
                <w:highlight w:val="black"/>
              </w:rPr>
              <w:t>redacted content</w:t>
            </w:r>
            <w:r w:rsidR="00204E2D">
              <w:rPr>
                <w:vertAlign w:val="superscript"/>
              </w:rPr>
              <w:t>13</w:t>
            </w:r>
          </w:p>
        </w:tc>
        <w:tc>
          <w:tcPr>
            <w:tcW w:w="534" w:type="pct"/>
            <w:vAlign w:val="center"/>
          </w:tcPr>
          <w:p w14:paraId="4BA0A9D4" w14:textId="13A557EA" w:rsidR="00445769" w:rsidRPr="000717E1" w:rsidRDefault="00445769">
            <w:pPr>
              <w:pStyle w:val="TableText0"/>
              <w:jc w:val="center"/>
            </w:pPr>
            <w:r w:rsidRPr="000717E1">
              <w:t>-$</w:t>
            </w:r>
            <w:r w:rsidR="00331ADA" w:rsidRPr="00331ADA">
              <w:rPr>
                <w:sz w:val="2"/>
                <w:highlight w:val="black"/>
              </w:rPr>
              <w:t>redacted content</w:t>
            </w:r>
            <w:r w:rsidR="00204E2D">
              <w:rPr>
                <w:vertAlign w:val="superscript"/>
              </w:rPr>
              <w:t>13</w:t>
            </w:r>
          </w:p>
        </w:tc>
        <w:tc>
          <w:tcPr>
            <w:tcW w:w="534" w:type="pct"/>
            <w:vAlign w:val="center"/>
          </w:tcPr>
          <w:p w14:paraId="6DA01190" w14:textId="79252F26" w:rsidR="00445769" w:rsidRPr="000717E1" w:rsidRDefault="00445769">
            <w:pPr>
              <w:pStyle w:val="TableText0"/>
              <w:jc w:val="center"/>
            </w:pPr>
            <w:r w:rsidRPr="000717E1">
              <w:t>-$</w:t>
            </w:r>
            <w:r w:rsidR="00331ADA" w:rsidRPr="00331ADA">
              <w:rPr>
                <w:sz w:val="2"/>
                <w:highlight w:val="black"/>
              </w:rPr>
              <w:t>redacted content</w:t>
            </w:r>
            <w:r w:rsidR="00204E2D">
              <w:rPr>
                <w:vertAlign w:val="superscript"/>
              </w:rPr>
              <w:t>13</w:t>
            </w:r>
          </w:p>
        </w:tc>
        <w:tc>
          <w:tcPr>
            <w:tcW w:w="631" w:type="pct"/>
            <w:vAlign w:val="center"/>
          </w:tcPr>
          <w:p w14:paraId="30CEC291" w14:textId="5748D094" w:rsidR="00445769" w:rsidRPr="00204E2D" w:rsidRDefault="00445769" w:rsidP="00917689">
            <w:pPr>
              <w:keepNext/>
              <w:keepLines/>
              <w:jc w:val="center"/>
              <w:rPr>
                <w:rFonts w:ascii="Arial Narrow" w:hAnsi="Arial Narrow" w:cs="Calibri"/>
                <w:color w:val="000000"/>
                <w:sz w:val="20"/>
                <w:szCs w:val="20"/>
              </w:rPr>
            </w:pPr>
            <w:r w:rsidRPr="000717E1">
              <w:rPr>
                <w:rFonts w:ascii="Arial Narrow" w:hAnsi="Arial Narrow" w:cs="Calibri"/>
                <w:color w:val="000000"/>
                <w:sz w:val="18"/>
                <w:szCs w:val="18"/>
              </w:rPr>
              <w:t>-$</w:t>
            </w:r>
            <w:r w:rsidR="00331ADA" w:rsidRPr="00331ADA">
              <w:rPr>
                <w:rFonts w:ascii="Arial Narrow" w:hAnsi="Arial Narrow" w:cs="Calibri"/>
                <w:color w:val="000000"/>
                <w:sz w:val="2"/>
                <w:szCs w:val="18"/>
                <w:highlight w:val="black"/>
              </w:rPr>
              <w:t>redacted content</w:t>
            </w:r>
            <w:r w:rsidR="00204E2D" w:rsidRPr="00204E2D">
              <w:rPr>
                <w:rFonts w:ascii="Arial Narrow" w:hAnsi="Arial Narrow"/>
                <w:sz w:val="20"/>
                <w:szCs w:val="20"/>
                <w:vertAlign w:val="superscript"/>
              </w:rPr>
              <w:t>13</w:t>
            </w:r>
          </w:p>
        </w:tc>
      </w:tr>
      <w:tr w:rsidR="00445769" w:rsidRPr="000717E1" w14:paraId="1DA4EFE9" w14:textId="77777777">
        <w:tc>
          <w:tcPr>
            <w:tcW w:w="5000" w:type="pct"/>
            <w:gridSpan w:val="8"/>
            <w:vAlign w:val="center"/>
          </w:tcPr>
          <w:p w14:paraId="4A619BDB" w14:textId="77777777" w:rsidR="00445769" w:rsidRPr="000717E1" w:rsidRDefault="00445769" w:rsidP="00334AFB">
            <w:pPr>
              <w:pStyle w:val="In-tableHeading"/>
            </w:pPr>
            <w:r w:rsidRPr="000717E1">
              <w:t>Net financial implications</w:t>
            </w:r>
          </w:p>
        </w:tc>
      </w:tr>
      <w:tr w:rsidR="00445769" w:rsidRPr="000717E1" w14:paraId="334DBFD1" w14:textId="77777777">
        <w:tc>
          <w:tcPr>
            <w:tcW w:w="1165" w:type="pct"/>
            <w:vAlign w:val="center"/>
          </w:tcPr>
          <w:p w14:paraId="5B947ED5" w14:textId="77777777" w:rsidR="00445769" w:rsidRPr="000717E1" w:rsidRDefault="00445769">
            <w:pPr>
              <w:pStyle w:val="TableText0"/>
              <w:rPr>
                <w:sz w:val="20"/>
                <w:szCs w:val="20"/>
              </w:rPr>
            </w:pPr>
            <w:r w:rsidRPr="000717E1">
              <w:rPr>
                <w:sz w:val="20"/>
                <w:szCs w:val="20"/>
              </w:rPr>
              <w:t xml:space="preserve">Net cost to PBS/RPBS </w:t>
            </w:r>
          </w:p>
        </w:tc>
        <w:tc>
          <w:tcPr>
            <w:tcW w:w="534" w:type="pct"/>
            <w:vAlign w:val="center"/>
          </w:tcPr>
          <w:p w14:paraId="6AD28C44" w14:textId="277CDAA0" w:rsidR="00445769" w:rsidRPr="000717E1" w:rsidRDefault="00445769">
            <w:pPr>
              <w:pStyle w:val="TableText0"/>
              <w:jc w:val="center"/>
              <w:rPr>
                <w:bCs/>
              </w:rPr>
            </w:pPr>
            <w:r w:rsidRPr="000717E1">
              <w:rPr>
                <w:rFonts w:cs="Arial"/>
                <w:bCs/>
                <w:color w:val="000000"/>
              </w:rPr>
              <w:t>$</w:t>
            </w:r>
            <w:r w:rsidR="00331ADA" w:rsidRPr="00331ADA">
              <w:rPr>
                <w:rFonts w:cs="Arial"/>
                <w:bCs/>
                <w:color w:val="000000"/>
                <w:sz w:val="2"/>
                <w:highlight w:val="black"/>
              </w:rPr>
              <w:t>redacted content</w:t>
            </w:r>
            <w:r w:rsidR="00204E2D">
              <w:rPr>
                <w:spacing w:val="-2"/>
                <w:vertAlign w:val="superscript"/>
              </w:rPr>
              <w:t>9</w:t>
            </w:r>
          </w:p>
        </w:tc>
        <w:tc>
          <w:tcPr>
            <w:tcW w:w="534" w:type="pct"/>
            <w:vAlign w:val="center"/>
          </w:tcPr>
          <w:p w14:paraId="2A5BF335" w14:textId="3DEFBF2D" w:rsidR="00445769" w:rsidRPr="000717E1" w:rsidRDefault="00445769">
            <w:pPr>
              <w:pStyle w:val="TableText0"/>
              <w:jc w:val="center"/>
              <w:rPr>
                <w:bCs/>
              </w:rPr>
            </w:pPr>
            <w:r w:rsidRPr="000717E1">
              <w:rPr>
                <w:rFonts w:cs="Arial"/>
                <w:bCs/>
                <w:color w:val="000000"/>
              </w:rPr>
              <w:t>$</w:t>
            </w:r>
            <w:r w:rsidR="00331ADA" w:rsidRPr="00331ADA">
              <w:rPr>
                <w:rFonts w:cs="Arial"/>
                <w:bCs/>
                <w:color w:val="000000"/>
                <w:sz w:val="2"/>
                <w:highlight w:val="black"/>
              </w:rPr>
              <w:t>redacted content</w:t>
            </w:r>
            <w:r w:rsidR="00204E2D">
              <w:rPr>
                <w:spacing w:val="-2"/>
                <w:vertAlign w:val="superscript"/>
              </w:rPr>
              <w:t>9</w:t>
            </w:r>
          </w:p>
        </w:tc>
        <w:tc>
          <w:tcPr>
            <w:tcW w:w="534" w:type="pct"/>
            <w:vAlign w:val="center"/>
          </w:tcPr>
          <w:p w14:paraId="248DFE50" w14:textId="7CDCA847" w:rsidR="00445769" w:rsidRPr="000717E1" w:rsidRDefault="00445769">
            <w:pPr>
              <w:pStyle w:val="TableText0"/>
              <w:jc w:val="center"/>
              <w:rPr>
                <w:bCs/>
              </w:rPr>
            </w:pPr>
            <w:r w:rsidRPr="000717E1">
              <w:rPr>
                <w:rFonts w:cs="Arial"/>
                <w:bCs/>
                <w:color w:val="000000"/>
              </w:rPr>
              <w:t>$</w:t>
            </w:r>
            <w:r w:rsidR="00331ADA" w:rsidRPr="00331ADA">
              <w:rPr>
                <w:rFonts w:cs="Arial"/>
                <w:bCs/>
                <w:color w:val="000000"/>
                <w:sz w:val="2"/>
                <w:highlight w:val="black"/>
              </w:rPr>
              <w:t>redacted content</w:t>
            </w:r>
            <w:r w:rsidR="00204E2D">
              <w:rPr>
                <w:spacing w:val="-2"/>
                <w:vertAlign w:val="superscript"/>
              </w:rPr>
              <w:t>10</w:t>
            </w:r>
          </w:p>
        </w:tc>
        <w:tc>
          <w:tcPr>
            <w:tcW w:w="534" w:type="pct"/>
            <w:vAlign w:val="center"/>
          </w:tcPr>
          <w:p w14:paraId="76621688" w14:textId="3D407306" w:rsidR="00445769" w:rsidRPr="000717E1" w:rsidRDefault="00445769">
            <w:pPr>
              <w:pStyle w:val="TableText0"/>
              <w:jc w:val="center"/>
              <w:rPr>
                <w:bCs/>
              </w:rPr>
            </w:pPr>
            <w:r w:rsidRPr="000717E1">
              <w:rPr>
                <w:rFonts w:cs="Arial"/>
                <w:bCs/>
                <w:color w:val="000000"/>
              </w:rPr>
              <w:t>$</w:t>
            </w:r>
            <w:r w:rsidR="00331ADA" w:rsidRPr="00331ADA">
              <w:rPr>
                <w:rFonts w:cs="Arial"/>
                <w:bCs/>
                <w:color w:val="000000"/>
                <w:sz w:val="2"/>
                <w:highlight w:val="black"/>
              </w:rPr>
              <w:t>redacted content</w:t>
            </w:r>
            <w:r w:rsidR="00204E2D">
              <w:rPr>
                <w:spacing w:val="-2"/>
                <w:vertAlign w:val="superscript"/>
              </w:rPr>
              <w:t>10</w:t>
            </w:r>
          </w:p>
        </w:tc>
        <w:tc>
          <w:tcPr>
            <w:tcW w:w="534" w:type="pct"/>
            <w:vAlign w:val="center"/>
          </w:tcPr>
          <w:p w14:paraId="2C074696" w14:textId="721F0738" w:rsidR="00445769" w:rsidRPr="000717E1" w:rsidRDefault="00445769">
            <w:pPr>
              <w:pStyle w:val="TableText0"/>
              <w:jc w:val="center"/>
              <w:rPr>
                <w:bCs/>
              </w:rPr>
            </w:pPr>
            <w:r w:rsidRPr="000717E1">
              <w:rPr>
                <w:rFonts w:cs="Arial"/>
                <w:bCs/>
                <w:color w:val="000000"/>
              </w:rPr>
              <w:t>$</w:t>
            </w:r>
            <w:r w:rsidR="00331ADA" w:rsidRPr="00331ADA">
              <w:rPr>
                <w:rFonts w:cs="Arial"/>
                <w:bCs/>
                <w:color w:val="000000"/>
                <w:sz w:val="2"/>
                <w:highlight w:val="black"/>
              </w:rPr>
              <w:t>redacted content</w:t>
            </w:r>
            <w:r w:rsidR="00204E2D">
              <w:rPr>
                <w:spacing w:val="-2"/>
                <w:vertAlign w:val="superscript"/>
              </w:rPr>
              <w:t>11</w:t>
            </w:r>
          </w:p>
        </w:tc>
        <w:tc>
          <w:tcPr>
            <w:tcW w:w="534" w:type="pct"/>
            <w:vAlign w:val="center"/>
          </w:tcPr>
          <w:p w14:paraId="2E2BA09D" w14:textId="59BCA5D0" w:rsidR="00445769" w:rsidRPr="000717E1" w:rsidRDefault="00445769">
            <w:pPr>
              <w:pStyle w:val="TableText0"/>
              <w:jc w:val="center"/>
              <w:rPr>
                <w:bCs/>
              </w:rPr>
            </w:pPr>
            <w:r w:rsidRPr="000717E1">
              <w:rPr>
                <w:rFonts w:cs="Arial"/>
                <w:bCs/>
                <w:color w:val="000000"/>
              </w:rPr>
              <w:t>$</w:t>
            </w:r>
            <w:r w:rsidR="00331ADA" w:rsidRPr="00331ADA">
              <w:rPr>
                <w:rFonts w:cs="Arial"/>
                <w:bCs/>
                <w:color w:val="000000"/>
                <w:sz w:val="2"/>
                <w:highlight w:val="black"/>
              </w:rPr>
              <w:t>redacted content</w:t>
            </w:r>
            <w:r w:rsidR="00204E2D">
              <w:rPr>
                <w:spacing w:val="-2"/>
                <w:vertAlign w:val="superscript"/>
              </w:rPr>
              <w:t>11</w:t>
            </w:r>
          </w:p>
        </w:tc>
        <w:tc>
          <w:tcPr>
            <w:tcW w:w="631" w:type="pct"/>
            <w:vAlign w:val="center"/>
          </w:tcPr>
          <w:p w14:paraId="6D3054E5" w14:textId="5AA6A97E" w:rsidR="00204E2D" w:rsidRDefault="00445769">
            <w:pPr>
              <w:pStyle w:val="TableText0"/>
              <w:jc w:val="center"/>
              <w:rPr>
                <w:rFonts w:cs="Arial"/>
                <w:bCs/>
                <w:color w:val="000000"/>
              </w:rPr>
            </w:pPr>
            <w:r w:rsidRPr="000717E1">
              <w:rPr>
                <w:rFonts w:cs="Arial"/>
                <w:bCs/>
                <w:color w:val="000000"/>
              </w:rPr>
              <w:t>$</w:t>
            </w:r>
            <w:r w:rsidR="00331ADA" w:rsidRPr="00331ADA">
              <w:rPr>
                <w:rFonts w:cs="Arial"/>
                <w:bCs/>
                <w:color w:val="000000"/>
                <w:sz w:val="2"/>
                <w:highlight w:val="black"/>
              </w:rPr>
              <w:t>redacted content</w:t>
            </w:r>
          </w:p>
          <w:p w14:paraId="5ABD82BF" w14:textId="2BF4E635" w:rsidR="00445769" w:rsidRPr="000717E1" w:rsidRDefault="00204E2D">
            <w:pPr>
              <w:pStyle w:val="TableText0"/>
              <w:jc w:val="center"/>
              <w:rPr>
                <w:bCs/>
              </w:rPr>
            </w:pPr>
            <w:r>
              <w:rPr>
                <w:color w:val="000000"/>
                <w:spacing w:val="-2"/>
                <w:vertAlign w:val="superscript"/>
              </w:rPr>
              <w:t>12</w:t>
            </w:r>
          </w:p>
        </w:tc>
      </w:tr>
      <w:tr w:rsidR="00445769" w:rsidRPr="000717E1" w14:paraId="5CFEC1A0" w14:textId="77777777">
        <w:tc>
          <w:tcPr>
            <w:tcW w:w="1165" w:type="pct"/>
            <w:vAlign w:val="center"/>
          </w:tcPr>
          <w:p w14:paraId="48C47404" w14:textId="77777777" w:rsidR="00445769" w:rsidRPr="000717E1" w:rsidRDefault="00445769">
            <w:pPr>
              <w:pStyle w:val="TableText0"/>
              <w:rPr>
                <w:sz w:val="20"/>
                <w:szCs w:val="20"/>
              </w:rPr>
            </w:pPr>
            <w:r w:rsidRPr="000717E1">
              <w:rPr>
                <w:sz w:val="20"/>
                <w:szCs w:val="20"/>
              </w:rPr>
              <w:t xml:space="preserve">Net cost to </w:t>
            </w:r>
            <w:proofErr w:type="spellStart"/>
            <w:r w:rsidRPr="000717E1">
              <w:rPr>
                <w:sz w:val="20"/>
                <w:szCs w:val="20"/>
              </w:rPr>
              <w:t>MBS</w:t>
            </w:r>
            <w:r w:rsidRPr="000717E1">
              <w:rPr>
                <w:sz w:val="20"/>
                <w:szCs w:val="20"/>
                <w:vertAlign w:val="superscript"/>
              </w:rPr>
              <w:t>d</w:t>
            </w:r>
            <w:proofErr w:type="spellEnd"/>
            <w:r w:rsidRPr="000717E1">
              <w:rPr>
                <w:sz w:val="20"/>
                <w:szCs w:val="20"/>
              </w:rPr>
              <w:t xml:space="preserve"> </w:t>
            </w:r>
          </w:p>
        </w:tc>
        <w:tc>
          <w:tcPr>
            <w:tcW w:w="534" w:type="pct"/>
            <w:vAlign w:val="center"/>
          </w:tcPr>
          <w:p w14:paraId="33A3950C" w14:textId="7A54D578" w:rsidR="00445769" w:rsidRPr="000717E1" w:rsidRDefault="00445769">
            <w:pPr>
              <w:pStyle w:val="TableText0"/>
              <w:jc w:val="center"/>
              <w:rPr>
                <w:bCs/>
              </w:rPr>
            </w:pPr>
            <w:r w:rsidRPr="000717E1">
              <w:rPr>
                <w:rFonts w:cs="Arial"/>
                <w:bCs/>
                <w:color w:val="000000"/>
              </w:rPr>
              <w:t>$</w:t>
            </w:r>
            <w:r w:rsidR="00331ADA" w:rsidRPr="00331ADA">
              <w:rPr>
                <w:rFonts w:cs="Arial"/>
                <w:bCs/>
                <w:color w:val="000000"/>
                <w:sz w:val="2"/>
                <w:highlight w:val="black"/>
              </w:rPr>
              <w:t>redacted content</w:t>
            </w:r>
            <w:r w:rsidR="00204E2D">
              <w:rPr>
                <w:color w:val="000000"/>
                <w:spacing w:val="-2"/>
                <w:vertAlign w:val="superscript"/>
              </w:rPr>
              <w:t>14</w:t>
            </w:r>
          </w:p>
        </w:tc>
        <w:tc>
          <w:tcPr>
            <w:tcW w:w="534" w:type="pct"/>
            <w:vAlign w:val="center"/>
          </w:tcPr>
          <w:p w14:paraId="2599ADCD" w14:textId="29485BE3" w:rsidR="00445769" w:rsidRPr="000717E1" w:rsidRDefault="00445769">
            <w:pPr>
              <w:pStyle w:val="TableText0"/>
              <w:jc w:val="center"/>
              <w:rPr>
                <w:bCs/>
              </w:rPr>
            </w:pPr>
            <w:r w:rsidRPr="000717E1">
              <w:rPr>
                <w:rFonts w:cs="Arial"/>
                <w:bCs/>
                <w:color w:val="000000"/>
              </w:rPr>
              <w:t>$</w:t>
            </w:r>
            <w:r w:rsidR="00331ADA" w:rsidRPr="00331ADA">
              <w:rPr>
                <w:rFonts w:cs="Arial"/>
                <w:bCs/>
                <w:color w:val="000000"/>
                <w:sz w:val="2"/>
                <w:highlight w:val="black"/>
              </w:rPr>
              <w:t>redacted content</w:t>
            </w:r>
            <w:r w:rsidR="00204E2D">
              <w:rPr>
                <w:color w:val="000000"/>
                <w:spacing w:val="-2"/>
                <w:vertAlign w:val="superscript"/>
              </w:rPr>
              <w:t>1</w:t>
            </w:r>
            <w:r w:rsidR="009921E5">
              <w:rPr>
                <w:color w:val="000000"/>
                <w:spacing w:val="-2"/>
                <w:vertAlign w:val="superscript"/>
              </w:rPr>
              <w:t>4</w:t>
            </w:r>
          </w:p>
        </w:tc>
        <w:tc>
          <w:tcPr>
            <w:tcW w:w="534" w:type="pct"/>
            <w:vAlign w:val="center"/>
          </w:tcPr>
          <w:p w14:paraId="13AD4D0B" w14:textId="2859CECC" w:rsidR="00445769" w:rsidRPr="000717E1" w:rsidRDefault="00445769">
            <w:pPr>
              <w:pStyle w:val="TableText0"/>
              <w:jc w:val="center"/>
              <w:rPr>
                <w:bCs/>
              </w:rPr>
            </w:pPr>
            <w:r w:rsidRPr="000717E1">
              <w:rPr>
                <w:rFonts w:cs="Arial"/>
                <w:bCs/>
                <w:color w:val="000000"/>
              </w:rPr>
              <w:t>$</w:t>
            </w:r>
            <w:r w:rsidR="00331ADA" w:rsidRPr="00331ADA">
              <w:rPr>
                <w:rFonts w:cs="Arial"/>
                <w:bCs/>
                <w:color w:val="000000"/>
                <w:sz w:val="2"/>
                <w:highlight w:val="black"/>
              </w:rPr>
              <w:t>redacted content</w:t>
            </w:r>
            <w:r w:rsidR="00204E2D">
              <w:rPr>
                <w:color w:val="000000"/>
                <w:spacing w:val="-2"/>
                <w:vertAlign w:val="superscript"/>
              </w:rPr>
              <w:t>14</w:t>
            </w:r>
          </w:p>
        </w:tc>
        <w:tc>
          <w:tcPr>
            <w:tcW w:w="534" w:type="pct"/>
            <w:vAlign w:val="center"/>
          </w:tcPr>
          <w:p w14:paraId="7A7161FB" w14:textId="1621DF1A" w:rsidR="00445769" w:rsidRPr="000717E1" w:rsidRDefault="00445769">
            <w:pPr>
              <w:pStyle w:val="TableText0"/>
              <w:jc w:val="center"/>
              <w:rPr>
                <w:bCs/>
              </w:rPr>
            </w:pPr>
            <w:r w:rsidRPr="000717E1">
              <w:rPr>
                <w:rFonts w:cs="Arial"/>
                <w:bCs/>
                <w:color w:val="000000"/>
              </w:rPr>
              <w:t>$</w:t>
            </w:r>
            <w:r w:rsidR="00331ADA" w:rsidRPr="00331ADA">
              <w:rPr>
                <w:rFonts w:cs="Arial"/>
                <w:bCs/>
                <w:color w:val="000000"/>
                <w:sz w:val="2"/>
                <w:highlight w:val="black"/>
              </w:rPr>
              <w:t>redacted content</w:t>
            </w:r>
            <w:r w:rsidR="00204E2D">
              <w:rPr>
                <w:color w:val="000000"/>
                <w:spacing w:val="-2"/>
                <w:vertAlign w:val="superscript"/>
              </w:rPr>
              <w:t>1</w:t>
            </w:r>
            <w:r w:rsidR="009921E5">
              <w:rPr>
                <w:color w:val="000000"/>
                <w:spacing w:val="-2"/>
                <w:vertAlign w:val="superscript"/>
              </w:rPr>
              <w:t>4</w:t>
            </w:r>
          </w:p>
        </w:tc>
        <w:tc>
          <w:tcPr>
            <w:tcW w:w="534" w:type="pct"/>
            <w:vAlign w:val="center"/>
          </w:tcPr>
          <w:p w14:paraId="6AC8C2DB" w14:textId="2DE7F188" w:rsidR="00445769" w:rsidRPr="000717E1" w:rsidRDefault="00445769">
            <w:pPr>
              <w:pStyle w:val="TableText0"/>
              <w:jc w:val="center"/>
              <w:rPr>
                <w:bCs/>
              </w:rPr>
            </w:pPr>
            <w:r w:rsidRPr="000717E1">
              <w:rPr>
                <w:rFonts w:cs="Arial"/>
                <w:bCs/>
                <w:color w:val="000000"/>
              </w:rPr>
              <w:t>$</w:t>
            </w:r>
            <w:r w:rsidR="00331ADA" w:rsidRPr="00331ADA">
              <w:rPr>
                <w:rFonts w:cs="Arial"/>
                <w:bCs/>
                <w:color w:val="000000"/>
                <w:sz w:val="2"/>
                <w:highlight w:val="black"/>
              </w:rPr>
              <w:t>redacted content</w:t>
            </w:r>
            <w:r w:rsidR="009921E5">
              <w:rPr>
                <w:color w:val="000000"/>
                <w:spacing w:val="-2"/>
                <w:vertAlign w:val="superscript"/>
              </w:rPr>
              <w:t>14</w:t>
            </w:r>
          </w:p>
        </w:tc>
        <w:tc>
          <w:tcPr>
            <w:tcW w:w="534" w:type="pct"/>
            <w:vAlign w:val="center"/>
          </w:tcPr>
          <w:p w14:paraId="32E84252" w14:textId="7A4D5D91" w:rsidR="00445769" w:rsidRPr="000717E1" w:rsidRDefault="00445769">
            <w:pPr>
              <w:pStyle w:val="TableText0"/>
              <w:jc w:val="center"/>
              <w:rPr>
                <w:bCs/>
              </w:rPr>
            </w:pPr>
            <w:r w:rsidRPr="000717E1">
              <w:rPr>
                <w:rFonts w:cs="Arial"/>
                <w:bCs/>
                <w:color w:val="000000"/>
              </w:rPr>
              <w:t>$</w:t>
            </w:r>
            <w:r w:rsidR="00331ADA" w:rsidRPr="00331ADA">
              <w:rPr>
                <w:rFonts w:cs="Arial"/>
                <w:bCs/>
                <w:color w:val="000000"/>
                <w:sz w:val="2"/>
                <w:highlight w:val="black"/>
              </w:rPr>
              <w:t>redacted content</w:t>
            </w:r>
            <w:r w:rsidR="009921E5">
              <w:rPr>
                <w:color w:val="000000"/>
                <w:spacing w:val="-2"/>
                <w:vertAlign w:val="superscript"/>
              </w:rPr>
              <w:t>14</w:t>
            </w:r>
          </w:p>
        </w:tc>
        <w:tc>
          <w:tcPr>
            <w:tcW w:w="631" w:type="pct"/>
            <w:vAlign w:val="center"/>
          </w:tcPr>
          <w:p w14:paraId="134519E2" w14:textId="248A4F2D" w:rsidR="00445769" w:rsidRPr="000717E1" w:rsidRDefault="00445769">
            <w:pPr>
              <w:pStyle w:val="TableText0"/>
              <w:jc w:val="center"/>
              <w:rPr>
                <w:bCs/>
              </w:rPr>
            </w:pPr>
            <w:r w:rsidRPr="000717E1">
              <w:rPr>
                <w:rFonts w:cs="Arial"/>
                <w:bCs/>
                <w:color w:val="000000"/>
              </w:rPr>
              <w:t>$</w:t>
            </w:r>
            <w:r w:rsidR="00331ADA" w:rsidRPr="00331ADA">
              <w:rPr>
                <w:rFonts w:cs="Arial"/>
                <w:bCs/>
                <w:color w:val="000000"/>
                <w:sz w:val="2"/>
                <w:highlight w:val="black"/>
              </w:rPr>
              <w:t>redacted content</w:t>
            </w:r>
            <w:r w:rsidR="009921E5">
              <w:rPr>
                <w:color w:val="000000"/>
                <w:spacing w:val="-2"/>
                <w:vertAlign w:val="superscript"/>
              </w:rPr>
              <w:t>14</w:t>
            </w:r>
          </w:p>
        </w:tc>
      </w:tr>
      <w:tr w:rsidR="00445769" w:rsidRPr="000717E1" w14:paraId="3280E116" w14:textId="77777777">
        <w:tc>
          <w:tcPr>
            <w:tcW w:w="1165" w:type="pct"/>
            <w:vAlign w:val="center"/>
          </w:tcPr>
          <w:p w14:paraId="347C9CD5" w14:textId="66606EB3" w:rsidR="00445769" w:rsidRPr="000717E1" w:rsidRDefault="00445769">
            <w:pPr>
              <w:pStyle w:val="TableText0"/>
              <w:rPr>
                <w:b/>
                <w:bCs/>
                <w:sz w:val="20"/>
                <w:szCs w:val="20"/>
              </w:rPr>
            </w:pPr>
            <w:r w:rsidRPr="000717E1">
              <w:rPr>
                <w:b/>
                <w:bCs/>
                <w:sz w:val="20"/>
                <w:szCs w:val="20"/>
              </w:rPr>
              <w:t xml:space="preserve">Net cost to PBS/RPBS/MBS </w:t>
            </w:r>
          </w:p>
        </w:tc>
        <w:tc>
          <w:tcPr>
            <w:tcW w:w="534" w:type="pct"/>
            <w:vAlign w:val="center"/>
          </w:tcPr>
          <w:p w14:paraId="2B996E26" w14:textId="14BF03DE" w:rsidR="00445769" w:rsidRPr="000717E1" w:rsidRDefault="00445769">
            <w:pPr>
              <w:pStyle w:val="TableText0"/>
              <w:jc w:val="center"/>
              <w:rPr>
                <w:rFonts w:cs="Arial"/>
                <w:bCs/>
                <w:color w:val="000000"/>
              </w:rPr>
            </w:pPr>
            <w:r w:rsidRPr="000717E1">
              <w:rPr>
                <w:rFonts w:cs="Arial"/>
                <w:bCs/>
                <w:color w:val="000000"/>
              </w:rPr>
              <w:t>$</w:t>
            </w:r>
            <w:r w:rsidR="00331ADA" w:rsidRPr="00331ADA">
              <w:rPr>
                <w:rFonts w:cs="Arial"/>
                <w:bCs/>
                <w:color w:val="000000"/>
                <w:sz w:val="2"/>
                <w:highlight w:val="black"/>
              </w:rPr>
              <w:t>redacted content</w:t>
            </w:r>
            <w:r w:rsidR="009921E5">
              <w:rPr>
                <w:spacing w:val="-2"/>
                <w:vertAlign w:val="superscript"/>
              </w:rPr>
              <w:t>9</w:t>
            </w:r>
          </w:p>
        </w:tc>
        <w:tc>
          <w:tcPr>
            <w:tcW w:w="534" w:type="pct"/>
            <w:vAlign w:val="center"/>
          </w:tcPr>
          <w:p w14:paraId="38236852" w14:textId="59EA6E9D" w:rsidR="00445769" w:rsidRPr="000717E1" w:rsidRDefault="005E1075" w:rsidP="002F3A15">
            <w:pPr>
              <w:jc w:val="center"/>
              <w:rPr>
                <w:rFonts w:ascii="Arial Narrow" w:eastAsiaTheme="majorEastAsia" w:hAnsi="Arial Narrow"/>
                <w:bCs/>
                <w:color w:val="000000"/>
                <w:sz w:val="18"/>
                <w:szCs w:val="18"/>
              </w:rPr>
            </w:pPr>
            <w:r w:rsidRPr="000717E1">
              <w:rPr>
                <w:rFonts w:ascii="Arial Narrow" w:eastAsiaTheme="majorEastAsia" w:hAnsi="Arial Narrow"/>
                <w:bCs/>
                <w:color w:val="000000"/>
                <w:sz w:val="18"/>
                <w:szCs w:val="18"/>
              </w:rPr>
              <w:t>$</w:t>
            </w:r>
            <w:r w:rsidR="00331ADA" w:rsidRPr="00331ADA">
              <w:rPr>
                <w:rFonts w:ascii="Arial Narrow" w:eastAsiaTheme="majorEastAsia" w:hAnsi="Arial Narrow"/>
                <w:bCs/>
                <w:color w:val="000000"/>
                <w:sz w:val="2"/>
                <w:szCs w:val="18"/>
                <w:highlight w:val="black"/>
              </w:rPr>
              <w:t>redacted content</w:t>
            </w:r>
            <w:r w:rsidR="009921E5" w:rsidRPr="009921E5">
              <w:rPr>
                <w:rFonts w:ascii="Arial Narrow" w:hAnsi="Arial Narrow"/>
                <w:spacing w:val="-2"/>
                <w:sz w:val="20"/>
                <w:szCs w:val="20"/>
                <w:vertAlign w:val="superscript"/>
              </w:rPr>
              <w:t>9</w:t>
            </w:r>
          </w:p>
        </w:tc>
        <w:tc>
          <w:tcPr>
            <w:tcW w:w="534" w:type="pct"/>
            <w:vAlign w:val="center"/>
          </w:tcPr>
          <w:p w14:paraId="4165D453" w14:textId="1F5579BC" w:rsidR="00445769" w:rsidRPr="000717E1" w:rsidRDefault="001E28DD">
            <w:pPr>
              <w:pStyle w:val="TableText0"/>
              <w:jc w:val="center"/>
              <w:rPr>
                <w:rFonts w:cs="Arial"/>
                <w:bCs/>
                <w:color w:val="000000"/>
              </w:rPr>
            </w:pPr>
            <w:r w:rsidRPr="000717E1">
              <w:rPr>
                <w:rFonts w:cs="Arial"/>
                <w:bCs/>
                <w:color w:val="000000"/>
              </w:rPr>
              <w:t>$</w:t>
            </w:r>
            <w:r w:rsidR="00331ADA" w:rsidRPr="00331ADA">
              <w:rPr>
                <w:rFonts w:cs="Arial"/>
                <w:bCs/>
                <w:color w:val="000000"/>
                <w:sz w:val="2"/>
                <w:highlight w:val="black"/>
              </w:rPr>
              <w:t>redacted content</w:t>
            </w:r>
            <w:r w:rsidR="009921E5">
              <w:rPr>
                <w:spacing w:val="-2"/>
                <w:vertAlign w:val="superscript"/>
              </w:rPr>
              <w:t>10</w:t>
            </w:r>
          </w:p>
        </w:tc>
        <w:tc>
          <w:tcPr>
            <w:tcW w:w="534" w:type="pct"/>
            <w:vAlign w:val="center"/>
          </w:tcPr>
          <w:p w14:paraId="7A8F5961" w14:textId="07772B9F" w:rsidR="00445769" w:rsidRPr="000717E1" w:rsidRDefault="001E28DD">
            <w:pPr>
              <w:pStyle w:val="TableText0"/>
              <w:jc w:val="center"/>
              <w:rPr>
                <w:rFonts w:cs="Arial"/>
                <w:bCs/>
                <w:color w:val="000000"/>
              </w:rPr>
            </w:pPr>
            <w:r w:rsidRPr="000717E1">
              <w:rPr>
                <w:rFonts w:cs="Arial"/>
                <w:bCs/>
                <w:color w:val="000000"/>
              </w:rPr>
              <w:t>$</w:t>
            </w:r>
            <w:r w:rsidR="00331ADA" w:rsidRPr="00331ADA">
              <w:rPr>
                <w:rFonts w:cs="Arial"/>
                <w:bCs/>
                <w:color w:val="000000"/>
                <w:sz w:val="2"/>
                <w:highlight w:val="black"/>
              </w:rPr>
              <w:t>redacted content</w:t>
            </w:r>
            <w:r w:rsidR="009921E5">
              <w:rPr>
                <w:spacing w:val="-2"/>
                <w:vertAlign w:val="superscript"/>
              </w:rPr>
              <w:t>11</w:t>
            </w:r>
          </w:p>
        </w:tc>
        <w:tc>
          <w:tcPr>
            <w:tcW w:w="534" w:type="pct"/>
            <w:vAlign w:val="center"/>
          </w:tcPr>
          <w:p w14:paraId="6864C749" w14:textId="4E2255F0" w:rsidR="00445769" w:rsidRPr="000717E1" w:rsidRDefault="002F3A15">
            <w:pPr>
              <w:pStyle w:val="TableText0"/>
              <w:jc w:val="center"/>
              <w:rPr>
                <w:rFonts w:cs="Arial"/>
                <w:bCs/>
                <w:color w:val="000000"/>
              </w:rPr>
            </w:pPr>
            <w:r w:rsidRPr="000717E1">
              <w:rPr>
                <w:rFonts w:cs="Arial"/>
                <w:bCs/>
                <w:color w:val="000000"/>
              </w:rPr>
              <w:t>$</w:t>
            </w:r>
            <w:r w:rsidR="00331ADA" w:rsidRPr="00331ADA">
              <w:rPr>
                <w:rFonts w:cs="Arial"/>
                <w:bCs/>
                <w:color w:val="000000"/>
                <w:sz w:val="2"/>
                <w:highlight w:val="black"/>
              </w:rPr>
              <w:t>redacted content</w:t>
            </w:r>
            <w:r w:rsidR="009921E5">
              <w:rPr>
                <w:spacing w:val="-2"/>
                <w:vertAlign w:val="superscript"/>
              </w:rPr>
              <w:t>11</w:t>
            </w:r>
          </w:p>
        </w:tc>
        <w:tc>
          <w:tcPr>
            <w:tcW w:w="534" w:type="pct"/>
            <w:vAlign w:val="center"/>
          </w:tcPr>
          <w:p w14:paraId="7D3E2ED5" w14:textId="57ADDD68" w:rsidR="00445769" w:rsidRPr="000717E1" w:rsidRDefault="002F3A15">
            <w:pPr>
              <w:pStyle w:val="TableText0"/>
              <w:jc w:val="center"/>
              <w:rPr>
                <w:rFonts w:cs="Arial"/>
                <w:bCs/>
                <w:color w:val="000000"/>
              </w:rPr>
            </w:pPr>
            <w:r w:rsidRPr="000717E1">
              <w:rPr>
                <w:rFonts w:cs="Arial"/>
                <w:bCs/>
                <w:color w:val="000000"/>
              </w:rPr>
              <w:t>$</w:t>
            </w:r>
            <w:r w:rsidR="00331ADA" w:rsidRPr="00331ADA">
              <w:rPr>
                <w:rFonts w:cs="Arial"/>
                <w:bCs/>
                <w:color w:val="000000"/>
                <w:sz w:val="2"/>
                <w:highlight w:val="black"/>
              </w:rPr>
              <w:t>redacted content</w:t>
            </w:r>
            <w:r w:rsidR="009921E5">
              <w:rPr>
                <w:spacing w:val="-2"/>
                <w:vertAlign w:val="superscript"/>
              </w:rPr>
              <w:t>11</w:t>
            </w:r>
          </w:p>
        </w:tc>
        <w:tc>
          <w:tcPr>
            <w:tcW w:w="631" w:type="pct"/>
            <w:vAlign w:val="center"/>
          </w:tcPr>
          <w:p w14:paraId="5597901F" w14:textId="450B8D02" w:rsidR="00445769" w:rsidRPr="000717E1" w:rsidRDefault="002F3A15">
            <w:pPr>
              <w:pStyle w:val="TableText0"/>
              <w:jc w:val="center"/>
              <w:rPr>
                <w:rFonts w:cs="Arial"/>
                <w:bCs/>
                <w:color w:val="000000"/>
              </w:rPr>
            </w:pPr>
            <w:r w:rsidRPr="000717E1">
              <w:rPr>
                <w:rFonts w:cs="Arial"/>
                <w:bCs/>
                <w:color w:val="000000"/>
              </w:rPr>
              <w:t>$</w:t>
            </w:r>
            <w:r w:rsidR="00331ADA" w:rsidRPr="00331ADA">
              <w:rPr>
                <w:rFonts w:cs="Arial"/>
                <w:bCs/>
                <w:color w:val="000000"/>
                <w:sz w:val="2"/>
                <w:highlight w:val="black"/>
              </w:rPr>
              <w:t>redacted content</w:t>
            </w:r>
            <w:r w:rsidR="009921E5">
              <w:rPr>
                <w:color w:val="000000"/>
                <w:spacing w:val="-2"/>
                <w:vertAlign w:val="superscript"/>
              </w:rPr>
              <w:t>12</w:t>
            </w:r>
          </w:p>
        </w:tc>
      </w:tr>
    </w:tbl>
    <w:p w14:paraId="1547CB15" w14:textId="77777777" w:rsidR="00445769" w:rsidRPr="000717E1" w:rsidRDefault="00445769" w:rsidP="00917689">
      <w:pPr>
        <w:pStyle w:val="FooterTableFigure"/>
        <w:keepNext/>
        <w:keepLines/>
      </w:pPr>
      <w:r w:rsidRPr="000717E1">
        <w:t>Source: Table 4.2-4, p190; Table 4.2-5, p191; Table 4.2-11, p196; Table 4.3-1, p 197; Table 4.3-3, p198; Table 4.4-2, p199; Table 4.5-7, p203 of the submission.</w:t>
      </w:r>
    </w:p>
    <w:p w14:paraId="7E46A00B" w14:textId="77777777" w:rsidR="00445769" w:rsidRPr="000717E1" w:rsidRDefault="00445769" w:rsidP="00917689">
      <w:pPr>
        <w:pStyle w:val="FooterTableFigure"/>
        <w:keepNext/>
        <w:keepLines/>
      </w:pPr>
      <w:r w:rsidRPr="000717E1">
        <w:t>MBS = Medicare Benefits Schedule; PBS = Pharmaceutical Benefits Scheme; RPBS = Repatriation Pharmaceutical Benefits Scheme.</w:t>
      </w:r>
    </w:p>
    <w:p w14:paraId="7676C7C5" w14:textId="5F2BCF76" w:rsidR="00445769" w:rsidRPr="000717E1" w:rsidRDefault="00445769" w:rsidP="00917689">
      <w:pPr>
        <w:pStyle w:val="FooterTableFigure"/>
        <w:keepNext/>
        <w:keepLines/>
      </w:pPr>
      <w:r w:rsidRPr="000717E1">
        <w:rPr>
          <w:vertAlign w:val="superscript"/>
        </w:rPr>
        <w:t>a</w:t>
      </w:r>
      <w:r w:rsidRPr="000717E1">
        <w:t xml:space="preserve"> Uptake take: Year 1 – </w:t>
      </w:r>
      <w:r w:rsidR="00331ADA" w:rsidRPr="00331ADA">
        <w:rPr>
          <w:sz w:val="2"/>
          <w:highlight w:val="black"/>
        </w:rPr>
        <w:t>redacted content</w:t>
      </w:r>
      <w:r w:rsidRPr="000717E1">
        <w:t xml:space="preserve">%, Year 2 – </w:t>
      </w:r>
      <w:r w:rsidR="00331ADA" w:rsidRPr="00331ADA">
        <w:rPr>
          <w:sz w:val="2"/>
          <w:highlight w:val="black"/>
        </w:rPr>
        <w:t>redacted content</w:t>
      </w:r>
      <w:r w:rsidRPr="000717E1">
        <w:t xml:space="preserve">%, Year 3 – </w:t>
      </w:r>
      <w:r w:rsidR="00331ADA" w:rsidRPr="00331ADA">
        <w:rPr>
          <w:sz w:val="2"/>
          <w:highlight w:val="black"/>
        </w:rPr>
        <w:t>redacted content</w:t>
      </w:r>
      <w:r w:rsidRPr="000717E1">
        <w:t xml:space="preserve">%, Year 4 – </w:t>
      </w:r>
      <w:r w:rsidR="00331ADA" w:rsidRPr="00331ADA">
        <w:rPr>
          <w:sz w:val="2"/>
          <w:highlight w:val="black"/>
        </w:rPr>
        <w:t>redacted content</w:t>
      </w:r>
      <w:r w:rsidRPr="000717E1">
        <w:t xml:space="preserve">%, Year 5 – </w:t>
      </w:r>
      <w:r w:rsidR="00331ADA" w:rsidRPr="00331ADA">
        <w:rPr>
          <w:sz w:val="2"/>
          <w:highlight w:val="black"/>
        </w:rPr>
        <w:t>redacted content</w:t>
      </w:r>
      <w:r w:rsidRPr="000717E1">
        <w:t xml:space="preserve">%, Year 6 – </w:t>
      </w:r>
      <w:r w:rsidR="00331ADA" w:rsidRPr="00331ADA">
        <w:rPr>
          <w:sz w:val="2"/>
          <w:highlight w:val="black"/>
        </w:rPr>
        <w:t>redacted content</w:t>
      </w:r>
      <w:r w:rsidRPr="000717E1">
        <w:t>%.</w:t>
      </w:r>
    </w:p>
    <w:p w14:paraId="45DAC17C" w14:textId="77777777" w:rsidR="00445769" w:rsidRPr="000717E1" w:rsidRDefault="00445769" w:rsidP="00917689">
      <w:pPr>
        <w:pStyle w:val="FooterTableFigure"/>
        <w:keepNext/>
        <w:keepLines/>
      </w:pPr>
      <w:r w:rsidRPr="000717E1">
        <w:t xml:space="preserve">   Persistence – 85%</w:t>
      </w:r>
    </w:p>
    <w:p w14:paraId="743D81B1" w14:textId="47926428" w:rsidR="00445769" w:rsidRPr="000717E1" w:rsidRDefault="00445769" w:rsidP="00917689">
      <w:pPr>
        <w:pStyle w:val="FooterTableFigure"/>
        <w:keepNext/>
        <w:keepLines/>
      </w:pPr>
      <w:r w:rsidRPr="000717E1">
        <w:rPr>
          <w:vertAlign w:val="superscript"/>
        </w:rPr>
        <w:t>b</w:t>
      </w:r>
      <w:r w:rsidRPr="000717E1">
        <w:t xml:space="preserve"> Includes </w:t>
      </w:r>
      <w:r w:rsidR="0001604F">
        <w:t xml:space="preserve">500 to &lt; 5,000 </w:t>
      </w:r>
      <w:r w:rsidRPr="00D428EC">
        <w:t>grandfathered</w:t>
      </w:r>
      <w:r w:rsidRPr="000717E1">
        <w:t xml:space="preserve"> patients. </w:t>
      </w:r>
    </w:p>
    <w:p w14:paraId="76A566B9" w14:textId="77777777" w:rsidR="00445769" w:rsidRPr="000717E1" w:rsidRDefault="00445769" w:rsidP="00917689">
      <w:pPr>
        <w:pStyle w:val="FooterTableFigure"/>
        <w:keepNext/>
        <w:keepLines/>
      </w:pPr>
      <w:r w:rsidRPr="000717E1">
        <w:rPr>
          <w:vertAlign w:val="superscript"/>
        </w:rPr>
        <w:t>c</w:t>
      </w:r>
      <w:r w:rsidRPr="000717E1">
        <w:t xml:space="preserve"> Assuming 13 scripts dispensed per patient per year as estimated by the submission.</w:t>
      </w:r>
    </w:p>
    <w:p w14:paraId="4262B820" w14:textId="77777777" w:rsidR="00445769" w:rsidRDefault="00445769" w:rsidP="00917689">
      <w:pPr>
        <w:pStyle w:val="FooterTableFigure"/>
        <w:keepNext/>
        <w:keepLines/>
      </w:pPr>
      <w:r w:rsidRPr="000717E1">
        <w:rPr>
          <w:vertAlign w:val="superscript"/>
        </w:rPr>
        <w:t>d</w:t>
      </w:r>
      <w:r w:rsidRPr="000717E1">
        <w:t xml:space="preserve"> Excluding costs associated with GP and specialist visits.</w:t>
      </w:r>
    </w:p>
    <w:p w14:paraId="6397C797" w14:textId="574F3D6B" w:rsidR="0001604F" w:rsidRDefault="0001604F" w:rsidP="00917689">
      <w:pPr>
        <w:pStyle w:val="FooterTableFigure"/>
        <w:keepNext/>
        <w:keepLines/>
        <w:rPr>
          <w:i/>
          <w:iCs/>
        </w:rPr>
      </w:pPr>
      <w:r>
        <w:rPr>
          <w:i/>
          <w:iCs/>
        </w:rPr>
        <w:t>The redacted values correspond to the following ranges:</w:t>
      </w:r>
    </w:p>
    <w:p w14:paraId="26E77658" w14:textId="69081D7E" w:rsidR="0001604F" w:rsidRDefault="008F002E" w:rsidP="00917689">
      <w:pPr>
        <w:pStyle w:val="FooterTableFigure"/>
        <w:keepNext/>
        <w:keepLines/>
        <w:rPr>
          <w:i/>
          <w:iCs/>
        </w:rPr>
      </w:pPr>
      <w:r>
        <w:rPr>
          <w:i/>
          <w:iCs/>
          <w:vertAlign w:val="superscript"/>
        </w:rPr>
        <w:t xml:space="preserve">1 </w:t>
      </w:r>
      <w:r>
        <w:rPr>
          <w:i/>
          <w:iCs/>
        </w:rPr>
        <w:t>20,000 to &lt; 30,000</w:t>
      </w:r>
    </w:p>
    <w:p w14:paraId="19F8A239" w14:textId="2AC8016D" w:rsidR="008F002E" w:rsidRDefault="008F002E" w:rsidP="00917689">
      <w:pPr>
        <w:pStyle w:val="FooterTableFigure"/>
        <w:keepNext/>
        <w:keepLines/>
        <w:rPr>
          <w:i/>
          <w:iCs/>
        </w:rPr>
      </w:pPr>
      <w:r>
        <w:rPr>
          <w:i/>
          <w:iCs/>
          <w:vertAlign w:val="superscript"/>
        </w:rPr>
        <w:t xml:space="preserve">2 </w:t>
      </w:r>
      <w:r>
        <w:rPr>
          <w:i/>
          <w:iCs/>
        </w:rPr>
        <w:t>30,000 to &lt; 40,000</w:t>
      </w:r>
    </w:p>
    <w:p w14:paraId="2F57C499" w14:textId="620BD6C6" w:rsidR="008F002E" w:rsidRDefault="008F002E" w:rsidP="00917689">
      <w:pPr>
        <w:pStyle w:val="FooterTableFigure"/>
        <w:keepNext/>
        <w:keepLines/>
        <w:rPr>
          <w:i/>
          <w:iCs/>
        </w:rPr>
      </w:pPr>
      <w:r>
        <w:rPr>
          <w:i/>
          <w:iCs/>
          <w:vertAlign w:val="superscript"/>
        </w:rPr>
        <w:t>3</w:t>
      </w:r>
      <w:r>
        <w:rPr>
          <w:i/>
          <w:iCs/>
        </w:rPr>
        <w:t xml:space="preserve"> 100,000 to &lt; 200,000</w:t>
      </w:r>
    </w:p>
    <w:p w14:paraId="171A14C3" w14:textId="298EC3DF" w:rsidR="008F002E" w:rsidRDefault="00501E9F" w:rsidP="00917689">
      <w:pPr>
        <w:pStyle w:val="FooterTableFigure"/>
        <w:keepNext/>
        <w:keepLines/>
        <w:rPr>
          <w:i/>
          <w:iCs/>
        </w:rPr>
      </w:pPr>
      <w:r>
        <w:rPr>
          <w:i/>
          <w:iCs/>
          <w:vertAlign w:val="superscript"/>
        </w:rPr>
        <w:t>4</w:t>
      </w:r>
      <w:r>
        <w:rPr>
          <w:i/>
          <w:iCs/>
        </w:rPr>
        <w:t xml:space="preserve"> 200,000 to &lt; 300,000</w:t>
      </w:r>
    </w:p>
    <w:p w14:paraId="5EACE9E7" w14:textId="1555B1F5" w:rsidR="00167F46" w:rsidRDefault="00167F46" w:rsidP="00917689">
      <w:pPr>
        <w:pStyle w:val="FooterTableFigure"/>
        <w:keepNext/>
        <w:keepLines/>
        <w:rPr>
          <w:i/>
          <w:iCs/>
          <w:vertAlign w:val="superscript"/>
        </w:rPr>
      </w:pPr>
      <w:r>
        <w:rPr>
          <w:i/>
          <w:iCs/>
          <w:vertAlign w:val="superscript"/>
        </w:rPr>
        <w:t xml:space="preserve">5 </w:t>
      </w:r>
      <w:r>
        <w:rPr>
          <w:i/>
          <w:iCs/>
        </w:rPr>
        <w:t>5,000 to &lt; 10,000</w:t>
      </w:r>
      <w:r>
        <w:rPr>
          <w:i/>
          <w:iCs/>
          <w:vertAlign w:val="superscript"/>
        </w:rPr>
        <w:t xml:space="preserve"> </w:t>
      </w:r>
    </w:p>
    <w:p w14:paraId="57F7F1F2" w14:textId="70A5CE46" w:rsidR="0095748F" w:rsidRDefault="0095748F" w:rsidP="00917689">
      <w:pPr>
        <w:pStyle w:val="FooterTableFigure"/>
        <w:keepNext/>
        <w:keepLines/>
        <w:rPr>
          <w:i/>
          <w:iCs/>
        </w:rPr>
      </w:pPr>
      <w:r>
        <w:rPr>
          <w:i/>
          <w:iCs/>
          <w:vertAlign w:val="superscript"/>
        </w:rPr>
        <w:t>6</w:t>
      </w:r>
      <w:r>
        <w:rPr>
          <w:i/>
          <w:iCs/>
        </w:rPr>
        <w:t xml:space="preserve"> </w:t>
      </w:r>
      <w:r w:rsidR="00335523">
        <w:rPr>
          <w:i/>
          <w:iCs/>
        </w:rPr>
        <w:t>10,000 to &lt; 20,000</w:t>
      </w:r>
    </w:p>
    <w:p w14:paraId="48481132" w14:textId="1F488340" w:rsidR="00335523" w:rsidRDefault="00335523" w:rsidP="00917689">
      <w:pPr>
        <w:pStyle w:val="FooterTableFigure"/>
        <w:keepNext/>
        <w:keepLines/>
        <w:rPr>
          <w:i/>
          <w:iCs/>
        </w:rPr>
      </w:pPr>
      <w:r>
        <w:rPr>
          <w:i/>
          <w:iCs/>
          <w:vertAlign w:val="superscript"/>
        </w:rPr>
        <w:t>7</w:t>
      </w:r>
      <w:r>
        <w:rPr>
          <w:i/>
          <w:iCs/>
        </w:rPr>
        <w:t xml:space="preserve"> </w:t>
      </w:r>
      <w:r w:rsidR="002A48D9">
        <w:rPr>
          <w:i/>
          <w:iCs/>
        </w:rPr>
        <w:t>300,000 to &lt; 400,000</w:t>
      </w:r>
    </w:p>
    <w:p w14:paraId="1A4A1ECB" w14:textId="648C90E6" w:rsidR="002A48D9" w:rsidRDefault="002A48D9" w:rsidP="00917689">
      <w:pPr>
        <w:pStyle w:val="FooterTableFigure"/>
        <w:keepNext/>
        <w:keepLines/>
        <w:rPr>
          <w:i/>
          <w:iCs/>
        </w:rPr>
      </w:pPr>
      <w:r>
        <w:rPr>
          <w:i/>
          <w:iCs/>
          <w:vertAlign w:val="superscript"/>
        </w:rPr>
        <w:t>8</w:t>
      </w:r>
      <w:r>
        <w:rPr>
          <w:i/>
          <w:iCs/>
        </w:rPr>
        <w:t xml:space="preserve"> 1,000,000 to &lt; 2,000,000</w:t>
      </w:r>
    </w:p>
    <w:p w14:paraId="1299C893" w14:textId="6BCEB12F" w:rsidR="002A48D9" w:rsidRDefault="005036BE" w:rsidP="00917689">
      <w:pPr>
        <w:pStyle w:val="FooterTableFigure"/>
        <w:keepNext/>
        <w:keepLines/>
        <w:rPr>
          <w:i/>
          <w:iCs/>
        </w:rPr>
      </w:pPr>
      <w:r>
        <w:rPr>
          <w:i/>
          <w:iCs/>
          <w:vertAlign w:val="superscript"/>
        </w:rPr>
        <w:t xml:space="preserve">9 </w:t>
      </w:r>
      <w:r w:rsidR="00204E2D">
        <w:rPr>
          <w:i/>
          <w:iCs/>
        </w:rPr>
        <w:t>$100 million to &lt; $200 million</w:t>
      </w:r>
    </w:p>
    <w:p w14:paraId="49D9FE32" w14:textId="262B92A6" w:rsidR="00204E2D" w:rsidRDefault="00204E2D" w:rsidP="00917689">
      <w:pPr>
        <w:pStyle w:val="FooterTableFigure"/>
        <w:keepNext/>
        <w:keepLines/>
        <w:rPr>
          <w:i/>
          <w:iCs/>
        </w:rPr>
      </w:pPr>
      <w:r>
        <w:rPr>
          <w:i/>
          <w:iCs/>
          <w:vertAlign w:val="superscript"/>
        </w:rPr>
        <w:t>10</w:t>
      </w:r>
      <w:r>
        <w:rPr>
          <w:i/>
          <w:iCs/>
        </w:rPr>
        <w:t xml:space="preserve"> $200 million to &lt; $300 million</w:t>
      </w:r>
    </w:p>
    <w:p w14:paraId="78D18912" w14:textId="18251851" w:rsidR="00204E2D" w:rsidRDefault="00204E2D" w:rsidP="00917689">
      <w:pPr>
        <w:pStyle w:val="FooterTableFigure"/>
        <w:keepNext/>
        <w:keepLines/>
        <w:rPr>
          <w:i/>
          <w:iCs/>
        </w:rPr>
      </w:pPr>
      <w:r>
        <w:rPr>
          <w:i/>
          <w:iCs/>
          <w:vertAlign w:val="superscript"/>
        </w:rPr>
        <w:t>11</w:t>
      </w:r>
      <w:r>
        <w:rPr>
          <w:i/>
          <w:iCs/>
        </w:rPr>
        <w:t xml:space="preserve"> $300 million to &lt; $400 million</w:t>
      </w:r>
    </w:p>
    <w:p w14:paraId="20477BDD" w14:textId="4E7A9E74" w:rsidR="00204E2D" w:rsidRDefault="00204E2D" w:rsidP="00917689">
      <w:pPr>
        <w:pStyle w:val="FooterTableFigure"/>
        <w:keepNext/>
        <w:keepLines/>
        <w:rPr>
          <w:i/>
          <w:iCs/>
        </w:rPr>
      </w:pPr>
      <w:r>
        <w:rPr>
          <w:i/>
          <w:iCs/>
          <w:vertAlign w:val="superscript"/>
        </w:rPr>
        <w:t>12</w:t>
      </w:r>
      <w:r>
        <w:rPr>
          <w:i/>
          <w:iCs/>
        </w:rPr>
        <w:t xml:space="preserve"> &gt; $1 billion</w:t>
      </w:r>
    </w:p>
    <w:p w14:paraId="1C8A6E5F" w14:textId="14CBF2AD" w:rsidR="00204E2D" w:rsidRDefault="00204E2D" w:rsidP="00917689">
      <w:pPr>
        <w:pStyle w:val="FooterTableFigure"/>
        <w:keepNext/>
        <w:keepLines/>
        <w:rPr>
          <w:i/>
          <w:iCs/>
        </w:rPr>
      </w:pPr>
      <w:r>
        <w:rPr>
          <w:i/>
          <w:iCs/>
          <w:vertAlign w:val="superscript"/>
        </w:rPr>
        <w:t>13</w:t>
      </w:r>
      <w:r>
        <w:rPr>
          <w:i/>
          <w:iCs/>
        </w:rPr>
        <w:t xml:space="preserve"> net cost savings</w:t>
      </w:r>
    </w:p>
    <w:p w14:paraId="03C95413" w14:textId="37FFDFD4" w:rsidR="00204E2D" w:rsidRDefault="009921E5" w:rsidP="00917689">
      <w:pPr>
        <w:pStyle w:val="FooterTableFigure"/>
        <w:keepNext/>
        <w:keepLines/>
        <w:rPr>
          <w:i/>
          <w:iCs/>
          <w:color w:val="000000"/>
          <w:spacing w:val="-2"/>
        </w:rPr>
      </w:pPr>
      <w:r w:rsidRPr="009921E5">
        <w:rPr>
          <w:i/>
          <w:iCs/>
          <w:color w:val="000000"/>
          <w:spacing w:val="-2"/>
          <w:szCs w:val="18"/>
          <w:vertAlign w:val="superscript"/>
        </w:rPr>
        <w:t>1</w:t>
      </w:r>
      <w:r w:rsidRPr="009921E5">
        <w:rPr>
          <w:i/>
          <w:iCs/>
          <w:color w:val="000000"/>
          <w:spacing w:val="-2"/>
          <w:vertAlign w:val="superscript"/>
        </w:rPr>
        <w:t>4</w:t>
      </w:r>
      <w:r>
        <w:rPr>
          <w:i/>
          <w:iCs/>
          <w:color w:val="000000"/>
          <w:spacing w:val="-2"/>
          <w:vertAlign w:val="superscript"/>
        </w:rPr>
        <w:t xml:space="preserve"> </w:t>
      </w:r>
      <w:r>
        <w:rPr>
          <w:i/>
          <w:iCs/>
          <w:color w:val="000000"/>
          <w:spacing w:val="-2"/>
        </w:rPr>
        <w:t xml:space="preserve"> $0 to &lt; $10 million</w:t>
      </w:r>
    </w:p>
    <w:p w14:paraId="03D3A316" w14:textId="77777777" w:rsidR="009921E5" w:rsidRPr="009921E5" w:rsidRDefault="009921E5" w:rsidP="00917689">
      <w:pPr>
        <w:pStyle w:val="FooterTableFigure"/>
        <w:keepNext/>
        <w:keepLines/>
        <w:rPr>
          <w:i/>
          <w:iCs/>
        </w:rPr>
      </w:pPr>
    </w:p>
    <w:p w14:paraId="56D9217D" w14:textId="61790C9B" w:rsidR="00445769" w:rsidRPr="000717E1" w:rsidRDefault="005249E8" w:rsidP="00445769">
      <w:pPr>
        <w:pStyle w:val="3-BodyText"/>
      </w:pPr>
      <w:r w:rsidRPr="000717E1">
        <w:t xml:space="preserve">The net </w:t>
      </w:r>
      <w:r w:rsidR="00445769" w:rsidRPr="000717E1">
        <w:t>cost to the PBS/RPBS of listing dupilumab was estimated to be $</w:t>
      </w:r>
      <w:r w:rsidR="009921E5">
        <w:t>300</w:t>
      </w:r>
      <w:r w:rsidR="00E653C5" w:rsidRPr="000717E1">
        <w:t xml:space="preserve"> million</w:t>
      </w:r>
      <w:r w:rsidR="009921E5">
        <w:t xml:space="preserve"> to &lt; $400 million</w:t>
      </w:r>
      <w:r w:rsidR="00445769" w:rsidRPr="000717E1">
        <w:t xml:space="preserve"> in Year 6, and a total of </w:t>
      </w:r>
      <w:r w:rsidR="009921E5">
        <w:t xml:space="preserve">&gt; $1 billion </w:t>
      </w:r>
      <w:r w:rsidR="00E958AF" w:rsidRPr="000717E1">
        <w:t>over</w:t>
      </w:r>
      <w:r w:rsidR="00445769" w:rsidRPr="000717E1">
        <w:t xml:space="preserve"> the first 6 years of listing. </w:t>
      </w:r>
    </w:p>
    <w:p w14:paraId="7B2ED338" w14:textId="4BA515F7" w:rsidR="000752E2" w:rsidRPr="00CD1BE6" w:rsidRDefault="00082771" w:rsidP="00CD1BE6">
      <w:pPr>
        <w:pStyle w:val="3-BodyText"/>
        <w:numPr>
          <w:ilvl w:val="1"/>
          <w:numId w:val="6"/>
        </w:numPr>
      </w:pPr>
      <w:r w:rsidRPr="001F3F0F">
        <w:rPr>
          <w:iCs/>
        </w:rPr>
        <w:t>The evaluation considered that s</w:t>
      </w:r>
      <w:r w:rsidR="00445769" w:rsidRPr="001F3F0F">
        <w:rPr>
          <w:iCs/>
        </w:rPr>
        <w:t>ome</w:t>
      </w:r>
      <w:r w:rsidR="00445769" w:rsidRPr="000717E1">
        <w:t xml:space="preserve"> of the input parameters used to estimate the number of patients on treatment with dupilumab </w:t>
      </w:r>
      <w:r w:rsidR="00C06542" w:rsidRPr="001F3F0F">
        <w:rPr>
          <w:iCs/>
        </w:rPr>
        <w:t>were uncertain,</w:t>
      </w:r>
      <w:r w:rsidR="00C06542" w:rsidRPr="000717E1">
        <w:t xml:space="preserve"> </w:t>
      </w:r>
      <w:r w:rsidR="00445769" w:rsidRPr="000717E1">
        <w:t xml:space="preserve">such as </w:t>
      </w:r>
      <w:r w:rsidR="00BF5115" w:rsidRPr="001F3F0F">
        <w:rPr>
          <w:iCs/>
        </w:rPr>
        <w:t>the</w:t>
      </w:r>
      <w:r w:rsidR="00C06542" w:rsidRPr="001F3F0F">
        <w:rPr>
          <w:iCs/>
        </w:rPr>
        <w:t xml:space="preserve"> assumed</w:t>
      </w:r>
      <w:r w:rsidR="00BF5115" w:rsidRPr="000717E1">
        <w:t xml:space="preserve"> </w:t>
      </w:r>
      <w:r w:rsidR="00445769" w:rsidRPr="000717E1">
        <w:t xml:space="preserve">proportion of patients with </w:t>
      </w:r>
      <w:r w:rsidR="0052736A">
        <w:t>BEC</w:t>
      </w:r>
      <w:r w:rsidR="00445769" w:rsidRPr="000717E1">
        <w:t xml:space="preserve"> ≥ 300 cells/µL, proportion of patients with high risk of exacerbation and</w:t>
      </w:r>
      <w:r w:rsidR="00DC55FA" w:rsidRPr="000717E1">
        <w:t xml:space="preserve"> the</w:t>
      </w:r>
      <w:r w:rsidR="000D3877" w:rsidRPr="000717E1">
        <w:t xml:space="preserve"> </w:t>
      </w:r>
      <w:r w:rsidR="00445769" w:rsidRPr="000717E1">
        <w:t xml:space="preserve">uptake rate of dupilumab. </w:t>
      </w:r>
      <w:r w:rsidR="00CB0ED9" w:rsidRPr="000717E1">
        <w:t>These areas of uncertainty were tested in sensitivity analyses</w:t>
      </w:r>
      <w:r w:rsidR="008E2576" w:rsidRPr="000717E1">
        <w:t>.</w:t>
      </w:r>
      <w:r w:rsidR="00CB0ED9" w:rsidRPr="000717E1">
        <w:t xml:space="preserve"> </w:t>
      </w:r>
      <w:r w:rsidR="00B433DF" w:rsidRPr="001F3F0F">
        <w:rPr>
          <w:iCs/>
        </w:rPr>
        <w:t xml:space="preserve">The Sub-Committees </w:t>
      </w:r>
      <w:r w:rsidR="005729B1" w:rsidRPr="001F3F0F">
        <w:rPr>
          <w:iCs/>
        </w:rPr>
        <w:t>noted</w:t>
      </w:r>
      <w:r w:rsidR="00B433DF" w:rsidRPr="001F3F0F">
        <w:rPr>
          <w:iCs/>
        </w:rPr>
        <w:t xml:space="preserve"> that the estimates </w:t>
      </w:r>
      <w:r w:rsidR="00B433DF" w:rsidRPr="001F3F0F">
        <w:rPr>
          <w:iCs/>
        </w:rPr>
        <w:lastRenderedPageBreak/>
        <w:t xml:space="preserve">were most affected by assumptions regarding the </w:t>
      </w:r>
      <w:r w:rsidR="007964B4" w:rsidRPr="001F3F0F">
        <w:rPr>
          <w:iCs/>
        </w:rPr>
        <w:t xml:space="preserve">assumed </w:t>
      </w:r>
      <w:r w:rsidR="00B433DF" w:rsidRPr="001F3F0F">
        <w:rPr>
          <w:iCs/>
        </w:rPr>
        <w:t>up</w:t>
      </w:r>
      <w:r w:rsidR="00CF7F3A" w:rsidRPr="001F3F0F">
        <w:rPr>
          <w:iCs/>
        </w:rPr>
        <w:t>take</w:t>
      </w:r>
      <w:r w:rsidR="00B433DF" w:rsidRPr="001F3F0F">
        <w:rPr>
          <w:iCs/>
        </w:rPr>
        <w:t xml:space="preserve"> rate, proportion of patients with </w:t>
      </w:r>
      <w:r w:rsidR="00255E63">
        <w:rPr>
          <w:iCs/>
        </w:rPr>
        <w:t>BEC</w:t>
      </w:r>
      <w:r w:rsidR="00B433DF" w:rsidRPr="001F3F0F">
        <w:rPr>
          <w:iCs/>
        </w:rPr>
        <w:t xml:space="preserve"> ≥ 300 cells/µl and exacerbation </w:t>
      </w:r>
      <w:r w:rsidR="00B433DF" w:rsidRPr="000717E1">
        <w:t>risk.</w:t>
      </w:r>
    </w:p>
    <w:p w14:paraId="7C55D97A" w14:textId="3128BCB3" w:rsidR="000752E2" w:rsidRPr="00281F45" w:rsidRDefault="000752E2" w:rsidP="00281F45">
      <w:pPr>
        <w:pStyle w:val="3-BodyText"/>
        <w:rPr>
          <w:iCs/>
          <w:snapToGrid w:val="0"/>
        </w:rPr>
      </w:pPr>
      <w:r w:rsidRPr="001F3F0F">
        <w:rPr>
          <w:iCs/>
          <w:snapToGrid w:val="0"/>
        </w:rPr>
        <w:t xml:space="preserve">The </w:t>
      </w:r>
      <w:r w:rsidR="00D50BCD" w:rsidRPr="001F3F0F">
        <w:rPr>
          <w:iCs/>
          <w:snapToGrid w:val="0"/>
        </w:rPr>
        <w:t xml:space="preserve">Sub-Committees noted </w:t>
      </w:r>
      <w:r w:rsidR="00E16D51" w:rsidRPr="001F3F0F">
        <w:rPr>
          <w:iCs/>
          <w:snapToGrid w:val="0"/>
        </w:rPr>
        <w:t xml:space="preserve">the analysis of the 100% PBS sample undertaken by the Drug Utilisation Section, </w:t>
      </w:r>
      <w:r w:rsidR="00660C69" w:rsidRPr="001F3F0F">
        <w:rPr>
          <w:iCs/>
          <w:snapToGrid w:val="0"/>
        </w:rPr>
        <w:t xml:space="preserve">which reported </w:t>
      </w:r>
      <w:r w:rsidR="00D50BCD" w:rsidRPr="001F3F0F">
        <w:rPr>
          <w:iCs/>
          <w:snapToGrid w:val="0"/>
        </w:rPr>
        <w:t xml:space="preserve">the </w:t>
      </w:r>
      <w:r w:rsidRPr="001F3F0F">
        <w:rPr>
          <w:iCs/>
          <w:snapToGrid w:val="0"/>
        </w:rPr>
        <w:t xml:space="preserve">number of incident and prevalent patients and the scripts for PBS listed </w:t>
      </w:r>
      <w:r w:rsidR="004805C3" w:rsidRPr="001F3F0F">
        <w:rPr>
          <w:iCs/>
          <w:snapToGrid w:val="0"/>
        </w:rPr>
        <w:t xml:space="preserve">single </w:t>
      </w:r>
      <w:r w:rsidRPr="001F3F0F">
        <w:rPr>
          <w:iCs/>
          <w:snapToGrid w:val="0"/>
        </w:rPr>
        <w:t xml:space="preserve">inhaler triple therapies for COPD during </w:t>
      </w:r>
      <w:r w:rsidRPr="00281F45">
        <w:rPr>
          <w:iCs/>
        </w:rPr>
        <w:t xml:space="preserve">2023–2025 </w:t>
      </w:r>
      <w:r w:rsidR="00561F16" w:rsidRPr="00281F45">
        <w:rPr>
          <w:iCs/>
        </w:rPr>
        <w:t>(</w:t>
      </w:r>
      <w:r w:rsidR="00281F45" w:rsidRPr="00281F45">
        <w:rPr>
          <w:iCs/>
        </w:rPr>
        <w:fldChar w:fldCharType="begin"/>
      </w:r>
      <w:r w:rsidR="00281F45" w:rsidRPr="00281F45">
        <w:rPr>
          <w:iCs/>
        </w:rPr>
        <w:instrText xml:space="preserve"> REF _Ref225427706 \h </w:instrText>
      </w:r>
      <w:r w:rsidR="00281F45">
        <w:rPr>
          <w:iCs/>
        </w:rPr>
        <w:instrText xml:space="preserve"> \* MERGEFORMAT </w:instrText>
      </w:r>
      <w:r w:rsidR="00281F45" w:rsidRPr="00281F45">
        <w:rPr>
          <w:iCs/>
        </w:rPr>
      </w:r>
      <w:r w:rsidR="00281F45" w:rsidRPr="00281F45">
        <w:rPr>
          <w:iCs/>
        </w:rPr>
        <w:fldChar w:fldCharType="separate"/>
      </w:r>
      <w:r w:rsidR="00025BCE" w:rsidRPr="00025BCE">
        <w:rPr>
          <w:iCs/>
        </w:rPr>
        <w:t>Table 19</w:t>
      </w:r>
      <w:r w:rsidR="00281F45" w:rsidRPr="00281F45">
        <w:rPr>
          <w:iCs/>
        </w:rPr>
        <w:fldChar w:fldCharType="end"/>
      </w:r>
      <w:r w:rsidR="00561F16" w:rsidRPr="00281F45">
        <w:rPr>
          <w:iCs/>
        </w:rPr>
        <w:t>)</w:t>
      </w:r>
      <w:r w:rsidRPr="00281F45">
        <w:rPr>
          <w:iCs/>
        </w:rPr>
        <w:t>.</w:t>
      </w:r>
      <w:r w:rsidR="00561F16" w:rsidRPr="00281F45">
        <w:rPr>
          <w:iCs/>
        </w:rPr>
        <w:t xml:space="preserve"> The Sub-Committee</w:t>
      </w:r>
      <w:r w:rsidR="00BA3FB8" w:rsidRPr="00281F45">
        <w:rPr>
          <w:iCs/>
        </w:rPr>
        <w:t>s</w:t>
      </w:r>
      <w:r w:rsidR="00561F16" w:rsidRPr="00281F45">
        <w:rPr>
          <w:iCs/>
        </w:rPr>
        <w:t xml:space="preserve"> considered a market share approach </w:t>
      </w:r>
      <w:r w:rsidR="00FE7FEE" w:rsidRPr="00281F45">
        <w:rPr>
          <w:iCs/>
        </w:rPr>
        <w:t>based on</w:t>
      </w:r>
      <w:r w:rsidR="00561F16" w:rsidRPr="00281F45">
        <w:rPr>
          <w:iCs/>
        </w:rPr>
        <w:t xml:space="preserve"> </w:t>
      </w:r>
      <w:r w:rsidR="000F3277" w:rsidRPr="00281F45">
        <w:rPr>
          <w:iCs/>
        </w:rPr>
        <w:t xml:space="preserve">the actual number of treated </w:t>
      </w:r>
      <w:r w:rsidR="00561F16" w:rsidRPr="00281F45">
        <w:rPr>
          <w:iCs/>
        </w:rPr>
        <w:t>prevalent patient</w:t>
      </w:r>
      <w:r w:rsidR="00E648DF" w:rsidRPr="00281F45">
        <w:rPr>
          <w:iCs/>
        </w:rPr>
        <w:t xml:space="preserve">s </w:t>
      </w:r>
      <w:r w:rsidR="00545F77" w:rsidRPr="00281F45">
        <w:rPr>
          <w:iCs/>
        </w:rPr>
        <w:t>supplied</w:t>
      </w:r>
      <w:r w:rsidR="00E648DF" w:rsidRPr="00281F45">
        <w:rPr>
          <w:iCs/>
        </w:rPr>
        <w:t xml:space="preserve"> triple therapy</w:t>
      </w:r>
      <w:r w:rsidR="00D07902" w:rsidRPr="00281F45">
        <w:rPr>
          <w:iCs/>
        </w:rPr>
        <w:t xml:space="preserve"> would </w:t>
      </w:r>
      <w:r w:rsidR="0051333C" w:rsidRPr="00281F45">
        <w:rPr>
          <w:iCs/>
        </w:rPr>
        <w:t>likely</w:t>
      </w:r>
      <w:r w:rsidR="00690C01" w:rsidRPr="00281F45">
        <w:rPr>
          <w:iCs/>
        </w:rPr>
        <w:t xml:space="preserve"> </w:t>
      </w:r>
      <w:r w:rsidR="0051333C" w:rsidRPr="00281F45">
        <w:rPr>
          <w:iCs/>
        </w:rPr>
        <w:t>provide more certain estimates</w:t>
      </w:r>
      <w:r w:rsidR="00470FC6" w:rsidRPr="00281F45">
        <w:rPr>
          <w:iCs/>
        </w:rPr>
        <w:t xml:space="preserve"> </w:t>
      </w:r>
      <w:r w:rsidR="004D6B9D" w:rsidRPr="00281F45">
        <w:rPr>
          <w:iCs/>
        </w:rPr>
        <w:t>for</w:t>
      </w:r>
      <w:r w:rsidR="00470FC6" w:rsidRPr="00281F45">
        <w:rPr>
          <w:iCs/>
        </w:rPr>
        <w:t xml:space="preserve"> the </w:t>
      </w:r>
      <w:r w:rsidR="004D6B9D" w:rsidRPr="00281F45">
        <w:rPr>
          <w:iCs/>
        </w:rPr>
        <w:t xml:space="preserve">utilisation of the single inhaler triple therapies. </w:t>
      </w:r>
      <w:r w:rsidR="00BC0738" w:rsidRPr="00281F45">
        <w:rPr>
          <w:iCs/>
        </w:rPr>
        <w:t xml:space="preserve">The Sub-Committees noted that there would also be an additional </w:t>
      </w:r>
      <w:r w:rsidR="00E37615" w:rsidRPr="00281F45">
        <w:rPr>
          <w:iCs/>
        </w:rPr>
        <w:t xml:space="preserve">open triple </w:t>
      </w:r>
      <w:r w:rsidR="001D5501" w:rsidRPr="00281F45">
        <w:rPr>
          <w:iCs/>
        </w:rPr>
        <w:t xml:space="preserve">inhaled </w:t>
      </w:r>
      <w:r w:rsidR="00E37615" w:rsidRPr="00281F45">
        <w:rPr>
          <w:iCs/>
        </w:rPr>
        <w:t xml:space="preserve">therapy </w:t>
      </w:r>
      <w:r w:rsidR="00BC0738" w:rsidRPr="00281F45">
        <w:rPr>
          <w:iCs/>
        </w:rPr>
        <w:t>population</w:t>
      </w:r>
      <w:r w:rsidR="00561F16" w:rsidRPr="00281F45">
        <w:rPr>
          <w:iCs/>
        </w:rPr>
        <w:t xml:space="preserve">. </w:t>
      </w:r>
      <w:r w:rsidR="00C12D3C" w:rsidRPr="00281F45">
        <w:rPr>
          <w:iCs/>
          <w:snapToGrid w:val="0"/>
        </w:rPr>
        <w:t xml:space="preserve"> </w:t>
      </w:r>
    </w:p>
    <w:p w14:paraId="1777FCF8" w14:textId="4A594A9E" w:rsidR="00D11507" w:rsidRPr="000717E1" w:rsidRDefault="00D11507">
      <w:pPr>
        <w:jc w:val="left"/>
        <w:rPr>
          <w:rFonts w:ascii="Arial Narrow" w:hAnsi="Arial Narrow"/>
          <w:b/>
          <w:bCs/>
          <w:snapToGrid w:val="0"/>
          <w:sz w:val="20"/>
          <w:szCs w:val="20"/>
        </w:rPr>
      </w:pPr>
      <w:bookmarkStart w:id="101" w:name="_Ref221787710"/>
    </w:p>
    <w:p w14:paraId="04851955" w14:textId="5164D2AA" w:rsidR="000752E2" w:rsidRPr="000717E1" w:rsidRDefault="00281F45" w:rsidP="000752E2">
      <w:pPr>
        <w:spacing w:after="120"/>
        <w:contextualSpacing/>
        <w:rPr>
          <w:rFonts w:ascii="Arial Narrow" w:hAnsi="Arial Narrow"/>
          <w:b/>
          <w:bCs/>
          <w:snapToGrid w:val="0"/>
          <w:sz w:val="20"/>
          <w:szCs w:val="20"/>
        </w:rPr>
      </w:pPr>
      <w:bookmarkStart w:id="102" w:name="_Ref225427706"/>
      <w:bookmarkEnd w:id="101"/>
      <w:r w:rsidRPr="00281F45">
        <w:rPr>
          <w:rFonts w:ascii="Arial Narrow" w:hAnsi="Arial Narrow"/>
          <w:b/>
          <w:bCs/>
          <w:snapToGrid w:val="0"/>
          <w:sz w:val="20"/>
          <w:szCs w:val="20"/>
        </w:rPr>
        <w:t xml:space="preserve">Table </w:t>
      </w:r>
      <w:r w:rsidRPr="00281F45">
        <w:rPr>
          <w:rFonts w:ascii="Arial Narrow" w:hAnsi="Arial Narrow"/>
          <w:b/>
          <w:bCs/>
          <w:snapToGrid w:val="0"/>
          <w:sz w:val="20"/>
          <w:szCs w:val="20"/>
        </w:rPr>
        <w:fldChar w:fldCharType="begin"/>
      </w:r>
      <w:r w:rsidRPr="00281F45">
        <w:rPr>
          <w:rFonts w:ascii="Arial Narrow" w:hAnsi="Arial Narrow"/>
          <w:b/>
          <w:bCs/>
          <w:snapToGrid w:val="0"/>
          <w:sz w:val="20"/>
          <w:szCs w:val="20"/>
        </w:rPr>
        <w:instrText xml:space="preserve"> SEQ Table \* ARABIC </w:instrText>
      </w:r>
      <w:r w:rsidRPr="00281F45">
        <w:rPr>
          <w:rFonts w:ascii="Arial Narrow" w:hAnsi="Arial Narrow"/>
          <w:b/>
          <w:bCs/>
          <w:snapToGrid w:val="0"/>
          <w:sz w:val="20"/>
          <w:szCs w:val="20"/>
        </w:rPr>
        <w:fldChar w:fldCharType="separate"/>
      </w:r>
      <w:r w:rsidR="00025BCE">
        <w:rPr>
          <w:rFonts w:ascii="Arial Narrow" w:hAnsi="Arial Narrow"/>
          <w:b/>
          <w:bCs/>
          <w:noProof/>
          <w:snapToGrid w:val="0"/>
          <w:sz w:val="20"/>
          <w:szCs w:val="20"/>
        </w:rPr>
        <w:t>19</w:t>
      </w:r>
      <w:r w:rsidRPr="00281F45">
        <w:rPr>
          <w:rFonts w:ascii="Arial Narrow" w:hAnsi="Arial Narrow"/>
          <w:b/>
          <w:bCs/>
          <w:snapToGrid w:val="0"/>
          <w:sz w:val="20"/>
          <w:szCs w:val="20"/>
        </w:rPr>
        <w:fldChar w:fldCharType="end"/>
      </w:r>
      <w:bookmarkEnd w:id="102"/>
      <w:r w:rsidRPr="00281F45">
        <w:rPr>
          <w:rFonts w:ascii="Arial Narrow" w:hAnsi="Arial Narrow"/>
          <w:b/>
          <w:bCs/>
          <w:snapToGrid w:val="0"/>
          <w:sz w:val="20"/>
          <w:szCs w:val="20"/>
        </w:rPr>
        <w:t xml:space="preserve">: </w:t>
      </w:r>
      <w:r w:rsidR="000752E2" w:rsidRPr="000717E1">
        <w:rPr>
          <w:rFonts w:ascii="Arial Narrow" w:hAnsi="Arial Narrow"/>
          <w:b/>
          <w:bCs/>
          <w:snapToGrid w:val="0"/>
          <w:sz w:val="20"/>
          <w:szCs w:val="20"/>
        </w:rPr>
        <w:t>Number of incident and prevalent patients, and scripts for PBS listed single inhaler triple therapies for COPD</w:t>
      </w:r>
    </w:p>
    <w:tbl>
      <w:tblPr>
        <w:tblStyle w:val="TableGrid"/>
        <w:tblW w:w="0" w:type="auto"/>
        <w:tblLook w:val="04A0" w:firstRow="1" w:lastRow="0" w:firstColumn="1" w:lastColumn="0" w:noHBand="0" w:noVBand="1"/>
        <w:tblCaption w:val="Table 19: Number of incident and prevalent patients, and scripts for PBS listed single inhaler triple therapies for COPD"/>
      </w:tblPr>
      <w:tblGrid>
        <w:gridCol w:w="3679"/>
        <w:gridCol w:w="2058"/>
        <w:gridCol w:w="1828"/>
        <w:gridCol w:w="1445"/>
      </w:tblGrid>
      <w:tr w:rsidR="008C3527" w:rsidRPr="000717E1" w14:paraId="175622C8" w14:textId="77777777">
        <w:trPr>
          <w:trHeight w:val="255"/>
        </w:trPr>
        <w:tc>
          <w:tcPr>
            <w:tcW w:w="3679" w:type="dxa"/>
            <w:noWrap/>
            <w:hideMark/>
          </w:tcPr>
          <w:p w14:paraId="012976AC" w14:textId="77777777" w:rsidR="000752E2" w:rsidRPr="000717E1" w:rsidRDefault="000752E2">
            <w:pPr>
              <w:spacing w:after="120"/>
              <w:contextualSpacing/>
              <w:rPr>
                <w:rFonts w:ascii="Arial Narrow" w:hAnsi="Arial Narrow"/>
                <w:b/>
                <w:snapToGrid w:val="0"/>
                <w:sz w:val="20"/>
                <w:szCs w:val="20"/>
              </w:rPr>
            </w:pPr>
            <w:r w:rsidRPr="000717E1">
              <w:rPr>
                <w:rFonts w:ascii="Arial Narrow" w:hAnsi="Arial Narrow"/>
                <w:b/>
                <w:bCs/>
                <w:snapToGrid w:val="0"/>
                <w:sz w:val="20"/>
                <w:szCs w:val="20"/>
              </w:rPr>
              <w:t>Year/Drug/Item Code</w:t>
            </w:r>
          </w:p>
        </w:tc>
        <w:tc>
          <w:tcPr>
            <w:tcW w:w="2058" w:type="dxa"/>
            <w:noWrap/>
            <w:hideMark/>
          </w:tcPr>
          <w:p w14:paraId="2EBA5F14" w14:textId="77777777" w:rsidR="000752E2" w:rsidRPr="000717E1" w:rsidRDefault="000752E2">
            <w:pPr>
              <w:spacing w:after="120"/>
              <w:contextualSpacing/>
              <w:jc w:val="center"/>
              <w:rPr>
                <w:rFonts w:ascii="Arial Narrow" w:hAnsi="Arial Narrow"/>
                <w:b/>
                <w:snapToGrid w:val="0"/>
                <w:sz w:val="20"/>
                <w:szCs w:val="20"/>
              </w:rPr>
            </w:pPr>
            <w:r w:rsidRPr="000717E1">
              <w:rPr>
                <w:rFonts w:ascii="Arial Narrow" w:hAnsi="Arial Narrow"/>
                <w:b/>
                <w:snapToGrid w:val="0"/>
                <w:sz w:val="20"/>
                <w:szCs w:val="20"/>
              </w:rPr>
              <w:t>Incident patients</w:t>
            </w:r>
          </w:p>
        </w:tc>
        <w:tc>
          <w:tcPr>
            <w:tcW w:w="1828" w:type="dxa"/>
            <w:noWrap/>
            <w:hideMark/>
          </w:tcPr>
          <w:p w14:paraId="3EDE5DC1" w14:textId="77777777" w:rsidR="000752E2" w:rsidRPr="000717E1" w:rsidRDefault="000752E2">
            <w:pPr>
              <w:spacing w:after="120"/>
              <w:contextualSpacing/>
              <w:jc w:val="center"/>
              <w:rPr>
                <w:rFonts w:ascii="Arial Narrow" w:hAnsi="Arial Narrow"/>
                <w:b/>
                <w:snapToGrid w:val="0"/>
                <w:sz w:val="20"/>
                <w:szCs w:val="20"/>
              </w:rPr>
            </w:pPr>
            <w:r w:rsidRPr="000717E1">
              <w:rPr>
                <w:rFonts w:ascii="Arial Narrow" w:hAnsi="Arial Narrow"/>
                <w:b/>
                <w:snapToGrid w:val="0"/>
                <w:sz w:val="20"/>
                <w:szCs w:val="20"/>
              </w:rPr>
              <w:t>Prevalent patients</w:t>
            </w:r>
          </w:p>
        </w:tc>
        <w:tc>
          <w:tcPr>
            <w:tcW w:w="1445" w:type="dxa"/>
            <w:noWrap/>
            <w:hideMark/>
          </w:tcPr>
          <w:p w14:paraId="73BF9222" w14:textId="77777777" w:rsidR="000752E2" w:rsidRPr="000717E1" w:rsidRDefault="000752E2">
            <w:pPr>
              <w:spacing w:after="120"/>
              <w:contextualSpacing/>
              <w:jc w:val="center"/>
              <w:rPr>
                <w:rFonts w:ascii="Arial Narrow" w:hAnsi="Arial Narrow"/>
                <w:b/>
                <w:snapToGrid w:val="0"/>
                <w:sz w:val="20"/>
                <w:szCs w:val="20"/>
              </w:rPr>
            </w:pPr>
            <w:r w:rsidRPr="000717E1">
              <w:rPr>
                <w:rFonts w:ascii="Arial Narrow" w:hAnsi="Arial Narrow"/>
                <w:b/>
                <w:snapToGrid w:val="0"/>
                <w:sz w:val="20"/>
                <w:szCs w:val="20"/>
              </w:rPr>
              <w:t>Scripts</w:t>
            </w:r>
          </w:p>
        </w:tc>
      </w:tr>
      <w:tr w:rsidR="008C3527" w:rsidRPr="000717E1" w14:paraId="2A72B1ED" w14:textId="77777777">
        <w:trPr>
          <w:trHeight w:val="255"/>
        </w:trPr>
        <w:tc>
          <w:tcPr>
            <w:tcW w:w="3679" w:type="dxa"/>
            <w:noWrap/>
            <w:hideMark/>
          </w:tcPr>
          <w:p w14:paraId="5E811305" w14:textId="77777777" w:rsidR="000752E2" w:rsidRPr="000717E1" w:rsidRDefault="000752E2">
            <w:pPr>
              <w:spacing w:after="120"/>
              <w:contextualSpacing/>
              <w:rPr>
                <w:rFonts w:ascii="Arial Narrow" w:hAnsi="Arial Narrow"/>
                <w:b/>
                <w:snapToGrid w:val="0"/>
                <w:sz w:val="20"/>
                <w:szCs w:val="20"/>
              </w:rPr>
            </w:pPr>
            <w:r w:rsidRPr="000717E1">
              <w:rPr>
                <w:rFonts w:ascii="Arial Narrow" w:hAnsi="Arial Narrow"/>
                <w:b/>
                <w:bCs/>
                <w:snapToGrid w:val="0"/>
                <w:sz w:val="20"/>
                <w:szCs w:val="20"/>
              </w:rPr>
              <w:t xml:space="preserve">Total </w:t>
            </w:r>
            <w:r w:rsidRPr="000717E1">
              <w:rPr>
                <w:rFonts w:ascii="Arial Narrow" w:hAnsi="Arial Narrow"/>
                <w:b/>
                <w:snapToGrid w:val="0"/>
                <w:sz w:val="20"/>
                <w:szCs w:val="20"/>
              </w:rPr>
              <w:t>2023</w:t>
            </w:r>
          </w:p>
        </w:tc>
        <w:tc>
          <w:tcPr>
            <w:tcW w:w="2058" w:type="dxa"/>
            <w:noWrap/>
            <w:hideMark/>
          </w:tcPr>
          <w:p w14:paraId="18C381C8" w14:textId="77777777" w:rsidR="000752E2" w:rsidRPr="000717E1" w:rsidRDefault="000752E2">
            <w:pPr>
              <w:spacing w:after="120"/>
              <w:contextualSpacing/>
              <w:jc w:val="center"/>
              <w:rPr>
                <w:rFonts w:ascii="Arial Narrow" w:hAnsi="Arial Narrow"/>
                <w:b/>
                <w:snapToGrid w:val="0"/>
                <w:sz w:val="20"/>
                <w:szCs w:val="20"/>
              </w:rPr>
            </w:pPr>
            <w:r w:rsidRPr="000717E1">
              <w:rPr>
                <w:rFonts w:ascii="Arial Narrow" w:hAnsi="Arial Narrow"/>
                <w:b/>
                <w:snapToGrid w:val="0"/>
                <w:sz w:val="20"/>
                <w:szCs w:val="20"/>
              </w:rPr>
              <w:t>46,654</w:t>
            </w:r>
          </w:p>
        </w:tc>
        <w:tc>
          <w:tcPr>
            <w:tcW w:w="1828" w:type="dxa"/>
            <w:noWrap/>
            <w:hideMark/>
          </w:tcPr>
          <w:p w14:paraId="1F569CC4" w14:textId="77777777" w:rsidR="000752E2" w:rsidRPr="000717E1" w:rsidRDefault="000752E2">
            <w:pPr>
              <w:spacing w:after="120"/>
              <w:contextualSpacing/>
              <w:jc w:val="center"/>
              <w:rPr>
                <w:rFonts w:ascii="Arial Narrow" w:hAnsi="Arial Narrow"/>
                <w:b/>
                <w:snapToGrid w:val="0"/>
                <w:sz w:val="20"/>
                <w:szCs w:val="20"/>
              </w:rPr>
            </w:pPr>
            <w:r w:rsidRPr="000717E1">
              <w:rPr>
                <w:rFonts w:ascii="Arial Narrow" w:hAnsi="Arial Narrow"/>
                <w:b/>
                <w:snapToGrid w:val="0"/>
                <w:sz w:val="20"/>
                <w:szCs w:val="20"/>
              </w:rPr>
              <w:t>138,169</w:t>
            </w:r>
          </w:p>
        </w:tc>
        <w:tc>
          <w:tcPr>
            <w:tcW w:w="1445" w:type="dxa"/>
            <w:noWrap/>
            <w:hideMark/>
          </w:tcPr>
          <w:p w14:paraId="58C8CD24" w14:textId="77777777" w:rsidR="000752E2" w:rsidRPr="000717E1" w:rsidRDefault="000752E2">
            <w:pPr>
              <w:spacing w:after="120"/>
              <w:contextualSpacing/>
              <w:jc w:val="center"/>
              <w:rPr>
                <w:rFonts w:ascii="Arial Narrow" w:hAnsi="Arial Narrow"/>
                <w:b/>
                <w:snapToGrid w:val="0"/>
                <w:sz w:val="20"/>
                <w:szCs w:val="20"/>
              </w:rPr>
            </w:pPr>
            <w:r w:rsidRPr="000717E1">
              <w:rPr>
                <w:rFonts w:ascii="Arial Narrow" w:hAnsi="Arial Narrow"/>
                <w:b/>
                <w:snapToGrid w:val="0"/>
                <w:sz w:val="20"/>
                <w:szCs w:val="20"/>
              </w:rPr>
              <w:t>857,453</w:t>
            </w:r>
          </w:p>
        </w:tc>
      </w:tr>
      <w:tr w:rsidR="008C3527" w:rsidRPr="001F3F0F" w14:paraId="7565E50C" w14:textId="77777777">
        <w:trPr>
          <w:trHeight w:val="255"/>
        </w:trPr>
        <w:tc>
          <w:tcPr>
            <w:tcW w:w="3679" w:type="dxa"/>
            <w:noWrap/>
            <w:hideMark/>
          </w:tcPr>
          <w:p w14:paraId="0D208E64" w14:textId="7DFB6B16" w:rsidR="000752E2" w:rsidRPr="001F3F0F" w:rsidRDefault="000752E2">
            <w:pPr>
              <w:spacing w:after="120"/>
              <w:contextualSpacing/>
              <w:rPr>
                <w:rFonts w:ascii="Arial Narrow" w:hAnsi="Arial Narrow"/>
                <w:snapToGrid w:val="0"/>
                <w:sz w:val="20"/>
                <w:szCs w:val="20"/>
              </w:rPr>
            </w:pPr>
            <w:r w:rsidRPr="001F3F0F">
              <w:rPr>
                <w:rFonts w:ascii="Arial Narrow" w:hAnsi="Arial Narrow"/>
                <w:snapToGrid w:val="0"/>
                <w:sz w:val="20"/>
                <w:szCs w:val="20"/>
              </w:rPr>
              <w:t>Beclometasone + formoterol + glycopyrronium (item code 12468F)</w:t>
            </w:r>
          </w:p>
        </w:tc>
        <w:tc>
          <w:tcPr>
            <w:tcW w:w="2058" w:type="dxa"/>
            <w:noWrap/>
            <w:hideMark/>
          </w:tcPr>
          <w:p w14:paraId="35035C22" w14:textId="77777777" w:rsidR="000752E2" w:rsidRPr="001F3F0F" w:rsidRDefault="000752E2">
            <w:pPr>
              <w:spacing w:after="120"/>
              <w:contextualSpacing/>
              <w:jc w:val="center"/>
              <w:rPr>
                <w:rFonts w:ascii="Arial Narrow" w:hAnsi="Arial Narrow"/>
                <w:snapToGrid w:val="0"/>
                <w:sz w:val="20"/>
                <w:szCs w:val="20"/>
              </w:rPr>
            </w:pPr>
            <w:r w:rsidRPr="001F3F0F">
              <w:rPr>
                <w:rFonts w:ascii="Arial Narrow" w:hAnsi="Arial Narrow"/>
                <w:snapToGrid w:val="0"/>
                <w:sz w:val="20"/>
                <w:szCs w:val="20"/>
              </w:rPr>
              <w:t>11,133</w:t>
            </w:r>
          </w:p>
        </w:tc>
        <w:tc>
          <w:tcPr>
            <w:tcW w:w="1828" w:type="dxa"/>
            <w:noWrap/>
            <w:hideMark/>
          </w:tcPr>
          <w:p w14:paraId="5CF25AF8" w14:textId="77777777" w:rsidR="000752E2" w:rsidRPr="001F3F0F" w:rsidRDefault="000752E2">
            <w:pPr>
              <w:spacing w:after="120"/>
              <w:contextualSpacing/>
              <w:jc w:val="center"/>
              <w:rPr>
                <w:rFonts w:ascii="Arial Narrow" w:hAnsi="Arial Narrow"/>
                <w:snapToGrid w:val="0"/>
                <w:sz w:val="20"/>
                <w:szCs w:val="20"/>
              </w:rPr>
            </w:pPr>
            <w:r w:rsidRPr="001F3F0F">
              <w:rPr>
                <w:rFonts w:ascii="Arial Narrow" w:hAnsi="Arial Narrow"/>
                <w:snapToGrid w:val="0"/>
                <w:sz w:val="20"/>
                <w:szCs w:val="20"/>
              </w:rPr>
              <w:t>27,473</w:t>
            </w:r>
          </w:p>
        </w:tc>
        <w:tc>
          <w:tcPr>
            <w:tcW w:w="1445" w:type="dxa"/>
            <w:noWrap/>
            <w:hideMark/>
          </w:tcPr>
          <w:p w14:paraId="5898B508" w14:textId="77777777" w:rsidR="000752E2" w:rsidRPr="001F3F0F" w:rsidRDefault="000752E2">
            <w:pPr>
              <w:spacing w:after="120"/>
              <w:contextualSpacing/>
              <w:jc w:val="center"/>
              <w:rPr>
                <w:rFonts w:ascii="Arial Narrow" w:hAnsi="Arial Narrow"/>
                <w:snapToGrid w:val="0"/>
                <w:sz w:val="20"/>
                <w:szCs w:val="20"/>
              </w:rPr>
            </w:pPr>
            <w:r w:rsidRPr="001F3F0F">
              <w:rPr>
                <w:rFonts w:ascii="Arial Narrow" w:hAnsi="Arial Narrow"/>
                <w:snapToGrid w:val="0"/>
                <w:sz w:val="20"/>
                <w:szCs w:val="20"/>
              </w:rPr>
              <w:t>148,005</w:t>
            </w:r>
          </w:p>
        </w:tc>
      </w:tr>
      <w:tr w:rsidR="008C3527" w:rsidRPr="001F3F0F" w14:paraId="1E0D4AF0" w14:textId="77777777">
        <w:trPr>
          <w:trHeight w:val="255"/>
        </w:trPr>
        <w:tc>
          <w:tcPr>
            <w:tcW w:w="3679" w:type="dxa"/>
            <w:noWrap/>
            <w:hideMark/>
          </w:tcPr>
          <w:p w14:paraId="6110E1D6" w14:textId="77777777" w:rsidR="000752E2" w:rsidRPr="001F3F0F" w:rsidRDefault="000752E2">
            <w:pPr>
              <w:spacing w:after="120"/>
              <w:contextualSpacing/>
              <w:rPr>
                <w:rFonts w:ascii="Arial Narrow" w:hAnsi="Arial Narrow"/>
                <w:snapToGrid w:val="0"/>
                <w:sz w:val="20"/>
                <w:szCs w:val="20"/>
              </w:rPr>
            </w:pPr>
            <w:r w:rsidRPr="001F3F0F">
              <w:rPr>
                <w:rFonts w:ascii="Arial Narrow" w:hAnsi="Arial Narrow"/>
                <w:snapToGrid w:val="0"/>
                <w:sz w:val="20"/>
                <w:szCs w:val="20"/>
              </w:rPr>
              <w:t>Budesonide + glycopyrronium + formoterol (item code 12672Y)</w:t>
            </w:r>
          </w:p>
        </w:tc>
        <w:tc>
          <w:tcPr>
            <w:tcW w:w="2058" w:type="dxa"/>
            <w:noWrap/>
            <w:hideMark/>
          </w:tcPr>
          <w:p w14:paraId="5FB4BEE9" w14:textId="77777777" w:rsidR="000752E2" w:rsidRPr="001F3F0F" w:rsidRDefault="000752E2">
            <w:pPr>
              <w:spacing w:after="120"/>
              <w:contextualSpacing/>
              <w:jc w:val="center"/>
              <w:rPr>
                <w:rFonts w:ascii="Arial Narrow" w:hAnsi="Arial Narrow"/>
                <w:snapToGrid w:val="0"/>
                <w:sz w:val="20"/>
                <w:szCs w:val="20"/>
              </w:rPr>
            </w:pPr>
            <w:r w:rsidRPr="001F3F0F">
              <w:rPr>
                <w:rFonts w:ascii="Arial Narrow" w:hAnsi="Arial Narrow"/>
                <w:snapToGrid w:val="0"/>
                <w:sz w:val="20"/>
                <w:szCs w:val="20"/>
              </w:rPr>
              <w:t>10,021</w:t>
            </w:r>
          </w:p>
        </w:tc>
        <w:tc>
          <w:tcPr>
            <w:tcW w:w="1828" w:type="dxa"/>
            <w:noWrap/>
            <w:hideMark/>
          </w:tcPr>
          <w:p w14:paraId="340CC743" w14:textId="77777777" w:rsidR="000752E2" w:rsidRPr="001F3F0F" w:rsidRDefault="000752E2">
            <w:pPr>
              <w:spacing w:after="120"/>
              <w:contextualSpacing/>
              <w:jc w:val="center"/>
              <w:rPr>
                <w:rFonts w:ascii="Arial Narrow" w:hAnsi="Arial Narrow"/>
                <w:snapToGrid w:val="0"/>
                <w:sz w:val="20"/>
                <w:szCs w:val="20"/>
              </w:rPr>
            </w:pPr>
            <w:r w:rsidRPr="001F3F0F">
              <w:rPr>
                <w:rFonts w:ascii="Arial Narrow" w:hAnsi="Arial Narrow"/>
                <w:snapToGrid w:val="0"/>
                <w:sz w:val="20"/>
                <w:szCs w:val="20"/>
              </w:rPr>
              <w:t>20,164</w:t>
            </w:r>
          </w:p>
        </w:tc>
        <w:tc>
          <w:tcPr>
            <w:tcW w:w="1445" w:type="dxa"/>
            <w:noWrap/>
            <w:hideMark/>
          </w:tcPr>
          <w:p w14:paraId="69452E47" w14:textId="77777777" w:rsidR="000752E2" w:rsidRPr="001F3F0F" w:rsidRDefault="000752E2">
            <w:pPr>
              <w:spacing w:after="120"/>
              <w:contextualSpacing/>
              <w:jc w:val="center"/>
              <w:rPr>
                <w:rFonts w:ascii="Arial Narrow" w:hAnsi="Arial Narrow"/>
                <w:snapToGrid w:val="0"/>
                <w:sz w:val="20"/>
                <w:szCs w:val="20"/>
              </w:rPr>
            </w:pPr>
            <w:r w:rsidRPr="001F3F0F">
              <w:rPr>
                <w:rFonts w:ascii="Arial Narrow" w:hAnsi="Arial Narrow"/>
                <w:snapToGrid w:val="0"/>
                <w:sz w:val="20"/>
                <w:szCs w:val="20"/>
              </w:rPr>
              <w:t>100,709</w:t>
            </w:r>
          </w:p>
        </w:tc>
      </w:tr>
      <w:tr w:rsidR="008C3527" w:rsidRPr="001F3F0F" w14:paraId="0FD701E3" w14:textId="77777777">
        <w:trPr>
          <w:trHeight w:val="255"/>
        </w:trPr>
        <w:tc>
          <w:tcPr>
            <w:tcW w:w="3679" w:type="dxa"/>
            <w:noWrap/>
            <w:hideMark/>
          </w:tcPr>
          <w:p w14:paraId="7F00974D" w14:textId="77777777" w:rsidR="000752E2" w:rsidRPr="001F3F0F" w:rsidRDefault="000752E2">
            <w:pPr>
              <w:spacing w:after="120"/>
              <w:contextualSpacing/>
              <w:rPr>
                <w:rFonts w:ascii="Arial Narrow" w:hAnsi="Arial Narrow"/>
                <w:snapToGrid w:val="0"/>
                <w:sz w:val="20"/>
                <w:szCs w:val="20"/>
              </w:rPr>
            </w:pPr>
            <w:r w:rsidRPr="001F3F0F">
              <w:rPr>
                <w:rFonts w:ascii="Arial Narrow" w:hAnsi="Arial Narrow"/>
                <w:snapToGrid w:val="0"/>
                <w:sz w:val="20"/>
                <w:szCs w:val="20"/>
              </w:rPr>
              <w:t>Fluticasone furoate + umeclidinium + vilanterol (item code 11379X)</w:t>
            </w:r>
          </w:p>
        </w:tc>
        <w:tc>
          <w:tcPr>
            <w:tcW w:w="2058" w:type="dxa"/>
            <w:noWrap/>
            <w:hideMark/>
          </w:tcPr>
          <w:p w14:paraId="54B95510" w14:textId="77777777" w:rsidR="000752E2" w:rsidRPr="001F3F0F" w:rsidRDefault="000752E2">
            <w:pPr>
              <w:spacing w:after="120"/>
              <w:contextualSpacing/>
              <w:jc w:val="center"/>
              <w:rPr>
                <w:rFonts w:ascii="Arial Narrow" w:hAnsi="Arial Narrow"/>
                <w:snapToGrid w:val="0"/>
                <w:sz w:val="20"/>
                <w:szCs w:val="20"/>
              </w:rPr>
            </w:pPr>
            <w:r w:rsidRPr="001F3F0F">
              <w:rPr>
                <w:rFonts w:ascii="Arial Narrow" w:hAnsi="Arial Narrow"/>
                <w:snapToGrid w:val="0"/>
                <w:sz w:val="20"/>
                <w:szCs w:val="20"/>
              </w:rPr>
              <w:t>25,500</w:t>
            </w:r>
          </w:p>
        </w:tc>
        <w:tc>
          <w:tcPr>
            <w:tcW w:w="1828" w:type="dxa"/>
            <w:noWrap/>
            <w:hideMark/>
          </w:tcPr>
          <w:p w14:paraId="65013CD3" w14:textId="77777777" w:rsidR="000752E2" w:rsidRPr="001F3F0F" w:rsidRDefault="000752E2">
            <w:pPr>
              <w:spacing w:after="120"/>
              <w:contextualSpacing/>
              <w:jc w:val="center"/>
              <w:rPr>
                <w:rFonts w:ascii="Arial Narrow" w:hAnsi="Arial Narrow"/>
                <w:snapToGrid w:val="0"/>
                <w:sz w:val="20"/>
                <w:szCs w:val="20"/>
              </w:rPr>
            </w:pPr>
            <w:r w:rsidRPr="001F3F0F">
              <w:rPr>
                <w:rFonts w:ascii="Arial Narrow" w:hAnsi="Arial Narrow"/>
                <w:snapToGrid w:val="0"/>
                <w:sz w:val="20"/>
                <w:szCs w:val="20"/>
              </w:rPr>
              <w:t>90,532</w:t>
            </w:r>
          </w:p>
        </w:tc>
        <w:tc>
          <w:tcPr>
            <w:tcW w:w="1445" w:type="dxa"/>
            <w:noWrap/>
            <w:hideMark/>
          </w:tcPr>
          <w:p w14:paraId="7B8747B6" w14:textId="77777777" w:rsidR="000752E2" w:rsidRPr="001F3F0F" w:rsidRDefault="000752E2">
            <w:pPr>
              <w:spacing w:after="120"/>
              <w:contextualSpacing/>
              <w:jc w:val="center"/>
              <w:rPr>
                <w:rFonts w:ascii="Arial Narrow" w:hAnsi="Arial Narrow"/>
                <w:snapToGrid w:val="0"/>
                <w:sz w:val="20"/>
                <w:szCs w:val="20"/>
              </w:rPr>
            </w:pPr>
            <w:r w:rsidRPr="001F3F0F">
              <w:rPr>
                <w:rFonts w:ascii="Arial Narrow" w:hAnsi="Arial Narrow"/>
                <w:snapToGrid w:val="0"/>
                <w:sz w:val="20"/>
                <w:szCs w:val="20"/>
              </w:rPr>
              <w:t>608,739</w:t>
            </w:r>
          </w:p>
        </w:tc>
      </w:tr>
      <w:tr w:rsidR="008C3527" w:rsidRPr="000717E1" w14:paraId="5442368F" w14:textId="77777777">
        <w:trPr>
          <w:trHeight w:val="255"/>
        </w:trPr>
        <w:tc>
          <w:tcPr>
            <w:tcW w:w="3679" w:type="dxa"/>
            <w:noWrap/>
            <w:hideMark/>
          </w:tcPr>
          <w:p w14:paraId="4670232D" w14:textId="77777777" w:rsidR="000752E2" w:rsidRPr="000717E1" w:rsidRDefault="000752E2">
            <w:pPr>
              <w:spacing w:after="120"/>
              <w:contextualSpacing/>
              <w:rPr>
                <w:rFonts w:ascii="Arial Narrow" w:hAnsi="Arial Narrow"/>
                <w:b/>
                <w:snapToGrid w:val="0"/>
                <w:sz w:val="20"/>
                <w:szCs w:val="20"/>
              </w:rPr>
            </w:pPr>
            <w:r w:rsidRPr="000717E1">
              <w:rPr>
                <w:rFonts w:ascii="Arial Narrow" w:hAnsi="Arial Narrow"/>
                <w:b/>
                <w:bCs/>
                <w:snapToGrid w:val="0"/>
                <w:sz w:val="20"/>
                <w:szCs w:val="20"/>
              </w:rPr>
              <w:t xml:space="preserve">Total </w:t>
            </w:r>
            <w:r w:rsidRPr="000717E1">
              <w:rPr>
                <w:rFonts w:ascii="Arial Narrow" w:hAnsi="Arial Narrow"/>
                <w:b/>
                <w:snapToGrid w:val="0"/>
                <w:sz w:val="20"/>
                <w:szCs w:val="20"/>
              </w:rPr>
              <w:t>2024</w:t>
            </w:r>
          </w:p>
        </w:tc>
        <w:tc>
          <w:tcPr>
            <w:tcW w:w="2058" w:type="dxa"/>
            <w:noWrap/>
            <w:hideMark/>
          </w:tcPr>
          <w:p w14:paraId="57025AA6" w14:textId="77777777" w:rsidR="000752E2" w:rsidRPr="000717E1" w:rsidRDefault="000752E2">
            <w:pPr>
              <w:spacing w:after="120"/>
              <w:contextualSpacing/>
              <w:jc w:val="center"/>
              <w:rPr>
                <w:rFonts w:ascii="Arial Narrow" w:hAnsi="Arial Narrow"/>
                <w:b/>
                <w:snapToGrid w:val="0"/>
                <w:sz w:val="20"/>
                <w:szCs w:val="20"/>
              </w:rPr>
            </w:pPr>
            <w:r w:rsidRPr="000717E1">
              <w:rPr>
                <w:rFonts w:ascii="Arial Narrow" w:hAnsi="Arial Narrow"/>
                <w:b/>
                <w:snapToGrid w:val="0"/>
                <w:sz w:val="20"/>
                <w:szCs w:val="20"/>
              </w:rPr>
              <w:t>48,179</w:t>
            </w:r>
          </w:p>
        </w:tc>
        <w:tc>
          <w:tcPr>
            <w:tcW w:w="1828" w:type="dxa"/>
            <w:noWrap/>
            <w:hideMark/>
          </w:tcPr>
          <w:p w14:paraId="105C8253" w14:textId="77777777" w:rsidR="000752E2" w:rsidRPr="000717E1" w:rsidRDefault="000752E2">
            <w:pPr>
              <w:spacing w:after="120"/>
              <w:contextualSpacing/>
              <w:jc w:val="center"/>
              <w:rPr>
                <w:rFonts w:ascii="Arial Narrow" w:hAnsi="Arial Narrow"/>
                <w:b/>
                <w:snapToGrid w:val="0"/>
                <w:sz w:val="20"/>
                <w:szCs w:val="20"/>
              </w:rPr>
            </w:pPr>
            <w:r w:rsidRPr="000717E1">
              <w:rPr>
                <w:rFonts w:ascii="Arial Narrow" w:hAnsi="Arial Narrow"/>
                <w:b/>
                <w:snapToGrid w:val="0"/>
                <w:sz w:val="20"/>
                <w:szCs w:val="20"/>
              </w:rPr>
              <w:t>160,545</w:t>
            </w:r>
          </w:p>
        </w:tc>
        <w:tc>
          <w:tcPr>
            <w:tcW w:w="1445" w:type="dxa"/>
            <w:noWrap/>
            <w:hideMark/>
          </w:tcPr>
          <w:p w14:paraId="480072D5" w14:textId="77777777" w:rsidR="000752E2" w:rsidRPr="000717E1" w:rsidRDefault="000752E2">
            <w:pPr>
              <w:spacing w:after="120"/>
              <w:contextualSpacing/>
              <w:jc w:val="center"/>
              <w:rPr>
                <w:rFonts w:ascii="Arial Narrow" w:hAnsi="Arial Narrow"/>
                <w:b/>
                <w:snapToGrid w:val="0"/>
                <w:sz w:val="20"/>
                <w:szCs w:val="20"/>
              </w:rPr>
            </w:pPr>
            <w:r w:rsidRPr="000717E1">
              <w:rPr>
                <w:rFonts w:ascii="Arial Narrow" w:hAnsi="Arial Narrow"/>
                <w:b/>
                <w:snapToGrid w:val="0"/>
                <w:sz w:val="20"/>
                <w:szCs w:val="20"/>
              </w:rPr>
              <w:t>965,113</w:t>
            </w:r>
          </w:p>
        </w:tc>
      </w:tr>
      <w:tr w:rsidR="008C3527" w:rsidRPr="001F3F0F" w14:paraId="008468C2" w14:textId="77777777">
        <w:trPr>
          <w:trHeight w:val="255"/>
        </w:trPr>
        <w:tc>
          <w:tcPr>
            <w:tcW w:w="3679" w:type="dxa"/>
            <w:noWrap/>
            <w:hideMark/>
          </w:tcPr>
          <w:p w14:paraId="0B33FC58" w14:textId="77777777" w:rsidR="000752E2" w:rsidRPr="001F3F0F" w:rsidRDefault="000752E2">
            <w:pPr>
              <w:spacing w:after="120"/>
              <w:contextualSpacing/>
              <w:rPr>
                <w:rFonts w:ascii="Arial Narrow" w:hAnsi="Arial Narrow"/>
                <w:snapToGrid w:val="0"/>
                <w:sz w:val="20"/>
                <w:szCs w:val="20"/>
              </w:rPr>
            </w:pPr>
            <w:r w:rsidRPr="001F3F0F">
              <w:rPr>
                <w:rFonts w:ascii="Arial Narrow" w:hAnsi="Arial Narrow"/>
                <w:snapToGrid w:val="0"/>
                <w:sz w:val="20"/>
                <w:szCs w:val="20"/>
              </w:rPr>
              <w:t>Beclometasone + formoterol + glycopyrronium (item codes 12468F and 14310E)</w:t>
            </w:r>
          </w:p>
        </w:tc>
        <w:tc>
          <w:tcPr>
            <w:tcW w:w="2058" w:type="dxa"/>
            <w:noWrap/>
            <w:hideMark/>
          </w:tcPr>
          <w:p w14:paraId="64648120" w14:textId="77777777" w:rsidR="000752E2" w:rsidRPr="001F3F0F" w:rsidRDefault="000752E2">
            <w:pPr>
              <w:spacing w:after="120"/>
              <w:contextualSpacing/>
              <w:jc w:val="center"/>
              <w:rPr>
                <w:rFonts w:ascii="Arial Narrow" w:hAnsi="Arial Narrow"/>
                <w:snapToGrid w:val="0"/>
                <w:sz w:val="20"/>
                <w:szCs w:val="20"/>
              </w:rPr>
            </w:pPr>
            <w:r w:rsidRPr="001F3F0F">
              <w:rPr>
                <w:rFonts w:ascii="Arial Narrow" w:hAnsi="Arial Narrow"/>
                <w:snapToGrid w:val="0"/>
                <w:sz w:val="20"/>
                <w:szCs w:val="20"/>
              </w:rPr>
              <w:t>13,252</w:t>
            </w:r>
          </w:p>
        </w:tc>
        <w:tc>
          <w:tcPr>
            <w:tcW w:w="1828" w:type="dxa"/>
            <w:noWrap/>
            <w:hideMark/>
          </w:tcPr>
          <w:p w14:paraId="7EBA9B90" w14:textId="77777777" w:rsidR="000752E2" w:rsidRPr="001F3F0F" w:rsidRDefault="000752E2">
            <w:pPr>
              <w:spacing w:after="120"/>
              <w:contextualSpacing/>
              <w:jc w:val="center"/>
              <w:rPr>
                <w:rFonts w:ascii="Arial Narrow" w:hAnsi="Arial Narrow"/>
                <w:snapToGrid w:val="0"/>
                <w:sz w:val="20"/>
                <w:szCs w:val="20"/>
              </w:rPr>
            </w:pPr>
            <w:r w:rsidRPr="001F3F0F">
              <w:rPr>
                <w:rFonts w:ascii="Arial Narrow" w:hAnsi="Arial Narrow"/>
                <w:snapToGrid w:val="0"/>
                <w:sz w:val="20"/>
                <w:szCs w:val="20"/>
              </w:rPr>
              <w:t>38,054</w:t>
            </w:r>
          </w:p>
        </w:tc>
        <w:tc>
          <w:tcPr>
            <w:tcW w:w="1445" w:type="dxa"/>
            <w:noWrap/>
            <w:hideMark/>
          </w:tcPr>
          <w:p w14:paraId="57EED594" w14:textId="77777777" w:rsidR="000752E2" w:rsidRPr="001F3F0F" w:rsidRDefault="000752E2">
            <w:pPr>
              <w:spacing w:after="120"/>
              <w:contextualSpacing/>
              <w:jc w:val="center"/>
              <w:rPr>
                <w:rFonts w:ascii="Arial Narrow" w:hAnsi="Arial Narrow"/>
                <w:snapToGrid w:val="0"/>
                <w:sz w:val="20"/>
                <w:szCs w:val="20"/>
              </w:rPr>
            </w:pPr>
            <w:r w:rsidRPr="001F3F0F">
              <w:rPr>
                <w:rFonts w:ascii="Arial Narrow" w:hAnsi="Arial Narrow"/>
                <w:snapToGrid w:val="0"/>
                <w:sz w:val="20"/>
                <w:szCs w:val="20"/>
              </w:rPr>
              <w:t>202,852</w:t>
            </w:r>
          </w:p>
        </w:tc>
      </w:tr>
      <w:tr w:rsidR="008C3527" w:rsidRPr="001F3F0F" w14:paraId="5E8E233C" w14:textId="77777777">
        <w:trPr>
          <w:trHeight w:val="255"/>
        </w:trPr>
        <w:tc>
          <w:tcPr>
            <w:tcW w:w="3679" w:type="dxa"/>
            <w:noWrap/>
            <w:hideMark/>
          </w:tcPr>
          <w:p w14:paraId="72B393B8" w14:textId="77777777" w:rsidR="000752E2" w:rsidRPr="001F3F0F" w:rsidRDefault="000752E2">
            <w:pPr>
              <w:spacing w:after="120"/>
              <w:contextualSpacing/>
              <w:rPr>
                <w:rFonts w:ascii="Arial Narrow" w:hAnsi="Arial Narrow"/>
                <w:snapToGrid w:val="0"/>
                <w:sz w:val="20"/>
                <w:szCs w:val="20"/>
              </w:rPr>
            </w:pPr>
            <w:r w:rsidRPr="001F3F0F">
              <w:rPr>
                <w:rFonts w:ascii="Arial Narrow" w:hAnsi="Arial Narrow"/>
                <w:snapToGrid w:val="0"/>
                <w:sz w:val="20"/>
                <w:szCs w:val="20"/>
              </w:rPr>
              <w:t>Budesonide + glycopyrronium + formoterol (item codes 12672Y and 14536C)</w:t>
            </w:r>
          </w:p>
        </w:tc>
        <w:tc>
          <w:tcPr>
            <w:tcW w:w="2058" w:type="dxa"/>
            <w:noWrap/>
            <w:hideMark/>
          </w:tcPr>
          <w:p w14:paraId="6E36F15A" w14:textId="77777777" w:rsidR="000752E2" w:rsidRPr="001F3F0F" w:rsidRDefault="000752E2">
            <w:pPr>
              <w:spacing w:after="120"/>
              <w:contextualSpacing/>
              <w:jc w:val="center"/>
              <w:rPr>
                <w:rFonts w:ascii="Arial Narrow" w:hAnsi="Arial Narrow"/>
                <w:snapToGrid w:val="0"/>
                <w:sz w:val="20"/>
                <w:szCs w:val="20"/>
              </w:rPr>
            </w:pPr>
            <w:r w:rsidRPr="001F3F0F">
              <w:rPr>
                <w:rFonts w:ascii="Arial Narrow" w:hAnsi="Arial Narrow"/>
                <w:snapToGrid w:val="0"/>
                <w:sz w:val="20"/>
                <w:szCs w:val="20"/>
              </w:rPr>
              <w:t>11,601</w:t>
            </w:r>
          </w:p>
        </w:tc>
        <w:tc>
          <w:tcPr>
            <w:tcW w:w="1828" w:type="dxa"/>
            <w:noWrap/>
            <w:hideMark/>
          </w:tcPr>
          <w:p w14:paraId="4CD60AA5" w14:textId="77777777" w:rsidR="000752E2" w:rsidRPr="001F3F0F" w:rsidRDefault="000752E2">
            <w:pPr>
              <w:spacing w:after="120"/>
              <w:contextualSpacing/>
              <w:jc w:val="center"/>
              <w:rPr>
                <w:rFonts w:ascii="Arial Narrow" w:hAnsi="Arial Narrow"/>
                <w:snapToGrid w:val="0"/>
                <w:sz w:val="20"/>
                <w:szCs w:val="20"/>
              </w:rPr>
            </w:pPr>
            <w:r w:rsidRPr="001F3F0F">
              <w:rPr>
                <w:rFonts w:ascii="Arial Narrow" w:hAnsi="Arial Narrow"/>
                <w:snapToGrid w:val="0"/>
                <w:sz w:val="20"/>
                <w:szCs w:val="20"/>
              </w:rPr>
              <w:t>29,945</w:t>
            </w:r>
          </w:p>
        </w:tc>
        <w:tc>
          <w:tcPr>
            <w:tcW w:w="1445" w:type="dxa"/>
            <w:noWrap/>
            <w:hideMark/>
          </w:tcPr>
          <w:p w14:paraId="4A634D02" w14:textId="77777777" w:rsidR="000752E2" w:rsidRPr="001F3F0F" w:rsidRDefault="000752E2">
            <w:pPr>
              <w:spacing w:after="120"/>
              <w:contextualSpacing/>
              <w:jc w:val="center"/>
              <w:rPr>
                <w:rFonts w:ascii="Arial Narrow" w:hAnsi="Arial Narrow"/>
                <w:snapToGrid w:val="0"/>
                <w:sz w:val="20"/>
                <w:szCs w:val="20"/>
              </w:rPr>
            </w:pPr>
            <w:r w:rsidRPr="001F3F0F">
              <w:rPr>
                <w:rFonts w:ascii="Arial Narrow" w:hAnsi="Arial Narrow"/>
                <w:snapToGrid w:val="0"/>
                <w:sz w:val="20"/>
                <w:szCs w:val="20"/>
              </w:rPr>
              <w:t>155,633</w:t>
            </w:r>
          </w:p>
        </w:tc>
      </w:tr>
      <w:tr w:rsidR="008C3527" w:rsidRPr="001F3F0F" w14:paraId="67415887" w14:textId="77777777">
        <w:trPr>
          <w:trHeight w:val="255"/>
        </w:trPr>
        <w:tc>
          <w:tcPr>
            <w:tcW w:w="3679" w:type="dxa"/>
            <w:noWrap/>
            <w:hideMark/>
          </w:tcPr>
          <w:p w14:paraId="0DEAA904" w14:textId="77777777" w:rsidR="000752E2" w:rsidRPr="001F3F0F" w:rsidRDefault="000752E2">
            <w:pPr>
              <w:spacing w:after="120"/>
              <w:contextualSpacing/>
              <w:rPr>
                <w:rFonts w:ascii="Arial Narrow" w:hAnsi="Arial Narrow"/>
                <w:snapToGrid w:val="0"/>
                <w:sz w:val="20"/>
                <w:szCs w:val="20"/>
              </w:rPr>
            </w:pPr>
            <w:r w:rsidRPr="001F3F0F">
              <w:rPr>
                <w:rFonts w:ascii="Arial Narrow" w:hAnsi="Arial Narrow"/>
                <w:snapToGrid w:val="0"/>
                <w:sz w:val="20"/>
                <w:szCs w:val="20"/>
              </w:rPr>
              <w:t>Fluticasone furoate + umeclidinium + vilanterol (item codes 11379X and 14346C)</w:t>
            </w:r>
          </w:p>
        </w:tc>
        <w:tc>
          <w:tcPr>
            <w:tcW w:w="2058" w:type="dxa"/>
            <w:noWrap/>
            <w:hideMark/>
          </w:tcPr>
          <w:p w14:paraId="7E62A75C" w14:textId="77777777" w:rsidR="000752E2" w:rsidRPr="001F3F0F" w:rsidRDefault="000752E2">
            <w:pPr>
              <w:spacing w:after="120"/>
              <w:contextualSpacing/>
              <w:jc w:val="center"/>
              <w:rPr>
                <w:rFonts w:ascii="Arial Narrow" w:hAnsi="Arial Narrow"/>
                <w:snapToGrid w:val="0"/>
                <w:sz w:val="20"/>
                <w:szCs w:val="20"/>
              </w:rPr>
            </w:pPr>
            <w:r w:rsidRPr="001F3F0F">
              <w:rPr>
                <w:rFonts w:ascii="Arial Narrow" w:hAnsi="Arial Narrow"/>
                <w:snapToGrid w:val="0"/>
                <w:sz w:val="20"/>
                <w:szCs w:val="20"/>
              </w:rPr>
              <w:t>23,326</w:t>
            </w:r>
          </w:p>
        </w:tc>
        <w:tc>
          <w:tcPr>
            <w:tcW w:w="1828" w:type="dxa"/>
            <w:noWrap/>
            <w:hideMark/>
          </w:tcPr>
          <w:p w14:paraId="29BB7B5F" w14:textId="77777777" w:rsidR="000752E2" w:rsidRPr="001F3F0F" w:rsidRDefault="000752E2">
            <w:pPr>
              <w:spacing w:after="120"/>
              <w:contextualSpacing/>
              <w:jc w:val="center"/>
              <w:rPr>
                <w:rFonts w:ascii="Arial Narrow" w:hAnsi="Arial Narrow"/>
                <w:snapToGrid w:val="0"/>
                <w:sz w:val="20"/>
                <w:szCs w:val="20"/>
              </w:rPr>
            </w:pPr>
            <w:r w:rsidRPr="001F3F0F">
              <w:rPr>
                <w:rFonts w:ascii="Arial Narrow" w:hAnsi="Arial Narrow"/>
                <w:snapToGrid w:val="0"/>
                <w:sz w:val="20"/>
                <w:szCs w:val="20"/>
              </w:rPr>
              <w:t>92,546</w:t>
            </w:r>
          </w:p>
        </w:tc>
        <w:tc>
          <w:tcPr>
            <w:tcW w:w="1445" w:type="dxa"/>
            <w:noWrap/>
            <w:hideMark/>
          </w:tcPr>
          <w:p w14:paraId="1878A43C" w14:textId="77777777" w:rsidR="000752E2" w:rsidRPr="001F3F0F" w:rsidRDefault="000752E2">
            <w:pPr>
              <w:spacing w:after="120"/>
              <w:contextualSpacing/>
              <w:jc w:val="center"/>
              <w:rPr>
                <w:rFonts w:ascii="Arial Narrow" w:hAnsi="Arial Narrow"/>
                <w:snapToGrid w:val="0"/>
                <w:sz w:val="20"/>
                <w:szCs w:val="20"/>
              </w:rPr>
            </w:pPr>
            <w:r w:rsidRPr="001F3F0F">
              <w:rPr>
                <w:rFonts w:ascii="Arial Narrow" w:hAnsi="Arial Narrow"/>
                <w:snapToGrid w:val="0"/>
                <w:sz w:val="20"/>
                <w:szCs w:val="20"/>
              </w:rPr>
              <w:t>606,628</w:t>
            </w:r>
          </w:p>
        </w:tc>
      </w:tr>
      <w:tr w:rsidR="008C3527" w:rsidRPr="000717E1" w14:paraId="6DE5A9C3" w14:textId="77777777">
        <w:trPr>
          <w:trHeight w:val="255"/>
        </w:trPr>
        <w:tc>
          <w:tcPr>
            <w:tcW w:w="3679" w:type="dxa"/>
            <w:noWrap/>
            <w:hideMark/>
          </w:tcPr>
          <w:p w14:paraId="50EE1EDD" w14:textId="77777777" w:rsidR="000752E2" w:rsidRPr="000717E1" w:rsidRDefault="000752E2">
            <w:pPr>
              <w:spacing w:after="120"/>
              <w:contextualSpacing/>
              <w:rPr>
                <w:rFonts w:ascii="Arial Narrow" w:hAnsi="Arial Narrow"/>
                <w:b/>
                <w:snapToGrid w:val="0"/>
                <w:sz w:val="20"/>
                <w:szCs w:val="20"/>
              </w:rPr>
            </w:pPr>
            <w:r w:rsidRPr="000717E1">
              <w:rPr>
                <w:rFonts w:ascii="Arial Narrow" w:hAnsi="Arial Narrow"/>
                <w:b/>
                <w:bCs/>
                <w:snapToGrid w:val="0"/>
                <w:sz w:val="20"/>
                <w:szCs w:val="20"/>
              </w:rPr>
              <w:t xml:space="preserve">Total </w:t>
            </w:r>
            <w:r w:rsidRPr="000717E1">
              <w:rPr>
                <w:rFonts w:ascii="Arial Narrow" w:hAnsi="Arial Narrow"/>
                <w:b/>
                <w:snapToGrid w:val="0"/>
                <w:sz w:val="20"/>
                <w:szCs w:val="20"/>
              </w:rPr>
              <w:t>2025</w:t>
            </w:r>
          </w:p>
        </w:tc>
        <w:tc>
          <w:tcPr>
            <w:tcW w:w="2058" w:type="dxa"/>
            <w:noWrap/>
            <w:hideMark/>
          </w:tcPr>
          <w:p w14:paraId="5A22ECBC" w14:textId="77777777" w:rsidR="000752E2" w:rsidRPr="000717E1" w:rsidRDefault="000752E2">
            <w:pPr>
              <w:spacing w:after="120"/>
              <w:contextualSpacing/>
              <w:jc w:val="center"/>
              <w:rPr>
                <w:rFonts w:ascii="Arial Narrow" w:hAnsi="Arial Narrow"/>
                <w:b/>
                <w:snapToGrid w:val="0"/>
                <w:sz w:val="20"/>
                <w:szCs w:val="20"/>
              </w:rPr>
            </w:pPr>
            <w:r w:rsidRPr="000717E1">
              <w:rPr>
                <w:rFonts w:ascii="Arial Narrow" w:hAnsi="Arial Narrow"/>
                <w:b/>
                <w:snapToGrid w:val="0"/>
                <w:sz w:val="20"/>
                <w:szCs w:val="20"/>
              </w:rPr>
              <w:t>47,736</w:t>
            </w:r>
          </w:p>
        </w:tc>
        <w:tc>
          <w:tcPr>
            <w:tcW w:w="1828" w:type="dxa"/>
            <w:noWrap/>
            <w:hideMark/>
          </w:tcPr>
          <w:p w14:paraId="08E0CA15" w14:textId="77777777" w:rsidR="000752E2" w:rsidRPr="000717E1" w:rsidRDefault="000752E2">
            <w:pPr>
              <w:spacing w:after="120"/>
              <w:contextualSpacing/>
              <w:jc w:val="center"/>
              <w:rPr>
                <w:rFonts w:ascii="Arial Narrow" w:hAnsi="Arial Narrow"/>
                <w:b/>
                <w:snapToGrid w:val="0"/>
                <w:sz w:val="20"/>
                <w:szCs w:val="20"/>
              </w:rPr>
            </w:pPr>
            <w:r w:rsidRPr="000717E1">
              <w:rPr>
                <w:rFonts w:ascii="Arial Narrow" w:hAnsi="Arial Narrow"/>
                <w:b/>
                <w:snapToGrid w:val="0"/>
                <w:sz w:val="20"/>
                <w:szCs w:val="20"/>
              </w:rPr>
              <w:t>186,168</w:t>
            </w:r>
          </w:p>
        </w:tc>
        <w:tc>
          <w:tcPr>
            <w:tcW w:w="1445" w:type="dxa"/>
            <w:noWrap/>
            <w:hideMark/>
          </w:tcPr>
          <w:p w14:paraId="32B53CAE" w14:textId="77777777" w:rsidR="000752E2" w:rsidRPr="000717E1" w:rsidRDefault="000752E2">
            <w:pPr>
              <w:spacing w:after="120"/>
              <w:contextualSpacing/>
              <w:jc w:val="center"/>
              <w:rPr>
                <w:rFonts w:ascii="Arial Narrow" w:hAnsi="Arial Narrow"/>
                <w:b/>
                <w:snapToGrid w:val="0"/>
                <w:sz w:val="20"/>
                <w:szCs w:val="20"/>
              </w:rPr>
            </w:pPr>
            <w:r w:rsidRPr="000717E1">
              <w:rPr>
                <w:rFonts w:ascii="Arial Narrow" w:hAnsi="Arial Narrow"/>
                <w:b/>
                <w:snapToGrid w:val="0"/>
                <w:sz w:val="20"/>
                <w:szCs w:val="20"/>
              </w:rPr>
              <w:t>993,497</w:t>
            </w:r>
          </w:p>
        </w:tc>
      </w:tr>
      <w:tr w:rsidR="008C3527" w:rsidRPr="001F3F0F" w14:paraId="37DF219B" w14:textId="77777777">
        <w:trPr>
          <w:trHeight w:val="255"/>
        </w:trPr>
        <w:tc>
          <w:tcPr>
            <w:tcW w:w="3679" w:type="dxa"/>
            <w:noWrap/>
            <w:hideMark/>
          </w:tcPr>
          <w:p w14:paraId="1EAE93C8" w14:textId="77777777" w:rsidR="000752E2" w:rsidRPr="001F3F0F" w:rsidRDefault="000752E2">
            <w:pPr>
              <w:spacing w:after="120"/>
              <w:contextualSpacing/>
              <w:rPr>
                <w:rFonts w:ascii="Arial Narrow" w:hAnsi="Arial Narrow"/>
                <w:snapToGrid w:val="0"/>
                <w:sz w:val="20"/>
                <w:szCs w:val="20"/>
              </w:rPr>
            </w:pPr>
            <w:r w:rsidRPr="001F3F0F">
              <w:rPr>
                <w:rFonts w:ascii="Arial Narrow" w:hAnsi="Arial Narrow"/>
                <w:snapToGrid w:val="0"/>
                <w:sz w:val="20"/>
                <w:szCs w:val="20"/>
              </w:rPr>
              <w:t xml:space="preserve">Beclometasone + formoterol + glycopyrronium (item codes 12468F and 14310E) </w:t>
            </w:r>
          </w:p>
        </w:tc>
        <w:tc>
          <w:tcPr>
            <w:tcW w:w="2058" w:type="dxa"/>
            <w:noWrap/>
            <w:hideMark/>
          </w:tcPr>
          <w:p w14:paraId="2A680F89" w14:textId="77777777" w:rsidR="000752E2" w:rsidRPr="001F3F0F" w:rsidRDefault="000752E2">
            <w:pPr>
              <w:spacing w:after="120"/>
              <w:contextualSpacing/>
              <w:jc w:val="center"/>
              <w:rPr>
                <w:rFonts w:ascii="Arial Narrow" w:hAnsi="Arial Narrow"/>
                <w:snapToGrid w:val="0"/>
                <w:sz w:val="20"/>
                <w:szCs w:val="20"/>
              </w:rPr>
            </w:pPr>
            <w:r w:rsidRPr="001F3F0F">
              <w:rPr>
                <w:rFonts w:ascii="Arial Narrow" w:hAnsi="Arial Narrow"/>
                <w:snapToGrid w:val="0"/>
                <w:sz w:val="20"/>
                <w:szCs w:val="20"/>
              </w:rPr>
              <w:t>13,952</w:t>
            </w:r>
          </w:p>
        </w:tc>
        <w:tc>
          <w:tcPr>
            <w:tcW w:w="1828" w:type="dxa"/>
            <w:noWrap/>
            <w:hideMark/>
          </w:tcPr>
          <w:p w14:paraId="7528D73A" w14:textId="77777777" w:rsidR="000752E2" w:rsidRPr="001F3F0F" w:rsidRDefault="000752E2">
            <w:pPr>
              <w:spacing w:after="120"/>
              <w:contextualSpacing/>
              <w:jc w:val="center"/>
              <w:rPr>
                <w:rFonts w:ascii="Arial Narrow" w:hAnsi="Arial Narrow"/>
                <w:snapToGrid w:val="0"/>
                <w:sz w:val="20"/>
                <w:szCs w:val="20"/>
              </w:rPr>
            </w:pPr>
            <w:r w:rsidRPr="001F3F0F">
              <w:rPr>
                <w:rFonts w:ascii="Arial Narrow" w:hAnsi="Arial Narrow"/>
                <w:snapToGrid w:val="0"/>
                <w:sz w:val="20"/>
                <w:szCs w:val="20"/>
              </w:rPr>
              <w:t>48,438</w:t>
            </w:r>
          </w:p>
        </w:tc>
        <w:tc>
          <w:tcPr>
            <w:tcW w:w="1445" w:type="dxa"/>
            <w:noWrap/>
            <w:hideMark/>
          </w:tcPr>
          <w:p w14:paraId="3AD5D1D1" w14:textId="77777777" w:rsidR="000752E2" w:rsidRPr="001F3F0F" w:rsidRDefault="000752E2">
            <w:pPr>
              <w:spacing w:after="120"/>
              <w:contextualSpacing/>
              <w:jc w:val="center"/>
              <w:rPr>
                <w:rFonts w:ascii="Arial Narrow" w:hAnsi="Arial Narrow"/>
                <w:snapToGrid w:val="0"/>
                <w:sz w:val="20"/>
                <w:szCs w:val="20"/>
              </w:rPr>
            </w:pPr>
            <w:r w:rsidRPr="001F3F0F">
              <w:rPr>
                <w:rFonts w:ascii="Arial Narrow" w:hAnsi="Arial Narrow"/>
                <w:snapToGrid w:val="0"/>
                <w:sz w:val="20"/>
                <w:szCs w:val="20"/>
              </w:rPr>
              <w:t>228,186</w:t>
            </w:r>
          </w:p>
        </w:tc>
      </w:tr>
      <w:tr w:rsidR="008C3527" w:rsidRPr="001F3F0F" w14:paraId="6570A96A" w14:textId="77777777">
        <w:trPr>
          <w:trHeight w:val="255"/>
        </w:trPr>
        <w:tc>
          <w:tcPr>
            <w:tcW w:w="3679" w:type="dxa"/>
            <w:noWrap/>
            <w:hideMark/>
          </w:tcPr>
          <w:p w14:paraId="0619199E" w14:textId="77777777" w:rsidR="000752E2" w:rsidRPr="001F3F0F" w:rsidRDefault="000752E2">
            <w:pPr>
              <w:spacing w:after="120"/>
              <w:contextualSpacing/>
              <w:rPr>
                <w:rFonts w:ascii="Arial Narrow" w:hAnsi="Arial Narrow"/>
                <w:snapToGrid w:val="0"/>
                <w:sz w:val="20"/>
                <w:szCs w:val="20"/>
              </w:rPr>
            </w:pPr>
            <w:r w:rsidRPr="001F3F0F">
              <w:rPr>
                <w:rFonts w:ascii="Arial Narrow" w:hAnsi="Arial Narrow"/>
                <w:snapToGrid w:val="0"/>
                <w:sz w:val="20"/>
                <w:szCs w:val="20"/>
              </w:rPr>
              <w:t xml:space="preserve">Budesonide + glycopyrronium + formoterol (item codes 12672Y and 14536C) </w:t>
            </w:r>
          </w:p>
        </w:tc>
        <w:tc>
          <w:tcPr>
            <w:tcW w:w="2058" w:type="dxa"/>
            <w:noWrap/>
            <w:hideMark/>
          </w:tcPr>
          <w:p w14:paraId="0BF881DE" w14:textId="77777777" w:rsidR="000752E2" w:rsidRPr="001F3F0F" w:rsidRDefault="000752E2">
            <w:pPr>
              <w:spacing w:after="120"/>
              <w:contextualSpacing/>
              <w:jc w:val="center"/>
              <w:rPr>
                <w:rFonts w:ascii="Arial Narrow" w:hAnsi="Arial Narrow"/>
                <w:snapToGrid w:val="0"/>
                <w:sz w:val="20"/>
                <w:szCs w:val="20"/>
              </w:rPr>
            </w:pPr>
            <w:r w:rsidRPr="001F3F0F">
              <w:rPr>
                <w:rFonts w:ascii="Arial Narrow" w:hAnsi="Arial Narrow"/>
                <w:snapToGrid w:val="0"/>
                <w:sz w:val="20"/>
                <w:szCs w:val="20"/>
              </w:rPr>
              <w:t>12,309</w:t>
            </w:r>
          </w:p>
        </w:tc>
        <w:tc>
          <w:tcPr>
            <w:tcW w:w="1828" w:type="dxa"/>
            <w:noWrap/>
            <w:hideMark/>
          </w:tcPr>
          <w:p w14:paraId="579ACF5B" w14:textId="77777777" w:rsidR="000752E2" w:rsidRPr="001F3F0F" w:rsidRDefault="000752E2">
            <w:pPr>
              <w:spacing w:after="120"/>
              <w:contextualSpacing/>
              <w:jc w:val="center"/>
              <w:rPr>
                <w:rFonts w:ascii="Arial Narrow" w:hAnsi="Arial Narrow"/>
                <w:snapToGrid w:val="0"/>
                <w:sz w:val="20"/>
                <w:szCs w:val="20"/>
              </w:rPr>
            </w:pPr>
            <w:r w:rsidRPr="001F3F0F">
              <w:rPr>
                <w:rFonts w:ascii="Arial Narrow" w:hAnsi="Arial Narrow"/>
                <w:snapToGrid w:val="0"/>
                <w:sz w:val="20"/>
                <w:szCs w:val="20"/>
              </w:rPr>
              <w:t>40,543</w:t>
            </w:r>
          </w:p>
        </w:tc>
        <w:tc>
          <w:tcPr>
            <w:tcW w:w="1445" w:type="dxa"/>
            <w:noWrap/>
            <w:hideMark/>
          </w:tcPr>
          <w:p w14:paraId="6911A841" w14:textId="77777777" w:rsidR="000752E2" w:rsidRPr="001F3F0F" w:rsidRDefault="000752E2">
            <w:pPr>
              <w:spacing w:after="120"/>
              <w:contextualSpacing/>
              <w:jc w:val="center"/>
              <w:rPr>
                <w:rFonts w:ascii="Arial Narrow" w:hAnsi="Arial Narrow"/>
                <w:snapToGrid w:val="0"/>
                <w:sz w:val="20"/>
                <w:szCs w:val="20"/>
              </w:rPr>
            </w:pPr>
            <w:r w:rsidRPr="001F3F0F">
              <w:rPr>
                <w:rFonts w:ascii="Arial Narrow" w:hAnsi="Arial Narrow"/>
                <w:snapToGrid w:val="0"/>
                <w:sz w:val="20"/>
                <w:szCs w:val="20"/>
              </w:rPr>
              <w:t>190,492</w:t>
            </w:r>
          </w:p>
        </w:tc>
      </w:tr>
      <w:tr w:rsidR="008C3527" w:rsidRPr="001F3F0F" w14:paraId="6DB185F3" w14:textId="77777777">
        <w:trPr>
          <w:trHeight w:val="255"/>
        </w:trPr>
        <w:tc>
          <w:tcPr>
            <w:tcW w:w="3679" w:type="dxa"/>
            <w:noWrap/>
            <w:hideMark/>
          </w:tcPr>
          <w:p w14:paraId="2E20459D" w14:textId="77777777" w:rsidR="000752E2" w:rsidRPr="001F3F0F" w:rsidRDefault="000752E2">
            <w:pPr>
              <w:spacing w:after="120"/>
              <w:contextualSpacing/>
              <w:rPr>
                <w:rFonts w:ascii="Arial Narrow" w:hAnsi="Arial Narrow"/>
                <w:snapToGrid w:val="0"/>
                <w:sz w:val="20"/>
                <w:szCs w:val="20"/>
              </w:rPr>
            </w:pPr>
            <w:r w:rsidRPr="001F3F0F">
              <w:rPr>
                <w:rFonts w:ascii="Arial Narrow" w:hAnsi="Arial Narrow"/>
                <w:snapToGrid w:val="0"/>
                <w:sz w:val="20"/>
                <w:szCs w:val="20"/>
              </w:rPr>
              <w:t>Fluticasone furoate + umeclidinium + vilanterol (item codes 11379X and 14346C)</w:t>
            </w:r>
          </w:p>
        </w:tc>
        <w:tc>
          <w:tcPr>
            <w:tcW w:w="2058" w:type="dxa"/>
            <w:noWrap/>
            <w:hideMark/>
          </w:tcPr>
          <w:p w14:paraId="271B6669" w14:textId="77777777" w:rsidR="000752E2" w:rsidRPr="001F3F0F" w:rsidRDefault="000752E2">
            <w:pPr>
              <w:spacing w:after="120"/>
              <w:contextualSpacing/>
              <w:jc w:val="center"/>
              <w:rPr>
                <w:rFonts w:ascii="Arial Narrow" w:hAnsi="Arial Narrow"/>
                <w:snapToGrid w:val="0"/>
                <w:sz w:val="20"/>
                <w:szCs w:val="20"/>
              </w:rPr>
            </w:pPr>
            <w:r w:rsidRPr="001F3F0F">
              <w:rPr>
                <w:rFonts w:ascii="Arial Narrow" w:hAnsi="Arial Narrow"/>
                <w:snapToGrid w:val="0"/>
                <w:sz w:val="20"/>
                <w:szCs w:val="20"/>
              </w:rPr>
              <w:t>21,475</w:t>
            </w:r>
          </w:p>
        </w:tc>
        <w:tc>
          <w:tcPr>
            <w:tcW w:w="1828" w:type="dxa"/>
            <w:noWrap/>
            <w:hideMark/>
          </w:tcPr>
          <w:p w14:paraId="6134A3D5" w14:textId="77777777" w:rsidR="000752E2" w:rsidRPr="001F3F0F" w:rsidRDefault="000752E2">
            <w:pPr>
              <w:spacing w:after="120"/>
              <w:contextualSpacing/>
              <w:jc w:val="center"/>
              <w:rPr>
                <w:rFonts w:ascii="Arial Narrow" w:hAnsi="Arial Narrow"/>
                <w:snapToGrid w:val="0"/>
                <w:sz w:val="20"/>
                <w:szCs w:val="20"/>
              </w:rPr>
            </w:pPr>
            <w:r w:rsidRPr="001F3F0F">
              <w:rPr>
                <w:rFonts w:ascii="Arial Narrow" w:hAnsi="Arial Narrow"/>
                <w:snapToGrid w:val="0"/>
                <w:sz w:val="20"/>
                <w:szCs w:val="20"/>
              </w:rPr>
              <w:t>97,187</w:t>
            </w:r>
          </w:p>
        </w:tc>
        <w:tc>
          <w:tcPr>
            <w:tcW w:w="1445" w:type="dxa"/>
            <w:noWrap/>
            <w:hideMark/>
          </w:tcPr>
          <w:p w14:paraId="3B7E0C7A" w14:textId="77777777" w:rsidR="000752E2" w:rsidRPr="001F3F0F" w:rsidRDefault="000752E2">
            <w:pPr>
              <w:spacing w:after="120"/>
              <w:contextualSpacing/>
              <w:jc w:val="center"/>
              <w:rPr>
                <w:rFonts w:ascii="Arial Narrow" w:hAnsi="Arial Narrow"/>
                <w:snapToGrid w:val="0"/>
                <w:sz w:val="20"/>
                <w:szCs w:val="20"/>
              </w:rPr>
            </w:pPr>
            <w:r w:rsidRPr="001F3F0F">
              <w:rPr>
                <w:rFonts w:ascii="Arial Narrow" w:hAnsi="Arial Narrow"/>
                <w:snapToGrid w:val="0"/>
                <w:sz w:val="20"/>
                <w:szCs w:val="20"/>
              </w:rPr>
              <w:t>574,819</w:t>
            </w:r>
          </w:p>
        </w:tc>
      </w:tr>
    </w:tbl>
    <w:p w14:paraId="4E6CAF1E" w14:textId="77777777" w:rsidR="000752E2" w:rsidRPr="000717E1" w:rsidRDefault="000752E2" w:rsidP="000752E2">
      <w:pPr>
        <w:spacing w:after="120"/>
        <w:contextualSpacing/>
        <w:rPr>
          <w:rFonts w:ascii="Arial Narrow" w:hAnsi="Arial Narrow"/>
          <w:snapToGrid w:val="0"/>
          <w:sz w:val="20"/>
          <w:szCs w:val="22"/>
        </w:rPr>
      </w:pPr>
      <w:r w:rsidRPr="000717E1">
        <w:rPr>
          <w:rFonts w:ascii="Arial Narrow" w:hAnsi="Arial Narrow"/>
          <w:snapToGrid w:val="0"/>
          <w:sz w:val="20"/>
          <w:szCs w:val="22"/>
        </w:rPr>
        <w:t xml:space="preserve">Source: Authorities data and prescriptions data was extracted on the 9 February 2026 from the prescription database and Authorities database maintained by the Department of Health, Disability and Ageing, processed by Services Australia from between 1 January 2023 and 31 December 2025, respectively. Data were extracted based on the date of supply. The number of incident patients, prevalent patients, and scripts dispensed was determined by counting the number of people supplied at least one PBS prescription using person specific numbers (non-identifying) in the data for the </w:t>
      </w:r>
      <w:proofErr w:type="gramStart"/>
      <w:r w:rsidRPr="000717E1">
        <w:rPr>
          <w:rFonts w:ascii="Arial Narrow" w:hAnsi="Arial Narrow"/>
          <w:snapToGrid w:val="0"/>
          <w:sz w:val="20"/>
          <w:szCs w:val="22"/>
        </w:rPr>
        <w:t>time period</w:t>
      </w:r>
      <w:proofErr w:type="gramEnd"/>
      <w:r w:rsidRPr="000717E1">
        <w:rPr>
          <w:rFonts w:ascii="Arial Narrow" w:hAnsi="Arial Narrow"/>
          <w:snapToGrid w:val="0"/>
          <w:sz w:val="20"/>
          <w:szCs w:val="22"/>
        </w:rPr>
        <w:t xml:space="preserve"> 1 January 2023 and 31 December 2025. Patient initiation was defined as the date of supply of the first PBS or RPBS prescription.</w:t>
      </w:r>
    </w:p>
    <w:p w14:paraId="38D08B6B" w14:textId="5F684371" w:rsidR="000752E2" w:rsidRPr="003A3E8C" w:rsidRDefault="00EB4724" w:rsidP="003A3E8C">
      <w:pPr>
        <w:pStyle w:val="3-BodyText"/>
        <w:rPr>
          <w:iCs/>
        </w:rPr>
      </w:pPr>
      <w:bookmarkStart w:id="103" w:name="_Ref222483631"/>
      <w:r w:rsidRPr="001F3F0F">
        <w:rPr>
          <w:iCs/>
        </w:rPr>
        <w:t xml:space="preserve">The Sub-Committees </w:t>
      </w:r>
      <w:r w:rsidR="00304B39" w:rsidRPr="001F3F0F">
        <w:rPr>
          <w:iCs/>
        </w:rPr>
        <w:t>considered that revised financial estimates were required</w:t>
      </w:r>
      <w:r w:rsidR="00AD1D6C" w:rsidRPr="001F3F0F">
        <w:rPr>
          <w:iCs/>
        </w:rPr>
        <w:t xml:space="preserve"> and suggested these could be provided in the pre-PBAC response</w:t>
      </w:r>
      <w:r w:rsidR="00512EA8" w:rsidRPr="001F3F0F">
        <w:rPr>
          <w:iCs/>
        </w:rPr>
        <w:t xml:space="preserve">. The Sub-Committees considered </w:t>
      </w:r>
      <w:r w:rsidR="00623AF4" w:rsidRPr="001F3F0F">
        <w:rPr>
          <w:iCs/>
        </w:rPr>
        <w:t>a</w:t>
      </w:r>
      <w:r w:rsidR="0051395E" w:rsidRPr="001F3F0F">
        <w:rPr>
          <w:iCs/>
        </w:rPr>
        <w:t xml:space="preserve"> </w:t>
      </w:r>
      <w:r w:rsidR="00823EF5" w:rsidRPr="001F3F0F">
        <w:rPr>
          <w:iCs/>
        </w:rPr>
        <w:t>market share approach based on the actual number of treated prevalent patients supplied triple therapy</w:t>
      </w:r>
      <w:r w:rsidR="0051395E" w:rsidRPr="001F3F0F">
        <w:rPr>
          <w:iCs/>
        </w:rPr>
        <w:t xml:space="preserve"> outlined in </w:t>
      </w:r>
      <w:r w:rsidR="00513FDD" w:rsidRPr="00281F45">
        <w:rPr>
          <w:iCs/>
        </w:rPr>
        <w:fldChar w:fldCharType="begin"/>
      </w:r>
      <w:r w:rsidR="00513FDD" w:rsidRPr="00281F45">
        <w:rPr>
          <w:iCs/>
        </w:rPr>
        <w:instrText xml:space="preserve"> REF _Ref225427706 \h </w:instrText>
      </w:r>
      <w:r w:rsidR="00513FDD">
        <w:rPr>
          <w:iCs/>
        </w:rPr>
        <w:instrText xml:space="preserve"> \* MERGEFORMAT </w:instrText>
      </w:r>
      <w:r w:rsidR="00513FDD" w:rsidRPr="00281F45">
        <w:rPr>
          <w:iCs/>
        </w:rPr>
      </w:r>
      <w:r w:rsidR="00513FDD" w:rsidRPr="00281F45">
        <w:rPr>
          <w:iCs/>
        </w:rPr>
        <w:fldChar w:fldCharType="separate"/>
      </w:r>
      <w:r w:rsidR="00E41EEC" w:rsidRPr="00E41EEC">
        <w:rPr>
          <w:iCs/>
        </w:rPr>
        <w:t>Table 19</w:t>
      </w:r>
      <w:r w:rsidR="00513FDD" w:rsidRPr="00281F45">
        <w:rPr>
          <w:iCs/>
        </w:rPr>
        <w:fldChar w:fldCharType="end"/>
      </w:r>
      <w:r w:rsidR="00513FDD">
        <w:rPr>
          <w:iCs/>
        </w:rPr>
        <w:t xml:space="preserve"> </w:t>
      </w:r>
      <w:r w:rsidR="00623AF4" w:rsidRPr="003A3E8C">
        <w:rPr>
          <w:iCs/>
        </w:rPr>
        <w:t xml:space="preserve">with an additional estimate for the </w:t>
      </w:r>
      <w:r w:rsidR="00823EF5" w:rsidRPr="003A3E8C">
        <w:rPr>
          <w:iCs/>
        </w:rPr>
        <w:t>open triple inhaled therapy population</w:t>
      </w:r>
      <w:r w:rsidR="00161BD4" w:rsidRPr="003A3E8C">
        <w:rPr>
          <w:iCs/>
        </w:rPr>
        <w:t xml:space="preserve"> would be appropriate</w:t>
      </w:r>
      <w:r w:rsidR="00823EF5" w:rsidRPr="003A3E8C">
        <w:rPr>
          <w:iCs/>
        </w:rPr>
        <w:t>.</w:t>
      </w:r>
      <w:r w:rsidR="00161BD4" w:rsidRPr="003A3E8C">
        <w:rPr>
          <w:iCs/>
        </w:rPr>
        <w:t xml:space="preserve"> </w:t>
      </w:r>
      <w:r w:rsidR="00DA45C9" w:rsidRPr="003A3E8C">
        <w:rPr>
          <w:iCs/>
        </w:rPr>
        <w:t xml:space="preserve">As outlined in </w:t>
      </w:r>
      <w:r w:rsidR="00DA45C9" w:rsidRPr="003A3E8C">
        <w:rPr>
          <w:iCs/>
        </w:rPr>
        <w:fldChar w:fldCharType="begin"/>
      </w:r>
      <w:r w:rsidR="00DA45C9" w:rsidRPr="003A3E8C">
        <w:rPr>
          <w:iCs/>
        </w:rPr>
        <w:instrText xml:space="preserve"> REF _Ref221787230 \h  \* MERGEFORMAT </w:instrText>
      </w:r>
      <w:r w:rsidR="00DA45C9" w:rsidRPr="003A3E8C">
        <w:rPr>
          <w:iCs/>
        </w:rPr>
      </w:r>
      <w:r w:rsidR="00DA45C9" w:rsidRPr="003A3E8C">
        <w:rPr>
          <w:iCs/>
        </w:rPr>
        <w:fldChar w:fldCharType="separate"/>
      </w:r>
      <w:r w:rsidR="00724269" w:rsidRPr="00724269">
        <w:rPr>
          <w:iCs/>
        </w:rPr>
        <w:t>Table 17</w:t>
      </w:r>
      <w:r w:rsidR="00DA45C9" w:rsidRPr="003A3E8C">
        <w:rPr>
          <w:iCs/>
        </w:rPr>
        <w:fldChar w:fldCharType="end"/>
      </w:r>
      <w:r w:rsidR="00DA45C9" w:rsidRPr="003A3E8C">
        <w:rPr>
          <w:iCs/>
        </w:rPr>
        <w:t>, t</w:t>
      </w:r>
      <w:r w:rsidR="00D27B80" w:rsidRPr="003A3E8C">
        <w:rPr>
          <w:iCs/>
        </w:rPr>
        <w:t xml:space="preserve">he Sub-Committees considered that </w:t>
      </w:r>
      <w:r w:rsidR="00714967" w:rsidRPr="003A3E8C">
        <w:rPr>
          <w:iCs/>
        </w:rPr>
        <w:t xml:space="preserve">there was no evidence that growth will slow down or plateau and advised that a linear projection to forecast the eligible population </w:t>
      </w:r>
      <w:r w:rsidR="00714967" w:rsidRPr="003A3E8C">
        <w:rPr>
          <w:iCs/>
        </w:rPr>
        <w:lastRenderedPageBreak/>
        <w:t xml:space="preserve">would be appropriate. </w:t>
      </w:r>
      <w:r w:rsidR="00C12C63" w:rsidRPr="003A3E8C">
        <w:rPr>
          <w:iCs/>
        </w:rPr>
        <w:t xml:space="preserve">The Sub-Committees considered </w:t>
      </w:r>
      <w:r w:rsidR="00A03C57" w:rsidRPr="003A3E8C">
        <w:rPr>
          <w:iCs/>
        </w:rPr>
        <w:t xml:space="preserve">the percentage of patients with </w:t>
      </w:r>
      <w:r w:rsidR="009B002C">
        <w:rPr>
          <w:iCs/>
        </w:rPr>
        <w:t>BEC</w:t>
      </w:r>
      <w:r w:rsidR="00823EF5" w:rsidRPr="003A3E8C">
        <w:rPr>
          <w:iCs/>
        </w:rPr>
        <w:t xml:space="preserve"> </w:t>
      </w:r>
      <w:r w:rsidR="00A03C57" w:rsidRPr="003A3E8C">
        <w:rPr>
          <w:iCs/>
        </w:rPr>
        <w:t>≥ 300 cells/µL</w:t>
      </w:r>
      <w:r w:rsidR="00DD7B85" w:rsidRPr="003A3E8C">
        <w:rPr>
          <w:iCs/>
        </w:rPr>
        <w:t xml:space="preserve"> from Hiles et al (2021) was likely appropriate as were assumptions employed in the model regarding the </w:t>
      </w:r>
      <w:r w:rsidR="00643CC9" w:rsidRPr="003A3E8C">
        <w:rPr>
          <w:iCs/>
        </w:rPr>
        <w:t>proportion at high risk of exacerbations. The Su</w:t>
      </w:r>
      <w:r w:rsidR="00653539" w:rsidRPr="003A3E8C">
        <w:rPr>
          <w:iCs/>
        </w:rPr>
        <w:t>b</w:t>
      </w:r>
      <w:r w:rsidR="00643CC9" w:rsidRPr="003A3E8C">
        <w:rPr>
          <w:iCs/>
        </w:rPr>
        <w:t xml:space="preserve">-Committees considered that compliance assumptions </w:t>
      </w:r>
      <w:r w:rsidR="00653539" w:rsidRPr="003A3E8C">
        <w:rPr>
          <w:iCs/>
        </w:rPr>
        <w:t xml:space="preserve">should be as outlined by the Sub-Committees in </w:t>
      </w:r>
      <w:r w:rsidR="00653539" w:rsidRPr="003A3E8C">
        <w:rPr>
          <w:iCs/>
        </w:rPr>
        <w:fldChar w:fldCharType="begin"/>
      </w:r>
      <w:r w:rsidR="00653539" w:rsidRPr="003A3E8C">
        <w:rPr>
          <w:iCs/>
        </w:rPr>
        <w:instrText xml:space="preserve"> REF _Ref221787230 \h  \* MERGEFORMAT </w:instrText>
      </w:r>
      <w:r w:rsidR="00653539" w:rsidRPr="003A3E8C">
        <w:rPr>
          <w:iCs/>
        </w:rPr>
      </w:r>
      <w:r w:rsidR="00653539" w:rsidRPr="003A3E8C">
        <w:rPr>
          <w:iCs/>
        </w:rPr>
        <w:fldChar w:fldCharType="separate"/>
      </w:r>
      <w:r w:rsidR="00F33BA1" w:rsidRPr="00F33BA1">
        <w:rPr>
          <w:iCs/>
        </w:rPr>
        <w:t>Table 17</w:t>
      </w:r>
      <w:r w:rsidR="00653539" w:rsidRPr="003A3E8C">
        <w:rPr>
          <w:iCs/>
        </w:rPr>
        <w:fldChar w:fldCharType="end"/>
      </w:r>
      <w:r w:rsidR="00653539" w:rsidRPr="003A3E8C">
        <w:rPr>
          <w:iCs/>
        </w:rPr>
        <w:t xml:space="preserve">. The Sub-Committees considered that </w:t>
      </w:r>
      <w:r w:rsidR="006C4D60" w:rsidRPr="003A3E8C">
        <w:rPr>
          <w:iCs/>
        </w:rPr>
        <w:t xml:space="preserve">sensitivity analyses </w:t>
      </w:r>
      <w:r w:rsidR="0044673E" w:rsidRPr="003A3E8C">
        <w:rPr>
          <w:iCs/>
        </w:rPr>
        <w:t xml:space="preserve">varying assumptions around the percentage of patients with </w:t>
      </w:r>
      <w:r w:rsidR="009B002C">
        <w:rPr>
          <w:iCs/>
        </w:rPr>
        <w:t>BEC</w:t>
      </w:r>
      <w:r w:rsidR="0044673E" w:rsidRPr="003A3E8C">
        <w:rPr>
          <w:iCs/>
        </w:rPr>
        <w:t xml:space="preserve"> ≥ 300 cells/µL (</w:t>
      </w:r>
      <w:r w:rsidR="006A0A10" w:rsidRPr="003A3E8C">
        <w:rPr>
          <w:iCs/>
        </w:rPr>
        <w:t>based on range in METIS survey)</w:t>
      </w:r>
      <w:r w:rsidR="003C722A" w:rsidRPr="003A3E8C">
        <w:rPr>
          <w:iCs/>
        </w:rPr>
        <w:t xml:space="preserve"> along with</w:t>
      </w:r>
      <w:r w:rsidR="006A0A10" w:rsidRPr="003A3E8C">
        <w:rPr>
          <w:iCs/>
        </w:rPr>
        <w:t xml:space="preserve"> </w:t>
      </w:r>
      <w:r w:rsidR="0052395C" w:rsidRPr="003A3E8C">
        <w:rPr>
          <w:iCs/>
        </w:rPr>
        <w:t xml:space="preserve">those for </w:t>
      </w:r>
      <w:r w:rsidR="006A0A10" w:rsidRPr="003A3E8C">
        <w:rPr>
          <w:iCs/>
        </w:rPr>
        <w:t>compliance and uptake rate</w:t>
      </w:r>
      <w:r w:rsidR="0052395C" w:rsidRPr="003A3E8C">
        <w:rPr>
          <w:iCs/>
        </w:rPr>
        <w:t>s</w:t>
      </w:r>
      <w:r w:rsidR="006A0A10" w:rsidRPr="003A3E8C">
        <w:rPr>
          <w:iCs/>
        </w:rPr>
        <w:t xml:space="preserve"> would </w:t>
      </w:r>
      <w:r w:rsidR="00E304C6" w:rsidRPr="003A3E8C">
        <w:rPr>
          <w:iCs/>
        </w:rPr>
        <w:t xml:space="preserve">also </w:t>
      </w:r>
      <w:r w:rsidR="006A0A10" w:rsidRPr="003A3E8C">
        <w:rPr>
          <w:iCs/>
        </w:rPr>
        <w:t>be informative.</w:t>
      </w:r>
      <w:bookmarkEnd w:id="103"/>
    </w:p>
    <w:p w14:paraId="7F221040" w14:textId="138B627F" w:rsidR="00583ADA" w:rsidRPr="001F3F0F" w:rsidRDefault="00391072" w:rsidP="00EB4724">
      <w:pPr>
        <w:pStyle w:val="3-BodyText"/>
        <w:rPr>
          <w:iCs/>
        </w:rPr>
      </w:pPr>
      <w:bookmarkStart w:id="104" w:name="_Ref224833466"/>
      <w:r>
        <w:rPr>
          <w:iCs/>
        </w:rPr>
        <w:t xml:space="preserve">The pre-PBAC response provided revised financial estimates </w:t>
      </w:r>
      <w:r w:rsidR="007735EF">
        <w:rPr>
          <w:iCs/>
        </w:rPr>
        <w:t>which</w:t>
      </w:r>
      <w:r w:rsidR="005446D7">
        <w:rPr>
          <w:iCs/>
        </w:rPr>
        <w:t>:</w:t>
      </w:r>
      <w:bookmarkEnd w:id="104"/>
    </w:p>
    <w:p w14:paraId="5DC9C7D7" w14:textId="047908F3" w:rsidR="00962B5A" w:rsidRPr="00C75451" w:rsidRDefault="005E05F8" w:rsidP="00E64392">
      <w:pPr>
        <w:pStyle w:val="3-BodyText"/>
        <w:numPr>
          <w:ilvl w:val="0"/>
          <w:numId w:val="14"/>
        </w:numPr>
      </w:pPr>
      <w:r>
        <w:t>Incorporated a</w:t>
      </w:r>
      <w:r w:rsidR="00962B5A" w:rsidRPr="00C75451">
        <w:t xml:space="preserve"> linear projection, based on the 100% PBS data, to forecast the single triple inhaler therapy population. It </w:t>
      </w:r>
      <w:r w:rsidR="003D2045">
        <w:t>wa</w:t>
      </w:r>
      <w:r w:rsidR="00962B5A" w:rsidRPr="00C75451">
        <w:t>s assumed that the open triple therapy population (based on the PBS 10</w:t>
      </w:r>
      <w:r w:rsidR="006B4E17">
        <w:t>%</w:t>
      </w:r>
      <w:r w:rsidR="00962B5A" w:rsidRPr="00C75451">
        <w:t xml:space="preserve"> sample) remain</w:t>
      </w:r>
      <w:r w:rsidR="00A85816">
        <w:t>ed</w:t>
      </w:r>
      <w:r w:rsidR="00962B5A" w:rsidRPr="00C75451">
        <w:t xml:space="preserve"> stable</w:t>
      </w:r>
      <w:r w:rsidR="00A85816">
        <w:t xml:space="preserve"> </w:t>
      </w:r>
      <w:r w:rsidR="003B1D65">
        <w:t xml:space="preserve">(assumed to </w:t>
      </w:r>
      <w:r w:rsidR="003B1D65" w:rsidRPr="001B43F1">
        <w:t>be</w:t>
      </w:r>
      <w:r w:rsidR="00A85816" w:rsidRPr="001B43F1">
        <w:t xml:space="preserve"> </w:t>
      </w:r>
      <w:r w:rsidR="00331ADA" w:rsidRPr="00331ADA">
        <w:rPr>
          <w:sz w:val="2"/>
          <w:highlight w:val="black"/>
        </w:rPr>
        <w:t>redacted content</w:t>
      </w:r>
      <w:r w:rsidR="00C36DF9" w:rsidRPr="001B43F1">
        <w:t xml:space="preserve">% </w:t>
      </w:r>
      <w:r w:rsidR="003B1D65" w:rsidRPr="001B43F1">
        <w:t>in</w:t>
      </w:r>
      <w:r w:rsidR="00262FD4" w:rsidRPr="001B43F1">
        <w:t xml:space="preserve"> June</w:t>
      </w:r>
      <w:r w:rsidR="003B1D65">
        <w:t xml:space="preserve"> 2025)</w:t>
      </w:r>
      <w:r>
        <w:t>;</w:t>
      </w:r>
    </w:p>
    <w:p w14:paraId="210462F1" w14:textId="72373085" w:rsidR="00962B5A" w:rsidRPr="00C75451" w:rsidRDefault="00962B5A" w:rsidP="00E64392">
      <w:pPr>
        <w:pStyle w:val="3-BodyText"/>
        <w:numPr>
          <w:ilvl w:val="0"/>
          <w:numId w:val="14"/>
        </w:numPr>
      </w:pPr>
      <w:r w:rsidRPr="00C75451">
        <w:t xml:space="preserve">Decreased the percentage of patients with </w:t>
      </w:r>
      <w:r w:rsidR="0061717D">
        <w:t>BEC</w:t>
      </w:r>
      <w:r w:rsidRPr="00C75451">
        <w:t xml:space="preserve"> ≥ 300µL to 29.4% (Hiles et al. 2021)</w:t>
      </w:r>
      <w:r w:rsidR="005E05F8">
        <w:t>;</w:t>
      </w:r>
      <w:r w:rsidRPr="00C75451">
        <w:t xml:space="preserve"> </w:t>
      </w:r>
    </w:p>
    <w:p w14:paraId="4054773D" w14:textId="1BB1B520" w:rsidR="00962B5A" w:rsidRPr="00C75451" w:rsidRDefault="00962B5A" w:rsidP="00E64392">
      <w:pPr>
        <w:pStyle w:val="3-BodyText"/>
        <w:numPr>
          <w:ilvl w:val="0"/>
          <w:numId w:val="14"/>
        </w:numPr>
      </w:pPr>
      <w:r w:rsidRPr="00C75451">
        <w:t xml:space="preserve">Retained the percentage </w:t>
      </w:r>
      <w:r w:rsidR="00423A73">
        <w:t>of</w:t>
      </w:r>
      <w:r w:rsidRPr="00C75451">
        <w:t xml:space="preserve"> the population at high risk of </w:t>
      </w:r>
      <w:r w:rsidRPr="007C4263">
        <w:t xml:space="preserve">exacerbations as </w:t>
      </w:r>
      <w:r w:rsidR="00331ADA" w:rsidRPr="00331ADA">
        <w:rPr>
          <w:sz w:val="2"/>
          <w:highlight w:val="black"/>
        </w:rPr>
        <w:t>redacted content</w:t>
      </w:r>
      <w:r w:rsidRPr="007C4263">
        <w:t xml:space="preserve">% </w:t>
      </w:r>
      <w:r w:rsidR="001C69D2">
        <w:t xml:space="preserve">based on the </w:t>
      </w:r>
      <w:r w:rsidRPr="00C75451">
        <w:t>METIS survey</w:t>
      </w:r>
      <w:r w:rsidR="005E05F8">
        <w:t xml:space="preserve">; and </w:t>
      </w:r>
    </w:p>
    <w:p w14:paraId="036F4824" w14:textId="75667EC1" w:rsidR="00962B5A" w:rsidRPr="00C75451" w:rsidRDefault="00962B5A" w:rsidP="00E64392">
      <w:pPr>
        <w:pStyle w:val="3-BodyText"/>
        <w:numPr>
          <w:ilvl w:val="0"/>
          <w:numId w:val="14"/>
        </w:numPr>
      </w:pPr>
      <w:r w:rsidRPr="00C75451">
        <w:t>Decreased compliance to 93%</w:t>
      </w:r>
      <w:r w:rsidR="005E05F8">
        <w:t xml:space="preserve">. </w:t>
      </w:r>
    </w:p>
    <w:p w14:paraId="40ECFD78" w14:textId="102E8682" w:rsidR="00776CF3" w:rsidRPr="00C75451" w:rsidRDefault="00962B5A" w:rsidP="00095433">
      <w:pPr>
        <w:pStyle w:val="3-BodyText"/>
        <w:numPr>
          <w:ilvl w:val="0"/>
          <w:numId w:val="0"/>
        </w:numPr>
        <w:spacing w:after="120"/>
        <w:ind w:left="709"/>
      </w:pPr>
      <w:r w:rsidRPr="00C75451">
        <w:t xml:space="preserve">The </w:t>
      </w:r>
      <w:r w:rsidR="00221BC6">
        <w:t xml:space="preserve">pre-PBAC response </w:t>
      </w:r>
      <w:r w:rsidR="00ED0502">
        <w:t xml:space="preserve">stated that the </w:t>
      </w:r>
      <w:r w:rsidRPr="00C75451">
        <w:t>uptake rate remain</w:t>
      </w:r>
      <w:r w:rsidR="00ED0502">
        <w:t>ed</w:t>
      </w:r>
      <w:r w:rsidRPr="00C75451">
        <w:t xml:space="preserve"> consistent with the submission base case. </w:t>
      </w:r>
      <w:r w:rsidR="007174CE">
        <w:t xml:space="preserve">The </w:t>
      </w:r>
      <w:r w:rsidR="00D4657D">
        <w:t>P</w:t>
      </w:r>
      <w:r w:rsidR="007174CE">
        <w:t xml:space="preserve">re-PBAC </w:t>
      </w:r>
      <w:r w:rsidR="00D4657D">
        <w:t>R</w:t>
      </w:r>
      <w:r w:rsidR="007174CE">
        <w:t xml:space="preserve">esponse </w:t>
      </w:r>
      <w:r w:rsidR="00A23E38">
        <w:t xml:space="preserve">reported the </w:t>
      </w:r>
      <w:r w:rsidR="009307C0">
        <w:t xml:space="preserve">number of patients treated increased from </w:t>
      </w:r>
      <w:r w:rsidR="009921E5">
        <w:t>10,000 to &lt; 2</w:t>
      </w:r>
      <w:r w:rsidR="00164391">
        <w:t>0,000</w:t>
      </w:r>
      <w:r w:rsidR="009307C0">
        <w:t xml:space="preserve"> (including </w:t>
      </w:r>
      <w:r w:rsidR="00164391">
        <w:t>500 to &lt; 5,000</w:t>
      </w:r>
      <w:r w:rsidR="009307C0">
        <w:t xml:space="preserve"> grandfather</w:t>
      </w:r>
      <w:r w:rsidR="00D619C8">
        <w:t xml:space="preserve">ed patients) </w:t>
      </w:r>
      <w:r w:rsidR="00120FD0">
        <w:t xml:space="preserve">in Year 1 to </w:t>
      </w:r>
      <w:r w:rsidR="00164391">
        <w:t>40,000 to &lt; 50,000</w:t>
      </w:r>
      <w:r w:rsidR="004462E5">
        <w:t xml:space="preserve"> patients in Year 6. </w:t>
      </w:r>
      <w:r w:rsidR="007F4F32">
        <w:t xml:space="preserve">The </w:t>
      </w:r>
      <w:r w:rsidR="00B0652C">
        <w:t>net cost to the PBS/RPBS of listing dupilumab</w:t>
      </w:r>
      <w:r w:rsidR="00386729">
        <w:t xml:space="preserve"> was reported as </w:t>
      </w:r>
      <w:r w:rsidR="00164391">
        <w:t xml:space="preserve">$400 million to &lt; $500 million </w:t>
      </w:r>
      <w:r w:rsidR="00776CF3">
        <w:t xml:space="preserve">in Year 6, and a total of </w:t>
      </w:r>
      <w:r w:rsidR="00164391">
        <w:t xml:space="preserve">&gt; $1 billion </w:t>
      </w:r>
      <w:r w:rsidR="004549EE">
        <w:t>over the first 6</w:t>
      </w:r>
      <w:r w:rsidR="003B4BC9">
        <w:t> </w:t>
      </w:r>
      <w:r w:rsidR="004549EE">
        <w:t xml:space="preserve">years of listing. </w:t>
      </w:r>
    </w:p>
    <w:p w14:paraId="22543DAE" w14:textId="3724AD25" w:rsidR="005D728B" w:rsidRDefault="00095433" w:rsidP="00EB4724">
      <w:pPr>
        <w:pStyle w:val="3-BodyText"/>
        <w:rPr>
          <w:iCs/>
        </w:rPr>
      </w:pPr>
      <w:bookmarkStart w:id="105" w:name="_Ref225078543"/>
      <w:r>
        <w:rPr>
          <w:iCs/>
        </w:rPr>
        <w:t xml:space="preserve">The PBAC noted that </w:t>
      </w:r>
      <w:r w:rsidR="00AB546C">
        <w:rPr>
          <w:iCs/>
        </w:rPr>
        <w:t xml:space="preserve">the </w:t>
      </w:r>
      <w:r w:rsidR="0076385F">
        <w:rPr>
          <w:iCs/>
        </w:rPr>
        <w:t>PBS 10</w:t>
      </w:r>
      <w:r w:rsidR="006B4E17">
        <w:rPr>
          <w:iCs/>
        </w:rPr>
        <w:t>% sample data provided</w:t>
      </w:r>
      <w:r w:rsidR="00ED4910">
        <w:rPr>
          <w:iCs/>
        </w:rPr>
        <w:t xml:space="preserve"> by the submission indicated </w:t>
      </w:r>
      <w:r w:rsidR="00615F08">
        <w:rPr>
          <w:iCs/>
        </w:rPr>
        <w:t>that open triple therapy as a p</w:t>
      </w:r>
      <w:r w:rsidR="00747B9B">
        <w:rPr>
          <w:iCs/>
        </w:rPr>
        <w:t>ercentage</w:t>
      </w:r>
      <w:r w:rsidR="00615F08">
        <w:rPr>
          <w:iCs/>
        </w:rPr>
        <w:t xml:space="preserve"> of </w:t>
      </w:r>
      <w:r w:rsidR="002D4355">
        <w:rPr>
          <w:iCs/>
        </w:rPr>
        <w:t>total triple therapy</w:t>
      </w:r>
      <w:r w:rsidR="00CE365E">
        <w:rPr>
          <w:iCs/>
        </w:rPr>
        <w:t xml:space="preserve"> had reduced </w:t>
      </w:r>
      <w:r w:rsidR="00247EC3">
        <w:rPr>
          <w:iCs/>
        </w:rPr>
        <w:t xml:space="preserve">significantly </w:t>
      </w:r>
      <w:r w:rsidR="007B09F6">
        <w:rPr>
          <w:iCs/>
        </w:rPr>
        <w:t xml:space="preserve">across time </w:t>
      </w:r>
      <w:r w:rsidR="009B6F53">
        <w:rPr>
          <w:iCs/>
        </w:rPr>
        <w:t xml:space="preserve">with the introduction of </w:t>
      </w:r>
      <w:r w:rsidR="00747B9B">
        <w:rPr>
          <w:iCs/>
        </w:rPr>
        <w:t>single inhaler triple therapy.</w:t>
      </w:r>
      <w:r w:rsidR="00247EC3">
        <w:rPr>
          <w:iCs/>
        </w:rPr>
        <w:t xml:space="preserve"> </w:t>
      </w:r>
      <w:r w:rsidR="00C67102">
        <w:rPr>
          <w:iCs/>
        </w:rPr>
        <w:t xml:space="preserve">As such, the PBAC considered </w:t>
      </w:r>
      <w:r w:rsidR="00E724AB">
        <w:rPr>
          <w:iCs/>
        </w:rPr>
        <w:t xml:space="preserve">the assumption that the open triple therapy population remained stable was not reasonable. </w:t>
      </w:r>
      <w:r w:rsidR="00405DC5">
        <w:rPr>
          <w:iCs/>
        </w:rPr>
        <w:t xml:space="preserve">The PBAC considered the </w:t>
      </w:r>
      <w:r w:rsidR="00BA2157">
        <w:rPr>
          <w:iCs/>
        </w:rPr>
        <w:t xml:space="preserve">trend of decreasing open triple therapy should be accounted for in the financial model </w:t>
      </w:r>
      <w:r w:rsidR="006A48E9">
        <w:rPr>
          <w:iCs/>
        </w:rPr>
        <w:t>and considered that this would result in an</w:t>
      </w:r>
      <w:r w:rsidR="00AD330D">
        <w:rPr>
          <w:iCs/>
        </w:rPr>
        <w:t xml:space="preserve"> </w:t>
      </w:r>
      <w:r w:rsidR="00AD330D" w:rsidRPr="001F3F0F">
        <w:rPr>
          <w:iCs/>
        </w:rPr>
        <w:t>additional open triple inhaled therapy population</w:t>
      </w:r>
      <w:r w:rsidR="006A48E9">
        <w:rPr>
          <w:iCs/>
        </w:rPr>
        <w:t xml:space="preserve"> in Year 1 only.</w:t>
      </w:r>
      <w:bookmarkEnd w:id="105"/>
      <w:r w:rsidR="00780270">
        <w:rPr>
          <w:iCs/>
        </w:rPr>
        <w:t xml:space="preserve"> </w:t>
      </w:r>
      <w:r w:rsidR="001B13A9">
        <w:rPr>
          <w:iCs/>
        </w:rPr>
        <w:t>Furthermore, t</w:t>
      </w:r>
      <w:r w:rsidR="00780270">
        <w:rPr>
          <w:iCs/>
        </w:rPr>
        <w:t xml:space="preserve">he PBAC considered the </w:t>
      </w:r>
      <w:r w:rsidR="00F1391B">
        <w:rPr>
          <w:iCs/>
        </w:rPr>
        <w:t xml:space="preserve">market share for the </w:t>
      </w:r>
      <w:r w:rsidR="00D94C4C">
        <w:rPr>
          <w:iCs/>
        </w:rPr>
        <w:t>additional open triple inhaled therapy population in Year 1 should not exceed the</w:t>
      </w:r>
      <w:r w:rsidR="001B13A9">
        <w:rPr>
          <w:iCs/>
        </w:rPr>
        <w:t xml:space="preserve"> 2025 level. </w:t>
      </w:r>
      <w:r w:rsidR="00D94C4C">
        <w:rPr>
          <w:iCs/>
        </w:rPr>
        <w:t xml:space="preserve"> </w:t>
      </w:r>
      <w:r w:rsidR="006A48E9">
        <w:rPr>
          <w:iCs/>
        </w:rPr>
        <w:t xml:space="preserve"> </w:t>
      </w:r>
    </w:p>
    <w:p w14:paraId="46745DDB" w14:textId="5F86FBE0" w:rsidR="005446D7" w:rsidRPr="00723037" w:rsidRDefault="00226F91" w:rsidP="00EB4724">
      <w:pPr>
        <w:pStyle w:val="3-BodyText"/>
        <w:rPr>
          <w:iCs/>
        </w:rPr>
      </w:pPr>
      <w:bookmarkStart w:id="106" w:name="_Ref225081189"/>
      <w:r w:rsidRPr="00723037">
        <w:rPr>
          <w:iCs/>
        </w:rPr>
        <w:t xml:space="preserve">The PBAC noted that the </w:t>
      </w:r>
      <w:r w:rsidR="00775C82" w:rsidRPr="00723037">
        <w:rPr>
          <w:iCs/>
        </w:rPr>
        <w:t xml:space="preserve">uptake rate </w:t>
      </w:r>
      <w:r w:rsidR="00B45D37" w:rsidRPr="00723037">
        <w:rPr>
          <w:iCs/>
        </w:rPr>
        <w:t>was applied directly to the prevalent p</w:t>
      </w:r>
      <w:r w:rsidR="00EC2DB2" w:rsidRPr="00723037">
        <w:rPr>
          <w:iCs/>
        </w:rPr>
        <w:t>ool of patients each year</w:t>
      </w:r>
      <w:r w:rsidR="00E64EC6" w:rsidRPr="00723037">
        <w:rPr>
          <w:iCs/>
        </w:rPr>
        <w:t xml:space="preserve">. </w:t>
      </w:r>
      <w:r w:rsidR="0028780E" w:rsidRPr="00723037">
        <w:rPr>
          <w:iCs/>
        </w:rPr>
        <w:t xml:space="preserve">This </w:t>
      </w:r>
      <w:r w:rsidR="002A4674">
        <w:rPr>
          <w:iCs/>
        </w:rPr>
        <w:t xml:space="preserve">essentially </w:t>
      </w:r>
      <w:r w:rsidR="0028780E" w:rsidRPr="00723037">
        <w:rPr>
          <w:iCs/>
        </w:rPr>
        <w:t xml:space="preserve">resulted </w:t>
      </w:r>
      <w:r w:rsidR="000E3B50" w:rsidRPr="00723037">
        <w:rPr>
          <w:iCs/>
        </w:rPr>
        <w:t xml:space="preserve">in patients </w:t>
      </w:r>
      <w:r w:rsidR="00FA2556" w:rsidRPr="00723037">
        <w:rPr>
          <w:iCs/>
        </w:rPr>
        <w:t xml:space="preserve">who </w:t>
      </w:r>
      <w:r w:rsidR="005058D8" w:rsidRPr="00723037">
        <w:rPr>
          <w:iCs/>
        </w:rPr>
        <w:t>had</w:t>
      </w:r>
      <w:r w:rsidR="008C4690" w:rsidRPr="00723037">
        <w:rPr>
          <w:iCs/>
        </w:rPr>
        <w:t xml:space="preserve"> discontinued treatment in previous years</w:t>
      </w:r>
      <w:r w:rsidR="00F45A24" w:rsidRPr="00723037">
        <w:rPr>
          <w:iCs/>
        </w:rPr>
        <w:t>,</w:t>
      </w:r>
      <w:r w:rsidR="008C4690" w:rsidRPr="00723037">
        <w:rPr>
          <w:iCs/>
        </w:rPr>
        <w:t xml:space="preserve"> </w:t>
      </w:r>
      <w:r w:rsidR="001F167F" w:rsidRPr="00723037">
        <w:rPr>
          <w:iCs/>
        </w:rPr>
        <w:t>start</w:t>
      </w:r>
      <w:r w:rsidR="00F45A24" w:rsidRPr="00723037">
        <w:rPr>
          <w:iCs/>
        </w:rPr>
        <w:t>ing</w:t>
      </w:r>
      <w:r w:rsidR="001F167F" w:rsidRPr="00723037">
        <w:rPr>
          <w:iCs/>
        </w:rPr>
        <w:t xml:space="preserve"> treatment again.</w:t>
      </w:r>
      <w:r w:rsidR="008C4690" w:rsidRPr="00723037">
        <w:rPr>
          <w:iCs/>
        </w:rPr>
        <w:t xml:space="preserve"> </w:t>
      </w:r>
      <w:r w:rsidR="00393800" w:rsidRPr="00723037">
        <w:rPr>
          <w:iCs/>
        </w:rPr>
        <w:t>T</w:t>
      </w:r>
      <w:r w:rsidR="00117C10" w:rsidRPr="00723037">
        <w:rPr>
          <w:iCs/>
        </w:rPr>
        <w:t xml:space="preserve">he PBAC </w:t>
      </w:r>
      <w:r w:rsidR="00B5357D" w:rsidRPr="00723037">
        <w:rPr>
          <w:iCs/>
        </w:rPr>
        <w:t xml:space="preserve">advised that this </w:t>
      </w:r>
      <w:r w:rsidR="00B96B1D" w:rsidRPr="00723037">
        <w:rPr>
          <w:iCs/>
        </w:rPr>
        <w:t>resulted in an implausibly high</w:t>
      </w:r>
      <w:r w:rsidR="00F73419" w:rsidRPr="00723037">
        <w:rPr>
          <w:iCs/>
        </w:rPr>
        <w:t xml:space="preserve"> number of patients initiating treatment over the </w:t>
      </w:r>
      <w:r w:rsidR="00F82685" w:rsidRPr="00723037">
        <w:rPr>
          <w:iCs/>
        </w:rPr>
        <w:t xml:space="preserve">6 </w:t>
      </w:r>
      <w:r w:rsidR="00F73419" w:rsidRPr="00723037">
        <w:rPr>
          <w:iCs/>
        </w:rPr>
        <w:t>year</w:t>
      </w:r>
      <w:r w:rsidR="00F82685" w:rsidRPr="00723037">
        <w:rPr>
          <w:iCs/>
        </w:rPr>
        <w:t xml:space="preserve"> estimate</w:t>
      </w:r>
      <w:r w:rsidR="002A5F65" w:rsidRPr="00723037">
        <w:rPr>
          <w:iCs/>
        </w:rPr>
        <w:t>s</w:t>
      </w:r>
      <w:r w:rsidR="00F73419" w:rsidRPr="00723037">
        <w:rPr>
          <w:iCs/>
        </w:rPr>
        <w:t>, i.e.</w:t>
      </w:r>
      <w:r w:rsidR="00DD0CE6">
        <w:rPr>
          <w:iCs/>
        </w:rPr>
        <w:t>,</w:t>
      </w:r>
      <w:r w:rsidR="00F73419" w:rsidRPr="00723037">
        <w:rPr>
          <w:iCs/>
        </w:rPr>
        <w:t xml:space="preserve"> it was estimated that </w:t>
      </w:r>
      <w:r w:rsidR="00DD0CE6">
        <w:rPr>
          <w:iCs/>
        </w:rPr>
        <w:t xml:space="preserve">50,000 to &lt; 60,000 </w:t>
      </w:r>
      <w:r w:rsidR="002E186A" w:rsidRPr="00723037">
        <w:rPr>
          <w:iCs/>
        </w:rPr>
        <w:t>patients</w:t>
      </w:r>
      <w:r w:rsidR="00F0026E" w:rsidRPr="00723037">
        <w:rPr>
          <w:iCs/>
        </w:rPr>
        <w:t xml:space="preserve"> </w:t>
      </w:r>
      <w:r w:rsidR="002E186A" w:rsidRPr="00723037">
        <w:rPr>
          <w:iCs/>
        </w:rPr>
        <w:t xml:space="preserve">initiated treatment over the </w:t>
      </w:r>
      <w:r w:rsidR="00F82685" w:rsidRPr="00723037">
        <w:rPr>
          <w:iCs/>
        </w:rPr>
        <w:t>6</w:t>
      </w:r>
      <w:r w:rsidR="003B4BC9">
        <w:rPr>
          <w:iCs/>
        </w:rPr>
        <w:t> </w:t>
      </w:r>
      <w:r w:rsidR="00F82685" w:rsidRPr="00723037">
        <w:rPr>
          <w:iCs/>
        </w:rPr>
        <w:t>years</w:t>
      </w:r>
      <w:r w:rsidR="00F0026E" w:rsidRPr="00723037">
        <w:rPr>
          <w:iCs/>
        </w:rPr>
        <w:t xml:space="preserve"> which was more than the </w:t>
      </w:r>
      <w:r w:rsidR="0059224F">
        <w:rPr>
          <w:iCs/>
        </w:rPr>
        <w:t>prevalent</w:t>
      </w:r>
      <w:r w:rsidR="007A00DB" w:rsidRPr="00723037">
        <w:rPr>
          <w:iCs/>
        </w:rPr>
        <w:t xml:space="preserve"> pool of eligible patients (</w:t>
      </w:r>
      <w:r w:rsidR="00DD0CE6">
        <w:rPr>
          <w:iCs/>
        </w:rPr>
        <w:t xml:space="preserve">40,000 to &lt; 50,000 </w:t>
      </w:r>
      <w:r w:rsidR="007A00DB" w:rsidRPr="00723037">
        <w:rPr>
          <w:iCs/>
        </w:rPr>
        <w:t xml:space="preserve">in year 1, </w:t>
      </w:r>
      <w:r w:rsidR="00DD0CE6">
        <w:rPr>
          <w:iCs/>
        </w:rPr>
        <w:t>50,000 to &lt; 60,000</w:t>
      </w:r>
      <w:r w:rsidR="00602399" w:rsidRPr="00723037">
        <w:rPr>
          <w:iCs/>
        </w:rPr>
        <w:t xml:space="preserve"> in year 6)</w:t>
      </w:r>
      <w:r w:rsidR="00217733" w:rsidRPr="00723037">
        <w:rPr>
          <w:iCs/>
        </w:rPr>
        <w:t>.</w:t>
      </w:r>
      <w:r w:rsidR="00D82D31" w:rsidRPr="00723037">
        <w:rPr>
          <w:iCs/>
        </w:rPr>
        <w:t xml:space="preserve"> </w:t>
      </w:r>
      <w:r w:rsidR="00610FB7" w:rsidRPr="00723037">
        <w:rPr>
          <w:iCs/>
        </w:rPr>
        <w:t xml:space="preserve">The PBAC considered </w:t>
      </w:r>
      <w:r w:rsidR="00B049A8" w:rsidRPr="00723037">
        <w:rPr>
          <w:iCs/>
        </w:rPr>
        <w:t xml:space="preserve">that </w:t>
      </w:r>
      <w:r w:rsidR="00B34B92" w:rsidRPr="00723037">
        <w:rPr>
          <w:iCs/>
        </w:rPr>
        <w:t xml:space="preserve">a cumulative approach to uptake </w:t>
      </w:r>
      <w:r w:rsidR="00B049A8" w:rsidRPr="00723037">
        <w:rPr>
          <w:iCs/>
        </w:rPr>
        <w:t>should be applied</w:t>
      </w:r>
      <w:r w:rsidR="00020A4F" w:rsidRPr="00723037">
        <w:rPr>
          <w:iCs/>
        </w:rPr>
        <w:t xml:space="preserve">. </w:t>
      </w:r>
      <w:r w:rsidR="00B049A8" w:rsidRPr="00723037">
        <w:rPr>
          <w:iCs/>
        </w:rPr>
        <w:t xml:space="preserve"> </w:t>
      </w:r>
      <w:r w:rsidR="00614386" w:rsidRPr="00723037">
        <w:rPr>
          <w:iCs/>
        </w:rPr>
        <w:t xml:space="preserve">Assuming uptake increases </w:t>
      </w:r>
      <w:r w:rsidR="00614386" w:rsidRPr="00723037">
        <w:rPr>
          <w:iCs/>
        </w:rPr>
        <w:lastRenderedPageBreak/>
        <w:t>linearly, t</w:t>
      </w:r>
      <w:r w:rsidR="00020A4F" w:rsidRPr="00723037">
        <w:rPr>
          <w:iCs/>
        </w:rPr>
        <w:t>his</w:t>
      </w:r>
      <w:r w:rsidR="00692CB8" w:rsidRPr="00723037">
        <w:rPr>
          <w:iCs/>
        </w:rPr>
        <w:t xml:space="preserve"> would invo</w:t>
      </w:r>
      <w:r w:rsidR="000A07E9" w:rsidRPr="00723037">
        <w:rPr>
          <w:iCs/>
        </w:rPr>
        <w:t xml:space="preserve">lve </w:t>
      </w:r>
      <w:r w:rsidR="00331ADA" w:rsidRPr="00331ADA">
        <w:rPr>
          <w:iCs/>
          <w:sz w:val="2"/>
          <w:highlight w:val="black"/>
        </w:rPr>
        <w:t>redacted content</w:t>
      </w:r>
      <w:r w:rsidR="000A07E9" w:rsidRPr="00723037">
        <w:rPr>
          <w:iCs/>
        </w:rPr>
        <w:t xml:space="preserve">% of the eligible population </w:t>
      </w:r>
      <w:r w:rsidR="002E4429">
        <w:rPr>
          <w:iCs/>
        </w:rPr>
        <w:t>initiating</w:t>
      </w:r>
      <w:r w:rsidR="000A07E9" w:rsidRPr="00723037">
        <w:rPr>
          <w:iCs/>
        </w:rPr>
        <w:t xml:space="preserve"> treatment in Year 1 with </w:t>
      </w:r>
      <w:r w:rsidR="00331ADA" w:rsidRPr="00331ADA">
        <w:rPr>
          <w:iCs/>
          <w:sz w:val="2"/>
          <w:highlight w:val="black"/>
        </w:rPr>
        <w:t>redacted content</w:t>
      </w:r>
      <w:r w:rsidR="00C2391C" w:rsidRPr="00723037">
        <w:rPr>
          <w:iCs/>
        </w:rPr>
        <w:t xml:space="preserve">% </w:t>
      </w:r>
      <w:r w:rsidR="00020A4F" w:rsidRPr="00723037">
        <w:rPr>
          <w:iCs/>
        </w:rPr>
        <w:t xml:space="preserve">applied in </w:t>
      </w:r>
      <w:r w:rsidR="00D56251" w:rsidRPr="00723037">
        <w:rPr>
          <w:iCs/>
        </w:rPr>
        <w:t>Year 2 to Year 6</w:t>
      </w:r>
      <w:r w:rsidR="00020A4F" w:rsidRPr="00723037">
        <w:rPr>
          <w:iCs/>
        </w:rPr>
        <w:t xml:space="preserve"> to reach a cum</w:t>
      </w:r>
      <w:r w:rsidR="00205462" w:rsidRPr="00723037">
        <w:rPr>
          <w:iCs/>
        </w:rPr>
        <w:t xml:space="preserve">ulative total of </w:t>
      </w:r>
      <w:r w:rsidR="00331ADA" w:rsidRPr="00331ADA">
        <w:rPr>
          <w:iCs/>
          <w:sz w:val="2"/>
          <w:highlight w:val="black"/>
        </w:rPr>
        <w:t>redacted content</w:t>
      </w:r>
      <w:r w:rsidR="00205462" w:rsidRPr="00723037">
        <w:rPr>
          <w:iCs/>
        </w:rPr>
        <w:t>% in Year 6</w:t>
      </w:r>
      <w:r w:rsidR="00D56251" w:rsidRPr="00723037">
        <w:rPr>
          <w:iCs/>
        </w:rPr>
        <w:t>.</w:t>
      </w:r>
      <w:bookmarkEnd w:id="106"/>
      <w:r w:rsidR="00D56251" w:rsidRPr="00723037">
        <w:rPr>
          <w:iCs/>
        </w:rPr>
        <w:t xml:space="preserve"> </w:t>
      </w:r>
    </w:p>
    <w:p w14:paraId="4BA52DA6" w14:textId="02D7CE14" w:rsidR="005446D7" w:rsidRPr="001F3F0F" w:rsidRDefault="003A2258" w:rsidP="005979BE">
      <w:pPr>
        <w:pStyle w:val="3-BodyText"/>
        <w:rPr>
          <w:iCs/>
        </w:rPr>
      </w:pPr>
      <w:bookmarkStart w:id="107" w:name="_Ref225081362"/>
      <w:r>
        <w:rPr>
          <w:iCs/>
        </w:rPr>
        <w:t xml:space="preserve">Both the submission base case and the pre-PBAC response revised estimates </w:t>
      </w:r>
      <w:r w:rsidR="004541EC">
        <w:rPr>
          <w:iCs/>
        </w:rPr>
        <w:t xml:space="preserve">applied </w:t>
      </w:r>
      <w:r w:rsidR="00FF7449">
        <w:rPr>
          <w:iCs/>
        </w:rPr>
        <w:t xml:space="preserve">the </w:t>
      </w:r>
      <w:r w:rsidR="00A13919">
        <w:rPr>
          <w:iCs/>
        </w:rPr>
        <w:t>annual discontinuation rate</w:t>
      </w:r>
      <w:r w:rsidR="004541EC">
        <w:rPr>
          <w:iCs/>
        </w:rPr>
        <w:t xml:space="preserve"> to inform</w:t>
      </w:r>
      <w:r w:rsidR="00A13919">
        <w:rPr>
          <w:iCs/>
        </w:rPr>
        <w:t xml:space="preserve"> </w:t>
      </w:r>
      <w:r w:rsidR="00F2559F">
        <w:rPr>
          <w:iCs/>
        </w:rPr>
        <w:t xml:space="preserve">the split between initiating and continuing patients, however </w:t>
      </w:r>
      <w:r w:rsidR="00BD7374">
        <w:rPr>
          <w:iCs/>
        </w:rPr>
        <w:t xml:space="preserve">as noted in the paragraph above, </w:t>
      </w:r>
      <w:r w:rsidR="00F05EDF">
        <w:rPr>
          <w:iCs/>
        </w:rPr>
        <w:t>p</w:t>
      </w:r>
      <w:r w:rsidR="000D3FC3" w:rsidRPr="00F05EDF">
        <w:rPr>
          <w:iCs/>
        </w:rPr>
        <w:t xml:space="preserve">atients who discontinued treatment were not removed from the prevalent pool </w:t>
      </w:r>
      <w:r w:rsidR="00823CC1">
        <w:rPr>
          <w:iCs/>
        </w:rPr>
        <w:t>in</w:t>
      </w:r>
      <w:r w:rsidR="000D3FC3" w:rsidRPr="00F05EDF">
        <w:rPr>
          <w:iCs/>
        </w:rPr>
        <w:t xml:space="preserve"> subsequent years.</w:t>
      </w:r>
      <w:r w:rsidR="00A13919">
        <w:rPr>
          <w:iCs/>
        </w:rPr>
        <w:t xml:space="preserve"> </w:t>
      </w:r>
      <w:r w:rsidR="00A6692A">
        <w:rPr>
          <w:iCs/>
        </w:rPr>
        <w:t>The PBAC considered that</w:t>
      </w:r>
      <w:r w:rsidR="00624891">
        <w:rPr>
          <w:iCs/>
        </w:rPr>
        <w:t xml:space="preserve"> rather than us</w:t>
      </w:r>
      <w:r w:rsidR="00BD585B">
        <w:rPr>
          <w:iCs/>
        </w:rPr>
        <w:t>ing the assumed discontinuation rate</w:t>
      </w:r>
      <w:r w:rsidR="009921AB">
        <w:rPr>
          <w:iCs/>
        </w:rPr>
        <w:t xml:space="preserve"> (20% annually)</w:t>
      </w:r>
      <w:r w:rsidR="00A6692A">
        <w:rPr>
          <w:iCs/>
        </w:rPr>
        <w:t xml:space="preserve"> </w:t>
      </w:r>
      <w:r w:rsidR="00AD11EF">
        <w:rPr>
          <w:iCs/>
        </w:rPr>
        <w:t xml:space="preserve">it may be more appropriate to </w:t>
      </w:r>
      <w:r w:rsidR="005D77FA">
        <w:rPr>
          <w:iCs/>
        </w:rPr>
        <w:t xml:space="preserve">use the proportion of patients continuing treatment from the </w:t>
      </w:r>
      <w:r w:rsidR="00BD4AFF">
        <w:rPr>
          <w:iCs/>
        </w:rPr>
        <w:t>economic</w:t>
      </w:r>
      <w:r w:rsidR="005D77FA">
        <w:rPr>
          <w:iCs/>
        </w:rPr>
        <w:t xml:space="preserve"> model to inform annual treatment persistence. </w:t>
      </w:r>
      <w:r w:rsidR="00D3757E">
        <w:rPr>
          <w:iCs/>
        </w:rPr>
        <w:t xml:space="preserve">The PBAC noted that this approach accounted for treatment </w:t>
      </w:r>
      <w:r w:rsidR="003678AC">
        <w:rPr>
          <w:iCs/>
        </w:rPr>
        <w:t>discontinuation due to any cause and mortality.</w:t>
      </w:r>
      <w:bookmarkEnd w:id="107"/>
      <w:r w:rsidR="003678AC">
        <w:rPr>
          <w:iCs/>
        </w:rPr>
        <w:t xml:space="preserve"> </w:t>
      </w:r>
    </w:p>
    <w:p w14:paraId="3AF0E434" w14:textId="77777777" w:rsidR="00AC64A4" w:rsidRPr="000717E1" w:rsidRDefault="00AC64A4" w:rsidP="00AC64A4">
      <w:pPr>
        <w:pStyle w:val="4-SubsectionHeading"/>
      </w:pPr>
      <w:r w:rsidRPr="000717E1">
        <w:t>Quality Use of Medicines</w:t>
      </w:r>
      <w:bookmarkEnd w:id="97"/>
    </w:p>
    <w:p w14:paraId="3D8E6E92" w14:textId="07216784" w:rsidR="00AC64A4" w:rsidRPr="000717E1" w:rsidRDefault="00AC64A4" w:rsidP="0060791D">
      <w:pPr>
        <w:pStyle w:val="3-BodyText"/>
        <w:numPr>
          <w:ilvl w:val="1"/>
          <w:numId w:val="6"/>
        </w:numPr>
      </w:pPr>
      <w:r w:rsidRPr="000717E1">
        <w:t>The submission noted that healthcare professional education materials will be created to explain the benefits, risks, and appropriate patient selection for dupilumab in uncontrolled COPD with type 2 inflammation (</w:t>
      </w:r>
      <w:r w:rsidR="009B002C">
        <w:t>BEC</w:t>
      </w:r>
      <w:r w:rsidRPr="000717E1">
        <w:t xml:space="preserve"> ≥ 300 cells/µL), aligned with the TGA-approved information and disseminated through multiple channels. The submission stated patient-focused resources will be developed to support an understanding of the condition, treatment, and potential side effects. </w:t>
      </w:r>
      <w:r w:rsidR="002F52FB" w:rsidRPr="001F3F0F">
        <w:rPr>
          <w:iCs/>
        </w:rPr>
        <w:t>The Sub</w:t>
      </w:r>
      <w:r w:rsidR="003B4BC9">
        <w:rPr>
          <w:iCs/>
        </w:rPr>
        <w:noBreakHyphen/>
      </w:r>
      <w:r w:rsidR="002F52FB" w:rsidRPr="001F3F0F">
        <w:rPr>
          <w:iCs/>
        </w:rPr>
        <w:t xml:space="preserve">Committees noted that the submission assumed one nurse practitioner visit for 40 minutes for patient education on administration and then all future treatments </w:t>
      </w:r>
      <w:r w:rsidR="00133A34" w:rsidRPr="001F3F0F">
        <w:rPr>
          <w:iCs/>
        </w:rPr>
        <w:t xml:space="preserve">are </w:t>
      </w:r>
      <w:r w:rsidR="002F52FB" w:rsidRPr="001F3F0F">
        <w:rPr>
          <w:iCs/>
        </w:rPr>
        <w:t xml:space="preserve">self-administered. The Sub-Committees considered that it is likely that repeat education on administration will be required for some patients. For those patients who can’t self-administer, there was nothing to support administration except an acknowledgement patients may need health professional assistance to support administration. The Sub-Committees considered that patients will need continued support to ensure optimised inhaler technique before and after starting dupilumab. </w:t>
      </w:r>
    </w:p>
    <w:p w14:paraId="6EC80709" w14:textId="77777777" w:rsidR="00AC64A4" w:rsidRPr="000717E1" w:rsidRDefault="00AC64A4" w:rsidP="00AC64A4">
      <w:pPr>
        <w:pStyle w:val="4-SubsectionHeading"/>
        <w:rPr>
          <w:i w:val="0"/>
        </w:rPr>
      </w:pPr>
      <w:bookmarkStart w:id="108" w:name="_Toc219880049"/>
      <w:bookmarkEnd w:id="70"/>
      <w:bookmarkEnd w:id="71"/>
      <w:bookmarkEnd w:id="72"/>
      <w:r w:rsidRPr="000717E1">
        <w:rPr>
          <w:i w:val="0"/>
        </w:rPr>
        <w:t>Financial Management – Risk Sharing Arrangements</w:t>
      </w:r>
      <w:bookmarkEnd w:id="108"/>
    </w:p>
    <w:p w14:paraId="0AC2D32B" w14:textId="39995D9B" w:rsidR="00AC64A4" w:rsidRPr="00DA4DE1" w:rsidRDefault="00AC64A4" w:rsidP="00AC64A4">
      <w:pPr>
        <w:pStyle w:val="3-BodyText"/>
      </w:pPr>
      <w:r w:rsidRPr="000717E1">
        <w:rPr>
          <w:bCs/>
        </w:rPr>
        <w:t xml:space="preserve">The submission proposed a risk sharing arrangement whereby the sponsor would rebate a maximum of </w:t>
      </w:r>
      <w:r w:rsidR="00331ADA" w:rsidRPr="00331ADA">
        <w:rPr>
          <w:bCs/>
          <w:sz w:val="2"/>
          <w:highlight w:val="black"/>
        </w:rPr>
        <w:t>redacted content</w:t>
      </w:r>
      <w:r w:rsidRPr="000717E1">
        <w:rPr>
          <w:bCs/>
        </w:rPr>
        <w:t xml:space="preserve">% of any expenditure (Commonwealth Payment) above the agreed utilisation estimates, with the remaining </w:t>
      </w:r>
      <w:r w:rsidR="00331ADA" w:rsidRPr="00331ADA">
        <w:rPr>
          <w:bCs/>
          <w:sz w:val="2"/>
          <w:highlight w:val="black"/>
        </w:rPr>
        <w:t>redacted content</w:t>
      </w:r>
      <w:r w:rsidRPr="000717E1">
        <w:rPr>
          <w:bCs/>
        </w:rPr>
        <w:t>% absorbed by the Commonwealth.</w:t>
      </w:r>
    </w:p>
    <w:p w14:paraId="47B51F56" w14:textId="30F68A37" w:rsidR="002D72C1" w:rsidRPr="004A36C8" w:rsidRDefault="00DA4DE1" w:rsidP="004A36C8">
      <w:pPr>
        <w:pStyle w:val="3-BodyText"/>
        <w:numPr>
          <w:ilvl w:val="0"/>
          <w:numId w:val="0"/>
        </w:numPr>
        <w:ind w:left="720"/>
        <w:rPr>
          <w:i/>
          <w:iCs/>
        </w:rPr>
      </w:pPr>
      <w:r w:rsidRPr="00D86F03">
        <w:rPr>
          <w:i/>
          <w:iCs/>
        </w:rPr>
        <w:t>For more detail on PBAC’s view, see section 7 PBAC outcome.</w:t>
      </w:r>
    </w:p>
    <w:p w14:paraId="3D15684F" w14:textId="77777777" w:rsidR="004618FC" w:rsidRPr="0090150D" w:rsidRDefault="004618FC" w:rsidP="004618FC">
      <w:pPr>
        <w:pStyle w:val="2-SectionHeading"/>
        <w:numPr>
          <w:ilvl w:val="0"/>
          <w:numId w:val="1"/>
        </w:numPr>
      </w:pPr>
      <w:bookmarkStart w:id="109" w:name="_Hlk76381249"/>
      <w:bookmarkStart w:id="110" w:name="_Hlk76377955"/>
      <w:r w:rsidRPr="0090150D">
        <w:t>PBAC Outcome</w:t>
      </w:r>
    </w:p>
    <w:p w14:paraId="2DE0D633" w14:textId="3E579717" w:rsidR="001F02C6" w:rsidRPr="00916BCA" w:rsidRDefault="00E23B6A" w:rsidP="00916BCA">
      <w:pPr>
        <w:pStyle w:val="3-BodyText"/>
        <w:rPr>
          <w:rFonts w:ascii="Aptos" w:hAnsi="Aptos" w:cs="Aptos"/>
          <w:szCs w:val="24"/>
        </w:rPr>
      </w:pPr>
      <w:r>
        <w:t>The PBAC recommended the listing of dupilumab as an add-on maintenance treatment for adults with uncontrolled chronic obstructive pulmonary disease (COPD) and type 2 inflammation (defined by the submission as blood eosinophil</w:t>
      </w:r>
      <w:r w:rsidR="009B002C">
        <w:t xml:space="preserve"> count (BEC</w:t>
      </w:r>
      <w:r w:rsidR="00813327">
        <w:t>)</w:t>
      </w:r>
      <w:r>
        <w:t xml:space="preserve"> ≥ 300 cells/µL). </w:t>
      </w:r>
      <w:r w:rsidR="00CE6209">
        <w:t xml:space="preserve">The PBAC was satisfied that dupilumab provides, for some patients, a significant improvement in efficacy over </w:t>
      </w:r>
      <w:r w:rsidR="00596C67" w:rsidRPr="00D27683">
        <w:t>triple inhaled therapy alone</w:t>
      </w:r>
      <w:r w:rsidR="00916BCA">
        <w:t xml:space="preserve">. The PBAC noted that dupilumab plus </w:t>
      </w:r>
      <w:r w:rsidR="00916BCA" w:rsidRPr="00D27683">
        <w:t>triple inhaled therapy</w:t>
      </w:r>
      <w:r w:rsidR="00916BCA">
        <w:t xml:space="preserve"> </w:t>
      </w:r>
      <w:r w:rsidR="00BE0E95" w:rsidRPr="00916BCA">
        <w:rPr>
          <w:snapToGrid w:val="0"/>
          <w:lang w:val="en-GB"/>
        </w:rPr>
        <w:t>significantly</w:t>
      </w:r>
      <w:r w:rsidR="00477F81" w:rsidRPr="00916BCA">
        <w:rPr>
          <w:snapToGrid w:val="0"/>
          <w:lang w:val="en-GB"/>
        </w:rPr>
        <w:t xml:space="preserve"> reduced</w:t>
      </w:r>
      <w:r w:rsidR="00AC4480" w:rsidRPr="00916BCA">
        <w:rPr>
          <w:snapToGrid w:val="0"/>
          <w:lang w:val="en-GB"/>
        </w:rPr>
        <w:t xml:space="preserve"> </w:t>
      </w:r>
      <w:r w:rsidR="005A31A0" w:rsidRPr="00916BCA">
        <w:rPr>
          <w:snapToGrid w:val="0"/>
          <w:lang w:val="en-GB"/>
        </w:rPr>
        <w:t xml:space="preserve">the annualised rate of </w:t>
      </w:r>
      <w:r w:rsidR="008E079D" w:rsidRPr="00916BCA">
        <w:rPr>
          <w:snapToGrid w:val="0"/>
          <w:lang w:val="en-GB"/>
        </w:rPr>
        <w:t xml:space="preserve">moderate/severe </w:t>
      </w:r>
      <w:r w:rsidR="00140E2A" w:rsidRPr="00916BCA">
        <w:rPr>
          <w:snapToGrid w:val="0"/>
          <w:lang w:val="en-GB"/>
        </w:rPr>
        <w:t xml:space="preserve">acute </w:t>
      </w:r>
      <w:r w:rsidR="008E079D" w:rsidRPr="00916BCA">
        <w:rPr>
          <w:snapToGrid w:val="0"/>
          <w:lang w:val="en-GB"/>
        </w:rPr>
        <w:t>exacerbations</w:t>
      </w:r>
      <w:r w:rsidR="0014289A" w:rsidRPr="00916BCA">
        <w:rPr>
          <w:snapToGrid w:val="0"/>
          <w:lang w:val="en-GB"/>
        </w:rPr>
        <w:t xml:space="preserve"> of COPD</w:t>
      </w:r>
      <w:r w:rsidR="008E079D" w:rsidRPr="00916BCA">
        <w:rPr>
          <w:snapToGrid w:val="0"/>
          <w:lang w:val="en-GB"/>
        </w:rPr>
        <w:t xml:space="preserve"> (AECOPD)</w:t>
      </w:r>
      <w:r w:rsidRPr="00916BCA">
        <w:rPr>
          <w:snapToGrid w:val="0"/>
          <w:lang w:val="en-GB"/>
        </w:rPr>
        <w:t xml:space="preserve"> and </w:t>
      </w:r>
      <w:r w:rsidR="00BE0E95" w:rsidRPr="00916BCA">
        <w:rPr>
          <w:snapToGrid w:val="0"/>
          <w:lang w:val="en-GB"/>
        </w:rPr>
        <w:t xml:space="preserve">significantly </w:t>
      </w:r>
      <w:r w:rsidR="008E079D" w:rsidRPr="00916BCA">
        <w:rPr>
          <w:snapToGrid w:val="0"/>
          <w:lang w:val="en-GB"/>
        </w:rPr>
        <w:lastRenderedPageBreak/>
        <w:t>extended the time to</w:t>
      </w:r>
      <w:r w:rsidR="000357AB" w:rsidRPr="00916BCA">
        <w:rPr>
          <w:snapToGrid w:val="0"/>
          <w:lang w:val="en-GB"/>
        </w:rPr>
        <w:t xml:space="preserve"> </w:t>
      </w:r>
      <w:r w:rsidR="004F45DD" w:rsidRPr="00916BCA">
        <w:rPr>
          <w:snapToGrid w:val="0"/>
          <w:lang w:val="en-GB"/>
        </w:rPr>
        <w:t xml:space="preserve">first </w:t>
      </w:r>
      <w:r w:rsidR="002F4D98" w:rsidRPr="00916BCA">
        <w:rPr>
          <w:snapToGrid w:val="0"/>
          <w:lang w:val="en-GB"/>
        </w:rPr>
        <w:t xml:space="preserve">moderate/severe </w:t>
      </w:r>
      <w:r w:rsidR="00B0653D" w:rsidRPr="00916BCA">
        <w:rPr>
          <w:snapToGrid w:val="0"/>
          <w:lang w:val="en-GB"/>
        </w:rPr>
        <w:t>AECOPD</w:t>
      </w:r>
      <w:r w:rsidR="00BE0E95" w:rsidRPr="00916BCA">
        <w:rPr>
          <w:rFonts w:ascii="Aptos" w:hAnsi="Aptos" w:cs="Aptos"/>
          <w:szCs w:val="24"/>
        </w:rPr>
        <w:t xml:space="preserve"> </w:t>
      </w:r>
      <w:r w:rsidR="00477F81">
        <w:t>compared to triple inhaled therapy alone</w:t>
      </w:r>
      <w:r w:rsidR="00F81A76" w:rsidRPr="00916BCA">
        <w:rPr>
          <w:snapToGrid w:val="0"/>
          <w:lang w:val="en-GB"/>
        </w:rPr>
        <w:t>.</w:t>
      </w:r>
      <w:r w:rsidR="000357AB" w:rsidRPr="00916BCA">
        <w:rPr>
          <w:rFonts w:ascii="Aptos" w:hAnsi="Aptos" w:cs="Aptos"/>
          <w:szCs w:val="24"/>
        </w:rPr>
        <w:t xml:space="preserve"> </w:t>
      </w:r>
      <w:r>
        <w:t xml:space="preserve">The PBAC considered that the incremental cost-effectiveness ratio (ICER) was high and uncertain, but </w:t>
      </w:r>
      <w:r w:rsidR="008B33A4">
        <w:t xml:space="preserve">that </w:t>
      </w:r>
      <w:r>
        <w:t xml:space="preserve">with revisions to the </w:t>
      </w:r>
      <w:r w:rsidR="00BA7B21">
        <w:t xml:space="preserve">economic </w:t>
      </w:r>
      <w:r>
        <w:t>model and a price reduction dupilumab could be considered cost-effective. The PBAC noted the revised financial estimates provided in the dupilumab pre-PBAC response and considered that further amendments to the estimates were required. The PBAC considered that the remaining uncertainties could be managed by a risk sharing arrangement</w:t>
      </w:r>
      <w:r w:rsidR="00820E1D">
        <w:t xml:space="preserve"> (RSA)</w:t>
      </w:r>
      <w:r>
        <w:t xml:space="preserve">. </w:t>
      </w:r>
    </w:p>
    <w:p w14:paraId="3B382A81" w14:textId="2E39602F" w:rsidR="000229A3" w:rsidRPr="00992D3A" w:rsidRDefault="000229A3" w:rsidP="00992D3A">
      <w:pPr>
        <w:pStyle w:val="3-BodyText"/>
        <w:widowControl w:val="0"/>
        <w:numPr>
          <w:ilvl w:val="1"/>
          <w:numId w:val="1"/>
        </w:numPr>
        <w:contextualSpacing/>
        <w:rPr>
          <w:snapToGrid w:val="0"/>
          <w:lang w:val="en-GB"/>
        </w:rPr>
      </w:pPr>
      <w:r w:rsidRPr="00160500">
        <w:t xml:space="preserve">The PBAC </w:t>
      </w:r>
      <w:r w:rsidR="00225B9E" w:rsidRPr="00160500">
        <w:t xml:space="preserve">noted and welcomed </w:t>
      </w:r>
      <w:r w:rsidR="007C6D5B">
        <w:t>comments</w:t>
      </w:r>
      <w:r w:rsidR="00225B9E" w:rsidRPr="00160500">
        <w:t xml:space="preserve"> from individuals, health care professionals and organisations. </w:t>
      </w:r>
      <w:r w:rsidR="00283DA8" w:rsidRPr="00160500">
        <w:t>The PBAC noted comments d</w:t>
      </w:r>
      <w:r w:rsidR="00D45C5A" w:rsidRPr="00160500">
        <w:t xml:space="preserve">escribing the significant impact COPD had on the </w:t>
      </w:r>
      <w:r w:rsidR="003B45F0" w:rsidRPr="00160500">
        <w:t>daily lives</w:t>
      </w:r>
      <w:r w:rsidR="00D45C5A" w:rsidRPr="00160500">
        <w:t xml:space="preserve"> of patients, </w:t>
      </w:r>
      <w:r w:rsidR="003B45F0" w:rsidRPr="00160500">
        <w:t>impact</w:t>
      </w:r>
      <w:r w:rsidR="002F25F0" w:rsidRPr="00160500">
        <w:t>ing</w:t>
      </w:r>
      <w:r w:rsidR="003B45F0" w:rsidRPr="00160500">
        <w:t xml:space="preserve"> their ability to work and social</w:t>
      </w:r>
      <w:r w:rsidR="00C379CB" w:rsidRPr="00160500">
        <w:t xml:space="preserve">ise, </w:t>
      </w:r>
      <w:r w:rsidR="000D0229" w:rsidRPr="00160500">
        <w:t xml:space="preserve">which </w:t>
      </w:r>
      <w:r w:rsidR="00C379CB" w:rsidRPr="00160500">
        <w:t>le</w:t>
      </w:r>
      <w:r w:rsidR="000D0229" w:rsidRPr="00160500">
        <w:t>d</w:t>
      </w:r>
      <w:r w:rsidR="00C379CB" w:rsidRPr="00160500">
        <w:t xml:space="preserve"> to </w:t>
      </w:r>
      <w:r w:rsidR="002045A7">
        <w:t xml:space="preserve">a </w:t>
      </w:r>
      <w:r w:rsidR="00C379CB" w:rsidRPr="00160500">
        <w:t>decline in mental health.</w:t>
      </w:r>
      <w:r w:rsidR="00605D90" w:rsidRPr="00160500">
        <w:t xml:space="preserve"> </w:t>
      </w:r>
      <w:r w:rsidR="00654DBB" w:rsidRPr="00160500">
        <w:t>The</w:t>
      </w:r>
      <w:r w:rsidR="00F34321" w:rsidRPr="00160500">
        <w:t xml:space="preserve"> PBAC </w:t>
      </w:r>
      <w:r w:rsidR="00CD137D" w:rsidRPr="00160500">
        <w:t>also</w:t>
      </w:r>
      <w:r w:rsidR="00F34321" w:rsidRPr="00160500">
        <w:t xml:space="preserve"> noted</w:t>
      </w:r>
      <w:r w:rsidR="00654DBB" w:rsidRPr="00160500">
        <w:t xml:space="preserve"> </w:t>
      </w:r>
      <w:r w:rsidR="00285FB5">
        <w:t xml:space="preserve">the </w:t>
      </w:r>
      <w:r w:rsidR="00654DBB" w:rsidRPr="00160500">
        <w:t>c</w:t>
      </w:r>
      <w:r w:rsidR="00605D90" w:rsidRPr="00160500">
        <w:t xml:space="preserve">omments </w:t>
      </w:r>
      <w:r w:rsidR="00654DBB" w:rsidRPr="00160500">
        <w:t>highlight</w:t>
      </w:r>
      <w:r w:rsidR="00CD137D" w:rsidRPr="00160500">
        <w:t>ed</w:t>
      </w:r>
      <w:r w:rsidR="00555B18" w:rsidRPr="00160500">
        <w:t xml:space="preserve"> the</w:t>
      </w:r>
      <w:r w:rsidR="00460477" w:rsidRPr="00160500">
        <w:t xml:space="preserve"> </w:t>
      </w:r>
      <w:r w:rsidR="00555B18" w:rsidRPr="00160500">
        <w:t xml:space="preserve">unmet clinical need </w:t>
      </w:r>
      <w:r w:rsidR="00480291" w:rsidRPr="00160500">
        <w:t>for this population</w:t>
      </w:r>
      <w:r w:rsidR="00F34321" w:rsidRPr="00160500">
        <w:t xml:space="preserve">, </w:t>
      </w:r>
      <w:r w:rsidR="00902229" w:rsidRPr="00160500">
        <w:t>not</w:t>
      </w:r>
      <w:r w:rsidR="00F34321" w:rsidRPr="00160500">
        <w:t>ing</w:t>
      </w:r>
      <w:r w:rsidR="00902229" w:rsidRPr="00160500">
        <w:t xml:space="preserve"> the </w:t>
      </w:r>
      <w:r w:rsidR="000B6AF1">
        <w:t>lack of effective treatment options</w:t>
      </w:r>
      <w:r w:rsidR="00B10411">
        <w:t xml:space="preserve"> for patients who continue to experience exacerbations despite triple inhaled therapy</w:t>
      </w:r>
      <w:r w:rsidR="00460477" w:rsidRPr="00160500">
        <w:t xml:space="preserve"> </w:t>
      </w:r>
      <w:r w:rsidR="00482C1D" w:rsidRPr="00160500">
        <w:t>and</w:t>
      </w:r>
      <w:r w:rsidR="00902229" w:rsidRPr="00160500">
        <w:t xml:space="preserve"> the </w:t>
      </w:r>
      <w:r w:rsidR="00B10411">
        <w:t xml:space="preserve">resulting </w:t>
      </w:r>
      <w:r w:rsidR="00460477" w:rsidRPr="00160500">
        <w:t>continued dependence on</w:t>
      </w:r>
      <w:r w:rsidR="00902229" w:rsidRPr="00160500">
        <w:t xml:space="preserve"> oral corticosteroids</w:t>
      </w:r>
      <w:r w:rsidR="0063375C" w:rsidRPr="00160500">
        <w:t>, which carry substantial toxicity.</w:t>
      </w:r>
      <w:r w:rsidR="00B10411">
        <w:t xml:space="preserve"> </w:t>
      </w:r>
      <w:r w:rsidR="00992D3A">
        <w:rPr>
          <w:iCs/>
        </w:rPr>
        <w:t xml:space="preserve">The PBAC noted the </w:t>
      </w:r>
      <w:r w:rsidR="00030867">
        <w:rPr>
          <w:iCs/>
        </w:rPr>
        <w:t>comments</w:t>
      </w:r>
      <w:r w:rsidR="00992D3A" w:rsidRPr="00791FCC">
        <w:rPr>
          <w:iCs/>
        </w:rPr>
        <w:t xml:space="preserve"> highlight</w:t>
      </w:r>
      <w:r w:rsidR="00992D3A">
        <w:rPr>
          <w:iCs/>
        </w:rPr>
        <w:t>ed</w:t>
      </w:r>
      <w:r w:rsidR="00992D3A" w:rsidRPr="00791FCC">
        <w:rPr>
          <w:iCs/>
        </w:rPr>
        <w:t xml:space="preserve"> the importance of additional treatment options, such as </w:t>
      </w:r>
      <w:r w:rsidR="00992D3A">
        <w:rPr>
          <w:iCs/>
        </w:rPr>
        <w:t>dupilumab,</w:t>
      </w:r>
      <w:r w:rsidR="00992D3A" w:rsidRPr="00791FCC">
        <w:rPr>
          <w:iCs/>
        </w:rPr>
        <w:t xml:space="preserve"> to help manage disease burden, reduce reliance on oral corticosteroids</w:t>
      </w:r>
      <w:r w:rsidR="00992D3A">
        <w:rPr>
          <w:iCs/>
        </w:rPr>
        <w:t>,</w:t>
      </w:r>
      <w:r w:rsidR="00992D3A" w:rsidRPr="00791FCC">
        <w:rPr>
          <w:iCs/>
        </w:rPr>
        <w:t xml:space="preserve"> and ultimately improve long-term outcomes</w:t>
      </w:r>
      <w:r w:rsidR="00992D3A" w:rsidRPr="00EB525C">
        <w:rPr>
          <w:iCs/>
        </w:rPr>
        <w:t>.</w:t>
      </w:r>
      <w:r w:rsidR="00992D3A" w:rsidRPr="00EB525C">
        <w:rPr>
          <w:snapToGrid w:val="0"/>
          <w:lang w:val="en-GB"/>
        </w:rPr>
        <w:t xml:space="preserve"> </w:t>
      </w:r>
    </w:p>
    <w:p w14:paraId="25863639" w14:textId="77777777" w:rsidR="001F02C6" w:rsidRDefault="001F02C6" w:rsidP="001F02C6">
      <w:pPr>
        <w:widowControl w:val="0"/>
        <w:numPr>
          <w:ilvl w:val="1"/>
          <w:numId w:val="1"/>
        </w:numPr>
        <w:contextualSpacing/>
        <w:rPr>
          <w:rFonts w:asciiTheme="minorHAnsi" w:hAnsiTheme="minorHAnsi"/>
          <w:snapToGrid w:val="0"/>
          <w:lang w:val="en-GB"/>
        </w:rPr>
      </w:pPr>
      <w:r>
        <w:rPr>
          <w:rFonts w:asciiTheme="minorHAnsi" w:hAnsiTheme="minorHAnsi"/>
          <w:snapToGrid w:val="0"/>
          <w:lang w:val="en-GB"/>
        </w:rPr>
        <w:t>With respect to the proposed restriction, the PBAC proposed that:</w:t>
      </w:r>
    </w:p>
    <w:p w14:paraId="28DAFE6D" w14:textId="77777777" w:rsidR="001F02C6" w:rsidRDefault="001F02C6" w:rsidP="001F02C6">
      <w:pPr>
        <w:pStyle w:val="ListParagraph"/>
        <w:rPr>
          <w:lang w:val="en-GB"/>
        </w:rPr>
      </w:pPr>
      <w:r>
        <w:rPr>
          <w:lang w:val="en-GB"/>
        </w:rPr>
        <w:t xml:space="preserve">A Section 100, Highly Specialised Drug Program Authority Required (Written) listing was appropriate for both the Initial and Grandfathering treatment phases. A Section 100, Highly Specialised Drugs Program Authority Required (Telephone/Online) listing was appropriate for the continuing treatment phase. The initial treatment restriction should have 6 repeats with 5 repeats for the continuing and grandfathering treatment phases. </w:t>
      </w:r>
    </w:p>
    <w:p w14:paraId="0BFE28D0" w14:textId="53A6B9BD" w:rsidR="001F02C6" w:rsidRDefault="008B0C1A" w:rsidP="001F02C6">
      <w:pPr>
        <w:pStyle w:val="ListParagraph"/>
        <w:rPr>
          <w:lang w:val="en-GB"/>
        </w:rPr>
      </w:pPr>
      <w:r>
        <w:rPr>
          <w:lang w:val="en-GB"/>
        </w:rPr>
        <w:t xml:space="preserve">Noting that the indication for use was uncontrolled COPD and that </w:t>
      </w:r>
      <w:r w:rsidR="00E6660C">
        <w:rPr>
          <w:lang w:val="en-GB"/>
        </w:rPr>
        <w:t xml:space="preserve">prescribing was restricted to respiratory physicians or general physicians experienced in the management of </w:t>
      </w:r>
      <w:r w:rsidR="001D5925">
        <w:rPr>
          <w:lang w:val="en-GB"/>
        </w:rPr>
        <w:t>patients with COPD, i</w:t>
      </w:r>
      <w:r w:rsidR="001F02C6">
        <w:rPr>
          <w:lang w:val="en-GB"/>
        </w:rPr>
        <w:t xml:space="preserve">nitial treatment criteria requiring </w:t>
      </w:r>
      <w:r w:rsidR="001D5925">
        <w:rPr>
          <w:lang w:val="en-GB"/>
        </w:rPr>
        <w:t xml:space="preserve">diagnosis </w:t>
      </w:r>
      <w:r w:rsidR="00A66EC7">
        <w:rPr>
          <w:lang w:val="en-GB"/>
        </w:rPr>
        <w:t>based on FEV</w:t>
      </w:r>
      <w:r w:rsidR="00A66EC7" w:rsidRPr="000E3210">
        <w:rPr>
          <w:vertAlign w:val="subscript"/>
          <w:lang w:val="en-GB"/>
        </w:rPr>
        <w:t>1</w:t>
      </w:r>
      <w:r w:rsidR="00A66EC7">
        <w:rPr>
          <w:lang w:val="en-GB"/>
        </w:rPr>
        <w:t>/FVC ratio or FEV</w:t>
      </w:r>
      <w:r w:rsidR="00A66EC7" w:rsidRPr="000E3210">
        <w:rPr>
          <w:vertAlign w:val="subscript"/>
          <w:lang w:val="en-GB"/>
        </w:rPr>
        <w:t>1</w:t>
      </w:r>
      <w:r w:rsidR="00A66EC7">
        <w:rPr>
          <w:lang w:val="en-GB"/>
        </w:rPr>
        <w:t xml:space="preserve"> % predicted </w:t>
      </w:r>
      <w:r w:rsidR="001F02C6">
        <w:rPr>
          <w:lang w:val="en-GB"/>
        </w:rPr>
        <w:t>was not required.</w:t>
      </w:r>
    </w:p>
    <w:p w14:paraId="0A9BBD1B" w14:textId="3F3B07EB" w:rsidR="003B0AE2" w:rsidRPr="008715F3" w:rsidRDefault="003B0AE2" w:rsidP="008715F3">
      <w:pPr>
        <w:pStyle w:val="ListParagraph"/>
        <w:rPr>
          <w:lang w:val="en-GB"/>
        </w:rPr>
      </w:pPr>
      <w:r>
        <w:rPr>
          <w:lang w:val="en-GB"/>
        </w:rPr>
        <w:t xml:space="preserve">As per paragraph </w:t>
      </w:r>
      <w:r>
        <w:rPr>
          <w:lang w:val="en-GB"/>
        </w:rPr>
        <w:fldChar w:fldCharType="begin"/>
      </w:r>
      <w:r>
        <w:rPr>
          <w:lang w:val="en-GB"/>
        </w:rPr>
        <w:instrText xml:space="preserve"> REF _Ref224726769 \r \h </w:instrText>
      </w:r>
      <w:r>
        <w:rPr>
          <w:lang w:val="en-GB"/>
        </w:rPr>
      </w:r>
      <w:r>
        <w:rPr>
          <w:lang w:val="en-GB"/>
        </w:rPr>
        <w:fldChar w:fldCharType="separate"/>
      </w:r>
      <w:r w:rsidR="002207ED">
        <w:rPr>
          <w:lang w:val="en-GB"/>
        </w:rPr>
        <w:t>3.3</w:t>
      </w:r>
      <w:r>
        <w:rPr>
          <w:lang w:val="en-GB"/>
        </w:rPr>
        <w:fldChar w:fldCharType="end"/>
      </w:r>
      <w:r>
        <w:rPr>
          <w:lang w:val="en-GB"/>
        </w:rPr>
        <w:t xml:space="preserve">, </w:t>
      </w:r>
      <w:r w:rsidR="00AF1654">
        <w:rPr>
          <w:lang w:val="en-GB"/>
        </w:rPr>
        <w:t>a BEC</w:t>
      </w:r>
      <w:r>
        <w:rPr>
          <w:lang w:val="en-GB"/>
        </w:rPr>
        <w:t xml:space="preserve"> of at least 300 cells per microlitre in the 12 months prior to commencing treatment was appropriate. </w:t>
      </w:r>
    </w:p>
    <w:p w14:paraId="30706D55" w14:textId="77777777" w:rsidR="001F02C6" w:rsidRDefault="001F02C6" w:rsidP="001F02C6">
      <w:pPr>
        <w:pStyle w:val="ListParagraph"/>
        <w:rPr>
          <w:lang w:val="en-GB"/>
        </w:rPr>
      </w:pPr>
      <w:r>
        <w:rPr>
          <w:lang w:val="en-GB"/>
        </w:rPr>
        <w:t xml:space="preserve">For patients who had not achieved or who had not sustained a response to treatment, a re-trial after a 12-month break was considered appropriate.   </w:t>
      </w:r>
    </w:p>
    <w:p w14:paraId="1BB8948B" w14:textId="718653D4" w:rsidR="001F02C6" w:rsidRDefault="001F02C6" w:rsidP="001F02C6">
      <w:pPr>
        <w:pStyle w:val="ListParagraph"/>
        <w:rPr>
          <w:lang w:val="en-GB"/>
        </w:rPr>
      </w:pPr>
      <w:r>
        <w:rPr>
          <w:lang w:val="en-GB"/>
        </w:rPr>
        <w:t xml:space="preserve">Clinical criteria specifying that patients must not have achieved adequate control with at least 3 months of an optimised triple inhaled therapy was required in both the initial and grandfathering treatment phases. Triple inhaled therapy was considered to consist of treatment with a </w:t>
      </w:r>
      <w:r w:rsidR="00FC414D" w:rsidRPr="00D27683">
        <w:t xml:space="preserve">long-acting muscarinic agonist </w:t>
      </w:r>
      <w:r w:rsidR="00FC414D">
        <w:t>(</w:t>
      </w:r>
      <w:r w:rsidR="00FC414D">
        <w:rPr>
          <w:lang w:val="en-GB"/>
        </w:rPr>
        <w:t xml:space="preserve">LAMA), </w:t>
      </w:r>
      <w:r w:rsidR="00FC414D" w:rsidRPr="00D27683">
        <w:t xml:space="preserve">long-acting beta-2 agonist </w:t>
      </w:r>
      <w:r w:rsidR="00FC414D">
        <w:t>(</w:t>
      </w:r>
      <w:r w:rsidR="00FC414D">
        <w:rPr>
          <w:lang w:val="en-GB"/>
        </w:rPr>
        <w:t xml:space="preserve">LABA) and </w:t>
      </w:r>
      <w:r w:rsidR="00FC414D" w:rsidRPr="00D27683">
        <w:t xml:space="preserve">inhaled corticosteroid </w:t>
      </w:r>
      <w:r w:rsidR="00FC414D">
        <w:t>(</w:t>
      </w:r>
      <w:r w:rsidR="00FC414D">
        <w:rPr>
          <w:lang w:val="en-GB"/>
        </w:rPr>
        <w:t>ICS)</w:t>
      </w:r>
      <w:r>
        <w:rPr>
          <w:lang w:val="en-GB"/>
        </w:rPr>
        <w:t xml:space="preserve">. </w:t>
      </w:r>
    </w:p>
    <w:p w14:paraId="13275FD5" w14:textId="77777777" w:rsidR="001F02C6" w:rsidRDefault="001F02C6" w:rsidP="001F02C6">
      <w:pPr>
        <w:pStyle w:val="ListParagraph"/>
        <w:rPr>
          <w:lang w:val="en-GB"/>
        </w:rPr>
      </w:pPr>
      <w:r>
        <w:rPr>
          <w:lang w:val="en-GB"/>
        </w:rPr>
        <w:lastRenderedPageBreak/>
        <w:t xml:space="preserve">Patients must have experienced at least one severe COPD exacerbation, or at least two moderate COPD exacerbations in the 12 months prior to treatment. At least one of those exacerbations must have occurred while the patient was taking triple inhaled therapy. </w:t>
      </w:r>
    </w:p>
    <w:p w14:paraId="68941EDB" w14:textId="0F19265D" w:rsidR="001F02C6" w:rsidRPr="00EB339E" w:rsidRDefault="00DE75F2" w:rsidP="001F02C6">
      <w:pPr>
        <w:pStyle w:val="ListParagraph"/>
        <w:rPr>
          <w:lang w:val="en-GB"/>
        </w:rPr>
      </w:pPr>
      <w:r>
        <w:rPr>
          <w:lang w:val="en-GB"/>
        </w:rPr>
        <w:t xml:space="preserve">As per paragraph </w:t>
      </w:r>
      <w:r>
        <w:rPr>
          <w:lang w:val="en-GB"/>
        </w:rPr>
        <w:fldChar w:fldCharType="begin"/>
      </w:r>
      <w:r>
        <w:rPr>
          <w:lang w:val="en-GB"/>
        </w:rPr>
        <w:instrText xml:space="preserve"> REF _Ref225439110 \r \h </w:instrText>
      </w:r>
      <w:r>
        <w:rPr>
          <w:lang w:val="en-GB"/>
        </w:rPr>
      </w:r>
      <w:r>
        <w:rPr>
          <w:lang w:val="en-GB"/>
        </w:rPr>
        <w:fldChar w:fldCharType="separate"/>
      </w:r>
      <w:r w:rsidR="002207ED">
        <w:rPr>
          <w:lang w:val="en-GB"/>
        </w:rPr>
        <w:t>3.5</w:t>
      </w:r>
      <w:r>
        <w:rPr>
          <w:lang w:val="en-GB"/>
        </w:rPr>
        <w:fldChar w:fldCharType="end"/>
      </w:r>
      <w:r>
        <w:rPr>
          <w:lang w:val="en-GB"/>
        </w:rPr>
        <w:t>, e</w:t>
      </w:r>
      <w:r w:rsidR="001F02C6">
        <w:rPr>
          <w:iCs/>
        </w:rPr>
        <w:t xml:space="preserve">ach treatment phase </w:t>
      </w:r>
      <w:r w:rsidR="001F02C6" w:rsidRPr="006D6FD8">
        <w:rPr>
          <w:iCs/>
        </w:rPr>
        <w:t xml:space="preserve">should require </w:t>
      </w:r>
      <w:r w:rsidR="00C01D42">
        <w:rPr>
          <w:iCs/>
        </w:rPr>
        <w:t>dupilumab</w:t>
      </w:r>
      <w:r w:rsidR="001F02C6">
        <w:rPr>
          <w:iCs/>
        </w:rPr>
        <w:t xml:space="preserve"> to be taken in combination with triple inhaled therapy</w:t>
      </w:r>
      <w:r w:rsidR="001F02C6" w:rsidRPr="006D6FD8">
        <w:rPr>
          <w:iCs/>
        </w:rPr>
        <w:t>.</w:t>
      </w:r>
    </w:p>
    <w:p w14:paraId="1D864533" w14:textId="77777777" w:rsidR="001F02C6" w:rsidRDefault="001F02C6" w:rsidP="001F02C6">
      <w:pPr>
        <w:pStyle w:val="ListParagraph"/>
        <w:rPr>
          <w:lang w:val="en-GB"/>
        </w:rPr>
      </w:pPr>
      <w:r>
        <w:rPr>
          <w:lang w:val="en-GB"/>
        </w:rPr>
        <w:t>Both the continuing and grandfathering phases should include clinical criteria requiring patients who have received at least 24 weeks of treatment to have both achieved and sustained an adequate response. An adequate response is defined as</w:t>
      </w:r>
      <w:r w:rsidRPr="007F3DF7">
        <w:rPr>
          <w:lang w:val="en-GB"/>
        </w:rPr>
        <w:t> maintenance (i.e. no change) or a reduction in the number of moderate and/or severe exacerbation/s compared to the baseline levels provided with the initial authority application</w:t>
      </w:r>
      <w:r>
        <w:rPr>
          <w:lang w:val="en-GB"/>
        </w:rPr>
        <w:t xml:space="preserve">. </w:t>
      </w:r>
    </w:p>
    <w:p w14:paraId="431974C4" w14:textId="2EECBB59" w:rsidR="001F02C6" w:rsidRDefault="001F02C6" w:rsidP="001F02C6">
      <w:pPr>
        <w:pStyle w:val="ListParagraph"/>
        <w:rPr>
          <w:lang w:val="en-GB"/>
        </w:rPr>
      </w:pPr>
      <w:r>
        <w:rPr>
          <w:lang w:val="en-GB"/>
        </w:rPr>
        <w:t xml:space="preserve">Should a second biologic be listed for this indication, flow on changes to the restriction in paragraph </w:t>
      </w:r>
      <w:r>
        <w:rPr>
          <w:lang w:val="en-GB"/>
        </w:rPr>
        <w:fldChar w:fldCharType="begin"/>
      </w:r>
      <w:r>
        <w:rPr>
          <w:lang w:val="en-GB"/>
        </w:rPr>
        <w:instrText xml:space="preserve"> REF _Ref224656282 \r \h </w:instrText>
      </w:r>
      <w:r>
        <w:rPr>
          <w:lang w:val="en-GB"/>
        </w:rPr>
      </w:r>
      <w:r>
        <w:rPr>
          <w:lang w:val="en-GB"/>
        </w:rPr>
        <w:fldChar w:fldCharType="separate"/>
      </w:r>
      <w:r w:rsidR="002207ED">
        <w:rPr>
          <w:lang w:val="en-GB"/>
        </w:rPr>
        <w:t>8.1</w:t>
      </w:r>
      <w:r>
        <w:rPr>
          <w:lang w:val="en-GB"/>
        </w:rPr>
        <w:fldChar w:fldCharType="end"/>
      </w:r>
      <w:r>
        <w:rPr>
          <w:lang w:val="en-GB"/>
        </w:rPr>
        <w:t xml:space="preserve"> as outlined in paragraph </w:t>
      </w:r>
      <w:r>
        <w:rPr>
          <w:lang w:val="en-GB"/>
        </w:rPr>
        <w:fldChar w:fldCharType="begin"/>
      </w:r>
      <w:r>
        <w:rPr>
          <w:lang w:val="en-GB"/>
        </w:rPr>
        <w:instrText xml:space="preserve"> REF _Ref224656298 \r \h </w:instrText>
      </w:r>
      <w:r>
        <w:rPr>
          <w:lang w:val="en-GB"/>
        </w:rPr>
      </w:r>
      <w:r>
        <w:rPr>
          <w:lang w:val="en-GB"/>
        </w:rPr>
        <w:fldChar w:fldCharType="separate"/>
      </w:r>
      <w:r w:rsidR="002207ED">
        <w:rPr>
          <w:lang w:val="en-GB"/>
        </w:rPr>
        <w:t>8.2</w:t>
      </w:r>
      <w:r>
        <w:rPr>
          <w:lang w:val="en-GB"/>
        </w:rPr>
        <w:fldChar w:fldCharType="end"/>
      </w:r>
      <w:r>
        <w:rPr>
          <w:lang w:val="en-GB"/>
        </w:rPr>
        <w:t xml:space="preserve"> were considered appropriate.</w:t>
      </w:r>
    </w:p>
    <w:p w14:paraId="42A168BB" w14:textId="78237DFC" w:rsidR="001F02C6" w:rsidRDefault="001F02C6" w:rsidP="001F02C6">
      <w:pPr>
        <w:pStyle w:val="ListParagraph"/>
        <w:rPr>
          <w:lang w:val="en-GB"/>
        </w:rPr>
      </w:pPr>
      <w:r w:rsidRPr="16667453">
        <w:rPr>
          <w:lang w:val="en-GB"/>
        </w:rPr>
        <w:t>Flow on changes to all P</w:t>
      </w:r>
      <w:r w:rsidRPr="16667453">
        <w:t>BS-subsidised biological medicine</w:t>
      </w:r>
      <w:r w:rsidRPr="16667453">
        <w:rPr>
          <w:lang w:val="en-GB"/>
        </w:rPr>
        <w:t xml:space="preserve"> listed for </w:t>
      </w:r>
      <w:r w:rsidRPr="16667453">
        <w:t>nasal polyps, uncontrolled severe allergic asthma, and uncontrolled severe asthma to prevent concomitant therapy with another biologic listed for these indications including uncontrolled COPD</w:t>
      </w:r>
      <w:r>
        <w:t xml:space="preserve"> as outlined in paragraph </w:t>
      </w:r>
      <w:r>
        <w:fldChar w:fldCharType="begin"/>
      </w:r>
      <w:r>
        <w:instrText xml:space="preserve"> REF _Ref224719368 \r \h </w:instrText>
      </w:r>
      <w:r>
        <w:fldChar w:fldCharType="separate"/>
      </w:r>
      <w:r w:rsidR="002207ED">
        <w:t>8.3</w:t>
      </w:r>
      <w:r>
        <w:fldChar w:fldCharType="end"/>
      </w:r>
      <w:r w:rsidRPr="16667453">
        <w:t>.</w:t>
      </w:r>
    </w:p>
    <w:p w14:paraId="4C6FF701" w14:textId="0AEB3DC9" w:rsidR="00AF5EE0" w:rsidRPr="00D27683" w:rsidRDefault="00AF5EE0" w:rsidP="00AF5EE0">
      <w:pPr>
        <w:pStyle w:val="3-BodyText"/>
        <w:numPr>
          <w:ilvl w:val="1"/>
          <w:numId w:val="1"/>
        </w:numPr>
      </w:pPr>
      <w:r>
        <w:rPr>
          <w:lang w:val="en-GB"/>
        </w:rPr>
        <w:t>The PBAC considered that the proposed comparator of</w:t>
      </w:r>
      <w:r w:rsidRPr="00D27683">
        <w:t xml:space="preserve"> triple inhaled therapy was appropriate. </w:t>
      </w:r>
      <w:r>
        <w:t xml:space="preserve">The PBAC also considered that mepolizumab was a relevant near market comparator, and noted mepolizumab was also considered by the Committee for the same indication at its March 2026 meeting. </w:t>
      </w:r>
    </w:p>
    <w:p w14:paraId="06F30F85" w14:textId="40DF3821" w:rsidR="006B3F09" w:rsidRPr="000717E1" w:rsidRDefault="00243B19" w:rsidP="006B3F09">
      <w:pPr>
        <w:pStyle w:val="3-BodyText"/>
      </w:pPr>
      <w:r w:rsidRPr="008E5BB9">
        <w:rPr>
          <w:snapToGrid w:val="0"/>
          <w:lang w:val="en-GB"/>
        </w:rPr>
        <w:t>The PBAC noted that the submission was based on</w:t>
      </w:r>
      <w:r w:rsidR="00173A34" w:rsidRPr="000717E1">
        <w:t xml:space="preserve"> 2 randomised, double-blind, placebo-controlled</w:t>
      </w:r>
      <w:r w:rsidR="002E57A1">
        <w:t xml:space="preserve"> </w:t>
      </w:r>
      <w:r w:rsidR="00173A34" w:rsidRPr="000717E1">
        <w:t xml:space="preserve">trials comparing dupilumab + triple inhaled therapy to placebo + triple inhaled therapy </w:t>
      </w:r>
      <w:r w:rsidR="00462E9C">
        <w:t xml:space="preserve">alone </w:t>
      </w:r>
      <w:r w:rsidR="00173A34" w:rsidRPr="000717E1">
        <w:t xml:space="preserve">in patients with uncontrolled COPD and type 2 inflammation, BOREAS (n=939) and NOTUS (n=935). </w:t>
      </w:r>
      <w:r w:rsidR="002B4851">
        <w:t xml:space="preserve">The PBAC noted that </w:t>
      </w:r>
      <w:r w:rsidR="00F222B9" w:rsidRPr="008E5BB9">
        <w:rPr>
          <w:rFonts w:ascii="Calibri" w:eastAsia="Times New Roman" w:hAnsi="Calibri" w:cs="Arial"/>
          <w:szCs w:val="24"/>
        </w:rPr>
        <w:t>dupilumab led to a statistically significant reduction in the annualised rate of moderate/severe AECOPD compared to placebo (</w:t>
      </w:r>
      <w:r w:rsidR="002D19A1" w:rsidRPr="008E5BB9">
        <w:rPr>
          <w:rFonts w:ascii="Calibri" w:eastAsia="Times New Roman" w:hAnsi="Calibri" w:cs="Arial"/>
          <w:szCs w:val="24"/>
        </w:rPr>
        <w:t>BOREAS</w:t>
      </w:r>
      <w:r w:rsidR="002179C3" w:rsidRPr="008E5BB9">
        <w:rPr>
          <w:rFonts w:ascii="Calibri" w:eastAsia="Times New Roman" w:hAnsi="Calibri" w:cs="Arial"/>
          <w:szCs w:val="24"/>
        </w:rPr>
        <w:t xml:space="preserve">: </w:t>
      </w:r>
      <w:r w:rsidR="00E74D17" w:rsidRPr="008E5BB9">
        <w:rPr>
          <w:rFonts w:ascii="Calibri" w:eastAsia="Times New Roman" w:hAnsi="Calibri" w:cs="Arial"/>
          <w:szCs w:val="24"/>
        </w:rPr>
        <w:t>relative risk [</w:t>
      </w:r>
      <w:r w:rsidR="002179C3" w:rsidRPr="008E5BB9">
        <w:rPr>
          <w:rFonts w:ascii="Calibri" w:eastAsia="Times New Roman" w:hAnsi="Calibri" w:cs="Arial"/>
          <w:szCs w:val="24"/>
        </w:rPr>
        <w:t>RR</w:t>
      </w:r>
      <w:r w:rsidR="00E74D17" w:rsidRPr="008E5BB9">
        <w:rPr>
          <w:rFonts w:ascii="Calibri" w:eastAsia="Times New Roman" w:hAnsi="Calibri" w:cs="Arial"/>
          <w:szCs w:val="24"/>
        </w:rPr>
        <w:t>]</w:t>
      </w:r>
      <w:r w:rsidR="002179C3" w:rsidRPr="008E5BB9">
        <w:rPr>
          <w:rFonts w:ascii="Calibri" w:eastAsia="Times New Roman" w:hAnsi="Calibri" w:cs="Arial"/>
          <w:szCs w:val="24"/>
        </w:rPr>
        <w:t xml:space="preserve"> = </w:t>
      </w:r>
      <w:r w:rsidR="00F222B9" w:rsidRPr="008E5BB9">
        <w:rPr>
          <w:rFonts w:ascii="Calibri" w:eastAsia="Times New Roman" w:hAnsi="Calibri" w:cs="Arial"/>
          <w:szCs w:val="24"/>
        </w:rPr>
        <w:t xml:space="preserve"> </w:t>
      </w:r>
      <w:r w:rsidR="008152E9" w:rsidRPr="008E5BB9">
        <w:rPr>
          <w:rFonts w:ascii="Calibri" w:eastAsia="Times New Roman" w:hAnsi="Calibri" w:cs="Arial"/>
          <w:szCs w:val="24"/>
        </w:rPr>
        <w:t>0.705</w:t>
      </w:r>
      <w:r w:rsidR="00933CB9" w:rsidRPr="008E5BB9">
        <w:rPr>
          <w:rFonts w:ascii="Calibri" w:eastAsia="Times New Roman" w:hAnsi="Calibri" w:cs="Arial"/>
          <w:szCs w:val="24"/>
        </w:rPr>
        <w:t xml:space="preserve">, </w:t>
      </w:r>
      <w:r w:rsidR="00E74D17" w:rsidRPr="008E5BB9">
        <w:rPr>
          <w:rFonts w:ascii="Calibri" w:eastAsia="Times New Roman" w:hAnsi="Calibri" w:cs="Arial"/>
          <w:szCs w:val="24"/>
        </w:rPr>
        <w:t xml:space="preserve">95% </w:t>
      </w:r>
      <w:r w:rsidR="00933CB9" w:rsidRPr="008E5BB9">
        <w:rPr>
          <w:rFonts w:ascii="Calibri" w:eastAsia="Times New Roman" w:hAnsi="Calibri" w:cs="Arial"/>
          <w:szCs w:val="24"/>
        </w:rPr>
        <w:t>confidence interval [CI]</w:t>
      </w:r>
      <w:r w:rsidR="000A19E5">
        <w:rPr>
          <w:rFonts w:ascii="Calibri" w:eastAsia="Times New Roman" w:hAnsi="Calibri" w:cs="Arial"/>
          <w:szCs w:val="24"/>
        </w:rPr>
        <w:t>:</w:t>
      </w:r>
      <w:r w:rsidR="00933CB9" w:rsidRPr="008E5BB9">
        <w:rPr>
          <w:rFonts w:ascii="Calibri" w:eastAsia="Times New Roman" w:hAnsi="Calibri" w:cs="Arial"/>
          <w:szCs w:val="24"/>
        </w:rPr>
        <w:t xml:space="preserve"> </w:t>
      </w:r>
      <w:r w:rsidR="008152E9" w:rsidRPr="008E5BB9">
        <w:rPr>
          <w:rFonts w:ascii="Calibri" w:eastAsia="Times New Roman" w:hAnsi="Calibri" w:cs="Arial"/>
          <w:szCs w:val="24"/>
        </w:rPr>
        <w:t>0.58</w:t>
      </w:r>
      <w:r w:rsidR="000A19E5">
        <w:rPr>
          <w:rFonts w:ascii="Calibri" w:eastAsia="Times New Roman" w:hAnsi="Calibri" w:cs="Arial"/>
          <w:szCs w:val="24"/>
        </w:rPr>
        <w:t xml:space="preserve"> to</w:t>
      </w:r>
      <w:r w:rsidR="008152E9" w:rsidRPr="008E5BB9">
        <w:rPr>
          <w:rFonts w:ascii="Calibri" w:eastAsia="Times New Roman" w:hAnsi="Calibri" w:cs="Arial"/>
          <w:szCs w:val="24"/>
        </w:rPr>
        <w:t xml:space="preserve"> 0.86</w:t>
      </w:r>
      <w:r w:rsidR="00933CB9" w:rsidRPr="008E5BB9">
        <w:rPr>
          <w:rFonts w:ascii="Calibri" w:eastAsia="Times New Roman" w:hAnsi="Calibri" w:cs="Arial"/>
          <w:szCs w:val="24"/>
        </w:rPr>
        <w:t xml:space="preserve">, </w:t>
      </w:r>
      <w:r w:rsidR="008152E9" w:rsidRPr="008E5BB9">
        <w:rPr>
          <w:rFonts w:ascii="Calibri" w:eastAsia="Times New Roman" w:hAnsi="Calibri" w:cs="Arial"/>
          <w:szCs w:val="24"/>
        </w:rPr>
        <w:t>p=0.0005</w:t>
      </w:r>
      <w:r w:rsidR="00933CB9" w:rsidRPr="008E5BB9">
        <w:rPr>
          <w:rFonts w:ascii="Calibri" w:eastAsia="Times New Roman" w:hAnsi="Calibri" w:cs="Arial"/>
          <w:szCs w:val="24"/>
        </w:rPr>
        <w:t xml:space="preserve">; NOTUS: RR = 0.664, </w:t>
      </w:r>
      <w:r w:rsidR="00E74D17" w:rsidRPr="008E5BB9">
        <w:rPr>
          <w:rFonts w:ascii="Calibri" w:eastAsia="Times New Roman" w:hAnsi="Calibri" w:cs="Arial"/>
          <w:szCs w:val="24"/>
        </w:rPr>
        <w:t xml:space="preserve">95% </w:t>
      </w:r>
      <w:r w:rsidR="00933CB9" w:rsidRPr="008E5BB9">
        <w:rPr>
          <w:rFonts w:ascii="Calibri" w:eastAsia="Times New Roman" w:hAnsi="Calibri" w:cs="Arial"/>
          <w:szCs w:val="24"/>
        </w:rPr>
        <w:t>CI</w:t>
      </w:r>
      <w:r w:rsidR="000A19E5">
        <w:rPr>
          <w:rFonts w:ascii="Calibri" w:eastAsia="Times New Roman" w:hAnsi="Calibri" w:cs="Arial"/>
          <w:szCs w:val="24"/>
        </w:rPr>
        <w:t>:</w:t>
      </w:r>
      <w:r w:rsidR="00E74D17" w:rsidRPr="008E5BB9">
        <w:rPr>
          <w:rFonts w:ascii="Calibri" w:eastAsia="Times New Roman" w:hAnsi="Calibri" w:cs="Arial"/>
          <w:szCs w:val="24"/>
        </w:rPr>
        <w:t xml:space="preserve"> </w:t>
      </w:r>
      <w:r w:rsidR="00933CB9" w:rsidRPr="008E5BB9">
        <w:rPr>
          <w:rFonts w:ascii="Calibri" w:eastAsia="Times New Roman" w:hAnsi="Calibri" w:cs="Arial"/>
          <w:szCs w:val="24"/>
        </w:rPr>
        <w:t>0.54</w:t>
      </w:r>
      <w:r w:rsidR="000A19E5">
        <w:rPr>
          <w:rFonts w:ascii="Calibri" w:eastAsia="Times New Roman" w:hAnsi="Calibri" w:cs="Arial"/>
          <w:szCs w:val="24"/>
        </w:rPr>
        <w:t xml:space="preserve"> to</w:t>
      </w:r>
      <w:r w:rsidR="00933CB9" w:rsidRPr="008E5BB9">
        <w:rPr>
          <w:rFonts w:ascii="Calibri" w:eastAsia="Times New Roman" w:hAnsi="Calibri" w:cs="Arial"/>
          <w:szCs w:val="24"/>
        </w:rPr>
        <w:t xml:space="preserve"> 0.82</w:t>
      </w:r>
      <w:r w:rsidR="00893267">
        <w:rPr>
          <w:rFonts w:ascii="Calibri" w:eastAsia="Times New Roman" w:hAnsi="Calibri" w:cs="Arial"/>
          <w:szCs w:val="24"/>
        </w:rPr>
        <w:t>,</w:t>
      </w:r>
      <w:r w:rsidR="00E74D17" w:rsidRPr="008E5BB9">
        <w:rPr>
          <w:rFonts w:ascii="Calibri" w:eastAsia="Times New Roman" w:hAnsi="Calibri" w:cs="Arial"/>
          <w:szCs w:val="24"/>
        </w:rPr>
        <w:t xml:space="preserve"> </w:t>
      </w:r>
      <w:r w:rsidR="00256C26" w:rsidRPr="008E5BB9">
        <w:rPr>
          <w:rFonts w:ascii="Calibri" w:eastAsia="Times New Roman" w:hAnsi="Calibri" w:cs="Arial"/>
          <w:szCs w:val="24"/>
        </w:rPr>
        <w:t xml:space="preserve">p=0.0002; </w:t>
      </w:r>
      <w:r w:rsidR="00E74D17" w:rsidRPr="008E5BB9">
        <w:rPr>
          <w:rFonts w:ascii="Calibri" w:eastAsia="Times New Roman" w:hAnsi="Calibri" w:cs="Arial"/>
          <w:szCs w:val="24"/>
        </w:rPr>
        <w:t>Pooled intention-to-treat population: RR = 0.687</w:t>
      </w:r>
      <w:r w:rsidR="008E5BB9" w:rsidRPr="008E5BB9">
        <w:rPr>
          <w:rFonts w:ascii="Calibri" w:eastAsia="Times New Roman" w:hAnsi="Calibri" w:cs="Arial"/>
          <w:szCs w:val="24"/>
        </w:rPr>
        <w:t>, 95 CI%</w:t>
      </w:r>
      <w:r w:rsidR="000A19E5">
        <w:rPr>
          <w:rFonts w:ascii="Calibri" w:eastAsia="Times New Roman" w:hAnsi="Calibri" w:cs="Arial"/>
          <w:szCs w:val="24"/>
        </w:rPr>
        <w:t>:</w:t>
      </w:r>
      <w:r w:rsidR="008E5BB9" w:rsidRPr="008E5BB9">
        <w:rPr>
          <w:rFonts w:ascii="Calibri" w:eastAsia="Times New Roman" w:hAnsi="Calibri" w:cs="Arial"/>
          <w:szCs w:val="24"/>
        </w:rPr>
        <w:t xml:space="preserve"> 0.60</w:t>
      </w:r>
      <w:r w:rsidR="000A19E5">
        <w:rPr>
          <w:rFonts w:ascii="Calibri" w:eastAsia="Times New Roman" w:hAnsi="Calibri" w:cs="Arial"/>
          <w:szCs w:val="24"/>
        </w:rPr>
        <w:t xml:space="preserve"> to</w:t>
      </w:r>
      <w:r w:rsidR="008E5BB9" w:rsidRPr="008E5BB9">
        <w:rPr>
          <w:rFonts w:ascii="Calibri" w:eastAsia="Times New Roman" w:hAnsi="Calibri" w:cs="Arial"/>
          <w:szCs w:val="24"/>
        </w:rPr>
        <w:t xml:space="preserve"> 0.79</w:t>
      </w:r>
      <w:r w:rsidR="00893267">
        <w:rPr>
          <w:rFonts w:ascii="Calibri" w:eastAsia="Times New Roman" w:hAnsi="Calibri" w:cs="Arial"/>
          <w:szCs w:val="24"/>
        </w:rPr>
        <w:t xml:space="preserve">, </w:t>
      </w:r>
      <w:r w:rsidR="008E5BB9" w:rsidRPr="00893267">
        <w:rPr>
          <w:rFonts w:ascii="Calibri" w:eastAsia="Times New Roman" w:hAnsi="Calibri" w:cs="Arial"/>
          <w:szCs w:val="24"/>
        </w:rPr>
        <w:t>p&lt;0.0001</w:t>
      </w:r>
      <w:r w:rsidR="00893267">
        <w:rPr>
          <w:rFonts w:ascii="Calibri" w:eastAsia="Times New Roman" w:hAnsi="Calibri" w:cs="Arial"/>
          <w:szCs w:val="24"/>
        </w:rPr>
        <w:t>)</w:t>
      </w:r>
      <w:r w:rsidR="001D740D">
        <w:rPr>
          <w:rFonts w:ascii="Calibri" w:eastAsia="Times New Roman" w:hAnsi="Calibri" w:cs="Arial"/>
          <w:szCs w:val="24"/>
        </w:rPr>
        <w:t>.</w:t>
      </w:r>
      <w:r w:rsidR="006B3F09">
        <w:rPr>
          <w:rFonts w:ascii="Calibri" w:eastAsia="Times New Roman" w:hAnsi="Calibri" w:cs="Arial"/>
          <w:szCs w:val="24"/>
        </w:rPr>
        <w:t xml:space="preserve"> The PBAC noted that </w:t>
      </w:r>
      <w:r w:rsidR="006B3F09">
        <w:t>d</w:t>
      </w:r>
      <w:r w:rsidR="006B3F09" w:rsidRPr="000717E1">
        <w:t>upilumab delayed the time to first moderate or severe COPD exacerbation event compared to placebo in BOREAS (hazard ratio</w:t>
      </w:r>
      <w:r w:rsidR="005B2A25">
        <w:t xml:space="preserve"> </w:t>
      </w:r>
      <w:r w:rsidR="00365B19">
        <w:t>[HR]</w:t>
      </w:r>
      <w:r w:rsidR="005D3988">
        <w:t xml:space="preserve"> = </w:t>
      </w:r>
      <w:r w:rsidR="006B3F09" w:rsidRPr="000717E1">
        <w:t>0.803, 95% CI: 0.658 to 0.980; p=0.0309) and NOTUS (HR</w:t>
      </w:r>
      <w:r w:rsidR="005D3988">
        <w:t xml:space="preserve"> =</w:t>
      </w:r>
      <w:r w:rsidR="006B3F09" w:rsidRPr="000717E1">
        <w:t xml:space="preserve"> 0.714, 95% CI: 0.574 to 0.887; p=0.0024). </w:t>
      </w:r>
      <w:r w:rsidR="009B33CF">
        <w:t xml:space="preserve">The PBAC also noted that </w:t>
      </w:r>
      <w:r w:rsidR="00470A48">
        <w:rPr>
          <w:iCs/>
        </w:rPr>
        <w:t>the</w:t>
      </w:r>
      <w:r w:rsidR="00470A48" w:rsidRPr="001F3F0F">
        <w:rPr>
          <w:iCs/>
        </w:rPr>
        <w:t xml:space="preserve"> </w:t>
      </w:r>
      <w:r w:rsidR="009B33CF" w:rsidRPr="001F3F0F">
        <w:rPr>
          <w:iCs/>
        </w:rPr>
        <w:t>improvement in pre-BD FEV</w:t>
      </w:r>
      <w:r w:rsidR="009B33CF" w:rsidRPr="001F3F0F">
        <w:rPr>
          <w:iCs/>
          <w:vertAlign w:val="subscript"/>
        </w:rPr>
        <w:t>1</w:t>
      </w:r>
      <w:r w:rsidR="009B33CF" w:rsidRPr="001F3F0F">
        <w:rPr>
          <w:iCs/>
        </w:rPr>
        <w:t xml:space="preserve"> observed </w:t>
      </w:r>
      <w:r w:rsidR="0004063C">
        <w:rPr>
          <w:iCs/>
        </w:rPr>
        <w:t>at</w:t>
      </w:r>
      <w:r w:rsidR="0004063C" w:rsidRPr="001F3F0F">
        <w:rPr>
          <w:iCs/>
        </w:rPr>
        <w:t xml:space="preserve"> </w:t>
      </w:r>
      <w:r w:rsidR="009B33CF" w:rsidRPr="001F3F0F">
        <w:rPr>
          <w:iCs/>
        </w:rPr>
        <w:t xml:space="preserve">Week 2 </w:t>
      </w:r>
      <w:r w:rsidR="0004063C">
        <w:rPr>
          <w:iCs/>
        </w:rPr>
        <w:t xml:space="preserve">was </w:t>
      </w:r>
      <w:r w:rsidR="009B33CF" w:rsidRPr="001F3F0F">
        <w:rPr>
          <w:iCs/>
        </w:rPr>
        <w:t>maintained until around week 44 with a decline evident thereafter</w:t>
      </w:r>
      <w:r w:rsidR="005D3988">
        <w:rPr>
          <w:iCs/>
        </w:rPr>
        <w:t xml:space="preserve"> (see </w:t>
      </w:r>
      <w:r w:rsidR="005D3988">
        <w:rPr>
          <w:iCs/>
        </w:rPr>
        <w:fldChar w:fldCharType="begin"/>
      </w:r>
      <w:r w:rsidR="005D3988">
        <w:rPr>
          <w:iCs/>
        </w:rPr>
        <w:instrText xml:space="preserve"> REF _Ref216029193 \h </w:instrText>
      </w:r>
      <w:r w:rsidR="005D3988">
        <w:rPr>
          <w:iCs/>
        </w:rPr>
      </w:r>
      <w:r w:rsidR="005D3988">
        <w:rPr>
          <w:iCs/>
        </w:rPr>
        <w:fldChar w:fldCharType="separate"/>
      </w:r>
      <w:r w:rsidR="005D3988" w:rsidRPr="000717E1">
        <w:t xml:space="preserve">Figure </w:t>
      </w:r>
      <w:r w:rsidR="005D3988">
        <w:rPr>
          <w:noProof/>
        </w:rPr>
        <w:t>1</w:t>
      </w:r>
      <w:r w:rsidR="005D3988">
        <w:rPr>
          <w:iCs/>
        </w:rPr>
        <w:fldChar w:fldCharType="end"/>
      </w:r>
      <w:r w:rsidR="005D3988">
        <w:rPr>
          <w:iCs/>
        </w:rPr>
        <w:t>)</w:t>
      </w:r>
      <w:r w:rsidR="009B33CF">
        <w:rPr>
          <w:iCs/>
        </w:rPr>
        <w:t>.</w:t>
      </w:r>
      <w:r w:rsidR="00CA2900">
        <w:rPr>
          <w:iCs/>
        </w:rPr>
        <w:t xml:space="preserve"> </w:t>
      </w:r>
      <w:r w:rsidR="00CA2900">
        <w:rPr>
          <w:rFonts w:eastAsia="Calibri"/>
          <w:iCs/>
        </w:rPr>
        <w:t xml:space="preserve">The PBAC considered that </w:t>
      </w:r>
      <w:r w:rsidR="00CA2900" w:rsidRPr="00CE42B4">
        <w:rPr>
          <w:snapToGrid w:val="0"/>
          <w:szCs w:val="20"/>
        </w:rPr>
        <w:t xml:space="preserve">the claim of superior comparative effectiveness </w:t>
      </w:r>
      <w:r w:rsidR="00CA2900" w:rsidRPr="00D27683">
        <w:rPr>
          <w:rFonts w:eastAsia="Calibri"/>
        </w:rPr>
        <w:t>compared to triple inhaled therapy alone</w:t>
      </w:r>
      <w:r w:rsidR="00CA2900">
        <w:rPr>
          <w:snapToGrid w:val="0"/>
          <w:szCs w:val="20"/>
        </w:rPr>
        <w:t xml:space="preserve"> </w:t>
      </w:r>
      <w:r w:rsidR="00CA2900" w:rsidRPr="00CE42B4">
        <w:rPr>
          <w:snapToGrid w:val="0"/>
          <w:szCs w:val="20"/>
        </w:rPr>
        <w:t>was reasonable</w:t>
      </w:r>
      <w:r w:rsidR="00CA2900">
        <w:rPr>
          <w:snapToGrid w:val="0"/>
          <w:szCs w:val="20"/>
        </w:rPr>
        <w:t>.</w:t>
      </w:r>
    </w:p>
    <w:p w14:paraId="38A52537" w14:textId="0F848F3D" w:rsidR="00243B19" w:rsidRDefault="004B5E56" w:rsidP="00587044">
      <w:pPr>
        <w:widowControl w:val="0"/>
        <w:numPr>
          <w:ilvl w:val="1"/>
          <w:numId w:val="1"/>
        </w:numPr>
        <w:spacing w:after="120"/>
        <w:rPr>
          <w:rFonts w:asciiTheme="minorHAnsi" w:hAnsiTheme="minorHAnsi"/>
          <w:snapToGrid w:val="0"/>
          <w:lang w:val="en-GB"/>
        </w:rPr>
      </w:pPr>
      <w:r>
        <w:rPr>
          <w:iCs/>
        </w:rPr>
        <w:t>The PBAC noted that treatment emergent adverse events (</w:t>
      </w:r>
      <w:r w:rsidRPr="001F3F0F">
        <w:rPr>
          <w:iCs/>
        </w:rPr>
        <w:t>TEAEs</w:t>
      </w:r>
      <w:r>
        <w:rPr>
          <w:iCs/>
        </w:rPr>
        <w:t>)</w:t>
      </w:r>
      <w:r w:rsidRPr="001F3F0F">
        <w:rPr>
          <w:iCs/>
        </w:rPr>
        <w:t xml:space="preserve"> related to the investigational medicinal product were higher in the dupilumab arm in BOREAS (7.5% </w:t>
      </w:r>
      <w:r w:rsidRPr="001F3F0F">
        <w:rPr>
          <w:iCs/>
        </w:rPr>
        <w:lastRenderedPageBreak/>
        <w:t>versus 3.8%) and the pooled safety data (5.3% versus 3.9%) with the submission attributing this difference to a higher number of injection site reactions.</w:t>
      </w:r>
      <w:r w:rsidRPr="000717E1">
        <w:t xml:space="preserve"> </w:t>
      </w:r>
      <w:r w:rsidR="00AB27B0">
        <w:rPr>
          <w:rFonts w:asciiTheme="minorHAnsi" w:hAnsiTheme="minorHAnsi"/>
          <w:snapToGrid w:val="0"/>
          <w:lang w:val="en-GB"/>
        </w:rPr>
        <w:t>Overall, the PBAC considered the claim of non-inferior comparative safety compared to triple inhaled therapy alone was reasonable.</w:t>
      </w:r>
      <w:r w:rsidR="00AB27B0" w:rsidRPr="004B5E56">
        <w:rPr>
          <w:iCs/>
        </w:rPr>
        <w:t xml:space="preserve"> </w:t>
      </w:r>
      <w:r w:rsidR="00D018CC">
        <w:rPr>
          <w:rFonts w:eastAsia="Calibri"/>
        </w:rPr>
        <w:t>T</w:t>
      </w:r>
      <w:r w:rsidR="00AB27B0">
        <w:rPr>
          <w:rFonts w:eastAsia="Calibri"/>
        </w:rPr>
        <w:t>he</w:t>
      </w:r>
      <w:r>
        <w:rPr>
          <w:rFonts w:eastAsia="Calibri"/>
        </w:rPr>
        <w:t xml:space="preserve"> PBAC</w:t>
      </w:r>
      <w:r w:rsidR="00E77813">
        <w:rPr>
          <w:rFonts w:eastAsia="Calibri"/>
        </w:rPr>
        <w:t xml:space="preserve"> </w:t>
      </w:r>
      <w:r w:rsidR="00D018CC">
        <w:rPr>
          <w:rFonts w:eastAsia="Calibri"/>
        </w:rPr>
        <w:t>noted the Sub-Committees considered that a</w:t>
      </w:r>
      <w:r>
        <w:rPr>
          <w:rFonts w:eastAsia="Calibri"/>
        </w:rPr>
        <w:t xml:space="preserve"> </w:t>
      </w:r>
      <w:r w:rsidRPr="000717E1">
        <w:rPr>
          <w:rFonts w:eastAsia="Calibri"/>
        </w:rPr>
        <w:t xml:space="preserve">longer duration of follow-up </w:t>
      </w:r>
      <w:r w:rsidR="00F50792">
        <w:rPr>
          <w:rFonts w:eastAsia="Calibri"/>
        </w:rPr>
        <w:t>wa</w:t>
      </w:r>
      <w:r w:rsidRPr="000717E1">
        <w:rPr>
          <w:rFonts w:eastAsia="Calibri"/>
        </w:rPr>
        <w:t>s needed to adequately capture the long-term safety of dupilumab in COPD patients</w:t>
      </w:r>
      <w:r>
        <w:rPr>
          <w:rFonts w:eastAsia="Calibri"/>
        </w:rPr>
        <w:t>.</w:t>
      </w:r>
    </w:p>
    <w:p w14:paraId="1506C8C8" w14:textId="36B0852B" w:rsidR="00243B19" w:rsidRDefault="005618F3" w:rsidP="00587044">
      <w:pPr>
        <w:widowControl w:val="0"/>
        <w:numPr>
          <w:ilvl w:val="1"/>
          <w:numId w:val="1"/>
        </w:numPr>
        <w:spacing w:after="120"/>
        <w:rPr>
          <w:rFonts w:asciiTheme="minorHAnsi" w:hAnsiTheme="minorHAnsi"/>
          <w:snapToGrid w:val="0"/>
          <w:lang w:val="en-GB"/>
        </w:rPr>
      </w:pPr>
      <w:bookmarkStart w:id="111" w:name="_Ref225425222"/>
      <w:r>
        <w:rPr>
          <w:iCs/>
        </w:rPr>
        <w:t xml:space="preserve">The PBAC noted that 2 literature-based indirect treatment comparisons (ITCs) had been identified comparing </w:t>
      </w:r>
      <w:r w:rsidRPr="006D6FD8">
        <w:rPr>
          <w:iCs/>
        </w:rPr>
        <w:t>dupilumab</w:t>
      </w:r>
      <w:r w:rsidR="00FC4B0B">
        <w:rPr>
          <w:iCs/>
        </w:rPr>
        <w:t xml:space="preserve"> and </w:t>
      </w:r>
      <w:r w:rsidR="00FC4B0B" w:rsidRPr="006D6FD8">
        <w:rPr>
          <w:iCs/>
        </w:rPr>
        <w:t>mepolizumab</w:t>
      </w:r>
      <w:r>
        <w:rPr>
          <w:iCs/>
        </w:rPr>
        <w:t xml:space="preserve"> (see paragraph</w:t>
      </w:r>
      <w:r w:rsidR="00E54211">
        <w:rPr>
          <w:iCs/>
        </w:rPr>
        <w:t xml:space="preserve"> </w:t>
      </w:r>
      <w:r w:rsidR="00E54211">
        <w:rPr>
          <w:iCs/>
        </w:rPr>
        <w:fldChar w:fldCharType="begin"/>
      </w:r>
      <w:r w:rsidR="00E54211">
        <w:rPr>
          <w:iCs/>
        </w:rPr>
        <w:instrText xml:space="preserve"> REF _Ref221538395 \r \h </w:instrText>
      </w:r>
      <w:r w:rsidR="00E54211">
        <w:rPr>
          <w:iCs/>
        </w:rPr>
      </w:r>
      <w:r w:rsidR="00E54211">
        <w:rPr>
          <w:iCs/>
        </w:rPr>
        <w:fldChar w:fldCharType="separate"/>
      </w:r>
      <w:r w:rsidR="002207ED">
        <w:rPr>
          <w:iCs/>
        </w:rPr>
        <w:t>6.26</w:t>
      </w:r>
      <w:r w:rsidR="00E54211">
        <w:rPr>
          <w:iCs/>
        </w:rPr>
        <w:fldChar w:fldCharType="end"/>
      </w:r>
      <w:r w:rsidR="00E54211">
        <w:rPr>
          <w:iCs/>
        </w:rPr>
        <w:t xml:space="preserve">). </w:t>
      </w:r>
      <w:r w:rsidR="00EE1C91">
        <w:rPr>
          <w:iCs/>
        </w:rPr>
        <w:t>The PBAC noted the primary ITC analysis undertaken by Bhatt et al. (2025) found that dupilumab provided a numerically favourable but not statistically significant reduction (rate ratio = 0.82, 95% CI 0.66</w:t>
      </w:r>
      <w:r w:rsidR="00EE1C91">
        <w:rPr>
          <w:rFonts w:cstheme="minorHAnsi"/>
        </w:rPr>
        <w:t>–</w:t>
      </w:r>
      <w:r w:rsidR="00EE1C91">
        <w:rPr>
          <w:iCs/>
        </w:rPr>
        <w:t xml:space="preserve">1.01) in the rate of moderate or severe COPD exacerbations compared with mepolizumab. The PBAC noted that the ITC analysis undertaken by Suter et al. (2025) restricted trials to those that required patients to have a BEC </w:t>
      </w:r>
      <w:r w:rsidR="00EE1C91" w:rsidRPr="005529D4">
        <w:rPr>
          <w:snapToGrid w:val="0"/>
          <w:lang w:val="en-GB"/>
        </w:rPr>
        <w:t>300 cells/µL</w:t>
      </w:r>
      <w:r w:rsidR="00EE1C91">
        <w:rPr>
          <w:snapToGrid w:val="0"/>
          <w:lang w:val="en-GB"/>
        </w:rPr>
        <w:t xml:space="preserve"> at inclusion. Suter et al. (2025) reported both dupilumab and mepolizumab were associated with significant reductions in annual exacerbation rates versus placebo, with overlapping 95% confidence interval</w:t>
      </w:r>
      <w:r w:rsidR="002859B0">
        <w:rPr>
          <w:snapToGrid w:val="0"/>
          <w:lang w:val="en-GB"/>
        </w:rPr>
        <w:t>s.</w:t>
      </w:r>
      <w:r w:rsidR="002E779C" w:rsidRPr="002E779C">
        <w:rPr>
          <w:iCs/>
        </w:rPr>
        <w:t xml:space="preserve"> </w:t>
      </w:r>
      <w:r w:rsidR="001A462A">
        <w:rPr>
          <w:iCs/>
        </w:rPr>
        <w:t xml:space="preserve">The PBAC recalled that it had previously accepted a claim of non-inferior comparative safety for dupilumab and mepolizumab in its consideration of dupilumab for uncontrolled severe eosinophilic or allergic asthma (see paragraph </w:t>
      </w:r>
      <w:r w:rsidR="001F4AB7">
        <w:rPr>
          <w:iCs/>
        </w:rPr>
        <w:fldChar w:fldCharType="begin"/>
      </w:r>
      <w:r w:rsidR="001F4AB7">
        <w:rPr>
          <w:iCs/>
        </w:rPr>
        <w:instrText xml:space="preserve"> REF _Ref221538395 \r \h </w:instrText>
      </w:r>
      <w:r w:rsidR="001F4AB7">
        <w:rPr>
          <w:iCs/>
        </w:rPr>
      </w:r>
      <w:r w:rsidR="001F4AB7">
        <w:rPr>
          <w:iCs/>
        </w:rPr>
        <w:fldChar w:fldCharType="separate"/>
      </w:r>
      <w:r w:rsidR="002207ED">
        <w:rPr>
          <w:iCs/>
        </w:rPr>
        <w:t>6.26</w:t>
      </w:r>
      <w:r w:rsidR="001F4AB7">
        <w:rPr>
          <w:iCs/>
        </w:rPr>
        <w:fldChar w:fldCharType="end"/>
      </w:r>
      <w:r w:rsidR="001F4AB7">
        <w:rPr>
          <w:iCs/>
        </w:rPr>
        <w:t xml:space="preserve">). </w:t>
      </w:r>
      <w:r w:rsidR="002E779C">
        <w:rPr>
          <w:iCs/>
        </w:rPr>
        <w:t>Overall, the PBAC advised that the totality of the data suggested that mepolizumab and dupilumab have similar clinical effectiveness and safety, and that a claim of non-inferior comparative effectiveness and safety would be reasonable.</w:t>
      </w:r>
      <w:bookmarkEnd w:id="111"/>
      <w:r w:rsidR="002E779C">
        <w:rPr>
          <w:iCs/>
        </w:rPr>
        <w:t xml:space="preserve">      </w:t>
      </w:r>
    </w:p>
    <w:p w14:paraId="3A5E938D" w14:textId="68FD1E18" w:rsidR="000B0C87" w:rsidRPr="00E91431" w:rsidRDefault="00156DA2" w:rsidP="00E91431">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noted that the submission presented a cost-utility analysis to support the cost-effectiveness of dupilumab plus triple inhaled therapy versus triple inhaled therapy alone. </w:t>
      </w:r>
      <w:r w:rsidR="00AB6CCD">
        <w:rPr>
          <w:rFonts w:asciiTheme="minorHAnsi" w:hAnsiTheme="minorHAnsi"/>
          <w:snapToGrid w:val="0"/>
          <w:lang w:val="en-GB"/>
        </w:rPr>
        <w:t xml:space="preserve">The PBAC acknowledged the key </w:t>
      </w:r>
      <w:r w:rsidR="003D26FA">
        <w:rPr>
          <w:rFonts w:asciiTheme="minorHAnsi" w:hAnsiTheme="minorHAnsi"/>
          <w:snapToGrid w:val="0"/>
          <w:lang w:val="en-GB"/>
        </w:rPr>
        <w:t>concerns raised by the Sub</w:t>
      </w:r>
      <w:r w:rsidR="00C862A3">
        <w:rPr>
          <w:rFonts w:asciiTheme="minorHAnsi" w:hAnsiTheme="minorHAnsi"/>
          <w:snapToGrid w:val="0"/>
          <w:lang w:val="en-GB"/>
        </w:rPr>
        <w:noBreakHyphen/>
      </w:r>
      <w:r w:rsidR="003D26FA">
        <w:rPr>
          <w:rFonts w:asciiTheme="minorHAnsi" w:hAnsiTheme="minorHAnsi"/>
          <w:snapToGrid w:val="0"/>
          <w:lang w:val="en-GB"/>
        </w:rPr>
        <w:t>Committees</w:t>
      </w:r>
      <w:r w:rsidR="001316AE">
        <w:rPr>
          <w:rFonts w:asciiTheme="minorHAnsi" w:hAnsiTheme="minorHAnsi"/>
          <w:snapToGrid w:val="0"/>
          <w:lang w:val="en-GB"/>
        </w:rPr>
        <w:t xml:space="preserve"> (paragraph </w:t>
      </w:r>
      <w:r w:rsidR="00003484">
        <w:rPr>
          <w:rFonts w:asciiTheme="minorHAnsi" w:hAnsiTheme="minorHAnsi"/>
          <w:snapToGrid w:val="0"/>
          <w:lang w:val="en-GB"/>
        </w:rPr>
        <w:fldChar w:fldCharType="begin"/>
      </w:r>
      <w:r w:rsidR="00003484">
        <w:rPr>
          <w:rFonts w:asciiTheme="minorHAnsi" w:hAnsiTheme="minorHAnsi"/>
          <w:snapToGrid w:val="0"/>
          <w:lang w:val="en-GB"/>
        </w:rPr>
        <w:instrText xml:space="preserve"> REF _Ref221769430 \r \h </w:instrText>
      </w:r>
      <w:r w:rsidR="00003484">
        <w:rPr>
          <w:rFonts w:asciiTheme="minorHAnsi" w:hAnsiTheme="minorHAnsi"/>
          <w:snapToGrid w:val="0"/>
          <w:lang w:val="en-GB"/>
        </w:rPr>
      </w:r>
      <w:r w:rsidR="00003484">
        <w:rPr>
          <w:rFonts w:asciiTheme="minorHAnsi" w:hAnsiTheme="minorHAnsi"/>
          <w:snapToGrid w:val="0"/>
          <w:lang w:val="en-GB"/>
        </w:rPr>
        <w:fldChar w:fldCharType="separate"/>
      </w:r>
      <w:r w:rsidR="00D02134">
        <w:rPr>
          <w:rFonts w:asciiTheme="minorHAnsi" w:hAnsiTheme="minorHAnsi"/>
          <w:snapToGrid w:val="0"/>
          <w:lang w:val="en-GB"/>
        </w:rPr>
        <w:t>6.51</w:t>
      </w:r>
      <w:r w:rsidR="00003484">
        <w:rPr>
          <w:rFonts w:asciiTheme="minorHAnsi" w:hAnsiTheme="minorHAnsi"/>
          <w:snapToGrid w:val="0"/>
          <w:lang w:val="en-GB"/>
        </w:rPr>
        <w:fldChar w:fldCharType="end"/>
      </w:r>
      <w:r w:rsidR="00003484">
        <w:rPr>
          <w:rFonts w:asciiTheme="minorHAnsi" w:hAnsiTheme="minorHAnsi"/>
          <w:snapToGrid w:val="0"/>
          <w:lang w:val="en-GB"/>
        </w:rPr>
        <w:t xml:space="preserve">). </w:t>
      </w:r>
      <w:r w:rsidR="00722803">
        <w:rPr>
          <w:rFonts w:asciiTheme="minorHAnsi" w:hAnsiTheme="minorHAnsi"/>
          <w:snapToGrid w:val="0"/>
          <w:lang w:val="en-GB"/>
        </w:rPr>
        <w:t xml:space="preserve">The PBAC </w:t>
      </w:r>
      <w:r w:rsidR="008026FB" w:rsidRPr="001F3F0F">
        <w:rPr>
          <w:bCs/>
        </w:rPr>
        <w:t xml:space="preserve">noted </w:t>
      </w:r>
      <w:r w:rsidR="007E7F9E">
        <w:rPr>
          <w:bCs/>
        </w:rPr>
        <w:t>that the Sub-Committees</w:t>
      </w:r>
      <w:r w:rsidR="008026FB" w:rsidRPr="001F3F0F">
        <w:rPr>
          <w:bCs/>
        </w:rPr>
        <w:t xml:space="preserve"> considered that </w:t>
      </w:r>
      <w:r w:rsidR="008A1B65" w:rsidRPr="000717E1">
        <w:t>the 2</w:t>
      </w:r>
      <w:r w:rsidR="00927B5C">
        <w:t>-</w:t>
      </w:r>
      <w:r w:rsidR="008A1B65" w:rsidRPr="000717E1">
        <w:t>year (maintained) FEV</w:t>
      </w:r>
      <w:r w:rsidR="008A1B65" w:rsidRPr="000717E1">
        <w:rPr>
          <w:vertAlign w:val="subscript"/>
        </w:rPr>
        <w:t>1</w:t>
      </w:r>
      <w:r w:rsidR="008A1B65" w:rsidRPr="000717E1">
        <w:t xml:space="preserve"> treatment effect beyond the trial period in the dupilumab arm</w:t>
      </w:r>
      <w:r w:rsidR="008A1B65">
        <w:t xml:space="preserve"> should be removed</w:t>
      </w:r>
      <w:r w:rsidR="00927B5C">
        <w:rPr>
          <w:bCs/>
        </w:rPr>
        <w:t xml:space="preserve"> and </w:t>
      </w:r>
      <w:r w:rsidR="007E7F9E">
        <w:rPr>
          <w:bCs/>
        </w:rPr>
        <w:t>agreed with the</w:t>
      </w:r>
      <w:r w:rsidR="008026FB" w:rsidRPr="001F3F0F">
        <w:rPr>
          <w:bCs/>
        </w:rPr>
        <w:t xml:space="preserve"> Sub-Committees that the decline in pre-BD FEV</w:t>
      </w:r>
      <w:r w:rsidR="008026FB" w:rsidRPr="001F3F0F">
        <w:rPr>
          <w:bCs/>
          <w:vertAlign w:val="subscript"/>
        </w:rPr>
        <w:t xml:space="preserve">1 </w:t>
      </w:r>
      <w:r w:rsidR="008026FB" w:rsidRPr="001F3F0F">
        <w:rPr>
          <w:bCs/>
        </w:rPr>
        <w:t xml:space="preserve">from </w:t>
      </w:r>
      <w:r w:rsidR="007E7F9E">
        <w:rPr>
          <w:bCs/>
        </w:rPr>
        <w:t>approximately</w:t>
      </w:r>
      <w:r w:rsidR="008026FB" w:rsidRPr="001F3F0F">
        <w:rPr>
          <w:bCs/>
        </w:rPr>
        <w:t xml:space="preserve"> </w:t>
      </w:r>
      <w:r w:rsidR="007E7F9E">
        <w:rPr>
          <w:bCs/>
        </w:rPr>
        <w:t>W</w:t>
      </w:r>
      <w:r w:rsidR="008026FB" w:rsidRPr="001F3F0F">
        <w:rPr>
          <w:bCs/>
        </w:rPr>
        <w:t xml:space="preserve">eek 44 </w:t>
      </w:r>
      <w:r w:rsidR="007E7F9E">
        <w:rPr>
          <w:bCs/>
        </w:rPr>
        <w:t>(</w:t>
      </w:r>
      <w:r w:rsidR="008026FB" w:rsidRPr="001F3F0F">
        <w:rPr>
          <w:bCs/>
        </w:rPr>
        <w:fldChar w:fldCharType="begin"/>
      </w:r>
      <w:r w:rsidR="008026FB" w:rsidRPr="001F3F0F">
        <w:rPr>
          <w:bCs/>
        </w:rPr>
        <w:instrText xml:space="preserve"> REF _Ref216029193 \h  \* MERGEFORMAT </w:instrText>
      </w:r>
      <w:r w:rsidR="008026FB" w:rsidRPr="001F3F0F">
        <w:rPr>
          <w:bCs/>
        </w:rPr>
      </w:r>
      <w:r w:rsidR="008026FB" w:rsidRPr="001F3F0F">
        <w:rPr>
          <w:bCs/>
        </w:rPr>
        <w:fldChar w:fldCharType="separate"/>
      </w:r>
      <w:r w:rsidR="00281F45" w:rsidRPr="000717E1">
        <w:t xml:space="preserve">Figure </w:t>
      </w:r>
      <w:r w:rsidR="00281F45">
        <w:rPr>
          <w:noProof/>
        </w:rPr>
        <w:t>1</w:t>
      </w:r>
      <w:r w:rsidR="008026FB" w:rsidRPr="001F3F0F">
        <w:rPr>
          <w:bCs/>
        </w:rPr>
        <w:fldChar w:fldCharType="end"/>
      </w:r>
      <w:r w:rsidR="007E7F9E">
        <w:rPr>
          <w:bCs/>
        </w:rPr>
        <w:t>)</w:t>
      </w:r>
      <w:r w:rsidR="008026FB" w:rsidRPr="001F3F0F">
        <w:rPr>
          <w:bCs/>
        </w:rPr>
        <w:t xml:space="preserve"> supported this advice.</w:t>
      </w:r>
      <w:r w:rsidR="002A2FA2">
        <w:rPr>
          <w:bCs/>
        </w:rPr>
        <w:t xml:space="preserve"> </w:t>
      </w:r>
      <w:r w:rsidR="000B0C87" w:rsidRPr="0073506F">
        <w:rPr>
          <w:iCs/>
        </w:rPr>
        <w:t>The Sub-Committees also considered that 10 years was the most appropriate time horizon for this patient group.</w:t>
      </w:r>
      <w:r w:rsidR="0093065E" w:rsidRPr="0093065E">
        <w:rPr>
          <w:rFonts w:eastAsia="Calibri"/>
        </w:rPr>
        <w:t xml:space="preserve"> </w:t>
      </w:r>
      <w:r w:rsidR="00985737">
        <w:rPr>
          <w:rFonts w:eastAsia="Calibri"/>
        </w:rPr>
        <w:t xml:space="preserve">The PBAC also noted that the </w:t>
      </w:r>
      <w:r w:rsidR="00985737" w:rsidRPr="001F3F0F">
        <w:rPr>
          <w:bCs/>
          <w:iCs/>
        </w:rPr>
        <w:t>Sub-Committees considered a reduc</w:t>
      </w:r>
      <w:r w:rsidR="00F503E9">
        <w:rPr>
          <w:bCs/>
          <w:iCs/>
        </w:rPr>
        <w:t xml:space="preserve">ed </w:t>
      </w:r>
      <w:r w:rsidR="00985737">
        <w:rPr>
          <w:bCs/>
          <w:iCs/>
        </w:rPr>
        <w:t xml:space="preserve">case </w:t>
      </w:r>
      <w:r w:rsidR="00072510">
        <w:rPr>
          <w:bCs/>
          <w:iCs/>
        </w:rPr>
        <w:t>fatality</w:t>
      </w:r>
      <w:r w:rsidR="00985737">
        <w:rPr>
          <w:bCs/>
          <w:iCs/>
        </w:rPr>
        <w:t xml:space="preserve"> rate (</w:t>
      </w:r>
      <w:r w:rsidR="00985737" w:rsidRPr="001F3F0F">
        <w:rPr>
          <w:bCs/>
          <w:iCs/>
        </w:rPr>
        <w:t>CFR</w:t>
      </w:r>
      <w:r w:rsidR="00985737">
        <w:rPr>
          <w:bCs/>
          <w:iCs/>
        </w:rPr>
        <w:t>)</w:t>
      </w:r>
      <w:r w:rsidR="00985737" w:rsidRPr="001F3F0F">
        <w:rPr>
          <w:bCs/>
          <w:iCs/>
        </w:rPr>
        <w:t xml:space="preserve"> may be appropriate to account for the likely double counting </w:t>
      </w:r>
      <w:r w:rsidR="00252AD5">
        <w:rPr>
          <w:bCs/>
          <w:iCs/>
        </w:rPr>
        <w:t xml:space="preserve">of </w:t>
      </w:r>
      <w:r w:rsidR="00985737" w:rsidRPr="001F3F0F">
        <w:rPr>
          <w:bCs/>
          <w:iCs/>
        </w:rPr>
        <w:t xml:space="preserve">mortality </w:t>
      </w:r>
      <w:r w:rsidR="00A42DC5">
        <w:rPr>
          <w:bCs/>
          <w:iCs/>
        </w:rPr>
        <w:t>due to</w:t>
      </w:r>
      <w:r w:rsidR="00985737" w:rsidRPr="001F3F0F">
        <w:rPr>
          <w:bCs/>
          <w:iCs/>
        </w:rPr>
        <w:t xml:space="preserve"> severe exacerbations.</w:t>
      </w:r>
      <w:r w:rsidR="00FF414C">
        <w:rPr>
          <w:rFonts w:asciiTheme="minorHAnsi" w:hAnsiTheme="minorHAnsi"/>
          <w:snapToGrid w:val="0"/>
          <w:lang w:val="en-GB"/>
        </w:rPr>
        <w:t xml:space="preserve"> </w:t>
      </w:r>
      <w:r w:rsidR="0093065E" w:rsidRPr="00FF414C">
        <w:rPr>
          <w:rFonts w:eastAsia="Calibri"/>
        </w:rPr>
        <w:t xml:space="preserve">The PBAC </w:t>
      </w:r>
      <w:r w:rsidR="00252AD5">
        <w:rPr>
          <w:rFonts w:eastAsia="Calibri"/>
        </w:rPr>
        <w:t xml:space="preserve">also </w:t>
      </w:r>
      <w:r w:rsidR="0093065E" w:rsidRPr="00FF414C">
        <w:rPr>
          <w:rFonts w:eastAsia="Calibri"/>
        </w:rPr>
        <w:t xml:space="preserve">considered that while the rate of exacerbation is regarded as an important clinical endpoint which is directly experienced by patients and represent important changes in symptoms and health status, when used to project longer-term outcomes, such as mortality and long-term decline, such measures function </w:t>
      </w:r>
      <w:proofErr w:type="gramStart"/>
      <w:r w:rsidR="0093065E" w:rsidRPr="00FF414C">
        <w:rPr>
          <w:rFonts w:eastAsia="Calibri"/>
        </w:rPr>
        <w:t>similar to</w:t>
      </w:r>
      <w:proofErr w:type="gramEnd"/>
      <w:r w:rsidR="0093065E" w:rsidRPr="00FF414C">
        <w:rPr>
          <w:rFonts w:eastAsia="Calibri"/>
        </w:rPr>
        <w:t xml:space="preserve"> an intermediate or surrogate measure</w:t>
      </w:r>
      <w:r w:rsidR="00FB05D6">
        <w:rPr>
          <w:rFonts w:eastAsia="Calibri"/>
        </w:rPr>
        <w:t>.</w:t>
      </w:r>
    </w:p>
    <w:p w14:paraId="1DFB4567" w14:textId="5E6B8695" w:rsidR="00151764" w:rsidRDefault="00E91431" w:rsidP="3F5C9AA9">
      <w:pPr>
        <w:pStyle w:val="3-BodyText"/>
      </w:pPr>
      <w:bookmarkStart w:id="112" w:name="_Ref225425285"/>
      <w:r>
        <w:rPr>
          <w:lang w:val="en-GB"/>
        </w:rPr>
        <w:t xml:space="preserve">The PBAC </w:t>
      </w:r>
      <w:r w:rsidR="00434EF5">
        <w:rPr>
          <w:lang w:val="en-GB"/>
        </w:rPr>
        <w:t xml:space="preserve">noted that </w:t>
      </w:r>
      <w:r w:rsidR="004506B5">
        <w:rPr>
          <w:lang w:val="en-GB"/>
        </w:rPr>
        <w:t>the ICER ranged between $</w:t>
      </w:r>
      <w:r w:rsidR="009F5E6D">
        <w:rPr>
          <w:lang w:val="en-GB"/>
        </w:rPr>
        <w:t xml:space="preserve">55,000 to &lt; $75,000 </w:t>
      </w:r>
      <w:r w:rsidR="004506B5">
        <w:rPr>
          <w:lang w:val="en-GB"/>
        </w:rPr>
        <w:t xml:space="preserve">per </w:t>
      </w:r>
      <w:r w:rsidR="000232C3">
        <w:rPr>
          <w:lang w:val="en-GB"/>
        </w:rPr>
        <w:t>quality adjusted life year (QALY) gained and $</w:t>
      </w:r>
      <w:r w:rsidR="009F5E6D">
        <w:rPr>
          <w:lang w:val="en-GB"/>
        </w:rPr>
        <w:t>255,000 to &lt; $355,000</w:t>
      </w:r>
      <w:r w:rsidR="003B0272">
        <w:rPr>
          <w:lang w:val="en-GB"/>
        </w:rPr>
        <w:t xml:space="preserve"> per QALY gained</w:t>
      </w:r>
      <w:r w:rsidR="00C56E8B">
        <w:rPr>
          <w:lang w:val="en-GB"/>
        </w:rPr>
        <w:t xml:space="preserve"> </w:t>
      </w:r>
      <w:r w:rsidR="00DA2EFC">
        <w:rPr>
          <w:lang w:val="en-GB"/>
        </w:rPr>
        <w:t>when inputs were adjusted according to the Sub-Committees’ recommendations</w:t>
      </w:r>
      <w:r w:rsidR="0039202B">
        <w:rPr>
          <w:lang w:val="en-GB"/>
        </w:rPr>
        <w:t xml:space="preserve"> (</w:t>
      </w:r>
      <w:r w:rsidR="0039202B">
        <w:rPr>
          <w:lang w:val="en-GB"/>
        </w:rPr>
        <w:fldChar w:fldCharType="begin"/>
      </w:r>
      <w:r w:rsidR="0039202B">
        <w:rPr>
          <w:lang w:val="en-GB"/>
        </w:rPr>
        <w:instrText xml:space="preserve"> REF _Ref104804865 \h </w:instrText>
      </w:r>
      <w:r w:rsidR="0039202B">
        <w:rPr>
          <w:lang w:val="en-GB"/>
        </w:rPr>
      </w:r>
      <w:r w:rsidR="0039202B">
        <w:rPr>
          <w:lang w:val="en-GB"/>
        </w:rPr>
        <w:fldChar w:fldCharType="separate"/>
      </w:r>
      <w:r w:rsidR="00281F45" w:rsidRPr="000717E1">
        <w:t xml:space="preserve">Table </w:t>
      </w:r>
      <w:r w:rsidR="00281F45">
        <w:rPr>
          <w:noProof/>
        </w:rPr>
        <w:t>15</w:t>
      </w:r>
      <w:r w:rsidR="0039202B">
        <w:rPr>
          <w:lang w:val="en-GB"/>
        </w:rPr>
        <w:fldChar w:fldCharType="end"/>
      </w:r>
      <w:r w:rsidR="0039202B">
        <w:rPr>
          <w:lang w:val="en-GB"/>
        </w:rPr>
        <w:t>)</w:t>
      </w:r>
      <w:r w:rsidR="00DA2EFC">
        <w:rPr>
          <w:lang w:val="en-GB"/>
        </w:rPr>
        <w:t xml:space="preserve">. </w:t>
      </w:r>
      <w:r w:rsidR="00396F87">
        <w:rPr>
          <w:lang w:val="en-GB"/>
        </w:rPr>
        <w:t>The PBA</w:t>
      </w:r>
      <w:r w:rsidR="00A9178D">
        <w:rPr>
          <w:lang w:val="en-GB"/>
        </w:rPr>
        <w:t xml:space="preserve">C noted that the </w:t>
      </w:r>
      <w:r w:rsidR="006558A3">
        <w:rPr>
          <w:lang w:val="en-GB"/>
        </w:rPr>
        <w:t xml:space="preserve">Pre-PBAC Response </w:t>
      </w:r>
      <w:r w:rsidR="00BE521D">
        <w:rPr>
          <w:lang w:val="en-GB"/>
        </w:rPr>
        <w:t>considered</w:t>
      </w:r>
      <w:r w:rsidR="00F12233">
        <w:rPr>
          <w:lang w:val="en-GB"/>
        </w:rPr>
        <w:t xml:space="preserve"> that</w:t>
      </w:r>
      <w:r w:rsidR="00331E9E">
        <w:rPr>
          <w:lang w:val="en-GB"/>
        </w:rPr>
        <w:t xml:space="preserve"> there </w:t>
      </w:r>
      <w:r w:rsidR="003E1066">
        <w:rPr>
          <w:lang w:val="en-GB"/>
        </w:rPr>
        <w:t xml:space="preserve">was minimal </w:t>
      </w:r>
      <w:r w:rsidR="003E1066">
        <w:rPr>
          <w:lang w:val="en-GB"/>
        </w:rPr>
        <w:lastRenderedPageBreak/>
        <w:t>double counting</w:t>
      </w:r>
      <w:r w:rsidR="003E1066" w:rsidRPr="003E1066">
        <w:rPr>
          <w:bCs/>
          <w:iCs/>
        </w:rPr>
        <w:t xml:space="preserve"> </w:t>
      </w:r>
      <w:r w:rsidR="003E1066" w:rsidRPr="001F3F0F">
        <w:rPr>
          <w:bCs/>
          <w:iCs/>
        </w:rPr>
        <w:t xml:space="preserve">of mortality </w:t>
      </w:r>
      <w:r w:rsidR="004117D7">
        <w:rPr>
          <w:bCs/>
          <w:iCs/>
        </w:rPr>
        <w:t>related to</w:t>
      </w:r>
      <w:r w:rsidR="003E1066" w:rsidRPr="001F3F0F">
        <w:rPr>
          <w:bCs/>
          <w:iCs/>
        </w:rPr>
        <w:t xml:space="preserve"> severe exacerbations</w:t>
      </w:r>
      <w:r w:rsidR="00CC76D4">
        <w:rPr>
          <w:bCs/>
          <w:iCs/>
        </w:rPr>
        <w:t xml:space="preserve"> in the economic model</w:t>
      </w:r>
      <w:r w:rsidR="00E11E28">
        <w:rPr>
          <w:bCs/>
          <w:iCs/>
        </w:rPr>
        <w:t xml:space="preserve">. However, the PBAC </w:t>
      </w:r>
      <w:r w:rsidR="00650EF8">
        <w:rPr>
          <w:bCs/>
          <w:iCs/>
        </w:rPr>
        <w:t>noted</w:t>
      </w:r>
      <w:r w:rsidR="00F6280A">
        <w:rPr>
          <w:bCs/>
          <w:iCs/>
        </w:rPr>
        <w:t xml:space="preserve"> </w:t>
      </w:r>
      <w:r w:rsidR="0002573D">
        <w:rPr>
          <w:bCs/>
          <w:iCs/>
        </w:rPr>
        <w:t xml:space="preserve">in the context of the model structure, </w:t>
      </w:r>
      <w:r w:rsidR="00824663">
        <w:rPr>
          <w:bCs/>
          <w:iCs/>
        </w:rPr>
        <w:t>agreed w</w:t>
      </w:r>
      <w:r w:rsidR="00E30877">
        <w:rPr>
          <w:bCs/>
          <w:iCs/>
        </w:rPr>
        <w:t xml:space="preserve">ith the Sub-Committees that the inclusion of </w:t>
      </w:r>
      <w:r w:rsidR="007E0DD0">
        <w:rPr>
          <w:bCs/>
          <w:iCs/>
        </w:rPr>
        <w:t xml:space="preserve">a CFR of 15.6% </w:t>
      </w:r>
      <w:r w:rsidR="00503DCB">
        <w:rPr>
          <w:bCs/>
          <w:iCs/>
        </w:rPr>
        <w:t>and</w:t>
      </w:r>
      <w:r w:rsidR="00D41639">
        <w:rPr>
          <w:bCs/>
          <w:iCs/>
        </w:rPr>
        <w:t xml:space="preserve"> </w:t>
      </w:r>
      <w:r w:rsidR="00215218">
        <w:rPr>
          <w:bCs/>
          <w:iCs/>
        </w:rPr>
        <w:t>standardised mortality rates (</w:t>
      </w:r>
      <w:r w:rsidR="00D41639">
        <w:rPr>
          <w:bCs/>
          <w:iCs/>
        </w:rPr>
        <w:t>SMR</w:t>
      </w:r>
      <w:r w:rsidR="00972C19">
        <w:rPr>
          <w:bCs/>
          <w:iCs/>
        </w:rPr>
        <w:t>s</w:t>
      </w:r>
      <w:r w:rsidR="00215218">
        <w:rPr>
          <w:bCs/>
          <w:iCs/>
        </w:rPr>
        <w:t>)</w:t>
      </w:r>
      <w:r w:rsidR="00972C19">
        <w:rPr>
          <w:bCs/>
          <w:iCs/>
        </w:rPr>
        <w:t xml:space="preserve"> likely</w:t>
      </w:r>
      <w:r w:rsidR="007C2A94">
        <w:rPr>
          <w:bCs/>
          <w:iCs/>
        </w:rPr>
        <w:t xml:space="preserve"> led to</w:t>
      </w:r>
      <w:r w:rsidR="00B41E53">
        <w:rPr>
          <w:bCs/>
          <w:iCs/>
        </w:rPr>
        <w:t xml:space="preserve"> an overestimated</w:t>
      </w:r>
      <w:r w:rsidR="0056532B">
        <w:rPr>
          <w:bCs/>
          <w:iCs/>
        </w:rPr>
        <w:t xml:space="preserve"> </w:t>
      </w:r>
      <w:r w:rsidR="007C2A94" w:rsidRPr="001F3F0F">
        <w:rPr>
          <w:bCs/>
          <w:iCs/>
        </w:rPr>
        <w:t>risk of death due to exacerbations</w:t>
      </w:r>
      <w:r w:rsidR="007A1B94">
        <w:rPr>
          <w:bCs/>
          <w:iCs/>
        </w:rPr>
        <w:t xml:space="preserve"> in the economic model</w:t>
      </w:r>
      <w:r w:rsidR="00D023A4">
        <w:rPr>
          <w:bCs/>
          <w:iCs/>
        </w:rPr>
        <w:t>.</w:t>
      </w:r>
      <w:r w:rsidR="007A1B94">
        <w:rPr>
          <w:bCs/>
          <w:iCs/>
        </w:rPr>
        <w:t xml:space="preserve"> The PBAC considered a </w:t>
      </w:r>
      <w:r w:rsidR="007A1B94" w:rsidRPr="00F153DB">
        <w:rPr>
          <w:bCs/>
          <w:iCs/>
        </w:rPr>
        <w:t>CFR of 10% was reasonable to include</w:t>
      </w:r>
      <w:r w:rsidR="006F1FDA" w:rsidRPr="00F153DB">
        <w:rPr>
          <w:bCs/>
          <w:iCs/>
        </w:rPr>
        <w:t xml:space="preserve"> on top of the </w:t>
      </w:r>
      <w:r w:rsidR="00AE1BFF" w:rsidRPr="00F153DB">
        <w:rPr>
          <w:bCs/>
          <w:iCs/>
        </w:rPr>
        <w:t xml:space="preserve">base case </w:t>
      </w:r>
      <w:r w:rsidR="006F1FDA" w:rsidRPr="00F153DB">
        <w:rPr>
          <w:bCs/>
          <w:iCs/>
        </w:rPr>
        <w:t>SMR</w:t>
      </w:r>
      <w:r w:rsidR="00AE1BFF" w:rsidRPr="00F153DB">
        <w:rPr>
          <w:bCs/>
          <w:iCs/>
        </w:rPr>
        <w:t>s</w:t>
      </w:r>
      <w:r w:rsidR="00F41A39" w:rsidRPr="00F153DB">
        <w:rPr>
          <w:bCs/>
          <w:iCs/>
        </w:rPr>
        <w:t>.</w:t>
      </w:r>
      <w:r w:rsidR="00A85FFF" w:rsidRPr="00F153DB">
        <w:rPr>
          <w:bCs/>
          <w:iCs/>
        </w:rPr>
        <w:t xml:space="preserve"> The PBAC noted</w:t>
      </w:r>
      <w:r w:rsidR="004364DC" w:rsidRPr="00F153DB">
        <w:rPr>
          <w:bCs/>
          <w:iCs/>
        </w:rPr>
        <w:t xml:space="preserve"> that, with the revisions to the economic model recommended by the Sub</w:t>
      </w:r>
      <w:r w:rsidR="00C862A3" w:rsidRPr="00F153DB">
        <w:rPr>
          <w:bCs/>
          <w:iCs/>
        </w:rPr>
        <w:noBreakHyphen/>
      </w:r>
      <w:r w:rsidR="004364DC" w:rsidRPr="00F153DB">
        <w:rPr>
          <w:bCs/>
          <w:iCs/>
        </w:rPr>
        <w:t xml:space="preserve">Committees and a 10% </w:t>
      </w:r>
      <w:r w:rsidR="004364DC">
        <w:rPr>
          <w:bCs/>
          <w:iCs/>
        </w:rPr>
        <w:t xml:space="preserve">CFR the ICER </w:t>
      </w:r>
      <w:r w:rsidR="00B4012C" w:rsidRPr="00B763FC">
        <w:rPr>
          <w:bCs/>
          <w:iCs/>
        </w:rPr>
        <w:t xml:space="preserve">was </w:t>
      </w:r>
      <w:r w:rsidR="00B763FC" w:rsidRPr="00B763FC">
        <w:rPr>
          <w:bCs/>
          <w:iCs/>
        </w:rPr>
        <w:t>$</w:t>
      </w:r>
      <w:r w:rsidR="00C465C6">
        <w:rPr>
          <w:bCs/>
          <w:iCs/>
        </w:rPr>
        <w:t xml:space="preserve">75,000 to </w:t>
      </w:r>
      <w:r w:rsidR="00C465C6">
        <w:rPr>
          <w:bCs/>
          <w:iCs/>
        </w:rPr>
        <w:br/>
        <w:t xml:space="preserve">&lt; $95,000 </w:t>
      </w:r>
      <w:r w:rsidR="00B763FC" w:rsidRPr="00B763FC">
        <w:rPr>
          <w:bCs/>
          <w:iCs/>
        </w:rPr>
        <w:t>per QALY gained.</w:t>
      </w:r>
      <w:r w:rsidR="00151764" w:rsidRPr="00151764">
        <w:t xml:space="preserve"> </w:t>
      </w:r>
      <w:r w:rsidR="00151764">
        <w:t xml:space="preserve">The PBAC considered that </w:t>
      </w:r>
      <w:proofErr w:type="gramStart"/>
      <w:r w:rsidR="00151764">
        <w:t>in light of</w:t>
      </w:r>
      <w:proofErr w:type="gramEnd"/>
      <w:r w:rsidR="00151764">
        <w:t xml:space="preserve"> uncertainties related to the model’s reliance on surrogate endpoints</w:t>
      </w:r>
      <w:r w:rsidR="00F40038">
        <w:t xml:space="preserve"> and </w:t>
      </w:r>
      <w:r w:rsidR="002E0861">
        <w:t>its</w:t>
      </w:r>
      <w:r w:rsidR="00F40038">
        <w:t xml:space="preserve"> unknown long-term</w:t>
      </w:r>
      <w:r w:rsidR="002E0861">
        <w:t xml:space="preserve"> clinical impact</w:t>
      </w:r>
      <w:r w:rsidR="00227EC2">
        <w:t xml:space="preserve"> along with ICERs accepted in similar contexts (see paragraph </w:t>
      </w:r>
      <w:r w:rsidR="00F3785F">
        <w:fldChar w:fldCharType="begin"/>
      </w:r>
      <w:r w:rsidR="00F3785F">
        <w:instrText xml:space="preserve"> REF _Ref225935404 \r \h </w:instrText>
      </w:r>
      <w:r w:rsidR="00F3785F">
        <w:fldChar w:fldCharType="separate"/>
      </w:r>
      <w:r w:rsidR="00F3785F">
        <w:t>6.52</w:t>
      </w:r>
      <w:r w:rsidR="00F3785F">
        <w:fldChar w:fldCharType="end"/>
      </w:r>
      <w:r w:rsidR="00F3785F">
        <w:t>)</w:t>
      </w:r>
      <w:r w:rsidR="002E0861">
        <w:t>,</w:t>
      </w:r>
      <w:r w:rsidR="00151764">
        <w:t xml:space="preserve"> </w:t>
      </w:r>
      <w:r w:rsidR="00F40038">
        <w:t>dupilumab</w:t>
      </w:r>
      <w:r w:rsidR="00151764">
        <w:t xml:space="preserve"> would be cost-effective </w:t>
      </w:r>
      <w:r w:rsidR="002E0861">
        <w:t xml:space="preserve">with </w:t>
      </w:r>
      <w:r w:rsidR="00151764">
        <w:t xml:space="preserve">a price reduction which achieved an ICER </w:t>
      </w:r>
      <w:r w:rsidR="00151764" w:rsidRPr="00662AEA">
        <w:t>of less than $</w:t>
      </w:r>
      <w:r w:rsidR="00151764">
        <w:t>2</w:t>
      </w:r>
      <w:r w:rsidR="00151764" w:rsidRPr="00662AEA">
        <w:t>5,000</w:t>
      </w:r>
      <w:r w:rsidR="00192706">
        <w:t xml:space="preserve"> to &lt; $35,000</w:t>
      </w:r>
      <w:r w:rsidR="00151764" w:rsidRPr="00662AEA">
        <w:t xml:space="preserve"> per QALY gai</w:t>
      </w:r>
      <w:r w:rsidR="00151764">
        <w:t>ned.</w:t>
      </w:r>
      <w:bookmarkEnd w:id="112"/>
      <w:r w:rsidR="00151764">
        <w:t xml:space="preserve"> </w:t>
      </w:r>
    </w:p>
    <w:p w14:paraId="1AF1F4DF" w14:textId="03D950D0" w:rsidR="00A24812" w:rsidRPr="00CF2F08" w:rsidRDefault="00A24812" w:rsidP="00A24812">
      <w:pPr>
        <w:pStyle w:val="3-BodyText"/>
        <w:numPr>
          <w:ilvl w:val="1"/>
          <w:numId w:val="1"/>
        </w:numPr>
      </w:pPr>
      <w:bookmarkStart w:id="113" w:name="_Ref225415359"/>
      <w:r w:rsidRPr="00135132">
        <w:rPr>
          <w:bCs/>
          <w:lang w:val="en-GB"/>
        </w:rPr>
        <w:t xml:space="preserve">The </w:t>
      </w:r>
      <w:r>
        <w:rPr>
          <w:bCs/>
          <w:lang w:val="en-GB"/>
        </w:rPr>
        <w:t>PBAC noted</w:t>
      </w:r>
      <w:r>
        <w:t xml:space="preserve"> the currently near market comparator mepolizumab was also considered for the same indication at its March 2026 meeting,</w:t>
      </w:r>
      <w:r w:rsidRPr="00135132">
        <w:rPr>
          <w:bCs/>
          <w:lang w:val="en-GB"/>
        </w:rPr>
        <w:t xml:space="preserve"> </w:t>
      </w:r>
      <w:r>
        <w:rPr>
          <w:bCs/>
          <w:lang w:val="en-GB"/>
        </w:rPr>
        <w:t>and that as per paragraph</w:t>
      </w:r>
      <w:r w:rsidR="00E63A2B">
        <w:rPr>
          <w:bCs/>
          <w:lang w:val="en-GB"/>
        </w:rPr>
        <w:t xml:space="preserve"> </w:t>
      </w:r>
      <w:r w:rsidR="00E63A2B">
        <w:rPr>
          <w:bCs/>
          <w:lang w:val="en-GB"/>
        </w:rPr>
        <w:fldChar w:fldCharType="begin"/>
      </w:r>
      <w:r w:rsidR="00E63A2B">
        <w:rPr>
          <w:bCs/>
          <w:lang w:val="en-GB"/>
        </w:rPr>
        <w:instrText xml:space="preserve"> REF _Ref225425222 \r \h </w:instrText>
      </w:r>
      <w:r w:rsidR="00E63A2B">
        <w:rPr>
          <w:bCs/>
          <w:lang w:val="en-GB"/>
        </w:rPr>
      </w:r>
      <w:r w:rsidR="00E63A2B">
        <w:rPr>
          <w:bCs/>
          <w:lang w:val="en-GB"/>
        </w:rPr>
        <w:fldChar w:fldCharType="separate"/>
      </w:r>
      <w:r w:rsidR="0034599E">
        <w:rPr>
          <w:bCs/>
          <w:lang w:val="en-GB"/>
        </w:rPr>
        <w:t>7.7</w:t>
      </w:r>
      <w:r w:rsidR="00E63A2B">
        <w:rPr>
          <w:bCs/>
          <w:lang w:val="en-GB"/>
        </w:rPr>
        <w:fldChar w:fldCharType="end"/>
      </w:r>
      <w:r w:rsidR="00E63A2B">
        <w:rPr>
          <w:bCs/>
          <w:lang w:val="en-GB"/>
        </w:rPr>
        <w:t xml:space="preserve"> </w:t>
      </w:r>
      <w:r>
        <w:t xml:space="preserve">the Committee considered a claim of non-inferior comparative effectiveness and safety was reasonable. The </w:t>
      </w:r>
      <w:r w:rsidRPr="0064723C">
        <w:rPr>
          <w:bCs/>
          <w:lang w:val="en-GB"/>
        </w:rPr>
        <w:t xml:space="preserve">PBAC recommended that </w:t>
      </w:r>
      <w:r>
        <w:rPr>
          <w:bCs/>
          <w:lang w:val="en-GB"/>
        </w:rPr>
        <w:t>if</w:t>
      </w:r>
      <w:r w:rsidRPr="0064723C">
        <w:rPr>
          <w:bCs/>
          <w:lang w:val="en-GB"/>
        </w:rPr>
        <w:t xml:space="preserve"> both </w:t>
      </w:r>
      <w:r>
        <w:rPr>
          <w:bCs/>
          <w:lang w:val="en-GB"/>
        </w:rPr>
        <w:t xml:space="preserve">dupilumab and mepolizumab are </w:t>
      </w:r>
      <w:r w:rsidRPr="0064723C">
        <w:rPr>
          <w:bCs/>
          <w:lang w:val="en-GB"/>
        </w:rPr>
        <w:t>listed on the PBS</w:t>
      </w:r>
      <w:r>
        <w:rPr>
          <w:bCs/>
          <w:lang w:val="en-GB"/>
        </w:rPr>
        <w:t xml:space="preserve"> the following equi-effective doses would be appropriate for a </w:t>
      </w:r>
      <w:r w:rsidRPr="0064723C">
        <w:rPr>
          <w:iCs/>
        </w:rPr>
        <w:t>cost-minimisation approach</w:t>
      </w:r>
      <w:r>
        <w:rPr>
          <w:iCs/>
        </w:rPr>
        <w:t xml:space="preserve"> for the subsequent therapy listed:</w:t>
      </w:r>
      <w:bookmarkEnd w:id="113"/>
      <w:r>
        <w:rPr>
          <w:iCs/>
        </w:rPr>
        <w:t xml:space="preserve">  </w:t>
      </w:r>
    </w:p>
    <w:p w14:paraId="4F4BCE67" w14:textId="77777777" w:rsidR="00A24812" w:rsidRDefault="00A24812" w:rsidP="00A24812">
      <w:pPr>
        <w:pStyle w:val="ListParagraph"/>
      </w:pPr>
      <w:r>
        <w:t>Mepolizumab 100 mg by subcutaneous injection every 4 weeks (13 doses over 1 year)</w:t>
      </w:r>
    </w:p>
    <w:p w14:paraId="0A462D02" w14:textId="7CC5393E" w:rsidR="000B0C87" w:rsidRPr="00A24812" w:rsidRDefault="00A24812" w:rsidP="00A24812">
      <w:pPr>
        <w:pStyle w:val="ListParagraph"/>
      </w:pPr>
      <w:r>
        <w:t xml:space="preserve">Dupilumab 300 mg by subcutaneous injection every 2 weeks (26 doses over 1 year). </w:t>
      </w:r>
    </w:p>
    <w:p w14:paraId="502E52A6" w14:textId="0C9F5F6D" w:rsidR="002A7286" w:rsidRDefault="00EB1492" w:rsidP="00587044">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noted </w:t>
      </w:r>
      <w:r w:rsidR="00404209">
        <w:rPr>
          <w:rFonts w:asciiTheme="minorHAnsi" w:hAnsiTheme="minorHAnsi"/>
          <w:snapToGrid w:val="0"/>
          <w:lang w:val="en-GB"/>
        </w:rPr>
        <w:t>that</w:t>
      </w:r>
      <w:r w:rsidR="00960EFE">
        <w:rPr>
          <w:rFonts w:asciiTheme="minorHAnsi" w:hAnsiTheme="minorHAnsi"/>
          <w:snapToGrid w:val="0"/>
          <w:lang w:val="en-GB"/>
        </w:rPr>
        <w:t xml:space="preserve"> both epidemiological sources and PBS </w:t>
      </w:r>
      <w:r w:rsidR="005D49AD">
        <w:rPr>
          <w:rFonts w:asciiTheme="minorHAnsi" w:hAnsiTheme="minorHAnsi"/>
          <w:snapToGrid w:val="0"/>
          <w:lang w:val="en-GB"/>
        </w:rPr>
        <w:t>10% sample data</w:t>
      </w:r>
      <w:r w:rsidR="00404209">
        <w:rPr>
          <w:rFonts w:asciiTheme="minorHAnsi" w:hAnsiTheme="minorHAnsi"/>
          <w:snapToGrid w:val="0"/>
          <w:lang w:val="en-GB"/>
        </w:rPr>
        <w:t xml:space="preserve"> were used</w:t>
      </w:r>
      <w:r w:rsidR="005D49AD">
        <w:rPr>
          <w:rFonts w:asciiTheme="minorHAnsi" w:hAnsiTheme="minorHAnsi"/>
          <w:snapToGrid w:val="0"/>
          <w:lang w:val="en-GB"/>
        </w:rPr>
        <w:t xml:space="preserve"> to estimate the number of patients eligible for dupilumab </w:t>
      </w:r>
      <w:r w:rsidR="00404209">
        <w:rPr>
          <w:rFonts w:asciiTheme="minorHAnsi" w:hAnsiTheme="minorHAnsi"/>
          <w:snapToGrid w:val="0"/>
          <w:lang w:val="en-GB"/>
        </w:rPr>
        <w:t xml:space="preserve">with an </w:t>
      </w:r>
      <w:r w:rsidR="005E3920">
        <w:rPr>
          <w:rFonts w:asciiTheme="minorHAnsi" w:hAnsiTheme="minorHAnsi"/>
          <w:snapToGrid w:val="0"/>
          <w:lang w:val="en-GB"/>
        </w:rPr>
        <w:t>average of these two approaches</w:t>
      </w:r>
      <w:r w:rsidR="006B7CF7">
        <w:rPr>
          <w:rFonts w:asciiTheme="minorHAnsi" w:hAnsiTheme="minorHAnsi"/>
          <w:snapToGrid w:val="0"/>
          <w:lang w:val="en-GB"/>
        </w:rPr>
        <w:t xml:space="preserve"> applied</w:t>
      </w:r>
      <w:r w:rsidR="005E3920">
        <w:rPr>
          <w:rFonts w:asciiTheme="minorHAnsi" w:hAnsiTheme="minorHAnsi"/>
          <w:snapToGrid w:val="0"/>
          <w:lang w:val="en-GB"/>
        </w:rPr>
        <w:t xml:space="preserve"> in the </w:t>
      </w:r>
      <w:r w:rsidR="00404209">
        <w:rPr>
          <w:rFonts w:asciiTheme="minorHAnsi" w:hAnsiTheme="minorHAnsi"/>
          <w:snapToGrid w:val="0"/>
          <w:lang w:val="en-GB"/>
        </w:rPr>
        <w:t xml:space="preserve">submission </w:t>
      </w:r>
      <w:r w:rsidR="005E3920">
        <w:rPr>
          <w:rFonts w:asciiTheme="minorHAnsi" w:hAnsiTheme="minorHAnsi"/>
          <w:snapToGrid w:val="0"/>
          <w:lang w:val="en-GB"/>
        </w:rPr>
        <w:t>base case</w:t>
      </w:r>
      <w:r w:rsidR="00923EDA">
        <w:rPr>
          <w:rFonts w:asciiTheme="minorHAnsi" w:hAnsiTheme="minorHAnsi"/>
          <w:snapToGrid w:val="0"/>
          <w:lang w:val="en-GB"/>
        </w:rPr>
        <w:t xml:space="preserve">. The PBAC agreed with its Sub-Committees that the </w:t>
      </w:r>
      <w:r w:rsidR="00360A47">
        <w:rPr>
          <w:rFonts w:asciiTheme="minorHAnsi" w:hAnsiTheme="minorHAnsi"/>
          <w:snapToGrid w:val="0"/>
          <w:lang w:val="en-GB"/>
        </w:rPr>
        <w:t xml:space="preserve">resulting estimates </w:t>
      </w:r>
      <w:r w:rsidR="00923EDA">
        <w:rPr>
          <w:rFonts w:asciiTheme="minorHAnsi" w:hAnsiTheme="minorHAnsi"/>
          <w:snapToGrid w:val="0"/>
          <w:lang w:val="en-GB"/>
        </w:rPr>
        <w:t>were uncertain</w:t>
      </w:r>
      <w:r w:rsidR="005E3920">
        <w:rPr>
          <w:rFonts w:asciiTheme="minorHAnsi" w:hAnsiTheme="minorHAnsi"/>
          <w:snapToGrid w:val="0"/>
          <w:lang w:val="en-GB"/>
        </w:rPr>
        <w:t>. The</w:t>
      </w:r>
      <w:r w:rsidR="006B7CF7">
        <w:rPr>
          <w:rFonts w:asciiTheme="minorHAnsi" w:hAnsiTheme="minorHAnsi"/>
          <w:snapToGrid w:val="0"/>
          <w:lang w:val="en-GB"/>
        </w:rPr>
        <w:t xml:space="preserve"> </w:t>
      </w:r>
      <w:r w:rsidR="00D942FA">
        <w:rPr>
          <w:rFonts w:asciiTheme="minorHAnsi" w:hAnsiTheme="minorHAnsi"/>
          <w:snapToGrid w:val="0"/>
          <w:lang w:val="en-GB"/>
        </w:rPr>
        <w:t xml:space="preserve">PBAC </w:t>
      </w:r>
      <w:r w:rsidR="008A16EC">
        <w:rPr>
          <w:rFonts w:asciiTheme="minorHAnsi" w:hAnsiTheme="minorHAnsi"/>
          <w:snapToGrid w:val="0"/>
          <w:lang w:val="en-GB"/>
        </w:rPr>
        <w:t xml:space="preserve">noted the </w:t>
      </w:r>
      <w:r w:rsidR="002C7220">
        <w:rPr>
          <w:rFonts w:asciiTheme="minorHAnsi" w:hAnsiTheme="minorHAnsi"/>
          <w:snapToGrid w:val="0"/>
          <w:lang w:val="en-GB"/>
        </w:rPr>
        <w:t xml:space="preserve">analysis of the 100% PBS sample </w:t>
      </w:r>
      <w:r w:rsidR="00725BDB">
        <w:rPr>
          <w:rFonts w:asciiTheme="minorHAnsi" w:hAnsiTheme="minorHAnsi"/>
          <w:snapToGrid w:val="0"/>
          <w:lang w:val="en-GB"/>
        </w:rPr>
        <w:t xml:space="preserve">which reported the number of prevalent patients </w:t>
      </w:r>
      <w:r w:rsidR="00625BDA">
        <w:rPr>
          <w:rFonts w:asciiTheme="minorHAnsi" w:hAnsiTheme="minorHAnsi"/>
          <w:snapToGrid w:val="0"/>
          <w:lang w:val="en-GB"/>
        </w:rPr>
        <w:t>for PBS listed single inhaler triple therapies for COPD (</w:t>
      </w:r>
      <w:r w:rsidR="008D419D">
        <w:rPr>
          <w:rFonts w:asciiTheme="minorHAnsi" w:hAnsiTheme="minorHAnsi"/>
          <w:snapToGrid w:val="0"/>
          <w:lang w:val="en-GB"/>
        </w:rPr>
        <w:fldChar w:fldCharType="begin"/>
      </w:r>
      <w:r w:rsidR="008D419D">
        <w:rPr>
          <w:rFonts w:asciiTheme="minorHAnsi" w:hAnsiTheme="minorHAnsi"/>
          <w:snapToGrid w:val="0"/>
          <w:lang w:val="en-GB"/>
        </w:rPr>
        <w:instrText xml:space="preserve"> REF _Ref225427706 \h  \* MERGEFORMAT </w:instrText>
      </w:r>
      <w:r w:rsidR="008D419D">
        <w:rPr>
          <w:rFonts w:asciiTheme="minorHAnsi" w:hAnsiTheme="minorHAnsi"/>
          <w:snapToGrid w:val="0"/>
          <w:lang w:val="en-GB"/>
        </w:rPr>
      </w:r>
      <w:r w:rsidR="008D419D">
        <w:rPr>
          <w:rFonts w:asciiTheme="minorHAnsi" w:hAnsiTheme="minorHAnsi"/>
          <w:snapToGrid w:val="0"/>
          <w:lang w:val="en-GB"/>
        </w:rPr>
        <w:fldChar w:fldCharType="separate"/>
      </w:r>
      <w:r w:rsidR="008D419D" w:rsidRPr="008D419D">
        <w:rPr>
          <w:rFonts w:asciiTheme="minorHAnsi" w:hAnsiTheme="minorHAnsi"/>
          <w:snapToGrid w:val="0"/>
          <w:lang w:val="en-GB"/>
        </w:rPr>
        <w:t>Table 20</w:t>
      </w:r>
      <w:r w:rsidR="008D419D">
        <w:rPr>
          <w:rFonts w:asciiTheme="minorHAnsi" w:hAnsiTheme="minorHAnsi"/>
          <w:snapToGrid w:val="0"/>
          <w:lang w:val="en-GB"/>
        </w:rPr>
        <w:fldChar w:fldCharType="end"/>
      </w:r>
      <w:r w:rsidR="00625BDA">
        <w:rPr>
          <w:rFonts w:asciiTheme="minorHAnsi" w:hAnsiTheme="minorHAnsi"/>
          <w:snapToGrid w:val="0"/>
          <w:lang w:val="en-GB"/>
        </w:rPr>
        <w:t>)</w:t>
      </w:r>
      <w:r w:rsidR="008825F7">
        <w:rPr>
          <w:rFonts w:asciiTheme="minorHAnsi" w:hAnsiTheme="minorHAnsi"/>
          <w:snapToGrid w:val="0"/>
          <w:lang w:val="en-GB"/>
        </w:rPr>
        <w:t>. The PBAC agreed with its Sub-Committees that a</w:t>
      </w:r>
      <w:r w:rsidR="00D67888">
        <w:rPr>
          <w:rFonts w:asciiTheme="minorHAnsi" w:hAnsiTheme="minorHAnsi"/>
          <w:snapToGrid w:val="0"/>
          <w:lang w:val="en-GB"/>
        </w:rPr>
        <w:t xml:space="preserve">n </w:t>
      </w:r>
      <w:r w:rsidR="008825F7">
        <w:rPr>
          <w:rFonts w:asciiTheme="minorHAnsi" w:hAnsiTheme="minorHAnsi"/>
          <w:snapToGrid w:val="0"/>
          <w:lang w:val="en-GB"/>
        </w:rPr>
        <w:t>approach based on the ac</w:t>
      </w:r>
      <w:r w:rsidR="00376DC8">
        <w:rPr>
          <w:rFonts w:asciiTheme="minorHAnsi" w:hAnsiTheme="minorHAnsi"/>
          <w:snapToGrid w:val="0"/>
          <w:lang w:val="en-GB"/>
        </w:rPr>
        <w:t>tual number of treated prevalent patients supplied triple therapy was appropriate</w:t>
      </w:r>
      <w:r w:rsidR="00036063">
        <w:rPr>
          <w:rFonts w:asciiTheme="minorHAnsi" w:hAnsiTheme="minorHAnsi"/>
          <w:snapToGrid w:val="0"/>
          <w:lang w:val="en-GB"/>
        </w:rPr>
        <w:t xml:space="preserve"> and noted the </w:t>
      </w:r>
      <w:r w:rsidR="00C91D5F">
        <w:rPr>
          <w:rFonts w:asciiTheme="minorHAnsi" w:hAnsiTheme="minorHAnsi"/>
          <w:snapToGrid w:val="0"/>
          <w:lang w:val="en-GB"/>
        </w:rPr>
        <w:t xml:space="preserve">additional </w:t>
      </w:r>
      <w:r w:rsidR="002314CB">
        <w:rPr>
          <w:rFonts w:asciiTheme="minorHAnsi" w:hAnsiTheme="minorHAnsi"/>
          <w:snapToGrid w:val="0"/>
          <w:lang w:val="en-GB"/>
        </w:rPr>
        <w:t xml:space="preserve">suggested </w:t>
      </w:r>
      <w:r w:rsidR="00C91D5F">
        <w:rPr>
          <w:rFonts w:asciiTheme="minorHAnsi" w:hAnsiTheme="minorHAnsi"/>
          <w:snapToGrid w:val="0"/>
          <w:lang w:val="en-GB"/>
        </w:rPr>
        <w:t xml:space="preserve">revisions to inputs outlined in paragraph </w:t>
      </w:r>
      <w:r w:rsidR="00C91D5F">
        <w:rPr>
          <w:rFonts w:asciiTheme="minorHAnsi" w:hAnsiTheme="minorHAnsi"/>
          <w:snapToGrid w:val="0"/>
          <w:lang w:val="en-GB"/>
        </w:rPr>
        <w:fldChar w:fldCharType="begin"/>
      </w:r>
      <w:r w:rsidR="00C91D5F">
        <w:rPr>
          <w:rFonts w:asciiTheme="minorHAnsi" w:hAnsiTheme="minorHAnsi"/>
          <w:snapToGrid w:val="0"/>
          <w:lang w:val="en-GB"/>
        </w:rPr>
        <w:instrText xml:space="preserve"> REF _Ref222483631 \r \h </w:instrText>
      </w:r>
      <w:r w:rsidR="00C91D5F">
        <w:rPr>
          <w:rFonts w:asciiTheme="minorHAnsi" w:hAnsiTheme="minorHAnsi"/>
          <w:snapToGrid w:val="0"/>
          <w:lang w:val="en-GB"/>
        </w:rPr>
      </w:r>
      <w:r w:rsidR="00C91D5F">
        <w:rPr>
          <w:rFonts w:asciiTheme="minorHAnsi" w:hAnsiTheme="minorHAnsi"/>
          <w:snapToGrid w:val="0"/>
          <w:lang w:val="en-GB"/>
        </w:rPr>
        <w:fldChar w:fldCharType="separate"/>
      </w:r>
      <w:r w:rsidR="000F22BF">
        <w:rPr>
          <w:rFonts w:asciiTheme="minorHAnsi" w:hAnsiTheme="minorHAnsi"/>
          <w:snapToGrid w:val="0"/>
          <w:lang w:val="en-GB"/>
        </w:rPr>
        <w:t>6.61</w:t>
      </w:r>
      <w:r w:rsidR="00C91D5F">
        <w:rPr>
          <w:rFonts w:asciiTheme="minorHAnsi" w:hAnsiTheme="minorHAnsi"/>
          <w:snapToGrid w:val="0"/>
          <w:lang w:val="en-GB"/>
        </w:rPr>
        <w:fldChar w:fldCharType="end"/>
      </w:r>
      <w:r w:rsidR="00C91D5F">
        <w:rPr>
          <w:rFonts w:asciiTheme="minorHAnsi" w:hAnsiTheme="minorHAnsi"/>
          <w:snapToGrid w:val="0"/>
          <w:lang w:val="en-GB"/>
        </w:rPr>
        <w:t xml:space="preserve">. </w:t>
      </w:r>
    </w:p>
    <w:p w14:paraId="5CA9119C" w14:textId="58C27E27" w:rsidR="004618FC" w:rsidRDefault="008856C8" w:rsidP="004618FC">
      <w:pPr>
        <w:widowControl w:val="0"/>
        <w:numPr>
          <w:ilvl w:val="1"/>
          <w:numId w:val="1"/>
        </w:numPr>
        <w:spacing w:after="120"/>
        <w:rPr>
          <w:rFonts w:asciiTheme="minorHAnsi" w:hAnsiTheme="minorHAnsi"/>
          <w:snapToGrid w:val="0"/>
          <w:lang w:val="en-GB"/>
        </w:rPr>
      </w:pPr>
      <w:r w:rsidRPr="00587044">
        <w:rPr>
          <w:rFonts w:asciiTheme="minorHAnsi" w:hAnsiTheme="minorHAnsi"/>
          <w:snapToGrid w:val="0"/>
          <w:lang w:val="en-GB"/>
        </w:rPr>
        <w:t xml:space="preserve">The PBAC </w:t>
      </w:r>
      <w:r w:rsidR="00587044">
        <w:rPr>
          <w:rFonts w:asciiTheme="minorHAnsi" w:hAnsiTheme="minorHAnsi"/>
          <w:snapToGrid w:val="0"/>
          <w:lang w:val="en-GB"/>
        </w:rPr>
        <w:t xml:space="preserve">noted the pre-PBAC response provided revised financial estimates </w:t>
      </w:r>
      <w:r w:rsidR="00FA160F">
        <w:rPr>
          <w:rFonts w:asciiTheme="minorHAnsi" w:hAnsiTheme="minorHAnsi"/>
          <w:snapToGrid w:val="0"/>
          <w:lang w:val="en-GB"/>
        </w:rPr>
        <w:t xml:space="preserve">based on the number of treated prevalent patients supplied triple therapy with inputs </w:t>
      </w:r>
      <w:r w:rsidR="00312F6C">
        <w:rPr>
          <w:rFonts w:asciiTheme="minorHAnsi" w:hAnsiTheme="minorHAnsi"/>
          <w:snapToGrid w:val="0"/>
          <w:lang w:val="en-GB"/>
        </w:rPr>
        <w:t xml:space="preserve">as </w:t>
      </w:r>
      <w:r w:rsidR="0044478F">
        <w:rPr>
          <w:rFonts w:asciiTheme="minorHAnsi" w:hAnsiTheme="minorHAnsi"/>
          <w:snapToGrid w:val="0"/>
          <w:lang w:val="en-GB"/>
        </w:rPr>
        <w:t xml:space="preserve">outlined in paragraph </w:t>
      </w:r>
      <w:r w:rsidR="0044478F">
        <w:rPr>
          <w:rFonts w:asciiTheme="minorHAnsi" w:hAnsiTheme="minorHAnsi"/>
          <w:snapToGrid w:val="0"/>
          <w:lang w:val="en-GB"/>
        </w:rPr>
        <w:fldChar w:fldCharType="begin"/>
      </w:r>
      <w:r w:rsidR="0044478F">
        <w:rPr>
          <w:rFonts w:asciiTheme="minorHAnsi" w:hAnsiTheme="minorHAnsi"/>
          <w:snapToGrid w:val="0"/>
          <w:lang w:val="en-GB"/>
        </w:rPr>
        <w:instrText xml:space="preserve"> REF _Ref224833466 \r \h </w:instrText>
      </w:r>
      <w:r w:rsidR="0044478F">
        <w:rPr>
          <w:rFonts w:asciiTheme="minorHAnsi" w:hAnsiTheme="minorHAnsi"/>
          <w:snapToGrid w:val="0"/>
          <w:lang w:val="en-GB"/>
        </w:rPr>
      </w:r>
      <w:r w:rsidR="0044478F">
        <w:rPr>
          <w:rFonts w:asciiTheme="minorHAnsi" w:hAnsiTheme="minorHAnsi"/>
          <w:snapToGrid w:val="0"/>
          <w:lang w:val="en-GB"/>
        </w:rPr>
        <w:fldChar w:fldCharType="separate"/>
      </w:r>
      <w:r w:rsidR="00D02134">
        <w:rPr>
          <w:rFonts w:asciiTheme="minorHAnsi" w:hAnsiTheme="minorHAnsi"/>
          <w:snapToGrid w:val="0"/>
          <w:lang w:val="en-GB"/>
        </w:rPr>
        <w:t>6.62</w:t>
      </w:r>
      <w:r w:rsidR="0044478F">
        <w:rPr>
          <w:rFonts w:asciiTheme="minorHAnsi" w:hAnsiTheme="minorHAnsi"/>
          <w:snapToGrid w:val="0"/>
          <w:lang w:val="en-GB"/>
        </w:rPr>
        <w:fldChar w:fldCharType="end"/>
      </w:r>
      <w:r w:rsidR="0044478F">
        <w:rPr>
          <w:rFonts w:asciiTheme="minorHAnsi" w:hAnsiTheme="minorHAnsi"/>
          <w:snapToGrid w:val="0"/>
          <w:lang w:val="en-GB"/>
        </w:rPr>
        <w:t xml:space="preserve">. </w:t>
      </w:r>
      <w:r w:rsidR="00D85315">
        <w:rPr>
          <w:rFonts w:asciiTheme="minorHAnsi" w:hAnsiTheme="minorHAnsi"/>
          <w:snapToGrid w:val="0"/>
          <w:lang w:val="en-GB"/>
        </w:rPr>
        <w:t xml:space="preserve">As outlined in </w:t>
      </w:r>
      <w:r w:rsidR="00B81999">
        <w:rPr>
          <w:rFonts w:asciiTheme="minorHAnsi" w:hAnsiTheme="minorHAnsi"/>
          <w:snapToGrid w:val="0"/>
          <w:lang w:val="en-GB"/>
        </w:rPr>
        <w:t>paragraph</w:t>
      </w:r>
      <w:r w:rsidR="00D85315">
        <w:rPr>
          <w:rFonts w:asciiTheme="minorHAnsi" w:hAnsiTheme="minorHAnsi"/>
          <w:snapToGrid w:val="0"/>
          <w:lang w:val="en-GB"/>
        </w:rPr>
        <w:t xml:space="preserve"> </w:t>
      </w:r>
      <w:r w:rsidR="00B81999">
        <w:rPr>
          <w:rFonts w:asciiTheme="minorHAnsi" w:hAnsiTheme="minorHAnsi"/>
          <w:snapToGrid w:val="0"/>
          <w:lang w:val="en-GB"/>
        </w:rPr>
        <w:fldChar w:fldCharType="begin"/>
      </w:r>
      <w:r w:rsidR="00B81999">
        <w:rPr>
          <w:rFonts w:asciiTheme="minorHAnsi" w:hAnsiTheme="minorHAnsi"/>
          <w:snapToGrid w:val="0"/>
          <w:lang w:val="en-GB"/>
        </w:rPr>
        <w:instrText xml:space="preserve"> REF _Ref225078543 \r \h </w:instrText>
      </w:r>
      <w:r w:rsidR="00B81999">
        <w:rPr>
          <w:rFonts w:asciiTheme="minorHAnsi" w:hAnsiTheme="minorHAnsi"/>
          <w:snapToGrid w:val="0"/>
          <w:lang w:val="en-GB"/>
        </w:rPr>
      </w:r>
      <w:r w:rsidR="00B81999">
        <w:rPr>
          <w:rFonts w:asciiTheme="minorHAnsi" w:hAnsiTheme="minorHAnsi"/>
          <w:snapToGrid w:val="0"/>
          <w:lang w:val="en-GB"/>
        </w:rPr>
        <w:fldChar w:fldCharType="separate"/>
      </w:r>
      <w:r w:rsidR="00D02134">
        <w:rPr>
          <w:rFonts w:asciiTheme="minorHAnsi" w:hAnsiTheme="minorHAnsi"/>
          <w:snapToGrid w:val="0"/>
          <w:lang w:val="en-GB"/>
        </w:rPr>
        <w:t>6.63</w:t>
      </w:r>
      <w:r w:rsidR="00B81999">
        <w:rPr>
          <w:rFonts w:asciiTheme="minorHAnsi" w:hAnsiTheme="minorHAnsi"/>
          <w:snapToGrid w:val="0"/>
          <w:lang w:val="en-GB"/>
        </w:rPr>
        <w:fldChar w:fldCharType="end"/>
      </w:r>
      <w:r w:rsidR="006509D1">
        <w:rPr>
          <w:rFonts w:asciiTheme="minorHAnsi" w:hAnsiTheme="minorHAnsi"/>
          <w:snapToGrid w:val="0"/>
          <w:lang w:val="en-GB"/>
        </w:rPr>
        <w:t xml:space="preserve">, the PBAC considered that the pre-PBAC response estimates should be </w:t>
      </w:r>
      <w:r w:rsidR="00907002">
        <w:rPr>
          <w:rFonts w:asciiTheme="minorHAnsi" w:hAnsiTheme="minorHAnsi"/>
          <w:snapToGrid w:val="0"/>
          <w:lang w:val="en-GB"/>
        </w:rPr>
        <w:t>amended to account for the</w:t>
      </w:r>
      <w:r w:rsidR="00484337">
        <w:rPr>
          <w:rFonts w:asciiTheme="minorHAnsi" w:hAnsiTheme="minorHAnsi"/>
          <w:snapToGrid w:val="0"/>
          <w:lang w:val="en-GB"/>
        </w:rPr>
        <w:t xml:space="preserve"> </w:t>
      </w:r>
      <w:r w:rsidR="00C60673">
        <w:rPr>
          <w:rFonts w:asciiTheme="minorHAnsi" w:hAnsiTheme="minorHAnsi"/>
          <w:snapToGrid w:val="0"/>
          <w:lang w:val="en-GB"/>
        </w:rPr>
        <w:t xml:space="preserve">reduction </w:t>
      </w:r>
      <w:r w:rsidR="00484337">
        <w:rPr>
          <w:rFonts w:asciiTheme="minorHAnsi" w:hAnsiTheme="minorHAnsi"/>
          <w:snapToGrid w:val="0"/>
          <w:lang w:val="en-GB"/>
        </w:rPr>
        <w:t xml:space="preserve">in open triple therapy observed across time </w:t>
      </w:r>
      <w:r w:rsidR="00C274D6">
        <w:rPr>
          <w:rFonts w:asciiTheme="minorHAnsi" w:hAnsiTheme="minorHAnsi"/>
          <w:snapToGrid w:val="0"/>
          <w:lang w:val="en-GB"/>
        </w:rPr>
        <w:t>with</w:t>
      </w:r>
      <w:r w:rsidR="00E5087A">
        <w:rPr>
          <w:rFonts w:asciiTheme="minorHAnsi" w:hAnsiTheme="minorHAnsi"/>
          <w:snapToGrid w:val="0"/>
          <w:lang w:val="en-GB"/>
        </w:rPr>
        <w:t xml:space="preserve"> the</w:t>
      </w:r>
      <w:r w:rsidR="00B40703">
        <w:rPr>
          <w:rFonts w:asciiTheme="minorHAnsi" w:hAnsiTheme="minorHAnsi"/>
          <w:snapToGrid w:val="0"/>
          <w:lang w:val="en-GB"/>
        </w:rPr>
        <w:t xml:space="preserve"> incl</w:t>
      </w:r>
      <w:r w:rsidR="00E5087A">
        <w:rPr>
          <w:rFonts w:asciiTheme="minorHAnsi" w:hAnsiTheme="minorHAnsi"/>
          <w:snapToGrid w:val="0"/>
          <w:lang w:val="en-GB"/>
        </w:rPr>
        <w:t>usion of</w:t>
      </w:r>
      <w:r w:rsidR="00B40703">
        <w:rPr>
          <w:rFonts w:asciiTheme="minorHAnsi" w:hAnsiTheme="minorHAnsi"/>
          <w:snapToGrid w:val="0"/>
          <w:lang w:val="en-GB"/>
        </w:rPr>
        <w:t xml:space="preserve"> </w:t>
      </w:r>
      <w:r w:rsidR="00B71214">
        <w:rPr>
          <w:rFonts w:asciiTheme="minorHAnsi" w:hAnsiTheme="minorHAnsi"/>
          <w:snapToGrid w:val="0"/>
          <w:lang w:val="en-GB"/>
        </w:rPr>
        <w:t xml:space="preserve">an </w:t>
      </w:r>
      <w:r w:rsidR="0094402D">
        <w:rPr>
          <w:rFonts w:asciiTheme="minorHAnsi" w:hAnsiTheme="minorHAnsi"/>
          <w:snapToGrid w:val="0"/>
          <w:lang w:val="en-GB"/>
        </w:rPr>
        <w:t>additional open triple inhaled therapy population in Year 1 only.</w:t>
      </w:r>
      <w:r w:rsidR="003403B8">
        <w:rPr>
          <w:rFonts w:asciiTheme="minorHAnsi" w:hAnsiTheme="minorHAnsi"/>
          <w:snapToGrid w:val="0"/>
          <w:lang w:val="en-GB"/>
        </w:rPr>
        <w:t xml:space="preserve"> </w:t>
      </w:r>
      <w:r w:rsidR="00AA1BDD">
        <w:rPr>
          <w:rFonts w:asciiTheme="minorHAnsi" w:hAnsiTheme="minorHAnsi"/>
          <w:snapToGrid w:val="0"/>
          <w:lang w:val="en-GB"/>
        </w:rPr>
        <w:t xml:space="preserve">With this correction </w:t>
      </w:r>
      <w:r w:rsidR="00A32F30">
        <w:rPr>
          <w:rFonts w:asciiTheme="minorHAnsi" w:hAnsiTheme="minorHAnsi"/>
          <w:snapToGrid w:val="0"/>
          <w:lang w:val="en-GB"/>
        </w:rPr>
        <w:t xml:space="preserve">the PBAC considered the approach taken </w:t>
      </w:r>
      <w:r w:rsidR="00903BD3">
        <w:rPr>
          <w:rFonts w:asciiTheme="minorHAnsi" w:hAnsiTheme="minorHAnsi"/>
          <w:snapToGrid w:val="0"/>
          <w:lang w:val="en-GB"/>
        </w:rPr>
        <w:t xml:space="preserve">in the pre-PBAC response to estimate the total number of eligible patients was appropriate. </w:t>
      </w:r>
      <w:r w:rsidR="00A4093B">
        <w:rPr>
          <w:rFonts w:asciiTheme="minorHAnsi" w:hAnsiTheme="minorHAnsi"/>
          <w:snapToGrid w:val="0"/>
          <w:lang w:val="en-GB"/>
        </w:rPr>
        <w:t xml:space="preserve">The PBAC noted that grandfathered patients were </w:t>
      </w:r>
      <w:r w:rsidR="00C70901">
        <w:rPr>
          <w:rFonts w:asciiTheme="minorHAnsi" w:hAnsiTheme="minorHAnsi"/>
          <w:snapToGrid w:val="0"/>
          <w:lang w:val="en-GB"/>
        </w:rPr>
        <w:t xml:space="preserve">appropriately not separately </w:t>
      </w:r>
      <w:r w:rsidR="00A4093B">
        <w:rPr>
          <w:rFonts w:asciiTheme="minorHAnsi" w:hAnsiTheme="minorHAnsi"/>
          <w:snapToGrid w:val="0"/>
          <w:lang w:val="en-GB"/>
        </w:rPr>
        <w:t xml:space="preserve">accounted for in the </w:t>
      </w:r>
      <w:r w:rsidR="00CB26C7">
        <w:rPr>
          <w:rFonts w:asciiTheme="minorHAnsi" w:hAnsiTheme="minorHAnsi"/>
          <w:snapToGrid w:val="0"/>
          <w:lang w:val="en-GB"/>
        </w:rPr>
        <w:t>prevalence-based</w:t>
      </w:r>
      <w:r w:rsidR="00A4093B">
        <w:rPr>
          <w:rFonts w:asciiTheme="minorHAnsi" w:hAnsiTheme="minorHAnsi"/>
          <w:snapToGrid w:val="0"/>
          <w:lang w:val="en-GB"/>
        </w:rPr>
        <w:t xml:space="preserve"> </w:t>
      </w:r>
      <w:r w:rsidR="00A4093B">
        <w:rPr>
          <w:rFonts w:asciiTheme="minorHAnsi" w:hAnsiTheme="minorHAnsi"/>
          <w:snapToGrid w:val="0"/>
          <w:lang w:val="en-GB"/>
        </w:rPr>
        <w:lastRenderedPageBreak/>
        <w:t xml:space="preserve">approach used </w:t>
      </w:r>
      <w:r w:rsidR="000A6BFD">
        <w:rPr>
          <w:rFonts w:asciiTheme="minorHAnsi" w:hAnsiTheme="minorHAnsi"/>
          <w:snapToGrid w:val="0"/>
          <w:lang w:val="en-GB"/>
        </w:rPr>
        <w:t xml:space="preserve">in the pre-PBAC response. </w:t>
      </w:r>
      <w:r w:rsidR="00CE5BDC">
        <w:rPr>
          <w:rFonts w:asciiTheme="minorHAnsi" w:hAnsiTheme="minorHAnsi"/>
          <w:snapToGrid w:val="0"/>
          <w:lang w:val="en-GB"/>
        </w:rPr>
        <w:t xml:space="preserve">The PBAC considered the assumption of an uptake rate of </w:t>
      </w:r>
      <w:r w:rsidR="00331ADA" w:rsidRPr="00331ADA">
        <w:rPr>
          <w:rFonts w:asciiTheme="minorHAnsi" w:hAnsiTheme="minorHAnsi"/>
          <w:snapToGrid w:val="0"/>
          <w:sz w:val="2"/>
          <w:highlight w:val="black"/>
          <w:lang w:val="en-GB"/>
        </w:rPr>
        <w:t>redacted content</w:t>
      </w:r>
      <w:r w:rsidR="00CE5BDC">
        <w:rPr>
          <w:rFonts w:asciiTheme="minorHAnsi" w:hAnsiTheme="minorHAnsi"/>
          <w:snapToGrid w:val="0"/>
          <w:lang w:val="en-GB"/>
        </w:rPr>
        <w:t xml:space="preserve">% in Year 1 increasing to </w:t>
      </w:r>
      <w:r w:rsidR="00331ADA" w:rsidRPr="00331ADA">
        <w:rPr>
          <w:rFonts w:asciiTheme="minorHAnsi" w:hAnsiTheme="minorHAnsi"/>
          <w:snapToGrid w:val="0"/>
          <w:sz w:val="2"/>
          <w:highlight w:val="black"/>
          <w:lang w:val="en-GB"/>
        </w:rPr>
        <w:t>redacted content</w:t>
      </w:r>
      <w:r w:rsidR="00CE5BDC">
        <w:rPr>
          <w:rFonts w:asciiTheme="minorHAnsi" w:hAnsiTheme="minorHAnsi"/>
          <w:snapToGrid w:val="0"/>
          <w:lang w:val="en-GB"/>
        </w:rPr>
        <w:t xml:space="preserve">% by Year 6 was optimistic but </w:t>
      </w:r>
      <w:r w:rsidR="00334D31">
        <w:rPr>
          <w:rFonts w:asciiTheme="minorHAnsi" w:hAnsiTheme="minorHAnsi"/>
          <w:snapToGrid w:val="0"/>
          <w:lang w:val="en-GB"/>
        </w:rPr>
        <w:t xml:space="preserve">potentially </w:t>
      </w:r>
      <w:r w:rsidR="00CE5BDC">
        <w:rPr>
          <w:rFonts w:asciiTheme="minorHAnsi" w:hAnsiTheme="minorHAnsi"/>
          <w:snapToGrid w:val="0"/>
          <w:lang w:val="en-GB"/>
        </w:rPr>
        <w:t xml:space="preserve">reasonable. However, </w:t>
      </w:r>
      <w:r w:rsidR="004A06CE">
        <w:rPr>
          <w:rFonts w:asciiTheme="minorHAnsi" w:hAnsiTheme="minorHAnsi"/>
          <w:snapToGrid w:val="0"/>
          <w:lang w:val="en-GB"/>
        </w:rPr>
        <w:t xml:space="preserve">the PBAC considered the approach </w:t>
      </w:r>
      <w:r w:rsidR="00D1297A">
        <w:rPr>
          <w:rFonts w:asciiTheme="minorHAnsi" w:hAnsiTheme="minorHAnsi"/>
          <w:snapToGrid w:val="0"/>
          <w:lang w:val="en-GB"/>
        </w:rPr>
        <w:t>taken to applying the uptake rate in the pre-PBAC response estimates was not appropriate</w:t>
      </w:r>
      <w:r w:rsidR="00502F3D">
        <w:rPr>
          <w:rFonts w:asciiTheme="minorHAnsi" w:hAnsiTheme="minorHAnsi"/>
          <w:snapToGrid w:val="0"/>
          <w:lang w:val="en-GB"/>
        </w:rPr>
        <w:t xml:space="preserve">. As outlined in paragraph </w:t>
      </w:r>
      <w:r w:rsidR="00502F3D">
        <w:rPr>
          <w:rFonts w:asciiTheme="minorHAnsi" w:hAnsiTheme="minorHAnsi"/>
          <w:snapToGrid w:val="0"/>
          <w:lang w:val="en-GB"/>
        </w:rPr>
        <w:fldChar w:fldCharType="begin"/>
      </w:r>
      <w:r w:rsidR="00502F3D">
        <w:rPr>
          <w:rFonts w:asciiTheme="minorHAnsi" w:hAnsiTheme="minorHAnsi"/>
          <w:snapToGrid w:val="0"/>
          <w:lang w:val="en-GB"/>
        </w:rPr>
        <w:instrText xml:space="preserve"> REF _Ref225081189 \r \h </w:instrText>
      </w:r>
      <w:r w:rsidR="00502F3D">
        <w:rPr>
          <w:rFonts w:asciiTheme="minorHAnsi" w:hAnsiTheme="minorHAnsi"/>
          <w:snapToGrid w:val="0"/>
          <w:lang w:val="en-GB"/>
        </w:rPr>
      </w:r>
      <w:r w:rsidR="00502F3D">
        <w:rPr>
          <w:rFonts w:asciiTheme="minorHAnsi" w:hAnsiTheme="minorHAnsi"/>
          <w:snapToGrid w:val="0"/>
          <w:lang w:val="en-GB"/>
        </w:rPr>
        <w:fldChar w:fldCharType="separate"/>
      </w:r>
      <w:r w:rsidR="00D02134">
        <w:rPr>
          <w:rFonts w:asciiTheme="minorHAnsi" w:hAnsiTheme="minorHAnsi"/>
          <w:snapToGrid w:val="0"/>
          <w:lang w:val="en-GB"/>
        </w:rPr>
        <w:t>6.64</w:t>
      </w:r>
      <w:r w:rsidR="00502F3D">
        <w:rPr>
          <w:rFonts w:asciiTheme="minorHAnsi" w:hAnsiTheme="minorHAnsi"/>
          <w:snapToGrid w:val="0"/>
          <w:lang w:val="en-GB"/>
        </w:rPr>
        <w:fldChar w:fldCharType="end"/>
      </w:r>
      <w:r w:rsidR="00502F3D">
        <w:rPr>
          <w:rFonts w:asciiTheme="minorHAnsi" w:hAnsiTheme="minorHAnsi"/>
          <w:snapToGrid w:val="0"/>
          <w:lang w:val="en-GB"/>
        </w:rPr>
        <w:t xml:space="preserve">, the PBAC considered a cumulative approach to uptake should be applied. </w:t>
      </w:r>
      <w:r w:rsidR="005E6220">
        <w:rPr>
          <w:rFonts w:asciiTheme="minorHAnsi" w:hAnsiTheme="minorHAnsi"/>
          <w:snapToGrid w:val="0"/>
          <w:lang w:val="en-GB"/>
        </w:rPr>
        <w:t xml:space="preserve">In addition, as outlined in paragraph </w:t>
      </w:r>
      <w:r w:rsidR="005D6152">
        <w:rPr>
          <w:rFonts w:asciiTheme="minorHAnsi" w:hAnsiTheme="minorHAnsi"/>
          <w:snapToGrid w:val="0"/>
          <w:lang w:val="en-GB"/>
        </w:rPr>
        <w:fldChar w:fldCharType="begin"/>
      </w:r>
      <w:r w:rsidR="005D6152">
        <w:rPr>
          <w:rFonts w:asciiTheme="minorHAnsi" w:hAnsiTheme="minorHAnsi"/>
          <w:snapToGrid w:val="0"/>
          <w:lang w:val="en-GB"/>
        </w:rPr>
        <w:instrText xml:space="preserve"> REF _Ref225081362 \r \h </w:instrText>
      </w:r>
      <w:r w:rsidR="005D6152">
        <w:rPr>
          <w:rFonts w:asciiTheme="minorHAnsi" w:hAnsiTheme="minorHAnsi"/>
          <w:snapToGrid w:val="0"/>
          <w:lang w:val="en-GB"/>
        </w:rPr>
      </w:r>
      <w:r w:rsidR="005D6152">
        <w:rPr>
          <w:rFonts w:asciiTheme="minorHAnsi" w:hAnsiTheme="minorHAnsi"/>
          <w:snapToGrid w:val="0"/>
          <w:lang w:val="en-GB"/>
        </w:rPr>
        <w:fldChar w:fldCharType="separate"/>
      </w:r>
      <w:r w:rsidR="00D02134">
        <w:rPr>
          <w:rFonts w:asciiTheme="minorHAnsi" w:hAnsiTheme="minorHAnsi"/>
          <w:snapToGrid w:val="0"/>
          <w:lang w:val="en-GB"/>
        </w:rPr>
        <w:t>6.65</w:t>
      </w:r>
      <w:r w:rsidR="005D6152">
        <w:rPr>
          <w:rFonts w:asciiTheme="minorHAnsi" w:hAnsiTheme="minorHAnsi"/>
          <w:snapToGrid w:val="0"/>
          <w:lang w:val="en-GB"/>
        </w:rPr>
        <w:fldChar w:fldCharType="end"/>
      </w:r>
      <w:r w:rsidR="005D6152">
        <w:rPr>
          <w:rFonts w:asciiTheme="minorHAnsi" w:hAnsiTheme="minorHAnsi"/>
          <w:snapToGrid w:val="0"/>
          <w:lang w:val="en-GB"/>
        </w:rPr>
        <w:t xml:space="preserve">, the PBAC considered </w:t>
      </w:r>
      <w:r w:rsidR="00F635F5">
        <w:rPr>
          <w:rFonts w:asciiTheme="minorHAnsi" w:hAnsiTheme="minorHAnsi"/>
          <w:snapToGrid w:val="0"/>
          <w:lang w:val="en-GB"/>
        </w:rPr>
        <w:t xml:space="preserve">that the proportion of patients continuing treatment from the economic model should be used to inform annual treatment persistence. </w:t>
      </w:r>
      <w:r w:rsidR="006D5AE9">
        <w:rPr>
          <w:rFonts w:asciiTheme="minorHAnsi" w:hAnsiTheme="minorHAnsi"/>
          <w:snapToGrid w:val="0"/>
          <w:lang w:val="en-GB"/>
        </w:rPr>
        <w:t>The PBAC considered that</w:t>
      </w:r>
      <w:r w:rsidR="00B61897">
        <w:rPr>
          <w:rFonts w:asciiTheme="minorHAnsi" w:hAnsiTheme="minorHAnsi"/>
          <w:snapToGrid w:val="0"/>
          <w:lang w:val="en-GB"/>
        </w:rPr>
        <w:t>,</w:t>
      </w:r>
      <w:r w:rsidR="006D5AE9">
        <w:rPr>
          <w:rFonts w:asciiTheme="minorHAnsi" w:hAnsiTheme="minorHAnsi"/>
          <w:snapToGrid w:val="0"/>
          <w:lang w:val="en-GB"/>
        </w:rPr>
        <w:t xml:space="preserve"> with these amendments</w:t>
      </w:r>
      <w:r w:rsidR="00B61897">
        <w:rPr>
          <w:rFonts w:asciiTheme="minorHAnsi" w:hAnsiTheme="minorHAnsi"/>
          <w:snapToGrid w:val="0"/>
          <w:lang w:val="en-GB"/>
        </w:rPr>
        <w:t xml:space="preserve"> </w:t>
      </w:r>
      <w:r w:rsidR="006D5AE9">
        <w:rPr>
          <w:rFonts w:asciiTheme="minorHAnsi" w:hAnsiTheme="minorHAnsi"/>
          <w:snapToGrid w:val="0"/>
          <w:lang w:val="en-GB"/>
        </w:rPr>
        <w:t xml:space="preserve">and </w:t>
      </w:r>
      <w:r w:rsidR="00B61897">
        <w:rPr>
          <w:rFonts w:asciiTheme="minorHAnsi" w:hAnsiTheme="minorHAnsi"/>
          <w:snapToGrid w:val="0"/>
          <w:lang w:val="en-GB"/>
        </w:rPr>
        <w:t>with the price reduction required to achieve cost effectiveness outlined in paragraph</w:t>
      </w:r>
      <w:r w:rsidR="006B4AB8">
        <w:rPr>
          <w:rFonts w:asciiTheme="minorHAnsi" w:hAnsiTheme="minorHAnsi"/>
          <w:snapToGrid w:val="0"/>
          <w:lang w:val="en-GB"/>
        </w:rPr>
        <w:t xml:space="preserve"> </w:t>
      </w:r>
      <w:r w:rsidR="0004011F">
        <w:rPr>
          <w:rFonts w:asciiTheme="minorHAnsi" w:hAnsiTheme="minorHAnsi"/>
          <w:snapToGrid w:val="0"/>
          <w:highlight w:val="yellow"/>
          <w:lang w:val="en-GB"/>
        </w:rPr>
        <w:fldChar w:fldCharType="begin"/>
      </w:r>
      <w:r w:rsidR="0004011F">
        <w:rPr>
          <w:rFonts w:asciiTheme="minorHAnsi" w:hAnsiTheme="minorHAnsi"/>
          <w:snapToGrid w:val="0"/>
          <w:lang w:val="en-GB"/>
        </w:rPr>
        <w:instrText xml:space="preserve"> REF _Ref225425285 \r \h </w:instrText>
      </w:r>
      <w:r w:rsidR="0004011F">
        <w:rPr>
          <w:rFonts w:asciiTheme="minorHAnsi" w:hAnsiTheme="minorHAnsi"/>
          <w:snapToGrid w:val="0"/>
          <w:highlight w:val="yellow"/>
          <w:lang w:val="en-GB"/>
        </w:rPr>
      </w:r>
      <w:r w:rsidR="0004011F">
        <w:rPr>
          <w:rFonts w:asciiTheme="minorHAnsi" w:hAnsiTheme="minorHAnsi"/>
          <w:snapToGrid w:val="0"/>
          <w:highlight w:val="yellow"/>
          <w:lang w:val="en-GB"/>
        </w:rPr>
        <w:fldChar w:fldCharType="separate"/>
      </w:r>
      <w:r w:rsidR="00D02134">
        <w:rPr>
          <w:rFonts w:asciiTheme="minorHAnsi" w:hAnsiTheme="minorHAnsi"/>
          <w:snapToGrid w:val="0"/>
          <w:lang w:val="en-GB"/>
        </w:rPr>
        <w:t>7.9</w:t>
      </w:r>
      <w:r w:rsidR="0004011F">
        <w:rPr>
          <w:rFonts w:asciiTheme="minorHAnsi" w:hAnsiTheme="minorHAnsi"/>
          <w:snapToGrid w:val="0"/>
          <w:highlight w:val="yellow"/>
          <w:lang w:val="en-GB"/>
        </w:rPr>
        <w:fldChar w:fldCharType="end"/>
      </w:r>
      <w:r w:rsidR="00B61897">
        <w:rPr>
          <w:rFonts w:asciiTheme="minorHAnsi" w:hAnsiTheme="minorHAnsi"/>
          <w:snapToGrid w:val="0"/>
          <w:lang w:val="en-GB"/>
        </w:rPr>
        <w:t xml:space="preserve">, it would be reasonable to accept the </w:t>
      </w:r>
      <w:r w:rsidR="00AB7AB9">
        <w:rPr>
          <w:rFonts w:asciiTheme="minorHAnsi" w:hAnsiTheme="minorHAnsi"/>
          <w:snapToGrid w:val="0"/>
          <w:lang w:val="en-GB"/>
        </w:rPr>
        <w:t xml:space="preserve">pre-PBAC response revised financial estimates as the basis of </w:t>
      </w:r>
      <w:r w:rsidR="00513F17">
        <w:rPr>
          <w:rFonts w:asciiTheme="minorHAnsi" w:hAnsiTheme="minorHAnsi"/>
          <w:snapToGrid w:val="0"/>
          <w:lang w:val="en-GB"/>
        </w:rPr>
        <w:t xml:space="preserve">establishing </w:t>
      </w:r>
      <w:r w:rsidR="00AB7AB9">
        <w:rPr>
          <w:rFonts w:asciiTheme="minorHAnsi" w:hAnsiTheme="minorHAnsi"/>
          <w:snapToGrid w:val="0"/>
          <w:lang w:val="en-GB"/>
        </w:rPr>
        <w:t xml:space="preserve">a risk sharing arrangement. </w:t>
      </w:r>
      <w:r w:rsidR="0094402D" w:rsidRPr="00AF44C9">
        <w:rPr>
          <w:rFonts w:asciiTheme="minorHAnsi" w:hAnsiTheme="minorHAnsi"/>
          <w:snapToGrid w:val="0"/>
          <w:lang w:val="en-GB"/>
        </w:rPr>
        <w:t xml:space="preserve"> </w:t>
      </w:r>
      <w:r w:rsidR="0044478F" w:rsidRPr="00AF44C9">
        <w:rPr>
          <w:rFonts w:asciiTheme="minorHAnsi" w:hAnsiTheme="minorHAnsi"/>
          <w:snapToGrid w:val="0"/>
          <w:lang w:val="en-GB"/>
        </w:rPr>
        <w:t xml:space="preserve"> </w:t>
      </w:r>
    </w:p>
    <w:p w14:paraId="75FC16AA" w14:textId="0285A4D0" w:rsidR="00D472A3" w:rsidRPr="005529D4" w:rsidRDefault="00D472A3" w:rsidP="00D472A3">
      <w:pPr>
        <w:pStyle w:val="3-BodyText"/>
        <w:numPr>
          <w:ilvl w:val="1"/>
          <w:numId w:val="6"/>
        </w:numPr>
        <w:rPr>
          <w:snapToGrid w:val="0"/>
          <w:lang w:val="en-GB"/>
        </w:rPr>
      </w:pPr>
      <w:r w:rsidRPr="005529D4">
        <w:rPr>
          <w:snapToGrid w:val="0"/>
          <w:lang w:val="en-GB"/>
        </w:rPr>
        <w:t xml:space="preserve">The PBAC considered that the </w:t>
      </w:r>
      <w:r>
        <w:rPr>
          <w:snapToGrid w:val="0"/>
          <w:lang w:val="en-GB"/>
        </w:rPr>
        <w:t>risk of use outside of the proposed patient population (particularly</w:t>
      </w:r>
      <w:r w:rsidRPr="005529D4">
        <w:rPr>
          <w:snapToGrid w:val="0"/>
          <w:lang w:val="en-GB"/>
        </w:rPr>
        <w:t xml:space="preserve"> in </w:t>
      </w:r>
      <w:r>
        <w:rPr>
          <w:snapToGrid w:val="0"/>
          <w:lang w:val="en-GB"/>
        </w:rPr>
        <w:t>patients not optimised on triple inhaled therapy) was high and</w:t>
      </w:r>
      <w:r w:rsidRPr="005529D4">
        <w:rPr>
          <w:snapToGrid w:val="0"/>
          <w:lang w:val="en-GB"/>
        </w:rPr>
        <w:t xml:space="preserve"> </w:t>
      </w:r>
      <w:r>
        <w:rPr>
          <w:snapToGrid w:val="0"/>
          <w:lang w:val="en-GB"/>
        </w:rPr>
        <w:t xml:space="preserve">that this along with </w:t>
      </w:r>
      <w:r w:rsidRPr="005529D4">
        <w:rPr>
          <w:snapToGrid w:val="0"/>
          <w:lang w:val="en-GB"/>
        </w:rPr>
        <w:t xml:space="preserve">the remaining uncertainties </w:t>
      </w:r>
      <w:r>
        <w:rPr>
          <w:snapToGrid w:val="0"/>
          <w:lang w:val="en-GB"/>
        </w:rPr>
        <w:t xml:space="preserve">in the financial estimates </w:t>
      </w:r>
      <w:r w:rsidRPr="005529D4">
        <w:rPr>
          <w:snapToGrid w:val="0"/>
          <w:lang w:val="en-GB"/>
        </w:rPr>
        <w:t xml:space="preserve">could be managed </w:t>
      </w:r>
      <w:r w:rsidR="00C75E45">
        <w:rPr>
          <w:snapToGrid w:val="0"/>
          <w:lang w:val="en-GB"/>
        </w:rPr>
        <w:t>through an RSA</w:t>
      </w:r>
      <w:r w:rsidR="00D46EED">
        <w:rPr>
          <w:snapToGrid w:val="0"/>
          <w:lang w:val="en-GB"/>
        </w:rPr>
        <w:t xml:space="preserve"> with a </w:t>
      </w:r>
      <w:r w:rsidR="00331ADA" w:rsidRPr="00331ADA">
        <w:rPr>
          <w:snapToGrid w:val="0"/>
          <w:sz w:val="2"/>
          <w:highlight w:val="black"/>
        </w:rPr>
        <w:t>redacted content</w:t>
      </w:r>
      <w:r>
        <w:rPr>
          <w:snapToGrid w:val="0"/>
        </w:rPr>
        <w:t xml:space="preserve">% rebate for </w:t>
      </w:r>
      <w:r w:rsidR="004E5E96">
        <w:rPr>
          <w:snapToGrid w:val="0"/>
        </w:rPr>
        <w:t xml:space="preserve">expenditure above the </w:t>
      </w:r>
      <w:r>
        <w:rPr>
          <w:snapToGrid w:val="0"/>
        </w:rPr>
        <w:t xml:space="preserve">annual caps. Should the </w:t>
      </w:r>
      <w:r>
        <w:t xml:space="preserve">near market comparator </w:t>
      </w:r>
      <w:r w:rsidR="0071699A">
        <w:t>mepolizumab</w:t>
      </w:r>
      <w:r>
        <w:t xml:space="preserve"> be listed</w:t>
      </w:r>
      <w:r w:rsidR="001358D5">
        <w:t xml:space="preserve"> on the PBS before</w:t>
      </w:r>
      <w:r w:rsidR="00D56F18">
        <w:t xml:space="preserve"> dupilumab is </w:t>
      </w:r>
      <w:r w:rsidR="003D2D84">
        <w:t>able to proceed to listing</w:t>
      </w:r>
      <w:r w:rsidRPr="00633EF0">
        <w:rPr>
          <w:snapToGrid w:val="0"/>
          <w:lang w:val="en-GB"/>
        </w:rPr>
        <w:t>,</w:t>
      </w:r>
      <w:r w:rsidR="00B00698">
        <w:rPr>
          <w:snapToGrid w:val="0"/>
          <w:lang w:val="en-GB"/>
        </w:rPr>
        <w:t xml:space="preserve"> it would be appropriate for dupilumab to join</w:t>
      </w:r>
      <w:r w:rsidR="00EC4813">
        <w:rPr>
          <w:snapToGrid w:val="0"/>
          <w:lang w:val="en-GB"/>
        </w:rPr>
        <w:t xml:space="preserve"> any established RSA</w:t>
      </w:r>
      <w:r w:rsidRPr="00633EF0">
        <w:rPr>
          <w:snapToGrid w:val="0"/>
          <w:lang w:val="en-GB"/>
        </w:rPr>
        <w:t xml:space="preserve"> </w:t>
      </w:r>
      <w:r>
        <w:rPr>
          <w:snapToGrid w:val="0"/>
          <w:lang w:val="en-GB"/>
        </w:rPr>
        <w:t>with no increase in the caps</w:t>
      </w:r>
      <w:r w:rsidRPr="00633EF0">
        <w:rPr>
          <w:snapToGrid w:val="0"/>
          <w:lang w:val="en-GB"/>
        </w:rPr>
        <w:t>.</w:t>
      </w:r>
    </w:p>
    <w:p w14:paraId="62FE69B9" w14:textId="68AC294B" w:rsidR="00D472A3" w:rsidRPr="004007D7" w:rsidRDefault="00D472A3" w:rsidP="00D472A3">
      <w:pPr>
        <w:pStyle w:val="3-BodyText"/>
        <w:numPr>
          <w:ilvl w:val="1"/>
          <w:numId w:val="6"/>
        </w:numPr>
        <w:rPr>
          <w:snapToGrid w:val="0"/>
          <w:lang w:val="en-GB" w:eastAsia="en-US"/>
        </w:rPr>
      </w:pPr>
      <w:r>
        <w:rPr>
          <w:snapToGrid w:val="0"/>
          <w:lang w:val="en-GB" w:eastAsia="en-US"/>
        </w:rPr>
        <w:t xml:space="preserve">The PBAC advised that </w:t>
      </w:r>
      <w:r w:rsidR="0071699A">
        <w:rPr>
          <w:snapToGrid w:val="0"/>
          <w:lang w:val="en-GB" w:eastAsia="en-US"/>
        </w:rPr>
        <w:t>dupilumab</w:t>
      </w:r>
      <w:r w:rsidRPr="004007D7">
        <w:rPr>
          <w:snapToGrid w:val="0"/>
          <w:lang w:val="en-GB" w:eastAsia="en-US"/>
        </w:rPr>
        <w:t xml:space="preserve"> </w:t>
      </w:r>
      <w:r>
        <w:rPr>
          <w:snapToGrid w:val="0"/>
          <w:lang w:val="en-GB" w:eastAsia="en-US"/>
        </w:rPr>
        <w:t xml:space="preserve">is not suitable for prescribing by nurse practitioners. </w:t>
      </w:r>
    </w:p>
    <w:p w14:paraId="552AC2AF" w14:textId="00CF1FF3" w:rsidR="00D472A3" w:rsidRPr="003F21CB" w:rsidRDefault="00D472A3" w:rsidP="00D472A3">
      <w:pPr>
        <w:pStyle w:val="3-BodyText"/>
        <w:numPr>
          <w:ilvl w:val="1"/>
          <w:numId w:val="6"/>
        </w:numPr>
        <w:rPr>
          <w:snapToGrid w:val="0"/>
          <w:lang w:val="en-GB" w:eastAsia="en-US"/>
        </w:rPr>
      </w:pPr>
      <w:r w:rsidRPr="004007D7">
        <w:rPr>
          <w:snapToGrid w:val="0"/>
          <w:lang w:val="en-GB" w:eastAsia="en-US"/>
        </w:rPr>
        <w:t xml:space="preserve">The PBAC recommended that the Early Supply Rule should </w:t>
      </w:r>
      <w:r w:rsidR="00D90C0F">
        <w:rPr>
          <w:snapToGrid w:val="0"/>
          <w:lang w:val="en-GB" w:eastAsia="en-US"/>
        </w:rPr>
        <w:t xml:space="preserve">not </w:t>
      </w:r>
      <w:r w:rsidRPr="004007D7">
        <w:rPr>
          <w:snapToGrid w:val="0"/>
          <w:lang w:val="en-GB" w:eastAsia="en-US"/>
        </w:rPr>
        <w:t xml:space="preserve">apply. </w:t>
      </w:r>
    </w:p>
    <w:p w14:paraId="647BA3AA" w14:textId="2FA048E6" w:rsidR="00D472A3" w:rsidRPr="003512E4" w:rsidRDefault="00D472A3" w:rsidP="00D472A3">
      <w:pPr>
        <w:widowControl w:val="0"/>
        <w:numPr>
          <w:ilvl w:val="1"/>
          <w:numId w:val="1"/>
        </w:numPr>
        <w:spacing w:after="120"/>
        <w:rPr>
          <w:rFonts w:asciiTheme="minorHAnsi" w:hAnsiTheme="minorHAnsi"/>
          <w:bCs/>
          <w:snapToGrid w:val="0"/>
          <w:lang w:val="en-GB"/>
        </w:rPr>
      </w:pPr>
      <w:r w:rsidRPr="009E4242">
        <w:rPr>
          <w:lang w:val="en-GB" w:eastAsia="en-US"/>
        </w:rPr>
        <w:t xml:space="preserve">The PBAC found that the criteria prescribed by the </w:t>
      </w:r>
      <w:r w:rsidRPr="009E4242">
        <w:rPr>
          <w:i/>
          <w:lang w:val="en-GB" w:eastAsia="en-US"/>
        </w:rPr>
        <w:t>National Health (Pharmaceuticals and Vaccines – Cost Recovery) Regulations 2022</w:t>
      </w:r>
      <w:r w:rsidRPr="009E4242">
        <w:rPr>
          <w:lang w:val="en-GB" w:eastAsia="en-US"/>
        </w:rPr>
        <w:t xml:space="preserve"> for Pricing Pathway A were not met. </w:t>
      </w:r>
      <w:r w:rsidRPr="003512E4">
        <w:rPr>
          <w:rFonts w:asciiTheme="minorHAnsi" w:hAnsiTheme="minorHAnsi"/>
          <w:bCs/>
          <w:snapToGrid w:val="0"/>
          <w:lang w:val="en-GB"/>
        </w:rPr>
        <w:t xml:space="preserve">Specifically, the PBAC found that in the circumstances of its recommendation for </w:t>
      </w:r>
      <w:r w:rsidR="0071699A">
        <w:rPr>
          <w:snapToGrid w:val="0"/>
          <w:lang w:val="en-GB" w:eastAsia="en-US"/>
        </w:rPr>
        <w:t>dupilumab</w:t>
      </w:r>
      <w:r w:rsidRPr="003512E4">
        <w:rPr>
          <w:rFonts w:asciiTheme="minorHAnsi" w:hAnsiTheme="minorHAnsi"/>
          <w:bCs/>
          <w:snapToGrid w:val="0"/>
          <w:lang w:val="en-GB"/>
        </w:rPr>
        <w:t>:</w:t>
      </w:r>
    </w:p>
    <w:p w14:paraId="04A7F276" w14:textId="31FA0742" w:rsidR="00D472A3" w:rsidRPr="00B347BC" w:rsidRDefault="00D472A3" w:rsidP="00042FF4">
      <w:pPr>
        <w:widowControl w:val="0"/>
        <w:numPr>
          <w:ilvl w:val="2"/>
          <w:numId w:val="23"/>
        </w:numPr>
        <w:spacing w:after="120"/>
        <w:rPr>
          <w:rFonts w:asciiTheme="minorHAnsi" w:hAnsiTheme="minorHAnsi" w:cstheme="minorHAnsi"/>
        </w:rPr>
      </w:pPr>
      <w:r w:rsidRPr="009E61D7">
        <w:rPr>
          <w:rFonts w:asciiTheme="minorHAnsi" w:hAnsiTheme="minorHAnsi" w:cstheme="minorHAnsi"/>
          <w:lang w:val="en-GB"/>
        </w:rPr>
        <w:t xml:space="preserve">The treatment is </w:t>
      </w:r>
      <w:r>
        <w:rPr>
          <w:rFonts w:asciiTheme="minorHAnsi" w:hAnsiTheme="minorHAnsi" w:cstheme="minorHAnsi"/>
          <w:lang w:val="en-GB"/>
        </w:rPr>
        <w:t xml:space="preserve">expected to provide a </w:t>
      </w:r>
      <w:r w:rsidRPr="009E61D7">
        <w:rPr>
          <w:rFonts w:asciiTheme="minorHAnsi" w:hAnsiTheme="minorHAnsi" w:cstheme="minorHAnsi"/>
          <w:lang w:val="en-GB"/>
        </w:rPr>
        <w:t>clinically relevant improvement</w:t>
      </w:r>
      <w:r>
        <w:rPr>
          <w:rFonts w:asciiTheme="minorHAnsi" w:hAnsiTheme="minorHAnsi" w:cstheme="minorHAnsi"/>
          <w:lang w:val="en-GB"/>
        </w:rPr>
        <w:t xml:space="preserve"> </w:t>
      </w:r>
      <w:r w:rsidRPr="009E61D7">
        <w:rPr>
          <w:rFonts w:asciiTheme="minorHAnsi" w:hAnsiTheme="minorHAnsi" w:cstheme="minorHAnsi"/>
          <w:lang w:val="en-GB"/>
        </w:rPr>
        <w:t xml:space="preserve">in the rate </w:t>
      </w:r>
      <w:r>
        <w:rPr>
          <w:rFonts w:asciiTheme="minorHAnsi" w:hAnsiTheme="minorHAnsi" w:cstheme="minorHAnsi"/>
          <w:lang w:val="en-GB"/>
        </w:rPr>
        <w:t>and time to next moderate or severe</w:t>
      </w:r>
      <w:r w:rsidRPr="009E61D7">
        <w:rPr>
          <w:rFonts w:asciiTheme="minorHAnsi" w:hAnsiTheme="minorHAnsi" w:cstheme="minorHAnsi"/>
          <w:lang w:val="en-GB"/>
        </w:rPr>
        <w:t xml:space="preserve"> exacerbation </w:t>
      </w:r>
      <w:r>
        <w:rPr>
          <w:rFonts w:asciiTheme="minorHAnsi" w:hAnsiTheme="minorHAnsi" w:cstheme="minorHAnsi"/>
          <w:lang w:val="en-GB"/>
        </w:rPr>
        <w:t>over inhaled triple therapy alone</w:t>
      </w:r>
      <w:r w:rsidRPr="009E61D7">
        <w:rPr>
          <w:rFonts w:asciiTheme="minorHAnsi" w:hAnsiTheme="minorHAnsi" w:cstheme="minorHAnsi"/>
          <w:lang w:val="en-GB"/>
        </w:rPr>
        <w:t>,</w:t>
      </w:r>
      <w:r w:rsidR="00B347BC">
        <w:rPr>
          <w:rFonts w:asciiTheme="minorHAnsi" w:hAnsiTheme="minorHAnsi" w:cstheme="minorHAnsi"/>
          <w:lang w:val="en-GB"/>
        </w:rPr>
        <w:t xml:space="preserve"> however</w:t>
      </w:r>
      <w:r>
        <w:rPr>
          <w:rFonts w:asciiTheme="minorHAnsi" w:hAnsiTheme="minorHAnsi" w:cstheme="minorHAnsi"/>
          <w:lang w:val="en-GB"/>
        </w:rPr>
        <w:t xml:space="preserve"> </w:t>
      </w:r>
      <w:r w:rsidR="00B347BC" w:rsidRPr="00B347BC">
        <w:rPr>
          <w:rFonts w:asciiTheme="minorHAnsi" w:hAnsiTheme="minorHAnsi" w:cstheme="minorHAnsi"/>
        </w:rPr>
        <w:t xml:space="preserve">its effect beyond </w:t>
      </w:r>
      <w:r w:rsidR="00AB72EA">
        <w:rPr>
          <w:rFonts w:asciiTheme="minorHAnsi" w:hAnsiTheme="minorHAnsi" w:cstheme="minorHAnsi"/>
        </w:rPr>
        <w:t xml:space="preserve">that observed in the </w:t>
      </w:r>
      <w:r w:rsidR="00B347BC">
        <w:rPr>
          <w:rFonts w:asciiTheme="minorHAnsi" w:hAnsiTheme="minorHAnsi" w:cstheme="minorHAnsi"/>
        </w:rPr>
        <w:t>clinical</w:t>
      </w:r>
      <w:r w:rsidR="00B347BC" w:rsidRPr="00B347BC">
        <w:rPr>
          <w:rFonts w:asciiTheme="minorHAnsi" w:hAnsiTheme="minorHAnsi" w:cstheme="minorHAnsi"/>
        </w:rPr>
        <w:t xml:space="preserve"> </w:t>
      </w:r>
      <w:r w:rsidR="00B347BC">
        <w:rPr>
          <w:rFonts w:asciiTheme="minorHAnsi" w:hAnsiTheme="minorHAnsi" w:cstheme="minorHAnsi"/>
        </w:rPr>
        <w:t>trial</w:t>
      </w:r>
      <w:r w:rsidR="00AB72EA">
        <w:rPr>
          <w:rFonts w:asciiTheme="minorHAnsi" w:hAnsiTheme="minorHAnsi" w:cstheme="minorHAnsi"/>
        </w:rPr>
        <w:t>s</w:t>
      </w:r>
      <w:r w:rsidR="00B347BC">
        <w:rPr>
          <w:rFonts w:asciiTheme="minorHAnsi" w:hAnsiTheme="minorHAnsi" w:cstheme="minorHAnsi"/>
        </w:rPr>
        <w:t xml:space="preserve"> </w:t>
      </w:r>
      <w:r w:rsidR="00B347BC" w:rsidRPr="00B347BC">
        <w:rPr>
          <w:rFonts w:asciiTheme="minorHAnsi" w:hAnsiTheme="minorHAnsi" w:cstheme="minorHAnsi"/>
        </w:rPr>
        <w:t>remains unclear, and no changes in long</w:t>
      </w:r>
      <w:r w:rsidR="00B347BC" w:rsidRPr="00B347BC">
        <w:rPr>
          <w:rFonts w:asciiTheme="minorHAnsi" w:hAnsiTheme="minorHAnsi" w:cstheme="minorHAnsi"/>
        </w:rPr>
        <w:noBreakHyphen/>
        <w:t>term outcomes such as survival have been established</w:t>
      </w:r>
      <w:r w:rsidR="00EE4B6E">
        <w:rPr>
          <w:rFonts w:asciiTheme="minorHAnsi" w:hAnsiTheme="minorHAnsi" w:cstheme="minorHAnsi"/>
        </w:rPr>
        <w:t>;</w:t>
      </w:r>
    </w:p>
    <w:p w14:paraId="7604B0A0" w14:textId="476EE730" w:rsidR="00D472A3" w:rsidRPr="00D472A3" w:rsidRDefault="00D472A3" w:rsidP="00042FF4">
      <w:pPr>
        <w:widowControl w:val="0"/>
        <w:numPr>
          <w:ilvl w:val="2"/>
          <w:numId w:val="23"/>
        </w:numPr>
        <w:spacing w:after="120"/>
        <w:rPr>
          <w:rStyle w:val="cf01"/>
          <w:rFonts w:asciiTheme="minorHAnsi" w:hAnsiTheme="minorHAnsi" w:cstheme="minorHAnsi"/>
          <w:i w:val="0"/>
          <w:iCs w:val="0"/>
          <w:sz w:val="24"/>
          <w:szCs w:val="24"/>
          <w:lang w:val="en-GB"/>
        </w:rPr>
      </w:pPr>
      <w:r w:rsidRPr="00D472A3">
        <w:rPr>
          <w:rFonts w:asciiTheme="minorHAnsi" w:hAnsiTheme="minorHAnsi" w:cstheme="minorHAnsi"/>
          <w:lang w:val="en-GB"/>
        </w:rPr>
        <w:t xml:space="preserve">The treatment is not expected to address a high and urgent unmet clinical need as there are therapies listed on the PBS that can be used in the management of exacerbations. However, the persistent clinical need for therapies that can reduce both exacerbations and </w:t>
      </w:r>
      <w:r w:rsidRPr="00D472A3">
        <w:rPr>
          <w:iCs/>
        </w:rPr>
        <w:t>reliance on oral corticosteroids</w:t>
      </w:r>
      <w:r w:rsidRPr="00D472A3">
        <w:rPr>
          <w:rFonts w:asciiTheme="minorHAnsi" w:hAnsiTheme="minorHAnsi" w:cstheme="minorHAnsi"/>
          <w:lang w:val="en-GB"/>
        </w:rPr>
        <w:t xml:space="preserve"> in the management of exacerbations was acknowledged;</w:t>
      </w:r>
    </w:p>
    <w:p w14:paraId="2CF8DB0B" w14:textId="77777777" w:rsidR="00D472A3" w:rsidRPr="002B0C3A" w:rsidRDefault="00D472A3" w:rsidP="00042FF4">
      <w:pPr>
        <w:widowControl w:val="0"/>
        <w:numPr>
          <w:ilvl w:val="2"/>
          <w:numId w:val="23"/>
        </w:numPr>
        <w:spacing w:after="120"/>
        <w:rPr>
          <w:rFonts w:asciiTheme="minorHAnsi" w:hAnsiTheme="minorHAnsi" w:cstheme="minorHAnsi"/>
          <w:lang w:val="en-GB"/>
        </w:rPr>
      </w:pPr>
      <w:r w:rsidRPr="00763DFB">
        <w:rPr>
          <w:rFonts w:asciiTheme="minorHAnsi" w:hAnsiTheme="minorHAnsi" w:cstheme="minorHAnsi"/>
          <w:lang w:val="en-GB"/>
        </w:rPr>
        <w:t>It was not necessary to make a finding in relation to whether it would be in the public interest for the subsequent pricing application to be progressed under Pricing Pathway A because one or more of the preceding tests had failed</w:t>
      </w:r>
      <w:r>
        <w:rPr>
          <w:rFonts w:asciiTheme="minorHAnsi" w:hAnsiTheme="minorHAnsi" w:cstheme="minorHAnsi"/>
          <w:lang w:val="en-GB"/>
        </w:rPr>
        <w:t>.</w:t>
      </w:r>
    </w:p>
    <w:p w14:paraId="758D5E6A" w14:textId="1630FF9E" w:rsidR="004618FC" w:rsidRPr="00D472A3" w:rsidRDefault="00D472A3" w:rsidP="00D472A3">
      <w:pPr>
        <w:pStyle w:val="3-BodyText"/>
        <w:numPr>
          <w:ilvl w:val="1"/>
          <w:numId w:val="1"/>
        </w:numPr>
        <w:rPr>
          <w:snapToGrid w:val="0"/>
          <w:lang w:val="en-GB" w:eastAsia="en-US"/>
        </w:rPr>
      </w:pPr>
      <w:r w:rsidRPr="009E4242">
        <w:rPr>
          <w:snapToGrid w:val="0"/>
          <w:lang w:val="en-GB" w:eastAsia="en-US"/>
        </w:rPr>
        <w:t xml:space="preserve">The PBAC </w:t>
      </w:r>
      <w:r>
        <w:rPr>
          <w:snapToGrid w:val="0"/>
          <w:lang w:val="en-GB" w:eastAsia="en-US"/>
        </w:rPr>
        <w:t>advised</w:t>
      </w:r>
      <w:r w:rsidRPr="009E4242">
        <w:rPr>
          <w:snapToGrid w:val="0"/>
          <w:lang w:val="en-GB" w:eastAsia="en-US"/>
        </w:rPr>
        <w:t xml:space="preserve"> that this submission </w:t>
      </w:r>
      <w:r>
        <w:rPr>
          <w:snapToGrid w:val="0"/>
          <w:lang w:val="en-GB" w:eastAsia="en-US"/>
        </w:rPr>
        <w:t>would</w:t>
      </w:r>
      <w:r w:rsidRPr="009E4242">
        <w:rPr>
          <w:snapToGrid w:val="0"/>
          <w:lang w:val="en-GB" w:eastAsia="en-US"/>
        </w:rPr>
        <w:t xml:space="preserve"> not </w:t>
      </w:r>
      <w:r>
        <w:rPr>
          <w:snapToGrid w:val="0"/>
          <w:lang w:val="en-GB" w:eastAsia="en-US"/>
        </w:rPr>
        <w:t xml:space="preserve">be </w:t>
      </w:r>
      <w:r w:rsidRPr="009E4242">
        <w:rPr>
          <w:snapToGrid w:val="0"/>
          <w:lang w:val="en-GB" w:eastAsia="en-US"/>
        </w:rPr>
        <w:t>eligible for an Independent Review as it received a positive recommendation</w:t>
      </w:r>
      <w:r w:rsidR="00E278A5">
        <w:rPr>
          <w:snapToGrid w:val="0"/>
          <w:lang w:val="en-GB" w:eastAsia="en-US"/>
        </w:rPr>
        <w:t>.</w:t>
      </w:r>
    </w:p>
    <w:p w14:paraId="2FA25804" w14:textId="77777777" w:rsidR="00D4657D" w:rsidRDefault="00D4657D">
      <w:pPr>
        <w:jc w:val="left"/>
        <w:rPr>
          <w:rFonts w:asciiTheme="minorHAnsi" w:hAnsiTheme="minorHAnsi"/>
          <w:b/>
          <w:bCs/>
          <w:snapToGrid w:val="0"/>
          <w:lang w:val="en-GB"/>
        </w:rPr>
      </w:pPr>
      <w:r>
        <w:rPr>
          <w:rFonts w:asciiTheme="minorHAnsi" w:hAnsiTheme="minorHAnsi"/>
          <w:b/>
          <w:bCs/>
          <w:snapToGrid w:val="0"/>
          <w:lang w:val="en-GB"/>
        </w:rPr>
        <w:br w:type="page"/>
      </w:r>
    </w:p>
    <w:p w14:paraId="4B6BF5AE" w14:textId="5E16E6D5" w:rsidR="004618FC" w:rsidRPr="00525B39" w:rsidRDefault="004618FC" w:rsidP="004618FC">
      <w:pPr>
        <w:spacing w:before="240"/>
        <w:rPr>
          <w:rFonts w:asciiTheme="minorHAnsi" w:hAnsiTheme="minorHAnsi"/>
          <w:b/>
          <w:bCs/>
          <w:snapToGrid w:val="0"/>
          <w:lang w:val="en-GB"/>
        </w:rPr>
      </w:pPr>
      <w:r w:rsidRPr="00525B39">
        <w:rPr>
          <w:rFonts w:asciiTheme="minorHAnsi" w:hAnsiTheme="minorHAnsi"/>
          <w:b/>
          <w:bCs/>
          <w:snapToGrid w:val="0"/>
          <w:lang w:val="en-GB"/>
        </w:rPr>
        <w:lastRenderedPageBreak/>
        <w:t>Outcome:</w:t>
      </w:r>
    </w:p>
    <w:p w14:paraId="07BCE0B7" w14:textId="42F83BEF" w:rsidR="004618FC" w:rsidRPr="00525B39" w:rsidRDefault="004618FC" w:rsidP="004618FC">
      <w:pPr>
        <w:rPr>
          <w:rFonts w:asciiTheme="minorHAnsi" w:hAnsiTheme="minorHAnsi"/>
          <w:bCs/>
          <w:snapToGrid w:val="0"/>
          <w:lang w:val="en-GB"/>
        </w:rPr>
      </w:pPr>
      <w:r w:rsidRPr="00525B39">
        <w:rPr>
          <w:rFonts w:asciiTheme="minorHAnsi" w:hAnsiTheme="minorHAnsi"/>
          <w:bCs/>
          <w:snapToGrid w:val="0"/>
          <w:lang w:val="en-GB"/>
        </w:rPr>
        <w:t xml:space="preserve">Recommended </w:t>
      </w:r>
    </w:p>
    <w:bookmarkEnd w:id="109"/>
    <w:p w14:paraId="284B97AF" w14:textId="77777777" w:rsidR="004618FC" w:rsidRPr="00907671" w:rsidRDefault="004618FC" w:rsidP="004618FC">
      <w:pPr>
        <w:pStyle w:val="2-SectionHeading"/>
        <w:numPr>
          <w:ilvl w:val="0"/>
          <w:numId w:val="1"/>
        </w:numPr>
      </w:pPr>
      <w:r w:rsidRPr="00907671">
        <w:t>Recommended listing</w:t>
      </w:r>
    </w:p>
    <w:p w14:paraId="39B3A4DA" w14:textId="77777777" w:rsidR="00E3331D" w:rsidRPr="00EA441F" w:rsidRDefault="00E3331D" w:rsidP="00E3331D">
      <w:pPr>
        <w:pStyle w:val="3-BodyText"/>
        <w:rPr>
          <w:snapToGrid w:val="0"/>
        </w:rPr>
      </w:pPr>
      <w:bookmarkStart w:id="114" w:name="_Ref224656282"/>
      <w:r w:rsidRPr="00EA441F">
        <w:rPr>
          <w:snapToGrid w:val="0"/>
        </w:rPr>
        <w:t>Add new listing (new indication) as follows:</w:t>
      </w:r>
      <w:bookmarkEnd w:id="114"/>
    </w:p>
    <w:bookmarkEnd w:id="110"/>
    <w:p w14:paraId="225DA215" w14:textId="77777777" w:rsidR="004618FC" w:rsidRDefault="004618FC" w:rsidP="004618FC">
      <w:pPr>
        <w:tabs>
          <w:tab w:val="left" w:pos="1080"/>
        </w:tabs>
        <w:autoSpaceDE w:val="0"/>
        <w:autoSpaceDN w:val="0"/>
        <w:adjustRightInd w:val="0"/>
        <w:rPr>
          <w:rFonts w:asciiTheme="minorHAnsi" w:hAnsiTheme="minorHAnsi"/>
          <w:bCs/>
          <w:snapToGrid w:val="0"/>
          <w:lang w:val="en-GB"/>
        </w:rPr>
      </w:pPr>
    </w:p>
    <w:p w14:paraId="31CF7CE8" w14:textId="270B3D58" w:rsidR="0073650A" w:rsidRPr="00DA635D" w:rsidRDefault="0073650A" w:rsidP="00DA635D">
      <w:pPr>
        <w:rPr>
          <w:rFonts w:asciiTheme="minorHAnsi" w:eastAsiaTheme="minorHAnsi" w:hAnsiTheme="minorHAnsi" w:cstheme="minorBidi"/>
          <w:szCs w:val="22"/>
          <w:u w:val="single"/>
          <w:lang w:eastAsia="en-US"/>
        </w:rPr>
      </w:pPr>
      <w:r w:rsidRPr="007F3DF7">
        <w:rPr>
          <w:rFonts w:asciiTheme="minorHAnsi" w:eastAsiaTheme="minorHAnsi" w:hAnsiTheme="minorHAnsi" w:cstheme="minorBidi"/>
          <w:szCs w:val="22"/>
          <w:u w:val="single"/>
          <w:lang w:eastAsia="en-US"/>
        </w:rPr>
        <w:t>Initial treatment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Initial treatment"/>
      </w:tblPr>
      <w:tblGrid>
        <w:gridCol w:w="3539"/>
        <w:gridCol w:w="1985"/>
        <w:gridCol w:w="708"/>
        <w:gridCol w:w="709"/>
        <w:gridCol w:w="709"/>
        <w:gridCol w:w="1706"/>
      </w:tblGrid>
      <w:tr w:rsidR="000C038C" w:rsidRPr="00964DA0" w14:paraId="236843F9" w14:textId="77777777">
        <w:trPr>
          <w:cantSplit/>
          <w:trHeight w:val="471"/>
        </w:trPr>
        <w:tc>
          <w:tcPr>
            <w:tcW w:w="3539" w:type="dxa"/>
          </w:tcPr>
          <w:p w14:paraId="6426094B" w14:textId="77777777" w:rsidR="000C038C" w:rsidRPr="0073650A" w:rsidRDefault="000C038C" w:rsidP="0073650A">
            <w:pPr>
              <w:spacing w:line="259" w:lineRule="auto"/>
              <w:ind w:left="-57"/>
              <w:rPr>
                <w:rFonts w:ascii="Arial Narrow" w:eastAsia="Aptos" w:hAnsi="Arial Narrow"/>
                <w:b/>
                <w:color w:val="000000" w:themeColor="text1"/>
                <w:kern w:val="2"/>
                <w:sz w:val="20"/>
                <w:szCs w:val="20"/>
                <w:lang w:eastAsia="en-US"/>
                <w14:ligatures w14:val="standardContextual"/>
              </w:rPr>
            </w:pPr>
            <w:r w:rsidRPr="0073650A">
              <w:rPr>
                <w:rFonts w:ascii="Arial Narrow" w:eastAsia="Aptos" w:hAnsi="Arial Narrow"/>
                <w:b/>
                <w:color w:val="000000" w:themeColor="text1"/>
                <w:kern w:val="2"/>
                <w:sz w:val="20"/>
                <w:szCs w:val="20"/>
                <w:lang w:eastAsia="en-US"/>
                <w14:ligatures w14:val="standardContextual"/>
              </w:rPr>
              <w:t>MEDICINAL PRODUCT</w:t>
            </w:r>
          </w:p>
          <w:p w14:paraId="223F6C46" w14:textId="77777777" w:rsidR="000C038C" w:rsidRPr="0073650A" w:rsidRDefault="000C038C" w:rsidP="0073650A">
            <w:pPr>
              <w:spacing w:line="259" w:lineRule="auto"/>
              <w:ind w:left="-57"/>
              <w:rPr>
                <w:rFonts w:ascii="Arial Narrow" w:eastAsia="Aptos" w:hAnsi="Arial Narrow"/>
                <w:b/>
                <w:color w:val="000000" w:themeColor="text1"/>
                <w:kern w:val="2"/>
                <w:sz w:val="20"/>
                <w:szCs w:val="20"/>
                <w:lang w:eastAsia="en-US"/>
                <w14:ligatures w14:val="standardContextual"/>
              </w:rPr>
            </w:pPr>
            <w:r w:rsidRPr="0073650A">
              <w:rPr>
                <w:rFonts w:ascii="Arial Narrow" w:eastAsia="Aptos" w:hAnsi="Arial Narrow"/>
                <w:b/>
                <w:color w:val="000000" w:themeColor="text1"/>
                <w:kern w:val="2"/>
                <w:sz w:val="20"/>
                <w:szCs w:val="20"/>
                <w:lang w:eastAsia="en-US"/>
                <w14:ligatures w14:val="standardContextual"/>
              </w:rPr>
              <w:t>medicinal product pack</w:t>
            </w:r>
          </w:p>
        </w:tc>
        <w:tc>
          <w:tcPr>
            <w:tcW w:w="1985" w:type="dxa"/>
          </w:tcPr>
          <w:p w14:paraId="76296DBA" w14:textId="77777777" w:rsidR="000C038C" w:rsidRPr="0073650A" w:rsidRDefault="000C038C" w:rsidP="0073650A">
            <w:pPr>
              <w:spacing w:line="259" w:lineRule="auto"/>
              <w:ind w:left="-57"/>
              <w:jc w:val="center"/>
              <w:rPr>
                <w:rFonts w:ascii="Arial Narrow" w:eastAsia="Aptos" w:hAnsi="Arial Narrow"/>
                <w:b/>
                <w:color w:val="000000" w:themeColor="text1"/>
                <w:kern w:val="2"/>
                <w:sz w:val="20"/>
                <w:szCs w:val="20"/>
                <w:lang w:eastAsia="en-US"/>
                <w14:ligatures w14:val="standardContextual"/>
              </w:rPr>
            </w:pPr>
            <w:r w:rsidRPr="0073650A">
              <w:rPr>
                <w:rFonts w:ascii="Arial Narrow" w:eastAsia="Aptos" w:hAnsi="Arial Narrow"/>
                <w:b/>
                <w:color w:val="000000" w:themeColor="text1"/>
                <w:kern w:val="2"/>
                <w:sz w:val="20"/>
                <w:szCs w:val="20"/>
                <w:lang w:eastAsia="en-US"/>
                <w14:ligatures w14:val="standardContextual"/>
              </w:rPr>
              <w:t>PBS item code</w:t>
            </w:r>
          </w:p>
        </w:tc>
        <w:tc>
          <w:tcPr>
            <w:tcW w:w="708" w:type="dxa"/>
          </w:tcPr>
          <w:p w14:paraId="2E637088" w14:textId="77777777" w:rsidR="000C038C" w:rsidRPr="0073650A" w:rsidRDefault="000C038C" w:rsidP="0073650A">
            <w:pPr>
              <w:spacing w:line="259" w:lineRule="auto"/>
              <w:ind w:left="-57"/>
              <w:jc w:val="center"/>
              <w:rPr>
                <w:rFonts w:ascii="Arial Narrow" w:eastAsia="Aptos" w:hAnsi="Arial Narrow"/>
                <w:b/>
                <w:color w:val="000000" w:themeColor="text1"/>
                <w:kern w:val="2"/>
                <w:sz w:val="20"/>
                <w:szCs w:val="20"/>
                <w:lang w:eastAsia="en-US"/>
                <w14:ligatures w14:val="standardContextual"/>
              </w:rPr>
            </w:pPr>
            <w:r w:rsidRPr="0073650A">
              <w:rPr>
                <w:rFonts w:ascii="Arial Narrow" w:eastAsia="Aptos" w:hAnsi="Arial Narrow"/>
                <w:b/>
                <w:color w:val="000000" w:themeColor="text1"/>
                <w:kern w:val="2"/>
                <w:sz w:val="20"/>
                <w:szCs w:val="20"/>
                <w:lang w:eastAsia="en-US"/>
                <w14:ligatures w14:val="standardContextual"/>
              </w:rPr>
              <w:t>Max. qty packs</w:t>
            </w:r>
          </w:p>
        </w:tc>
        <w:tc>
          <w:tcPr>
            <w:tcW w:w="709" w:type="dxa"/>
          </w:tcPr>
          <w:p w14:paraId="37E0E3E7" w14:textId="77777777" w:rsidR="000C038C" w:rsidRPr="0073650A" w:rsidRDefault="000C038C" w:rsidP="0073650A">
            <w:pPr>
              <w:spacing w:line="259" w:lineRule="auto"/>
              <w:ind w:left="-57"/>
              <w:jc w:val="center"/>
              <w:rPr>
                <w:rFonts w:ascii="Arial Narrow" w:eastAsia="Aptos" w:hAnsi="Arial Narrow"/>
                <w:b/>
                <w:color w:val="000000" w:themeColor="text1"/>
                <w:kern w:val="2"/>
                <w:sz w:val="20"/>
                <w:szCs w:val="20"/>
                <w:lang w:eastAsia="en-US"/>
                <w14:ligatures w14:val="standardContextual"/>
              </w:rPr>
            </w:pPr>
            <w:r w:rsidRPr="0073650A">
              <w:rPr>
                <w:rFonts w:ascii="Arial Narrow" w:eastAsia="Aptos" w:hAnsi="Arial Narrow"/>
                <w:b/>
                <w:color w:val="000000" w:themeColor="text1"/>
                <w:kern w:val="2"/>
                <w:sz w:val="20"/>
                <w:szCs w:val="20"/>
                <w:lang w:eastAsia="en-US"/>
                <w14:ligatures w14:val="standardContextual"/>
              </w:rPr>
              <w:t>Max. qty units</w:t>
            </w:r>
          </w:p>
        </w:tc>
        <w:tc>
          <w:tcPr>
            <w:tcW w:w="709" w:type="dxa"/>
          </w:tcPr>
          <w:p w14:paraId="4993EE3B" w14:textId="77777777" w:rsidR="000C038C" w:rsidRPr="0073650A" w:rsidRDefault="000C038C" w:rsidP="0073650A">
            <w:pPr>
              <w:spacing w:line="259" w:lineRule="auto"/>
              <w:ind w:left="-57"/>
              <w:jc w:val="center"/>
              <w:rPr>
                <w:rFonts w:ascii="Arial Narrow" w:eastAsia="Aptos" w:hAnsi="Arial Narrow"/>
                <w:b/>
                <w:color w:val="000000" w:themeColor="text1"/>
                <w:kern w:val="2"/>
                <w:sz w:val="20"/>
                <w:szCs w:val="20"/>
                <w:lang w:eastAsia="en-US"/>
                <w14:ligatures w14:val="standardContextual"/>
              </w:rPr>
            </w:pPr>
            <w:r w:rsidRPr="0073650A">
              <w:rPr>
                <w:rFonts w:ascii="Arial Narrow" w:eastAsia="Aptos" w:hAnsi="Arial Narrow"/>
                <w:b/>
                <w:color w:val="000000" w:themeColor="text1"/>
                <w:kern w:val="2"/>
                <w:sz w:val="20"/>
                <w:szCs w:val="20"/>
                <w:lang w:eastAsia="en-US"/>
                <w14:ligatures w14:val="standardContextual"/>
              </w:rPr>
              <w:t>№.of</w:t>
            </w:r>
          </w:p>
          <w:p w14:paraId="4B273B0E" w14:textId="77777777" w:rsidR="000C038C" w:rsidRPr="0073650A" w:rsidRDefault="000C038C" w:rsidP="0073650A">
            <w:pPr>
              <w:spacing w:line="259" w:lineRule="auto"/>
              <w:ind w:left="-57"/>
              <w:jc w:val="center"/>
              <w:rPr>
                <w:rFonts w:ascii="Arial Narrow" w:eastAsia="Aptos" w:hAnsi="Arial Narrow"/>
                <w:b/>
                <w:color w:val="000000" w:themeColor="text1"/>
                <w:kern w:val="2"/>
                <w:sz w:val="20"/>
                <w:szCs w:val="20"/>
                <w:lang w:eastAsia="en-US"/>
                <w14:ligatures w14:val="standardContextual"/>
              </w:rPr>
            </w:pPr>
            <w:r w:rsidRPr="0073650A">
              <w:rPr>
                <w:rFonts w:ascii="Arial Narrow" w:eastAsia="Aptos" w:hAnsi="Arial Narrow"/>
                <w:b/>
                <w:color w:val="000000" w:themeColor="text1"/>
                <w:kern w:val="2"/>
                <w:sz w:val="20"/>
                <w:szCs w:val="20"/>
                <w:lang w:eastAsia="en-US"/>
                <w14:ligatures w14:val="standardContextual"/>
              </w:rPr>
              <w:t>Rpts</w:t>
            </w:r>
          </w:p>
        </w:tc>
        <w:tc>
          <w:tcPr>
            <w:tcW w:w="1706" w:type="dxa"/>
          </w:tcPr>
          <w:p w14:paraId="3B1157F6" w14:textId="77777777" w:rsidR="000C038C" w:rsidRPr="0073650A" w:rsidRDefault="000C038C" w:rsidP="0073650A">
            <w:pPr>
              <w:spacing w:line="259" w:lineRule="auto"/>
              <w:ind w:left="-57"/>
              <w:jc w:val="left"/>
              <w:rPr>
                <w:rFonts w:ascii="Arial Narrow" w:eastAsia="Aptos" w:hAnsi="Arial Narrow"/>
                <w:b/>
                <w:color w:val="000000" w:themeColor="text1"/>
                <w:kern w:val="2"/>
                <w:sz w:val="20"/>
                <w:szCs w:val="20"/>
                <w:lang w:eastAsia="en-US"/>
                <w14:ligatures w14:val="standardContextual"/>
              </w:rPr>
            </w:pPr>
            <w:r w:rsidRPr="0073650A">
              <w:rPr>
                <w:rFonts w:ascii="Arial Narrow" w:eastAsia="Aptos" w:hAnsi="Arial Narrow"/>
                <w:b/>
                <w:color w:val="000000" w:themeColor="text1"/>
                <w:kern w:val="2"/>
                <w:sz w:val="20"/>
                <w:szCs w:val="20"/>
                <w:lang w:eastAsia="en-US"/>
                <w14:ligatures w14:val="standardContextual"/>
              </w:rPr>
              <w:t>Available brands</w:t>
            </w:r>
          </w:p>
        </w:tc>
      </w:tr>
      <w:tr w:rsidR="000C038C" w:rsidRPr="00964DA0" w14:paraId="2DB6A243" w14:textId="77777777">
        <w:trPr>
          <w:cantSplit/>
          <w:trHeight w:val="302"/>
        </w:trPr>
        <w:tc>
          <w:tcPr>
            <w:tcW w:w="9356" w:type="dxa"/>
            <w:gridSpan w:val="6"/>
          </w:tcPr>
          <w:p w14:paraId="7204657F" w14:textId="77777777" w:rsidR="000C038C" w:rsidRPr="0073650A" w:rsidRDefault="000C038C" w:rsidP="0073650A">
            <w:pPr>
              <w:spacing w:line="259" w:lineRule="auto"/>
              <w:ind w:left="-57"/>
              <w:jc w:val="left"/>
              <w:rPr>
                <w:rFonts w:ascii="Arial Narrow" w:eastAsia="Aptos" w:hAnsi="Arial Narrow"/>
                <w:bCs/>
                <w:color w:val="000000" w:themeColor="text1"/>
                <w:kern w:val="2"/>
                <w:sz w:val="20"/>
                <w:szCs w:val="20"/>
                <w:lang w:eastAsia="en-US"/>
                <w14:ligatures w14:val="standardContextual"/>
              </w:rPr>
            </w:pPr>
            <w:r w:rsidRPr="0073650A">
              <w:rPr>
                <w:rFonts w:ascii="Arial Narrow" w:eastAsia="Aptos" w:hAnsi="Arial Narrow"/>
                <w:bCs/>
                <w:color w:val="000000" w:themeColor="text1"/>
                <w:kern w:val="2"/>
                <w:sz w:val="20"/>
                <w:szCs w:val="20"/>
                <w:lang w:eastAsia="en-US"/>
                <w14:ligatures w14:val="standardContextual"/>
              </w:rPr>
              <w:t>DUPILUMAB</w:t>
            </w:r>
          </w:p>
        </w:tc>
      </w:tr>
      <w:tr w:rsidR="000C038C" w:rsidRPr="00964DA0" w14:paraId="11B0A270" w14:textId="77777777">
        <w:trPr>
          <w:cantSplit/>
          <w:trHeight w:val="419"/>
        </w:trPr>
        <w:tc>
          <w:tcPr>
            <w:tcW w:w="3539" w:type="dxa"/>
          </w:tcPr>
          <w:p w14:paraId="527BB82F" w14:textId="77777777" w:rsidR="000C038C" w:rsidRPr="0073650A" w:rsidRDefault="000C038C" w:rsidP="0073650A">
            <w:pPr>
              <w:spacing w:line="259" w:lineRule="auto"/>
              <w:ind w:left="-57"/>
              <w:rPr>
                <w:rFonts w:ascii="Arial Narrow" w:eastAsia="Aptos" w:hAnsi="Arial Narrow"/>
                <w:color w:val="000000" w:themeColor="text1"/>
                <w:kern w:val="2"/>
                <w:sz w:val="20"/>
                <w:szCs w:val="20"/>
                <w:lang w:eastAsia="en-US"/>
                <w14:ligatures w14:val="standardContextual"/>
              </w:rPr>
            </w:pPr>
            <w:r w:rsidRPr="0073650A">
              <w:rPr>
                <w:rFonts w:ascii="Arial Narrow" w:eastAsia="Aptos" w:hAnsi="Arial Narrow"/>
                <w:color w:val="000000" w:themeColor="text1"/>
                <w:kern w:val="2"/>
                <w:sz w:val="20"/>
                <w:szCs w:val="20"/>
                <w:lang w:eastAsia="en-US"/>
                <w14:ligatures w14:val="standardContextual"/>
              </w:rPr>
              <w:t>dupilumab 300 mg/2mL injection, 2 x 2 mL syringes</w:t>
            </w:r>
          </w:p>
        </w:tc>
        <w:tc>
          <w:tcPr>
            <w:tcW w:w="1985" w:type="dxa"/>
          </w:tcPr>
          <w:p w14:paraId="6F55C6BA" w14:textId="77777777" w:rsidR="000C038C" w:rsidRPr="0073650A" w:rsidRDefault="000C038C" w:rsidP="0073650A">
            <w:pPr>
              <w:spacing w:line="259" w:lineRule="auto"/>
              <w:jc w:val="center"/>
              <w:rPr>
                <w:rFonts w:ascii="Arial Narrow" w:eastAsia="Aptos" w:hAnsi="Arial Narrow"/>
                <w:color w:val="000000" w:themeColor="text1"/>
                <w:kern w:val="2"/>
                <w:sz w:val="20"/>
                <w:szCs w:val="20"/>
                <w:lang w:eastAsia="en-US"/>
                <w14:ligatures w14:val="standardContextual"/>
              </w:rPr>
            </w:pPr>
            <w:r w:rsidRPr="0073650A">
              <w:rPr>
                <w:rFonts w:ascii="Arial Narrow" w:eastAsia="Aptos" w:hAnsi="Arial Narrow"/>
                <w:color w:val="000000" w:themeColor="text1"/>
                <w:kern w:val="2"/>
                <w:sz w:val="20"/>
                <w:szCs w:val="20"/>
                <w:lang w:eastAsia="en-US"/>
                <w14:ligatures w14:val="standardContextual"/>
              </w:rPr>
              <w:t>NEW (HSD PUBLIC)</w:t>
            </w:r>
          </w:p>
          <w:p w14:paraId="48B5BDBD" w14:textId="77777777" w:rsidR="000C038C" w:rsidRPr="0073650A" w:rsidRDefault="000C038C" w:rsidP="0073650A">
            <w:pPr>
              <w:spacing w:line="259" w:lineRule="auto"/>
              <w:jc w:val="center"/>
              <w:rPr>
                <w:rFonts w:ascii="Arial Narrow" w:eastAsia="Aptos" w:hAnsi="Arial Narrow"/>
                <w:color w:val="000000" w:themeColor="text1"/>
                <w:kern w:val="2"/>
                <w:sz w:val="20"/>
                <w:szCs w:val="20"/>
                <w:lang w:eastAsia="en-US"/>
                <w14:ligatures w14:val="standardContextual"/>
              </w:rPr>
            </w:pPr>
            <w:r w:rsidRPr="0073650A">
              <w:rPr>
                <w:rFonts w:ascii="Arial Narrow" w:eastAsia="Aptos" w:hAnsi="Arial Narrow"/>
                <w:color w:val="000000" w:themeColor="text1"/>
                <w:kern w:val="2"/>
                <w:sz w:val="20"/>
                <w:szCs w:val="20"/>
                <w:lang w:eastAsia="en-US"/>
                <w14:ligatures w14:val="standardContextual"/>
              </w:rPr>
              <w:t>NEW (HSD PRIVATE)</w:t>
            </w:r>
          </w:p>
          <w:p w14:paraId="7F3CD259" w14:textId="77777777" w:rsidR="000C038C" w:rsidRPr="0073650A" w:rsidRDefault="000C038C" w:rsidP="0073650A">
            <w:pPr>
              <w:spacing w:line="259" w:lineRule="auto"/>
              <w:jc w:val="center"/>
              <w:rPr>
                <w:rFonts w:ascii="Arial Narrow" w:eastAsia="Aptos" w:hAnsi="Arial Narrow"/>
                <w:color w:val="000000" w:themeColor="text1"/>
                <w:kern w:val="2"/>
                <w:sz w:val="20"/>
                <w:szCs w:val="20"/>
                <w:vertAlign w:val="subscript"/>
                <w:lang w:eastAsia="en-US"/>
                <w14:ligatures w14:val="standardContextual"/>
              </w:rPr>
            </w:pPr>
            <w:r w:rsidRPr="0073650A">
              <w:rPr>
                <w:rFonts w:ascii="Arial Narrow" w:eastAsia="Aptos" w:hAnsi="Arial Narrow"/>
                <w:color w:val="000000" w:themeColor="text1"/>
                <w:kern w:val="2"/>
                <w:sz w:val="20"/>
                <w:szCs w:val="20"/>
                <w:vertAlign w:val="subscript"/>
                <w:lang w:eastAsia="en-US"/>
                <w14:ligatures w14:val="standardContextual"/>
              </w:rPr>
              <w:t xml:space="preserve">MP  </w:t>
            </w:r>
          </w:p>
        </w:tc>
        <w:tc>
          <w:tcPr>
            <w:tcW w:w="708" w:type="dxa"/>
          </w:tcPr>
          <w:p w14:paraId="5B5EA69A" w14:textId="77777777" w:rsidR="000C038C" w:rsidRPr="0073650A" w:rsidRDefault="000C038C" w:rsidP="0073650A">
            <w:pPr>
              <w:spacing w:line="259" w:lineRule="auto"/>
              <w:ind w:left="-57"/>
              <w:jc w:val="center"/>
              <w:rPr>
                <w:rFonts w:ascii="Arial Narrow" w:eastAsia="Aptos" w:hAnsi="Arial Narrow"/>
                <w:color w:val="000000" w:themeColor="text1"/>
                <w:kern w:val="2"/>
                <w:sz w:val="20"/>
                <w:szCs w:val="20"/>
                <w:lang w:eastAsia="en-US"/>
                <w14:ligatures w14:val="standardContextual"/>
              </w:rPr>
            </w:pPr>
            <w:r w:rsidRPr="0073650A">
              <w:rPr>
                <w:rFonts w:ascii="Arial Narrow" w:eastAsia="Aptos" w:hAnsi="Arial Narrow"/>
                <w:color w:val="000000" w:themeColor="text1"/>
                <w:kern w:val="2"/>
                <w:sz w:val="20"/>
                <w:szCs w:val="20"/>
                <w:lang w:eastAsia="en-US"/>
                <w14:ligatures w14:val="standardContextual"/>
              </w:rPr>
              <w:t>1</w:t>
            </w:r>
          </w:p>
        </w:tc>
        <w:tc>
          <w:tcPr>
            <w:tcW w:w="709" w:type="dxa"/>
          </w:tcPr>
          <w:p w14:paraId="592A4EF7" w14:textId="77777777" w:rsidR="000C038C" w:rsidRPr="0073650A" w:rsidRDefault="000C038C" w:rsidP="0073650A">
            <w:pPr>
              <w:spacing w:line="259" w:lineRule="auto"/>
              <w:jc w:val="center"/>
              <w:rPr>
                <w:rFonts w:ascii="Arial Narrow" w:eastAsia="Aptos" w:hAnsi="Arial Narrow"/>
                <w:color w:val="000000" w:themeColor="text1"/>
                <w:kern w:val="2"/>
                <w:sz w:val="20"/>
                <w:szCs w:val="20"/>
                <w:lang w:eastAsia="en-US"/>
                <w14:ligatures w14:val="standardContextual"/>
              </w:rPr>
            </w:pPr>
            <w:r w:rsidRPr="0073650A">
              <w:rPr>
                <w:rFonts w:ascii="Arial Narrow" w:eastAsia="Aptos" w:hAnsi="Arial Narrow"/>
                <w:color w:val="000000" w:themeColor="text1"/>
                <w:kern w:val="2"/>
                <w:sz w:val="20"/>
                <w:szCs w:val="20"/>
                <w:lang w:eastAsia="en-US"/>
                <w14:ligatures w14:val="standardContextual"/>
              </w:rPr>
              <w:t>2</w:t>
            </w:r>
          </w:p>
        </w:tc>
        <w:tc>
          <w:tcPr>
            <w:tcW w:w="709" w:type="dxa"/>
          </w:tcPr>
          <w:p w14:paraId="47243E95" w14:textId="77777777" w:rsidR="000C038C" w:rsidRPr="0073650A" w:rsidRDefault="000C038C" w:rsidP="0073650A">
            <w:pPr>
              <w:spacing w:line="259" w:lineRule="auto"/>
              <w:jc w:val="center"/>
              <w:rPr>
                <w:rFonts w:ascii="Arial Narrow" w:eastAsia="Aptos" w:hAnsi="Arial Narrow"/>
                <w:color w:val="000000" w:themeColor="text1"/>
                <w:kern w:val="2"/>
                <w:sz w:val="20"/>
                <w:szCs w:val="20"/>
                <w:lang w:eastAsia="en-US"/>
                <w14:ligatures w14:val="standardContextual"/>
              </w:rPr>
            </w:pPr>
            <w:r w:rsidRPr="0073650A">
              <w:rPr>
                <w:rFonts w:ascii="Arial Narrow" w:eastAsia="Aptos" w:hAnsi="Arial Narrow"/>
                <w:color w:val="000000" w:themeColor="text1"/>
                <w:kern w:val="2"/>
                <w:sz w:val="20"/>
                <w:szCs w:val="20"/>
                <w:lang w:eastAsia="en-US"/>
                <w14:ligatures w14:val="standardContextual"/>
              </w:rPr>
              <w:t>6</w:t>
            </w:r>
          </w:p>
        </w:tc>
        <w:tc>
          <w:tcPr>
            <w:tcW w:w="1706" w:type="dxa"/>
          </w:tcPr>
          <w:p w14:paraId="5481C6B3" w14:textId="77777777" w:rsidR="000C038C" w:rsidRPr="0073650A" w:rsidRDefault="000C038C" w:rsidP="0073650A">
            <w:pPr>
              <w:spacing w:line="259" w:lineRule="auto"/>
              <w:ind w:left="-57"/>
              <w:rPr>
                <w:rFonts w:ascii="Arial Narrow" w:eastAsia="Aptos" w:hAnsi="Arial Narrow"/>
                <w:color w:val="000000" w:themeColor="text1"/>
                <w:kern w:val="2"/>
                <w:sz w:val="20"/>
                <w:szCs w:val="20"/>
                <w:lang w:eastAsia="en-US"/>
                <w14:ligatures w14:val="standardContextual"/>
              </w:rPr>
            </w:pPr>
            <w:r w:rsidRPr="0073650A">
              <w:rPr>
                <w:rFonts w:ascii="Arial Narrow" w:eastAsia="Aptos" w:hAnsi="Arial Narrow"/>
                <w:color w:val="000000" w:themeColor="text1"/>
                <w:kern w:val="2"/>
                <w:sz w:val="20"/>
                <w:szCs w:val="20"/>
                <w:lang w:eastAsia="en-US"/>
                <w14:ligatures w14:val="standardContextual"/>
              </w:rPr>
              <w:t>Dupixent</w:t>
            </w:r>
            <w:r w:rsidRPr="0073650A">
              <w:rPr>
                <w:rFonts w:ascii="Arial Narrow" w:eastAsia="Aptos" w:hAnsi="Arial Narrow"/>
                <w:color w:val="000000" w:themeColor="text1"/>
                <w:kern w:val="2"/>
                <w:sz w:val="20"/>
                <w:szCs w:val="20"/>
                <w:vertAlign w:val="superscript"/>
                <w:lang w:eastAsia="en-US"/>
                <w14:ligatures w14:val="standardContextual"/>
              </w:rPr>
              <w:t>®</w:t>
            </w:r>
          </w:p>
        </w:tc>
      </w:tr>
      <w:tr w:rsidR="000C038C" w:rsidRPr="00964DA0" w14:paraId="4BF9E03F" w14:textId="77777777">
        <w:trPr>
          <w:cantSplit/>
          <w:trHeight w:val="419"/>
        </w:trPr>
        <w:tc>
          <w:tcPr>
            <w:tcW w:w="3539" w:type="dxa"/>
          </w:tcPr>
          <w:p w14:paraId="40545B42" w14:textId="77777777" w:rsidR="000C038C" w:rsidRPr="0073650A" w:rsidRDefault="000C038C" w:rsidP="0073650A">
            <w:pPr>
              <w:spacing w:line="259" w:lineRule="auto"/>
              <w:ind w:left="-57"/>
              <w:rPr>
                <w:rFonts w:ascii="Arial Narrow" w:eastAsia="Aptos" w:hAnsi="Arial Narrow"/>
                <w:color w:val="000000" w:themeColor="text1"/>
                <w:kern w:val="2"/>
                <w:sz w:val="20"/>
                <w:szCs w:val="20"/>
                <w:lang w:eastAsia="en-US"/>
                <w14:ligatures w14:val="standardContextual"/>
              </w:rPr>
            </w:pPr>
            <w:r w:rsidRPr="0073650A">
              <w:rPr>
                <w:rFonts w:ascii="Arial Narrow" w:eastAsia="Aptos" w:hAnsi="Arial Narrow"/>
                <w:color w:val="000000" w:themeColor="text1"/>
                <w:kern w:val="2"/>
                <w:sz w:val="20"/>
                <w:szCs w:val="20"/>
                <w:lang w:eastAsia="en-US"/>
                <w14:ligatures w14:val="standardContextual"/>
              </w:rPr>
              <w:t>dupilumab 300 mg/2mL injection, 2 x 2 mL pen devices</w:t>
            </w:r>
          </w:p>
        </w:tc>
        <w:tc>
          <w:tcPr>
            <w:tcW w:w="1985" w:type="dxa"/>
          </w:tcPr>
          <w:p w14:paraId="7F3DD222" w14:textId="77777777" w:rsidR="000C038C" w:rsidRPr="0073650A" w:rsidRDefault="000C038C" w:rsidP="0073650A">
            <w:pPr>
              <w:spacing w:line="259" w:lineRule="auto"/>
              <w:jc w:val="center"/>
              <w:rPr>
                <w:rFonts w:ascii="Arial Narrow" w:eastAsia="Aptos" w:hAnsi="Arial Narrow"/>
                <w:color w:val="000000" w:themeColor="text1"/>
                <w:kern w:val="2"/>
                <w:sz w:val="20"/>
                <w:szCs w:val="20"/>
                <w:lang w:eastAsia="en-US"/>
                <w14:ligatures w14:val="standardContextual"/>
              </w:rPr>
            </w:pPr>
            <w:r w:rsidRPr="0073650A">
              <w:rPr>
                <w:rFonts w:ascii="Arial Narrow" w:eastAsia="Aptos" w:hAnsi="Arial Narrow"/>
                <w:color w:val="000000" w:themeColor="text1"/>
                <w:kern w:val="2"/>
                <w:sz w:val="20"/>
                <w:szCs w:val="20"/>
                <w:lang w:eastAsia="en-US"/>
                <w14:ligatures w14:val="standardContextual"/>
              </w:rPr>
              <w:t>NEW (HSD PUBLIC)</w:t>
            </w:r>
          </w:p>
          <w:p w14:paraId="01B3566B" w14:textId="77777777" w:rsidR="000C038C" w:rsidRPr="0073650A" w:rsidRDefault="000C038C" w:rsidP="0073650A">
            <w:pPr>
              <w:spacing w:line="259" w:lineRule="auto"/>
              <w:jc w:val="center"/>
              <w:rPr>
                <w:rFonts w:ascii="Arial Narrow" w:eastAsia="Aptos" w:hAnsi="Arial Narrow"/>
                <w:color w:val="000000" w:themeColor="text1"/>
                <w:kern w:val="2"/>
                <w:sz w:val="20"/>
                <w:szCs w:val="20"/>
                <w:lang w:eastAsia="en-US"/>
                <w14:ligatures w14:val="standardContextual"/>
              </w:rPr>
            </w:pPr>
            <w:r w:rsidRPr="0073650A">
              <w:rPr>
                <w:rFonts w:ascii="Arial Narrow" w:eastAsia="Aptos" w:hAnsi="Arial Narrow"/>
                <w:color w:val="000000" w:themeColor="text1"/>
                <w:kern w:val="2"/>
                <w:sz w:val="20"/>
                <w:szCs w:val="20"/>
                <w:lang w:eastAsia="en-US"/>
                <w14:ligatures w14:val="standardContextual"/>
              </w:rPr>
              <w:t>NEW (HSD PRIVATE)</w:t>
            </w:r>
          </w:p>
          <w:p w14:paraId="58070848" w14:textId="77777777" w:rsidR="000C038C" w:rsidRPr="0073650A" w:rsidRDefault="000C038C" w:rsidP="0073650A">
            <w:pPr>
              <w:spacing w:line="259" w:lineRule="auto"/>
              <w:jc w:val="center"/>
              <w:rPr>
                <w:rFonts w:ascii="Arial Narrow" w:eastAsia="Aptos" w:hAnsi="Arial Narrow"/>
                <w:color w:val="000000" w:themeColor="text1"/>
                <w:kern w:val="2"/>
                <w:sz w:val="20"/>
                <w:szCs w:val="20"/>
                <w:lang w:eastAsia="en-US"/>
                <w14:ligatures w14:val="standardContextual"/>
              </w:rPr>
            </w:pPr>
            <w:r w:rsidRPr="0073650A">
              <w:rPr>
                <w:rFonts w:ascii="Arial Narrow" w:eastAsia="Aptos" w:hAnsi="Arial Narrow"/>
                <w:color w:val="000000" w:themeColor="text1"/>
                <w:kern w:val="2"/>
                <w:sz w:val="20"/>
                <w:szCs w:val="20"/>
                <w:vertAlign w:val="subscript"/>
                <w:lang w:eastAsia="en-US"/>
                <w14:ligatures w14:val="standardContextual"/>
              </w:rPr>
              <w:t xml:space="preserve">MP  </w:t>
            </w:r>
          </w:p>
        </w:tc>
        <w:tc>
          <w:tcPr>
            <w:tcW w:w="708" w:type="dxa"/>
          </w:tcPr>
          <w:p w14:paraId="20D5A1F4" w14:textId="77777777" w:rsidR="000C038C" w:rsidRPr="0073650A" w:rsidRDefault="000C038C" w:rsidP="0073650A">
            <w:pPr>
              <w:spacing w:line="259" w:lineRule="auto"/>
              <w:ind w:left="-57"/>
              <w:jc w:val="center"/>
              <w:rPr>
                <w:rFonts w:ascii="Arial Narrow" w:eastAsia="Aptos" w:hAnsi="Arial Narrow"/>
                <w:color w:val="000000" w:themeColor="text1"/>
                <w:kern w:val="2"/>
                <w:sz w:val="20"/>
                <w:szCs w:val="20"/>
                <w:lang w:eastAsia="en-US"/>
                <w14:ligatures w14:val="standardContextual"/>
              </w:rPr>
            </w:pPr>
            <w:r w:rsidRPr="0073650A">
              <w:rPr>
                <w:rFonts w:ascii="Arial Narrow" w:eastAsia="Aptos" w:hAnsi="Arial Narrow"/>
                <w:color w:val="000000" w:themeColor="text1"/>
                <w:kern w:val="2"/>
                <w:sz w:val="20"/>
                <w:szCs w:val="20"/>
                <w:lang w:eastAsia="en-US"/>
                <w14:ligatures w14:val="standardContextual"/>
              </w:rPr>
              <w:t>1</w:t>
            </w:r>
          </w:p>
        </w:tc>
        <w:tc>
          <w:tcPr>
            <w:tcW w:w="709" w:type="dxa"/>
          </w:tcPr>
          <w:p w14:paraId="3EB2D86B" w14:textId="77777777" w:rsidR="000C038C" w:rsidRPr="0073650A" w:rsidRDefault="000C038C" w:rsidP="0073650A">
            <w:pPr>
              <w:spacing w:line="259" w:lineRule="auto"/>
              <w:jc w:val="center"/>
              <w:rPr>
                <w:rFonts w:ascii="Arial Narrow" w:eastAsia="Aptos" w:hAnsi="Arial Narrow"/>
                <w:color w:val="000000" w:themeColor="text1"/>
                <w:kern w:val="2"/>
                <w:sz w:val="20"/>
                <w:szCs w:val="20"/>
                <w:lang w:eastAsia="en-US"/>
                <w14:ligatures w14:val="standardContextual"/>
              </w:rPr>
            </w:pPr>
            <w:r w:rsidRPr="0073650A">
              <w:rPr>
                <w:rFonts w:ascii="Arial Narrow" w:eastAsia="Aptos" w:hAnsi="Arial Narrow"/>
                <w:color w:val="000000" w:themeColor="text1"/>
                <w:kern w:val="2"/>
                <w:sz w:val="20"/>
                <w:szCs w:val="20"/>
                <w:lang w:eastAsia="en-US"/>
                <w14:ligatures w14:val="standardContextual"/>
              </w:rPr>
              <w:t>2</w:t>
            </w:r>
          </w:p>
        </w:tc>
        <w:tc>
          <w:tcPr>
            <w:tcW w:w="709" w:type="dxa"/>
          </w:tcPr>
          <w:p w14:paraId="6E256559" w14:textId="77777777" w:rsidR="000C038C" w:rsidRPr="0073650A" w:rsidRDefault="000C038C" w:rsidP="0073650A">
            <w:pPr>
              <w:spacing w:line="259" w:lineRule="auto"/>
              <w:jc w:val="center"/>
              <w:rPr>
                <w:rFonts w:ascii="Arial Narrow" w:eastAsia="Aptos" w:hAnsi="Arial Narrow"/>
                <w:color w:val="000000" w:themeColor="text1"/>
                <w:kern w:val="2"/>
                <w:sz w:val="20"/>
                <w:szCs w:val="20"/>
                <w:lang w:eastAsia="en-US"/>
                <w14:ligatures w14:val="standardContextual"/>
              </w:rPr>
            </w:pPr>
            <w:r w:rsidRPr="0073650A">
              <w:rPr>
                <w:rFonts w:ascii="Arial Narrow" w:eastAsia="Aptos" w:hAnsi="Arial Narrow"/>
                <w:color w:val="000000" w:themeColor="text1"/>
                <w:kern w:val="2"/>
                <w:sz w:val="20"/>
                <w:szCs w:val="20"/>
                <w:lang w:eastAsia="en-US"/>
                <w14:ligatures w14:val="standardContextual"/>
              </w:rPr>
              <w:t xml:space="preserve">6 </w:t>
            </w:r>
          </w:p>
        </w:tc>
        <w:tc>
          <w:tcPr>
            <w:tcW w:w="1706" w:type="dxa"/>
          </w:tcPr>
          <w:p w14:paraId="2BADF76D" w14:textId="77777777" w:rsidR="000C038C" w:rsidRPr="0073650A" w:rsidRDefault="000C038C" w:rsidP="0073650A">
            <w:pPr>
              <w:spacing w:line="259" w:lineRule="auto"/>
              <w:ind w:left="-57"/>
              <w:rPr>
                <w:rFonts w:ascii="Arial Narrow" w:eastAsia="Aptos" w:hAnsi="Arial Narrow"/>
                <w:color w:val="000000" w:themeColor="text1"/>
                <w:kern w:val="2"/>
                <w:sz w:val="20"/>
                <w:szCs w:val="20"/>
                <w:lang w:eastAsia="en-US"/>
                <w14:ligatures w14:val="standardContextual"/>
              </w:rPr>
            </w:pPr>
            <w:r w:rsidRPr="0073650A">
              <w:rPr>
                <w:rFonts w:ascii="Arial Narrow" w:eastAsia="Aptos" w:hAnsi="Arial Narrow"/>
                <w:color w:val="000000" w:themeColor="text1"/>
                <w:kern w:val="2"/>
                <w:sz w:val="20"/>
                <w:szCs w:val="20"/>
                <w:lang w:eastAsia="en-US"/>
                <w14:ligatures w14:val="standardContextual"/>
              </w:rPr>
              <w:t>Dupixent</w:t>
            </w:r>
            <w:r w:rsidRPr="0073650A">
              <w:rPr>
                <w:rFonts w:ascii="Arial Narrow" w:eastAsia="Aptos" w:hAnsi="Arial Narrow"/>
                <w:color w:val="000000" w:themeColor="text1"/>
                <w:kern w:val="2"/>
                <w:sz w:val="20"/>
                <w:szCs w:val="20"/>
                <w:vertAlign w:val="superscript"/>
                <w:lang w:eastAsia="en-US"/>
                <w14:ligatures w14:val="standardContextual"/>
              </w:rPr>
              <w:t>®</w:t>
            </w:r>
          </w:p>
        </w:tc>
      </w:tr>
      <w:tr w:rsidR="000C038C" w:rsidRPr="00964DA0" w14:paraId="034A0DAF" w14:textId="77777777" w:rsidTr="00DA635D">
        <w:trPr>
          <w:cantSplit/>
          <w:trHeight w:val="329"/>
        </w:trPr>
        <w:tc>
          <w:tcPr>
            <w:tcW w:w="9356" w:type="dxa"/>
            <w:gridSpan w:val="6"/>
          </w:tcPr>
          <w:p w14:paraId="4C1CADF2" w14:textId="77777777" w:rsidR="000C038C" w:rsidRPr="0073650A" w:rsidRDefault="000C038C" w:rsidP="0073650A">
            <w:pPr>
              <w:spacing w:line="259" w:lineRule="auto"/>
              <w:ind w:left="-57"/>
              <w:rPr>
                <w:rFonts w:ascii="Arial Narrow" w:eastAsia="Aptos" w:hAnsi="Arial Narrow"/>
                <w:color w:val="000000" w:themeColor="text1"/>
                <w:kern w:val="2"/>
                <w:sz w:val="20"/>
                <w:szCs w:val="20"/>
                <w:lang w:eastAsia="en-US"/>
                <w14:ligatures w14:val="standardContextual"/>
              </w:rPr>
            </w:pPr>
          </w:p>
        </w:tc>
      </w:tr>
      <w:tr w:rsidR="00CB26C7" w:rsidRPr="00964DA0" w14:paraId="6745F2FD" w14:textId="77777777" w:rsidTr="00CB26C7">
        <w:tblPrEx>
          <w:tblCellMar>
            <w:top w:w="15" w:type="dxa"/>
            <w:left w:w="15" w:type="dxa"/>
            <w:bottom w:w="15" w:type="dxa"/>
            <w:right w:w="15" w:type="dxa"/>
          </w:tblCellMar>
          <w:tblLook w:val="04A0" w:firstRow="1" w:lastRow="0" w:firstColumn="1" w:lastColumn="0" w:noHBand="0" w:noVBand="1"/>
        </w:tblPrEx>
        <w:tc>
          <w:tcPr>
            <w:tcW w:w="9356" w:type="dxa"/>
            <w:gridSpan w:val="6"/>
            <w:vAlign w:val="center"/>
            <w:hideMark/>
          </w:tcPr>
          <w:p w14:paraId="281FCE9C" w14:textId="77777777" w:rsidR="00CB26C7" w:rsidRPr="0073650A" w:rsidRDefault="00CB26C7" w:rsidP="0073650A">
            <w:pPr>
              <w:spacing w:line="259" w:lineRule="auto"/>
              <w:jc w:val="left"/>
              <w:rPr>
                <w:rFonts w:ascii="Arial Narrow" w:hAnsi="Arial Narrow" w:cs="Times New Roman"/>
                <w:color w:val="000000" w:themeColor="text1"/>
                <w:kern w:val="2"/>
                <w:sz w:val="20"/>
                <w:szCs w:val="20"/>
                <w14:ligatures w14:val="standardContextual"/>
              </w:rPr>
            </w:pPr>
            <w:r w:rsidRPr="0073650A">
              <w:rPr>
                <w:rFonts w:ascii="Arial Narrow" w:eastAsia="Aptos" w:hAnsi="Arial Narrow"/>
                <w:b/>
                <w:color w:val="000000" w:themeColor="text1"/>
                <w:kern w:val="2"/>
                <w:sz w:val="20"/>
                <w:szCs w:val="20"/>
                <w:lang w:eastAsia="en-US"/>
                <w14:ligatures w14:val="standardContextual"/>
              </w:rPr>
              <w:t>Category / Program:</w:t>
            </w:r>
            <w:r w:rsidRPr="0073650A">
              <w:rPr>
                <w:rFonts w:ascii="Arial Narrow" w:eastAsia="Aptos" w:hAnsi="Arial Narrow"/>
                <w:color w:val="000000" w:themeColor="text1"/>
                <w:kern w:val="2"/>
                <w:sz w:val="20"/>
                <w:szCs w:val="20"/>
                <w:lang w:eastAsia="en-US"/>
                <w14:ligatures w14:val="standardContextual"/>
              </w:rPr>
              <w:t xml:space="preserve"> </w:t>
            </w:r>
            <w:r w:rsidRPr="0073650A">
              <w:rPr>
                <w:rFonts w:ascii="Arial Narrow" w:eastAsia="Calibri" w:hAnsi="Arial Narrow"/>
                <w:color w:val="000000" w:themeColor="text1"/>
                <w:kern w:val="2"/>
                <w:sz w:val="20"/>
                <w:szCs w:val="20"/>
                <w:lang w:eastAsia="en-US"/>
                <w14:ligatures w14:val="standardContextual"/>
              </w:rPr>
              <w:fldChar w:fldCharType="begin">
                <w:ffData>
                  <w:name w:val=""/>
                  <w:enabled/>
                  <w:calcOnExit w:val="0"/>
                  <w:checkBox>
                    <w:sizeAuto/>
                    <w:default w:val="1"/>
                  </w:checkBox>
                </w:ffData>
              </w:fldChar>
            </w:r>
            <w:r w:rsidRPr="0073650A">
              <w:rPr>
                <w:rFonts w:ascii="Arial Narrow" w:eastAsia="Calibri" w:hAnsi="Arial Narrow"/>
                <w:color w:val="000000" w:themeColor="text1"/>
                <w:kern w:val="2"/>
                <w:sz w:val="20"/>
                <w:szCs w:val="20"/>
                <w:lang w:eastAsia="en-US"/>
                <w14:ligatures w14:val="standardContextual"/>
              </w:rPr>
              <w:instrText xml:space="preserve"> FORMCHECKBOX </w:instrText>
            </w:r>
            <w:r w:rsidRPr="0073650A">
              <w:rPr>
                <w:rFonts w:ascii="Arial Narrow" w:eastAsia="Calibri" w:hAnsi="Arial Narrow"/>
                <w:color w:val="000000" w:themeColor="text1"/>
                <w:kern w:val="2"/>
                <w:sz w:val="20"/>
                <w:szCs w:val="20"/>
                <w:lang w:eastAsia="en-US"/>
                <w14:ligatures w14:val="standardContextual"/>
              </w:rPr>
            </w:r>
            <w:r w:rsidRPr="0073650A">
              <w:rPr>
                <w:rFonts w:ascii="Arial Narrow" w:eastAsia="Calibri" w:hAnsi="Arial Narrow"/>
                <w:color w:val="000000" w:themeColor="text1"/>
                <w:kern w:val="2"/>
                <w:sz w:val="20"/>
                <w:szCs w:val="20"/>
                <w:lang w:eastAsia="en-US"/>
                <w14:ligatures w14:val="standardContextual"/>
              </w:rPr>
              <w:fldChar w:fldCharType="separate"/>
            </w:r>
            <w:r w:rsidRPr="0073650A">
              <w:rPr>
                <w:rFonts w:ascii="Arial Narrow" w:eastAsia="Calibri" w:hAnsi="Arial Narrow"/>
                <w:color w:val="000000" w:themeColor="text1"/>
                <w:kern w:val="2"/>
                <w:sz w:val="20"/>
                <w:szCs w:val="20"/>
                <w:lang w:eastAsia="en-US"/>
                <w14:ligatures w14:val="standardContextual"/>
              </w:rPr>
              <w:fldChar w:fldCharType="end"/>
            </w:r>
            <w:r w:rsidRPr="0073650A">
              <w:rPr>
                <w:rFonts w:ascii="Arial Narrow" w:eastAsia="Calibri" w:hAnsi="Arial Narrow"/>
                <w:color w:val="000000" w:themeColor="text1"/>
                <w:kern w:val="2"/>
                <w:sz w:val="20"/>
                <w:szCs w:val="20"/>
                <w:lang w:eastAsia="en-US"/>
                <w14:ligatures w14:val="standardContextual"/>
              </w:rPr>
              <w:t xml:space="preserve"> </w:t>
            </w:r>
            <w:r w:rsidRPr="0073650A">
              <w:rPr>
                <w:rFonts w:ascii="Arial Narrow" w:eastAsia="Calibri" w:hAnsi="Arial Narrow" w:cs="Times New Roman"/>
                <w:color w:val="000000" w:themeColor="text1"/>
                <w:kern w:val="2"/>
                <w:sz w:val="20"/>
                <w:szCs w:val="20"/>
                <w:lang w:eastAsia="en-US"/>
                <w14:ligatures w14:val="standardContextual"/>
              </w:rPr>
              <w:t>Section 100 – Highly Specialised Drugs Program – Public (Code HB) / Private (Code HS)</w:t>
            </w:r>
          </w:p>
        </w:tc>
      </w:tr>
      <w:tr w:rsidR="00CB26C7" w:rsidRPr="00964DA0" w14:paraId="43F77645" w14:textId="77777777" w:rsidTr="00CB26C7">
        <w:tblPrEx>
          <w:tblCellMar>
            <w:top w:w="15" w:type="dxa"/>
            <w:left w:w="15" w:type="dxa"/>
            <w:bottom w:w="15" w:type="dxa"/>
            <w:right w:w="15" w:type="dxa"/>
          </w:tblCellMar>
          <w:tblLook w:val="04A0" w:firstRow="1" w:lastRow="0" w:firstColumn="1" w:lastColumn="0" w:noHBand="0" w:noVBand="1"/>
        </w:tblPrEx>
        <w:tc>
          <w:tcPr>
            <w:tcW w:w="9356" w:type="dxa"/>
            <w:gridSpan w:val="6"/>
            <w:vAlign w:val="center"/>
          </w:tcPr>
          <w:p w14:paraId="4E6641CF" w14:textId="77777777" w:rsidR="00CB26C7" w:rsidRPr="0073650A" w:rsidRDefault="00CB26C7" w:rsidP="0073650A">
            <w:pPr>
              <w:spacing w:line="259" w:lineRule="auto"/>
              <w:jc w:val="left"/>
              <w:rPr>
                <w:rFonts w:ascii="Arial Narrow" w:hAnsi="Arial Narrow" w:cs="Times New Roman"/>
                <w:b/>
                <w:bCs/>
                <w:color w:val="000000" w:themeColor="text1"/>
                <w:kern w:val="2"/>
                <w:sz w:val="20"/>
                <w:szCs w:val="20"/>
                <w14:ligatures w14:val="standardContextual"/>
              </w:rPr>
            </w:pPr>
            <w:r w:rsidRPr="0073650A">
              <w:rPr>
                <w:rFonts w:ascii="Arial Narrow" w:eastAsia="Aptos" w:hAnsi="Arial Narrow"/>
                <w:b/>
                <w:color w:val="000000" w:themeColor="text1"/>
                <w:kern w:val="2"/>
                <w:sz w:val="20"/>
                <w:szCs w:val="20"/>
                <w:lang w:eastAsia="en-US"/>
                <w14:ligatures w14:val="standardContextual"/>
              </w:rPr>
              <w:t>Prescriber type:</w:t>
            </w:r>
            <w:r w:rsidRPr="0073650A">
              <w:rPr>
                <w:rFonts w:ascii="Arial Narrow" w:eastAsia="Aptos" w:hAnsi="Arial Narrow"/>
                <w:color w:val="000000" w:themeColor="text1"/>
                <w:kern w:val="2"/>
                <w:sz w:val="20"/>
                <w:szCs w:val="20"/>
                <w:lang w:eastAsia="en-US"/>
                <w14:ligatures w14:val="standardContextual"/>
              </w:rPr>
              <w:t xml:space="preserve"> </w:t>
            </w:r>
            <w:r w:rsidRPr="0073650A">
              <w:rPr>
                <w:rFonts w:ascii="Arial Narrow" w:eastAsia="Aptos" w:hAnsi="Arial Narrow"/>
                <w:color w:val="000000" w:themeColor="text1"/>
                <w:kern w:val="2"/>
                <w:sz w:val="20"/>
                <w:szCs w:val="20"/>
                <w:lang w:eastAsia="en-US"/>
                <w14:ligatures w14:val="standardContextual"/>
              </w:rPr>
              <w:fldChar w:fldCharType="begin">
                <w:ffData>
                  <w:name w:val=""/>
                  <w:enabled/>
                  <w:calcOnExit w:val="0"/>
                  <w:checkBox>
                    <w:sizeAuto/>
                    <w:default w:val="1"/>
                  </w:checkBox>
                </w:ffData>
              </w:fldChar>
            </w:r>
            <w:r w:rsidRPr="0073650A">
              <w:rPr>
                <w:rFonts w:ascii="Arial Narrow" w:eastAsia="Aptos" w:hAnsi="Arial Narrow"/>
                <w:color w:val="000000" w:themeColor="text1"/>
                <w:kern w:val="2"/>
                <w:sz w:val="20"/>
                <w:szCs w:val="20"/>
                <w:lang w:eastAsia="en-US"/>
                <w14:ligatures w14:val="standardContextual"/>
              </w:rPr>
              <w:instrText xml:space="preserve"> FORMCHECKBOX </w:instrText>
            </w:r>
            <w:r w:rsidRPr="0073650A">
              <w:rPr>
                <w:rFonts w:ascii="Arial Narrow" w:eastAsia="Aptos" w:hAnsi="Arial Narrow"/>
                <w:color w:val="000000" w:themeColor="text1"/>
                <w:kern w:val="2"/>
                <w:sz w:val="20"/>
                <w:szCs w:val="20"/>
                <w:lang w:eastAsia="en-US"/>
                <w14:ligatures w14:val="standardContextual"/>
              </w:rPr>
            </w:r>
            <w:r w:rsidRPr="0073650A">
              <w:rPr>
                <w:rFonts w:ascii="Arial Narrow" w:eastAsia="Aptos" w:hAnsi="Arial Narrow"/>
                <w:color w:val="000000" w:themeColor="text1"/>
                <w:kern w:val="2"/>
                <w:sz w:val="20"/>
                <w:szCs w:val="20"/>
                <w:lang w:eastAsia="en-US"/>
                <w14:ligatures w14:val="standardContextual"/>
              </w:rPr>
              <w:fldChar w:fldCharType="separate"/>
            </w:r>
            <w:r w:rsidRPr="0073650A">
              <w:rPr>
                <w:rFonts w:ascii="Arial Narrow" w:eastAsia="Aptos" w:hAnsi="Arial Narrow"/>
                <w:color w:val="000000" w:themeColor="text1"/>
                <w:kern w:val="2"/>
                <w:sz w:val="20"/>
                <w:szCs w:val="20"/>
                <w:lang w:eastAsia="en-US"/>
                <w14:ligatures w14:val="standardContextual"/>
              </w:rPr>
              <w:fldChar w:fldCharType="end"/>
            </w:r>
            <w:r w:rsidRPr="0073650A">
              <w:rPr>
                <w:rFonts w:ascii="Arial Narrow" w:eastAsia="Aptos" w:hAnsi="Arial Narrow"/>
                <w:color w:val="000000" w:themeColor="text1"/>
                <w:kern w:val="2"/>
                <w:sz w:val="20"/>
                <w:szCs w:val="20"/>
                <w:lang w:eastAsia="en-US"/>
                <w14:ligatures w14:val="standardContextual"/>
              </w:rPr>
              <w:t>Medical Practitioners</w:t>
            </w:r>
          </w:p>
        </w:tc>
      </w:tr>
      <w:tr w:rsidR="00CB26C7" w:rsidRPr="00964DA0" w14:paraId="2149A175" w14:textId="77777777" w:rsidTr="00CB26C7">
        <w:tblPrEx>
          <w:tblCellMar>
            <w:top w:w="15" w:type="dxa"/>
            <w:left w:w="15" w:type="dxa"/>
            <w:bottom w:w="15" w:type="dxa"/>
            <w:right w:w="15" w:type="dxa"/>
          </w:tblCellMar>
          <w:tblLook w:val="04A0" w:firstRow="1" w:lastRow="0" w:firstColumn="1" w:lastColumn="0" w:noHBand="0" w:noVBand="1"/>
        </w:tblPrEx>
        <w:tc>
          <w:tcPr>
            <w:tcW w:w="9356" w:type="dxa"/>
            <w:gridSpan w:val="6"/>
            <w:vAlign w:val="center"/>
            <w:hideMark/>
          </w:tcPr>
          <w:p w14:paraId="7DB8455B" w14:textId="75F8A106" w:rsidR="00CB26C7" w:rsidRPr="0073650A" w:rsidRDefault="00CB26C7" w:rsidP="0073650A">
            <w:pPr>
              <w:spacing w:line="259" w:lineRule="auto"/>
              <w:jc w:val="left"/>
              <w:rPr>
                <w:rFonts w:ascii="Arial Narrow" w:hAnsi="Arial Narrow" w:cs="Times New Roman"/>
                <w:color w:val="000000" w:themeColor="text1"/>
                <w:kern w:val="2"/>
                <w:sz w:val="20"/>
                <w:szCs w:val="20"/>
                <w14:ligatures w14:val="standardContextual"/>
              </w:rPr>
            </w:pPr>
            <w:r w:rsidRPr="0073650A">
              <w:rPr>
                <w:rFonts w:ascii="Arial Narrow" w:eastAsia="Aptos" w:hAnsi="Arial Narrow"/>
                <w:b/>
                <w:color w:val="000000" w:themeColor="text1"/>
                <w:kern w:val="2"/>
                <w:sz w:val="20"/>
                <w:szCs w:val="20"/>
                <w:lang w:eastAsia="en-US"/>
                <w14:ligatures w14:val="standardContextual"/>
              </w:rPr>
              <w:t xml:space="preserve">Restriction type: </w:t>
            </w:r>
            <w:r w:rsidRPr="0073650A">
              <w:rPr>
                <w:rFonts w:ascii="Arial Narrow" w:eastAsia="Calibri" w:hAnsi="Arial Narrow"/>
                <w:color w:val="000000" w:themeColor="text1"/>
                <w:kern w:val="2"/>
                <w:sz w:val="20"/>
                <w:szCs w:val="20"/>
                <w:lang w:eastAsia="en-US"/>
                <w14:ligatures w14:val="standardContextual"/>
              </w:rPr>
              <w:fldChar w:fldCharType="begin">
                <w:ffData>
                  <w:name w:val=""/>
                  <w:enabled/>
                  <w:calcOnExit w:val="0"/>
                  <w:checkBox>
                    <w:sizeAuto/>
                    <w:default w:val="1"/>
                  </w:checkBox>
                </w:ffData>
              </w:fldChar>
            </w:r>
            <w:r w:rsidRPr="0073650A">
              <w:rPr>
                <w:rFonts w:ascii="Arial Narrow" w:eastAsia="Calibri" w:hAnsi="Arial Narrow"/>
                <w:color w:val="000000" w:themeColor="text1"/>
                <w:kern w:val="2"/>
                <w:sz w:val="20"/>
                <w:szCs w:val="20"/>
                <w:lang w:eastAsia="en-US"/>
                <w14:ligatures w14:val="standardContextual"/>
              </w:rPr>
              <w:instrText xml:space="preserve"> FORMCHECKBOX </w:instrText>
            </w:r>
            <w:r w:rsidRPr="0073650A">
              <w:rPr>
                <w:rFonts w:ascii="Arial Narrow" w:eastAsia="Calibri" w:hAnsi="Arial Narrow"/>
                <w:color w:val="000000" w:themeColor="text1"/>
                <w:kern w:val="2"/>
                <w:sz w:val="20"/>
                <w:szCs w:val="20"/>
                <w:lang w:eastAsia="en-US"/>
                <w14:ligatures w14:val="standardContextual"/>
              </w:rPr>
            </w:r>
            <w:r w:rsidRPr="0073650A">
              <w:rPr>
                <w:rFonts w:ascii="Arial Narrow" w:eastAsia="Calibri" w:hAnsi="Arial Narrow"/>
                <w:color w:val="000000" w:themeColor="text1"/>
                <w:kern w:val="2"/>
                <w:sz w:val="20"/>
                <w:szCs w:val="20"/>
                <w:lang w:eastAsia="en-US"/>
                <w14:ligatures w14:val="standardContextual"/>
              </w:rPr>
              <w:fldChar w:fldCharType="separate"/>
            </w:r>
            <w:r w:rsidRPr="0073650A">
              <w:rPr>
                <w:rFonts w:ascii="Arial Narrow" w:eastAsia="Calibri" w:hAnsi="Arial Narrow"/>
                <w:color w:val="000000" w:themeColor="text1"/>
                <w:kern w:val="2"/>
                <w:sz w:val="20"/>
                <w:szCs w:val="20"/>
                <w:lang w:eastAsia="en-US"/>
                <w14:ligatures w14:val="standardContextual"/>
              </w:rPr>
              <w:fldChar w:fldCharType="end"/>
            </w:r>
            <w:r w:rsidRPr="0073650A">
              <w:rPr>
                <w:rFonts w:ascii="Arial Narrow" w:eastAsia="Calibri" w:hAnsi="Arial Narrow"/>
                <w:color w:val="000000" w:themeColor="text1"/>
                <w:kern w:val="2"/>
                <w:sz w:val="20"/>
                <w:szCs w:val="20"/>
                <w14:ligatures w14:val="standardContextual"/>
              </w:rPr>
              <w:t xml:space="preserve"> Authority Required (FULL assessment) in writing only via OPA/post/HPOS upload</w:t>
            </w:r>
          </w:p>
        </w:tc>
      </w:tr>
      <w:tr w:rsidR="00CB26C7" w:rsidRPr="00964DA0" w14:paraId="0CD87605" w14:textId="77777777" w:rsidTr="00CB26C7">
        <w:tblPrEx>
          <w:tblCellMar>
            <w:top w:w="15" w:type="dxa"/>
            <w:left w:w="15" w:type="dxa"/>
            <w:bottom w:w="15" w:type="dxa"/>
            <w:right w:w="15" w:type="dxa"/>
          </w:tblCellMar>
          <w:tblLook w:val="04A0" w:firstRow="1" w:lastRow="0" w:firstColumn="1" w:lastColumn="0" w:noHBand="0" w:noVBand="1"/>
        </w:tblPrEx>
        <w:tc>
          <w:tcPr>
            <w:tcW w:w="9356" w:type="dxa"/>
            <w:gridSpan w:val="6"/>
            <w:vAlign w:val="center"/>
          </w:tcPr>
          <w:p w14:paraId="10BBB9ED" w14:textId="77777777" w:rsidR="00CB26C7" w:rsidRPr="0073650A" w:rsidRDefault="00CB26C7" w:rsidP="0073650A">
            <w:pPr>
              <w:spacing w:line="259" w:lineRule="auto"/>
              <w:jc w:val="left"/>
              <w:rPr>
                <w:rFonts w:ascii="Arial Narrow" w:eastAsia="Aptos" w:hAnsi="Arial Narrow"/>
                <w:b/>
                <w:color w:val="000000" w:themeColor="text1"/>
                <w:kern w:val="2"/>
                <w:sz w:val="20"/>
                <w:szCs w:val="20"/>
                <w:lang w:eastAsia="en-US"/>
                <w14:ligatures w14:val="standardContextual"/>
              </w:rPr>
            </w:pPr>
            <w:r w:rsidRPr="0073650A">
              <w:rPr>
                <w:rFonts w:ascii="Arial Narrow" w:eastAsia="Aptos" w:hAnsi="Arial Narrow"/>
                <w:b/>
                <w:color w:val="000000" w:themeColor="text1"/>
                <w:kern w:val="2"/>
                <w:sz w:val="20"/>
                <w:szCs w:val="20"/>
                <w:lang w:eastAsia="en-US"/>
                <w14:ligatures w14:val="standardContextual"/>
              </w:rPr>
              <w:t xml:space="preserve">Authority type: </w:t>
            </w:r>
            <w:r w:rsidRPr="0073650A">
              <w:rPr>
                <w:rFonts w:ascii="Arial Narrow" w:eastAsia="Aptos" w:hAnsi="Arial Narrow"/>
                <w:bCs/>
                <w:color w:val="000000" w:themeColor="text1"/>
                <w:kern w:val="2"/>
                <w:sz w:val="20"/>
                <w:szCs w:val="20"/>
                <w:lang w:eastAsia="en-US"/>
                <w14:ligatures w14:val="standardContextual"/>
              </w:rPr>
              <w:fldChar w:fldCharType="begin">
                <w:ffData>
                  <w:name w:val=""/>
                  <w:enabled/>
                  <w:calcOnExit w:val="0"/>
                  <w:checkBox>
                    <w:sizeAuto/>
                    <w:default w:val="1"/>
                  </w:checkBox>
                </w:ffData>
              </w:fldChar>
            </w:r>
            <w:r w:rsidRPr="0073650A">
              <w:rPr>
                <w:rFonts w:ascii="Arial Narrow" w:eastAsia="Aptos" w:hAnsi="Arial Narrow"/>
                <w:bCs/>
                <w:color w:val="000000" w:themeColor="text1"/>
                <w:kern w:val="2"/>
                <w:sz w:val="20"/>
                <w:szCs w:val="20"/>
                <w:lang w:eastAsia="en-US"/>
                <w14:ligatures w14:val="standardContextual"/>
              </w:rPr>
              <w:instrText xml:space="preserve"> FORMCHECKBOX </w:instrText>
            </w:r>
            <w:r w:rsidRPr="0073650A">
              <w:rPr>
                <w:rFonts w:ascii="Arial Narrow" w:eastAsia="Aptos" w:hAnsi="Arial Narrow"/>
                <w:bCs/>
                <w:color w:val="000000" w:themeColor="text1"/>
                <w:kern w:val="2"/>
                <w:sz w:val="20"/>
                <w:szCs w:val="20"/>
                <w:lang w:eastAsia="en-US"/>
                <w14:ligatures w14:val="standardContextual"/>
              </w:rPr>
            </w:r>
            <w:r w:rsidRPr="0073650A">
              <w:rPr>
                <w:rFonts w:ascii="Arial Narrow" w:eastAsia="Aptos" w:hAnsi="Arial Narrow"/>
                <w:bCs/>
                <w:color w:val="000000" w:themeColor="text1"/>
                <w:kern w:val="2"/>
                <w:sz w:val="20"/>
                <w:szCs w:val="20"/>
                <w:lang w:eastAsia="en-US"/>
                <w14:ligatures w14:val="standardContextual"/>
              </w:rPr>
              <w:fldChar w:fldCharType="separate"/>
            </w:r>
            <w:r w:rsidRPr="0073650A">
              <w:rPr>
                <w:rFonts w:ascii="Arial Narrow" w:eastAsia="Aptos" w:hAnsi="Arial Narrow"/>
                <w:bCs/>
                <w:color w:val="000000" w:themeColor="text1"/>
                <w:kern w:val="2"/>
                <w:sz w:val="20"/>
                <w:szCs w:val="20"/>
                <w:lang w:eastAsia="en-US"/>
                <w14:ligatures w14:val="standardContextual"/>
              </w:rPr>
              <w:fldChar w:fldCharType="end"/>
            </w:r>
            <w:r w:rsidRPr="0073650A">
              <w:rPr>
                <w:rFonts w:ascii="Arial Narrow" w:eastAsia="Aptos" w:hAnsi="Arial Narrow"/>
                <w:bCs/>
                <w:color w:val="000000" w:themeColor="text1"/>
                <w:kern w:val="2"/>
                <w:sz w:val="20"/>
                <w:szCs w:val="20"/>
                <w:lang w:eastAsia="en-US"/>
                <w14:ligatures w14:val="standardContextual"/>
              </w:rPr>
              <w:t xml:space="preserve"> Complex Authority Required (CAR)</w:t>
            </w:r>
          </w:p>
        </w:tc>
      </w:tr>
      <w:tr w:rsidR="00CB26C7" w:rsidRPr="00964DA0" w14:paraId="353747F0" w14:textId="77777777" w:rsidTr="00CB26C7">
        <w:tblPrEx>
          <w:tblCellMar>
            <w:top w:w="15" w:type="dxa"/>
            <w:left w:w="15" w:type="dxa"/>
            <w:bottom w:w="15" w:type="dxa"/>
            <w:right w:w="15" w:type="dxa"/>
          </w:tblCellMar>
          <w:tblLook w:val="04A0" w:firstRow="1" w:lastRow="0" w:firstColumn="1" w:lastColumn="0" w:noHBand="0" w:noVBand="1"/>
        </w:tblPrEx>
        <w:tc>
          <w:tcPr>
            <w:tcW w:w="9356" w:type="dxa"/>
            <w:gridSpan w:val="6"/>
            <w:vAlign w:val="center"/>
          </w:tcPr>
          <w:p w14:paraId="4BAE17DD" w14:textId="093EB198" w:rsidR="00CB26C7" w:rsidRDefault="00CB26C7" w:rsidP="0073650A">
            <w:pPr>
              <w:spacing w:line="259" w:lineRule="auto"/>
              <w:jc w:val="left"/>
              <w:rPr>
                <w:rFonts w:ascii="Arial Narrow" w:eastAsia="Aptos" w:hAnsi="Arial Narrow"/>
                <w:bCs/>
                <w:color w:val="000000" w:themeColor="text1"/>
                <w:kern w:val="2"/>
                <w:sz w:val="20"/>
                <w:szCs w:val="20"/>
                <w:lang w:eastAsia="en-US"/>
                <w14:ligatures w14:val="standardContextual"/>
              </w:rPr>
            </w:pPr>
            <w:r w:rsidRPr="0073650A">
              <w:rPr>
                <w:rFonts w:ascii="Arial Narrow" w:hAnsi="Arial Narrow" w:cs="Times New Roman"/>
                <w:b/>
                <w:bCs/>
                <w:color w:val="000000" w:themeColor="text1"/>
                <w:kern w:val="2"/>
                <w:sz w:val="20"/>
                <w:szCs w:val="20"/>
                <w14:ligatures w14:val="standardContextual"/>
              </w:rPr>
              <w:t>Administrative Advice</w:t>
            </w:r>
            <w:r>
              <w:rPr>
                <w:rFonts w:ascii="Arial Narrow" w:hAnsi="Arial Narrow" w:cs="Times New Roman"/>
                <w:b/>
                <w:bCs/>
                <w:color w:val="000000" w:themeColor="text1"/>
                <w:kern w:val="2"/>
                <w:sz w:val="20"/>
                <w:szCs w:val="20"/>
                <w14:ligatures w14:val="standardContextual"/>
              </w:rPr>
              <w:t>:</w:t>
            </w:r>
          </w:p>
          <w:p w14:paraId="61F2A881" w14:textId="1A2D01E3" w:rsidR="00CB26C7" w:rsidRPr="00605D74" w:rsidRDefault="00CB26C7" w:rsidP="0073650A">
            <w:pPr>
              <w:spacing w:line="259" w:lineRule="auto"/>
              <w:jc w:val="left"/>
              <w:rPr>
                <w:rFonts w:ascii="Arial Narrow" w:eastAsia="Aptos" w:hAnsi="Arial Narrow"/>
                <w:bCs/>
                <w:color w:val="000000" w:themeColor="text1"/>
                <w:kern w:val="2"/>
                <w:sz w:val="20"/>
                <w:szCs w:val="20"/>
                <w:lang w:eastAsia="en-US"/>
                <w14:ligatures w14:val="standardContextual"/>
              </w:rPr>
            </w:pPr>
            <w:r w:rsidRPr="00605D74">
              <w:rPr>
                <w:rFonts w:ascii="Arial Narrow" w:eastAsia="Aptos" w:hAnsi="Arial Narrow"/>
                <w:bCs/>
                <w:color w:val="000000" w:themeColor="text1"/>
                <w:kern w:val="2"/>
                <w:sz w:val="20"/>
                <w:szCs w:val="20"/>
                <w:lang w:eastAsia="en-US"/>
                <w14:ligatures w14:val="standardContextual"/>
              </w:rPr>
              <w:t>The length of a break in therapy is measured from the date that the relevant PBS-subsidised medicine listed for this PBS indication is ceased during the most recent treatment cycle, until the date of the subsequent application for treatment under a new treatment cycle.</w:t>
            </w:r>
          </w:p>
        </w:tc>
      </w:tr>
      <w:tr w:rsidR="00CB26C7" w:rsidRPr="00964DA0" w14:paraId="17BE1835" w14:textId="77777777" w:rsidTr="00CB26C7">
        <w:tblPrEx>
          <w:tblCellMar>
            <w:top w:w="15" w:type="dxa"/>
            <w:left w:w="15" w:type="dxa"/>
            <w:bottom w:w="15" w:type="dxa"/>
            <w:right w:w="15" w:type="dxa"/>
          </w:tblCellMar>
          <w:tblLook w:val="04A0" w:firstRow="1" w:lastRow="0" w:firstColumn="1" w:lastColumn="0" w:noHBand="0" w:noVBand="1"/>
        </w:tblPrEx>
        <w:tc>
          <w:tcPr>
            <w:tcW w:w="9356" w:type="dxa"/>
            <w:gridSpan w:val="6"/>
            <w:vAlign w:val="center"/>
          </w:tcPr>
          <w:p w14:paraId="2BF2AC05" w14:textId="77777777" w:rsidR="00CB26C7" w:rsidRPr="0073650A" w:rsidRDefault="00CB26C7" w:rsidP="0073650A">
            <w:pPr>
              <w:spacing w:line="259" w:lineRule="auto"/>
              <w:jc w:val="left"/>
              <w:rPr>
                <w:rFonts w:ascii="Arial Narrow" w:hAnsi="Arial Narrow" w:cs="Times New Roman"/>
                <w:b/>
                <w:bCs/>
                <w:color w:val="000000" w:themeColor="text1"/>
                <w:kern w:val="2"/>
                <w:sz w:val="20"/>
                <w:szCs w:val="20"/>
                <w14:ligatures w14:val="standardContextual"/>
              </w:rPr>
            </w:pPr>
            <w:r w:rsidRPr="0073650A">
              <w:rPr>
                <w:rFonts w:ascii="Arial Narrow" w:hAnsi="Arial Narrow" w:cs="Times New Roman"/>
                <w:b/>
                <w:bCs/>
                <w:color w:val="000000" w:themeColor="text1"/>
                <w:kern w:val="2"/>
                <w:sz w:val="20"/>
                <w:szCs w:val="20"/>
                <w14:ligatures w14:val="standardContextual"/>
              </w:rPr>
              <w:t xml:space="preserve">Administrative Advice: </w:t>
            </w:r>
            <w:r w:rsidRPr="0073650A">
              <w:rPr>
                <w:rFonts w:ascii="Arial Narrow" w:hAnsi="Arial Narrow" w:cs="Times New Roman"/>
                <w:color w:val="000000" w:themeColor="text1"/>
                <w:kern w:val="2"/>
                <w:sz w:val="20"/>
                <w:szCs w:val="20"/>
                <w14:ligatures w14:val="standardContextual"/>
              </w:rPr>
              <w:t>No increase in the maximum quantity or number of units may be authorised</w:t>
            </w:r>
          </w:p>
        </w:tc>
      </w:tr>
      <w:tr w:rsidR="00CB26C7" w:rsidRPr="00964DA0" w14:paraId="279A0F46" w14:textId="77777777" w:rsidTr="00CB26C7">
        <w:tblPrEx>
          <w:tblCellMar>
            <w:top w:w="15" w:type="dxa"/>
            <w:left w:w="15" w:type="dxa"/>
            <w:bottom w:w="15" w:type="dxa"/>
            <w:right w:w="15" w:type="dxa"/>
          </w:tblCellMar>
          <w:tblLook w:val="04A0" w:firstRow="1" w:lastRow="0" w:firstColumn="1" w:lastColumn="0" w:noHBand="0" w:noVBand="1"/>
        </w:tblPrEx>
        <w:tc>
          <w:tcPr>
            <w:tcW w:w="9356" w:type="dxa"/>
            <w:gridSpan w:val="6"/>
            <w:vAlign w:val="center"/>
          </w:tcPr>
          <w:p w14:paraId="77698ED9" w14:textId="77777777" w:rsidR="00CB26C7" w:rsidRPr="0073650A" w:rsidRDefault="00CB26C7" w:rsidP="0073650A">
            <w:pPr>
              <w:spacing w:line="259" w:lineRule="auto"/>
              <w:jc w:val="left"/>
              <w:rPr>
                <w:rFonts w:ascii="Arial Narrow" w:hAnsi="Arial Narrow" w:cs="Times New Roman"/>
                <w:b/>
                <w:bCs/>
                <w:color w:val="000000" w:themeColor="text1"/>
                <w:kern w:val="2"/>
                <w:sz w:val="20"/>
                <w:szCs w:val="20"/>
                <w14:ligatures w14:val="standardContextual"/>
              </w:rPr>
            </w:pPr>
            <w:r w:rsidRPr="0073650A">
              <w:rPr>
                <w:rFonts w:ascii="Arial Narrow" w:hAnsi="Arial Narrow" w:cs="Times New Roman"/>
                <w:b/>
                <w:bCs/>
                <w:color w:val="000000" w:themeColor="text1"/>
                <w:kern w:val="2"/>
                <w:sz w:val="20"/>
                <w:szCs w:val="20"/>
                <w14:ligatures w14:val="standardContextual"/>
              </w:rPr>
              <w:t xml:space="preserve">Administrative Advice: </w:t>
            </w:r>
            <w:r w:rsidRPr="0073650A">
              <w:rPr>
                <w:rFonts w:ascii="Arial Narrow" w:hAnsi="Arial Narrow" w:cs="Times New Roman"/>
                <w:color w:val="000000" w:themeColor="text1"/>
                <w:kern w:val="2"/>
                <w:sz w:val="20"/>
                <w:szCs w:val="20"/>
                <w14:ligatures w14:val="standardContextual"/>
              </w:rPr>
              <w:t>No increase in the maximum number of repeats may be authorised</w:t>
            </w:r>
          </w:p>
        </w:tc>
      </w:tr>
      <w:tr w:rsidR="00CB26C7" w:rsidRPr="00964DA0" w14:paraId="29998B98" w14:textId="77777777" w:rsidTr="00CB26C7">
        <w:tblPrEx>
          <w:tblCellMar>
            <w:top w:w="15" w:type="dxa"/>
            <w:left w:w="15" w:type="dxa"/>
            <w:bottom w:w="15" w:type="dxa"/>
            <w:right w:w="15" w:type="dxa"/>
          </w:tblCellMar>
          <w:tblLook w:val="04A0" w:firstRow="1" w:lastRow="0" w:firstColumn="1" w:lastColumn="0" w:noHBand="0" w:noVBand="1"/>
        </w:tblPrEx>
        <w:tc>
          <w:tcPr>
            <w:tcW w:w="9356" w:type="dxa"/>
            <w:gridSpan w:val="6"/>
            <w:vAlign w:val="center"/>
          </w:tcPr>
          <w:p w14:paraId="0C796EBA" w14:textId="77777777" w:rsidR="00CB26C7" w:rsidRPr="0073650A" w:rsidRDefault="00CB26C7" w:rsidP="0073650A">
            <w:pPr>
              <w:spacing w:line="259" w:lineRule="auto"/>
              <w:jc w:val="left"/>
              <w:rPr>
                <w:rFonts w:ascii="Arial Narrow" w:hAnsi="Arial Narrow" w:cs="Times New Roman"/>
                <w:b/>
                <w:bCs/>
                <w:color w:val="000000" w:themeColor="text1"/>
                <w:kern w:val="2"/>
                <w:sz w:val="20"/>
                <w:szCs w:val="20"/>
                <w14:ligatures w14:val="standardContextual"/>
              </w:rPr>
            </w:pPr>
            <w:r w:rsidRPr="0073650A">
              <w:rPr>
                <w:rFonts w:ascii="Arial Narrow" w:hAnsi="Arial Narrow" w:cs="Times New Roman"/>
                <w:b/>
                <w:bCs/>
                <w:color w:val="000000" w:themeColor="text1"/>
                <w:kern w:val="2"/>
                <w:sz w:val="20"/>
                <w:szCs w:val="20"/>
                <w14:ligatures w14:val="standardContextual"/>
              </w:rPr>
              <w:t>Administrative Advice:</w:t>
            </w:r>
            <w:r w:rsidRPr="0073650A">
              <w:rPr>
                <w:rFonts w:ascii="Arial Narrow" w:hAnsi="Arial Narrow" w:cs="Times New Roman"/>
                <w:color w:val="000000" w:themeColor="text1"/>
                <w:kern w:val="2"/>
                <w:sz w:val="20"/>
                <w:szCs w:val="20"/>
                <w14:ligatures w14:val="standardContextual"/>
              </w:rPr>
              <w:t xml:space="preserve"> Special Pricing Arrangements apply</w:t>
            </w:r>
          </w:p>
        </w:tc>
      </w:tr>
      <w:tr w:rsidR="00CB26C7" w:rsidRPr="00964DA0" w14:paraId="6BAE0004" w14:textId="77777777" w:rsidTr="00CB26C7">
        <w:tblPrEx>
          <w:tblCellMar>
            <w:top w:w="15" w:type="dxa"/>
            <w:left w:w="15" w:type="dxa"/>
            <w:bottom w:w="15" w:type="dxa"/>
            <w:right w:w="15" w:type="dxa"/>
          </w:tblCellMar>
          <w:tblLook w:val="04A0" w:firstRow="1" w:lastRow="0" w:firstColumn="1" w:lastColumn="0" w:noHBand="0" w:noVBand="1"/>
        </w:tblPrEx>
        <w:tc>
          <w:tcPr>
            <w:tcW w:w="9356" w:type="dxa"/>
            <w:gridSpan w:val="6"/>
            <w:vAlign w:val="center"/>
          </w:tcPr>
          <w:p w14:paraId="05ADB71F" w14:textId="77777777" w:rsidR="00CB26C7" w:rsidRPr="0073650A" w:rsidRDefault="00CB26C7" w:rsidP="0073650A">
            <w:pPr>
              <w:rPr>
                <w:rFonts w:ascii="Arial Narrow" w:hAnsi="Arial Narrow"/>
                <w:color w:val="000000" w:themeColor="text1"/>
                <w:sz w:val="20"/>
                <w:szCs w:val="20"/>
              </w:rPr>
            </w:pPr>
            <w:r w:rsidRPr="0073650A">
              <w:rPr>
                <w:rFonts w:ascii="Arial Narrow" w:hAnsi="Arial Narrow"/>
                <w:b/>
                <w:bCs/>
                <w:color w:val="000000" w:themeColor="text1"/>
                <w:sz w:val="20"/>
                <w:szCs w:val="20"/>
              </w:rPr>
              <w:t xml:space="preserve">Administrative Advice: </w:t>
            </w:r>
            <w:r w:rsidRPr="0073650A">
              <w:rPr>
                <w:rFonts w:ascii="Arial Narrow" w:hAnsi="Arial Narrow"/>
                <w:color w:val="000000" w:themeColor="text1"/>
                <w:sz w:val="20"/>
                <w:szCs w:val="20"/>
              </w:rPr>
              <w:t>Any queries concerning the arrangements to prescribe may be directed to Services Australia on 1800 700 270 (hours of operation 8 a.m. to 5 p.m. Monday to Friday).</w:t>
            </w:r>
          </w:p>
          <w:p w14:paraId="7456E019" w14:textId="77777777" w:rsidR="00CB26C7" w:rsidRPr="0073650A" w:rsidRDefault="00CB26C7" w:rsidP="0073650A">
            <w:pPr>
              <w:rPr>
                <w:rFonts w:ascii="Arial Narrow" w:hAnsi="Arial Narrow"/>
                <w:color w:val="000000" w:themeColor="text1"/>
                <w:sz w:val="20"/>
                <w:szCs w:val="20"/>
              </w:rPr>
            </w:pPr>
            <w:r w:rsidRPr="0073650A">
              <w:rPr>
                <w:rFonts w:ascii="Arial Narrow" w:hAnsi="Arial Narrow"/>
                <w:color w:val="000000" w:themeColor="text1"/>
                <w:sz w:val="20"/>
                <w:szCs w:val="20"/>
              </w:rPr>
              <w:t>Prescribing information (including Authority Application forms and other relevant documentation as applicable) is available on the Services Australia website at www.servicesaustralia.gov.au</w:t>
            </w:r>
          </w:p>
          <w:p w14:paraId="43E015FE" w14:textId="77777777" w:rsidR="00CB26C7" w:rsidRPr="0073650A" w:rsidRDefault="00CB26C7" w:rsidP="0073650A">
            <w:pPr>
              <w:rPr>
                <w:rFonts w:ascii="Arial Narrow" w:hAnsi="Arial Narrow"/>
                <w:color w:val="000000" w:themeColor="text1"/>
                <w:sz w:val="20"/>
                <w:szCs w:val="20"/>
              </w:rPr>
            </w:pPr>
            <w:r w:rsidRPr="0073650A">
              <w:rPr>
                <w:rFonts w:ascii="Arial Narrow" w:hAnsi="Arial Narrow"/>
                <w:color w:val="000000" w:themeColor="text1"/>
                <w:sz w:val="20"/>
                <w:szCs w:val="20"/>
              </w:rPr>
              <w:t>Applications for authority to prescribe should be submitted online using the form upload facility in Health Professional Online Services (HPOS) at www.servicesaustralia.gov.au/hpos</w:t>
            </w:r>
          </w:p>
          <w:p w14:paraId="06B8954E" w14:textId="77777777" w:rsidR="00CB26C7" w:rsidRPr="0073650A" w:rsidRDefault="00CB26C7" w:rsidP="0073650A">
            <w:pPr>
              <w:rPr>
                <w:rFonts w:ascii="Arial Narrow" w:hAnsi="Arial Narrow"/>
                <w:color w:val="000000" w:themeColor="text1"/>
                <w:sz w:val="20"/>
                <w:szCs w:val="20"/>
              </w:rPr>
            </w:pPr>
            <w:r w:rsidRPr="0073650A">
              <w:rPr>
                <w:rFonts w:ascii="Arial Narrow" w:hAnsi="Arial Narrow"/>
                <w:color w:val="000000" w:themeColor="text1"/>
                <w:sz w:val="20"/>
                <w:szCs w:val="20"/>
              </w:rPr>
              <w:t>Or mailed to:</w:t>
            </w:r>
          </w:p>
          <w:p w14:paraId="7244979E" w14:textId="77777777" w:rsidR="00CB26C7" w:rsidRPr="0073650A" w:rsidRDefault="00CB26C7" w:rsidP="0073650A">
            <w:pPr>
              <w:rPr>
                <w:rFonts w:ascii="Arial Narrow" w:hAnsi="Arial Narrow"/>
                <w:color w:val="000000" w:themeColor="text1"/>
                <w:sz w:val="20"/>
                <w:szCs w:val="20"/>
              </w:rPr>
            </w:pPr>
            <w:r w:rsidRPr="0073650A">
              <w:rPr>
                <w:rFonts w:ascii="Arial Narrow" w:hAnsi="Arial Narrow"/>
                <w:color w:val="000000" w:themeColor="text1"/>
                <w:sz w:val="20"/>
                <w:szCs w:val="20"/>
              </w:rPr>
              <w:t>Services Australia</w:t>
            </w:r>
          </w:p>
          <w:p w14:paraId="4C7970C6" w14:textId="77777777" w:rsidR="00CB26C7" w:rsidRPr="0073650A" w:rsidRDefault="00CB26C7" w:rsidP="0073650A">
            <w:pPr>
              <w:rPr>
                <w:rFonts w:ascii="Arial Narrow" w:hAnsi="Arial Narrow"/>
                <w:color w:val="000000" w:themeColor="text1"/>
                <w:sz w:val="20"/>
                <w:szCs w:val="20"/>
              </w:rPr>
            </w:pPr>
            <w:r w:rsidRPr="0073650A">
              <w:rPr>
                <w:rFonts w:ascii="Arial Narrow" w:hAnsi="Arial Narrow"/>
                <w:color w:val="000000" w:themeColor="text1"/>
                <w:sz w:val="20"/>
                <w:szCs w:val="20"/>
              </w:rPr>
              <w:t>Complex Drugs</w:t>
            </w:r>
          </w:p>
          <w:p w14:paraId="69E836D1" w14:textId="77777777" w:rsidR="00CB26C7" w:rsidRPr="0073650A" w:rsidRDefault="00CB26C7" w:rsidP="0073650A">
            <w:pPr>
              <w:rPr>
                <w:rFonts w:ascii="Arial Narrow" w:hAnsi="Arial Narrow"/>
                <w:color w:val="000000" w:themeColor="text1"/>
                <w:sz w:val="20"/>
                <w:szCs w:val="20"/>
              </w:rPr>
            </w:pPr>
            <w:r w:rsidRPr="0073650A">
              <w:rPr>
                <w:rFonts w:ascii="Arial Narrow" w:hAnsi="Arial Narrow"/>
                <w:color w:val="000000" w:themeColor="text1"/>
                <w:sz w:val="20"/>
                <w:szCs w:val="20"/>
              </w:rPr>
              <w:t>Reply Paid 9826</w:t>
            </w:r>
          </w:p>
          <w:p w14:paraId="0C8BD66E" w14:textId="77777777" w:rsidR="00CB26C7" w:rsidRPr="0073650A" w:rsidRDefault="00CB26C7" w:rsidP="0073650A">
            <w:pPr>
              <w:spacing w:line="259" w:lineRule="auto"/>
              <w:jc w:val="left"/>
              <w:rPr>
                <w:rFonts w:ascii="Arial Narrow" w:hAnsi="Arial Narrow" w:cs="Times New Roman"/>
                <w:b/>
                <w:bCs/>
                <w:color w:val="000000" w:themeColor="text1"/>
                <w:kern w:val="2"/>
                <w:sz w:val="20"/>
                <w:szCs w:val="20"/>
                <w14:ligatures w14:val="standardContextual"/>
              </w:rPr>
            </w:pPr>
            <w:r w:rsidRPr="0073650A">
              <w:rPr>
                <w:rFonts w:ascii="Arial Narrow" w:hAnsi="Arial Narrow"/>
                <w:color w:val="000000" w:themeColor="text1"/>
                <w:sz w:val="20"/>
                <w:szCs w:val="20"/>
              </w:rPr>
              <w:t>HOBART TAS 7001</w:t>
            </w:r>
          </w:p>
        </w:tc>
      </w:tr>
      <w:tr w:rsidR="00C90BF5" w:rsidRPr="00964DA0" w14:paraId="11A59ED5" w14:textId="77777777">
        <w:tblPrEx>
          <w:tblCellMar>
            <w:top w:w="15" w:type="dxa"/>
            <w:left w:w="15" w:type="dxa"/>
            <w:bottom w:w="15" w:type="dxa"/>
            <w:right w:w="15" w:type="dxa"/>
          </w:tblCellMar>
          <w:tblLook w:val="04A0" w:firstRow="1" w:lastRow="0" w:firstColumn="1" w:lastColumn="0" w:noHBand="0" w:noVBand="1"/>
        </w:tblPrEx>
        <w:tc>
          <w:tcPr>
            <w:tcW w:w="9356" w:type="dxa"/>
            <w:gridSpan w:val="6"/>
            <w:vAlign w:val="center"/>
          </w:tcPr>
          <w:p w14:paraId="563385EC" w14:textId="2A84F9AB" w:rsidR="00C90BF5" w:rsidRPr="0073650A" w:rsidRDefault="00C90BF5" w:rsidP="0073650A">
            <w:pPr>
              <w:rPr>
                <w:rFonts w:ascii="Arial Narrow" w:hAnsi="Arial Narrow"/>
                <w:b/>
                <w:bCs/>
                <w:color w:val="000000" w:themeColor="text1"/>
                <w:sz w:val="20"/>
                <w:szCs w:val="20"/>
              </w:rPr>
            </w:pPr>
          </w:p>
        </w:tc>
      </w:tr>
      <w:tr w:rsidR="00CB26C7" w:rsidRPr="00964DA0" w14:paraId="40554CA2" w14:textId="77777777" w:rsidTr="00CB26C7">
        <w:tblPrEx>
          <w:tblCellMar>
            <w:top w:w="15" w:type="dxa"/>
            <w:left w:w="15" w:type="dxa"/>
            <w:bottom w:w="15" w:type="dxa"/>
            <w:right w:w="15" w:type="dxa"/>
          </w:tblCellMar>
          <w:tblLook w:val="04A0" w:firstRow="1" w:lastRow="0" w:firstColumn="1" w:lastColumn="0" w:noHBand="0" w:noVBand="1"/>
        </w:tblPrEx>
        <w:tc>
          <w:tcPr>
            <w:tcW w:w="9356" w:type="dxa"/>
            <w:gridSpan w:val="6"/>
            <w:vAlign w:val="center"/>
          </w:tcPr>
          <w:p w14:paraId="41D5C0E1" w14:textId="77777777" w:rsidR="00CB26C7" w:rsidRPr="0073650A" w:rsidRDefault="00CB26C7" w:rsidP="0073650A">
            <w:pPr>
              <w:spacing w:line="259" w:lineRule="auto"/>
              <w:jc w:val="left"/>
              <w:rPr>
                <w:rFonts w:ascii="Arial Narrow" w:hAnsi="Arial Narrow" w:cs="Times New Roman"/>
                <w:b/>
                <w:bCs/>
                <w:color w:val="000000" w:themeColor="text1"/>
                <w:kern w:val="2"/>
                <w:sz w:val="20"/>
                <w:szCs w:val="20"/>
                <w14:ligatures w14:val="standardContextual"/>
              </w:rPr>
            </w:pPr>
            <w:r w:rsidRPr="0073650A">
              <w:rPr>
                <w:rFonts w:ascii="Arial Narrow" w:hAnsi="Arial Narrow" w:cs="Times New Roman"/>
                <w:b/>
                <w:bCs/>
                <w:color w:val="000000" w:themeColor="text1"/>
                <w:kern w:val="2"/>
                <w:sz w:val="20"/>
                <w:szCs w:val="20"/>
                <w14:ligatures w14:val="standardContextual"/>
              </w:rPr>
              <w:t>Indication:</w:t>
            </w:r>
            <w:r w:rsidRPr="0073650A">
              <w:rPr>
                <w:rFonts w:ascii="Arial Narrow" w:hAnsi="Arial Narrow" w:cs="Times New Roman"/>
                <w:color w:val="000000" w:themeColor="text1"/>
                <w:kern w:val="2"/>
                <w:sz w:val="20"/>
                <w:szCs w:val="20"/>
                <w14:ligatures w14:val="standardContextual"/>
              </w:rPr>
              <w:t xml:space="preserve"> Uncontrolled chronic obstructive pulmonary disease (COPD)</w:t>
            </w:r>
          </w:p>
        </w:tc>
      </w:tr>
      <w:tr w:rsidR="00CB26C7" w:rsidRPr="00964DA0" w14:paraId="12E2C61C" w14:textId="77777777" w:rsidTr="00CB26C7">
        <w:tblPrEx>
          <w:tblCellMar>
            <w:top w:w="15" w:type="dxa"/>
            <w:left w:w="15" w:type="dxa"/>
            <w:bottom w:w="15" w:type="dxa"/>
            <w:right w:w="15" w:type="dxa"/>
          </w:tblCellMar>
          <w:tblLook w:val="04A0" w:firstRow="1" w:lastRow="0" w:firstColumn="1" w:lastColumn="0" w:noHBand="0" w:noVBand="1"/>
        </w:tblPrEx>
        <w:tc>
          <w:tcPr>
            <w:tcW w:w="9356" w:type="dxa"/>
            <w:gridSpan w:val="6"/>
            <w:vAlign w:val="center"/>
          </w:tcPr>
          <w:p w14:paraId="2950914B" w14:textId="77777777" w:rsidR="00CB26C7" w:rsidRPr="0073650A" w:rsidRDefault="00CB26C7" w:rsidP="0073650A">
            <w:pPr>
              <w:spacing w:line="259" w:lineRule="auto"/>
              <w:jc w:val="left"/>
              <w:rPr>
                <w:rFonts w:ascii="Arial Narrow" w:hAnsi="Arial Narrow" w:cs="Times New Roman"/>
                <w:b/>
                <w:bCs/>
                <w:color w:val="000000" w:themeColor="text1"/>
                <w:kern w:val="2"/>
                <w:sz w:val="20"/>
                <w:szCs w:val="20"/>
                <w14:ligatures w14:val="standardContextual"/>
              </w:rPr>
            </w:pPr>
            <w:r w:rsidRPr="0073650A">
              <w:rPr>
                <w:rFonts w:ascii="Arial Narrow" w:hAnsi="Arial Narrow" w:cs="Times New Roman"/>
                <w:b/>
                <w:bCs/>
                <w:color w:val="000000" w:themeColor="text1"/>
                <w:kern w:val="2"/>
                <w:sz w:val="20"/>
                <w:szCs w:val="20"/>
                <w14:ligatures w14:val="standardContextual"/>
              </w:rPr>
              <w:t>Treatment Phase:</w:t>
            </w:r>
            <w:r w:rsidRPr="0073650A">
              <w:rPr>
                <w:rFonts w:ascii="Arial Narrow" w:hAnsi="Arial Narrow" w:cs="Times New Roman"/>
                <w:color w:val="000000" w:themeColor="text1"/>
                <w:kern w:val="2"/>
                <w:sz w:val="20"/>
                <w:szCs w:val="20"/>
                <w14:ligatures w14:val="standardContextual"/>
              </w:rPr>
              <w:t xml:space="preserve"> Initial treatment (New patients; or Recommencement of treatment in a new treatment cycle following a break in PBS subsidised biological medicine therapy)</w:t>
            </w:r>
          </w:p>
        </w:tc>
      </w:tr>
      <w:tr w:rsidR="00CB26C7" w:rsidRPr="00964DA0" w14:paraId="5CFAB581" w14:textId="77777777" w:rsidTr="00CB26C7">
        <w:tblPrEx>
          <w:tblCellMar>
            <w:top w:w="15" w:type="dxa"/>
            <w:left w:w="15" w:type="dxa"/>
            <w:bottom w:w="15" w:type="dxa"/>
            <w:right w:w="15" w:type="dxa"/>
          </w:tblCellMar>
          <w:tblLook w:val="04A0" w:firstRow="1" w:lastRow="0" w:firstColumn="1" w:lastColumn="0" w:noHBand="0" w:noVBand="1"/>
        </w:tblPrEx>
        <w:tc>
          <w:tcPr>
            <w:tcW w:w="9356" w:type="dxa"/>
            <w:gridSpan w:val="6"/>
          </w:tcPr>
          <w:p w14:paraId="707BEB31" w14:textId="77777777" w:rsidR="00CB26C7" w:rsidRPr="0073650A" w:rsidRDefault="00CB26C7" w:rsidP="0073650A">
            <w:pPr>
              <w:spacing w:line="259" w:lineRule="auto"/>
              <w:jc w:val="left"/>
              <w:rPr>
                <w:rFonts w:ascii="Arial Narrow" w:hAnsi="Arial Narrow" w:cs="Times New Roman"/>
                <w:b/>
                <w:bCs/>
                <w:color w:val="000000" w:themeColor="text1"/>
                <w:kern w:val="2"/>
                <w:sz w:val="20"/>
                <w:szCs w:val="20"/>
                <w14:ligatures w14:val="standardContextual"/>
              </w:rPr>
            </w:pPr>
            <w:r w:rsidRPr="0073650A">
              <w:rPr>
                <w:rFonts w:ascii="Arial Narrow" w:hAnsi="Arial Narrow"/>
                <w:b/>
                <w:bCs/>
                <w:color w:val="000000" w:themeColor="text1"/>
                <w:sz w:val="20"/>
                <w:szCs w:val="20"/>
              </w:rPr>
              <w:t>Clinical criteria:</w:t>
            </w:r>
          </w:p>
        </w:tc>
      </w:tr>
      <w:tr w:rsidR="00CB26C7" w:rsidRPr="00964DA0" w14:paraId="142EBC75" w14:textId="77777777" w:rsidTr="00CB26C7">
        <w:tblPrEx>
          <w:tblCellMar>
            <w:top w:w="15" w:type="dxa"/>
            <w:left w:w="15" w:type="dxa"/>
            <w:bottom w:w="15" w:type="dxa"/>
            <w:right w:w="15" w:type="dxa"/>
          </w:tblCellMar>
          <w:tblLook w:val="04A0" w:firstRow="1" w:lastRow="0" w:firstColumn="1" w:lastColumn="0" w:noHBand="0" w:noVBand="1"/>
        </w:tblPrEx>
        <w:tc>
          <w:tcPr>
            <w:tcW w:w="9356" w:type="dxa"/>
            <w:gridSpan w:val="6"/>
          </w:tcPr>
          <w:p w14:paraId="610B93B7" w14:textId="77777777" w:rsidR="00CB26C7" w:rsidRPr="0073650A" w:rsidRDefault="00CB26C7" w:rsidP="0073650A">
            <w:pPr>
              <w:spacing w:line="259" w:lineRule="auto"/>
              <w:jc w:val="left"/>
              <w:rPr>
                <w:rFonts w:ascii="Arial Narrow" w:hAnsi="Arial Narrow" w:cs="Times New Roman"/>
                <w:b/>
                <w:bCs/>
                <w:color w:val="000000" w:themeColor="text1"/>
                <w:kern w:val="2"/>
                <w:sz w:val="20"/>
                <w:szCs w:val="20"/>
                <w14:ligatures w14:val="standardContextual"/>
              </w:rPr>
            </w:pPr>
            <w:r w:rsidRPr="0073650A">
              <w:rPr>
                <w:rFonts w:ascii="Arial Narrow" w:hAnsi="Arial Narrow"/>
                <w:color w:val="000000" w:themeColor="text1"/>
                <w:sz w:val="20"/>
                <w:szCs w:val="20"/>
              </w:rPr>
              <w:t xml:space="preserve">Patient must not have received PBS-subsidised treatment with a biological medicine for this condition; </w:t>
            </w:r>
            <w:r w:rsidRPr="0073650A">
              <w:rPr>
                <w:rFonts w:ascii="Arial Narrow" w:hAnsi="Arial Narrow"/>
                <w:b/>
                <w:bCs/>
                <w:color w:val="000000" w:themeColor="text1"/>
                <w:sz w:val="20"/>
                <w:szCs w:val="20"/>
              </w:rPr>
              <w:t>OR</w:t>
            </w:r>
          </w:p>
        </w:tc>
      </w:tr>
      <w:tr w:rsidR="00CB26C7" w:rsidRPr="00964DA0" w14:paraId="7F4BF728" w14:textId="77777777" w:rsidTr="00CB26C7">
        <w:tblPrEx>
          <w:tblCellMar>
            <w:top w:w="15" w:type="dxa"/>
            <w:left w:w="15" w:type="dxa"/>
            <w:bottom w:w="15" w:type="dxa"/>
            <w:right w:w="15" w:type="dxa"/>
          </w:tblCellMar>
          <w:tblLook w:val="04A0" w:firstRow="1" w:lastRow="0" w:firstColumn="1" w:lastColumn="0" w:noHBand="0" w:noVBand="1"/>
        </w:tblPrEx>
        <w:tc>
          <w:tcPr>
            <w:tcW w:w="9356" w:type="dxa"/>
            <w:gridSpan w:val="6"/>
          </w:tcPr>
          <w:p w14:paraId="122DBA2C" w14:textId="6EDD066A" w:rsidR="00CB26C7" w:rsidRPr="0073650A" w:rsidRDefault="00CB26C7" w:rsidP="0073650A">
            <w:pPr>
              <w:spacing w:line="259" w:lineRule="auto"/>
              <w:jc w:val="left"/>
              <w:rPr>
                <w:rFonts w:ascii="Arial Narrow" w:hAnsi="Arial Narrow" w:cs="Times New Roman"/>
                <w:b/>
                <w:bCs/>
                <w:color w:val="000000" w:themeColor="text1"/>
                <w:kern w:val="2"/>
                <w:sz w:val="20"/>
                <w:szCs w:val="20"/>
                <w14:ligatures w14:val="standardContextual"/>
              </w:rPr>
            </w:pPr>
            <w:r w:rsidRPr="0073650A">
              <w:rPr>
                <w:rFonts w:ascii="Arial Narrow" w:hAnsi="Arial Narrow"/>
                <w:color w:val="000000" w:themeColor="text1"/>
                <w:sz w:val="20"/>
                <w:szCs w:val="20"/>
              </w:rPr>
              <w:lastRenderedPageBreak/>
              <w:t>Patient must have had at least</w:t>
            </w:r>
            <w:r>
              <w:rPr>
                <w:rFonts w:ascii="Arial Narrow" w:hAnsi="Arial Narrow"/>
                <w:color w:val="000000" w:themeColor="text1"/>
                <w:sz w:val="20"/>
                <w:szCs w:val="20"/>
              </w:rPr>
              <w:t xml:space="preserve"> a</w:t>
            </w:r>
            <w:r w:rsidRPr="0073650A">
              <w:rPr>
                <w:rFonts w:ascii="Arial Narrow" w:hAnsi="Arial Narrow"/>
                <w:color w:val="000000" w:themeColor="text1"/>
                <w:sz w:val="20"/>
                <w:szCs w:val="20"/>
              </w:rPr>
              <w:t xml:space="preserve"> 12-month break from the most recently approved PBS-subsidised biological medicine for this condition</w:t>
            </w:r>
          </w:p>
        </w:tc>
      </w:tr>
      <w:tr w:rsidR="00CB26C7" w:rsidRPr="00964DA0" w14:paraId="13311454" w14:textId="77777777" w:rsidTr="00CB26C7">
        <w:tblPrEx>
          <w:tblCellMar>
            <w:top w:w="15" w:type="dxa"/>
            <w:left w:w="15" w:type="dxa"/>
            <w:bottom w:w="15" w:type="dxa"/>
            <w:right w:w="15" w:type="dxa"/>
          </w:tblCellMar>
          <w:tblLook w:val="04A0" w:firstRow="1" w:lastRow="0" w:firstColumn="1" w:lastColumn="0" w:noHBand="0" w:noVBand="1"/>
        </w:tblPrEx>
        <w:tc>
          <w:tcPr>
            <w:tcW w:w="9356" w:type="dxa"/>
            <w:gridSpan w:val="6"/>
          </w:tcPr>
          <w:p w14:paraId="14476D19" w14:textId="77777777" w:rsidR="00CB26C7" w:rsidRPr="0073650A" w:rsidRDefault="00CB26C7" w:rsidP="0073650A">
            <w:pPr>
              <w:spacing w:line="259" w:lineRule="auto"/>
              <w:jc w:val="left"/>
              <w:rPr>
                <w:rFonts w:ascii="Arial Narrow" w:hAnsi="Arial Narrow" w:cs="Times New Roman"/>
                <w:b/>
                <w:bCs/>
                <w:color w:val="000000" w:themeColor="text1"/>
                <w:kern w:val="2"/>
                <w:sz w:val="20"/>
                <w:szCs w:val="20"/>
                <w14:ligatures w14:val="standardContextual"/>
              </w:rPr>
            </w:pPr>
            <w:r w:rsidRPr="0073650A">
              <w:rPr>
                <w:rFonts w:ascii="Arial Narrow" w:hAnsi="Arial Narrow"/>
                <w:b/>
                <w:bCs/>
                <w:color w:val="000000" w:themeColor="text1"/>
                <w:sz w:val="20"/>
                <w:szCs w:val="20"/>
              </w:rPr>
              <w:t>AND</w:t>
            </w:r>
          </w:p>
        </w:tc>
      </w:tr>
      <w:tr w:rsidR="00CB26C7" w:rsidRPr="00964DA0" w14:paraId="43E7D51E" w14:textId="77777777" w:rsidTr="00CB26C7">
        <w:tblPrEx>
          <w:tblCellMar>
            <w:top w:w="15" w:type="dxa"/>
            <w:left w:w="15" w:type="dxa"/>
            <w:bottom w:w="15" w:type="dxa"/>
            <w:right w:w="15" w:type="dxa"/>
          </w:tblCellMar>
          <w:tblLook w:val="04A0" w:firstRow="1" w:lastRow="0" w:firstColumn="1" w:lastColumn="0" w:noHBand="0" w:noVBand="1"/>
        </w:tblPrEx>
        <w:tc>
          <w:tcPr>
            <w:tcW w:w="9356" w:type="dxa"/>
            <w:gridSpan w:val="6"/>
            <w:vAlign w:val="center"/>
          </w:tcPr>
          <w:p w14:paraId="6DBE985B" w14:textId="77777777" w:rsidR="00CB26C7" w:rsidRPr="0073650A" w:rsidRDefault="00CB26C7" w:rsidP="0073650A">
            <w:pPr>
              <w:spacing w:line="259" w:lineRule="auto"/>
              <w:jc w:val="left"/>
              <w:rPr>
                <w:rFonts w:ascii="Arial Narrow" w:hAnsi="Arial Narrow" w:cs="Times New Roman"/>
                <w:b/>
                <w:bCs/>
                <w:color w:val="000000" w:themeColor="text1"/>
                <w:kern w:val="2"/>
                <w:sz w:val="20"/>
                <w:szCs w:val="20"/>
                <w14:ligatures w14:val="standardContextual"/>
              </w:rPr>
            </w:pPr>
            <w:r w:rsidRPr="0073650A">
              <w:rPr>
                <w:rFonts w:ascii="Arial Narrow" w:hAnsi="Arial Narrow" w:cs="Times New Roman"/>
                <w:b/>
                <w:bCs/>
                <w:color w:val="000000" w:themeColor="text1"/>
                <w:kern w:val="2"/>
                <w:sz w:val="20"/>
                <w:szCs w:val="20"/>
                <w14:ligatures w14:val="standardContextual"/>
              </w:rPr>
              <w:t>Clinical criteria:</w:t>
            </w:r>
          </w:p>
        </w:tc>
      </w:tr>
      <w:tr w:rsidR="00CB26C7" w:rsidRPr="00964DA0" w14:paraId="090E952D" w14:textId="77777777" w:rsidTr="00CB26C7">
        <w:tblPrEx>
          <w:tblCellMar>
            <w:top w:w="15" w:type="dxa"/>
            <w:left w:w="15" w:type="dxa"/>
            <w:bottom w:w="15" w:type="dxa"/>
            <w:right w:w="15" w:type="dxa"/>
          </w:tblCellMar>
          <w:tblLook w:val="04A0" w:firstRow="1" w:lastRow="0" w:firstColumn="1" w:lastColumn="0" w:noHBand="0" w:noVBand="1"/>
        </w:tblPrEx>
        <w:tc>
          <w:tcPr>
            <w:tcW w:w="9356" w:type="dxa"/>
            <w:gridSpan w:val="6"/>
            <w:vAlign w:val="center"/>
          </w:tcPr>
          <w:p w14:paraId="67322050" w14:textId="77777777" w:rsidR="00CB26C7" w:rsidRPr="0073650A" w:rsidRDefault="00CB26C7" w:rsidP="0073650A">
            <w:pPr>
              <w:spacing w:line="259" w:lineRule="auto"/>
              <w:jc w:val="left"/>
              <w:rPr>
                <w:rFonts w:ascii="Arial Narrow" w:hAnsi="Arial Narrow" w:cs="Times New Roman"/>
                <w:b/>
                <w:bCs/>
                <w:color w:val="000000" w:themeColor="text1"/>
                <w:kern w:val="2"/>
                <w:sz w:val="20"/>
                <w:szCs w:val="20"/>
                <w14:ligatures w14:val="standardContextual"/>
              </w:rPr>
            </w:pPr>
            <w:r w:rsidRPr="0073650A">
              <w:rPr>
                <w:rFonts w:ascii="Arial Narrow" w:hAnsi="Arial Narrow" w:cs="Times New Roman"/>
                <w:color w:val="000000" w:themeColor="text1"/>
                <w:kern w:val="2"/>
                <w:sz w:val="20"/>
                <w:szCs w:val="20"/>
                <w14:ligatures w14:val="standardContextual"/>
              </w:rPr>
              <w:t>Patient must have a blood eosinophil count of at least 300 cells per microlitre in the 12 months prior to commencing treatment with this drug in this treatment cycle.</w:t>
            </w:r>
          </w:p>
        </w:tc>
      </w:tr>
      <w:tr w:rsidR="00CB26C7" w:rsidRPr="00964DA0" w14:paraId="592D9807" w14:textId="77777777" w:rsidTr="00CB26C7">
        <w:tblPrEx>
          <w:tblCellMar>
            <w:top w:w="15" w:type="dxa"/>
            <w:left w:w="15" w:type="dxa"/>
            <w:bottom w:w="15" w:type="dxa"/>
            <w:right w:w="15" w:type="dxa"/>
          </w:tblCellMar>
          <w:tblLook w:val="04A0" w:firstRow="1" w:lastRow="0" w:firstColumn="1" w:lastColumn="0" w:noHBand="0" w:noVBand="1"/>
        </w:tblPrEx>
        <w:tc>
          <w:tcPr>
            <w:tcW w:w="9356" w:type="dxa"/>
            <w:gridSpan w:val="6"/>
            <w:vAlign w:val="center"/>
          </w:tcPr>
          <w:p w14:paraId="60708F12" w14:textId="77777777" w:rsidR="00CB26C7" w:rsidRPr="0073650A" w:rsidRDefault="00CB26C7" w:rsidP="0073650A">
            <w:pPr>
              <w:spacing w:line="259" w:lineRule="auto"/>
              <w:jc w:val="left"/>
              <w:rPr>
                <w:rFonts w:ascii="Arial Narrow" w:hAnsi="Arial Narrow" w:cs="Times New Roman"/>
                <w:b/>
                <w:bCs/>
                <w:color w:val="000000" w:themeColor="text1"/>
                <w:kern w:val="2"/>
                <w:sz w:val="20"/>
                <w:szCs w:val="20"/>
                <w14:ligatures w14:val="standardContextual"/>
              </w:rPr>
            </w:pPr>
            <w:r w:rsidRPr="0073650A">
              <w:rPr>
                <w:rFonts w:ascii="Arial Narrow" w:hAnsi="Arial Narrow" w:cs="Times New Roman"/>
                <w:b/>
                <w:bCs/>
                <w:color w:val="000000" w:themeColor="text1"/>
                <w:kern w:val="2"/>
                <w:sz w:val="20"/>
                <w:szCs w:val="20"/>
                <w14:ligatures w14:val="standardContextual"/>
              </w:rPr>
              <w:t>AND</w:t>
            </w:r>
          </w:p>
        </w:tc>
      </w:tr>
      <w:tr w:rsidR="00CB26C7" w:rsidRPr="00964DA0" w14:paraId="659A9334" w14:textId="77777777" w:rsidTr="00CB26C7">
        <w:tblPrEx>
          <w:tblCellMar>
            <w:top w:w="15" w:type="dxa"/>
            <w:left w:w="15" w:type="dxa"/>
            <w:bottom w:w="15" w:type="dxa"/>
            <w:right w:w="15" w:type="dxa"/>
          </w:tblCellMar>
          <w:tblLook w:val="04A0" w:firstRow="1" w:lastRow="0" w:firstColumn="1" w:lastColumn="0" w:noHBand="0" w:noVBand="1"/>
        </w:tblPrEx>
        <w:tc>
          <w:tcPr>
            <w:tcW w:w="9356" w:type="dxa"/>
            <w:gridSpan w:val="6"/>
            <w:vAlign w:val="center"/>
          </w:tcPr>
          <w:p w14:paraId="18754311" w14:textId="77777777" w:rsidR="00CB26C7" w:rsidRPr="0073650A" w:rsidRDefault="00CB26C7" w:rsidP="0073650A">
            <w:pPr>
              <w:spacing w:line="259" w:lineRule="auto"/>
              <w:jc w:val="left"/>
              <w:rPr>
                <w:rFonts w:ascii="Arial Narrow" w:hAnsi="Arial Narrow" w:cs="Times New Roman"/>
                <w:b/>
                <w:bCs/>
                <w:color w:val="000000" w:themeColor="text1"/>
                <w:kern w:val="2"/>
                <w:sz w:val="20"/>
                <w:szCs w:val="20"/>
                <w14:ligatures w14:val="standardContextual"/>
              </w:rPr>
            </w:pPr>
            <w:r w:rsidRPr="0073650A">
              <w:rPr>
                <w:rFonts w:ascii="Arial Narrow" w:hAnsi="Arial Narrow" w:cs="Times New Roman"/>
                <w:b/>
                <w:bCs/>
                <w:color w:val="000000" w:themeColor="text1"/>
                <w:kern w:val="2"/>
                <w:sz w:val="20"/>
                <w:szCs w:val="20"/>
                <w14:ligatures w14:val="standardContextual"/>
              </w:rPr>
              <w:t>Clinical criteria:</w:t>
            </w:r>
          </w:p>
        </w:tc>
      </w:tr>
      <w:tr w:rsidR="00CB26C7" w:rsidRPr="00964DA0" w14:paraId="7FD33B9B" w14:textId="77777777" w:rsidTr="00CB26C7">
        <w:tblPrEx>
          <w:tblCellMar>
            <w:top w:w="15" w:type="dxa"/>
            <w:left w:w="15" w:type="dxa"/>
            <w:bottom w:w="15" w:type="dxa"/>
            <w:right w:w="15" w:type="dxa"/>
          </w:tblCellMar>
          <w:tblLook w:val="04A0" w:firstRow="1" w:lastRow="0" w:firstColumn="1" w:lastColumn="0" w:noHBand="0" w:noVBand="1"/>
        </w:tblPrEx>
        <w:tc>
          <w:tcPr>
            <w:tcW w:w="9356" w:type="dxa"/>
            <w:gridSpan w:val="6"/>
            <w:vAlign w:val="center"/>
          </w:tcPr>
          <w:p w14:paraId="16601A07" w14:textId="77777777" w:rsidR="00CB26C7" w:rsidRPr="0073650A" w:rsidRDefault="00CB26C7" w:rsidP="0073650A">
            <w:pPr>
              <w:autoSpaceDE w:val="0"/>
              <w:autoSpaceDN w:val="0"/>
              <w:adjustRightInd w:val="0"/>
              <w:jc w:val="left"/>
              <w:rPr>
                <w:rFonts w:ascii="Arial Narrow" w:eastAsia="Aptos" w:hAnsi="Arial Narrow"/>
                <w:color w:val="000000" w:themeColor="text1"/>
                <w:sz w:val="20"/>
                <w:szCs w:val="20"/>
              </w:rPr>
            </w:pPr>
            <w:r w:rsidRPr="0073650A">
              <w:rPr>
                <w:rFonts w:ascii="Arial Narrow" w:eastAsia="Aptos" w:hAnsi="Arial Narrow"/>
                <w:color w:val="000000" w:themeColor="text1"/>
                <w:sz w:val="20"/>
                <w:szCs w:val="20"/>
                <w:lang w:eastAsia="en-US"/>
              </w:rPr>
              <w:t xml:space="preserve">Patient must not have achieved adequate control with at least 3 months of an optimised triple inhaler therapy consisting of: (i) </w:t>
            </w:r>
            <w:r w:rsidRPr="0073650A">
              <w:rPr>
                <w:rFonts w:ascii="Arial Narrow" w:hAnsi="Arial Narrow"/>
                <w:color w:val="000000" w:themeColor="text1"/>
                <w:sz w:val="20"/>
                <w:szCs w:val="20"/>
              </w:rPr>
              <w:t xml:space="preserve">long-acting muscarinic antagonist (LAMA), (ii) a long-acting beta-2 agonist (LABA), (iii) an inhaled corticosteroid (ICS), </w:t>
            </w:r>
            <w:r w:rsidRPr="0073650A">
              <w:rPr>
                <w:rFonts w:ascii="Arial Narrow" w:eastAsia="Aptos" w:hAnsi="Arial Narrow"/>
                <w:color w:val="000000" w:themeColor="text1"/>
                <w:sz w:val="20"/>
                <w:szCs w:val="20"/>
                <w:lang w:eastAsia="en-US"/>
              </w:rPr>
              <w:t>despite formal assessment of and adherence to correct inhaler technique which has been documented in the patient’s medical records.</w:t>
            </w:r>
          </w:p>
        </w:tc>
      </w:tr>
      <w:tr w:rsidR="00CB26C7" w:rsidRPr="00964DA0" w14:paraId="70ADF764" w14:textId="77777777" w:rsidTr="00CB26C7">
        <w:tblPrEx>
          <w:tblCellMar>
            <w:top w:w="15" w:type="dxa"/>
            <w:left w:w="15" w:type="dxa"/>
            <w:bottom w:w="15" w:type="dxa"/>
            <w:right w:w="15" w:type="dxa"/>
          </w:tblCellMar>
          <w:tblLook w:val="04A0" w:firstRow="1" w:lastRow="0" w:firstColumn="1" w:lastColumn="0" w:noHBand="0" w:noVBand="1"/>
        </w:tblPrEx>
        <w:tc>
          <w:tcPr>
            <w:tcW w:w="9356" w:type="dxa"/>
            <w:gridSpan w:val="6"/>
            <w:vAlign w:val="center"/>
          </w:tcPr>
          <w:p w14:paraId="2C8475F5" w14:textId="77777777" w:rsidR="00CB26C7" w:rsidRPr="0073650A" w:rsidRDefault="00CB26C7" w:rsidP="0073650A">
            <w:pPr>
              <w:spacing w:line="259" w:lineRule="auto"/>
              <w:jc w:val="left"/>
              <w:rPr>
                <w:rFonts w:ascii="Arial Narrow" w:hAnsi="Arial Narrow" w:cs="Times New Roman"/>
                <w:b/>
                <w:bCs/>
                <w:color w:val="000000" w:themeColor="text1"/>
                <w:kern w:val="2"/>
                <w:sz w:val="20"/>
                <w:szCs w:val="20"/>
                <w14:ligatures w14:val="standardContextual"/>
              </w:rPr>
            </w:pPr>
            <w:r w:rsidRPr="0073650A">
              <w:rPr>
                <w:rFonts w:ascii="Arial Narrow" w:hAnsi="Arial Narrow" w:cs="Times New Roman"/>
                <w:b/>
                <w:bCs/>
                <w:color w:val="000000" w:themeColor="text1"/>
                <w:kern w:val="2"/>
                <w:sz w:val="20"/>
                <w:szCs w:val="20"/>
                <w14:ligatures w14:val="standardContextual"/>
              </w:rPr>
              <w:t>AND</w:t>
            </w:r>
          </w:p>
        </w:tc>
      </w:tr>
      <w:tr w:rsidR="00CB26C7" w:rsidRPr="00964DA0" w14:paraId="50549D1D" w14:textId="77777777" w:rsidTr="00CB26C7">
        <w:tblPrEx>
          <w:tblCellMar>
            <w:top w:w="15" w:type="dxa"/>
            <w:left w:w="15" w:type="dxa"/>
            <w:bottom w:w="15" w:type="dxa"/>
            <w:right w:w="15" w:type="dxa"/>
          </w:tblCellMar>
          <w:tblLook w:val="04A0" w:firstRow="1" w:lastRow="0" w:firstColumn="1" w:lastColumn="0" w:noHBand="0" w:noVBand="1"/>
        </w:tblPrEx>
        <w:tc>
          <w:tcPr>
            <w:tcW w:w="9356" w:type="dxa"/>
            <w:gridSpan w:val="6"/>
            <w:vAlign w:val="center"/>
          </w:tcPr>
          <w:p w14:paraId="4ABD0423" w14:textId="77777777" w:rsidR="00CB26C7" w:rsidRPr="0073650A" w:rsidRDefault="00CB26C7" w:rsidP="0073650A">
            <w:pPr>
              <w:spacing w:line="259" w:lineRule="auto"/>
              <w:jc w:val="left"/>
              <w:rPr>
                <w:rFonts w:ascii="Arial Narrow" w:hAnsi="Arial Narrow" w:cs="Times New Roman"/>
                <w:color w:val="000000" w:themeColor="text1"/>
                <w:kern w:val="2"/>
                <w:sz w:val="20"/>
                <w:szCs w:val="20"/>
                <w14:ligatures w14:val="standardContextual"/>
              </w:rPr>
            </w:pPr>
            <w:r w:rsidRPr="0073650A">
              <w:rPr>
                <w:rFonts w:ascii="Arial Narrow" w:hAnsi="Arial Narrow" w:cs="Times New Roman"/>
                <w:b/>
                <w:bCs/>
                <w:color w:val="000000" w:themeColor="text1"/>
                <w:kern w:val="2"/>
                <w:sz w:val="20"/>
                <w:szCs w:val="20"/>
                <w14:ligatures w14:val="standardContextual"/>
              </w:rPr>
              <w:t>Clinical criteria:</w:t>
            </w:r>
          </w:p>
        </w:tc>
      </w:tr>
      <w:tr w:rsidR="00CB26C7" w:rsidRPr="00964DA0" w14:paraId="4F8E272F" w14:textId="77777777" w:rsidTr="00CB26C7">
        <w:tblPrEx>
          <w:tblCellMar>
            <w:top w:w="15" w:type="dxa"/>
            <w:left w:w="15" w:type="dxa"/>
            <w:bottom w:w="15" w:type="dxa"/>
            <w:right w:w="15" w:type="dxa"/>
          </w:tblCellMar>
          <w:tblLook w:val="04A0" w:firstRow="1" w:lastRow="0" w:firstColumn="1" w:lastColumn="0" w:noHBand="0" w:noVBand="1"/>
        </w:tblPrEx>
        <w:tc>
          <w:tcPr>
            <w:tcW w:w="9356" w:type="dxa"/>
            <w:gridSpan w:val="6"/>
            <w:vAlign w:val="center"/>
            <w:hideMark/>
          </w:tcPr>
          <w:p w14:paraId="2AB72834" w14:textId="77777777" w:rsidR="00CB26C7" w:rsidRPr="0073650A" w:rsidRDefault="00CB26C7" w:rsidP="0073650A">
            <w:pPr>
              <w:jc w:val="left"/>
              <w:rPr>
                <w:rFonts w:ascii="Arial Narrow" w:hAnsi="Arial Narrow" w:cs="Times New Roman"/>
                <w:color w:val="000000" w:themeColor="text1"/>
                <w:kern w:val="2"/>
                <w:sz w:val="20"/>
                <w:szCs w:val="20"/>
                <w14:ligatures w14:val="standardContextual"/>
              </w:rPr>
            </w:pPr>
            <w:r w:rsidRPr="0073650A">
              <w:rPr>
                <w:rFonts w:ascii="Arial Narrow" w:hAnsi="Arial Narrow" w:cs="Times New Roman"/>
                <w:color w:val="000000" w:themeColor="text1"/>
                <w:kern w:val="2"/>
                <w:sz w:val="20"/>
                <w:szCs w:val="20"/>
                <w14:ligatures w14:val="standardContextual"/>
              </w:rPr>
              <w:t>Patient must have experienced at least one severe COPD exacerbation, or at least two moderate COPD exacerbations in the 12 months prior to commencing treatment with this drug in this treatment cycle.</w:t>
            </w:r>
          </w:p>
        </w:tc>
      </w:tr>
      <w:tr w:rsidR="00CB26C7" w:rsidRPr="00964DA0" w14:paraId="24F80440" w14:textId="77777777" w:rsidTr="00CB26C7">
        <w:tblPrEx>
          <w:tblCellMar>
            <w:top w:w="15" w:type="dxa"/>
            <w:left w:w="15" w:type="dxa"/>
            <w:bottom w:w="15" w:type="dxa"/>
            <w:right w:w="15" w:type="dxa"/>
          </w:tblCellMar>
          <w:tblLook w:val="04A0" w:firstRow="1" w:lastRow="0" w:firstColumn="1" w:lastColumn="0" w:noHBand="0" w:noVBand="1"/>
        </w:tblPrEx>
        <w:tc>
          <w:tcPr>
            <w:tcW w:w="9356" w:type="dxa"/>
            <w:gridSpan w:val="6"/>
            <w:vAlign w:val="center"/>
          </w:tcPr>
          <w:p w14:paraId="69A61EC9" w14:textId="77777777" w:rsidR="00CB26C7" w:rsidRPr="0073650A" w:rsidRDefault="00CB26C7" w:rsidP="0073650A">
            <w:pPr>
              <w:spacing w:line="259" w:lineRule="auto"/>
              <w:jc w:val="left"/>
              <w:rPr>
                <w:rFonts w:ascii="Arial Narrow" w:hAnsi="Arial Narrow" w:cs="Times New Roman"/>
                <w:b/>
                <w:bCs/>
                <w:color w:val="000000" w:themeColor="text1"/>
                <w:kern w:val="2"/>
                <w:sz w:val="20"/>
                <w:szCs w:val="20"/>
                <w14:ligatures w14:val="standardContextual"/>
              </w:rPr>
            </w:pPr>
            <w:r w:rsidRPr="0073650A">
              <w:rPr>
                <w:rFonts w:ascii="Arial Narrow" w:hAnsi="Arial Narrow" w:cs="Times New Roman"/>
                <w:b/>
                <w:bCs/>
                <w:color w:val="000000" w:themeColor="text1"/>
                <w:kern w:val="2"/>
                <w:sz w:val="20"/>
                <w:szCs w:val="20"/>
                <w14:ligatures w14:val="standardContextual"/>
              </w:rPr>
              <w:t>AND</w:t>
            </w:r>
          </w:p>
        </w:tc>
      </w:tr>
      <w:tr w:rsidR="00CB26C7" w:rsidRPr="00964DA0" w14:paraId="2234CB14" w14:textId="77777777" w:rsidTr="00CB26C7">
        <w:tblPrEx>
          <w:tblCellMar>
            <w:top w:w="15" w:type="dxa"/>
            <w:left w:w="15" w:type="dxa"/>
            <w:bottom w:w="15" w:type="dxa"/>
            <w:right w:w="15" w:type="dxa"/>
          </w:tblCellMar>
          <w:tblLook w:val="04A0" w:firstRow="1" w:lastRow="0" w:firstColumn="1" w:lastColumn="0" w:noHBand="0" w:noVBand="1"/>
        </w:tblPrEx>
        <w:tc>
          <w:tcPr>
            <w:tcW w:w="9356" w:type="dxa"/>
            <w:gridSpan w:val="6"/>
            <w:vAlign w:val="center"/>
            <w:hideMark/>
          </w:tcPr>
          <w:p w14:paraId="615F5B0C" w14:textId="77777777" w:rsidR="00CB26C7" w:rsidRPr="0073650A" w:rsidRDefault="00CB26C7" w:rsidP="00091B45">
            <w:pPr>
              <w:spacing w:line="259" w:lineRule="auto"/>
              <w:jc w:val="left"/>
              <w:rPr>
                <w:rFonts w:ascii="Arial Narrow" w:hAnsi="Arial Narrow" w:cs="Times New Roman"/>
                <w:color w:val="000000" w:themeColor="text1"/>
                <w:kern w:val="2"/>
                <w:sz w:val="20"/>
                <w:szCs w:val="20"/>
                <w14:ligatures w14:val="standardContextual"/>
              </w:rPr>
            </w:pPr>
            <w:r w:rsidRPr="0073650A">
              <w:rPr>
                <w:rFonts w:ascii="Arial Narrow" w:hAnsi="Arial Narrow" w:cs="Times New Roman"/>
                <w:b/>
                <w:bCs/>
                <w:color w:val="000000" w:themeColor="text1"/>
                <w:kern w:val="2"/>
                <w:sz w:val="20"/>
                <w:szCs w:val="20"/>
                <w14:ligatures w14:val="standardContextual"/>
              </w:rPr>
              <w:t>Clinical criteria:</w:t>
            </w:r>
          </w:p>
        </w:tc>
      </w:tr>
      <w:tr w:rsidR="00CB26C7" w:rsidRPr="00964DA0" w14:paraId="2ED918CE" w14:textId="77777777" w:rsidTr="00CB26C7">
        <w:tblPrEx>
          <w:tblCellMar>
            <w:top w:w="15" w:type="dxa"/>
            <w:left w:w="15" w:type="dxa"/>
            <w:bottom w:w="15" w:type="dxa"/>
            <w:right w:w="15" w:type="dxa"/>
          </w:tblCellMar>
          <w:tblLook w:val="04A0" w:firstRow="1" w:lastRow="0" w:firstColumn="1" w:lastColumn="0" w:noHBand="0" w:noVBand="1"/>
        </w:tblPrEx>
        <w:tc>
          <w:tcPr>
            <w:tcW w:w="9356" w:type="dxa"/>
            <w:gridSpan w:val="6"/>
            <w:vAlign w:val="center"/>
          </w:tcPr>
          <w:p w14:paraId="135B40FE" w14:textId="5C8C00B9" w:rsidR="00CB26C7" w:rsidRPr="0073650A" w:rsidRDefault="00CB26C7" w:rsidP="00091B45">
            <w:pPr>
              <w:spacing w:line="259" w:lineRule="auto"/>
              <w:jc w:val="left"/>
              <w:rPr>
                <w:rFonts w:ascii="Arial Narrow" w:hAnsi="Arial Narrow" w:cs="Times New Roman"/>
                <w:color w:val="000000" w:themeColor="text1"/>
                <w:kern w:val="2"/>
                <w:sz w:val="20"/>
                <w:szCs w:val="20"/>
                <w14:ligatures w14:val="standardContextual"/>
              </w:rPr>
            </w:pPr>
            <w:r w:rsidRPr="0073650A">
              <w:rPr>
                <w:rFonts w:ascii="Arial Narrow" w:hAnsi="Arial Narrow" w:cs="Times New Roman"/>
                <w:color w:val="000000" w:themeColor="text1"/>
                <w:kern w:val="2"/>
                <w:sz w:val="20"/>
                <w:szCs w:val="20"/>
                <w14:ligatures w14:val="standardContextual"/>
              </w:rPr>
              <w:t xml:space="preserve">The treatment must be in combination with </w:t>
            </w:r>
            <w:proofErr w:type="gramStart"/>
            <w:r w:rsidRPr="0073650A">
              <w:rPr>
                <w:rFonts w:ascii="Arial Narrow" w:hAnsi="Arial Narrow" w:cs="Times New Roman"/>
                <w:color w:val="000000" w:themeColor="text1"/>
                <w:kern w:val="2"/>
                <w:sz w:val="20"/>
                <w:szCs w:val="20"/>
                <w14:ligatures w14:val="standardContextual"/>
              </w:rPr>
              <w:t>all of</w:t>
            </w:r>
            <w:proofErr w:type="gramEnd"/>
            <w:r w:rsidRPr="0073650A">
              <w:rPr>
                <w:rFonts w:ascii="Arial Narrow" w:hAnsi="Arial Narrow" w:cs="Times New Roman"/>
                <w:color w:val="000000" w:themeColor="text1"/>
                <w:kern w:val="2"/>
                <w:sz w:val="20"/>
                <w:szCs w:val="20"/>
                <w14:ligatures w14:val="standardContextual"/>
              </w:rPr>
              <w:t xml:space="preserve"> (i) LAMA, (ii) LABA, (iii) ICS in an optimised</w:t>
            </w:r>
            <w:r w:rsidRPr="0073650A">
              <w:rPr>
                <w:rFonts w:ascii="Arial Narrow" w:eastAsia="Aptos" w:hAnsi="Arial Narrow"/>
                <w:color w:val="000000" w:themeColor="text1"/>
                <w:sz w:val="20"/>
                <w:szCs w:val="20"/>
                <w:lang w:eastAsia="en-US"/>
              </w:rPr>
              <w:t xml:space="preserve"> triple inhaler therapy</w:t>
            </w:r>
          </w:p>
        </w:tc>
      </w:tr>
      <w:tr w:rsidR="00CB26C7" w:rsidRPr="00964DA0" w14:paraId="40DDECDD" w14:textId="77777777" w:rsidTr="00CB26C7">
        <w:tblPrEx>
          <w:tblCellMar>
            <w:top w:w="15" w:type="dxa"/>
            <w:left w:w="15" w:type="dxa"/>
            <w:bottom w:w="15" w:type="dxa"/>
            <w:right w:w="15" w:type="dxa"/>
          </w:tblCellMar>
          <w:tblLook w:val="04A0" w:firstRow="1" w:lastRow="0" w:firstColumn="1" w:lastColumn="0" w:noHBand="0" w:noVBand="1"/>
        </w:tblPrEx>
        <w:tc>
          <w:tcPr>
            <w:tcW w:w="9356" w:type="dxa"/>
            <w:gridSpan w:val="6"/>
            <w:vAlign w:val="center"/>
          </w:tcPr>
          <w:p w14:paraId="6AC5C9DC" w14:textId="77777777" w:rsidR="00CB26C7" w:rsidRPr="0073650A" w:rsidRDefault="00CB26C7" w:rsidP="0073650A">
            <w:pPr>
              <w:spacing w:line="259" w:lineRule="auto"/>
              <w:jc w:val="left"/>
              <w:rPr>
                <w:rFonts w:ascii="Arial Narrow" w:hAnsi="Arial Narrow" w:cs="Times New Roman"/>
                <w:color w:val="000000" w:themeColor="text1"/>
                <w:kern w:val="2"/>
                <w:sz w:val="20"/>
                <w:szCs w:val="20"/>
                <w14:ligatures w14:val="standardContextual"/>
              </w:rPr>
            </w:pPr>
            <w:r w:rsidRPr="0073650A">
              <w:rPr>
                <w:rFonts w:ascii="Arial Narrow" w:hAnsi="Arial Narrow" w:cs="Times New Roman"/>
                <w:b/>
                <w:bCs/>
                <w:color w:val="000000" w:themeColor="text1"/>
                <w:kern w:val="2"/>
                <w:sz w:val="20"/>
                <w:szCs w:val="20"/>
                <w14:ligatures w14:val="standardContextual"/>
              </w:rPr>
              <w:t>AND</w:t>
            </w:r>
          </w:p>
        </w:tc>
      </w:tr>
      <w:tr w:rsidR="00CB26C7" w:rsidRPr="00964DA0" w14:paraId="3A810502" w14:textId="77777777" w:rsidTr="00CB26C7">
        <w:tblPrEx>
          <w:tblCellMar>
            <w:top w:w="15" w:type="dxa"/>
            <w:left w:w="15" w:type="dxa"/>
            <w:bottom w:w="15" w:type="dxa"/>
            <w:right w:w="15" w:type="dxa"/>
          </w:tblCellMar>
          <w:tblLook w:val="04A0" w:firstRow="1" w:lastRow="0" w:firstColumn="1" w:lastColumn="0" w:noHBand="0" w:noVBand="1"/>
        </w:tblPrEx>
        <w:tc>
          <w:tcPr>
            <w:tcW w:w="9356" w:type="dxa"/>
            <w:gridSpan w:val="6"/>
            <w:vAlign w:val="center"/>
          </w:tcPr>
          <w:p w14:paraId="2936E878" w14:textId="77777777" w:rsidR="00CB26C7" w:rsidRPr="0073650A" w:rsidRDefault="00CB26C7" w:rsidP="00091B45">
            <w:pPr>
              <w:spacing w:line="259" w:lineRule="auto"/>
              <w:jc w:val="left"/>
              <w:rPr>
                <w:rFonts w:ascii="Arial Narrow" w:hAnsi="Arial Narrow" w:cs="Times New Roman"/>
                <w:color w:val="000000" w:themeColor="text1"/>
                <w:kern w:val="2"/>
                <w:sz w:val="20"/>
                <w:szCs w:val="20"/>
                <w14:ligatures w14:val="standardContextual"/>
              </w:rPr>
            </w:pPr>
            <w:r w:rsidRPr="0073650A">
              <w:rPr>
                <w:rFonts w:ascii="Arial Narrow" w:hAnsi="Arial Narrow" w:cs="Times New Roman"/>
                <w:b/>
                <w:bCs/>
                <w:color w:val="000000" w:themeColor="text1"/>
                <w:kern w:val="2"/>
                <w:sz w:val="20"/>
                <w:szCs w:val="20"/>
                <w14:ligatures w14:val="standardContextual"/>
              </w:rPr>
              <w:t>Clinical criteria:</w:t>
            </w:r>
          </w:p>
        </w:tc>
      </w:tr>
      <w:tr w:rsidR="00CB26C7" w:rsidRPr="00964DA0" w14:paraId="1D0064AC" w14:textId="77777777" w:rsidTr="00CB26C7">
        <w:tblPrEx>
          <w:tblCellMar>
            <w:top w:w="15" w:type="dxa"/>
            <w:left w:w="15" w:type="dxa"/>
            <w:bottom w:w="15" w:type="dxa"/>
            <w:right w:w="15" w:type="dxa"/>
          </w:tblCellMar>
          <w:tblLook w:val="04A0" w:firstRow="1" w:lastRow="0" w:firstColumn="1" w:lastColumn="0" w:noHBand="0" w:noVBand="1"/>
        </w:tblPrEx>
        <w:tc>
          <w:tcPr>
            <w:tcW w:w="9356" w:type="dxa"/>
            <w:gridSpan w:val="6"/>
            <w:vAlign w:val="center"/>
          </w:tcPr>
          <w:p w14:paraId="4B15C3AB" w14:textId="355DCB5B" w:rsidR="00CB26C7" w:rsidRPr="0073650A" w:rsidRDefault="00CB26C7" w:rsidP="00091B45">
            <w:pPr>
              <w:spacing w:line="259" w:lineRule="auto"/>
              <w:jc w:val="left"/>
              <w:rPr>
                <w:rFonts w:ascii="Arial Narrow" w:hAnsi="Arial Narrow" w:cs="Times New Roman"/>
                <w:color w:val="000000" w:themeColor="text1"/>
                <w:kern w:val="2"/>
                <w:sz w:val="20"/>
                <w:szCs w:val="20"/>
                <w14:ligatures w14:val="standardContextual"/>
              </w:rPr>
            </w:pPr>
            <w:r w:rsidRPr="0073650A">
              <w:rPr>
                <w:rFonts w:ascii="Arial Narrow" w:eastAsia="Aptos" w:hAnsi="Arial Narrow" w:cs="Times New Roman"/>
                <w:color w:val="000000" w:themeColor="text1"/>
                <w:kern w:val="2"/>
                <w:sz w:val="20"/>
                <w:szCs w:val="20"/>
                <w:lang w:eastAsia="en-US"/>
                <w14:ligatures w14:val="standardContextual"/>
              </w:rPr>
              <w:t>The treatment must not be used in combination with and within 4 weeks of another PBS-subsidised biological medicine prescribed for any of: (i) nasal polyps, (ii) uncontrolled severe allergic asthma, (iii) uncontrolled severe asthma</w:t>
            </w:r>
            <w:r>
              <w:rPr>
                <w:rFonts w:ascii="Arial Narrow" w:eastAsia="Aptos" w:hAnsi="Arial Narrow" w:cs="Times New Roman"/>
                <w:color w:val="000000" w:themeColor="text1"/>
                <w:kern w:val="2"/>
                <w:sz w:val="20"/>
                <w:szCs w:val="20"/>
                <w:lang w:eastAsia="en-US"/>
                <w14:ligatures w14:val="standardContextual"/>
              </w:rPr>
              <w:t xml:space="preserve">, </w:t>
            </w:r>
            <w:r w:rsidRPr="00C0755A">
              <w:rPr>
                <w:rFonts w:ascii="Arial Narrow" w:hAnsi="Arial Narrow"/>
                <w:sz w:val="20"/>
                <w:szCs w:val="20"/>
              </w:rPr>
              <w:t>(</w:t>
            </w:r>
            <w:r w:rsidRPr="00C0755A">
              <w:rPr>
                <w:rFonts w:ascii="Arial Narrow" w:eastAsia="Arial Narrow" w:hAnsi="Arial Narrow" w:cs="Arial Narrow"/>
                <w:sz w:val="20"/>
                <w:szCs w:val="20"/>
              </w:rPr>
              <w:t>iv) uncontrolled chronic obstructive pulmonary disease.</w:t>
            </w:r>
            <w:r w:rsidRPr="00C0755A">
              <w:rPr>
                <w:rFonts w:ascii="Arial Narrow" w:hAnsi="Arial Narrow"/>
                <w:sz w:val="20"/>
                <w:szCs w:val="20"/>
              </w:rPr>
              <w:t xml:space="preserve"> </w:t>
            </w:r>
            <w:r w:rsidRPr="00C0755A">
              <w:rPr>
                <w:rFonts w:ascii="Arial Narrow" w:hAnsi="Arial Narrow"/>
                <w:snapToGrid w:val="0"/>
                <w:sz w:val="20"/>
                <w:szCs w:val="20"/>
              </w:rPr>
              <w:t> </w:t>
            </w:r>
            <w:r w:rsidRPr="00C0755A">
              <w:rPr>
                <w:rFonts w:ascii="Arial Narrow" w:hAnsi="Arial Narrow"/>
                <w:bCs/>
                <w:snapToGrid w:val="0"/>
                <w:sz w:val="20"/>
                <w:szCs w:val="20"/>
              </w:rPr>
              <w:t> </w:t>
            </w:r>
            <w:r w:rsidRPr="00C0755A">
              <w:rPr>
                <w:rFonts w:ascii="Arial Narrow" w:eastAsia="Aptos" w:hAnsi="Arial Narrow" w:cs="Times New Roman"/>
                <w:kern w:val="2"/>
                <w:sz w:val="20"/>
                <w:szCs w:val="20"/>
                <w:lang w:eastAsia="en-US"/>
                <w14:ligatures w14:val="standardContextual"/>
              </w:rPr>
              <w:t xml:space="preserve"> </w:t>
            </w:r>
          </w:p>
        </w:tc>
      </w:tr>
      <w:tr w:rsidR="00CB26C7" w:rsidRPr="00964DA0" w14:paraId="0B08622B" w14:textId="77777777" w:rsidTr="00CB26C7">
        <w:tblPrEx>
          <w:tblCellMar>
            <w:top w:w="15" w:type="dxa"/>
            <w:left w:w="15" w:type="dxa"/>
            <w:bottom w:w="15" w:type="dxa"/>
            <w:right w:w="15" w:type="dxa"/>
          </w:tblCellMar>
          <w:tblLook w:val="04A0" w:firstRow="1" w:lastRow="0" w:firstColumn="1" w:lastColumn="0" w:noHBand="0" w:noVBand="1"/>
        </w:tblPrEx>
        <w:tc>
          <w:tcPr>
            <w:tcW w:w="9356" w:type="dxa"/>
            <w:gridSpan w:val="6"/>
            <w:vAlign w:val="center"/>
          </w:tcPr>
          <w:p w14:paraId="5A2CFD90" w14:textId="77777777" w:rsidR="00CB26C7" w:rsidRPr="0073650A" w:rsidRDefault="00CB26C7" w:rsidP="0073650A">
            <w:pPr>
              <w:spacing w:line="259" w:lineRule="auto"/>
              <w:jc w:val="left"/>
              <w:rPr>
                <w:rFonts w:ascii="Arial Narrow" w:eastAsia="Aptos" w:hAnsi="Arial Narrow" w:cs="Times New Roman"/>
                <w:color w:val="000000" w:themeColor="text1"/>
                <w:kern w:val="2"/>
                <w:sz w:val="20"/>
                <w:szCs w:val="20"/>
                <w:lang w:eastAsia="en-US"/>
                <w14:ligatures w14:val="standardContextual"/>
              </w:rPr>
            </w:pPr>
            <w:r w:rsidRPr="0073650A">
              <w:rPr>
                <w:rFonts w:ascii="Arial Narrow" w:hAnsi="Arial Narrow" w:cs="Times New Roman"/>
                <w:b/>
                <w:bCs/>
                <w:color w:val="000000" w:themeColor="text1"/>
                <w:kern w:val="2"/>
                <w:sz w:val="20"/>
                <w:szCs w:val="20"/>
                <w14:ligatures w14:val="standardContextual"/>
              </w:rPr>
              <w:t>AND</w:t>
            </w:r>
          </w:p>
        </w:tc>
      </w:tr>
      <w:tr w:rsidR="00CB26C7" w:rsidRPr="00964DA0" w14:paraId="1F64752C" w14:textId="77777777" w:rsidTr="00CB26C7">
        <w:tblPrEx>
          <w:tblCellMar>
            <w:top w:w="15" w:type="dxa"/>
            <w:left w:w="15" w:type="dxa"/>
            <w:bottom w:w="15" w:type="dxa"/>
            <w:right w:w="15" w:type="dxa"/>
          </w:tblCellMar>
          <w:tblLook w:val="04A0" w:firstRow="1" w:lastRow="0" w:firstColumn="1" w:lastColumn="0" w:noHBand="0" w:noVBand="1"/>
        </w:tblPrEx>
        <w:tc>
          <w:tcPr>
            <w:tcW w:w="9356" w:type="dxa"/>
            <w:gridSpan w:val="6"/>
            <w:vAlign w:val="center"/>
          </w:tcPr>
          <w:p w14:paraId="4340936C" w14:textId="77777777" w:rsidR="00CB26C7" w:rsidRPr="0073650A" w:rsidRDefault="00CB26C7" w:rsidP="0073650A">
            <w:pPr>
              <w:spacing w:line="259" w:lineRule="auto"/>
              <w:jc w:val="left"/>
              <w:rPr>
                <w:rFonts w:ascii="Arial Narrow" w:eastAsia="Aptos" w:hAnsi="Arial Narrow" w:cs="Times New Roman"/>
                <w:color w:val="000000" w:themeColor="text1"/>
                <w:kern w:val="2"/>
                <w:sz w:val="20"/>
                <w:szCs w:val="20"/>
                <w:lang w:eastAsia="en-US"/>
                <w14:ligatures w14:val="standardContextual"/>
              </w:rPr>
            </w:pPr>
            <w:r w:rsidRPr="0073650A">
              <w:rPr>
                <w:rFonts w:ascii="Arial Narrow" w:hAnsi="Arial Narrow" w:cs="Times New Roman"/>
                <w:b/>
                <w:bCs/>
                <w:color w:val="000000" w:themeColor="text1"/>
                <w:kern w:val="2"/>
                <w:sz w:val="20"/>
                <w:szCs w:val="20"/>
                <w14:ligatures w14:val="standardContextual"/>
              </w:rPr>
              <w:t>Clinical criteria:</w:t>
            </w:r>
          </w:p>
        </w:tc>
      </w:tr>
      <w:tr w:rsidR="00CB26C7" w:rsidRPr="00964DA0" w14:paraId="0EA091D6" w14:textId="77777777" w:rsidTr="00CB26C7">
        <w:tblPrEx>
          <w:tblCellMar>
            <w:top w:w="15" w:type="dxa"/>
            <w:left w:w="15" w:type="dxa"/>
            <w:bottom w:w="15" w:type="dxa"/>
            <w:right w:w="15" w:type="dxa"/>
          </w:tblCellMar>
          <w:tblLook w:val="04A0" w:firstRow="1" w:lastRow="0" w:firstColumn="1" w:lastColumn="0" w:noHBand="0" w:noVBand="1"/>
        </w:tblPrEx>
        <w:tc>
          <w:tcPr>
            <w:tcW w:w="9356" w:type="dxa"/>
            <w:gridSpan w:val="6"/>
            <w:vAlign w:val="center"/>
          </w:tcPr>
          <w:p w14:paraId="6A4FB35B" w14:textId="77777777" w:rsidR="00CB26C7" w:rsidRPr="0073650A" w:rsidRDefault="00CB26C7" w:rsidP="0073650A">
            <w:pPr>
              <w:spacing w:line="259" w:lineRule="auto"/>
              <w:jc w:val="left"/>
              <w:rPr>
                <w:rFonts w:ascii="Arial Narrow" w:eastAsia="Aptos" w:hAnsi="Arial Narrow" w:cs="Times New Roman"/>
                <w:color w:val="000000" w:themeColor="text1"/>
                <w:kern w:val="2"/>
                <w:sz w:val="20"/>
                <w:szCs w:val="20"/>
                <w:lang w:eastAsia="en-US"/>
                <w14:ligatures w14:val="standardContextual"/>
              </w:rPr>
            </w:pPr>
            <w:r w:rsidRPr="0073650A">
              <w:rPr>
                <w:rFonts w:ascii="Arial Narrow" w:hAnsi="Arial Narrow"/>
                <w:color w:val="000000" w:themeColor="text1"/>
                <w:sz w:val="20"/>
                <w:szCs w:val="20"/>
              </w:rPr>
              <w:t>Patient must not receive more than 28 weeks of treatment under this restriction</w:t>
            </w:r>
          </w:p>
        </w:tc>
      </w:tr>
      <w:tr w:rsidR="00CB26C7" w:rsidRPr="00964DA0" w14:paraId="6A5FC4CE" w14:textId="77777777" w:rsidTr="00CB26C7">
        <w:tblPrEx>
          <w:tblCellMar>
            <w:top w:w="15" w:type="dxa"/>
            <w:left w:w="15" w:type="dxa"/>
            <w:bottom w:w="15" w:type="dxa"/>
            <w:right w:w="15" w:type="dxa"/>
          </w:tblCellMar>
          <w:tblLook w:val="04A0" w:firstRow="1" w:lastRow="0" w:firstColumn="1" w:lastColumn="0" w:noHBand="0" w:noVBand="1"/>
        </w:tblPrEx>
        <w:tc>
          <w:tcPr>
            <w:tcW w:w="9356" w:type="dxa"/>
            <w:gridSpan w:val="6"/>
            <w:vAlign w:val="center"/>
          </w:tcPr>
          <w:p w14:paraId="58FFDA1F" w14:textId="77777777" w:rsidR="00CB26C7" w:rsidRPr="0073650A" w:rsidRDefault="00CB26C7" w:rsidP="0073650A">
            <w:pPr>
              <w:spacing w:line="259" w:lineRule="auto"/>
              <w:jc w:val="left"/>
              <w:rPr>
                <w:rFonts w:ascii="Arial Narrow" w:hAnsi="Arial Narrow" w:cs="Times New Roman"/>
                <w:color w:val="000000" w:themeColor="text1"/>
                <w:kern w:val="2"/>
                <w:sz w:val="20"/>
                <w:szCs w:val="20"/>
                <w14:ligatures w14:val="standardContextual"/>
              </w:rPr>
            </w:pPr>
            <w:r w:rsidRPr="0073650A">
              <w:rPr>
                <w:rFonts w:ascii="Arial Narrow" w:hAnsi="Arial Narrow" w:cs="Times New Roman"/>
                <w:b/>
                <w:bCs/>
                <w:color w:val="000000" w:themeColor="text1"/>
                <w:kern w:val="2"/>
                <w:sz w:val="20"/>
                <w:szCs w:val="20"/>
                <w14:ligatures w14:val="standardContextual"/>
              </w:rPr>
              <w:t>Treatment criteria:</w:t>
            </w:r>
          </w:p>
        </w:tc>
      </w:tr>
      <w:tr w:rsidR="00CB26C7" w:rsidRPr="00964DA0" w14:paraId="403C6670" w14:textId="77777777" w:rsidTr="00CB26C7">
        <w:tblPrEx>
          <w:tblCellMar>
            <w:top w:w="15" w:type="dxa"/>
            <w:left w:w="15" w:type="dxa"/>
            <w:bottom w:w="15" w:type="dxa"/>
            <w:right w:w="15" w:type="dxa"/>
          </w:tblCellMar>
          <w:tblLook w:val="04A0" w:firstRow="1" w:lastRow="0" w:firstColumn="1" w:lastColumn="0" w:noHBand="0" w:noVBand="1"/>
        </w:tblPrEx>
        <w:tc>
          <w:tcPr>
            <w:tcW w:w="9356" w:type="dxa"/>
            <w:gridSpan w:val="6"/>
            <w:vAlign w:val="center"/>
            <w:hideMark/>
          </w:tcPr>
          <w:p w14:paraId="6F739588" w14:textId="69EE139D" w:rsidR="00CB26C7" w:rsidRPr="0073650A" w:rsidRDefault="00CB26C7" w:rsidP="0073650A">
            <w:pPr>
              <w:spacing w:line="259" w:lineRule="auto"/>
              <w:jc w:val="left"/>
              <w:rPr>
                <w:rFonts w:ascii="Arial Narrow" w:eastAsia="Aptos" w:hAnsi="Arial Narrow" w:cs="Arial Narrow"/>
                <w:i/>
                <w:iCs/>
                <w:color w:val="000000" w:themeColor="text1"/>
                <w:kern w:val="2"/>
                <w:sz w:val="20"/>
                <w:szCs w:val="20"/>
                <w:lang w:eastAsia="en-US"/>
                <w14:ligatures w14:val="standardContextual"/>
              </w:rPr>
            </w:pPr>
            <w:r w:rsidRPr="0073650A">
              <w:rPr>
                <w:rFonts w:ascii="Arial Narrow" w:hAnsi="Arial Narrow" w:cs="Times New Roman"/>
                <w:color w:val="000000" w:themeColor="text1"/>
                <w:kern w:val="2"/>
                <w:sz w:val="20"/>
                <w:szCs w:val="20"/>
                <w14:ligatures w14:val="standardContextual"/>
              </w:rPr>
              <w:t>Must be treated by a medical practitioner who is either a (i) respiratory physician, (ii) general physician experienced in the management of patients with this condition.</w:t>
            </w:r>
          </w:p>
        </w:tc>
      </w:tr>
      <w:tr w:rsidR="00CB26C7" w:rsidRPr="00964DA0" w14:paraId="7CD990CB" w14:textId="77777777" w:rsidTr="00CB26C7">
        <w:tblPrEx>
          <w:tblCellMar>
            <w:top w:w="15" w:type="dxa"/>
            <w:left w:w="15" w:type="dxa"/>
            <w:bottom w:w="15" w:type="dxa"/>
            <w:right w:w="15" w:type="dxa"/>
          </w:tblCellMar>
          <w:tblLook w:val="04A0" w:firstRow="1" w:lastRow="0" w:firstColumn="1" w:lastColumn="0" w:noHBand="0" w:noVBand="1"/>
        </w:tblPrEx>
        <w:tc>
          <w:tcPr>
            <w:tcW w:w="9356" w:type="dxa"/>
            <w:gridSpan w:val="6"/>
            <w:vAlign w:val="center"/>
          </w:tcPr>
          <w:p w14:paraId="78BF9E56" w14:textId="77777777" w:rsidR="00CB26C7" w:rsidRPr="0073650A" w:rsidRDefault="00CB26C7" w:rsidP="0073650A">
            <w:pPr>
              <w:spacing w:line="259" w:lineRule="auto"/>
              <w:jc w:val="left"/>
              <w:rPr>
                <w:rFonts w:ascii="Arial Narrow" w:hAnsi="Arial Narrow" w:cs="Times New Roman"/>
                <w:color w:val="000000" w:themeColor="text1"/>
                <w:kern w:val="2"/>
                <w:sz w:val="20"/>
                <w:szCs w:val="20"/>
                <w14:ligatures w14:val="standardContextual"/>
              </w:rPr>
            </w:pPr>
            <w:r w:rsidRPr="0073650A">
              <w:rPr>
                <w:rFonts w:ascii="Arial Narrow" w:hAnsi="Arial Narrow" w:cs="Times New Roman"/>
                <w:b/>
                <w:bCs/>
                <w:color w:val="000000" w:themeColor="text1"/>
                <w:kern w:val="2"/>
                <w:sz w:val="20"/>
                <w:szCs w:val="20"/>
                <w14:ligatures w14:val="standardContextual"/>
              </w:rPr>
              <w:t>Prescribing Instructions:</w:t>
            </w:r>
            <w:r w:rsidRPr="0073650A">
              <w:rPr>
                <w:rFonts w:ascii="Arial Narrow" w:hAnsi="Arial Narrow" w:cs="Times New Roman"/>
                <w:color w:val="000000" w:themeColor="text1"/>
                <w:kern w:val="2"/>
                <w:sz w:val="20"/>
                <w:szCs w:val="20"/>
                <w14:ligatures w14:val="standardContextual"/>
              </w:rPr>
              <w:t xml:space="preserve"> </w:t>
            </w:r>
          </w:p>
          <w:p w14:paraId="6A2A464C" w14:textId="77777777" w:rsidR="00CB26C7" w:rsidRPr="0073650A" w:rsidRDefault="00CB26C7" w:rsidP="0073650A">
            <w:pPr>
              <w:spacing w:line="259" w:lineRule="auto"/>
              <w:jc w:val="left"/>
              <w:rPr>
                <w:rFonts w:ascii="Arial Narrow" w:hAnsi="Arial Narrow" w:cs="Times New Roman"/>
                <w:color w:val="000000" w:themeColor="text1"/>
                <w:kern w:val="2"/>
                <w:sz w:val="20"/>
                <w:szCs w:val="20"/>
                <w14:ligatures w14:val="standardContextual"/>
              </w:rPr>
            </w:pPr>
            <w:proofErr w:type="gramStart"/>
            <w:r w:rsidRPr="0073650A">
              <w:rPr>
                <w:rFonts w:ascii="Arial Narrow" w:hAnsi="Arial Narrow" w:cs="Times New Roman"/>
                <w:color w:val="000000" w:themeColor="text1"/>
                <w:kern w:val="2"/>
                <w:sz w:val="20"/>
                <w:szCs w:val="20"/>
                <w14:ligatures w14:val="standardContextual"/>
              </w:rPr>
              <w:t>For the purpose of</w:t>
            </w:r>
            <w:proofErr w:type="gramEnd"/>
            <w:r w:rsidRPr="0073650A">
              <w:rPr>
                <w:rFonts w:ascii="Arial Narrow" w:hAnsi="Arial Narrow" w:cs="Times New Roman"/>
                <w:color w:val="000000" w:themeColor="text1"/>
                <w:kern w:val="2"/>
                <w:sz w:val="20"/>
                <w:szCs w:val="20"/>
                <w14:ligatures w14:val="standardContextual"/>
              </w:rPr>
              <w:t xml:space="preserve"> administering this restriction, COPD exacerbations in the 12 months prior to starting treatment in this treatment cycle are defined as experiencing: </w:t>
            </w:r>
          </w:p>
          <w:p w14:paraId="72D7B197" w14:textId="1EBFD0E2" w:rsidR="00CB26C7" w:rsidRPr="0073650A" w:rsidRDefault="00CB26C7" w:rsidP="00E64392">
            <w:pPr>
              <w:numPr>
                <w:ilvl w:val="0"/>
                <w:numId w:val="15"/>
              </w:numPr>
              <w:spacing w:after="160" w:line="259" w:lineRule="auto"/>
              <w:contextualSpacing/>
              <w:jc w:val="left"/>
              <w:rPr>
                <w:rFonts w:ascii="Arial Narrow" w:hAnsi="Arial Narrow" w:cs="Times New Roman"/>
                <w:color w:val="000000" w:themeColor="text1"/>
                <w:kern w:val="2"/>
                <w:sz w:val="20"/>
                <w:szCs w:val="20"/>
                <w14:ligatures w14:val="standardContextual"/>
              </w:rPr>
            </w:pPr>
            <w:r w:rsidRPr="0073650A">
              <w:rPr>
                <w:rFonts w:ascii="Arial Narrow" w:hAnsi="Arial Narrow" w:cs="Times New Roman"/>
                <w:color w:val="000000" w:themeColor="text1"/>
                <w:kern w:val="2"/>
                <w:sz w:val="20"/>
                <w:szCs w:val="20"/>
                <w14:ligatures w14:val="standardContextual"/>
              </w:rPr>
              <w:t xml:space="preserve">at least 1 severe COPD exacerbation which required hospitalisation AND/OR </w:t>
            </w:r>
          </w:p>
          <w:p w14:paraId="57C4E1D8" w14:textId="3CB91A90" w:rsidR="00CB26C7" w:rsidRPr="0073650A" w:rsidRDefault="00CB26C7" w:rsidP="00E64392">
            <w:pPr>
              <w:numPr>
                <w:ilvl w:val="0"/>
                <w:numId w:val="15"/>
              </w:numPr>
              <w:spacing w:after="160" w:line="259" w:lineRule="auto"/>
              <w:contextualSpacing/>
              <w:jc w:val="left"/>
              <w:rPr>
                <w:rFonts w:ascii="Arial Narrow" w:hAnsi="Arial Narrow" w:cs="Times New Roman"/>
                <w:color w:val="000000" w:themeColor="text1"/>
                <w:kern w:val="2"/>
                <w:sz w:val="20"/>
                <w:szCs w:val="20"/>
                <w14:ligatures w14:val="standardContextual"/>
              </w:rPr>
            </w:pPr>
            <w:r w:rsidRPr="0073650A">
              <w:rPr>
                <w:rFonts w:ascii="Arial Narrow" w:hAnsi="Arial Narrow" w:cs="Times New Roman"/>
                <w:color w:val="000000" w:themeColor="text1"/>
                <w:kern w:val="2"/>
                <w:sz w:val="20"/>
                <w:szCs w:val="20"/>
                <w14:ligatures w14:val="standardContextual"/>
              </w:rPr>
              <w:t xml:space="preserve">2 or more moderate COPD exacerbations, of which at least: </w:t>
            </w:r>
          </w:p>
          <w:p w14:paraId="3718FC34" w14:textId="77777777" w:rsidR="00CB26C7" w:rsidRPr="0073650A" w:rsidRDefault="00CB26C7" w:rsidP="00E64392">
            <w:pPr>
              <w:numPr>
                <w:ilvl w:val="1"/>
                <w:numId w:val="15"/>
              </w:numPr>
              <w:spacing w:after="160" w:line="259" w:lineRule="auto"/>
              <w:contextualSpacing/>
              <w:jc w:val="left"/>
              <w:rPr>
                <w:rFonts w:ascii="Arial Narrow" w:hAnsi="Arial Narrow" w:cs="Times New Roman"/>
                <w:color w:val="000000" w:themeColor="text1"/>
                <w:kern w:val="2"/>
                <w:sz w:val="20"/>
                <w:szCs w:val="20"/>
                <w14:ligatures w14:val="standardContextual"/>
              </w:rPr>
            </w:pPr>
            <w:r w:rsidRPr="0073650A">
              <w:rPr>
                <w:rFonts w:ascii="Arial Narrow" w:hAnsi="Arial Narrow" w:cs="Times New Roman"/>
                <w:color w:val="000000" w:themeColor="text1"/>
                <w:kern w:val="2"/>
                <w:sz w:val="20"/>
                <w:szCs w:val="20"/>
                <w14:ligatures w14:val="standardContextual"/>
              </w:rPr>
              <w:t>one required treatment with systemic corticosteroids and</w:t>
            </w:r>
          </w:p>
          <w:p w14:paraId="54901D79" w14:textId="77777777" w:rsidR="00CB26C7" w:rsidRPr="0073650A" w:rsidRDefault="00CB26C7" w:rsidP="00E64392">
            <w:pPr>
              <w:numPr>
                <w:ilvl w:val="1"/>
                <w:numId w:val="15"/>
              </w:numPr>
              <w:spacing w:after="160" w:line="259" w:lineRule="auto"/>
              <w:contextualSpacing/>
              <w:jc w:val="left"/>
              <w:rPr>
                <w:rFonts w:ascii="Arial Narrow" w:hAnsi="Arial Narrow" w:cs="Times New Roman"/>
                <w:color w:val="000000" w:themeColor="text1"/>
                <w:kern w:val="2"/>
                <w:sz w:val="20"/>
                <w:szCs w:val="20"/>
                <w14:ligatures w14:val="standardContextual"/>
              </w:rPr>
            </w:pPr>
            <w:r w:rsidRPr="0073650A">
              <w:rPr>
                <w:rFonts w:ascii="Arial Narrow" w:hAnsi="Arial Narrow" w:cs="Times New Roman"/>
                <w:color w:val="000000" w:themeColor="text1"/>
                <w:kern w:val="2"/>
                <w:sz w:val="20"/>
                <w:szCs w:val="20"/>
                <w14:ligatures w14:val="standardContextual"/>
              </w:rPr>
              <w:t>one required treatment with systemic corticosteroids or antibiotics.</w:t>
            </w:r>
          </w:p>
          <w:p w14:paraId="37C788D8" w14:textId="1DAD2072" w:rsidR="00CB26C7" w:rsidRPr="0073650A" w:rsidRDefault="00CB26C7" w:rsidP="0073650A">
            <w:pPr>
              <w:jc w:val="left"/>
              <w:rPr>
                <w:rFonts w:ascii="Arial Narrow" w:hAnsi="Arial Narrow" w:cs="Times New Roman"/>
                <w:color w:val="000000" w:themeColor="text1"/>
                <w:kern w:val="2"/>
                <w:sz w:val="20"/>
                <w:szCs w:val="20"/>
                <w14:ligatures w14:val="standardContextual"/>
              </w:rPr>
            </w:pPr>
            <w:r w:rsidRPr="0073650A">
              <w:rPr>
                <w:rFonts w:ascii="Arial Narrow" w:hAnsi="Arial Narrow" w:cs="Times New Roman"/>
                <w:color w:val="000000" w:themeColor="text1"/>
                <w:kern w:val="2"/>
                <w:sz w:val="20"/>
                <w:szCs w:val="20"/>
                <w14:ligatures w14:val="standardContextual"/>
              </w:rPr>
              <w:t xml:space="preserve">At least one of the moderate or severe COPD exacerbations must have occurred while the patient was taking </w:t>
            </w:r>
            <w:proofErr w:type="gramStart"/>
            <w:r w:rsidRPr="0073650A">
              <w:rPr>
                <w:rFonts w:ascii="Arial Narrow" w:hAnsi="Arial Narrow" w:cs="Times New Roman"/>
                <w:color w:val="000000" w:themeColor="text1"/>
                <w:kern w:val="2"/>
                <w:sz w:val="20"/>
                <w:szCs w:val="20"/>
                <w14:ligatures w14:val="standardContextual"/>
              </w:rPr>
              <w:t>all of</w:t>
            </w:r>
            <w:proofErr w:type="gramEnd"/>
            <w:r w:rsidRPr="0073650A">
              <w:rPr>
                <w:rFonts w:ascii="Arial Narrow" w:hAnsi="Arial Narrow" w:cs="Times New Roman"/>
                <w:color w:val="000000" w:themeColor="text1"/>
                <w:kern w:val="2"/>
                <w:sz w:val="20"/>
                <w:szCs w:val="20"/>
                <w14:ligatures w14:val="standardContextual"/>
              </w:rPr>
              <w:t xml:space="preserve"> (i) LAMA, (ii) LABA, and (iii) ICS in an optimised</w:t>
            </w:r>
            <w:r w:rsidRPr="0073650A">
              <w:rPr>
                <w:rFonts w:ascii="Arial Narrow" w:eastAsia="Aptos" w:hAnsi="Arial Narrow"/>
                <w:color w:val="000000" w:themeColor="text1"/>
                <w:sz w:val="20"/>
                <w:szCs w:val="20"/>
                <w:lang w:eastAsia="en-US"/>
              </w:rPr>
              <w:t xml:space="preserve"> triple inhaler therapy</w:t>
            </w:r>
            <w:r w:rsidRPr="0073650A">
              <w:rPr>
                <w:rFonts w:ascii="Arial Narrow" w:hAnsi="Arial Narrow" w:cs="Times New Roman"/>
                <w:color w:val="000000" w:themeColor="text1"/>
                <w:kern w:val="2"/>
                <w:sz w:val="20"/>
                <w:szCs w:val="20"/>
                <w14:ligatures w14:val="standardContextual"/>
              </w:rPr>
              <w:t xml:space="preserve">. </w:t>
            </w:r>
          </w:p>
        </w:tc>
      </w:tr>
      <w:tr w:rsidR="00CB26C7" w:rsidRPr="00964DA0" w14:paraId="329FF731" w14:textId="77777777" w:rsidTr="00CB26C7">
        <w:tblPrEx>
          <w:tblCellMar>
            <w:top w:w="15" w:type="dxa"/>
            <w:left w:w="15" w:type="dxa"/>
            <w:bottom w:w="15" w:type="dxa"/>
            <w:right w:w="15" w:type="dxa"/>
          </w:tblCellMar>
          <w:tblLook w:val="04A0" w:firstRow="1" w:lastRow="0" w:firstColumn="1" w:lastColumn="0" w:noHBand="0" w:noVBand="1"/>
        </w:tblPrEx>
        <w:tc>
          <w:tcPr>
            <w:tcW w:w="9356" w:type="dxa"/>
            <w:gridSpan w:val="6"/>
            <w:vAlign w:val="center"/>
            <w:hideMark/>
          </w:tcPr>
          <w:p w14:paraId="76161B0A" w14:textId="77777777" w:rsidR="00CB26C7" w:rsidRPr="0073650A" w:rsidRDefault="00CB26C7" w:rsidP="0073650A">
            <w:pPr>
              <w:spacing w:line="259" w:lineRule="auto"/>
              <w:jc w:val="left"/>
              <w:rPr>
                <w:rFonts w:ascii="Arial Narrow" w:hAnsi="Arial Narrow" w:cs="Times New Roman"/>
                <w:color w:val="000000" w:themeColor="text1"/>
                <w:kern w:val="2"/>
                <w:sz w:val="20"/>
                <w:szCs w:val="20"/>
                <w14:ligatures w14:val="standardContextual"/>
              </w:rPr>
            </w:pPr>
            <w:r w:rsidRPr="0073650A">
              <w:rPr>
                <w:rFonts w:ascii="Arial Narrow" w:hAnsi="Arial Narrow" w:cs="Times New Roman"/>
                <w:b/>
                <w:bCs/>
                <w:color w:val="000000" w:themeColor="text1"/>
                <w:kern w:val="2"/>
                <w:sz w:val="20"/>
                <w:szCs w:val="20"/>
                <w14:ligatures w14:val="standardContextual"/>
              </w:rPr>
              <w:t>Prescribing Instructions:</w:t>
            </w:r>
            <w:r w:rsidRPr="0073650A">
              <w:rPr>
                <w:rFonts w:ascii="Arial Narrow" w:hAnsi="Arial Narrow" w:cs="Times New Roman"/>
                <w:color w:val="000000" w:themeColor="text1"/>
                <w:kern w:val="2"/>
                <w:sz w:val="20"/>
                <w:szCs w:val="20"/>
                <w14:ligatures w14:val="standardContextual"/>
              </w:rPr>
              <w:t xml:space="preserve"> </w:t>
            </w:r>
          </w:p>
          <w:p w14:paraId="49183CB4" w14:textId="77777777" w:rsidR="00CB26C7" w:rsidRPr="0073650A" w:rsidRDefault="00CB26C7" w:rsidP="0073650A">
            <w:pPr>
              <w:rPr>
                <w:rFonts w:ascii="Arial Narrow" w:hAnsi="Arial Narrow" w:cs="Times New Roman"/>
                <w:color w:val="000000" w:themeColor="text1"/>
                <w:kern w:val="2"/>
                <w:sz w:val="20"/>
                <w:szCs w:val="20"/>
                <w14:ligatures w14:val="standardContextual"/>
              </w:rPr>
            </w:pPr>
            <w:r w:rsidRPr="0073650A">
              <w:rPr>
                <w:rFonts w:ascii="Arial Narrow" w:hAnsi="Arial Narrow"/>
                <w:color w:val="000000" w:themeColor="text1"/>
                <w:sz w:val="20"/>
                <w:szCs w:val="20"/>
              </w:rPr>
              <w:t xml:space="preserve">The authority application must be via the Online PBS Authorities System, or in writing via HPOS form upload or mail and must include </w:t>
            </w:r>
            <w:r w:rsidRPr="0073650A">
              <w:rPr>
                <w:rFonts w:ascii="Arial Narrow" w:hAnsi="Arial Narrow" w:cs="Times New Roman"/>
                <w:color w:val="000000" w:themeColor="text1"/>
                <w:kern w:val="2"/>
                <w:sz w:val="20"/>
                <w:szCs w:val="20"/>
                <w14:ligatures w14:val="standardContextual"/>
              </w:rPr>
              <w:t>the following:</w:t>
            </w:r>
          </w:p>
          <w:p w14:paraId="41DDAFB7" w14:textId="77777777" w:rsidR="00CB26C7" w:rsidRPr="0073650A" w:rsidRDefault="00CB26C7" w:rsidP="00042FF4">
            <w:pPr>
              <w:pStyle w:val="ListParagraph"/>
              <w:numPr>
                <w:ilvl w:val="0"/>
                <w:numId w:val="17"/>
              </w:numPr>
              <w:spacing w:after="0"/>
              <w:contextualSpacing/>
              <w:rPr>
                <w:rFonts w:ascii="Arial Narrow" w:hAnsi="Arial Narrow" w:cs="Times New Roman"/>
                <w:color w:val="000000" w:themeColor="text1"/>
                <w:kern w:val="2"/>
                <w:sz w:val="20"/>
                <w:szCs w:val="20"/>
                <w14:ligatures w14:val="standardContextual"/>
              </w:rPr>
            </w:pPr>
            <w:r w:rsidRPr="0073650A">
              <w:rPr>
                <w:rFonts w:ascii="Arial Narrow" w:hAnsi="Arial Narrow" w:cs="Times New Roman"/>
                <w:color w:val="000000" w:themeColor="text1"/>
                <w:kern w:val="2"/>
                <w:sz w:val="20"/>
                <w:szCs w:val="20"/>
                <w14:ligatures w14:val="standardContextual"/>
              </w:rPr>
              <w:t xml:space="preserve">the blood eosinophil count and date; </w:t>
            </w:r>
          </w:p>
          <w:p w14:paraId="70AACFA7" w14:textId="77777777" w:rsidR="00CB26C7" w:rsidRPr="0073650A" w:rsidRDefault="00CB26C7" w:rsidP="00042FF4">
            <w:pPr>
              <w:numPr>
                <w:ilvl w:val="0"/>
                <w:numId w:val="17"/>
              </w:numPr>
              <w:spacing w:after="160" w:line="259" w:lineRule="auto"/>
              <w:contextualSpacing/>
              <w:jc w:val="left"/>
              <w:rPr>
                <w:rFonts w:ascii="Arial Narrow" w:hAnsi="Arial Narrow" w:cs="Times New Roman"/>
                <w:color w:val="000000" w:themeColor="text1"/>
                <w:kern w:val="2"/>
                <w:sz w:val="20"/>
                <w:szCs w:val="20"/>
                <w14:ligatures w14:val="standardContextual"/>
              </w:rPr>
            </w:pPr>
            <w:r w:rsidRPr="0073650A">
              <w:rPr>
                <w:rFonts w:ascii="Arial Narrow" w:hAnsi="Arial Narrow" w:cs="Times New Roman"/>
                <w:color w:val="000000" w:themeColor="text1"/>
                <w:kern w:val="2"/>
                <w:sz w:val="20"/>
                <w:szCs w:val="20"/>
                <w14:ligatures w14:val="standardContextual"/>
              </w:rPr>
              <w:t>details of the optimised triple inhaler therapy with the combination of LAMA, LABA and ICS (name of treatment, dosage, date of commencement, and duration of therapy); and</w:t>
            </w:r>
          </w:p>
          <w:p w14:paraId="63ED2124" w14:textId="77777777" w:rsidR="00CB26C7" w:rsidRPr="0073650A" w:rsidRDefault="00CB26C7" w:rsidP="00042FF4">
            <w:pPr>
              <w:numPr>
                <w:ilvl w:val="0"/>
                <w:numId w:val="17"/>
              </w:numPr>
              <w:spacing w:after="160" w:line="259" w:lineRule="auto"/>
              <w:contextualSpacing/>
              <w:jc w:val="left"/>
              <w:rPr>
                <w:rFonts w:ascii="Arial Narrow" w:hAnsi="Arial Narrow" w:cs="Times New Roman"/>
                <w:color w:val="000000" w:themeColor="text1"/>
                <w:kern w:val="2"/>
                <w:sz w:val="20"/>
                <w:szCs w:val="20"/>
                <w14:ligatures w14:val="standardContextual"/>
              </w:rPr>
            </w:pPr>
            <w:r w:rsidRPr="0073650A">
              <w:rPr>
                <w:rFonts w:ascii="Arial Narrow" w:hAnsi="Arial Narrow" w:cs="Times New Roman"/>
                <w:color w:val="000000" w:themeColor="text1"/>
                <w:kern w:val="2"/>
                <w:sz w:val="20"/>
                <w:szCs w:val="20"/>
                <w14:ligatures w14:val="standardContextual"/>
              </w:rPr>
              <w:t xml:space="preserve">details of the number and severity of COPD exacerbation(s) experienced in the 12 months prior to commencing treatment with this drug in this treatment cycle </w:t>
            </w:r>
            <w:r w:rsidRPr="0073650A">
              <w:rPr>
                <w:rFonts w:ascii="Arial Narrow" w:hAnsi="Arial Narrow" w:cs="Calibri"/>
                <w:color w:val="000000" w:themeColor="text1"/>
                <w:kern w:val="2"/>
                <w:sz w:val="20"/>
                <w:szCs w:val="20"/>
                <w14:ligatures w14:val="standardContextual"/>
              </w:rPr>
              <w:t xml:space="preserve">including: </w:t>
            </w:r>
          </w:p>
          <w:p w14:paraId="1B1D5C70" w14:textId="77777777" w:rsidR="00CB26C7" w:rsidRPr="0073650A" w:rsidRDefault="00CB26C7" w:rsidP="0073650A">
            <w:pPr>
              <w:ind w:left="1080"/>
              <w:contextualSpacing/>
              <w:jc w:val="left"/>
              <w:rPr>
                <w:rFonts w:ascii="Arial Narrow" w:hAnsi="Arial Narrow" w:cs="Calibri"/>
                <w:color w:val="000000" w:themeColor="text1"/>
                <w:kern w:val="2"/>
                <w:sz w:val="20"/>
                <w:szCs w:val="20"/>
                <w14:ligatures w14:val="standardContextual"/>
              </w:rPr>
            </w:pPr>
            <w:r w:rsidRPr="0073650A">
              <w:rPr>
                <w:rFonts w:ascii="Arial Narrow" w:hAnsi="Arial Narrow" w:cs="Calibri"/>
                <w:color w:val="000000" w:themeColor="text1"/>
                <w:kern w:val="2"/>
                <w:sz w:val="20"/>
                <w:szCs w:val="20"/>
                <w14:ligatures w14:val="standardContextual"/>
              </w:rPr>
              <w:t>(i) no. of moderate exacerbations requiring treatment with systemic corticosteroids</w:t>
            </w:r>
            <w:r w:rsidRPr="0073650A">
              <w:rPr>
                <w:rFonts w:ascii="Arial Narrow" w:hAnsi="Arial Narrow" w:cs="Calibri"/>
                <w:color w:val="000000" w:themeColor="text1"/>
                <w:kern w:val="2"/>
                <w:sz w:val="20"/>
                <w:szCs w:val="20"/>
                <w14:ligatures w14:val="standardContextual"/>
              </w:rPr>
              <w:br/>
              <w:t>(ii) no. of moderate exacerbations requiring treatment with antibiotics</w:t>
            </w:r>
            <w:r w:rsidRPr="0073650A">
              <w:rPr>
                <w:rFonts w:ascii="Arial Narrow" w:hAnsi="Arial Narrow" w:cs="Calibri"/>
                <w:color w:val="000000" w:themeColor="text1"/>
                <w:kern w:val="2"/>
                <w:sz w:val="20"/>
                <w:szCs w:val="20"/>
                <w14:ligatures w14:val="standardContextual"/>
              </w:rPr>
              <w:br/>
            </w:r>
            <w:r w:rsidRPr="0073650A">
              <w:rPr>
                <w:rFonts w:ascii="Arial Narrow" w:hAnsi="Arial Narrow" w:cs="Calibri"/>
                <w:color w:val="000000" w:themeColor="text1"/>
                <w:kern w:val="2"/>
                <w:sz w:val="20"/>
                <w:szCs w:val="20"/>
                <w14:ligatures w14:val="standardContextual"/>
              </w:rPr>
              <w:lastRenderedPageBreak/>
              <w:t>(ii) no. of severe exacerbation/s which required hospitalisation</w:t>
            </w:r>
            <w:r w:rsidRPr="0073650A">
              <w:rPr>
                <w:rFonts w:ascii="Arial Narrow" w:hAnsi="Arial Narrow" w:cs="Times New Roman"/>
                <w:color w:val="000000" w:themeColor="text1"/>
                <w:kern w:val="2"/>
                <w:sz w:val="20"/>
                <w:szCs w:val="20"/>
                <w14:ligatures w14:val="standardContextual"/>
              </w:rPr>
              <w:br/>
            </w:r>
          </w:p>
          <w:p w14:paraId="73B99BEE" w14:textId="6CBA8519" w:rsidR="00CB26C7" w:rsidRPr="0073650A" w:rsidRDefault="00CB26C7" w:rsidP="0073650A">
            <w:pPr>
              <w:spacing w:line="259" w:lineRule="auto"/>
              <w:jc w:val="left"/>
              <w:rPr>
                <w:rFonts w:ascii="Arial Narrow" w:hAnsi="Arial Narrow" w:cs="Times New Roman"/>
                <w:color w:val="000000" w:themeColor="text1"/>
                <w:kern w:val="2"/>
                <w:sz w:val="20"/>
                <w:szCs w:val="20"/>
                <w14:ligatures w14:val="standardContextual"/>
              </w:rPr>
            </w:pPr>
            <w:r w:rsidRPr="0073650A">
              <w:rPr>
                <w:rFonts w:ascii="Arial Narrow" w:hAnsi="Arial Narrow" w:cs="Times New Roman"/>
                <w:color w:val="000000" w:themeColor="text1"/>
                <w:kern w:val="2"/>
                <w:sz w:val="20"/>
                <w:szCs w:val="20"/>
                <w14:ligatures w14:val="standardContextual"/>
              </w:rPr>
              <w:t xml:space="preserve">The details of the number and the severity of COPD exacerbations are to inform the basis of determining if an adequate response to treatment has been achieved under the continuing treatment restriction. In addition to stating the above details in the authority application, document them in the patient’s medical records. </w:t>
            </w:r>
          </w:p>
        </w:tc>
      </w:tr>
      <w:tr w:rsidR="00CB26C7" w:rsidRPr="00964DA0" w14:paraId="78BE4AA2" w14:textId="77777777" w:rsidTr="00CB26C7">
        <w:tblPrEx>
          <w:tblCellMar>
            <w:top w:w="15" w:type="dxa"/>
            <w:left w:w="15" w:type="dxa"/>
            <w:bottom w:w="15" w:type="dxa"/>
            <w:right w:w="15" w:type="dxa"/>
          </w:tblCellMar>
          <w:tblLook w:val="04A0" w:firstRow="1" w:lastRow="0" w:firstColumn="1" w:lastColumn="0" w:noHBand="0" w:noVBand="1"/>
        </w:tblPrEx>
        <w:tc>
          <w:tcPr>
            <w:tcW w:w="9356" w:type="dxa"/>
            <w:gridSpan w:val="6"/>
            <w:vAlign w:val="center"/>
          </w:tcPr>
          <w:p w14:paraId="118A2EB4" w14:textId="20E1FB95" w:rsidR="00CB26C7" w:rsidRPr="0073650A" w:rsidRDefault="00CB26C7" w:rsidP="0073650A">
            <w:pPr>
              <w:ind w:left="-57"/>
              <w:rPr>
                <w:rFonts w:ascii="Arial Narrow" w:hAnsi="Arial Narrow"/>
                <w:b/>
                <w:bCs/>
                <w:color w:val="000000" w:themeColor="text1"/>
                <w:sz w:val="20"/>
                <w:szCs w:val="20"/>
              </w:rPr>
            </w:pPr>
            <w:r w:rsidRPr="0073650A">
              <w:rPr>
                <w:rFonts w:ascii="Arial Narrow" w:hAnsi="Arial Narrow"/>
                <w:b/>
                <w:bCs/>
                <w:color w:val="000000" w:themeColor="text1"/>
                <w:sz w:val="20"/>
                <w:szCs w:val="20"/>
              </w:rPr>
              <w:lastRenderedPageBreak/>
              <w:t xml:space="preserve"> Prescribing Instruction: </w:t>
            </w:r>
          </w:p>
          <w:p w14:paraId="7D2E6902" w14:textId="18EF0F9A" w:rsidR="00CB26C7" w:rsidRPr="0073650A" w:rsidRDefault="00CB26C7" w:rsidP="0073650A">
            <w:pPr>
              <w:ind w:left="-57"/>
              <w:rPr>
                <w:rFonts w:ascii="Arial Narrow" w:hAnsi="Arial Narrow"/>
                <w:color w:val="000000" w:themeColor="text1"/>
                <w:sz w:val="20"/>
                <w:szCs w:val="20"/>
              </w:rPr>
            </w:pPr>
            <w:r w:rsidRPr="0073650A">
              <w:rPr>
                <w:rFonts w:ascii="Arial Narrow" w:hAnsi="Arial Narrow"/>
                <w:color w:val="000000" w:themeColor="text1"/>
                <w:sz w:val="20"/>
                <w:szCs w:val="20"/>
              </w:rPr>
              <w:t xml:space="preserve"> If the application is submitted through HPOS form upload or mail, it must include:</w:t>
            </w:r>
          </w:p>
          <w:p w14:paraId="787F65B6" w14:textId="77777777" w:rsidR="00CB26C7" w:rsidRPr="0073650A" w:rsidRDefault="00CB26C7" w:rsidP="00042FF4">
            <w:pPr>
              <w:pStyle w:val="ListParagraph"/>
              <w:numPr>
                <w:ilvl w:val="0"/>
                <w:numId w:val="18"/>
              </w:numPr>
              <w:spacing w:after="0"/>
              <w:contextualSpacing/>
              <w:jc w:val="left"/>
              <w:rPr>
                <w:rFonts w:ascii="Arial Narrow" w:hAnsi="Arial Narrow"/>
                <w:color w:val="000000" w:themeColor="text1"/>
                <w:sz w:val="20"/>
                <w:szCs w:val="20"/>
              </w:rPr>
            </w:pPr>
            <w:r w:rsidRPr="0073650A">
              <w:rPr>
                <w:rFonts w:ascii="Arial Narrow" w:hAnsi="Arial Narrow"/>
                <w:color w:val="000000" w:themeColor="text1"/>
                <w:sz w:val="20"/>
                <w:szCs w:val="20"/>
              </w:rPr>
              <w:t>details of the proposed prescription; and</w:t>
            </w:r>
          </w:p>
          <w:p w14:paraId="4A6DFE36" w14:textId="77777777" w:rsidR="00CB26C7" w:rsidRPr="0073650A" w:rsidRDefault="00CB26C7" w:rsidP="00042FF4">
            <w:pPr>
              <w:pStyle w:val="ListParagraph"/>
              <w:numPr>
                <w:ilvl w:val="0"/>
                <w:numId w:val="18"/>
              </w:numPr>
              <w:spacing w:after="0"/>
              <w:contextualSpacing/>
              <w:rPr>
                <w:rFonts w:ascii="Arial Narrow" w:hAnsi="Arial Narrow"/>
                <w:color w:val="000000" w:themeColor="text1"/>
                <w:sz w:val="20"/>
                <w:szCs w:val="20"/>
              </w:rPr>
            </w:pPr>
            <w:r w:rsidRPr="0073650A">
              <w:rPr>
                <w:rFonts w:ascii="Arial Narrow" w:hAnsi="Arial Narrow"/>
                <w:color w:val="000000" w:themeColor="text1"/>
                <w:sz w:val="20"/>
                <w:szCs w:val="20"/>
              </w:rPr>
              <w:t>a completed authority application form relevant to the indication and treatment phase (the latest version is located on the website specified in the Administrative Advice).</w:t>
            </w:r>
          </w:p>
        </w:tc>
      </w:tr>
    </w:tbl>
    <w:p w14:paraId="58678CD9" w14:textId="77777777" w:rsidR="000C038C" w:rsidRPr="00964DA0" w:rsidRDefault="000C038C" w:rsidP="000C038C">
      <w:pPr>
        <w:spacing w:after="160" w:line="259" w:lineRule="auto"/>
        <w:rPr>
          <w:rFonts w:eastAsia="Aptos" w:cs="Calibri"/>
          <w:b/>
          <w:bCs/>
          <w:kern w:val="2"/>
          <w:lang w:eastAsia="en-US"/>
          <w14:ligatures w14:val="standardContextual"/>
        </w:rPr>
      </w:pPr>
    </w:p>
    <w:p w14:paraId="17933E45" w14:textId="264B442F" w:rsidR="000C038C" w:rsidRPr="00DF4FF8" w:rsidRDefault="000C038C" w:rsidP="000B7BFD">
      <w:pPr>
        <w:keepNext/>
        <w:rPr>
          <w:rFonts w:asciiTheme="minorHAnsi" w:eastAsiaTheme="minorHAnsi" w:hAnsiTheme="minorHAnsi" w:cstheme="minorBidi"/>
          <w:szCs w:val="22"/>
          <w:u w:val="single"/>
          <w:lang w:eastAsia="en-US"/>
        </w:rPr>
      </w:pPr>
      <w:r w:rsidRPr="00DF4FF8">
        <w:rPr>
          <w:rFonts w:asciiTheme="minorHAnsi" w:eastAsiaTheme="minorHAnsi" w:hAnsiTheme="minorHAnsi" w:cstheme="minorBidi"/>
          <w:szCs w:val="22"/>
          <w:u w:val="single"/>
          <w:lang w:eastAsia="en-US"/>
        </w:rPr>
        <w:t xml:space="preserve">Continuing </w:t>
      </w:r>
      <w:r w:rsidR="0023583B">
        <w:rPr>
          <w:rFonts w:asciiTheme="minorHAnsi" w:eastAsiaTheme="minorHAnsi" w:hAnsiTheme="minorHAnsi" w:cstheme="minorBidi"/>
          <w:szCs w:val="22"/>
          <w:u w:val="single"/>
          <w:lang w:eastAsia="en-US"/>
        </w:rPr>
        <w:t>and Grandfather treatment</w:t>
      </w:r>
      <w:r w:rsidRPr="00DF4FF8">
        <w:rPr>
          <w:rFonts w:asciiTheme="minorHAnsi" w:eastAsiaTheme="minorHAnsi" w:hAnsiTheme="minorHAnsi" w:cstheme="minorBidi"/>
          <w:szCs w:val="22"/>
          <w:u w:val="single"/>
          <w:lang w:eastAsia="en-US"/>
        </w:rPr>
        <w:t xml:space="preserv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ontinuing and Grandfather treatment: "/>
      </w:tblPr>
      <w:tblGrid>
        <w:gridCol w:w="3539"/>
        <w:gridCol w:w="1985"/>
        <w:gridCol w:w="708"/>
        <w:gridCol w:w="709"/>
        <w:gridCol w:w="709"/>
        <w:gridCol w:w="1701"/>
      </w:tblGrid>
      <w:tr w:rsidR="000C038C" w:rsidRPr="00964DA0" w14:paraId="15B8DB60" w14:textId="77777777" w:rsidTr="004A36C8">
        <w:trPr>
          <w:trHeight w:val="471"/>
        </w:trPr>
        <w:tc>
          <w:tcPr>
            <w:tcW w:w="3539" w:type="dxa"/>
          </w:tcPr>
          <w:p w14:paraId="06C8A3F4" w14:textId="77777777" w:rsidR="000C038C" w:rsidRPr="007C06BB" w:rsidRDefault="000C038C" w:rsidP="000B7BFD">
            <w:pPr>
              <w:keepNext/>
              <w:spacing w:line="259" w:lineRule="auto"/>
              <w:ind w:left="-57"/>
              <w:rPr>
                <w:rFonts w:ascii="Arial Narrow" w:eastAsia="Aptos" w:hAnsi="Arial Narrow" w:cs="Calibri"/>
                <w:b/>
                <w:color w:val="000000" w:themeColor="text1"/>
                <w:kern w:val="2"/>
                <w:sz w:val="20"/>
                <w:szCs w:val="20"/>
                <w:lang w:eastAsia="en-US"/>
                <w14:ligatures w14:val="standardContextual"/>
              </w:rPr>
            </w:pPr>
            <w:r w:rsidRPr="007C06BB">
              <w:rPr>
                <w:rFonts w:ascii="Arial Narrow" w:eastAsia="Aptos" w:hAnsi="Arial Narrow" w:cs="Calibri"/>
                <w:b/>
                <w:color w:val="000000" w:themeColor="text1"/>
                <w:kern w:val="2"/>
                <w:sz w:val="20"/>
                <w:szCs w:val="20"/>
                <w:lang w:eastAsia="en-US"/>
                <w14:ligatures w14:val="standardContextual"/>
              </w:rPr>
              <w:t>MEDICINAL PRODUCT</w:t>
            </w:r>
          </w:p>
          <w:p w14:paraId="5A4674AC" w14:textId="77777777" w:rsidR="000C038C" w:rsidRPr="007C06BB" w:rsidRDefault="000C038C" w:rsidP="000B7BFD">
            <w:pPr>
              <w:keepNext/>
              <w:spacing w:line="259" w:lineRule="auto"/>
              <w:ind w:left="-57"/>
              <w:rPr>
                <w:rFonts w:ascii="Arial Narrow" w:eastAsia="Aptos" w:hAnsi="Arial Narrow" w:cs="Calibri"/>
                <w:b/>
                <w:color w:val="000000" w:themeColor="text1"/>
                <w:kern w:val="2"/>
                <w:sz w:val="20"/>
                <w:szCs w:val="20"/>
                <w:lang w:eastAsia="en-US"/>
                <w14:ligatures w14:val="standardContextual"/>
              </w:rPr>
            </w:pPr>
            <w:r w:rsidRPr="007C06BB">
              <w:rPr>
                <w:rFonts w:ascii="Arial Narrow" w:eastAsia="Aptos" w:hAnsi="Arial Narrow" w:cs="Calibri"/>
                <w:b/>
                <w:color w:val="000000" w:themeColor="text1"/>
                <w:kern w:val="2"/>
                <w:sz w:val="20"/>
                <w:szCs w:val="20"/>
                <w:lang w:eastAsia="en-US"/>
                <w14:ligatures w14:val="standardContextual"/>
              </w:rPr>
              <w:t>medicinal product pack</w:t>
            </w:r>
          </w:p>
        </w:tc>
        <w:tc>
          <w:tcPr>
            <w:tcW w:w="1985" w:type="dxa"/>
          </w:tcPr>
          <w:p w14:paraId="5BF6CAB1" w14:textId="77777777" w:rsidR="000C038C" w:rsidRPr="007C06BB" w:rsidRDefault="000C038C" w:rsidP="000B7BFD">
            <w:pPr>
              <w:keepNext/>
              <w:spacing w:line="259" w:lineRule="auto"/>
              <w:ind w:left="-57"/>
              <w:jc w:val="center"/>
              <w:rPr>
                <w:rFonts w:ascii="Arial Narrow" w:eastAsia="Aptos" w:hAnsi="Arial Narrow" w:cs="Calibri"/>
                <w:b/>
                <w:color w:val="000000" w:themeColor="text1"/>
                <w:kern w:val="2"/>
                <w:sz w:val="20"/>
                <w:szCs w:val="20"/>
                <w:lang w:eastAsia="en-US"/>
                <w14:ligatures w14:val="standardContextual"/>
              </w:rPr>
            </w:pPr>
            <w:r w:rsidRPr="007C06BB">
              <w:rPr>
                <w:rFonts w:ascii="Arial Narrow" w:eastAsia="Aptos" w:hAnsi="Arial Narrow" w:cs="Calibri"/>
                <w:b/>
                <w:color w:val="000000" w:themeColor="text1"/>
                <w:kern w:val="2"/>
                <w:sz w:val="20"/>
                <w:szCs w:val="20"/>
                <w:lang w:eastAsia="en-US"/>
                <w14:ligatures w14:val="standardContextual"/>
              </w:rPr>
              <w:t>PBS item code</w:t>
            </w:r>
          </w:p>
        </w:tc>
        <w:tc>
          <w:tcPr>
            <w:tcW w:w="708" w:type="dxa"/>
          </w:tcPr>
          <w:p w14:paraId="25CACAD5" w14:textId="77777777" w:rsidR="000C038C" w:rsidRPr="007C06BB" w:rsidRDefault="000C038C" w:rsidP="000B7BFD">
            <w:pPr>
              <w:keepNext/>
              <w:spacing w:line="259" w:lineRule="auto"/>
              <w:ind w:left="-57"/>
              <w:jc w:val="center"/>
              <w:rPr>
                <w:rFonts w:ascii="Arial Narrow" w:eastAsia="Aptos" w:hAnsi="Arial Narrow" w:cs="Calibri"/>
                <w:b/>
                <w:color w:val="000000" w:themeColor="text1"/>
                <w:kern w:val="2"/>
                <w:sz w:val="20"/>
                <w:szCs w:val="20"/>
                <w:lang w:eastAsia="en-US"/>
                <w14:ligatures w14:val="standardContextual"/>
              </w:rPr>
            </w:pPr>
            <w:r w:rsidRPr="007C06BB">
              <w:rPr>
                <w:rFonts w:ascii="Arial Narrow" w:eastAsia="Aptos" w:hAnsi="Arial Narrow" w:cs="Calibri"/>
                <w:b/>
                <w:color w:val="000000" w:themeColor="text1"/>
                <w:kern w:val="2"/>
                <w:sz w:val="20"/>
                <w:szCs w:val="20"/>
                <w:lang w:eastAsia="en-US"/>
                <w14:ligatures w14:val="standardContextual"/>
              </w:rPr>
              <w:t>Max. qty packs</w:t>
            </w:r>
          </w:p>
        </w:tc>
        <w:tc>
          <w:tcPr>
            <w:tcW w:w="709" w:type="dxa"/>
          </w:tcPr>
          <w:p w14:paraId="6FD421BF" w14:textId="77777777" w:rsidR="000C038C" w:rsidRPr="007C06BB" w:rsidRDefault="000C038C" w:rsidP="000B7BFD">
            <w:pPr>
              <w:keepNext/>
              <w:spacing w:line="259" w:lineRule="auto"/>
              <w:ind w:left="-57"/>
              <w:jc w:val="center"/>
              <w:rPr>
                <w:rFonts w:ascii="Arial Narrow" w:eastAsia="Aptos" w:hAnsi="Arial Narrow" w:cs="Calibri"/>
                <w:b/>
                <w:color w:val="000000" w:themeColor="text1"/>
                <w:kern w:val="2"/>
                <w:sz w:val="20"/>
                <w:szCs w:val="20"/>
                <w:lang w:eastAsia="en-US"/>
                <w14:ligatures w14:val="standardContextual"/>
              </w:rPr>
            </w:pPr>
            <w:r w:rsidRPr="007C06BB">
              <w:rPr>
                <w:rFonts w:ascii="Arial Narrow" w:eastAsia="Aptos" w:hAnsi="Arial Narrow" w:cs="Calibri"/>
                <w:b/>
                <w:color w:val="000000" w:themeColor="text1"/>
                <w:kern w:val="2"/>
                <w:sz w:val="20"/>
                <w:szCs w:val="20"/>
                <w:lang w:eastAsia="en-US"/>
                <w14:ligatures w14:val="standardContextual"/>
              </w:rPr>
              <w:t>Max. qty units</w:t>
            </w:r>
          </w:p>
        </w:tc>
        <w:tc>
          <w:tcPr>
            <w:tcW w:w="709" w:type="dxa"/>
          </w:tcPr>
          <w:p w14:paraId="381F8A75" w14:textId="77777777" w:rsidR="000C038C" w:rsidRPr="007C06BB" w:rsidRDefault="000C038C" w:rsidP="000B7BFD">
            <w:pPr>
              <w:keepNext/>
              <w:spacing w:line="259" w:lineRule="auto"/>
              <w:ind w:left="-57"/>
              <w:jc w:val="center"/>
              <w:rPr>
                <w:rFonts w:ascii="Arial Narrow" w:eastAsia="Aptos" w:hAnsi="Arial Narrow" w:cs="Calibri"/>
                <w:b/>
                <w:color w:val="000000" w:themeColor="text1"/>
                <w:kern w:val="2"/>
                <w:sz w:val="20"/>
                <w:szCs w:val="20"/>
                <w:lang w:eastAsia="en-US"/>
                <w14:ligatures w14:val="standardContextual"/>
              </w:rPr>
            </w:pPr>
            <w:r w:rsidRPr="007C06BB">
              <w:rPr>
                <w:rFonts w:ascii="Arial Narrow" w:eastAsia="Aptos" w:hAnsi="Arial Narrow" w:cs="Calibri"/>
                <w:b/>
                <w:color w:val="000000" w:themeColor="text1"/>
                <w:kern w:val="2"/>
                <w:sz w:val="20"/>
                <w:szCs w:val="20"/>
                <w:lang w:eastAsia="en-US"/>
                <w14:ligatures w14:val="standardContextual"/>
              </w:rPr>
              <w:t>№.of</w:t>
            </w:r>
          </w:p>
          <w:p w14:paraId="2D0F7DE7" w14:textId="77777777" w:rsidR="000C038C" w:rsidRPr="007C06BB" w:rsidRDefault="000C038C" w:rsidP="000B7BFD">
            <w:pPr>
              <w:keepNext/>
              <w:spacing w:line="259" w:lineRule="auto"/>
              <w:ind w:left="-57"/>
              <w:jc w:val="center"/>
              <w:rPr>
                <w:rFonts w:ascii="Arial Narrow" w:eastAsia="Aptos" w:hAnsi="Arial Narrow" w:cs="Calibri"/>
                <w:b/>
                <w:color w:val="000000" w:themeColor="text1"/>
                <w:kern w:val="2"/>
                <w:sz w:val="20"/>
                <w:szCs w:val="20"/>
                <w:lang w:eastAsia="en-US"/>
                <w14:ligatures w14:val="standardContextual"/>
              </w:rPr>
            </w:pPr>
            <w:r w:rsidRPr="007C06BB">
              <w:rPr>
                <w:rFonts w:ascii="Arial Narrow" w:eastAsia="Aptos" w:hAnsi="Arial Narrow" w:cs="Calibri"/>
                <w:b/>
                <w:color w:val="000000" w:themeColor="text1"/>
                <w:kern w:val="2"/>
                <w:sz w:val="20"/>
                <w:szCs w:val="20"/>
                <w:lang w:eastAsia="en-US"/>
                <w14:ligatures w14:val="standardContextual"/>
              </w:rPr>
              <w:t>Rpts</w:t>
            </w:r>
          </w:p>
        </w:tc>
        <w:tc>
          <w:tcPr>
            <w:tcW w:w="1701" w:type="dxa"/>
          </w:tcPr>
          <w:p w14:paraId="465DC0C3" w14:textId="77777777" w:rsidR="000C038C" w:rsidRPr="007C06BB" w:rsidRDefault="000C038C" w:rsidP="000B7BFD">
            <w:pPr>
              <w:keepNext/>
              <w:spacing w:line="259" w:lineRule="auto"/>
              <w:ind w:left="-57"/>
              <w:jc w:val="left"/>
              <w:rPr>
                <w:rFonts w:ascii="Arial Narrow" w:eastAsia="Aptos" w:hAnsi="Arial Narrow" w:cs="Calibri"/>
                <w:b/>
                <w:color w:val="000000" w:themeColor="text1"/>
                <w:kern w:val="2"/>
                <w:sz w:val="20"/>
                <w:szCs w:val="20"/>
                <w:lang w:eastAsia="en-US"/>
                <w14:ligatures w14:val="standardContextual"/>
              </w:rPr>
            </w:pPr>
            <w:r w:rsidRPr="007C06BB">
              <w:rPr>
                <w:rFonts w:ascii="Arial Narrow" w:eastAsia="Aptos" w:hAnsi="Arial Narrow" w:cs="Calibri"/>
                <w:b/>
                <w:color w:val="000000" w:themeColor="text1"/>
                <w:kern w:val="2"/>
                <w:sz w:val="20"/>
                <w:szCs w:val="20"/>
                <w:lang w:eastAsia="en-US"/>
                <w14:ligatures w14:val="standardContextual"/>
              </w:rPr>
              <w:t>Available brands</w:t>
            </w:r>
          </w:p>
        </w:tc>
      </w:tr>
      <w:tr w:rsidR="000C038C" w:rsidRPr="00964DA0" w14:paraId="653668CE" w14:textId="77777777" w:rsidTr="004A36C8">
        <w:trPr>
          <w:trHeight w:val="302"/>
        </w:trPr>
        <w:tc>
          <w:tcPr>
            <w:tcW w:w="9351" w:type="dxa"/>
            <w:gridSpan w:val="6"/>
          </w:tcPr>
          <w:p w14:paraId="6FC49FE1" w14:textId="77777777" w:rsidR="000C038C" w:rsidRPr="007C06BB" w:rsidRDefault="000C038C" w:rsidP="000B7BFD">
            <w:pPr>
              <w:keepNext/>
              <w:spacing w:line="259" w:lineRule="auto"/>
              <w:ind w:left="-57"/>
              <w:jc w:val="left"/>
              <w:rPr>
                <w:rFonts w:ascii="Arial Narrow" w:eastAsia="Aptos" w:hAnsi="Arial Narrow" w:cs="Calibri"/>
                <w:bCs/>
                <w:color w:val="000000" w:themeColor="text1"/>
                <w:kern w:val="2"/>
                <w:sz w:val="20"/>
                <w:szCs w:val="20"/>
                <w:lang w:eastAsia="en-US"/>
                <w14:ligatures w14:val="standardContextual"/>
              </w:rPr>
            </w:pPr>
            <w:r w:rsidRPr="007C06BB">
              <w:rPr>
                <w:rFonts w:ascii="Arial Narrow" w:eastAsia="Aptos" w:hAnsi="Arial Narrow" w:cs="Calibri"/>
                <w:bCs/>
                <w:color w:val="000000" w:themeColor="text1"/>
                <w:kern w:val="2"/>
                <w:sz w:val="20"/>
                <w:szCs w:val="20"/>
                <w:lang w:eastAsia="en-US"/>
                <w14:ligatures w14:val="standardContextual"/>
              </w:rPr>
              <w:t>DUPILUMAB</w:t>
            </w:r>
          </w:p>
        </w:tc>
      </w:tr>
      <w:tr w:rsidR="000C038C" w:rsidRPr="00964DA0" w14:paraId="4B680F1A" w14:textId="77777777" w:rsidTr="004A36C8">
        <w:trPr>
          <w:trHeight w:val="419"/>
        </w:trPr>
        <w:tc>
          <w:tcPr>
            <w:tcW w:w="3539" w:type="dxa"/>
          </w:tcPr>
          <w:p w14:paraId="735FA097" w14:textId="77777777" w:rsidR="000C038C" w:rsidRPr="007C06BB" w:rsidRDefault="000C038C" w:rsidP="000B7BFD">
            <w:pPr>
              <w:keepNext/>
              <w:spacing w:line="259" w:lineRule="auto"/>
              <w:ind w:left="-57"/>
              <w:rPr>
                <w:rFonts w:ascii="Arial Narrow" w:eastAsia="Aptos" w:hAnsi="Arial Narrow" w:cs="Calibri"/>
                <w:color w:val="000000" w:themeColor="text1"/>
                <w:kern w:val="2"/>
                <w:sz w:val="20"/>
                <w:szCs w:val="20"/>
                <w:lang w:eastAsia="en-US"/>
                <w14:ligatures w14:val="standardContextual"/>
              </w:rPr>
            </w:pPr>
            <w:r w:rsidRPr="007C06BB">
              <w:rPr>
                <w:rFonts w:ascii="Arial Narrow" w:eastAsia="Aptos" w:hAnsi="Arial Narrow" w:cs="Calibri"/>
                <w:color w:val="000000" w:themeColor="text1"/>
                <w:kern w:val="2"/>
                <w:sz w:val="20"/>
                <w:szCs w:val="20"/>
                <w:lang w:eastAsia="en-US"/>
                <w14:ligatures w14:val="standardContextual"/>
              </w:rPr>
              <w:t>dupilumab 300 mg/2mL injection, 2 x 2 mL syringes</w:t>
            </w:r>
          </w:p>
        </w:tc>
        <w:tc>
          <w:tcPr>
            <w:tcW w:w="1985" w:type="dxa"/>
          </w:tcPr>
          <w:p w14:paraId="36A0C76D" w14:textId="77777777" w:rsidR="000C038C" w:rsidRPr="007C06BB" w:rsidRDefault="000C038C" w:rsidP="000B7BFD">
            <w:pPr>
              <w:keepNext/>
              <w:spacing w:line="259" w:lineRule="auto"/>
              <w:jc w:val="center"/>
              <w:rPr>
                <w:rFonts w:ascii="Arial Narrow" w:eastAsia="Aptos" w:hAnsi="Arial Narrow"/>
                <w:color w:val="000000" w:themeColor="text1"/>
                <w:kern w:val="2"/>
                <w:sz w:val="20"/>
                <w:szCs w:val="20"/>
                <w:lang w:eastAsia="en-US"/>
                <w14:ligatures w14:val="standardContextual"/>
              </w:rPr>
            </w:pPr>
            <w:r w:rsidRPr="007C06BB">
              <w:rPr>
                <w:rFonts w:ascii="Arial Narrow" w:eastAsia="Aptos" w:hAnsi="Arial Narrow"/>
                <w:color w:val="000000" w:themeColor="text1"/>
                <w:kern w:val="2"/>
                <w:sz w:val="20"/>
                <w:szCs w:val="20"/>
                <w:lang w:eastAsia="en-US"/>
                <w14:ligatures w14:val="standardContextual"/>
              </w:rPr>
              <w:t>NEW (HSD PUBLIC)</w:t>
            </w:r>
          </w:p>
          <w:p w14:paraId="510F8321" w14:textId="77777777" w:rsidR="000C038C" w:rsidRPr="007C06BB" w:rsidRDefault="000C038C" w:rsidP="000B7BFD">
            <w:pPr>
              <w:keepNext/>
              <w:spacing w:line="259" w:lineRule="auto"/>
              <w:jc w:val="center"/>
              <w:rPr>
                <w:rFonts w:ascii="Arial Narrow" w:eastAsia="Aptos" w:hAnsi="Arial Narrow"/>
                <w:color w:val="000000" w:themeColor="text1"/>
                <w:kern w:val="2"/>
                <w:sz w:val="20"/>
                <w:szCs w:val="20"/>
                <w:lang w:eastAsia="en-US"/>
                <w14:ligatures w14:val="standardContextual"/>
              </w:rPr>
            </w:pPr>
            <w:r w:rsidRPr="007C06BB">
              <w:rPr>
                <w:rFonts w:ascii="Arial Narrow" w:eastAsia="Aptos" w:hAnsi="Arial Narrow"/>
                <w:color w:val="000000" w:themeColor="text1"/>
                <w:kern w:val="2"/>
                <w:sz w:val="20"/>
                <w:szCs w:val="20"/>
                <w:lang w:eastAsia="en-US"/>
                <w14:ligatures w14:val="standardContextual"/>
              </w:rPr>
              <w:t>NEW (HSD PRIVATE)</w:t>
            </w:r>
          </w:p>
          <w:p w14:paraId="5B265D5B" w14:textId="77777777" w:rsidR="000C038C" w:rsidRPr="007C06BB" w:rsidRDefault="000C038C" w:rsidP="000B7BFD">
            <w:pPr>
              <w:keepNext/>
              <w:spacing w:line="259" w:lineRule="auto"/>
              <w:jc w:val="center"/>
              <w:rPr>
                <w:rFonts w:ascii="Arial Narrow" w:eastAsia="Aptos" w:hAnsi="Arial Narrow" w:cs="Calibri"/>
                <w:color w:val="000000" w:themeColor="text1"/>
                <w:kern w:val="2"/>
                <w:sz w:val="20"/>
                <w:szCs w:val="20"/>
                <w:vertAlign w:val="subscript"/>
                <w:lang w:eastAsia="en-US"/>
                <w14:ligatures w14:val="standardContextual"/>
              </w:rPr>
            </w:pPr>
            <w:r w:rsidRPr="007C06BB">
              <w:rPr>
                <w:rFonts w:ascii="Arial Narrow" w:eastAsia="Aptos" w:hAnsi="Arial Narrow"/>
                <w:color w:val="000000" w:themeColor="text1"/>
                <w:kern w:val="2"/>
                <w:sz w:val="20"/>
                <w:szCs w:val="20"/>
                <w:vertAlign w:val="subscript"/>
                <w:lang w:eastAsia="en-US"/>
                <w14:ligatures w14:val="standardContextual"/>
              </w:rPr>
              <w:t xml:space="preserve">MP  </w:t>
            </w:r>
          </w:p>
        </w:tc>
        <w:tc>
          <w:tcPr>
            <w:tcW w:w="708" w:type="dxa"/>
          </w:tcPr>
          <w:p w14:paraId="69D85A20" w14:textId="77777777" w:rsidR="000C038C" w:rsidRPr="007C06BB" w:rsidRDefault="000C038C" w:rsidP="000B7BFD">
            <w:pPr>
              <w:keepNext/>
              <w:spacing w:line="259" w:lineRule="auto"/>
              <w:ind w:left="-57"/>
              <w:jc w:val="center"/>
              <w:rPr>
                <w:rFonts w:ascii="Arial Narrow" w:eastAsia="Aptos" w:hAnsi="Arial Narrow" w:cs="Calibri"/>
                <w:color w:val="000000" w:themeColor="text1"/>
                <w:kern w:val="2"/>
                <w:sz w:val="20"/>
                <w:szCs w:val="20"/>
                <w:lang w:eastAsia="en-US"/>
                <w14:ligatures w14:val="standardContextual"/>
              </w:rPr>
            </w:pPr>
            <w:r w:rsidRPr="007C06BB">
              <w:rPr>
                <w:rFonts w:ascii="Arial Narrow" w:eastAsia="Aptos" w:hAnsi="Arial Narrow" w:cs="Calibri"/>
                <w:color w:val="000000" w:themeColor="text1"/>
                <w:kern w:val="2"/>
                <w:sz w:val="20"/>
                <w:szCs w:val="20"/>
                <w:lang w:eastAsia="en-US"/>
                <w14:ligatures w14:val="standardContextual"/>
              </w:rPr>
              <w:t>1</w:t>
            </w:r>
          </w:p>
        </w:tc>
        <w:tc>
          <w:tcPr>
            <w:tcW w:w="709" w:type="dxa"/>
          </w:tcPr>
          <w:p w14:paraId="2C06774F" w14:textId="77777777" w:rsidR="000C038C" w:rsidRPr="007C06BB" w:rsidRDefault="000C038C" w:rsidP="000B7BFD">
            <w:pPr>
              <w:keepNext/>
              <w:spacing w:line="259" w:lineRule="auto"/>
              <w:jc w:val="center"/>
              <w:rPr>
                <w:rFonts w:ascii="Arial Narrow" w:eastAsia="Aptos" w:hAnsi="Arial Narrow" w:cs="Calibri"/>
                <w:color w:val="000000" w:themeColor="text1"/>
                <w:kern w:val="2"/>
                <w:sz w:val="20"/>
                <w:szCs w:val="20"/>
                <w:lang w:eastAsia="en-US"/>
                <w14:ligatures w14:val="standardContextual"/>
              </w:rPr>
            </w:pPr>
            <w:r w:rsidRPr="007C06BB">
              <w:rPr>
                <w:rFonts w:ascii="Arial Narrow" w:eastAsia="Aptos" w:hAnsi="Arial Narrow" w:cs="Calibri"/>
                <w:color w:val="000000" w:themeColor="text1"/>
                <w:kern w:val="2"/>
                <w:sz w:val="20"/>
                <w:szCs w:val="20"/>
                <w:lang w:eastAsia="en-US"/>
                <w14:ligatures w14:val="standardContextual"/>
              </w:rPr>
              <w:t>2</w:t>
            </w:r>
          </w:p>
        </w:tc>
        <w:tc>
          <w:tcPr>
            <w:tcW w:w="709" w:type="dxa"/>
          </w:tcPr>
          <w:p w14:paraId="0F1BEAF1" w14:textId="77777777" w:rsidR="000C038C" w:rsidRPr="007C06BB" w:rsidRDefault="000C038C" w:rsidP="000B7BFD">
            <w:pPr>
              <w:keepNext/>
              <w:spacing w:line="259" w:lineRule="auto"/>
              <w:jc w:val="center"/>
              <w:rPr>
                <w:rFonts w:ascii="Arial Narrow" w:eastAsia="Aptos" w:hAnsi="Arial Narrow" w:cs="Calibri"/>
                <w:color w:val="000000" w:themeColor="text1"/>
                <w:kern w:val="2"/>
                <w:sz w:val="20"/>
                <w:szCs w:val="20"/>
                <w:lang w:eastAsia="en-US"/>
                <w14:ligatures w14:val="standardContextual"/>
              </w:rPr>
            </w:pPr>
            <w:r w:rsidRPr="007C06BB">
              <w:rPr>
                <w:rFonts w:ascii="Arial Narrow" w:eastAsia="Aptos" w:hAnsi="Arial Narrow" w:cs="Calibri"/>
                <w:color w:val="000000" w:themeColor="text1"/>
                <w:kern w:val="2"/>
                <w:sz w:val="20"/>
                <w:szCs w:val="20"/>
                <w:lang w:eastAsia="en-US"/>
                <w14:ligatures w14:val="standardContextual"/>
              </w:rPr>
              <w:t xml:space="preserve">5 </w:t>
            </w:r>
          </w:p>
        </w:tc>
        <w:tc>
          <w:tcPr>
            <w:tcW w:w="1701" w:type="dxa"/>
          </w:tcPr>
          <w:p w14:paraId="3D10DFD7" w14:textId="77777777" w:rsidR="000C038C" w:rsidRPr="007C06BB" w:rsidRDefault="000C038C" w:rsidP="000B7BFD">
            <w:pPr>
              <w:keepNext/>
              <w:spacing w:line="259" w:lineRule="auto"/>
              <w:ind w:left="-57"/>
              <w:rPr>
                <w:rFonts w:ascii="Arial Narrow" w:eastAsia="Aptos" w:hAnsi="Arial Narrow" w:cs="Calibri"/>
                <w:color w:val="000000" w:themeColor="text1"/>
                <w:kern w:val="2"/>
                <w:sz w:val="20"/>
                <w:szCs w:val="20"/>
                <w:lang w:eastAsia="en-US"/>
                <w14:ligatures w14:val="standardContextual"/>
              </w:rPr>
            </w:pPr>
            <w:r w:rsidRPr="007C06BB">
              <w:rPr>
                <w:rFonts w:ascii="Arial Narrow" w:eastAsia="Aptos" w:hAnsi="Arial Narrow" w:cs="Calibri"/>
                <w:color w:val="000000" w:themeColor="text1"/>
                <w:kern w:val="2"/>
                <w:sz w:val="20"/>
                <w:szCs w:val="20"/>
                <w:lang w:eastAsia="en-US"/>
                <w14:ligatures w14:val="standardContextual"/>
              </w:rPr>
              <w:t>Dupixent</w:t>
            </w:r>
            <w:r w:rsidRPr="007C06BB">
              <w:rPr>
                <w:rFonts w:ascii="Arial Narrow" w:eastAsia="Aptos" w:hAnsi="Arial Narrow" w:cs="Calibri"/>
                <w:color w:val="000000" w:themeColor="text1"/>
                <w:kern w:val="2"/>
                <w:sz w:val="20"/>
                <w:szCs w:val="20"/>
                <w:vertAlign w:val="superscript"/>
                <w:lang w:eastAsia="en-US"/>
                <w14:ligatures w14:val="standardContextual"/>
              </w:rPr>
              <w:t>®</w:t>
            </w:r>
          </w:p>
        </w:tc>
      </w:tr>
      <w:tr w:rsidR="000C038C" w:rsidRPr="00964DA0" w14:paraId="5862B1E9" w14:textId="77777777" w:rsidTr="004A36C8">
        <w:trPr>
          <w:trHeight w:val="419"/>
        </w:trPr>
        <w:tc>
          <w:tcPr>
            <w:tcW w:w="3539" w:type="dxa"/>
          </w:tcPr>
          <w:p w14:paraId="721823AC" w14:textId="77777777" w:rsidR="000C038C" w:rsidRPr="007C06BB" w:rsidRDefault="000C038C" w:rsidP="000B7BFD">
            <w:pPr>
              <w:keepNext/>
              <w:spacing w:line="259" w:lineRule="auto"/>
              <w:ind w:left="-57"/>
              <w:rPr>
                <w:rFonts w:ascii="Arial Narrow" w:eastAsia="Aptos" w:hAnsi="Arial Narrow" w:cs="Calibri"/>
                <w:color w:val="000000" w:themeColor="text1"/>
                <w:kern w:val="2"/>
                <w:sz w:val="20"/>
                <w:szCs w:val="20"/>
                <w:lang w:eastAsia="en-US"/>
                <w14:ligatures w14:val="standardContextual"/>
              </w:rPr>
            </w:pPr>
            <w:r w:rsidRPr="007C06BB">
              <w:rPr>
                <w:rFonts w:ascii="Arial Narrow" w:eastAsia="Aptos" w:hAnsi="Arial Narrow" w:cs="Calibri"/>
                <w:color w:val="000000" w:themeColor="text1"/>
                <w:kern w:val="2"/>
                <w:sz w:val="20"/>
                <w:szCs w:val="20"/>
                <w:lang w:eastAsia="en-US"/>
                <w14:ligatures w14:val="standardContextual"/>
              </w:rPr>
              <w:t xml:space="preserve">dupilumab 300 mg/2mL injection, 2 x 2 mL pen </w:t>
            </w:r>
            <w:r w:rsidRPr="007C06BB">
              <w:rPr>
                <w:rFonts w:ascii="Arial Narrow" w:eastAsia="Aptos" w:hAnsi="Arial Narrow" w:cs="Calibri"/>
                <w:i/>
                <w:iCs/>
                <w:color w:val="000000" w:themeColor="text1"/>
                <w:kern w:val="2"/>
                <w:sz w:val="20"/>
                <w:szCs w:val="20"/>
                <w:lang w:eastAsia="en-US"/>
                <w14:ligatures w14:val="standardContextual"/>
              </w:rPr>
              <w:t>devices</w:t>
            </w:r>
          </w:p>
        </w:tc>
        <w:tc>
          <w:tcPr>
            <w:tcW w:w="1985" w:type="dxa"/>
          </w:tcPr>
          <w:p w14:paraId="231D6569" w14:textId="77777777" w:rsidR="000C038C" w:rsidRPr="007C06BB" w:rsidRDefault="000C038C" w:rsidP="000B7BFD">
            <w:pPr>
              <w:keepNext/>
              <w:spacing w:line="259" w:lineRule="auto"/>
              <w:jc w:val="center"/>
              <w:rPr>
                <w:rFonts w:ascii="Arial Narrow" w:eastAsia="Aptos" w:hAnsi="Arial Narrow"/>
                <w:color w:val="000000" w:themeColor="text1"/>
                <w:kern w:val="2"/>
                <w:sz w:val="20"/>
                <w:szCs w:val="20"/>
                <w:lang w:eastAsia="en-US"/>
                <w14:ligatures w14:val="standardContextual"/>
              </w:rPr>
            </w:pPr>
            <w:r w:rsidRPr="007C06BB">
              <w:rPr>
                <w:rFonts w:ascii="Arial Narrow" w:eastAsia="Aptos" w:hAnsi="Arial Narrow"/>
                <w:color w:val="000000" w:themeColor="text1"/>
                <w:kern w:val="2"/>
                <w:sz w:val="20"/>
                <w:szCs w:val="20"/>
                <w:lang w:eastAsia="en-US"/>
                <w14:ligatures w14:val="standardContextual"/>
              </w:rPr>
              <w:t>NEW (HSD PUBLIC)</w:t>
            </w:r>
          </w:p>
          <w:p w14:paraId="39C84496" w14:textId="77777777" w:rsidR="000C038C" w:rsidRPr="007C06BB" w:rsidRDefault="000C038C" w:rsidP="000B7BFD">
            <w:pPr>
              <w:keepNext/>
              <w:spacing w:line="259" w:lineRule="auto"/>
              <w:jc w:val="center"/>
              <w:rPr>
                <w:rFonts w:ascii="Arial Narrow" w:eastAsia="Aptos" w:hAnsi="Arial Narrow"/>
                <w:color w:val="000000" w:themeColor="text1"/>
                <w:kern w:val="2"/>
                <w:sz w:val="20"/>
                <w:szCs w:val="20"/>
                <w:lang w:eastAsia="en-US"/>
                <w14:ligatures w14:val="standardContextual"/>
              </w:rPr>
            </w:pPr>
            <w:r w:rsidRPr="007C06BB">
              <w:rPr>
                <w:rFonts w:ascii="Arial Narrow" w:eastAsia="Aptos" w:hAnsi="Arial Narrow"/>
                <w:color w:val="000000" w:themeColor="text1"/>
                <w:kern w:val="2"/>
                <w:sz w:val="20"/>
                <w:szCs w:val="20"/>
                <w:lang w:eastAsia="en-US"/>
                <w14:ligatures w14:val="standardContextual"/>
              </w:rPr>
              <w:t>NEW (HSD PRIVATE)</w:t>
            </w:r>
          </w:p>
          <w:p w14:paraId="52FC075B" w14:textId="77777777" w:rsidR="000C038C" w:rsidRPr="007C06BB" w:rsidRDefault="000C038C" w:rsidP="000B7BFD">
            <w:pPr>
              <w:keepNext/>
              <w:spacing w:line="259" w:lineRule="auto"/>
              <w:jc w:val="center"/>
              <w:rPr>
                <w:rFonts w:ascii="Arial Narrow" w:eastAsia="Aptos" w:hAnsi="Arial Narrow" w:cs="Calibri"/>
                <w:color w:val="000000" w:themeColor="text1"/>
                <w:kern w:val="2"/>
                <w:sz w:val="20"/>
                <w:szCs w:val="20"/>
                <w:lang w:eastAsia="en-US"/>
                <w14:ligatures w14:val="standardContextual"/>
              </w:rPr>
            </w:pPr>
            <w:r w:rsidRPr="007C06BB">
              <w:rPr>
                <w:rFonts w:ascii="Arial Narrow" w:eastAsia="Aptos" w:hAnsi="Arial Narrow"/>
                <w:color w:val="000000" w:themeColor="text1"/>
                <w:kern w:val="2"/>
                <w:sz w:val="20"/>
                <w:szCs w:val="20"/>
                <w:vertAlign w:val="subscript"/>
                <w:lang w:eastAsia="en-US"/>
                <w14:ligatures w14:val="standardContextual"/>
              </w:rPr>
              <w:t xml:space="preserve">MP  </w:t>
            </w:r>
          </w:p>
        </w:tc>
        <w:tc>
          <w:tcPr>
            <w:tcW w:w="708" w:type="dxa"/>
          </w:tcPr>
          <w:p w14:paraId="29B3183C" w14:textId="77777777" w:rsidR="000C038C" w:rsidRPr="007C06BB" w:rsidRDefault="000C038C" w:rsidP="000B7BFD">
            <w:pPr>
              <w:keepNext/>
              <w:spacing w:line="259" w:lineRule="auto"/>
              <w:ind w:left="-57"/>
              <w:jc w:val="center"/>
              <w:rPr>
                <w:rFonts w:ascii="Arial Narrow" w:eastAsia="Aptos" w:hAnsi="Arial Narrow" w:cs="Calibri"/>
                <w:color w:val="000000" w:themeColor="text1"/>
                <w:kern w:val="2"/>
                <w:sz w:val="20"/>
                <w:szCs w:val="20"/>
                <w:lang w:eastAsia="en-US"/>
                <w14:ligatures w14:val="standardContextual"/>
              </w:rPr>
            </w:pPr>
            <w:r w:rsidRPr="007C06BB">
              <w:rPr>
                <w:rFonts w:ascii="Arial Narrow" w:eastAsia="Aptos" w:hAnsi="Arial Narrow" w:cs="Calibri"/>
                <w:color w:val="000000" w:themeColor="text1"/>
                <w:kern w:val="2"/>
                <w:sz w:val="20"/>
                <w:szCs w:val="20"/>
                <w:lang w:eastAsia="en-US"/>
                <w14:ligatures w14:val="standardContextual"/>
              </w:rPr>
              <w:t>1</w:t>
            </w:r>
          </w:p>
        </w:tc>
        <w:tc>
          <w:tcPr>
            <w:tcW w:w="709" w:type="dxa"/>
          </w:tcPr>
          <w:p w14:paraId="56B57808" w14:textId="77777777" w:rsidR="000C038C" w:rsidRPr="007C06BB" w:rsidRDefault="000C038C" w:rsidP="000B7BFD">
            <w:pPr>
              <w:keepNext/>
              <w:spacing w:line="259" w:lineRule="auto"/>
              <w:jc w:val="center"/>
              <w:rPr>
                <w:rFonts w:ascii="Arial Narrow" w:eastAsia="Aptos" w:hAnsi="Arial Narrow" w:cs="Calibri"/>
                <w:color w:val="000000" w:themeColor="text1"/>
                <w:kern w:val="2"/>
                <w:sz w:val="20"/>
                <w:szCs w:val="20"/>
                <w:lang w:eastAsia="en-US"/>
                <w14:ligatures w14:val="standardContextual"/>
              </w:rPr>
            </w:pPr>
            <w:r w:rsidRPr="007C06BB">
              <w:rPr>
                <w:rFonts w:ascii="Arial Narrow" w:eastAsia="Aptos" w:hAnsi="Arial Narrow" w:cs="Calibri"/>
                <w:color w:val="000000" w:themeColor="text1"/>
                <w:kern w:val="2"/>
                <w:sz w:val="20"/>
                <w:szCs w:val="20"/>
                <w:lang w:eastAsia="en-US"/>
                <w14:ligatures w14:val="standardContextual"/>
              </w:rPr>
              <w:t>2</w:t>
            </w:r>
          </w:p>
        </w:tc>
        <w:tc>
          <w:tcPr>
            <w:tcW w:w="709" w:type="dxa"/>
          </w:tcPr>
          <w:p w14:paraId="0ACABAA1" w14:textId="77777777" w:rsidR="000C038C" w:rsidRPr="007C06BB" w:rsidRDefault="000C038C" w:rsidP="000B7BFD">
            <w:pPr>
              <w:keepNext/>
              <w:spacing w:line="259" w:lineRule="auto"/>
              <w:jc w:val="center"/>
              <w:rPr>
                <w:rFonts w:ascii="Arial Narrow" w:eastAsia="Aptos" w:hAnsi="Arial Narrow" w:cs="Calibri"/>
                <w:color w:val="000000" w:themeColor="text1"/>
                <w:kern w:val="2"/>
                <w:sz w:val="20"/>
                <w:szCs w:val="20"/>
                <w:lang w:eastAsia="en-US"/>
                <w14:ligatures w14:val="standardContextual"/>
              </w:rPr>
            </w:pPr>
            <w:r w:rsidRPr="007C06BB">
              <w:rPr>
                <w:rFonts w:ascii="Arial Narrow" w:eastAsia="Aptos" w:hAnsi="Arial Narrow" w:cs="Calibri"/>
                <w:color w:val="000000" w:themeColor="text1"/>
                <w:kern w:val="2"/>
                <w:sz w:val="20"/>
                <w:szCs w:val="20"/>
                <w:lang w:eastAsia="en-US"/>
                <w14:ligatures w14:val="standardContextual"/>
              </w:rPr>
              <w:t xml:space="preserve">5 </w:t>
            </w:r>
          </w:p>
        </w:tc>
        <w:tc>
          <w:tcPr>
            <w:tcW w:w="1701" w:type="dxa"/>
          </w:tcPr>
          <w:p w14:paraId="1E665F4C" w14:textId="77777777" w:rsidR="000C038C" w:rsidRPr="007C06BB" w:rsidRDefault="000C038C" w:rsidP="000B7BFD">
            <w:pPr>
              <w:keepNext/>
              <w:spacing w:line="259" w:lineRule="auto"/>
              <w:ind w:left="-57"/>
              <w:rPr>
                <w:rFonts w:ascii="Arial Narrow" w:eastAsia="Aptos" w:hAnsi="Arial Narrow" w:cs="Calibri"/>
                <w:color w:val="000000" w:themeColor="text1"/>
                <w:kern w:val="2"/>
                <w:sz w:val="20"/>
                <w:szCs w:val="20"/>
                <w:lang w:eastAsia="en-US"/>
                <w14:ligatures w14:val="standardContextual"/>
              </w:rPr>
            </w:pPr>
            <w:r w:rsidRPr="007C06BB">
              <w:rPr>
                <w:rFonts w:ascii="Arial Narrow" w:eastAsia="Aptos" w:hAnsi="Arial Narrow" w:cs="Calibri"/>
                <w:color w:val="000000" w:themeColor="text1"/>
                <w:kern w:val="2"/>
                <w:sz w:val="20"/>
                <w:szCs w:val="20"/>
                <w:lang w:eastAsia="en-US"/>
                <w14:ligatures w14:val="standardContextual"/>
              </w:rPr>
              <w:t>Dupixent</w:t>
            </w:r>
            <w:r w:rsidRPr="007C06BB">
              <w:rPr>
                <w:rFonts w:ascii="Arial Narrow" w:eastAsia="Aptos" w:hAnsi="Arial Narrow" w:cs="Calibri"/>
                <w:color w:val="000000" w:themeColor="text1"/>
                <w:kern w:val="2"/>
                <w:sz w:val="20"/>
                <w:szCs w:val="20"/>
                <w:vertAlign w:val="superscript"/>
                <w:lang w:eastAsia="en-US"/>
                <w14:ligatures w14:val="standardContextual"/>
              </w:rPr>
              <w:t>®</w:t>
            </w:r>
          </w:p>
        </w:tc>
      </w:tr>
      <w:tr w:rsidR="000C038C" w:rsidRPr="00964DA0" w14:paraId="66E34F60" w14:textId="77777777" w:rsidTr="004A36C8">
        <w:trPr>
          <w:trHeight w:val="221"/>
        </w:trPr>
        <w:tc>
          <w:tcPr>
            <w:tcW w:w="9351" w:type="dxa"/>
            <w:gridSpan w:val="6"/>
          </w:tcPr>
          <w:p w14:paraId="5D502689" w14:textId="77777777" w:rsidR="000C038C" w:rsidRPr="007C06BB" w:rsidRDefault="000C038C" w:rsidP="000B7BFD">
            <w:pPr>
              <w:keepNext/>
              <w:spacing w:line="259" w:lineRule="auto"/>
              <w:ind w:left="-57"/>
              <w:rPr>
                <w:rFonts w:ascii="Arial Narrow" w:eastAsia="Aptos" w:hAnsi="Arial Narrow" w:cs="Calibri"/>
                <w:color w:val="000000" w:themeColor="text1"/>
                <w:kern w:val="2"/>
                <w:sz w:val="20"/>
                <w:szCs w:val="20"/>
                <w:lang w:eastAsia="en-US"/>
                <w14:ligatures w14:val="standardContextual"/>
              </w:rPr>
            </w:pPr>
          </w:p>
        </w:tc>
      </w:tr>
      <w:tr w:rsidR="00CB26C7" w:rsidRPr="00964DA0" w14:paraId="560C68C2" w14:textId="77777777" w:rsidTr="00CB26C7">
        <w:tblPrEx>
          <w:tblCellMar>
            <w:top w:w="15" w:type="dxa"/>
            <w:left w:w="15" w:type="dxa"/>
            <w:bottom w:w="15" w:type="dxa"/>
            <w:right w:w="15" w:type="dxa"/>
          </w:tblCellMar>
        </w:tblPrEx>
        <w:tc>
          <w:tcPr>
            <w:tcW w:w="9351" w:type="dxa"/>
            <w:gridSpan w:val="6"/>
            <w:vAlign w:val="center"/>
          </w:tcPr>
          <w:p w14:paraId="63DAA582" w14:textId="77777777" w:rsidR="00CB26C7" w:rsidRPr="007C06BB" w:rsidRDefault="00CB26C7">
            <w:pPr>
              <w:spacing w:line="259" w:lineRule="auto"/>
              <w:jc w:val="left"/>
              <w:rPr>
                <w:rFonts w:ascii="Arial Narrow" w:hAnsi="Arial Narrow" w:cs="Calibri"/>
                <w:b/>
                <w:bCs/>
                <w:color w:val="000000" w:themeColor="text1"/>
                <w:kern w:val="2"/>
                <w:sz w:val="20"/>
                <w:szCs w:val="20"/>
                <w14:ligatures w14:val="standardContextual"/>
              </w:rPr>
            </w:pPr>
            <w:r w:rsidRPr="007C06BB">
              <w:rPr>
                <w:rFonts w:ascii="Arial Narrow" w:eastAsia="Aptos" w:hAnsi="Arial Narrow"/>
                <w:b/>
                <w:color w:val="000000" w:themeColor="text1"/>
                <w:kern w:val="2"/>
                <w:sz w:val="20"/>
                <w:szCs w:val="20"/>
                <w:lang w:eastAsia="en-US"/>
                <w14:ligatures w14:val="standardContextual"/>
              </w:rPr>
              <w:t>Category / Program:</w:t>
            </w:r>
            <w:r w:rsidRPr="007C06BB">
              <w:rPr>
                <w:rFonts w:ascii="Arial Narrow" w:eastAsia="Aptos" w:hAnsi="Arial Narrow"/>
                <w:color w:val="000000" w:themeColor="text1"/>
                <w:kern w:val="2"/>
                <w:sz w:val="20"/>
                <w:szCs w:val="20"/>
                <w:lang w:eastAsia="en-US"/>
                <w14:ligatures w14:val="standardContextual"/>
              </w:rPr>
              <w:t xml:space="preserve"> </w:t>
            </w:r>
            <w:r w:rsidRPr="007C06BB">
              <w:rPr>
                <w:rFonts w:ascii="Arial Narrow" w:eastAsia="Calibri" w:hAnsi="Arial Narrow"/>
                <w:color w:val="000000" w:themeColor="text1"/>
                <w:kern w:val="2"/>
                <w:sz w:val="20"/>
                <w:szCs w:val="20"/>
                <w:lang w:eastAsia="en-US"/>
                <w14:ligatures w14:val="standardContextual"/>
              </w:rPr>
              <w:fldChar w:fldCharType="begin">
                <w:ffData>
                  <w:name w:val=""/>
                  <w:enabled/>
                  <w:calcOnExit w:val="0"/>
                  <w:checkBox>
                    <w:sizeAuto/>
                    <w:default w:val="1"/>
                  </w:checkBox>
                </w:ffData>
              </w:fldChar>
            </w:r>
            <w:r w:rsidRPr="007C06BB">
              <w:rPr>
                <w:rFonts w:ascii="Arial Narrow" w:eastAsia="Calibri" w:hAnsi="Arial Narrow"/>
                <w:color w:val="000000" w:themeColor="text1"/>
                <w:kern w:val="2"/>
                <w:sz w:val="20"/>
                <w:szCs w:val="20"/>
                <w:lang w:eastAsia="en-US"/>
                <w14:ligatures w14:val="standardContextual"/>
              </w:rPr>
              <w:instrText xml:space="preserve"> FORMCHECKBOX </w:instrText>
            </w:r>
            <w:r w:rsidRPr="007C06BB">
              <w:rPr>
                <w:rFonts w:ascii="Arial Narrow" w:eastAsia="Calibri" w:hAnsi="Arial Narrow"/>
                <w:color w:val="000000" w:themeColor="text1"/>
                <w:kern w:val="2"/>
                <w:sz w:val="20"/>
                <w:szCs w:val="20"/>
                <w:lang w:eastAsia="en-US"/>
                <w14:ligatures w14:val="standardContextual"/>
              </w:rPr>
            </w:r>
            <w:r w:rsidRPr="007C06BB">
              <w:rPr>
                <w:rFonts w:ascii="Arial Narrow" w:eastAsia="Calibri" w:hAnsi="Arial Narrow"/>
                <w:color w:val="000000" w:themeColor="text1"/>
                <w:kern w:val="2"/>
                <w:sz w:val="20"/>
                <w:szCs w:val="20"/>
                <w:lang w:eastAsia="en-US"/>
                <w14:ligatures w14:val="standardContextual"/>
              </w:rPr>
              <w:fldChar w:fldCharType="separate"/>
            </w:r>
            <w:r w:rsidRPr="007C06BB">
              <w:rPr>
                <w:rFonts w:ascii="Arial Narrow" w:eastAsia="Calibri" w:hAnsi="Arial Narrow"/>
                <w:color w:val="000000" w:themeColor="text1"/>
                <w:kern w:val="2"/>
                <w:sz w:val="20"/>
                <w:szCs w:val="20"/>
                <w:lang w:eastAsia="en-US"/>
                <w14:ligatures w14:val="standardContextual"/>
              </w:rPr>
              <w:fldChar w:fldCharType="end"/>
            </w:r>
            <w:r w:rsidRPr="007C06BB">
              <w:rPr>
                <w:rFonts w:ascii="Arial Narrow" w:eastAsia="Calibri" w:hAnsi="Arial Narrow"/>
                <w:color w:val="000000" w:themeColor="text1"/>
                <w:kern w:val="2"/>
                <w:sz w:val="20"/>
                <w:szCs w:val="20"/>
                <w:lang w:eastAsia="en-US"/>
                <w14:ligatures w14:val="standardContextual"/>
              </w:rPr>
              <w:t xml:space="preserve"> </w:t>
            </w:r>
            <w:r w:rsidRPr="007C06BB">
              <w:rPr>
                <w:rFonts w:ascii="Arial Narrow" w:eastAsia="Calibri" w:hAnsi="Arial Narrow"/>
                <w:color w:val="000000" w:themeColor="text1"/>
                <w:sz w:val="20"/>
                <w:szCs w:val="20"/>
              </w:rPr>
              <w:t>Section 100 – Highly Specialised Drugs Program – Public (Code HB) / Private (Code HS)</w:t>
            </w:r>
          </w:p>
        </w:tc>
      </w:tr>
      <w:tr w:rsidR="00CB26C7" w:rsidRPr="00964DA0" w14:paraId="1E2FEFD1" w14:textId="77777777" w:rsidTr="00CB26C7">
        <w:tblPrEx>
          <w:tblCellMar>
            <w:top w:w="15" w:type="dxa"/>
            <w:left w:w="15" w:type="dxa"/>
            <w:bottom w:w="15" w:type="dxa"/>
            <w:right w:w="15" w:type="dxa"/>
          </w:tblCellMar>
        </w:tblPrEx>
        <w:tc>
          <w:tcPr>
            <w:tcW w:w="9351" w:type="dxa"/>
            <w:gridSpan w:val="6"/>
            <w:vAlign w:val="center"/>
          </w:tcPr>
          <w:p w14:paraId="023AA09A" w14:textId="77777777" w:rsidR="00CB26C7" w:rsidRPr="007C06BB" w:rsidRDefault="00CB26C7">
            <w:pPr>
              <w:spacing w:line="259" w:lineRule="auto"/>
              <w:jc w:val="left"/>
              <w:rPr>
                <w:rFonts w:ascii="Arial Narrow" w:hAnsi="Arial Narrow" w:cs="Calibri"/>
                <w:b/>
                <w:bCs/>
                <w:color w:val="000000" w:themeColor="text1"/>
                <w:kern w:val="2"/>
                <w:sz w:val="20"/>
                <w:szCs w:val="20"/>
                <w14:ligatures w14:val="standardContextual"/>
              </w:rPr>
            </w:pPr>
            <w:r w:rsidRPr="007C06BB">
              <w:rPr>
                <w:rFonts w:ascii="Arial Narrow" w:eastAsia="Aptos" w:hAnsi="Arial Narrow"/>
                <w:b/>
                <w:color w:val="000000" w:themeColor="text1"/>
                <w:kern w:val="2"/>
                <w:sz w:val="20"/>
                <w:szCs w:val="20"/>
                <w:lang w:eastAsia="en-US"/>
                <w14:ligatures w14:val="standardContextual"/>
              </w:rPr>
              <w:t>Prescriber type:</w:t>
            </w:r>
            <w:r w:rsidRPr="007C06BB">
              <w:rPr>
                <w:rFonts w:ascii="Arial Narrow" w:eastAsia="Aptos" w:hAnsi="Arial Narrow"/>
                <w:color w:val="000000" w:themeColor="text1"/>
                <w:kern w:val="2"/>
                <w:sz w:val="20"/>
                <w:szCs w:val="20"/>
                <w:lang w:eastAsia="en-US"/>
                <w14:ligatures w14:val="standardContextual"/>
              </w:rPr>
              <w:t xml:space="preserve"> </w:t>
            </w:r>
            <w:r w:rsidRPr="007C06BB">
              <w:rPr>
                <w:rFonts w:ascii="Arial Narrow" w:eastAsia="Aptos" w:hAnsi="Arial Narrow"/>
                <w:color w:val="000000" w:themeColor="text1"/>
                <w:kern w:val="2"/>
                <w:sz w:val="20"/>
                <w:szCs w:val="20"/>
                <w:lang w:eastAsia="en-US"/>
                <w14:ligatures w14:val="standardContextual"/>
              </w:rPr>
              <w:fldChar w:fldCharType="begin">
                <w:ffData>
                  <w:name w:val=""/>
                  <w:enabled/>
                  <w:calcOnExit w:val="0"/>
                  <w:checkBox>
                    <w:sizeAuto/>
                    <w:default w:val="1"/>
                  </w:checkBox>
                </w:ffData>
              </w:fldChar>
            </w:r>
            <w:r w:rsidRPr="007C06BB">
              <w:rPr>
                <w:rFonts w:ascii="Arial Narrow" w:eastAsia="Aptos" w:hAnsi="Arial Narrow"/>
                <w:color w:val="000000" w:themeColor="text1"/>
                <w:kern w:val="2"/>
                <w:sz w:val="20"/>
                <w:szCs w:val="20"/>
                <w:lang w:eastAsia="en-US"/>
                <w14:ligatures w14:val="standardContextual"/>
              </w:rPr>
              <w:instrText xml:space="preserve"> FORMCHECKBOX </w:instrText>
            </w:r>
            <w:r w:rsidRPr="007C06BB">
              <w:rPr>
                <w:rFonts w:ascii="Arial Narrow" w:eastAsia="Aptos" w:hAnsi="Arial Narrow"/>
                <w:color w:val="000000" w:themeColor="text1"/>
                <w:kern w:val="2"/>
                <w:sz w:val="20"/>
                <w:szCs w:val="20"/>
                <w:lang w:eastAsia="en-US"/>
                <w14:ligatures w14:val="standardContextual"/>
              </w:rPr>
            </w:r>
            <w:r w:rsidRPr="007C06BB">
              <w:rPr>
                <w:rFonts w:ascii="Arial Narrow" w:eastAsia="Aptos" w:hAnsi="Arial Narrow"/>
                <w:color w:val="000000" w:themeColor="text1"/>
                <w:kern w:val="2"/>
                <w:sz w:val="20"/>
                <w:szCs w:val="20"/>
                <w:lang w:eastAsia="en-US"/>
                <w14:ligatures w14:val="standardContextual"/>
              </w:rPr>
              <w:fldChar w:fldCharType="separate"/>
            </w:r>
            <w:r w:rsidRPr="007C06BB">
              <w:rPr>
                <w:rFonts w:ascii="Arial Narrow" w:eastAsia="Aptos" w:hAnsi="Arial Narrow"/>
                <w:color w:val="000000" w:themeColor="text1"/>
                <w:kern w:val="2"/>
                <w:sz w:val="20"/>
                <w:szCs w:val="20"/>
                <w:lang w:eastAsia="en-US"/>
                <w14:ligatures w14:val="standardContextual"/>
              </w:rPr>
              <w:fldChar w:fldCharType="end"/>
            </w:r>
            <w:r w:rsidRPr="007C06BB">
              <w:rPr>
                <w:rFonts w:ascii="Arial Narrow" w:eastAsia="Aptos" w:hAnsi="Arial Narrow"/>
                <w:color w:val="000000" w:themeColor="text1"/>
                <w:kern w:val="2"/>
                <w:sz w:val="20"/>
                <w:szCs w:val="20"/>
                <w:lang w:eastAsia="en-US"/>
                <w14:ligatures w14:val="standardContextual"/>
              </w:rPr>
              <w:t>Medical Practitioners</w:t>
            </w:r>
          </w:p>
        </w:tc>
      </w:tr>
      <w:tr w:rsidR="00CB26C7" w:rsidRPr="00964DA0" w14:paraId="1CC2AFB8" w14:textId="77777777" w:rsidTr="00CB26C7">
        <w:tblPrEx>
          <w:tblCellMar>
            <w:top w:w="15" w:type="dxa"/>
            <w:left w:w="15" w:type="dxa"/>
            <w:bottom w:w="15" w:type="dxa"/>
            <w:right w:w="15" w:type="dxa"/>
          </w:tblCellMar>
        </w:tblPrEx>
        <w:tc>
          <w:tcPr>
            <w:tcW w:w="9351" w:type="dxa"/>
            <w:gridSpan w:val="6"/>
            <w:vAlign w:val="center"/>
          </w:tcPr>
          <w:p w14:paraId="6BAE676D" w14:textId="77777777" w:rsidR="00CB26C7" w:rsidRPr="007C06BB" w:rsidRDefault="00CB26C7">
            <w:pPr>
              <w:spacing w:line="259" w:lineRule="auto"/>
              <w:jc w:val="left"/>
              <w:rPr>
                <w:rFonts w:ascii="Arial Narrow" w:hAnsi="Arial Narrow" w:cs="Calibri"/>
                <w:b/>
                <w:bCs/>
                <w:color w:val="000000" w:themeColor="text1"/>
                <w:kern w:val="2"/>
                <w:sz w:val="20"/>
                <w:szCs w:val="20"/>
                <w14:ligatures w14:val="standardContextual"/>
              </w:rPr>
            </w:pPr>
            <w:r w:rsidRPr="007C06BB">
              <w:rPr>
                <w:rFonts w:ascii="Arial Narrow" w:eastAsia="Aptos" w:hAnsi="Arial Narrow"/>
                <w:b/>
                <w:color w:val="000000" w:themeColor="text1"/>
                <w:kern w:val="2"/>
                <w:sz w:val="20"/>
                <w:szCs w:val="20"/>
                <w:lang w:eastAsia="en-US"/>
                <w14:ligatures w14:val="standardContextual"/>
              </w:rPr>
              <w:t xml:space="preserve">Restriction type: </w:t>
            </w:r>
            <w:r w:rsidRPr="007C06BB">
              <w:rPr>
                <w:rFonts w:ascii="Arial Narrow" w:eastAsia="Calibri" w:hAnsi="Arial Narrow"/>
                <w:color w:val="000000" w:themeColor="text1"/>
                <w:kern w:val="2"/>
                <w:sz w:val="20"/>
                <w:szCs w:val="20"/>
                <w:lang w:eastAsia="en-US"/>
                <w14:ligatures w14:val="standardContextual"/>
              </w:rPr>
              <w:fldChar w:fldCharType="begin">
                <w:ffData>
                  <w:name w:val=""/>
                  <w:enabled/>
                  <w:calcOnExit w:val="0"/>
                  <w:checkBox>
                    <w:sizeAuto/>
                    <w:default w:val="1"/>
                  </w:checkBox>
                </w:ffData>
              </w:fldChar>
            </w:r>
            <w:r w:rsidRPr="007C06BB">
              <w:rPr>
                <w:rFonts w:ascii="Arial Narrow" w:eastAsia="Calibri" w:hAnsi="Arial Narrow"/>
                <w:color w:val="000000" w:themeColor="text1"/>
                <w:kern w:val="2"/>
                <w:sz w:val="20"/>
                <w:szCs w:val="20"/>
                <w:lang w:eastAsia="en-US"/>
                <w14:ligatures w14:val="standardContextual"/>
              </w:rPr>
              <w:instrText xml:space="preserve"> FORMCHECKBOX </w:instrText>
            </w:r>
            <w:r w:rsidRPr="007C06BB">
              <w:rPr>
                <w:rFonts w:ascii="Arial Narrow" w:eastAsia="Calibri" w:hAnsi="Arial Narrow"/>
                <w:color w:val="000000" w:themeColor="text1"/>
                <w:kern w:val="2"/>
                <w:sz w:val="20"/>
                <w:szCs w:val="20"/>
                <w:lang w:eastAsia="en-US"/>
                <w14:ligatures w14:val="standardContextual"/>
              </w:rPr>
            </w:r>
            <w:r w:rsidRPr="007C06BB">
              <w:rPr>
                <w:rFonts w:ascii="Arial Narrow" w:eastAsia="Calibri" w:hAnsi="Arial Narrow"/>
                <w:color w:val="000000" w:themeColor="text1"/>
                <w:kern w:val="2"/>
                <w:sz w:val="20"/>
                <w:szCs w:val="20"/>
                <w:lang w:eastAsia="en-US"/>
                <w14:ligatures w14:val="standardContextual"/>
              </w:rPr>
              <w:fldChar w:fldCharType="separate"/>
            </w:r>
            <w:r w:rsidRPr="007C06BB">
              <w:rPr>
                <w:rFonts w:ascii="Arial Narrow" w:eastAsia="Calibri" w:hAnsi="Arial Narrow"/>
                <w:color w:val="000000" w:themeColor="text1"/>
                <w:kern w:val="2"/>
                <w:sz w:val="20"/>
                <w:szCs w:val="20"/>
                <w:lang w:eastAsia="en-US"/>
                <w14:ligatures w14:val="standardContextual"/>
              </w:rPr>
              <w:fldChar w:fldCharType="end"/>
            </w:r>
            <w:r w:rsidRPr="007C06BB">
              <w:rPr>
                <w:rFonts w:ascii="Arial Narrow" w:eastAsia="Calibri" w:hAnsi="Arial Narrow"/>
                <w:color w:val="000000" w:themeColor="text1"/>
                <w:kern w:val="2"/>
                <w:sz w:val="20"/>
                <w:szCs w:val="20"/>
                <w14:ligatures w14:val="standardContextual"/>
              </w:rPr>
              <w:t xml:space="preserve"> Authority Required – immediate/real time assessment by Services Australia (telephone/online application avenues)</w:t>
            </w:r>
          </w:p>
        </w:tc>
      </w:tr>
      <w:tr w:rsidR="00CB26C7" w:rsidRPr="00964DA0" w14:paraId="0FE1236B" w14:textId="77777777" w:rsidTr="00CB26C7">
        <w:tblPrEx>
          <w:tblCellMar>
            <w:top w:w="15" w:type="dxa"/>
            <w:left w:w="15" w:type="dxa"/>
            <w:bottom w:w="15" w:type="dxa"/>
            <w:right w:w="15" w:type="dxa"/>
          </w:tblCellMar>
        </w:tblPrEx>
        <w:tc>
          <w:tcPr>
            <w:tcW w:w="9351" w:type="dxa"/>
            <w:gridSpan w:val="6"/>
            <w:vAlign w:val="center"/>
          </w:tcPr>
          <w:p w14:paraId="5654D7A1" w14:textId="77777777" w:rsidR="00CB26C7" w:rsidRPr="007C06BB" w:rsidRDefault="00CB26C7">
            <w:pPr>
              <w:spacing w:line="259" w:lineRule="auto"/>
              <w:jc w:val="left"/>
              <w:rPr>
                <w:rFonts w:ascii="Arial Narrow" w:eastAsia="Aptos" w:hAnsi="Arial Narrow"/>
                <w:b/>
                <w:color w:val="000000" w:themeColor="text1"/>
                <w:kern w:val="2"/>
                <w:sz w:val="20"/>
                <w:szCs w:val="20"/>
                <w:lang w:eastAsia="en-US"/>
                <w14:ligatures w14:val="standardContextual"/>
              </w:rPr>
            </w:pPr>
            <w:r w:rsidRPr="007C06BB">
              <w:rPr>
                <w:rFonts w:ascii="Arial Narrow" w:hAnsi="Arial Narrow"/>
                <w:b/>
                <w:color w:val="000000" w:themeColor="text1"/>
                <w:sz w:val="20"/>
                <w:szCs w:val="20"/>
              </w:rPr>
              <w:t xml:space="preserve">Authority type: </w:t>
            </w:r>
            <w:r w:rsidRPr="007C06BB">
              <w:rPr>
                <w:rFonts w:ascii="Arial Narrow" w:eastAsia="Calibri" w:hAnsi="Arial Narrow"/>
                <w:color w:val="000000" w:themeColor="text1"/>
                <w:sz w:val="20"/>
                <w:szCs w:val="20"/>
              </w:rPr>
              <w:fldChar w:fldCharType="begin">
                <w:ffData>
                  <w:name w:val=""/>
                  <w:enabled/>
                  <w:calcOnExit w:val="0"/>
                  <w:checkBox>
                    <w:sizeAuto/>
                    <w:default w:val="1"/>
                  </w:checkBox>
                </w:ffData>
              </w:fldChar>
            </w:r>
            <w:r w:rsidRPr="007C06BB">
              <w:rPr>
                <w:rFonts w:ascii="Arial Narrow" w:eastAsia="Calibri" w:hAnsi="Arial Narrow"/>
                <w:color w:val="000000" w:themeColor="text1"/>
                <w:sz w:val="20"/>
                <w:szCs w:val="20"/>
              </w:rPr>
              <w:instrText xml:space="preserve"> FORMCHECKBOX </w:instrText>
            </w:r>
            <w:r w:rsidRPr="007C06BB">
              <w:rPr>
                <w:rFonts w:ascii="Arial Narrow" w:eastAsia="Calibri" w:hAnsi="Arial Narrow"/>
                <w:color w:val="000000" w:themeColor="text1"/>
                <w:sz w:val="20"/>
                <w:szCs w:val="20"/>
              </w:rPr>
            </w:r>
            <w:r w:rsidRPr="007C06BB">
              <w:rPr>
                <w:rFonts w:ascii="Arial Narrow" w:eastAsia="Calibri" w:hAnsi="Arial Narrow"/>
                <w:color w:val="000000" w:themeColor="text1"/>
                <w:sz w:val="20"/>
                <w:szCs w:val="20"/>
              </w:rPr>
              <w:fldChar w:fldCharType="separate"/>
            </w:r>
            <w:r w:rsidRPr="007C06BB">
              <w:rPr>
                <w:rFonts w:ascii="Arial Narrow" w:eastAsia="Calibri" w:hAnsi="Arial Narrow"/>
                <w:color w:val="000000" w:themeColor="text1"/>
                <w:sz w:val="20"/>
                <w:szCs w:val="20"/>
              </w:rPr>
              <w:fldChar w:fldCharType="end"/>
            </w:r>
            <w:r w:rsidRPr="007C06BB">
              <w:rPr>
                <w:rFonts w:ascii="Arial Narrow" w:eastAsia="Calibri" w:hAnsi="Arial Narrow"/>
                <w:color w:val="000000" w:themeColor="text1"/>
                <w:sz w:val="20"/>
                <w:szCs w:val="20"/>
              </w:rPr>
              <w:t xml:space="preserve"> Complex Authority Required (CAR)</w:t>
            </w:r>
          </w:p>
        </w:tc>
      </w:tr>
      <w:tr w:rsidR="00CB26C7" w:rsidRPr="00964DA0" w14:paraId="3949ADA6" w14:textId="77777777" w:rsidTr="00CB26C7">
        <w:tblPrEx>
          <w:tblCellMar>
            <w:top w:w="15" w:type="dxa"/>
            <w:left w:w="15" w:type="dxa"/>
            <w:bottom w:w="15" w:type="dxa"/>
            <w:right w:w="15" w:type="dxa"/>
          </w:tblCellMar>
        </w:tblPrEx>
        <w:tc>
          <w:tcPr>
            <w:tcW w:w="9351" w:type="dxa"/>
            <w:gridSpan w:val="6"/>
            <w:vAlign w:val="center"/>
          </w:tcPr>
          <w:p w14:paraId="6E832C5C" w14:textId="77777777" w:rsidR="00CB26C7" w:rsidRPr="007C06BB" w:rsidRDefault="00CB26C7">
            <w:pPr>
              <w:spacing w:line="259" w:lineRule="auto"/>
              <w:jc w:val="left"/>
              <w:rPr>
                <w:rFonts w:ascii="Arial Narrow" w:eastAsia="Aptos" w:hAnsi="Arial Narrow"/>
                <w:b/>
                <w:color w:val="000000" w:themeColor="text1"/>
                <w:kern w:val="2"/>
                <w:sz w:val="20"/>
                <w:szCs w:val="20"/>
                <w:lang w:eastAsia="en-US"/>
                <w14:ligatures w14:val="standardContextual"/>
              </w:rPr>
            </w:pPr>
            <w:r w:rsidRPr="007C06BB">
              <w:rPr>
                <w:rFonts w:ascii="Arial Narrow" w:hAnsi="Arial Narrow" w:cs="Times New Roman"/>
                <w:b/>
                <w:bCs/>
                <w:color w:val="000000" w:themeColor="text1"/>
                <w:kern w:val="2"/>
                <w:sz w:val="20"/>
                <w:szCs w:val="20"/>
                <w14:ligatures w14:val="standardContextual"/>
              </w:rPr>
              <w:t xml:space="preserve">Administrative Advice: </w:t>
            </w:r>
            <w:r w:rsidRPr="007C06BB">
              <w:rPr>
                <w:rFonts w:ascii="Arial Narrow" w:hAnsi="Arial Narrow" w:cs="Times New Roman"/>
                <w:color w:val="000000" w:themeColor="text1"/>
                <w:kern w:val="2"/>
                <w:sz w:val="20"/>
                <w:szCs w:val="20"/>
                <w14:ligatures w14:val="standardContextual"/>
              </w:rPr>
              <w:t>No increase in the maximum quantity or number of units may be authorised</w:t>
            </w:r>
          </w:p>
        </w:tc>
      </w:tr>
      <w:tr w:rsidR="00CB26C7" w:rsidRPr="00964DA0" w14:paraId="52512073" w14:textId="77777777" w:rsidTr="00CB26C7">
        <w:tblPrEx>
          <w:tblCellMar>
            <w:top w:w="15" w:type="dxa"/>
            <w:left w:w="15" w:type="dxa"/>
            <w:bottom w:w="15" w:type="dxa"/>
            <w:right w:w="15" w:type="dxa"/>
          </w:tblCellMar>
        </w:tblPrEx>
        <w:tc>
          <w:tcPr>
            <w:tcW w:w="9351" w:type="dxa"/>
            <w:gridSpan w:val="6"/>
            <w:vAlign w:val="center"/>
          </w:tcPr>
          <w:p w14:paraId="48C540BB" w14:textId="77777777" w:rsidR="00CB26C7" w:rsidRPr="007C06BB" w:rsidRDefault="00CB26C7">
            <w:pPr>
              <w:spacing w:line="259" w:lineRule="auto"/>
              <w:jc w:val="left"/>
              <w:rPr>
                <w:rFonts w:ascii="Arial Narrow" w:eastAsia="Aptos" w:hAnsi="Arial Narrow"/>
                <w:b/>
                <w:color w:val="000000" w:themeColor="text1"/>
                <w:kern w:val="2"/>
                <w:sz w:val="20"/>
                <w:szCs w:val="20"/>
                <w:lang w:eastAsia="en-US"/>
                <w14:ligatures w14:val="standardContextual"/>
              </w:rPr>
            </w:pPr>
            <w:r w:rsidRPr="007C06BB">
              <w:rPr>
                <w:rFonts w:ascii="Arial Narrow" w:hAnsi="Arial Narrow" w:cs="Times New Roman"/>
                <w:b/>
                <w:bCs/>
                <w:color w:val="000000" w:themeColor="text1"/>
                <w:kern w:val="2"/>
                <w:sz w:val="20"/>
                <w:szCs w:val="20"/>
                <w14:ligatures w14:val="standardContextual"/>
              </w:rPr>
              <w:t xml:space="preserve">Administrative Advice: </w:t>
            </w:r>
            <w:r w:rsidRPr="007C06BB">
              <w:rPr>
                <w:rFonts w:ascii="Arial Narrow" w:hAnsi="Arial Narrow" w:cs="Times New Roman"/>
                <w:color w:val="000000" w:themeColor="text1"/>
                <w:kern w:val="2"/>
                <w:sz w:val="20"/>
                <w:szCs w:val="20"/>
                <w14:ligatures w14:val="standardContextual"/>
              </w:rPr>
              <w:t>No increase in the maximum number of repeats may be authorised</w:t>
            </w:r>
          </w:p>
        </w:tc>
      </w:tr>
      <w:tr w:rsidR="00CB26C7" w:rsidRPr="00964DA0" w14:paraId="1443A9EB" w14:textId="77777777" w:rsidTr="00CB26C7">
        <w:tblPrEx>
          <w:tblCellMar>
            <w:top w:w="15" w:type="dxa"/>
            <w:left w:w="15" w:type="dxa"/>
            <w:bottom w:w="15" w:type="dxa"/>
            <w:right w:w="15" w:type="dxa"/>
          </w:tblCellMar>
        </w:tblPrEx>
        <w:tc>
          <w:tcPr>
            <w:tcW w:w="9351" w:type="dxa"/>
            <w:gridSpan w:val="6"/>
            <w:vAlign w:val="center"/>
          </w:tcPr>
          <w:p w14:paraId="26E758BA" w14:textId="77777777" w:rsidR="00CB26C7" w:rsidRPr="007C06BB" w:rsidRDefault="00CB26C7">
            <w:pPr>
              <w:spacing w:line="259" w:lineRule="auto"/>
              <w:jc w:val="left"/>
              <w:rPr>
                <w:rFonts w:ascii="Arial Narrow" w:eastAsia="Aptos" w:hAnsi="Arial Narrow"/>
                <w:b/>
                <w:color w:val="000000" w:themeColor="text1"/>
                <w:kern w:val="2"/>
                <w:sz w:val="20"/>
                <w:szCs w:val="20"/>
                <w:lang w:eastAsia="en-US"/>
                <w14:ligatures w14:val="standardContextual"/>
              </w:rPr>
            </w:pPr>
            <w:r w:rsidRPr="007C06BB">
              <w:rPr>
                <w:rFonts w:ascii="Arial Narrow" w:hAnsi="Arial Narrow" w:cs="Times New Roman"/>
                <w:b/>
                <w:bCs/>
                <w:color w:val="000000" w:themeColor="text1"/>
                <w:kern w:val="2"/>
                <w:sz w:val="20"/>
                <w:szCs w:val="20"/>
                <w14:ligatures w14:val="standardContextual"/>
              </w:rPr>
              <w:t>Administrative Advice:</w:t>
            </w:r>
            <w:r w:rsidRPr="007C06BB">
              <w:rPr>
                <w:rFonts w:ascii="Arial Narrow" w:hAnsi="Arial Narrow" w:cs="Times New Roman"/>
                <w:color w:val="000000" w:themeColor="text1"/>
                <w:kern w:val="2"/>
                <w:sz w:val="20"/>
                <w:szCs w:val="20"/>
                <w14:ligatures w14:val="standardContextual"/>
              </w:rPr>
              <w:t xml:space="preserve"> Special Pricing Arrangements apply</w:t>
            </w:r>
          </w:p>
        </w:tc>
      </w:tr>
      <w:tr w:rsidR="00F60597" w:rsidRPr="00964DA0" w14:paraId="75F254B8" w14:textId="77777777">
        <w:tblPrEx>
          <w:tblCellMar>
            <w:top w:w="15" w:type="dxa"/>
            <w:left w:w="15" w:type="dxa"/>
            <w:bottom w:w="15" w:type="dxa"/>
            <w:right w:w="15" w:type="dxa"/>
          </w:tblCellMar>
        </w:tblPrEx>
        <w:tc>
          <w:tcPr>
            <w:tcW w:w="9351" w:type="dxa"/>
            <w:gridSpan w:val="6"/>
            <w:vAlign w:val="center"/>
          </w:tcPr>
          <w:p w14:paraId="36A869DF" w14:textId="43DB8D64" w:rsidR="00F60597" w:rsidRPr="007C06BB" w:rsidRDefault="00F60597">
            <w:pPr>
              <w:spacing w:line="259" w:lineRule="auto"/>
              <w:jc w:val="left"/>
              <w:rPr>
                <w:rFonts w:ascii="Arial Narrow" w:hAnsi="Arial Narrow" w:cs="Times New Roman"/>
                <w:b/>
                <w:bCs/>
                <w:color w:val="000000" w:themeColor="text1"/>
                <w:kern w:val="2"/>
                <w:sz w:val="20"/>
                <w:szCs w:val="20"/>
                <w14:ligatures w14:val="standardContextual"/>
              </w:rPr>
            </w:pPr>
          </w:p>
        </w:tc>
      </w:tr>
      <w:tr w:rsidR="00484072" w:rsidRPr="00964DA0" w14:paraId="79D56660" w14:textId="77777777" w:rsidTr="00484072">
        <w:tblPrEx>
          <w:tblCellMar>
            <w:top w:w="15" w:type="dxa"/>
            <w:left w:w="15" w:type="dxa"/>
            <w:bottom w:w="15" w:type="dxa"/>
            <w:right w:w="15" w:type="dxa"/>
          </w:tblCellMar>
        </w:tblPrEx>
        <w:tc>
          <w:tcPr>
            <w:tcW w:w="9351" w:type="dxa"/>
            <w:gridSpan w:val="6"/>
            <w:vAlign w:val="center"/>
          </w:tcPr>
          <w:p w14:paraId="0FCB0041" w14:textId="77777777" w:rsidR="00484072" w:rsidRPr="007C06BB" w:rsidRDefault="00484072">
            <w:pPr>
              <w:spacing w:line="259" w:lineRule="auto"/>
              <w:jc w:val="left"/>
              <w:rPr>
                <w:rFonts w:ascii="Arial Narrow" w:hAnsi="Arial Narrow" w:cs="Calibri"/>
                <w:b/>
                <w:bCs/>
                <w:color w:val="000000" w:themeColor="text1"/>
                <w:kern w:val="2"/>
                <w:sz w:val="20"/>
                <w:szCs w:val="20"/>
                <w14:ligatures w14:val="standardContextual"/>
              </w:rPr>
            </w:pPr>
            <w:r w:rsidRPr="007C06BB">
              <w:rPr>
                <w:rFonts w:ascii="Arial Narrow" w:hAnsi="Arial Narrow" w:cs="Times New Roman"/>
                <w:b/>
                <w:bCs/>
                <w:color w:val="000000" w:themeColor="text1"/>
                <w:kern w:val="2"/>
                <w:sz w:val="20"/>
                <w:szCs w:val="20"/>
                <w14:ligatures w14:val="standardContextual"/>
              </w:rPr>
              <w:t>Indication:</w:t>
            </w:r>
            <w:r w:rsidRPr="007C06BB">
              <w:rPr>
                <w:rFonts w:ascii="Arial Narrow" w:hAnsi="Arial Narrow" w:cs="Times New Roman"/>
                <w:color w:val="000000" w:themeColor="text1"/>
                <w:kern w:val="2"/>
                <w:sz w:val="20"/>
                <w:szCs w:val="20"/>
                <w14:ligatures w14:val="standardContextual"/>
              </w:rPr>
              <w:t xml:space="preserve"> Uncontrolled chronic obstructive pulmonary disease (COPD)</w:t>
            </w:r>
          </w:p>
        </w:tc>
      </w:tr>
      <w:tr w:rsidR="00484072" w:rsidRPr="00964DA0" w14:paraId="287D583B" w14:textId="77777777" w:rsidTr="00484072">
        <w:tblPrEx>
          <w:tblCellMar>
            <w:top w:w="15" w:type="dxa"/>
            <w:left w:w="15" w:type="dxa"/>
            <w:bottom w:w="15" w:type="dxa"/>
            <w:right w:w="15" w:type="dxa"/>
          </w:tblCellMar>
        </w:tblPrEx>
        <w:tc>
          <w:tcPr>
            <w:tcW w:w="9351" w:type="dxa"/>
            <w:gridSpan w:val="6"/>
            <w:vAlign w:val="center"/>
          </w:tcPr>
          <w:p w14:paraId="502EA504" w14:textId="77777777" w:rsidR="00484072" w:rsidRPr="007C06BB" w:rsidRDefault="00484072">
            <w:pPr>
              <w:spacing w:line="259" w:lineRule="auto"/>
              <w:jc w:val="left"/>
              <w:rPr>
                <w:rFonts w:ascii="Arial Narrow" w:hAnsi="Arial Narrow" w:cs="Calibri"/>
                <w:b/>
                <w:bCs/>
                <w:color w:val="000000" w:themeColor="text1"/>
                <w:kern w:val="2"/>
                <w:sz w:val="20"/>
                <w:szCs w:val="20"/>
                <w14:ligatures w14:val="standardContextual"/>
              </w:rPr>
            </w:pPr>
            <w:r w:rsidRPr="007C06BB">
              <w:rPr>
                <w:rFonts w:ascii="Arial Narrow" w:hAnsi="Arial Narrow" w:cs="Calibri"/>
                <w:b/>
                <w:bCs/>
                <w:color w:val="000000" w:themeColor="text1"/>
                <w:kern w:val="2"/>
                <w:sz w:val="20"/>
                <w:szCs w:val="20"/>
                <w14:ligatures w14:val="standardContextual"/>
              </w:rPr>
              <w:t>Treatment Phase:</w:t>
            </w:r>
            <w:r w:rsidRPr="007C06BB">
              <w:rPr>
                <w:rFonts w:ascii="Arial Narrow" w:hAnsi="Arial Narrow" w:cs="Calibri"/>
                <w:color w:val="000000" w:themeColor="text1"/>
                <w:kern w:val="2"/>
                <w:sz w:val="20"/>
                <w:szCs w:val="20"/>
                <w14:ligatures w14:val="standardContextual"/>
              </w:rPr>
              <w:t xml:space="preserve"> Continuing treatment</w:t>
            </w:r>
          </w:p>
        </w:tc>
      </w:tr>
      <w:tr w:rsidR="00484072" w:rsidRPr="00964DA0" w14:paraId="31CD586C" w14:textId="77777777" w:rsidTr="00484072">
        <w:tblPrEx>
          <w:tblCellMar>
            <w:top w:w="15" w:type="dxa"/>
            <w:left w:w="15" w:type="dxa"/>
            <w:bottom w:w="15" w:type="dxa"/>
            <w:right w:w="15" w:type="dxa"/>
          </w:tblCellMar>
        </w:tblPrEx>
        <w:tc>
          <w:tcPr>
            <w:tcW w:w="9351" w:type="dxa"/>
            <w:gridSpan w:val="6"/>
            <w:vAlign w:val="center"/>
          </w:tcPr>
          <w:p w14:paraId="2400125E" w14:textId="77777777" w:rsidR="00484072" w:rsidRPr="007C06BB" w:rsidRDefault="00484072" w:rsidP="00FF48A1">
            <w:pPr>
              <w:spacing w:line="259" w:lineRule="auto"/>
              <w:jc w:val="left"/>
              <w:rPr>
                <w:rFonts w:ascii="Arial Narrow" w:hAnsi="Arial Narrow" w:cs="Calibri"/>
                <w:b/>
                <w:bCs/>
                <w:color w:val="000000" w:themeColor="text1"/>
                <w:kern w:val="2"/>
                <w:sz w:val="20"/>
                <w:szCs w:val="20"/>
                <w14:ligatures w14:val="standardContextual"/>
              </w:rPr>
            </w:pPr>
            <w:r w:rsidRPr="007C06BB">
              <w:rPr>
                <w:rFonts w:ascii="Arial Narrow" w:hAnsi="Arial Narrow" w:cs="Calibri"/>
                <w:b/>
                <w:bCs/>
                <w:color w:val="000000" w:themeColor="text1"/>
                <w:kern w:val="2"/>
                <w:sz w:val="20"/>
                <w:szCs w:val="20"/>
                <w14:ligatures w14:val="standardContextual"/>
              </w:rPr>
              <w:t>Clinical criteria:</w:t>
            </w:r>
          </w:p>
        </w:tc>
      </w:tr>
      <w:tr w:rsidR="00484072" w:rsidRPr="00964DA0" w14:paraId="7878EAB3" w14:textId="77777777" w:rsidTr="00484072">
        <w:tblPrEx>
          <w:tblCellMar>
            <w:top w:w="15" w:type="dxa"/>
            <w:left w:w="15" w:type="dxa"/>
            <w:bottom w:w="15" w:type="dxa"/>
            <w:right w:w="15" w:type="dxa"/>
          </w:tblCellMar>
        </w:tblPrEx>
        <w:tc>
          <w:tcPr>
            <w:tcW w:w="9351" w:type="dxa"/>
            <w:gridSpan w:val="6"/>
            <w:vAlign w:val="center"/>
          </w:tcPr>
          <w:p w14:paraId="1CC2CE81" w14:textId="77777777" w:rsidR="00484072" w:rsidRPr="007C06BB" w:rsidRDefault="00484072" w:rsidP="00FF48A1">
            <w:pPr>
              <w:spacing w:line="259" w:lineRule="auto"/>
              <w:jc w:val="left"/>
              <w:rPr>
                <w:rFonts w:ascii="Arial Narrow" w:hAnsi="Arial Narrow" w:cs="Calibri"/>
                <w:color w:val="000000" w:themeColor="text1"/>
                <w:kern w:val="2"/>
                <w:sz w:val="20"/>
                <w:szCs w:val="20"/>
                <w14:ligatures w14:val="standardContextual"/>
              </w:rPr>
            </w:pPr>
            <w:r w:rsidRPr="007C06BB">
              <w:rPr>
                <w:rFonts w:ascii="Arial Narrow" w:hAnsi="Arial Narrow" w:cs="Calibri"/>
                <w:color w:val="000000" w:themeColor="text1"/>
                <w:kern w:val="2"/>
                <w:sz w:val="20"/>
                <w:szCs w:val="20"/>
                <w14:ligatures w14:val="standardContextual"/>
              </w:rPr>
              <w:t xml:space="preserve">Patient must have received PBS-subsidised treatment with this biological medicine for this condition </w:t>
            </w:r>
          </w:p>
        </w:tc>
      </w:tr>
      <w:tr w:rsidR="00484072" w:rsidRPr="00964DA0" w14:paraId="14251CA1" w14:textId="77777777" w:rsidTr="00484072">
        <w:tblPrEx>
          <w:tblCellMar>
            <w:top w:w="15" w:type="dxa"/>
            <w:left w:w="15" w:type="dxa"/>
            <w:bottom w:w="15" w:type="dxa"/>
            <w:right w:w="15" w:type="dxa"/>
          </w:tblCellMar>
        </w:tblPrEx>
        <w:tc>
          <w:tcPr>
            <w:tcW w:w="9351" w:type="dxa"/>
            <w:gridSpan w:val="6"/>
            <w:vAlign w:val="center"/>
          </w:tcPr>
          <w:p w14:paraId="522C9A37" w14:textId="77777777" w:rsidR="00484072" w:rsidRPr="007C06BB" w:rsidRDefault="00484072">
            <w:pPr>
              <w:spacing w:line="259" w:lineRule="auto"/>
              <w:jc w:val="left"/>
              <w:rPr>
                <w:rFonts w:ascii="Arial Narrow" w:hAnsi="Arial Narrow" w:cs="Calibri"/>
                <w:b/>
                <w:bCs/>
                <w:color w:val="000000" w:themeColor="text1"/>
                <w:kern w:val="2"/>
                <w:sz w:val="20"/>
                <w:szCs w:val="20"/>
                <w14:ligatures w14:val="standardContextual"/>
              </w:rPr>
            </w:pPr>
            <w:r w:rsidRPr="007C06BB">
              <w:rPr>
                <w:rFonts w:ascii="Arial Narrow" w:hAnsi="Arial Narrow" w:cs="Calibri"/>
                <w:b/>
                <w:bCs/>
                <w:color w:val="000000" w:themeColor="text1"/>
                <w:kern w:val="2"/>
                <w:sz w:val="20"/>
                <w:szCs w:val="20"/>
                <w14:ligatures w14:val="standardContextual"/>
              </w:rPr>
              <w:t>AND</w:t>
            </w:r>
          </w:p>
        </w:tc>
      </w:tr>
      <w:tr w:rsidR="00484072" w:rsidRPr="00964DA0" w14:paraId="567B1F98" w14:textId="77777777" w:rsidTr="00484072">
        <w:tblPrEx>
          <w:tblCellMar>
            <w:top w:w="15" w:type="dxa"/>
            <w:left w:w="15" w:type="dxa"/>
            <w:bottom w:w="15" w:type="dxa"/>
            <w:right w:w="15" w:type="dxa"/>
          </w:tblCellMar>
        </w:tblPrEx>
        <w:tc>
          <w:tcPr>
            <w:tcW w:w="9351" w:type="dxa"/>
            <w:gridSpan w:val="6"/>
            <w:vAlign w:val="center"/>
          </w:tcPr>
          <w:p w14:paraId="0BE11F51" w14:textId="77777777" w:rsidR="00484072" w:rsidRPr="007C06BB" w:rsidRDefault="00484072" w:rsidP="00FF48A1">
            <w:pPr>
              <w:spacing w:line="259" w:lineRule="auto"/>
              <w:jc w:val="left"/>
              <w:rPr>
                <w:rFonts w:ascii="Arial Narrow" w:hAnsi="Arial Narrow" w:cs="Calibri"/>
                <w:b/>
                <w:bCs/>
                <w:color w:val="000000" w:themeColor="text1"/>
                <w:kern w:val="2"/>
                <w:sz w:val="20"/>
                <w:szCs w:val="20"/>
                <w14:ligatures w14:val="standardContextual"/>
              </w:rPr>
            </w:pPr>
            <w:r w:rsidRPr="007C06BB">
              <w:rPr>
                <w:rFonts w:ascii="Arial Narrow" w:hAnsi="Arial Narrow" w:cs="Calibri"/>
                <w:b/>
                <w:bCs/>
                <w:color w:val="000000" w:themeColor="text1"/>
                <w:kern w:val="2"/>
                <w:sz w:val="20"/>
                <w:szCs w:val="20"/>
                <w14:ligatures w14:val="standardContextual"/>
              </w:rPr>
              <w:t>Clinical criteria:</w:t>
            </w:r>
          </w:p>
        </w:tc>
      </w:tr>
      <w:tr w:rsidR="00484072" w:rsidRPr="00964DA0" w14:paraId="5ADE0485" w14:textId="77777777" w:rsidTr="00484072">
        <w:tblPrEx>
          <w:tblCellMar>
            <w:top w:w="15" w:type="dxa"/>
            <w:left w:w="15" w:type="dxa"/>
            <w:bottom w:w="15" w:type="dxa"/>
            <w:right w:w="15" w:type="dxa"/>
          </w:tblCellMar>
        </w:tblPrEx>
        <w:tc>
          <w:tcPr>
            <w:tcW w:w="9351" w:type="dxa"/>
            <w:gridSpan w:val="6"/>
            <w:vAlign w:val="center"/>
          </w:tcPr>
          <w:p w14:paraId="31DBDDF0" w14:textId="2377EFE7" w:rsidR="00484072" w:rsidRPr="007C06BB" w:rsidRDefault="00484072" w:rsidP="00FF48A1">
            <w:pPr>
              <w:spacing w:line="259" w:lineRule="auto"/>
              <w:jc w:val="left"/>
              <w:rPr>
                <w:rFonts w:ascii="Arial Narrow" w:hAnsi="Arial Narrow" w:cs="Calibri"/>
                <w:color w:val="000000" w:themeColor="text1"/>
                <w:kern w:val="2"/>
                <w:sz w:val="20"/>
                <w:szCs w:val="20"/>
                <w14:ligatures w14:val="standardContextual"/>
              </w:rPr>
            </w:pPr>
            <w:r w:rsidRPr="007C06BB">
              <w:rPr>
                <w:rFonts w:ascii="Arial Narrow" w:hAnsi="Arial Narrow" w:cs="Calibri"/>
                <w:color w:val="000000" w:themeColor="text1"/>
                <w:kern w:val="2"/>
                <w:sz w:val="20"/>
                <w:szCs w:val="20"/>
                <w14:ligatures w14:val="standardContextual"/>
              </w:rPr>
              <w:t xml:space="preserve">Patient must have both achieved and sustained an adequate response to this drug, defined as maintenance (i.e. no change) or reduction in the number of moderate and/or severe </w:t>
            </w:r>
            <w:r w:rsidRPr="005A4BFB">
              <w:rPr>
                <w:rFonts w:ascii="Arial Narrow" w:hAnsi="Arial Narrow" w:cs="Times New Roman"/>
                <w:kern w:val="2"/>
                <w:sz w:val="20"/>
                <w:szCs w:val="20"/>
                <w14:ligatures w14:val="standardContextual"/>
              </w:rPr>
              <w:t>COPD</w:t>
            </w:r>
            <w:r w:rsidRPr="007C06BB">
              <w:rPr>
                <w:rFonts w:ascii="Arial Narrow" w:hAnsi="Arial Narrow" w:cs="Calibri"/>
                <w:color w:val="000000" w:themeColor="text1"/>
                <w:kern w:val="2"/>
                <w:sz w:val="20"/>
                <w:szCs w:val="20"/>
                <w14:ligatures w14:val="standardContextual"/>
              </w:rPr>
              <w:t xml:space="preserve"> exacerbation/s compared to the baseline levels provided with the initial </w:t>
            </w:r>
            <w:r>
              <w:rPr>
                <w:rFonts w:ascii="Arial Narrow" w:hAnsi="Arial Narrow" w:cs="Calibri"/>
                <w:color w:val="000000" w:themeColor="text1"/>
                <w:kern w:val="2"/>
                <w:sz w:val="20"/>
                <w:szCs w:val="20"/>
                <w14:ligatures w14:val="standardContextual"/>
              </w:rPr>
              <w:t xml:space="preserve">PBS </w:t>
            </w:r>
            <w:r w:rsidRPr="007C06BB">
              <w:rPr>
                <w:rFonts w:ascii="Arial Narrow" w:hAnsi="Arial Narrow" w:cs="Calibri"/>
                <w:color w:val="000000" w:themeColor="text1"/>
                <w:kern w:val="2"/>
                <w:sz w:val="20"/>
                <w:szCs w:val="20"/>
                <w14:ligatures w14:val="standardContextual"/>
              </w:rPr>
              <w:t>authority application</w:t>
            </w:r>
            <w:r w:rsidRPr="007C06BB">
              <w:rPr>
                <w:rFonts w:ascii="Arial Narrow" w:hAnsi="Arial Narrow" w:cs="Calibri"/>
                <w:i/>
                <w:iCs/>
                <w:color w:val="000000" w:themeColor="text1"/>
                <w:kern w:val="2"/>
                <w:sz w:val="20"/>
                <w:szCs w:val="20"/>
                <w14:ligatures w14:val="standardContextual"/>
              </w:rPr>
              <w:t>.</w:t>
            </w:r>
          </w:p>
        </w:tc>
      </w:tr>
      <w:tr w:rsidR="00484072" w:rsidRPr="00964DA0" w14:paraId="36104B8B" w14:textId="77777777" w:rsidTr="00484072">
        <w:tblPrEx>
          <w:tblCellMar>
            <w:top w:w="15" w:type="dxa"/>
            <w:left w:w="15" w:type="dxa"/>
            <w:bottom w:w="15" w:type="dxa"/>
            <w:right w:w="15" w:type="dxa"/>
          </w:tblCellMar>
        </w:tblPrEx>
        <w:tc>
          <w:tcPr>
            <w:tcW w:w="9351" w:type="dxa"/>
            <w:gridSpan w:val="6"/>
            <w:vAlign w:val="center"/>
          </w:tcPr>
          <w:p w14:paraId="14B670C1" w14:textId="77777777" w:rsidR="00484072" w:rsidRPr="007C06BB" w:rsidRDefault="00484072">
            <w:pPr>
              <w:spacing w:line="259" w:lineRule="auto"/>
              <w:jc w:val="left"/>
              <w:rPr>
                <w:rFonts w:ascii="Arial Narrow" w:hAnsi="Arial Narrow" w:cs="Calibri"/>
                <w:b/>
                <w:bCs/>
                <w:color w:val="000000" w:themeColor="text1"/>
                <w:kern w:val="2"/>
                <w:sz w:val="20"/>
                <w:szCs w:val="20"/>
                <w14:ligatures w14:val="standardContextual"/>
              </w:rPr>
            </w:pPr>
            <w:r w:rsidRPr="007C06BB">
              <w:rPr>
                <w:rFonts w:ascii="Arial Narrow" w:hAnsi="Arial Narrow" w:cs="Calibri"/>
                <w:b/>
                <w:bCs/>
                <w:color w:val="000000" w:themeColor="text1"/>
                <w:kern w:val="2"/>
                <w:sz w:val="20"/>
                <w:szCs w:val="20"/>
                <w14:ligatures w14:val="standardContextual"/>
              </w:rPr>
              <w:t>AND</w:t>
            </w:r>
          </w:p>
        </w:tc>
      </w:tr>
      <w:tr w:rsidR="00484072" w:rsidRPr="00964DA0" w14:paraId="1E08D69A" w14:textId="77777777" w:rsidTr="00484072">
        <w:tblPrEx>
          <w:tblCellMar>
            <w:top w:w="15" w:type="dxa"/>
            <w:left w:w="15" w:type="dxa"/>
            <w:bottom w:w="15" w:type="dxa"/>
            <w:right w:w="15" w:type="dxa"/>
          </w:tblCellMar>
        </w:tblPrEx>
        <w:tc>
          <w:tcPr>
            <w:tcW w:w="9351" w:type="dxa"/>
            <w:gridSpan w:val="6"/>
            <w:vAlign w:val="center"/>
          </w:tcPr>
          <w:p w14:paraId="65342F56" w14:textId="77777777" w:rsidR="00484072" w:rsidRPr="007C06BB" w:rsidRDefault="00484072" w:rsidP="00FF48A1">
            <w:pPr>
              <w:spacing w:line="259" w:lineRule="auto"/>
              <w:jc w:val="left"/>
              <w:rPr>
                <w:rFonts w:ascii="Arial Narrow" w:hAnsi="Arial Narrow" w:cs="Calibri"/>
                <w:b/>
                <w:bCs/>
                <w:color w:val="000000" w:themeColor="text1"/>
                <w:kern w:val="2"/>
                <w:sz w:val="20"/>
                <w:szCs w:val="20"/>
                <w14:ligatures w14:val="standardContextual"/>
              </w:rPr>
            </w:pPr>
            <w:r w:rsidRPr="007C06BB">
              <w:rPr>
                <w:rFonts w:ascii="Arial Narrow" w:hAnsi="Arial Narrow" w:cs="Calibri"/>
                <w:b/>
                <w:bCs/>
                <w:color w:val="000000" w:themeColor="text1"/>
                <w:kern w:val="2"/>
                <w:sz w:val="20"/>
                <w:szCs w:val="20"/>
                <w14:ligatures w14:val="standardContextual"/>
              </w:rPr>
              <w:t>Clinical criteria:</w:t>
            </w:r>
          </w:p>
        </w:tc>
      </w:tr>
      <w:tr w:rsidR="00484072" w:rsidRPr="00964DA0" w14:paraId="6B27F5A6" w14:textId="77777777" w:rsidTr="00484072">
        <w:tblPrEx>
          <w:tblCellMar>
            <w:top w:w="15" w:type="dxa"/>
            <w:left w:w="15" w:type="dxa"/>
            <w:bottom w:w="15" w:type="dxa"/>
            <w:right w:w="15" w:type="dxa"/>
          </w:tblCellMar>
        </w:tblPrEx>
        <w:tc>
          <w:tcPr>
            <w:tcW w:w="9351" w:type="dxa"/>
            <w:gridSpan w:val="6"/>
            <w:vAlign w:val="center"/>
          </w:tcPr>
          <w:p w14:paraId="0EF86ADA" w14:textId="5D2A3B30" w:rsidR="00484072" w:rsidRPr="007C06BB" w:rsidRDefault="00484072" w:rsidP="00FF48A1">
            <w:pPr>
              <w:spacing w:line="259" w:lineRule="auto"/>
              <w:jc w:val="left"/>
              <w:rPr>
                <w:rFonts w:ascii="Arial Narrow" w:hAnsi="Arial Narrow" w:cs="Calibri"/>
                <w:b/>
                <w:bCs/>
                <w:color w:val="000000" w:themeColor="text1"/>
                <w:kern w:val="2"/>
                <w:sz w:val="20"/>
                <w:szCs w:val="20"/>
                <w14:ligatures w14:val="standardContextual"/>
              </w:rPr>
            </w:pPr>
            <w:r w:rsidRPr="007C06BB">
              <w:rPr>
                <w:rFonts w:ascii="Arial Narrow" w:hAnsi="Arial Narrow" w:cs="Times New Roman"/>
                <w:color w:val="000000" w:themeColor="text1"/>
                <w:kern w:val="2"/>
                <w:sz w:val="20"/>
                <w:szCs w:val="20"/>
                <w14:ligatures w14:val="standardContextual"/>
              </w:rPr>
              <w:t xml:space="preserve">The treatment must be in combination with </w:t>
            </w:r>
            <w:proofErr w:type="gramStart"/>
            <w:r w:rsidRPr="007C06BB">
              <w:rPr>
                <w:rFonts w:ascii="Arial Narrow" w:hAnsi="Arial Narrow" w:cs="Times New Roman"/>
                <w:color w:val="000000" w:themeColor="text1"/>
                <w:kern w:val="2"/>
                <w:sz w:val="20"/>
                <w:szCs w:val="20"/>
                <w14:ligatures w14:val="standardContextual"/>
              </w:rPr>
              <w:t>all of</w:t>
            </w:r>
            <w:proofErr w:type="gramEnd"/>
            <w:r w:rsidRPr="007C06BB">
              <w:rPr>
                <w:rFonts w:ascii="Arial Narrow" w:hAnsi="Arial Narrow" w:cs="Times New Roman"/>
                <w:color w:val="000000" w:themeColor="text1"/>
                <w:kern w:val="2"/>
                <w:sz w:val="20"/>
                <w:szCs w:val="20"/>
                <w14:ligatures w14:val="standardContextual"/>
              </w:rPr>
              <w:t xml:space="preserve"> (i) LAMA, (ii) LABA, (iii) ICS in an optimised</w:t>
            </w:r>
            <w:r w:rsidRPr="007C06BB">
              <w:rPr>
                <w:rFonts w:ascii="Arial Narrow" w:eastAsia="Aptos" w:hAnsi="Arial Narrow"/>
                <w:color w:val="000000" w:themeColor="text1"/>
                <w:sz w:val="20"/>
                <w:szCs w:val="20"/>
                <w:lang w:eastAsia="en-US"/>
              </w:rPr>
              <w:t xml:space="preserve"> triple inhaler therapy</w:t>
            </w:r>
          </w:p>
        </w:tc>
      </w:tr>
      <w:tr w:rsidR="00484072" w:rsidRPr="00964DA0" w14:paraId="6EBC778C" w14:textId="77777777" w:rsidTr="00484072">
        <w:tblPrEx>
          <w:tblCellMar>
            <w:top w:w="15" w:type="dxa"/>
            <w:left w:w="15" w:type="dxa"/>
            <w:bottom w:w="15" w:type="dxa"/>
            <w:right w:w="15" w:type="dxa"/>
          </w:tblCellMar>
        </w:tblPrEx>
        <w:tc>
          <w:tcPr>
            <w:tcW w:w="9351" w:type="dxa"/>
            <w:gridSpan w:val="6"/>
            <w:vAlign w:val="center"/>
          </w:tcPr>
          <w:p w14:paraId="025AC176" w14:textId="77777777" w:rsidR="00484072" w:rsidRPr="007C06BB" w:rsidRDefault="00484072">
            <w:pPr>
              <w:spacing w:line="259" w:lineRule="auto"/>
              <w:jc w:val="left"/>
              <w:rPr>
                <w:rFonts w:ascii="Arial Narrow" w:hAnsi="Arial Narrow" w:cs="Calibri"/>
                <w:color w:val="000000" w:themeColor="text1"/>
                <w:kern w:val="2"/>
                <w:sz w:val="20"/>
                <w:szCs w:val="20"/>
                <w14:ligatures w14:val="standardContextual"/>
              </w:rPr>
            </w:pPr>
            <w:r w:rsidRPr="007C06BB">
              <w:rPr>
                <w:rFonts w:ascii="Arial Narrow" w:hAnsi="Arial Narrow" w:cs="Times New Roman"/>
                <w:b/>
                <w:bCs/>
                <w:color w:val="000000" w:themeColor="text1"/>
                <w:kern w:val="2"/>
                <w:sz w:val="20"/>
                <w:szCs w:val="20"/>
                <w14:ligatures w14:val="standardContextual"/>
              </w:rPr>
              <w:t>AND</w:t>
            </w:r>
          </w:p>
        </w:tc>
      </w:tr>
      <w:tr w:rsidR="00484072" w:rsidRPr="00964DA0" w14:paraId="05553B67" w14:textId="77777777" w:rsidTr="00484072">
        <w:tblPrEx>
          <w:tblCellMar>
            <w:top w:w="15" w:type="dxa"/>
            <w:left w:w="15" w:type="dxa"/>
            <w:bottom w:w="15" w:type="dxa"/>
            <w:right w:w="15" w:type="dxa"/>
          </w:tblCellMar>
        </w:tblPrEx>
        <w:tc>
          <w:tcPr>
            <w:tcW w:w="9351" w:type="dxa"/>
            <w:gridSpan w:val="6"/>
            <w:vAlign w:val="center"/>
          </w:tcPr>
          <w:p w14:paraId="5FE5936A" w14:textId="77777777" w:rsidR="00484072" w:rsidRPr="007C06BB" w:rsidRDefault="00484072" w:rsidP="00FF48A1">
            <w:pPr>
              <w:spacing w:line="259" w:lineRule="auto"/>
              <w:jc w:val="left"/>
              <w:rPr>
                <w:rFonts w:ascii="Arial Narrow" w:hAnsi="Arial Narrow" w:cs="Calibri"/>
                <w:color w:val="000000" w:themeColor="text1"/>
                <w:kern w:val="2"/>
                <w:sz w:val="20"/>
                <w:szCs w:val="20"/>
                <w14:ligatures w14:val="standardContextual"/>
              </w:rPr>
            </w:pPr>
            <w:r w:rsidRPr="007C06BB">
              <w:rPr>
                <w:rFonts w:ascii="Arial Narrow" w:hAnsi="Arial Narrow" w:cs="Times New Roman"/>
                <w:b/>
                <w:bCs/>
                <w:color w:val="000000" w:themeColor="text1"/>
                <w:kern w:val="2"/>
                <w:sz w:val="20"/>
                <w:szCs w:val="20"/>
                <w14:ligatures w14:val="standardContextual"/>
              </w:rPr>
              <w:t>Clinical criteria:</w:t>
            </w:r>
          </w:p>
        </w:tc>
      </w:tr>
      <w:tr w:rsidR="00484072" w:rsidRPr="00964DA0" w14:paraId="6580056D" w14:textId="77777777" w:rsidTr="00484072">
        <w:tblPrEx>
          <w:tblCellMar>
            <w:top w:w="15" w:type="dxa"/>
            <w:left w:w="15" w:type="dxa"/>
            <w:bottom w:w="15" w:type="dxa"/>
            <w:right w:w="15" w:type="dxa"/>
          </w:tblCellMar>
        </w:tblPrEx>
        <w:tc>
          <w:tcPr>
            <w:tcW w:w="9351" w:type="dxa"/>
            <w:gridSpan w:val="6"/>
            <w:vAlign w:val="center"/>
          </w:tcPr>
          <w:p w14:paraId="4377C9A8" w14:textId="75CC361D" w:rsidR="00484072" w:rsidRPr="00B97A15" w:rsidRDefault="00484072" w:rsidP="00FF48A1">
            <w:pPr>
              <w:spacing w:line="259" w:lineRule="auto"/>
              <w:jc w:val="left"/>
              <w:rPr>
                <w:rFonts w:ascii="Arial Narrow" w:hAnsi="Arial Narrow" w:cs="Calibri"/>
                <w:kern w:val="2"/>
                <w:sz w:val="20"/>
                <w:szCs w:val="20"/>
                <w14:ligatures w14:val="standardContextual"/>
              </w:rPr>
            </w:pPr>
            <w:r w:rsidRPr="00B97A15">
              <w:rPr>
                <w:rFonts w:ascii="Arial Narrow" w:eastAsia="Aptos" w:hAnsi="Arial Narrow" w:cs="Times New Roman"/>
                <w:kern w:val="2"/>
                <w:sz w:val="20"/>
                <w:szCs w:val="20"/>
                <w:lang w:eastAsia="en-US"/>
                <w14:ligatures w14:val="standardContextual"/>
              </w:rPr>
              <w:lastRenderedPageBreak/>
              <w:t xml:space="preserve">The treatment must not be used in combination with and within 4 weeks of another PBS-subsidised biological medicine prescribed for any of: (i) nasal polyps, (ii) uncontrolled severe allergic asthma, (iii) uncontrolled severe asthma, </w:t>
            </w:r>
            <w:r w:rsidRPr="00B97A15">
              <w:rPr>
                <w:rFonts w:ascii="Arial Narrow" w:hAnsi="Arial Narrow"/>
                <w:sz w:val="20"/>
                <w:szCs w:val="20"/>
              </w:rPr>
              <w:t>(</w:t>
            </w:r>
            <w:r w:rsidRPr="00B97A15">
              <w:rPr>
                <w:rFonts w:ascii="Arial Narrow" w:eastAsia="Arial Narrow" w:hAnsi="Arial Narrow" w:cs="Arial Narrow"/>
                <w:sz w:val="20"/>
                <w:szCs w:val="20"/>
              </w:rPr>
              <w:t>iv) uncontrolled chronic obstructive pulmonary disease.</w:t>
            </w:r>
            <w:r w:rsidRPr="00B97A15">
              <w:rPr>
                <w:rFonts w:ascii="Arial Narrow" w:hAnsi="Arial Narrow"/>
                <w:sz w:val="20"/>
                <w:szCs w:val="20"/>
              </w:rPr>
              <w:t xml:space="preserve"> </w:t>
            </w:r>
            <w:r w:rsidRPr="00B97A15">
              <w:rPr>
                <w:rFonts w:ascii="Arial Narrow" w:hAnsi="Arial Narrow"/>
                <w:snapToGrid w:val="0"/>
                <w:sz w:val="20"/>
                <w:szCs w:val="20"/>
              </w:rPr>
              <w:t> </w:t>
            </w:r>
            <w:r w:rsidRPr="00B97A15">
              <w:rPr>
                <w:rFonts w:ascii="Arial Narrow" w:hAnsi="Arial Narrow"/>
                <w:bCs/>
                <w:snapToGrid w:val="0"/>
                <w:sz w:val="20"/>
                <w:szCs w:val="20"/>
              </w:rPr>
              <w:t> </w:t>
            </w:r>
            <w:r w:rsidRPr="00B97A15">
              <w:rPr>
                <w:rFonts w:ascii="Arial Narrow" w:eastAsia="Aptos" w:hAnsi="Arial Narrow" w:cs="Times New Roman"/>
                <w:kern w:val="2"/>
                <w:sz w:val="20"/>
                <w:szCs w:val="20"/>
                <w:lang w:eastAsia="en-US"/>
                <w14:ligatures w14:val="standardContextual"/>
              </w:rPr>
              <w:t xml:space="preserve"> </w:t>
            </w:r>
          </w:p>
        </w:tc>
      </w:tr>
      <w:tr w:rsidR="00484072" w:rsidRPr="00964DA0" w14:paraId="7C1DBD97" w14:textId="77777777" w:rsidTr="00484072">
        <w:tblPrEx>
          <w:tblCellMar>
            <w:top w:w="15" w:type="dxa"/>
            <w:left w:w="15" w:type="dxa"/>
            <w:bottom w:w="15" w:type="dxa"/>
            <w:right w:w="15" w:type="dxa"/>
          </w:tblCellMar>
        </w:tblPrEx>
        <w:tc>
          <w:tcPr>
            <w:tcW w:w="9351" w:type="dxa"/>
            <w:gridSpan w:val="6"/>
            <w:vAlign w:val="center"/>
          </w:tcPr>
          <w:p w14:paraId="3ADAEF5E" w14:textId="77777777" w:rsidR="00484072" w:rsidRPr="007C06BB" w:rsidRDefault="00484072">
            <w:pPr>
              <w:spacing w:line="259" w:lineRule="auto"/>
              <w:jc w:val="left"/>
              <w:rPr>
                <w:rFonts w:ascii="Arial Narrow" w:hAnsi="Arial Narrow" w:cs="Calibri"/>
                <w:b/>
                <w:bCs/>
                <w:color w:val="000000" w:themeColor="text1"/>
                <w:kern w:val="2"/>
                <w:sz w:val="20"/>
                <w:szCs w:val="20"/>
                <w14:ligatures w14:val="standardContextual"/>
              </w:rPr>
            </w:pPr>
            <w:r w:rsidRPr="007C06BB">
              <w:rPr>
                <w:rFonts w:ascii="Arial Narrow" w:hAnsi="Arial Narrow" w:cs="Calibri"/>
                <w:b/>
                <w:bCs/>
                <w:color w:val="000000" w:themeColor="text1"/>
                <w:kern w:val="2"/>
                <w:sz w:val="20"/>
                <w:szCs w:val="20"/>
                <w14:ligatures w14:val="standardContextual"/>
              </w:rPr>
              <w:t>Treatment criteria:</w:t>
            </w:r>
          </w:p>
        </w:tc>
      </w:tr>
      <w:tr w:rsidR="00484072" w:rsidRPr="00964DA0" w14:paraId="282DE3AF" w14:textId="77777777" w:rsidTr="00484072">
        <w:tblPrEx>
          <w:tblCellMar>
            <w:top w:w="15" w:type="dxa"/>
            <w:left w:w="15" w:type="dxa"/>
            <w:bottom w:w="15" w:type="dxa"/>
            <w:right w:w="15" w:type="dxa"/>
          </w:tblCellMar>
        </w:tblPrEx>
        <w:tc>
          <w:tcPr>
            <w:tcW w:w="9351" w:type="dxa"/>
            <w:gridSpan w:val="6"/>
            <w:vAlign w:val="center"/>
          </w:tcPr>
          <w:p w14:paraId="2A1CA68B" w14:textId="300C9526" w:rsidR="00484072" w:rsidRPr="007C06BB" w:rsidRDefault="00484072">
            <w:pPr>
              <w:spacing w:line="259" w:lineRule="auto"/>
              <w:jc w:val="left"/>
              <w:rPr>
                <w:rFonts w:ascii="Arial Narrow" w:hAnsi="Arial Narrow" w:cs="Calibri"/>
                <w:color w:val="000000" w:themeColor="text1"/>
                <w:kern w:val="2"/>
                <w:sz w:val="20"/>
                <w:szCs w:val="20"/>
                <w14:ligatures w14:val="standardContextual"/>
              </w:rPr>
            </w:pPr>
            <w:r w:rsidRPr="007C06BB">
              <w:rPr>
                <w:rFonts w:ascii="Arial Narrow" w:hAnsi="Arial Narrow" w:cs="Times New Roman"/>
                <w:color w:val="000000" w:themeColor="text1"/>
                <w:kern w:val="2"/>
                <w:sz w:val="20"/>
                <w:szCs w:val="20"/>
                <w14:ligatures w14:val="standardContextual"/>
              </w:rPr>
              <w:t>Must be treated by a medical practitioner who is either a (i) respiratory physician, (ii) general physician experienced in the management of patients with this condition.</w:t>
            </w:r>
          </w:p>
        </w:tc>
      </w:tr>
      <w:tr w:rsidR="00484072" w:rsidRPr="00964DA0" w14:paraId="506F2EC2" w14:textId="77777777" w:rsidTr="00484072">
        <w:tblPrEx>
          <w:tblCellMar>
            <w:top w:w="15" w:type="dxa"/>
            <w:left w:w="15" w:type="dxa"/>
            <w:bottom w:w="15" w:type="dxa"/>
            <w:right w:w="15" w:type="dxa"/>
          </w:tblCellMar>
        </w:tblPrEx>
        <w:tc>
          <w:tcPr>
            <w:tcW w:w="9351" w:type="dxa"/>
            <w:gridSpan w:val="6"/>
            <w:vAlign w:val="center"/>
          </w:tcPr>
          <w:p w14:paraId="0EE7145F" w14:textId="77777777" w:rsidR="00484072" w:rsidRPr="007C06BB" w:rsidRDefault="00484072">
            <w:pPr>
              <w:spacing w:line="259" w:lineRule="auto"/>
              <w:jc w:val="left"/>
              <w:rPr>
                <w:rFonts w:ascii="Arial Narrow" w:hAnsi="Arial Narrow" w:cs="Calibri"/>
                <w:color w:val="000000" w:themeColor="text1"/>
                <w:kern w:val="2"/>
                <w:sz w:val="20"/>
                <w:szCs w:val="20"/>
                <w14:ligatures w14:val="standardContextual"/>
              </w:rPr>
            </w:pPr>
            <w:r w:rsidRPr="007C06BB">
              <w:rPr>
                <w:rFonts w:ascii="Arial Narrow" w:hAnsi="Arial Narrow" w:cs="Calibri"/>
                <w:b/>
                <w:bCs/>
                <w:color w:val="000000" w:themeColor="text1"/>
                <w:kern w:val="2"/>
                <w:sz w:val="20"/>
                <w:szCs w:val="20"/>
                <w14:ligatures w14:val="standardContextual"/>
              </w:rPr>
              <w:t>Prescribing Instructions:</w:t>
            </w:r>
            <w:r w:rsidRPr="007C06BB">
              <w:rPr>
                <w:rFonts w:ascii="Arial Narrow" w:hAnsi="Arial Narrow" w:cs="Calibri"/>
                <w:color w:val="000000" w:themeColor="text1"/>
                <w:kern w:val="2"/>
                <w:sz w:val="20"/>
                <w:szCs w:val="20"/>
                <w14:ligatures w14:val="standardContextual"/>
              </w:rPr>
              <w:t xml:space="preserve"> </w:t>
            </w:r>
          </w:p>
          <w:p w14:paraId="52054692" w14:textId="77777777" w:rsidR="00484072" w:rsidRPr="007C06BB" w:rsidRDefault="00484072">
            <w:pPr>
              <w:spacing w:line="259" w:lineRule="auto"/>
              <w:jc w:val="left"/>
              <w:rPr>
                <w:rFonts w:ascii="Arial Narrow" w:hAnsi="Arial Narrow" w:cs="Calibri"/>
                <w:color w:val="000000" w:themeColor="text1"/>
                <w:kern w:val="2"/>
                <w:sz w:val="20"/>
                <w:szCs w:val="20"/>
                <w14:ligatures w14:val="standardContextual"/>
              </w:rPr>
            </w:pPr>
            <w:r w:rsidRPr="007C06BB">
              <w:rPr>
                <w:rFonts w:ascii="Arial Narrow" w:hAnsi="Arial Narrow" w:cs="Calibri"/>
                <w:color w:val="000000" w:themeColor="text1"/>
                <w:kern w:val="2"/>
                <w:sz w:val="20"/>
                <w:szCs w:val="20"/>
                <w14:ligatures w14:val="standardContextual"/>
              </w:rPr>
              <w:t>The following must be provided in each continuing PBS authority application and be documented in the patient's medical records:</w:t>
            </w:r>
          </w:p>
          <w:p w14:paraId="2245BC68" w14:textId="582960B8" w:rsidR="00484072" w:rsidRPr="00462F34" w:rsidRDefault="00484072" w:rsidP="00462F34">
            <w:pPr>
              <w:spacing w:after="160" w:line="259" w:lineRule="auto"/>
              <w:ind w:left="1080"/>
              <w:contextualSpacing/>
              <w:jc w:val="left"/>
              <w:rPr>
                <w:rFonts w:ascii="Arial Narrow" w:hAnsi="Arial Narrow" w:cs="Calibri"/>
                <w:color w:val="000000" w:themeColor="text1"/>
                <w:kern w:val="2"/>
                <w:sz w:val="20"/>
                <w:szCs w:val="20"/>
                <w14:ligatures w14:val="standardContextual"/>
              </w:rPr>
            </w:pPr>
            <w:r w:rsidRPr="00462F34">
              <w:rPr>
                <w:rFonts w:ascii="Arial Narrow" w:hAnsi="Arial Narrow" w:cs="Calibri"/>
                <w:color w:val="000000" w:themeColor="text1"/>
                <w:kern w:val="2"/>
                <w:sz w:val="20"/>
                <w:szCs w:val="20"/>
                <w14:ligatures w14:val="standardContextual"/>
              </w:rPr>
              <w:t xml:space="preserve">details of the current number and severity of COPD exacerbations compared to baseline levels provided in the initial authority application of this </w:t>
            </w:r>
            <w:r w:rsidRPr="00462F34">
              <w:rPr>
                <w:rFonts w:ascii="Arial Narrow" w:hAnsi="Arial Narrow" w:cs="Times New Roman"/>
                <w:color w:val="000000" w:themeColor="text1"/>
                <w:kern w:val="2"/>
                <w:sz w:val="20"/>
                <w:szCs w:val="20"/>
                <w14:ligatures w14:val="standardContextual"/>
              </w:rPr>
              <w:t>treatment cycle</w:t>
            </w:r>
            <w:r w:rsidRPr="00462F34">
              <w:rPr>
                <w:rFonts w:ascii="Arial Narrow" w:hAnsi="Arial Narrow" w:cs="Calibri"/>
                <w:color w:val="000000" w:themeColor="text1"/>
                <w:kern w:val="2"/>
                <w:sz w:val="20"/>
                <w:szCs w:val="20"/>
                <w14:ligatures w14:val="standardContextual"/>
              </w:rPr>
              <w:t xml:space="preserve"> including: </w:t>
            </w:r>
          </w:p>
          <w:p w14:paraId="685999D3" w14:textId="53E5BE3E" w:rsidR="00484072" w:rsidRPr="007C06BB" w:rsidRDefault="00484072">
            <w:pPr>
              <w:ind w:left="1080"/>
              <w:contextualSpacing/>
              <w:jc w:val="left"/>
              <w:rPr>
                <w:rFonts w:ascii="Arial Narrow" w:hAnsi="Arial Narrow" w:cs="Calibri"/>
                <w:color w:val="000000" w:themeColor="text1"/>
                <w:kern w:val="2"/>
                <w:sz w:val="20"/>
                <w:szCs w:val="20"/>
                <w14:ligatures w14:val="standardContextual"/>
              </w:rPr>
            </w:pPr>
            <w:r w:rsidRPr="007C06BB">
              <w:rPr>
                <w:rFonts w:ascii="Arial Narrow" w:hAnsi="Arial Narrow" w:cs="Calibri"/>
                <w:color w:val="000000" w:themeColor="text1"/>
                <w:kern w:val="2"/>
                <w:sz w:val="20"/>
                <w:szCs w:val="20"/>
                <w14:ligatures w14:val="standardContextual"/>
              </w:rPr>
              <w:t>(i)</w:t>
            </w:r>
            <w:r>
              <w:rPr>
                <w:rFonts w:ascii="Arial Narrow" w:hAnsi="Arial Narrow" w:cs="Calibri"/>
                <w:color w:val="000000" w:themeColor="text1"/>
                <w:kern w:val="2"/>
                <w:sz w:val="20"/>
                <w:szCs w:val="20"/>
                <w14:ligatures w14:val="standardContextual"/>
              </w:rPr>
              <w:t xml:space="preserve"> </w:t>
            </w:r>
            <w:r w:rsidRPr="007C06BB">
              <w:rPr>
                <w:rFonts w:ascii="Arial Narrow" w:hAnsi="Arial Narrow" w:cs="Calibri"/>
                <w:color w:val="000000" w:themeColor="text1"/>
                <w:kern w:val="2"/>
                <w:sz w:val="20"/>
                <w:szCs w:val="20"/>
                <w14:ligatures w14:val="standardContextual"/>
              </w:rPr>
              <w:t>no. of moderate exacerbations requiring treatment with systemic corticosteroids</w:t>
            </w:r>
            <w:r w:rsidRPr="007C06BB">
              <w:rPr>
                <w:rFonts w:ascii="Arial Narrow" w:hAnsi="Arial Narrow" w:cs="Calibri"/>
                <w:color w:val="000000" w:themeColor="text1"/>
                <w:kern w:val="2"/>
                <w:sz w:val="20"/>
                <w:szCs w:val="20"/>
                <w14:ligatures w14:val="standardContextual"/>
              </w:rPr>
              <w:br/>
              <w:t>(ii) no. of moderate exacerbations requiring treatment with antibiotics</w:t>
            </w:r>
            <w:r w:rsidRPr="007C06BB">
              <w:rPr>
                <w:rFonts w:ascii="Arial Narrow" w:hAnsi="Arial Narrow" w:cs="Calibri"/>
                <w:color w:val="000000" w:themeColor="text1"/>
                <w:kern w:val="2"/>
                <w:sz w:val="20"/>
                <w:szCs w:val="20"/>
                <w14:ligatures w14:val="standardContextual"/>
              </w:rPr>
              <w:br/>
              <w:t>(ii) no. of severe exacerbation/s which required hospitalisation</w:t>
            </w:r>
          </w:p>
        </w:tc>
      </w:tr>
      <w:tr w:rsidR="00484072" w:rsidRPr="00964DA0" w14:paraId="37218C66" w14:textId="77777777" w:rsidTr="00484072">
        <w:tblPrEx>
          <w:tblCellMar>
            <w:top w:w="15" w:type="dxa"/>
            <w:left w:w="15" w:type="dxa"/>
            <w:bottom w:w="15" w:type="dxa"/>
            <w:right w:w="15" w:type="dxa"/>
          </w:tblCellMar>
        </w:tblPrEx>
        <w:tc>
          <w:tcPr>
            <w:tcW w:w="9351" w:type="dxa"/>
            <w:gridSpan w:val="6"/>
            <w:vAlign w:val="center"/>
          </w:tcPr>
          <w:p w14:paraId="6A180916" w14:textId="26ED6226" w:rsidR="00484072" w:rsidRPr="007C06BB" w:rsidRDefault="00484072">
            <w:pPr>
              <w:spacing w:line="259" w:lineRule="auto"/>
              <w:jc w:val="left"/>
              <w:rPr>
                <w:rFonts w:ascii="Arial Narrow" w:hAnsi="Arial Narrow" w:cs="Calibri"/>
                <w:b/>
                <w:bCs/>
                <w:color w:val="000000" w:themeColor="text1"/>
                <w:kern w:val="2"/>
                <w:sz w:val="20"/>
                <w:szCs w:val="20"/>
                <w14:ligatures w14:val="standardContextual"/>
              </w:rPr>
            </w:pPr>
            <w:r w:rsidRPr="007C06BB">
              <w:rPr>
                <w:rFonts w:ascii="Arial Narrow" w:hAnsi="Arial Narrow"/>
                <w:b/>
                <w:bCs/>
                <w:color w:val="000000" w:themeColor="text1"/>
                <w:sz w:val="20"/>
                <w:szCs w:val="20"/>
              </w:rPr>
              <w:t xml:space="preserve">Administrative Advice: </w:t>
            </w:r>
            <w:r w:rsidRPr="007C06BB">
              <w:rPr>
                <w:rFonts w:ascii="Arial Narrow" w:hAnsi="Arial Narrow"/>
                <w:bCs/>
                <w:color w:val="000000" w:themeColor="text1"/>
                <w:sz w:val="20"/>
                <w:szCs w:val="20"/>
              </w:rPr>
              <w:t xml:space="preserve">Applications for authorisation under this restriction may be made in real time using the Online PBS Authorities system (see </w:t>
            </w:r>
            <w:hyperlink r:id="rId13" w:history="1">
              <w:r w:rsidRPr="007C06BB">
                <w:rPr>
                  <w:rStyle w:val="Hyperlink"/>
                  <w:rFonts w:ascii="Arial Narrow" w:hAnsi="Arial Narrow"/>
                  <w:bCs/>
                  <w:color w:val="000000" w:themeColor="text1"/>
                  <w:sz w:val="20"/>
                  <w:szCs w:val="20"/>
                </w:rPr>
                <w:t>www.servicesaustralia.gov.au/HPOS</w:t>
              </w:r>
            </w:hyperlink>
            <w:r w:rsidRPr="007C06BB">
              <w:rPr>
                <w:rFonts w:ascii="Arial Narrow" w:hAnsi="Arial Narrow"/>
                <w:bCs/>
                <w:color w:val="000000" w:themeColor="text1"/>
                <w:sz w:val="20"/>
                <w:szCs w:val="20"/>
              </w:rPr>
              <w:t>) or by telephone by contacting Services Australia on 1800 700 270 (hours of operation 8 a.m. to 5 p.m. Monday to Friday). </w:t>
            </w:r>
          </w:p>
        </w:tc>
      </w:tr>
      <w:tr w:rsidR="0023583B" w:rsidRPr="00964DA0" w14:paraId="6A357BBC" w14:textId="77777777" w:rsidTr="008B796E">
        <w:tblPrEx>
          <w:tblCellMar>
            <w:top w:w="15" w:type="dxa"/>
            <w:left w:w="15" w:type="dxa"/>
            <w:bottom w:w="15" w:type="dxa"/>
            <w:right w:w="15" w:type="dxa"/>
          </w:tblCellMar>
        </w:tblPrEx>
        <w:trPr>
          <w:trHeight w:val="459"/>
        </w:trPr>
        <w:tc>
          <w:tcPr>
            <w:tcW w:w="9351" w:type="dxa"/>
            <w:gridSpan w:val="6"/>
            <w:vAlign w:val="center"/>
          </w:tcPr>
          <w:p w14:paraId="6286D8BB" w14:textId="77777777" w:rsidR="0023583B" w:rsidRPr="007C06BB" w:rsidRDefault="0023583B">
            <w:pPr>
              <w:spacing w:line="259" w:lineRule="auto"/>
              <w:jc w:val="left"/>
              <w:rPr>
                <w:rFonts w:ascii="Arial Narrow" w:hAnsi="Arial Narrow"/>
                <w:b/>
                <w:bCs/>
                <w:color w:val="000000" w:themeColor="text1"/>
                <w:sz w:val="20"/>
                <w:szCs w:val="20"/>
              </w:rPr>
            </w:pPr>
          </w:p>
        </w:tc>
      </w:tr>
      <w:tr w:rsidR="0023583B" w:rsidRPr="007C06BB" w14:paraId="5D74329B" w14:textId="77777777" w:rsidTr="00A353E1">
        <w:tblPrEx>
          <w:tblCellMar>
            <w:top w:w="15" w:type="dxa"/>
            <w:left w:w="15" w:type="dxa"/>
            <w:bottom w:w="15" w:type="dxa"/>
            <w:right w:w="15" w:type="dxa"/>
          </w:tblCellMar>
          <w:tblLook w:val="04A0" w:firstRow="1" w:lastRow="0" w:firstColumn="1" w:lastColumn="0" w:noHBand="0" w:noVBand="1"/>
        </w:tblPrEx>
        <w:tc>
          <w:tcPr>
            <w:tcW w:w="9351" w:type="dxa"/>
            <w:gridSpan w:val="6"/>
            <w:vAlign w:val="center"/>
          </w:tcPr>
          <w:p w14:paraId="17C78CE0" w14:textId="77777777" w:rsidR="0023583B" w:rsidRPr="007C06BB" w:rsidRDefault="0023583B" w:rsidP="00A353E1">
            <w:pPr>
              <w:spacing w:line="259" w:lineRule="auto"/>
              <w:jc w:val="left"/>
              <w:rPr>
                <w:rFonts w:ascii="Arial Narrow" w:eastAsia="Aptos" w:hAnsi="Arial Narrow" w:cs="Times New Roman"/>
                <w:b/>
                <w:bCs/>
                <w:color w:val="000000" w:themeColor="text1"/>
                <w:kern w:val="2"/>
                <w:sz w:val="20"/>
                <w:szCs w:val="20"/>
                <w:lang w:eastAsia="en-US"/>
                <w14:ligatures w14:val="standardContextual"/>
              </w:rPr>
            </w:pPr>
            <w:r w:rsidRPr="007C06BB">
              <w:rPr>
                <w:rFonts w:ascii="Arial Narrow" w:eastAsia="Aptos" w:hAnsi="Arial Narrow" w:cs="Times New Roman"/>
                <w:b/>
                <w:color w:val="000000" w:themeColor="text1"/>
                <w:kern w:val="2"/>
                <w:sz w:val="20"/>
                <w:szCs w:val="20"/>
                <w:lang w:eastAsia="en-US"/>
                <w14:ligatures w14:val="standardContextual"/>
              </w:rPr>
              <w:t>Restriction Summary [</w:t>
            </w:r>
            <w:r>
              <w:rPr>
                <w:rFonts w:ascii="Arial Narrow" w:eastAsia="Aptos" w:hAnsi="Arial Narrow" w:cs="Times New Roman"/>
                <w:b/>
                <w:color w:val="000000" w:themeColor="text1"/>
                <w:kern w:val="2"/>
                <w:sz w:val="20"/>
                <w:szCs w:val="20"/>
                <w:lang w:eastAsia="en-US"/>
                <w14:ligatures w14:val="standardContextual"/>
              </w:rPr>
              <w:t>N</w:t>
            </w:r>
            <w:r w:rsidRPr="007C06BB">
              <w:rPr>
                <w:rFonts w:ascii="Arial Narrow" w:eastAsia="Aptos" w:hAnsi="Arial Narrow" w:cs="Times New Roman"/>
                <w:b/>
                <w:color w:val="000000" w:themeColor="text1"/>
                <w:kern w:val="2"/>
                <w:sz w:val="20"/>
                <w:szCs w:val="20"/>
                <w:lang w:eastAsia="en-US"/>
                <w14:ligatures w14:val="standardContextual"/>
              </w:rPr>
              <w:t>ew</w:t>
            </w:r>
            <w:r>
              <w:rPr>
                <w:rFonts w:ascii="Arial Narrow" w:eastAsia="Aptos" w:hAnsi="Arial Narrow" w:cs="Times New Roman"/>
                <w:b/>
                <w:color w:val="000000" w:themeColor="text1"/>
                <w:kern w:val="2"/>
                <w:sz w:val="20"/>
                <w:szCs w:val="20"/>
                <w:lang w:eastAsia="en-US"/>
                <w14:ligatures w14:val="standardContextual"/>
              </w:rPr>
              <w:t>3</w:t>
            </w:r>
            <w:r w:rsidRPr="007C06BB">
              <w:rPr>
                <w:rFonts w:ascii="Arial Narrow" w:eastAsia="Aptos" w:hAnsi="Arial Narrow" w:cs="Times New Roman"/>
                <w:b/>
                <w:color w:val="000000" w:themeColor="text1"/>
                <w:kern w:val="2"/>
                <w:sz w:val="20"/>
                <w:szCs w:val="20"/>
                <w:lang w:eastAsia="en-US"/>
                <w14:ligatures w14:val="standardContextual"/>
              </w:rPr>
              <w:t>] / Treatment of Concept: [</w:t>
            </w:r>
            <w:r>
              <w:rPr>
                <w:rFonts w:ascii="Arial Narrow" w:eastAsia="Aptos" w:hAnsi="Arial Narrow" w:cs="Times New Roman"/>
                <w:b/>
                <w:color w:val="000000" w:themeColor="text1"/>
                <w:kern w:val="2"/>
                <w:sz w:val="20"/>
                <w:szCs w:val="20"/>
                <w:lang w:eastAsia="en-US"/>
                <w14:ligatures w14:val="standardContextual"/>
              </w:rPr>
              <w:t>N</w:t>
            </w:r>
            <w:r w:rsidRPr="007C06BB">
              <w:rPr>
                <w:rFonts w:ascii="Arial Narrow" w:eastAsia="Aptos" w:hAnsi="Arial Narrow" w:cs="Times New Roman"/>
                <w:b/>
                <w:color w:val="000000" w:themeColor="text1"/>
                <w:kern w:val="2"/>
                <w:sz w:val="20"/>
                <w:szCs w:val="20"/>
                <w:lang w:eastAsia="en-US"/>
                <w14:ligatures w14:val="standardContextual"/>
              </w:rPr>
              <w:t>ew</w:t>
            </w:r>
            <w:r>
              <w:rPr>
                <w:rFonts w:ascii="Arial Narrow" w:eastAsia="Aptos" w:hAnsi="Arial Narrow" w:cs="Times New Roman"/>
                <w:b/>
                <w:color w:val="000000" w:themeColor="text1"/>
                <w:kern w:val="2"/>
                <w:sz w:val="20"/>
                <w:szCs w:val="20"/>
                <w:lang w:eastAsia="en-US"/>
                <w14:ligatures w14:val="standardContextual"/>
              </w:rPr>
              <w:t>3A</w:t>
            </w:r>
            <w:r w:rsidRPr="007C06BB">
              <w:rPr>
                <w:rFonts w:ascii="Arial Narrow" w:eastAsia="Aptos" w:hAnsi="Arial Narrow" w:cs="Times New Roman"/>
                <w:b/>
                <w:color w:val="000000" w:themeColor="text1"/>
                <w:kern w:val="2"/>
                <w:sz w:val="20"/>
                <w:szCs w:val="20"/>
                <w:lang w:eastAsia="en-US"/>
                <w14:ligatures w14:val="standardContextual"/>
              </w:rPr>
              <w:t>]</w:t>
            </w:r>
            <w:r w:rsidRPr="007C06BB">
              <w:rPr>
                <w:rFonts w:ascii="Arial Narrow" w:eastAsia="Aptos" w:hAnsi="Arial Narrow" w:cs="Times New Roman"/>
                <w:iCs/>
                <w:color w:val="000000" w:themeColor="text1"/>
                <w:kern w:val="2"/>
                <w:sz w:val="20"/>
                <w:szCs w:val="20"/>
                <w:lang w:eastAsia="en-US"/>
                <w14:ligatures w14:val="standardContextual"/>
              </w:rPr>
              <w:t xml:space="preserve">: </w:t>
            </w:r>
            <w:r w:rsidRPr="007C06BB">
              <w:rPr>
                <w:rFonts w:ascii="Arial Narrow" w:eastAsia="Aptos" w:hAnsi="Arial Narrow" w:cs="Times New Roman"/>
                <w:b/>
                <w:bCs/>
                <w:iCs/>
                <w:color w:val="000000" w:themeColor="text1"/>
                <w:kern w:val="2"/>
                <w:sz w:val="20"/>
                <w:szCs w:val="20"/>
                <w:lang w:eastAsia="en-US"/>
                <w14:ligatures w14:val="standardContextual"/>
              </w:rPr>
              <w:t xml:space="preserve">Authority Required </w:t>
            </w:r>
          </w:p>
        </w:tc>
      </w:tr>
      <w:tr w:rsidR="00B22A59" w:rsidRPr="007C06BB" w14:paraId="75321C7F" w14:textId="77777777" w:rsidTr="00A353E1">
        <w:tblPrEx>
          <w:tblCellMar>
            <w:top w:w="15" w:type="dxa"/>
            <w:left w:w="15" w:type="dxa"/>
            <w:bottom w:w="15" w:type="dxa"/>
            <w:right w:w="15" w:type="dxa"/>
          </w:tblCellMar>
          <w:tblLook w:val="04A0" w:firstRow="1" w:lastRow="0" w:firstColumn="1" w:lastColumn="0" w:noHBand="0" w:noVBand="1"/>
        </w:tblPrEx>
        <w:tc>
          <w:tcPr>
            <w:tcW w:w="9351" w:type="dxa"/>
            <w:gridSpan w:val="6"/>
            <w:vAlign w:val="center"/>
          </w:tcPr>
          <w:p w14:paraId="7A6AFB28" w14:textId="4D903B66" w:rsidR="00B22A59" w:rsidRPr="007C06BB" w:rsidRDefault="00B22A59" w:rsidP="00A353E1">
            <w:pPr>
              <w:spacing w:line="259" w:lineRule="auto"/>
              <w:jc w:val="left"/>
              <w:rPr>
                <w:rFonts w:ascii="Arial Narrow" w:eastAsia="Aptos" w:hAnsi="Arial Narrow" w:cs="Times New Roman"/>
                <w:b/>
                <w:color w:val="000000" w:themeColor="text1"/>
                <w:kern w:val="2"/>
                <w:sz w:val="20"/>
                <w:szCs w:val="20"/>
                <w:lang w:eastAsia="en-US"/>
                <w14:ligatures w14:val="standardContextual"/>
              </w:rPr>
            </w:pPr>
            <w:r w:rsidRPr="007C06BB">
              <w:rPr>
                <w:rFonts w:ascii="Arial Narrow" w:eastAsia="Aptos" w:hAnsi="Arial Narrow"/>
                <w:b/>
                <w:color w:val="000000" w:themeColor="text1"/>
                <w:kern w:val="2"/>
                <w:sz w:val="20"/>
                <w:szCs w:val="20"/>
                <w:lang w:eastAsia="en-US"/>
                <w14:ligatures w14:val="standardContextual"/>
              </w:rPr>
              <w:t xml:space="preserve">Restriction type: </w:t>
            </w:r>
            <w:r w:rsidRPr="007C06BB">
              <w:rPr>
                <w:rFonts w:ascii="Arial Narrow" w:eastAsia="Calibri" w:hAnsi="Arial Narrow"/>
                <w:color w:val="000000" w:themeColor="text1"/>
                <w:kern w:val="2"/>
                <w:sz w:val="20"/>
                <w:szCs w:val="20"/>
                <w:lang w:eastAsia="en-US"/>
                <w14:ligatures w14:val="standardContextual"/>
              </w:rPr>
              <w:fldChar w:fldCharType="begin">
                <w:ffData>
                  <w:name w:val=""/>
                  <w:enabled/>
                  <w:calcOnExit w:val="0"/>
                  <w:checkBox>
                    <w:sizeAuto/>
                    <w:default w:val="1"/>
                  </w:checkBox>
                </w:ffData>
              </w:fldChar>
            </w:r>
            <w:r w:rsidRPr="007C06BB">
              <w:rPr>
                <w:rFonts w:ascii="Arial Narrow" w:eastAsia="Calibri" w:hAnsi="Arial Narrow"/>
                <w:color w:val="000000" w:themeColor="text1"/>
                <w:kern w:val="2"/>
                <w:sz w:val="20"/>
                <w:szCs w:val="20"/>
                <w:lang w:eastAsia="en-US"/>
                <w14:ligatures w14:val="standardContextual"/>
              </w:rPr>
              <w:instrText xml:space="preserve"> FORMCHECKBOX </w:instrText>
            </w:r>
            <w:r w:rsidRPr="007C06BB">
              <w:rPr>
                <w:rFonts w:ascii="Arial Narrow" w:eastAsia="Calibri" w:hAnsi="Arial Narrow"/>
                <w:color w:val="000000" w:themeColor="text1"/>
                <w:kern w:val="2"/>
                <w:sz w:val="20"/>
                <w:szCs w:val="20"/>
                <w:lang w:eastAsia="en-US"/>
                <w14:ligatures w14:val="standardContextual"/>
              </w:rPr>
            </w:r>
            <w:r w:rsidRPr="007C06BB">
              <w:rPr>
                <w:rFonts w:ascii="Arial Narrow" w:eastAsia="Calibri" w:hAnsi="Arial Narrow"/>
                <w:color w:val="000000" w:themeColor="text1"/>
                <w:kern w:val="2"/>
                <w:sz w:val="20"/>
                <w:szCs w:val="20"/>
                <w:lang w:eastAsia="en-US"/>
                <w14:ligatures w14:val="standardContextual"/>
              </w:rPr>
              <w:fldChar w:fldCharType="separate"/>
            </w:r>
            <w:r w:rsidRPr="007C06BB">
              <w:rPr>
                <w:rFonts w:ascii="Arial Narrow" w:eastAsia="Calibri" w:hAnsi="Arial Narrow"/>
                <w:color w:val="000000" w:themeColor="text1"/>
                <w:kern w:val="2"/>
                <w:sz w:val="20"/>
                <w:szCs w:val="20"/>
                <w:lang w:eastAsia="en-US"/>
                <w14:ligatures w14:val="standardContextual"/>
              </w:rPr>
              <w:fldChar w:fldCharType="end"/>
            </w:r>
            <w:r w:rsidRPr="007C06BB">
              <w:rPr>
                <w:rFonts w:ascii="Arial Narrow" w:eastAsia="Calibri" w:hAnsi="Arial Narrow"/>
                <w:color w:val="000000" w:themeColor="text1"/>
                <w:kern w:val="2"/>
                <w:sz w:val="20"/>
                <w:szCs w:val="20"/>
                <w14:ligatures w14:val="standardContextual"/>
              </w:rPr>
              <w:t xml:space="preserve"> Authority Required – </w:t>
            </w:r>
            <w:r w:rsidRPr="0073650A">
              <w:rPr>
                <w:rFonts w:ascii="Arial Narrow" w:eastAsia="Calibri" w:hAnsi="Arial Narrow"/>
                <w:color w:val="000000" w:themeColor="text1"/>
                <w:kern w:val="2"/>
                <w:sz w:val="20"/>
                <w:szCs w:val="20"/>
                <w14:ligatures w14:val="standardContextual"/>
              </w:rPr>
              <w:t>Authority Required (FULL assessment) in writing only via OPA/post/HPOS upload</w:t>
            </w:r>
          </w:p>
        </w:tc>
      </w:tr>
      <w:tr w:rsidR="0088147F" w:rsidRPr="007C06BB" w14:paraId="3C706FEA" w14:textId="77777777" w:rsidTr="00484072">
        <w:tblPrEx>
          <w:tblCellMar>
            <w:top w:w="15" w:type="dxa"/>
            <w:left w:w="15" w:type="dxa"/>
            <w:bottom w:w="15" w:type="dxa"/>
            <w:right w:w="15" w:type="dxa"/>
          </w:tblCellMar>
          <w:tblLook w:val="04A0" w:firstRow="1" w:lastRow="0" w:firstColumn="1" w:lastColumn="0" w:noHBand="0" w:noVBand="1"/>
        </w:tblPrEx>
        <w:tc>
          <w:tcPr>
            <w:tcW w:w="9351" w:type="dxa"/>
            <w:gridSpan w:val="6"/>
            <w:vAlign w:val="center"/>
          </w:tcPr>
          <w:p w14:paraId="4E195220" w14:textId="77777777" w:rsidR="0088147F" w:rsidRPr="007C06BB" w:rsidRDefault="0088147F" w:rsidP="00A353E1">
            <w:pPr>
              <w:spacing w:line="259" w:lineRule="auto"/>
              <w:jc w:val="left"/>
              <w:rPr>
                <w:rFonts w:ascii="Arial Narrow" w:hAnsi="Arial Narrow" w:cs="Times New Roman"/>
                <w:b/>
                <w:bCs/>
                <w:color w:val="000000" w:themeColor="text1"/>
                <w:kern w:val="2"/>
                <w:sz w:val="20"/>
                <w:szCs w:val="20"/>
                <w14:ligatures w14:val="standardContextual"/>
              </w:rPr>
            </w:pPr>
            <w:r w:rsidRPr="007C06BB">
              <w:rPr>
                <w:rFonts w:ascii="Arial Narrow" w:hAnsi="Arial Narrow" w:cs="Times New Roman"/>
                <w:b/>
                <w:bCs/>
                <w:color w:val="000000" w:themeColor="text1"/>
                <w:kern w:val="2"/>
                <w:sz w:val="20"/>
                <w:szCs w:val="20"/>
                <w14:ligatures w14:val="standardContextual"/>
              </w:rPr>
              <w:t>Indication:</w:t>
            </w:r>
            <w:r w:rsidRPr="007C06BB">
              <w:rPr>
                <w:rFonts w:ascii="Arial Narrow" w:hAnsi="Arial Narrow" w:cs="Times New Roman"/>
                <w:color w:val="000000" w:themeColor="text1"/>
                <w:kern w:val="2"/>
                <w:sz w:val="20"/>
                <w:szCs w:val="20"/>
                <w14:ligatures w14:val="standardContextual"/>
              </w:rPr>
              <w:t xml:space="preserve"> Uncontrolled Chronic obstructive pulmonary disease (COPD)</w:t>
            </w:r>
          </w:p>
        </w:tc>
      </w:tr>
      <w:tr w:rsidR="0088147F" w:rsidRPr="007C06BB" w14:paraId="62534224" w14:textId="77777777" w:rsidTr="00484072">
        <w:tblPrEx>
          <w:tblCellMar>
            <w:top w:w="15" w:type="dxa"/>
            <w:left w:w="15" w:type="dxa"/>
            <w:bottom w:w="15" w:type="dxa"/>
            <w:right w:w="15" w:type="dxa"/>
          </w:tblCellMar>
          <w:tblLook w:val="04A0" w:firstRow="1" w:lastRow="0" w:firstColumn="1" w:lastColumn="0" w:noHBand="0" w:noVBand="1"/>
        </w:tblPrEx>
        <w:tc>
          <w:tcPr>
            <w:tcW w:w="9351" w:type="dxa"/>
            <w:gridSpan w:val="6"/>
            <w:vAlign w:val="center"/>
          </w:tcPr>
          <w:p w14:paraId="5ED667A6" w14:textId="77777777" w:rsidR="0088147F" w:rsidRPr="007C06BB" w:rsidRDefault="0088147F" w:rsidP="00A353E1">
            <w:pPr>
              <w:spacing w:line="259" w:lineRule="auto"/>
              <w:jc w:val="left"/>
              <w:rPr>
                <w:rFonts w:ascii="Arial Narrow" w:hAnsi="Arial Narrow" w:cs="Times New Roman"/>
                <w:b/>
                <w:bCs/>
                <w:color w:val="000000" w:themeColor="text1"/>
                <w:kern w:val="2"/>
                <w:sz w:val="20"/>
                <w:szCs w:val="20"/>
                <w14:ligatures w14:val="standardContextual"/>
              </w:rPr>
            </w:pPr>
            <w:r w:rsidRPr="007C06BB">
              <w:rPr>
                <w:rFonts w:ascii="Arial Narrow" w:hAnsi="Arial Narrow" w:cs="Times New Roman"/>
                <w:b/>
                <w:bCs/>
                <w:color w:val="000000" w:themeColor="text1"/>
                <w:kern w:val="2"/>
                <w:sz w:val="20"/>
                <w:szCs w:val="20"/>
                <w14:ligatures w14:val="standardContextual"/>
              </w:rPr>
              <w:t>Treatment Phase:</w:t>
            </w:r>
            <w:r w:rsidRPr="007C06BB">
              <w:rPr>
                <w:rFonts w:ascii="Arial Narrow" w:hAnsi="Arial Narrow" w:cs="Times New Roman"/>
                <w:color w:val="000000" w:themeColor="text1"/>
                <w:kern w:val="2"/>
                <w:sz w:val="20"/>
                <w:szCs w:val="20"/>
                <w14:ligatures w14:val="standardContextual"/>
              </w:rPr>
              <w:t xml:space="preserve"> Transitioning from non-PBS to PBS-subsidised supply- Grandfather arrangements</w:t>
            </w:r>
          </w:p>
        </w:tc>
      </w:tr>
      <w:tr w:rsidR="0088147F" w:rsidRPr="007C06BB" w14:paraId="0CAE1BCC" w14:textId="77777777" w:rsidTr="00484072">
        <w:tblPrEx>
          <w:tblCellMar>
            <w:top w:w="15" w:type="dxa"/>
            <w:left w:w="15" w:type="dxa"/>
            <w:bottom w:w="15" w:type="dxa"/>
            <w:right w:w="15" w:type="dxa"/>
          </w:tblCellMar>
          <w:tblLook w:val="04A0" w:firstRow="1" w:lastRow="0" w:firstColumn="1" w:lastColumn="0" w:noHBand="0" w:noVBand="1"/>
        </w:tblPrEx>
        <w:tc>
          <w:tcPr>
            <w:tcW w:w="9351" w:type="dxa"/>
            <w:gridSpan w:val="6"/>
            <w:vAlign w:val="center"/>
            <w:hideMark/>
          </w:tcPr>
          <w:p w14:paraId="0F961B9D" w14:textId="77777777" w:rsidR="0088147F" w:rsidRPr="007C06BB" w:rsidRDefault="0088147F" w:rsidP="0002291B">
            <w:pPr>
              <w:spacing w:line="259" w:lineRule="auto"/>
              <w:jc w:val="left"/>
              <w:rPr>
                <w:rFonts w:ascii="Arial Narrow" w:hAnsi="Arial Narrow" w:cs="Times New Roman"/>
                <w:color w:val="000000" w:themeColor="text1"/>
                <w:kern w:val="2"/>
                <w:sz w:val="20"/>
                <w:szCs w:val="20"/>
                <w14:ligatures w14:val="standardContextual"/>
              </w:rPr>
            </w:pPr>
            <w:r w:rsidRPr="007C06BB">
              <w:rPr>
                <w:rFonts w:ascii="Arial Narrow" w:hAnsi="Arial Narrow" w:cs="Times New Roman"/>
                <w:b/>
                <w:bCs/>
                <w:color w:val="000000" w:themeColor="text1"/>
                <w:kern w:val="2"/>
                <w:sz w:val="20"/>
                <w:szCs w:val="20"/>
                <w14:ligatures w14:val="standardContextual"/>
              </w:rPr>
              <w:t>Clinical criteria:</w:t>
            </w:r>
          </w:p>
        </w:tc>
      </w:tr>
      <w:tr w:rsidR="0088147F" w:rsidRPr="007C06BB" w14:paraId="2CB734A3" w14:textId="77777777" w:rsidTr="00484072">
        <w:tblPrEx>
          <w:tblCellMar>
            <w:top w:w="15" w:type="dxa"/>
            <w:left w:w="15" w:type="dxa"/>
            <w:bottom w:w="15" w:type="dxa"/>
            <w:right w:w="15" w:type="dxa"/>
          </w:tblCellMar>
          <w:tblLook w:val="04A0" w:firstRow="1" w:lastRow="0" w:firstColumn="1" w:lastColumn="0" w:noHBand="0" w:noVBand="1"/>
        </w:tblPrEx>
        <w:tc>
          <w:tcPr>
            <w:tcW w:w="9351" w:type="dxa"/>
            <w:gridSpan w:val="6"/>
            <w:vAlign w:val="center"/>
          </w:tcPr>
          <w:p w14:paraId="0A59A90E" w14:textId="77777777" w:rsidR="0088147F" w:rsidRPr="007C06BB" w:rsidRDefault="0088147F" w:rsidP="0002291B">
            <w:pPr>
              <w:spacing w:line="259" w:lineRule="auto"/>
              <w:jc w:val="left"/>
              <w:rPr>
                <w:rFonts w:ascii="Arial Narrow" w:hAnsi="Arial Narrow" w:cs="Times New Roman"/>
                <w:color w:val="000000" w:themeColor="text1"/>
                <w:kern w:val="2"/>
                <w:sz w:val="20"/>
                <w:szCs w:val="20"/>
                <w14:ligatures w14:val="standardContextual"/>
              </w:rPr>
            </w:pPr>
            <w:r w:rsidRPr="007C06BB">
              <w:rPr>
                <w:rFonts w:ascii="Arial Narrow" w:hAnsi="Arial Narrow" w:cs="Times New Roman"/>
                <w:color w:val="000000" w:themeColor="text1"/>
                <w:kern w:val="2"/>
                <w:sz w:val="20"/>
                <w:szCs w:val="20"/>
                <w14:ligatures w14:val="standardContextual"/>
              </w:rPr>
              <w:t>Patient must have previously received non-PBS subsidised treatment with this biological medicine for this PBS indication prior to [listing date]</w:t>
            </w:r>
          </w:p>
        </w:tc>
      </w:tr>
      <w:tr w:rsidR="0088147F" w:rsidRPr="007C06BB" w14:paraId="75628BB9" w14:textId="77777777" w:rsidTr="00484072">
        <w:tblPrEx>
          <w:tblCellMar>
            <w:top w:w="15" w:type="dxa"/>
            <w:left w:w="15" w:type="dxa"/>
            <w:bottom w:w="15" w:type="dxa"/>
            <w:right w:w="15" w:type="dxa"/>
          </w:tblCellMar>
          <w:tblLook w:val="04A0" w:firstRow="1" w:lastRow="0" w:firstColumn="1" w:lastColumn="0" w:noHBand="0" w:noVBand="1"/>
        </w:tblPrEx>
        <w:tc>
          <w:tcPr>
            <w:tcW w:w="9351" w:type="dxa"/>
            <w:gridSpan w:val="6"/>
            <w:vAlign w:val="center"/>
          </w:tcPr>
          <w:p w14:paraId="24F8BC75" w14:textId="77777777" w:rsidR="0088147F" w:rsidRPr="007C06BB" w:rsidRDefault="0088147F" w:rsidP="00A353E1">
            <w:pPr>
              <w:spacing w:line="259" w:lineRule="auto"/>
              <w:jc w:val="left"/>
              <w:rPr>
                <w:rFonts w:ascii="Arial Narrow" w:hAnsi="Arial Narrow" w:cs="Times New Roman"/>
                <w:b/>
                <w:bCs/>
                <w:color w:val="000000" w:themeColor="text1"/>
                <w:kern w:val="2"/>
                <w:sz w:val="20"/>
                <w:szCs w:val="20"/>
                <w14:ligatures w14:val="standardContextual"/>
              </w:rPr>
            </w:pPr>
            <w:r w:rsidRPr="007C06BB">
              <w:rPr>
                <w:rFonts w:ascii="Arial Narrow" w:hAnsi="Arial Narrow" w:cs="Times New Roman"/>
                <w:b/>
                <w:bCs/>
                <w:color w:val="000000" w:themeColor="text1"/>
                <w:kern w:val="2"/>
                <w:sz w:val="20"/>
                <w:szCs w:val="20"/>
                <w14:ligatures w14:val="standardContextual"/>
              </w:rPr>
              <w:t>AND</w:t>
            </w:r>
          </w:p>
        </w:tc>
      </w:tr>
      <w:tr w:rsidR="0088147F" w:rsidRPr="007C06BB" w14:paraId="181EA5A5" w14:textId="77777777" w:rsidTr="00484072">
        <w:tblPrEx>
          <w:tblCellMar>
            <w:top w:w="15" w:type="dxa"/>
            <w:left w:w="15" w:type="dxa"/>
            <w:bottom w:w="15" w:type="dxa"/>
            <w:right w:w="15" w:type="dxa"/>
          </w:tblCellMar>
          <w:tblLook w:val="04A0" w:firstRow="1" w:lastRow="0" w:firstColumn="1" w:lastColumn="0" w:noHBand="0" w:noVBand="1"/>
        </w:tblPrEx>
        <w:tc>
          <w:tcPr>
            <w:tcW w:w="9351" w:type="dxa"/>
            <w:gridSpan w:val="6"/>
            <w:vAlign w:val="center"/>
          </w:tcPr>
          <w:p w14:paraId="239B4E7C" w14:textId="77777777" w:rsidR="0088147F" w:rsidRPr="007C06BB" w:rsidRDefault="0088147F" w:rsidP="0002291B">
            <w:pPr>
              <w:spacing w:line="259" w:lineRule="auto"/>
              <w:jc w:val="left"/>
              <w:rPr>
                <w:rFonts w:ascii="Arial Narrow" w:hAnsi="Arial Narrow" w:cs="Times New Roman"/>
                <w:b/>
                <w:bCs/>
                <w:color w:val="000000" w:themeColor="text1"/>
                <w:kern w:val="2"/>
                <w:sz w:val="20"/>
                <w:szCs w:val="20"/>
                <w14:ligatures w14:val="standardContextual"/>
              </w:rPr>
            </w:pPr>
            <w:r w:rsidRPr="007C06BB">
              <w:rPr>
                <w:rFonts w:ascii="Arial Narrow" w:hAnsi="Arial Narrow" w:cs="Times New Roman"/>
                <w:b/>
                <w:bCs/>
                <w:color w:val="000000" w:themeColor="text1"/>
                <w:kern w:val="2"/>
                <w:sz w:val="20"/>
                <w:szCs w:val="20"/>
                <w14:ligatures w14:val="standardContextual"/>
              </w:rPr>
              <w:t>Clinical criteria:</w:t>
            </w:r>
          </w:p>
        </w:tc>
      </w:tr>
      <w:tr w:rsidR="0088147F" w:rsidRPr="007C06BB" w14:paraId="6462C77A" w14:textId="77777777" w:rsidTr="00484072">
        <w:tblPrEx>
          <w:tblCellMar>
            <w:top w:w="15" w:type="dxa"/>
            <w:left w:w="15" w:type="dxa"/>
            <w:bottom w:w="15" w:type="dxa"/>
            <w:right w:w="15" w:type="dxa"/>
          </w:tblCellMar>
          <w:tblLook w:val="04A0" w:firstRow="1" w:lastRow="0" w:firstColumn="1" w:lastColumn="0" w:noHBand="0" w:noVBand="1"/>
        </w:tblPrEx>
        <w:tc>
          <w:tcPr>
            <w:tcW w:w="9351" w:type="dxa"/>
            <w:gridSpan w:val="6"/>
            <w:vAlign w:val="center"/>
          </w:tcPr>
          <w:p w14:paraId="31033DB3" w14:textId="5A78CAEB" w:rsidR="0088147F" w:rsidRPr="007C06BB" w:rsidRDefault="0088147F" w:rsidP="0002291B">
            <w:pPr>
              <w:spacing w:line="259" w:lineRule="auto"/>
              <w:jc w:val="left"/>
              <w:rPr>
                <w:rFonts w:ascii="Arial Narrow" w:hAnsi="Arial Narrow" w:cs="Times New Roman"/>
                <w:b/>
                <w:bCs/>
                <w:color w:val="000000" w:themeColor="text1"/>
                <w:kern w:val="2"/>
                <w:sz w:val="20"/>
                <w:szCs w:val="20"/>
                <w14:ligatures w14:val="standardContextual"/>
              </w:rPr>
            </w:pPr>
            <w:r w:rsidRPr="007C06BB">
              <w:rPr>
                <w:rFonts w:ascii="Arial Narrow" w:hAnsi="Arial Narrow" w:cs="Times New Roman"/>
                <w:color w:val="000000" w:themeColor="text1"/>
                <w:kern w:val="2"/>
                <w:sz w:val="20"/>
                <w:szCs w:val="20"/>
                <w14:ligatures w14:val="standardContextual"/>
              </w:rPr>
              <w:t>Patient must have had a blood eosinophil count of at least 300 cells per microlitre in the 12 months prior to</w:t>
            </w:r>
            <w:r w:rsidRPr="007C06BB">
              <w:rPr>
                <w:rFonts w:ascii="Arial Narrow" w:hAnsi="Arial Narrow" w:cs="Times New Roman"/>
                <w:i/>
                <w:iCs/>
                <w:color w:val="000000" w:themeColor="text1"/>
                <w:kern w:val="2"/>
                <w:sz w:val="20"/>
                <w:szCs w:val="20"/>
                <w14:ligatures w14:val="standardContextual"/>
              </w:rPr>
              <w:t xml:space="preserve"> </w:t>
            </w:r>
            <w:r w:rsidRPr="007C06BB">
              <w:rPr>
                <w:rFonts w:ascii="Arial Narrow" w:hAnsi="Arial Narrow" w:cs="Times New Roman"/>
                <w:color w:val="000000" w:themeColor="text1"/>
                <w:kern w:val="2"/>
                <w:sz w:val="20"/>
                <w:szCs w:val="20"/>
                <w14:ligatures w14:val="standardContextual"/>
              </w:rPr>
              <w:t xml:space="preserve">commencing non-PBS subsidised </w:t>
            </w:r>
            <w:r w:rsidRPr="007C06BB">
              <w:rPr>
                <w:rFonts w:ascii="Arial Narrow" w:hAnsi="Arial Narrow"/>
                <w:color w:val="000000" w:themeColor="text1"/>
                <w:sz w:val="20"/>
                <w:szCs w:val="20"/>
              </w:rPr>
              <w:t>treatment with this drug for this condition</w:t>
            </w:r>
            <w:r>
              <w:rPr>
                <w:rFonts w:ascii="Arial Narrow" w:hAnsi="Arial Narrow" w:cs="Times New Roman"/>
                <w:color w:val="000000" w:themeColor="text1"/>
                <w:kern w:val="2"/>
                <w:sz w:val="20"/>
                <w:szCs w:val="20"/>
                <w14:ligatures w14:val="standardContextual"/>
              </w:rPr>
              <w:t>.</w:t>
            </w:r>
          </w:p>
        </w:tc>
      </w:tr>
      <w:tr w:rsidR="0088147F" w:rsidRPr="007C06BB" w14:paraId="37EEB201" w14:textId="77777777" w:rsidTr="00484072">
        <w:tblPrEx>
          <w:tblCellMar>
            <w:top w:w="15" w:type="dxa"/>
            <w:left w:w="15" w:type="dxa"/>
            <w:bottom w:w="15" w:type="dxa"/>
            <w:right w:w="15" w:type="dxa"/>
          </w:tblCellMar>
          <w:tblLook w:val="04A0" w:firstRow="1" w:lastRow="0" w:firstColumn="1" w:lastColumn="0" w:noHBand="0" w:noVBand="1"/>
        </w:tblPrEx>
        <w:tc>
          <w:tcPr>
            <w:tcW w:w="9351" w:type="dxa"/>
            <w:gridSpan w:val="6"/>
            <w:vAlign w:val="center"/>
          </w:tcPr>
          <w:p w14:paraId="5125F32C" w14:textId="77777777" w:rsidR="0088147F" w:rsidRPr="007C06BB" w:rsidRDefault="0088147F" w:rsidP="00A353E1">
            <w:pPr>
              <w:spacing w:line="259" w:lineRule="auto"/>
              <w:jc w:val="left"/>
              <w:rPr>
                <w:rFonts w:ascii="Arial Narrow" w:hAnsi="Arial Narrow" w:cs="Times New Roman"/>
                <w:b/>
                <w:bCs/>
                <w:color w:val="000000" w:themeColor="text1"/>
                <w:kern w:val="2"/>
                <w:sz w:val="20"/>
                <w:szCs w:val="20"/>
                <w14:ligatures w14:val="standardContextual"/>
              </w:rPr>
            </w:pPr>
            <w:r w:rsidRPr="007C06BB">
              <w:rPr>
                <w:rFonts w:ascii="Arial Narrow" w:hAnsi="Arial Narrow" w:cs="Times New Roman"/>
                <w:b/>
                <w:bCs/>
                <w:color w:val="000000" w:themeColor="text1"/>
                <w:kern w:val="2"/>
                <w:sz w:val="20"/>
                <w:szCs w:val="20"/>
                <w14:ligatures w14:val="standardContextual"/>
              </w:rPr>
              <w:t>AND</w:t>
            </w:r>
          </w:p>
        </w:tc>
      </w:tr>
      <w:tr w:rsidR="0088147F" w:rsidRPr="007C06BB" w14:paraId="7C042D44" w14:textId="77777777" w:rsidTr="00484072">
        <w:tblPrEx>
          <w:tblCellMar>
            <w:top w:w="15" w:type="dxa"/>
            <w:left w:w="15" w:type="dxa"/>
            <w:bottom w:w="15" w:type="dxa"/>
            <w:right w:w="15" w:type="dxa"/>
          </w:tblCellMar>
          <w:tblLook w:val="04A0" w:firstRow="1" w:lastRow="0" w:firstColumn="1" w:lastColumn="0" w:noHBand="0" w:noVBand="1"/>
        </w:tblPrEx>
        <w:tc>
          <w:tcPr>
            <w:tcW w:w="9351" w:type="dxa"/>
            <w:gridSpan w:val="6"/>
            <w:vAlign w:val="center"/>
          </w:tcPr>
          <w:p w14:paraId="501CCD7E" w14:textId="77777777" w:rsidR="0088147F" w:rsidRPr="007C06BB" w:rsidRDefault="0088147F" w:rsidP="00625579">
            <w:pPr>
              <w:spacing w:line="259" w:lineRule="auto"/>
              <w:jc w:val="left"/>
              <w:rPr>
                <w:rFonts w:ascii="Arial Narrow" w:hAnsi="Arial Narrow" w:cs="Times New Roman"/>
                <w:b/>
                <w:bCs/>
                <w:color w:val="000000" w:themeColor="text1"/>
                <w:kern w:val="2"/>
                <w:sz w:val="20"/>
                <w:szCs w:val="20"/>
                <w14:ligatures w14:val="standardContextual"/>
              </w:rPr>
            </w:pPr>
            <w:r w:rsidRPr="007C06BB">
              <w:rPr>
                <w:rFonts w:ascii="Arial Narrow" w:hAnsi="Arial Narrow" w:cs="Times New Roman"/>
                <w:b/>
                <w:bCs/>
                <w:color w:val="000000" w:themeColor="text1"/>
                <w:kern w:val="2"/>
                <w:sz w:val="20"/>
                <w:szCs w:val="20"/>
                <w14:ligatures w14:val="standardContextual"/>
              </w:rPr>
              <w:t>Clinical criteria:</w:t>
            </w:r>
          </w:p>
        </w:tc>
      </w:tr>
      <w:tr w:rsidR="0088147F" w:rsidRPr="007C06BB" w14:paraId="018D36CD" w14:textId="77777777" w:rsidTr="00484072">
        <w:tblPrEx>
          <w:tblCellMar>
            <w:top w:w="15" w:type="dxa"/>
            <w:left w:w="15" w:type="dxa"/>
            <w:bottom w:w="15" w:type="dxa"/>
            <w:right w:w="15" w:type="dxa"/>
          </w:tblCellMar>
          <w:tblLook w:val="04A0" w:firstRow="1" w:lastRow="0" w:firstColumn="1" w:lastColumn="0" w:noHBand="0" w:noVBand="1"/>
        </w:tblPrEx>
        <w:tc>
          <w:tcPr>
            <w:tcW w:w="9351" w:type="dxa"/>
            <w:gridSpan w:val="6"/>
            <w:vAlign w:val="center"/>
          </w:tcPr>
          <w:p w14:paraId="6B283BDB" w14:textId="77777777" w:rsidR="0088147F" w:rsidRPr="007C06BB" w:rsidRDefault="0088147F" w:rsidP="00625579">
            <w:pPr>
              <w:autoSpaceDE w:val="0"/>
              <w:autoSpaceDN w:val="0"/>
              <w:adjustRightInd w:val="0"/>
              <w:jc w:val="left"/>
              <w:rPr>
                <w:rFonts w:ascii="Arial Narrow" w:eastAsia="Aptos" w:hAnsi="Arial Narrow"/>
                <w:color w:val="000000" w:themeColor="text1"/>
                <w:sz w:val="20"/>
                <w:szCs w:val="20"/>
                <w:lang w:eastAsia="en-US"/>
              </w:rPr>
            </w:pPr>
            <w:r w:rsidRPr="007C06BB">
              <w:rPr>
                <w:rFonts w:ascii="Arial Narrow" w:eastAsia="Aptos" w:hAnsi="Arial Narrow"/>
                <w:color w:val="000000" w:themeColor="text1"/>
                <w:sz w:val="20"/>
                <w:szCs w:val="20"/>
                <w:lang w:eastAsia="en-US"/>
              </w:rPr>
              <w:t xml:space="preserve">Patient must not have achieved, </w:t>
            </w:r>
            <w:r w:rsidRPr="007C06BB">
              <w:rPr>
                <w:rFonts w:ascii="Arial Narrow" w:hAnsi="Arial Narrow"/>
                <w:color w:val="000000" w:themeColor="text1"/>
                <w:sz w:val="20"/>
                <w:szCs w:val="20"/>
              </w:rPr>
              <w:t xml:space="preserve">prior to commencing non-PBS subsidised treatment with this drug for this condition, </w:t>
            </w:r>
            <w:r w:rsidRPr="007C06BB">
              <w:rPr>
                <w:rFonts w:ascii="Arial Narrow" w:eastAsia="Aptos" w:hAnsi="Arial Narrow"/>
                <w:color w:val="000000" w:themeColor="text1"/>
                <w:sz w:val="20"/>
                <w:szCs w:val="20"/>
                <w:lang w:eastAsia="en-US"/>
              </w:rPr>
              <w:t xml:space="preserve">adequate control with at least 3 months of optimised triple inhaled therapy consisting of: (i) </w:t>
            </w:r>
            <w:r w:rsidRPr="007C06BB">
              <w:rPr>
                <w:rFonts w:ascii="Arial Narrow" w:hAnsi="Arial Narrow"/>
                <w:color w:val="000000" w:themeColor="text1"/>
                <w:sz w:val="20"/>
                <w:szCs w:val="20"/>
              </w:rPr>
              <w:t xml:space="preserve">long-acting muscarinic antagonist (LAMA),(ii) a long-acting beta-2 agonist (LABA), (iii) an inhaled corticosteroid (ICS), </w:t>
            </w:r>
            <w:r w:rsidRPr="007C06BB">
              <w:rPr>
                <w:rFonts w:ascii="Arial Narrow" w:eastAsia="Aptos" w:hAnsi="Arial Narrow"/>
                <w:color w:val="000000" w:themeColor="text1"/>
                <w:sz w:val="20"/>
                <w:szCs w:val="20"/>
                <w:lang w:eastAsia="en-US"/>
              </w:rPr>
              <w:t>despite formal assessment of and adherence to correct inhaler technique which has been documented in the patient’s medical records.</w:t>
            </w:r>
          </w:p>
        </w:tc>
      </w:tr>
      <w:tr w:rsidR="0088147F" w:rsidRPr="007C06BB" w14:paraId="63280BB9" w14:textId="77777777" w:rsidTr="00484072">
        <w:tblPrEx>
          <w:tblCellMar>
            <w:top w:w="15" w:type="dxa"/>
            <w:left w:w="15" w:type="dxa"/>
            <w:bottom w:w="15" w:type="dxa"/>
            <w:right w:w="15" w:type="dxa"/>
          </w:tblCellMar>
          <w:tblLook w:val="04A0" w:firstRow="1" w:lastRow="0" w:firstColumn="1" w:lastColumn="0" w:noHBand="0" w:noVBand="1"/>
        </w:tblPrEx>
        <w:tc>
          <w:tcPr>
            <w:tcW w:w="9351" w:type="dxa"/>
            <w:gridSpan w:val="6"/>
            <w:vAlign w:val="center"/>
          </w:tcPr>
          <w:p w14:paraId="2C7A1944" w14:textId="77777777" w:rsidR="0088147F" w:rsidRPr="007C06BB" w:rsidRDefault="0088147F" w:rsidP="00A353E1">
            <w:pPr>
              <w:spacing w:line="259" w:lineRule="auto"/>
              <w:jc w:val="left"/>
              <w:rPr>
                <w:rFonts w:ascii="Arial Narrow" w:hAnsi="Arial Narrow" w:cs="Times New Roman"/>
                <w:b/>
                <w:bCs/>
                <w:color w:val="000000" w:themeColor="text1"/>
                <w:kern w:val="2"/>
                <w:sz w:val="20"/>
                <w:szCs w:val="20"/>
                <w14:ligatures w14:val="standardContextual"/>
              </w:rPr>
            </w:pPr>
            <w:r w:rsidRPr="007C06BB">
              <w:rPr>
                <w:rFonts w:ascii="Arial Narrow" w:hAnsi="Arial Narrow" w:cs="Times New Roman"/>
                <w:b/>
                <w:bCs/>
                <w:color w:val="000000" w:themeColor="text1"/>
                <w:kern w:val="2"/>
                <w:sz w:val="20"/>
                <w:szCs w:val="20"/>
                <w14:ligatures w14:val="standardContextual"/>
              </w:rPr>
              <w:t>AND</w:t>
            </w:r>
          </w:p>
        </w:tc>
      </w:tr>
      <w:tr w:rsidR="0088147F" w:rsidRPr="007C06BB" w14:paraId="79D123BF" w14:textId="77777777" w:rsidTr="00484072">
        <w:tblPrEx>
          <w:tblCellMar>
            <w:top w:w="15" w:type="dxa"/>
            <w:left w:w="15" w:type="dxa"/>
            <w:bottom w:w="15" w:type="dxa"/>
            <w:right w:w="15" w:type="dxa"/>
          </w:tblCellMar>
          <w:tblLook w:val="04A0" w:firstRow="1" w:lastRow="0" w:firstColumn="1" w:lastColumn="0" w:noHBand="0" w:noVBand="1"/>
        </w:tblPrEx>
        <w:tc>
          <w:tcPr>
            <w:tcW w:w="9351" w:type="dxa"/>
            <w:gridSpan w:val="6"/>
            <w:vAlign w:val="center"/>
          </w:tcPr>
          <w:p w14:paraId="1F9387E5" w14:textId="77777777" w:rsidR="0088147F" w:rsidRPr="007C06BB" w:rsidRDefault="0088147F" w:rsidP="00625579">
            <w:pPr>
              <w:spacing w:line="259" w:lineRule="auto"/>
              <w:jc w:val="left"/>
              <w:rPr>
                <w:rFonts w:ascii="Arial Narrow" w:hAnsi="Arial Narrow" w:cs="Times New Roman"/>
                <w:color w:val="000000" w:themeColor="text1"/>
                <w:kern w:val="2"/>
                <w:sz w:val="20"/>
                <w:szCs w:val="20"/>
                <w14:ligatures w14:val="standardContextual"/>
              </w:rPr>
            </w:pPr>
            <w:r w:rsidRPr="007C06BB">
              <w:rPr>
                <w:rFonts w:ascii="Arial Narrow" w:hAnsi="Arial Narrow" w:cs="Times New Roman"/>
                <w:b/>
                <w:bCs/>
                <w:color w:val="000000" w:themeColor="text1"/>
                <w:kern w:val="2"/>
                <w:sz w:val="20"/>
                <w:szCs w:val="20"/>
                <w14:ligatures w14:val="standardContextual"/>
              </w:rPr>
              <w:t>Clinical criteria:</w:t>
            </w:r>
          </w:p>
        </w:tc>
      </w:tr>
      <w:tr w:rsidR="0088147F" w:rsidRPr="007C06BB" w14:paraId="6D5AD805" w14:textId="77777777" w:rsidTr="00484072">
        <w:tblPrEx>
          <w:tblCellMar>
            <w:top w:w="15" w:type="dxa"/>
            <w:left w:w="15" w:type="dxa"/>
            <w:bottom w:w="15" w:type="dxa"/>
            <w:right w:w="15" w:type="dxa"/>
          </w:tblCellMar>
          <w:tblLook w:val="04A0" w:firstRow="1" w:lastRow="0" w:firstColumn="1" w:lastColumn="0" w:noHBand="0" w:noVBand="1"/>
        </w:tblPrEx>
        <w:trPr>
          <w:trHeight w:val="676"/>
        </w:trPr>
        <w:tc>
          <w:tcPr>
            <w:tcW w:w="9351" w:type="dxa"/>
            <w:gridSpan w:val="6"/>
            <w:vAlign w:val="center"/>
            <w:hideMark/>
          </w:tcPr>
          <w:p w14:paraId="4CD6F3FC" w14:textId="77777777" w:rsidR="0088147F" w:rsidRPr="007C06BB" w:rsidRDefault="0088147F" w:rsidP="00625579">
            <w:pPr>
              <w:spacing w:after="160" w:line="259" w:lineRule="auto"/>
              <w:jc w:val="left"/>
              <w:rPr>
                <w:rFonts w:ascii="Arial Narrow" w:hAnsi="Arial Narrow" w:cs="Times New Roman"/>
                <w:color w:val="000000" w:themeColor="text1"/>
                <w:kern w:val="2"/>
                <w:sz w:val="20"/>
                <w:szCs w:val="20"/>
                <w14:ligatures w14:val="standardContextual"/>
              </w:rPr>
            </w:pPr>
            <w:r w:rsidRPr="007C06BB">
              <w:rPr>
                <w:rFonts w:ascii="Arial Narrow" w:hAnsi="Arial Narrow" w:cs="Times New Roman"/>
                <w:color w:val="000000" w:themeColor="text1"/>
                <w:kern w:val="2"/>
                <w:sz w:val="20"/>
                <w:szCs w:val="20"/>
                <w14:ligatures w14:val="standardContextual"/>
              </w:rPr>
              <w:t xml:space="preserve">Patient must have experienced at least one severe COPD exacerbation, or at least two moderate COPD exacerbations in the 12 months prior to commencing non-PBS subsidised </w:t>
            </w:r>
            <w:r w:rsidRPr="007C06BB">
              <w:rPr>
                <w:rFonts w:ascii="Arial Narrow" w:hAnsi="Arial Narrow"/>
                <w:color w:val="000000" w:themeColor="text1"/>
                <w:sz w:val="20"/>
                <w:szCs w:val="20"/>
              </w:rPr>
              <w:t>treatment with this drug for this condition.</w:t>
            </w:r>
          </w:p>
        </w:tc>
      </w:tr>
      <w:tr w:rsidR="0088147F" w:rsidRPr="007C06BB" w14:paraId="3CCD37F3" w14:textId="77777777" w:rsidTr="00484072">
        <w:tblPrEx>
          <w:tblCellMar>
            <w:top w:w="15" w:type="dxa"/>
            <w:left w:w="15" w:type="dxa"/>
            <w:bottom w:w="15" w:type="dxa"/>
            <w:right w:w="15" w:type="dxa"/>
          </w:tblCellMar>
          <w:tblLook w:val="04A0" w:firstRow="1" w:lastRow="0" w:firstColumn="1" w:lastColumn="0" w:noHBand="0" w:noVBand="1"/>
        </w:tblPrEx>
        <w:tc>
          <w:tcPr>
            <w:tcW w:w="9351" w:type="dxa"/>
            <w:gridSpan w:val="6"/>
            <w:vAlign w:val="center"/>
          </w:tcPr>
          <w:p w14:paraId="0E49B5B9" w14:textId="77777777" w:rsidR="0088147F" w:rsidRPr="007C06BB" w:rsidRDefault="0088147F" w:rsidP="00A353E1">
            <w:pPr>
              <w:spacing w:line="259" w:lineRule="auto"/>
              <w:jc w:val="left"/>
              <w:rPr>
                <w:rFonts w:ascii="Arial Narrow" w:hAnsi="Arial Narrow" w:cs="Times New Roman"/>
                <w:b/>
                <w:bCs/>
                <w:color w:val="000000" w:themeColor="text1"/>
                <w:kern w:val="2"/>
                <w:sz w:val="20"/>
                <w:szCs w:val="20"/>
                <w14:ligatures w14:val="standardContextual"/>
              </w:rPr>
            </w:pPr>
            <w:r w:rsidRPr="007C06BB">
              <w:rPr>
                <w:rFonts w:ascii="Arial Narrow" w:hAnsi="Arial Narrow" w:cs="Times New Roman"/>
                <w:b/>
                <w:bCs/>
                <w:color w:val="000000" w:themeColor="text1"/>
                <w:kern w:val="2"/>
                <w:sz w:val="20"/>
                <w:szCs w:val="20"/>
                <w14:ligatures w14:val="standardContextual"/>
              </w:rPr>
              <w:t>AND</w:t>
            </w:r>
          </w:p>
        </w:tc>
      </w:tr>
      <w:tr w:rsidR="0088147F" w:rsidRPr="007C06BB" w14:paraId="70F3C3CB" w14:textId="77777777" w:rsidTr="00484072">
        <w:tblPrEx>
          <w:tblCellMar>
            <w:top w:w="15" w:type="dxa"/>
            <w:left w:w="15" w:type="dxa"/>
            <w:bottom w:w="15" w:type="dxa"/>
            <w:right w:w="15" w:type="dxa"/>
          </w:tblCellMar>
          <w:tblLook w:val="04A0" w:firstRow="1" w:lastRow="0" w:firstColumn="1" w:lastColumn="0" w:noHBand="0" w:noVBand="1"/>
        </w:tblPrEx>
        <w:tc>
          <w:tcPr>
            <w:tcW w:w="9351" w:type="dxa"/>
            <w:gridSpan w:val="6"/>
            <w:vAlign w:val="center"/>
            <w:hideMark/>
          </w:tcPr>
          <w:p w14:paraId="11E7494D" w14:textId="77777777" w:rsidR="0088147F" w:rsidRPr="007C06BB" w:rsidRDefault="0088147F" w:rsidP="00625579">
            <w:pPr>
              <w:spacing w:line="259" w:lineRule="auto"/>
              <w:jc w:val="left"/>
              <w:rPr>
                <w:rFonts w:ascii="Arial Narrow" w:hAnsi="Arial Narrow" w:cs="Times New Roman"/>
                <w:color w:val="000000" w:themeColor="text1"/>
                <w:kern w:val="2"/>
                <w:sz w:val="20"/>
                <w:szCs w:val="20"/>
                <w14:ligatures w14:val="standardContextual"/>
              </w:rPr>
            </w:pPr>
            <w:r w:rsidRPr="007C06BB">
              <w:rPr>
                <w:rFonts w:ascii="Arial Narrow" w:hAnsi="Arial Narrow" w:cs="Times New Roman"/>
                <w:b/>
                <w:bCs/>
                <w:color w:val="000000" w:themeColor="text1"/>
                <w:kern w:val="2"/>
                <w:sz w:val="20"/>
                <w:szCs w:val="20"/>
                <w14:ligatures w14:val="standardContextual"/>
              </w:rPr>
              <w:t>Clinical criteria:</w:t>
            </w:r>
          </w:p>
        </w:tc>
      </w:tr>
      <w:tr w:rsidR="0088147F" w:rsidRPr="007C06BB" w14:paraId="5F00837F" w14:textId="77777777" w:rsidTr="00484072">
        <w:tblPrEx>
          <w:tblCellMar>
            <w:top w:w="15" w:type="dxa"/>
            <w:left w:w="15" w:type="dxa"/>
            <w:bottom w:w="15" w:type="dxa"/>
            <w:right w:w="15" w:type="dxa"/>
          </w:tblCellMar>
          <w:tblLook w:val="04A0" w:firstRow="1" w:lastRow="0" w:firstColumn="1" w:lastColumn="0" w:noHBand="0" w:noVBand="1"/>
        </w:tblPrEx>
        <w:tc>
          <w:tcPr>
            <w:tcW w:w="9351" w:type="dxa"/>
            <w:gridSpan w:val="6"/>
            <w:vAlign w:val="center"/>
          </w:tcPr>
          <w:p w14:paraId="0F879234" w14:textId="77777777" w:rsidR="0088147F" w:rsidRPr="007C06BB" w:rsidRDefault="0088147F" w:rsidP="00625579">
            <w:pPr>
              <w:spacing w:line="259" w:lineRule="auto"/>
              <w:jc w:val="left"/>
              <w:rPr>
                <w:rFonts w:ascii="Arial Narrow" w:hAnsi="Arial Narrow" w:cs="Times New Roman"/>
                <w:color w:val="000000" w:themeColor="text1"/>
                <w:kern w:val="2"/>
                <w:sz w:val="20"/>
                <w:szCs w:val="20"/>
                <w14:ligatures w14:val="standardContextual"/>
              </w:rPr>
            </w:pPr>
            <w:r w:rsidRPr="007C06BB">
              <w:rPr>
                <w:rFonts w:ascii="Arial Narrow" w:hAnsi="Arial Narrow" w:cs="Times New Roman"/>
                <w:color w:val="000000" w:themeColor="text1"/>
                <w:kern w:val="2"/>
                <w:sz w:val="20"/>
                <w:szCs w:val="20"/>
                <w14:ligatures w14:val="standardContextual"/>
              </w:rPr>
              <w:t xml:space="preserve">The treatment must be in combination with </w:t>
            </w:r>
            <w:proofErr w:type="gramStart"/>
            <w:r w:rsidRPr="007C06BB">
              <w:rPr>
                <w:rFonts w:ascii="Arial Narrow" w:hAnsi="Arial Narrow" w:cs="Times New Roman"/>
                <w:color w:val="000000" w:themeColor="text1"/>
                <w:kern w:val="2"/>
                <w:sz w:val="20"/>
                <w:szCs w:val="20"/>
                <w14:ligatures w14:val="standardContextual"/>
              </w:rPr>
              <w:t>all of</w:t>
            </w:r>
            <w:proofErr w:type="gramEnd"/>
            <w:r w:rsidRPr="007C06BB">
              <w:rPr>
                <w:rFonts w:ascii="Arial Narrow" w:hAnsi="Arial Narrow" w:cs="Times New Roman"/>
                <w:color w:val="000000" w:themeColor="text1"/>
                <w:kern w:val="2"/>
                <w:sz w:val="20"/>
                <w:szCs w:val="20"/>
                <w14:ligatures w14:val="standardContextual"/>
              </w:rPr>
              <w:t xml:space="preserve"> (i) LAMA, (ii) LABA, (iii) ICS in an optimised</w:t>
            </w:r>
            <w:r w:rsidRPr="007C06BB">
              <w:rPr>
                <w:rFonts w:ascii="Arial Narrow" w:eastAsia="Aptos" w:hAnsi="Arial Narrow"/>
                <w:color w:val="000000" w:themeColor="text1"/>
                <w:sz w:val="20"/>
                <w:szCs w:val="20"/>
                <w:lang w:eastAsia="en-US"/>
              </w:rPr>
              <w:t xml:space="preserve"> triple inhaler therapy</w:t>
            </w:r>
          </w:p>
        </w:tc>
      </w:tr>
      <w:tr w:rsidR="0088147F" w:rsidRPr="007C06BB" w14:paraId="12D2F842" w14:textId="77777777" w:rsidTr="00484072">
        <w:tblPrEx>
          <w:tblCellMar>
            <w:top w:w="15" w:type="dxa"/>
            <w:left w:w="15" w:type="dxa"/>
            <w:bottom w:w="15" w:type="dxa"/>
            <w:right w:w="15" w:type="dxa"/>
          </w:tblCellMar>
          <w:tblLook w:val="04A0" w:firstRow="1" w:lastRow="0" w:firstColumn="1" w:lastColumn="0" w:noHBand="0" w:noVBand="1"/>
        </w:tblPrEx>
        <w:trPr>
          <w:trHeight w:val="300"/>
        </w:trPr>
        <w:tc>
          <w:tcPr>
            <w:tcW w:w="9351" w:type="dxa"/>
            <w:gridSpan w:val="6"/>
            <w:vAlign w:val="center"/>
          </w:tcPr>
          <w:p w14:paraId="662E21C9" w14:textId="77777777" w:rsidR="0088147F" w:rsidRPr="007C06BB" w:rsidRDefault="0088147F" w:rsidP="00A353E1">
            <w:pPr>
              <w:spacing w:line="259" w:lineRule="auto"/>
              <w:jc w:val="left"/>
              <w:rPr>
                <w:rFonts w:ascii="Arial Narrow" w:hAnsi="Arial Narrow" w:cs="Times New Roman"/>
                <w:b/>
                <w:bCs/>
                <w:color w:val="000000" w:themeColor="text1"/>
                <w:sz w:val="20"/>
                <w:szCs w:val="20"/>
              </w:rPr>
            </w:pPr>
            <w:r w:rsidRPr="007C06BB">
              <w:rPr>
                <w:rFonts w:ascii="Arial Narrow" w:hAnsi="Arial Narrow" w:cs="Times New Roman"/>
                <w:b/>
                <w:bCs/>
                <w:color w:val="000000" w:themeColor="text1"/>
                <w:sz w:val="20"/>
                <w:szCs w:val="20"/>
              </w:rPr>
              <w:t>AND</w:t>
            </w:r>
          </w:p>
        </w:tc>
      </w:tr>
      <w:tr w:rsidR="0088147F" w:rsidRPr="007C06BB" w14:paraId="623DEF62" w14:textId="77777777" w:rsidTr="00484072">
        <w:tblPrEx>
          <w:tblCellMar>
            <w:top w:w="15" w:type="dxa"/>
            <w:left w:w="15" w:type="dxa"/>
            <w:bottom w:w="15" w:type="dxa"/>
            <w:right w:w="15" w:type="dxa"/>
          </w:tblCellMar>
          <w:tblLook w:val="04A0" w:firstRow="1" w:lastRow="0" w:firstColumn="1" w:lastColumn="0" w:noHBand="0" w:noVBand="1"/>
        </w:tblPrEx>
        <w:trPr>
          <w:trHeight w:val="300"/>
        </w:trPr>
        <w:tc>
          <w:tcPr>
            <w:tcW w:w="9351" w:type="dxa"/>
            <w:gridSpan w:val="6"/>
            <w:vAlign w:val="center"/>
          </w:tcPr>
          <w:p w14:paraId="60EC3F1C" w14:textId="77777777" w:rsidR="0088147F" w:rsidRPr="007C06BB" w:rsidRDefault="0088147F" w:rsidP="00625579">
            <w:pPr>
              <w:spacing w:line="259" w:lineRule="auto"/>
              <w:jc w:val="left"/>
              <w:rPr>
                <w:rFonts w:ascii="Arial Narrow" w:hAnsi="Arial Narrow" w:cs="Times New Roman"/>
                <w:b/>
                <w:bCs/>
                <w:color w:val="000000" w:themeColor="text1"/>
                <w:sz w:val="20"/>
                <w:szCs w:val="20"/>
              </w:rPr>
            </w:pPr>
            <w:r w:rsidRPr="007C06BB">
              <w:rPr>
                <w:rFonts w:ascii="Arial Narrow" w:hAnsi="Arial Narrow" w:cs="Times New Roman"/>
                <w:b/>
                <w:bCs/>
                <w:color w:val="000000" w:themeColor="text1"/>
                <w:sz w:val="20"/>
                <w:szCs w:val="20"/>
              </w:rPr>
              <w:t xml:space="preserve">Clinical criteria </w:t>
            </w:r>
          </w:p>
        </w:tc>
      </w:tr>
      <w:tr w:rsidR="0088147F" w:rsidRPr="007C06BB" w14:paraId="5813CFD2" w14:textId="77777777" w:rsidTr="00484072">
        <w:tblPrEx>
          <w:tblCellMar>
            <w:top w:w="15" w:type="dxa"/>
            <w:left w:w="15" w:type="dxa"/>
            <w:bottom w:w="15" w:type="dxa"/>
            <w:right w:w="15" w:type="dxa"/>
          </w:tblCellMar>
          <w:tblLook w:val="04A0" w:firstRow="1" w:lastRow="0" w:firstColumn="1" w:lastColumn="0" w:noHBand="0" w:noVBand="1"/>
        </w:tblPrEx>
        <w:trPr>
          <w:trHeight w:val="300"/>
        </w:trPr>
        <w:tc>
          <w:tcPr>
            <w:tcW w:w="9351" w:type="dxa"/>
            <w:gridSpan w:val="6"/>
            <w:vAlign w:val="center"/>
          </w:tcPr>
          <w:p w14:paraId="3B877EAF" w14:textId="188AFBD9" w:rsidR="0088147F" w:rsidRPr="007C06BB" w:rsidRDefault="0088147F" w:rsidP="00625579">
            <w:pPr>
              <w:jc w:val="left"/>
              <w:rPr>
                <w:rFonts w:ascii="Arial Narrow" w:eastAsia="Arial Narrow" w:hAnsi="Arial Narrow" w:cs="Arial Narrow"/>
                <w:i/>
                <w:iCs/>
                <w:color w:val="000000" w:themeColor="text1"/>
                <w:sz w:val="20"/>
                <w:szCs w:val="20"/>
              </w:rPr>
            </w:pPr>
            <w:r w:rsidRPr="007C06BB">
              <w:rPr>
                <w:rFonts w:ascii="Arial Narrow" w:eastAsia="Arial Narrow" w:hAnsi="Arial Narrow" w:cs="Arial Narrow"/>
                <w:color w:val="000000" w:themeColor="text1"/>
                <w:sz w:val="20"/>
                <w:szCs w:val="20"/>
              </w:rPr>
              <w:lastRenderedPageBreak/>
              <w:t xml:space="preserve">Patient must have both achieved and sustained an adequate response to this drug, defined as maintenance (i.e. no change) or a reduction in the number of moderate and/or severe </w:t>
            </w:r>
            <w:r w:rsidRPr="005A4BFB">
              <w:rPr>
                <w:rFonts w:ascii="Arial Narrow" w:hAnsi="Arial Narrow" w:cs="Times New Roman"/>
                <w:kern w:val="2"/>
                <w:sz w:val="20"/>
                <w:szCs w:val="20"/>
                <w14:ligatures w14:val="standardContextual"/>
              </w:rPr>
              <w:t>COPD</w:t>
            </w:r>
            <w:r w:rsidRPr="007C06BB">
              <w:rPr>
                <w:rFonts w:ascii="Arial Narrow" w:eastAsia="Arial Narrow" w:hAnsi="Arial Narrow" w:cs="Arial Narrow"/>
                <w:color w:val="000000" w:themeColor="text1"/>
                <w:sz w:val="20"/>
                <w:szCs w:val="20"/>
              </w:rPr>
              <w:t xml:space="preserve"> exacerbation/s compared to the baseline levels provided with th</w:t>
            </w:r>
            <w:r>
              <w:rPr>
                <w:rFonts w:ascii="Arial Narrow" w:eastAsia="Arial Narrow" w:hAnsi="Arial Narrow" w:cs="Arial Narrow"/>
                <w:color w:val="000000" w:themeColor="text1"/>
                <w:sz w:val="20"/>
                <w:szCs w:val="20"/>
              </w:rPr>
              <w:t>is</w:t>
            </w:r>
            <w:r w:rsidRPr="007C06BB">
              <w:rPr>
                <w:rFonts w:ascii="Arial Narrow" w:eastAsia="Arial Narrow" w:hAnsi="Arial Narrow" w:cs="Arial Narrow"/>
                <w:color w:val="000000" w:themeColor="text1"/>
                <w:sz w:val="20"/>
                <w:szCs w:val="20"/>
              </w:rPr>
              <w:t xml:space="preserve"> authority application, if </w:t>
            </w:r>
            <w:r>
              <w:rPr>
                <w:rFonts w:ascii="Arial Narrow" w:eastAsia="Arial Narrow" w:hAnsi="Arial Narrow" w:cs="Arial Narrow"/>
                <w:color w:val="000000" w:themeColor="text1"/>
                <w:sz w:val="20"/>
                <w:szCs w:val="20"/>
              </w:rPr>
              <w:t xml:space="preserve">they </w:t>
            </w:r>
            <w:r w:rsidRPr="007C06BB">
              <w:rPr>
                <w:rFonts w:ascii="Arial Narrow" w:eastAsia="Arial Narrow" w:hAnsi="Arial Narrow" w:cs="Arial Narrow"/>
                <w:color w:val="000000" w:themeColor="text1"/>
                <w:sz w:val="20"/>
                <w:szCs w:val="20"/>
              </w:rPr>
              <w:t>received at least 24 weeks of treatment with this drug</w:t>
            </w:r>
            <w:r>
              <w:rPr>
                <w:rFonts w:ascii="Arial Narrow" w:eastAsia="Arial Narrow" w:hAnsi="Arial Narrow" w:cs="Arial Narrow"/>
                <w:color w:val="000000" w:themeColor="text1"/>
                <w:sz w:val="20"/>
                <w:szCs w:val="20"/>
              </w:rPr>
              <w:t xml:space="preserve"> for this condition</w:t>
            </w:r>
            <w:r w:rsidRPr="007C06BB">
              <w:rPr>
                <w:rFonts w:ascii="Arial Narrow" w:eastAsia="Arial Narrow" w:hAnsi="Arial Narrow" w:cs="Arial Narrow"/>
                <w:color w:val="000000" w:themeColor="text1"/>
                <w:sz w:val="20"/>
                <w:szCs w:val="20"/>
              </w:rPr>
              <w:t>.</w:t>
            </w:r>
            <w:r w:rsidRPr="007C06BB">
              <w:rPr>
                <w:rFonts w:ascii="Arial Narrow" w:eastAsia="Arial Narrow" w:hAnsi="Arial Narrow" w:cs="Arial Narrow"/>
                <w:i/>
                <w:iCs/>
                <w:color w:val="000000" w:themeColor="text1"/>
                <w:sz w:val="20"/>
                <w:szCs w:val="20"/>
              </w:rPr>
              <w:t xml:space="preserve"> </w:t>
            </w:r>
          </w:p>
        </w:tc>
      </w:tr>
      <w:tr w:rsidR="0088147F" w:rsidRPr="007C06BB" w14:paraId="14A130B8" w14:textId="77777777" w:rsidTr="00484072">
        <w:tblPrEx>
          <w:tblCellMar>
            <w:top w:w="15" w:type="dxa"/>
            <w:left w:w="15" w:type="dxa"/>
            <w:bottom w:w="15" w:type="dxa"/>
            <w:right w:w="15" w:type="dxa"/>
          </w:tblCellMar>
          <w:tblLook w:val="04A0" w:firstRow="1" w:lastRow="0" w:firstColumn="1" w:lastColumn="0" w:noHBand="0" w:noVBand="1"/>
        </w:tblPrEx>
        <w:tc>
          <w:tcPr>
            <w:tcW w:w="9351" w:type="dxa"/>
            <w:gridSpan w:val="6"/>
            <w:vAlign w:val="center"/>
          </w:tcPr>
          <w:p w14:paraId="49CE9118" w14:textId="77777777" w:rsidR="0088147F" w:rsidRPr="007C06BB" w:rsidRDefault="0088147F" w:rsidP="00A353E1">
            <w:pPr>
              <w:spacing w:line="259" w:lineRule="auto"/>
              <w:jc w:val="left"/>
              <w:rPr>
                <w:rFonts w:ascii="Arial Narrow" w:hAnsi="Arial Narrow" w:cs="Times New Roman"/>
                <w:color w:val="000000" w:themeColor="text1"/>
                <w:kern w:val="2"/>
                <w:sz w:val="20"/>
                <w:szCs w:val="20"/>
                <w14:ligatures w14:val="standardContextual"/>
              </w:rPr>
            </w:pPr>
            <w:r w:rsidRPr="007C06BB">
              <w:rPr>
                <w:rFonts w:ascii="Arial Narrow" w:hAnsi="Arial Narrow" w:cs="Times New Roman"/>
                <w:b/>
                <w:bCs/>
                <w:color w:val="000000" w:themeColor="text1"/>
                <w:kern w:val="2"/>
                <w:sz w:val="20"/>
                <w:szCs w:val="20"/>
                <w14:ligatures w14:val="standardContextual"/>
              </w:rPr>
              <w:t>AND</w:t>
            </w:r>
          </w:p>
        </w:tc>
      </w:tr>
      <w:tr w:rsidR="0088147F" w:rsidRPr="007C06BB" w14:paraId="481B4FD4" w14:textId="77777777" w:rsidTr="00484072">
        <w:tblPrEx>
          <w:tblCellMar>
            <w:top w:w="15" w:type="dxa"/>
            <w:left w:w="15" w:type="dxa"/>
            <w:bottom w:w="15" w:type="dxa"/>
            <w:right w:w="15" w:type="dxa"/>
          </w:tblCellMar>
          <w:tblLook w:val="04A0" w:firstRow="1" w:lastRow="0" w:firstColumn="1" w:lastColumn="0" w:noHBand="0" w:noVBand="1"/>
        </w:tblPrEx>
        <w:tc>
          <w:tcPr>
            <w:tcW w:w="9351" w:type="dxa"/>
            <w:gridSpan w:val="6"/>
            <w:vAlign w:val="center"/>
          </w:tcPr>
          <w:p w14:paraId="7850A01C" w14:textId="77777777" w:rsidR="0088147F" w:rsidRPr="007C06BB" w:rsidRDefault="0088147F" w:rsidP="00625579">
            <w:pPr>
              <w:spacing w:line="259" w:lineRule="auto"/>
              <w:jc w:val="left"/>
              <w:rPr>
                <w:rFonts w:ascii="Arial Narrow" w:hAnsi="Arial Narrow" w:cs="Times New Roman"/>
                <w:color w:val="000000" w:themeColor="text1"/>
                <w:kern w:val="2"/>
                <w:sz w:val="20"/>
                <w:szCs w:val="20"/>
                <w14:ligatures w14:val="standardContextual"/>
              </w:rPr>
            </w:pPr>
            <w:r w:rsidRPr="007C06BB">
              <w:rPr>
                <w:rFonts w:ascii="Arial Narrow" w:hAnsi="Arial Narrow" w:cs="Times New Roman"/>
                <w:b/>
                <w:bCs/>
                <w:color w:val="000000" w:themeColor="text1"/>
                <w:kern w:val="2"/>
                <w:sz w:val="20"/>
                <w:szCs w:val="20"/>
                <w14:ligatures w14:val="standardContextual"/>
              </w:rPr>
              <w:t>Clinical criteria:</w:t>
            </w:r>
          </w:p>
        </w:tc>
      </w:tr>
      <w:tr w:rsidR="0088147F" w:rsidRPr="007C06BB" w14:paraId="7A549A78" w14:textId="77777777" w:rsidTr="00484072">
        <w:tblPrEx>
          <w:tblCellMar>
            <w:top w:w="15" w:type="dxa"/>
            <w:left w:w="15" w:type="dxa"/>
            <w:bottom w:w="15" w:type="dxa"/>
            <w:right w:w="15" w:type="dxa"/>
          </w:tblCellMar>
          <w:tblLook w:val="04A0" w:firstRow="1" w:lastRow="0" w:firstColumn="1" w:lastColumn="0" w:noHBand="0" w:noVBand="1"/>
        </w:tblPrEx>
        <w:tc>
          <w:tcPr>
            <w:tcW w:w="9351" w:type="dxa"/>
            <w:gridSpan w:val="6"/>
            <w:vAlign w:val="center"/>
          </w:tcPr>
          <w:p w14:paraId="4F61E9D6" w14:textId="77777777" w:rsidR="0088147F" w:rsidRPr="007C06BB" w:rsidRDefault="0088147F" w:rsidP="00625579">
            <w:pPr>
              <w:spacing w:line="259" w:lineRule="auto"/>
              <w:jc w:val="left"/>
              <w:rPr>
                <w:rFonts w:ascii="Arial Narrow" w:hAnsi="Arial Narrow" w:cs="Times New Roman"/>
                <w:color w:val="000000" w:themeColor="text1"/>
                <w:kern w:val="2"/>
                <w:sz w:val="20"/>
                <w:szCs w:val="20"/>
                <w14:ligatures w14:val="standardContextual"/>
              </w:rPr>
            </w:pPr>
            <w:r w:rsidRPr="007C06BB">
              <w:rPr>
                <w:rFonts w:ascii="Arial Narrow" w:eastAsia="Aptos" w:hAnsi="Arial Narrow" w:cs="Times New Roman"/>
                <w:color w:val="000000" w:themeColor="text1"/>
                <w:kern w:val="2"/>
                <w:sz w:val="20"/>
                <w:szCs w:val="20"/>
                <w:lang w:eastAsia="en-US"/>
                <w14:ligatures w14:val="standardContextual"/>
              </w:rPr>
              <w:t>The treatment must not be used in combination with and within 4 weeks of another PBS-subsidised biological medicine prescribed for any of: (i) nasal polyps, (ii) uncontrolled severe allergic asthma, (iii) uncontrolled severe asthma</w:t>
            </w:r>
            <w:r>
              <w:rPr>
                <w:rFonts w:ascii="Arial Narrow" w:eastAsia="Aptos" w:hAnsi="Arial Narrow" w:cs="Times New Roman"/>
                <w:color w:val="000000" w:themeColor="text1"/>
                <w:kern w:val="2"/>
                <w:sz w:val="20"/>
                <w:szCs w:val="20"/>
                <w:lang w:eastAsia="en-US"/>
                <w14:ligatures w14:val="standardContextual"/>
              </w:rPr>
              <w:t xml:space="preserve">, </w:t>
            </w:r>
            <w:r w:rsidRPr="00B97A15">
              <w:rPr>
                <w:rFonts w:ascii="Arial Narrow" w:hAnsi="Arial Narrow"/>
                <w:sz w:val="20"/>
                <w:szCs w:val="20"/>
              </w:rPr>
              <w:t>(</w:t>
            </w:r>
            <w:r w:rsidRPr="00B97A15">
              <w:rPr>
                <w:rFonts w:ascii="Arial Narrow" w:eastAsia="Arial Narrow" w:hAnsi="Arial Narrow" w:cs="Arial Narrow"/>
                <w:sz w:val="20"/>
                <w:szCs w:val="20"/>
              </w:rPr>
              <w:t>iv) uncontrolled chronic obstructive pulmonary disease.</w:t>
            </w:r>
            <w:r w:rsidRPr="00B97A15">
              <w:rPr>
                <w:rFonts w:ascii="Arial Narrow" w:hAnsi="Arial Narrow"/>
                <w:sz w:val="20"/>
                <w:szCs w:val="20"/>
              </w:rPr>
              <w:t xml:space="preserve"> </w:t>
            </w:r>
            <w:r w:rsidRPr="00B97A15">
              <w:rPr>
                <w:rFonts w:ascii="Arial Narrow" w:hAnsi="Arial Narrow"/>
                <w:snapToGrid w:val="0"/>
                <w:sz w:val="20"/>
                <w:szCs w:val="20"/>
              </w:rPr>
              <w:t> </w:t>
            </w:r>
            <w:r w:rsidRPr="00B97A15">
              <w:rPr>
                <w:rFonts w:ascii="Arial Narrow" w:hAnsi="Arial Narrow"/>
                <w:bCs/>
                <w:snapToGrid w:val="0"/>
                <w:sz w:val="20"/>
                <w:szCs w:val="20"/>
              </w:rPr>
              <w:t> </w:t>
            </w:r>
            <w:r w:rsidRPr="00B97A15">
              <w:rPr>
                <w:rFonts w:ascii="Arial Narrow" w:eastAsia="Aptos" w:hAnsi="Arial Narrow" w:cs="Times New Roman"/>
                <w:kern w:val="2"/>
                <w:sz w:val="20"/>
                <w:szCs w:val="20"/>
                <w:lang w:eastAsia="en-US"/>
                <w14:ligatures w14:val="standardContextual"/>
              </w:rPr>
              <w:t xml:space="preserve"> </w:t>
            </w:r>
            <w:r w:rsidRPr="007C06BB">
              <w:rPr>
                <w:rFonts w:ascii="Arial Narrow" w:eastAsia="Aptos" w:hAnsi="Arial Narrow" w:cs="Times New Roman"/>
                <w:color w:val="000000" w:themeColor="text1"/>
                <w:kern w:val="2"/>
                <w:sz w:val="20"/>
                <w:szCs w:val="20"/>
                <w:lang w:eastAsia="en-US"/>
                <w14:ligatures w14:val="standardContextual"/>
              </w:rPr>
              <w:t xml:space="preserve"> </w:t>
            </w:r>
          </w:p>
        </w:tc>
      </w:tr>
      <w:tr w:rsidR="0088147F" w:rsidRPr="007C06BB" w14:paraId="24F69105" w14:textId="77777777" w:rsidTr="00484072">
        <w:tblPrEx>
          <w:tblCellMar>
            <w:top w:w="15" w:type="dxa"/>
            <w:left w:w="15" w:type="dxa"/>
            <w:bottom w:w="15" w:type="dxa"/>
            <w:right w:w="15" w:type="dxa"/>
          </w:tblCellMar>
          <w:tblLook w:val="04A0" w:firstRow="1" w:lastRow="0" w:firstColumn="1" w:lastColumn="0" w:noHBand="0" w:noVBand="1"/>
        </w:tblPrEx>
        <w:tc>
          <w:tcPr>
            <w:tcW w:w="9351" w:type="dxa"/>
            <w:gridSpan w:val="6"/>
            <w:vAlign w:val="center"/>
          </w:tcPr>
          <w:p w14:paraId="7571AC94" w14:textId="77777777" w:rsidR="0088147F" w:rsidRPr="007C06BB" w:rsidRDefault="0088147F" w:rsidP="00A353E1">
            <w:pPr>
              <w:spacing w:line="259" w:lineRule="auto"/>
              <w:jc w:val="left"/>
              <w:rPr>
                <w:rFonts w:ascii="Arial Narrow" w:hAnsi="Arial Narrow" w:cs="Times New Roman"/>
                <w:color w:val="000000" w:themeColor="text1"/>
                <w:kern w:val="2"/>
                <w:sz w:val="20"/>
                <w:szCs w:val="20"/>
                <w14:ligatures w14:val="standardContextual"/>
              </w:rPr>
            </w:pPr>
            <w:r w:rsidRPr="007C06BB">
              <w:rPr>
                <w:rFonts w:ascii="Arial Narrow" w:hAnsi="Arial Narrow" w:cs="Times New Roman"/>
                <w:b/>
                <w:bCs/>
                <w:color w:val="000000" w:themeColor="text1"/>
                <w:kern w:val="2"/>
                <w:sz w:val="20"/>
                <w:szCs w:val="20"/>
                <w14:ligatures w14:val="standardContextual"/>
              </w:rPr>
              <w:t>Treatment criteria:</w:t>
            </w:r>
          </w:p>
        </w:tc>
      </w:tr>
      <w:tr w:rsidR="0088147F" w:rsidRPr="007C06BB" w14:paraId="0D78CDB5" w14:textId="77777777" w:rsidTr="00484072">
        <w:tblPrEx>
          <w:tblCellMar>
            <w:top w:w="15" w:type="dxa"/>
            <w:left w:w="15" w:type="dxa"/>
            <w:bottom w:w="15" w:type="dxa"/>
            <w:right w:w="15" w:type="dxa"/>
          </w:tblCellMar>
          <w:tblLook w:val="04A0" w:firstRow="1" w:lastRow="0" w:firstColumn="1" w:lastColumn="0" w:noHBand="0" w:noVBand="1"/>
        </w:tblPrEx>
        <w:tc>
          <w:tcPr>
            <w:tcW w:w="9351" w:type="dxa"/>
            <w:gridSpan w:val="6"/>
            <w:vAlign w:val="center"/>
            <w:hideMark/>
          </w:tcPr>
          <w:p w14:paraId="2D721ABF" w14:textId="77777777" w:rsidR="0088147F" w:rsidRPr="007C06BB" w:rsidRDefault="0088147F" w:rsidP="00A353E1">
            <w:pPr>
              <w:spacing w:line="259" w:lineRule="auto"/>
              <w:jc w:val="left"/>
              <w:rPr>
                <w:rFonts w:ascii="Arial Narrow" w:eastAsia="Aptos" w:hAnsi="Arial Narrow" w:cs="Arial Narrow"/>
                <w:i/>
                <w:iCs/>
                <w:color w:val="000000" w:themeColor="text1"/>
                <w:kern w:val="2"/>
                <w:sz w:val="20"/>
                <w:szCs w:val="20"/>
                <w:lang w:eastAsia="en-US"/>
                <w14:ligatures w14:val="standardContextual"/>
              </w:rPr>
            </w:pPr>
            <w:r w:rsidRPr="007C06BB">
              <w:rPr>
                <w:rFonts w:ascii="Arial Narrow" w:hAnsi="Arial Narrow" w:cs="Times New Roman"/>
                <w:color w:val="000000" w:themeColor="text1"/>
                <w:kern w:val="2"/>
                <w:sz w:val="20"/>
                <w:szCs w:val="20"/>
                <w14:ligatures w14:val="standardContextual"/>
              </w:rPr>
              <w:t xml:space="preserve"> Must be treated by a medical practitioner who is either a (i) respiratory physician (ii) general physician experienced in the management of patients with this condition. </w:t>
            </w:r>
          </w:p>
        </w:tc>
      </w:tr>
      <w:tr w:rsidR="0088147F" w:rsidRPr="007C06BB" w14:paraId="499DACD7" w14:textId="77777777" w:rsidTr="00484072">
        <w:tblPrEx>
          <w:tblCellMar>
            <w:top w:w="15" w:type="dxa"/>
            <w:left w:w="15" w:type="dxa"/>
            <w:bottom w:w="15" w:type="dxa"/>
            <w:right w:w="15" w:type="dxa"/>
          </w:tblCellMar>
          <w:tblLook w:val="04A0" w:firstRow="1" w:lastRow="0" w:firstColumn="1" w:lastColumn="0" w:noHBand="0" w:noVBand="1"/>
        </w:tblPrEx>
        <w:tc>
          <w:tcPr>
            <w:tcW w:w="9351" w:type="dxa"/>
            <w:gridSpan w:val="6"/>
            <w:vAlign w:val="center"/>
          </w:tcPr>
          <w:p w14:paraId="1956167F" w14:textId="77777777" w:rsidR="0088147F" w:rsidRPr="007C06BB" w:rsidRDefault="0088147F" w:rsidP="00A353E1">
            <w:pPr>
              <w:spacing w:line="259" w:lineRule="auto"/>
              <w:jc w:val="left"/>
              <w:rPr>
                <w:rFonts w:ascii="Arial Narrow" w:hAnsi="Arial Narrow" w:cs="Times New Roman"/>
                <w:color w:val="000000" w:themeColor="text1"/>
                <w:kern w:val="2"/>
                <w:sz w:val="20"/>
                <w:szCs w:val="20"/>
                <w14:ligatures w14:val="standardContextual"/>
              </w:rPr>
            </w:pPr>
            <w:r w:rsidRPr="007C06BB">
              <w:rPr>
                <w:rFonts w:ascii="Arial Narrow" w:hAnsi="Arial Narrow" w:cs="Times New Roman"/>
                <w:b/>
                <w:bCs/>
                <w:color w:val="000000" w:themeColor="text1"/>
                <w:kern w:val="2"/>
                <w:sz w:val="20"/>
                <w:szCs w:val="20"/>
                <w14:ligatures w14:val="standardContextual"/>
              </w:rPr>
              <w:t>Prescribing Instructions:</w:t>
            </w:r>
            <w:r w:rsidRPr="007C06BB">
              <w:rPr>
                <w:rFonts w:ascii="Arial Narrow" w:hAnsi="Arial Narrow" w:cs="Times New Roman"/>
                <w:color w:val="000000" w:themeColor="text1"/>
                <w:kern w:val="2"/>
                <w:sz w:val="20"/>
                <w:szCs w:val="20"/>
                <w14:ligatures w14:val="standardContextual"/>
              </w:rPr>
              <w:t xml:space="preserve"> </w:t>
            </w:r>
          </w:p>
          <w:p w14:paraId="16A9B3EC" w14:textId="77777777" w:rsidR="0088147F" w:rsidRPr="007C06BB" w:rsidRDefault="0088147F" w:rsidP="00A353E1">
            <w:pPr>
              <w:spacing w:line="259" w:lineRule="auto"/>
              <w:jc w:val="left"/>
              <w:rPr>
                <w:rFonts w:ascii="Arial Narrow" w:hAnsi="Arial Narrow" w:cs="Times New Roman"/>
                <w:color w:val="000000" w:themeColor="text1"/>
                <w:kern w:val="2"/>
                <w:sz w:val="20"/>
                <w:szCs w:val="20"/>
                <w14:ligatures w14:val="standardContextual"/>
              </w:rPr>
            </w:pPr>
            <w:proofErr w:type="gramStart"/>
            <w:r w:rsidRPr="007C06BB">
              <w:rPr>
                <w:rFonts w:ascii="Arial Narrow" w:hAnsi="Arial Narrow" w:cs="Times New Roman"/>
                <w:color w:val="000000" w:themeColor="text1"/>
                <w:kern w:val="2"/>
                <w:sz w:val="20"/>
                <w:szCs w:val="20"/>
                <w14:ligatures w14:val="standardContextual"/>
              </w:rPr>
              <w:t>For the purpose of</w:t>
            </w:r>
            <w:proofErr w:type="gramEnd"/>
            <w:r w:rsidRPr="007C06BB">
              <w:rPr>
                <w:rFonts w:ascii="Arial Narrow" w:hAnsi="Arial Narrow" w:cs="Times New Roman"/>
                <w:color w:val="000000" w:themeColor="text1"/>
                <w:kern w:val="2"/>
                <w:sz w:val="20"/>
                <w:szCs w:val="20"/>
                <w14:ligatures w14:val="standardContextual"/>
              </w:rPr>
              <w:t xml:space="preserve"> administering this restriction, COPD exacerbations in the 12 months prior to commencing non-PBS subsidised </w:t>
            </w:r>
            <w:r w:rsidRPr="007C06BB">
              <w:rPr>
                <w:rFonts w:ascii="Arial Narrow" w:hAnsi="Arial Narrow"/>
                <w:color w:val="000000" w:themeColor="text1"/>
                <w:sz w:val="20"/>
                <w:szCs w:val="20"/>
              </w:rPr>
              <w:t>treatment with this drug for this condition,</w:t>
            </w:r>
            <w:r w:rsidRPr="007C06BB">
              <w:rPr>
                <w:rFonts w:ascii="Arial Narrow" w:hAnsi="Arial Narrow" w:cs="Times New Roman"/>
                <w:color w:val="000000" w:themeColor="text1"/>
                <w:kern w:val="2"/>
                <w:sz w:val="20"/>
                <w:szCs w:val="20"/>
                <w14:ligatures w14:val="standardContextual"/>
              </w:rPr>
              <w:t xml:space="preserve"> are defined as experiencing: </w:t>
            </w:r>
          </w:p>
          <w:p w14:paraId="0768178A" w14:textId="77777777" w:rsidR="0088147F" w:rsidRPr="007C06BB" w:rsidRDefault="0088147F" w:rsidP="00E64392">
            <w:pPr>
              <w:numPr>
                <w:ilvl w:val="0"/>
                <w:numId w:val="15"/>
              </w:numPr>
              <w:spacing w:after="160" w:line="259" w:lineRule="auto"/>
              <w:contextualSpacing/>
              <w:jc w:val="left"/>
              <w:rPr>
                <w:rFonts w:ascii="Arial Narrow" w:hAnsi="Arial Narrow" w:cs="Times New Roman"/>
                <w:color w:val="000000" w:themeColor="text1"/>
                <w:kern w:val="2"/>
                <w:sz w:val="20"/>
                <w:szCs w:val="20"/>
                <w14:ligatures w14:val="standardContextual"/>
              </w:rPr>
            </w:pPr>
            <w:r w:rsidRPr="007C06BB">
              <w:rPr>
                <w:rFonts w:ascii="Arial Narrow" w:hAnsi="Arial Narrow" w:cs="Times New Roman"/>
                <w:color w:val="000000" w:themeColor="text1"/>
                <w:kern w:val="2"/>
                <w:sz w:val="20"/>
                <w:szCs w:val="20"/>
                <w14:ligatures w14:val="standardContextual"/>
              </w:rPr>
              <w:t xml:space="preserve">at least 1 severe COPD exacerbation which required hospitalisation AND/OR </w:t>
            </w:r>
          </w:p>
          <w:p w14:paraId="3F5BC274" w14:textId="3F62FA83" w:rsidR="0088147F" w:rsidRPr="007C06BB" w:rsidRDefault="0088147F" w:rsidP="00E64392">
            <w:pPr>
              <w:numPr>
                <w:ilvl w:val="0"/>
                <w:numId w:val="15"/>
              </w:numPr>
              <w:spacing w:after="160" w:line="259" w:lineRule="auto"/>
              <w:contextualSpacing/>
              <w:jc w:val="left"/>
              <w:rPr>
                <w:rFonts w:ascii="Arial Narrow" w:hAnsi="Arial Narrow" w:cs="Times New Roman"/>
                <w:color w:val="000000" w:themeColor="text1"/>
                <w:kern w:val="2"/>
                <w:sz w:val="20"/>
                <w:szCs w:val="20"/>
                <w14:ligatures w14:val="standardContextual"/>
              </w:rPr>
            </w:pPr>
            <w:r w:rsidRPr="007C06BB">
              <w:rPr>
                <w:rFonts w:ascii="Arial Narrow" w:hAnsi="Arial Narrow" w:cs="Times New Roman"/>
                <w:color w:val="000000" w:themeColor="text1"/>
                <w:kern w:val="2"/>
                <w:sz w:val="20"/>
                <w:szCs w:val="20"/>
                <w14:ligatures w14:val="standardContextual"/>
              </w:rPr>
              <w:t xml:space="preserve">2 or more moderate </w:t>
            </w:r>
            <w:r>
              <w:rPr>
                <w:rFonts w:ascii="Arial Narrow" w:hAnsi="Arial Narrow" w:cs="Times New Roman"/>
                <w:color w:val="000000" w:themeColor="text1"/>
                <w:kern w:val="2"/>
                <w:sz w:val="20"/>
                <w:szCs w:val="20"/>
                <w14:ligatures w14:val="standardContextual"/>
              </w:rPr>
              <w:t xml:space="preserve">COPD </w:t>
            </w:r>
            <w:r w:rsidRPr="007C06BB">
              <w:rPr>
                <w:rFonts w:ascii="Arial Narrow" w:hAnsi="Arial Narrow" w:cs="Times New Roman"/>
                <w:color w:val="000000" w:themeColor="text1"/>
                <w:kern w:val="2"/>
                <w:sz w:val="20"/>
                <w:szCs w:val="20"/>
                <w14:ligatures w14:val="standardContextual"/>
              </w:rPr>
              <w:t xml:space="preserve">exacerbations, of which at least: </w:t>
            </w:r>
          </w:p>
          <w:p w14:paraId="3E3FB442" w14:textId="77777777" w:rsidR="0088147F" w:rsidRPr="007C06BB" w:rsidRDefault="0088147F" w:rsidP="00E64392">
            <w:pPr>
              <w:numPr>
                <w:ilvl w:val="1"/>
                <w:numId w:val="15"/>
              </w:numPr>
              <w:spacing w:after="160" w:line="259" w:lineRule="auto"/>
              <w:contextualSpacing/>
              <w:jc w:val="left"/>
              <w:rPr>
                <w:rFonts w:ascii="Arial Narrow" w:hAnsi="Arial Narrow" w:cs="Times New Roman"/>
                <w:color w:val="000000" w:themeColor="text1"/>
                <w:kern w:val="2"/>
                <w:sz w:val="20"/>
                <w:szCs w:val="20"/>
                <w14:ligatures w14:val="standardContextual"/>
              </w:rPr>
            </w:pPr>
            <w:r w:rsidRPr="007C06BB">
              <w:rPr>
                <w:rFonts w:ascii="Arial Narrow" w:hAnsi="Arial Narrow" w:cs="Times New Roman"/>
                <w:color w:val="000000" w:themeColor="text1"/>
                <w:kern w:val="2"/>
                <w:sz w:val="20"/>
                <w:szCs w:val="20"/>
                <w14:ligatures w14:val="standardContextual"/>
              </w:rPr>
              <w:t>one required treatment with systemic corticosteroids and</w:t>
            </w:r>
          </w:p>
          <w:p w14:paraId="2CF312D5" w14:textId="77777777" w:rsidR="0088147F" w:rsidRPr="007C06BB" w:rsidRDefault="0088147F" w:rsidP="00E64392">
            <w:pPr>
              <w:numPr>
                <w:ilvl w:val="1"/>
                <w:numId w:val="15"/>
              </w:numPr>
              <w:spacing w:after="160" w:line="259" w:lineRule="auto"/>
              <w:contextualSpacing/>
              <w:jc w:val="left"/>
              <w:rPr>
                <w:rFonts w:ascii="Arial Narrow" w:hAnsi="Arial Narrow" w:cs="Times New Roman"/>
                <w:color w:val="000000" w:themeColor="text1"/>
                <w:kern w:val="2"/>
                <w:sz w:val="20"/>
                <w:szCs w:val="20"/>
                <w14:ligatures w14:val="standardContextual"/>
              </w:rPr>
            </w:pPr>
            <w:r w:rsidRPr="007C06BB">
              <w:rPr>
                <w:rFonts w:ascii="Arial Narrow" w:hAnsi="Arial Narrow" w:cs="Times New Roman"/>
                <w:color w:val="000000" w:themeColor="text1"/>
                <w:kern w:val="2"/>
                <w:sz w:val="20"/>
                <w:szCs w:val="20"/>
                <w14:ligatures w14:val="standardContextual"/>
              </w:rPr>
              <w:t>one required treatment with systemic corticosteroids or antibiotics.</w:t>
            </w:r>
          </w:p>
          <w:p w14:paraId="04263A77" w14:textId="77777777" w:rsidR="0088147F" w:rsidRPr="007C06BB" w:rsidRDefault="0088147F" w:rsidP="00A353E1">
            <w:pPr>
              <w:jc w:val="left"/>
              <w:rPr>
                <w:rFonts w:ascii="Arial Narrow" w:hAnsi="Arial Narrow" w:cs="Times New Roman"/>
                <w:i/>
                <w:iCs/>
                <w:color w:val="000000" w:themeColor="text1"/>
                <w:kern w:val="2"/>
                <w:sz w:val="20"/>
                <w:szCs w:val="20"/>
                <w14:ligatures w14:val="standardContextual"/>
              </w:rPr>
            </w:pPr>
            <w:r w:rsidRPr="007C06BB">
              <w:rPr>
                <w:rFonts w:ascii="Arial Narrow" w:hAnsi="Arial Narrow" w:cs="Times New Roman"/>
                <w:color w:val="000000" w:themeColor="text1"/>
                <w:kern w:val="2"/>
                <w:sz w:val="20"/>
                <w:szCs w:val="20"/>
                <w14:ligatures w14:val="standardContextual"/>
              </w:rPr>
              <w:t xml:space="preserve">At least one of the moderate or severe exacerbations must have occurred while the patient was taking </w:t>
            </w:r>
            <w:proofErr w:type="gramStart"/>
            <w:r w:rsidRPr="007C06BB">
              <w:rPr>
                <w:rFonts w:ascii="Arial Narrow" w:hAnsi="Arial Narrow" w:cs="Times New Roman"/>
                <w:color w:val="000000" w:themeColor="text1"/>
                <w:kern w:val="2"/>
                <w:sz w:val="20"/>
                <w:szCs w:val="20"/>
                <w14:ligatures w14:val="standardContextual"/>
              </w:rPr>
              <w:t>all of</w:t>
            </w:r>
            <w:proofErr w:type="gramEnd"/>
            <w:r w:rsidRPr="007C06BB">
              <w:rPr>
                <w:rFonts w:ascii="Arial Narrow" w:hAnsi="Arial Narrow" w:cs="Times New Roman"/>
                <w:color w:val="000000" w:themeColor="text1"/>
                <w:kern w:val="2"/>
                <w:sz w:val="20"/>
                <w:szCs w:val="20"/>
                <w14:ligatures w14:val="standardContextual"/>
              </w:rPr>
              <w:t xml:space="preserve"> (i) LAMA, (ii) LABA, and (iii) ICS. </w:t>
            </w:r>
          </w:p>
        </w:tc>
      </w:tr>
      <w:tr w:rsidR="0088147F" w:rsidRPr="007C06BB" w14:paraId="5F668389" w14:textId="77777777" w:rsidTr="00484072">
        <w:tblPrEx>
          <w:tblCellMar>
            <w:top w:w="15" w:type="dxa"/>
            <w:left w:w="15" w:type="dxa"/>
            <w:bottom w:w="15" w:type="dxa"/>
            <w:right w:w="15" w:type="dxa"/>
          </w:tblCellMar>
          <w:tblLook w:val="04A0" w:firstRow="1" w:lastRow="0" w:firstColumn="1" w:lastColumn="0" w:noHBand="0" w:noVBand="1"/>
        </w:tblPrEx>
        <w:tc>
          <w:tcPr>
            <w:tcW w:w="9351" w:type="dxa"/>
            <w:gridSpan w:val="6"/>
            <w:vAlign w:val="center"/>
            <w:hideMark/>
          </w:tcPr>
          <w:p w14:paraId="3265BF87" w14:textId="77777777" w:rsidR="0088147F" w:rsidRPr="007C06BB" w:rsidRDefault="0088147F" w:rsidP="00A353E1">
            <w:pPr>
              <w:spacing w:line="259" w:lineRule="auto"/>
              <w:jc w:val="left"/>
              <w:rPr>
                <w:rFonts w:ascii="Arial Narrow" w:hAnsi="Arial Narrow" w:cs="Times New Roman"/>
                <w:color w:val="000000" w:themeColor="text1"/>
                <w:kern w:val="2"/>
                <w:sz w:val="20"/>
                <w:szCs w:val="20"/>
                <w14:ligatures w14:val="standardContextual"/>
              </w:rPr>
            </w:pPr>
            <w:r w:rsidRPr="007C06BB">
              <w:rPr>
                <w:rFonts w:ascii="Arial Narrow" w:hAnsi="Arial Narrow" w:cs="Times New Roman"/>
                <w:b/>
                <w:bCs/>
                <w:color w:val="000000" w:themeColor="text1"/>
                <w:kern w:val="2"/>
                <w:sz w:val="20"/>
                <w:szCs w:val="20"/>
                <w14:ligatures w14:val="standardContextual"/>
              </w:rPr>
              <w:t>Prescribing Instructions:</w:t>
            </w:r>
            <w:r w:rsidRPr="007C06BB">
              <w:rPr>
                <w:rFonts w:ascii="Arial Narrow" w:hAnsi="Arial Narrow" w:cs="Times New Roman"/>
                <w:color w:val="000000" w:themeColor="text1"/>
                <w:kern w:val="2"/>
                <w:sz w:val="20"/>
                <w:szCs w:val="20"/>
                <w14:ligatures w14:val="standardContextual"/>
              </w:rPr>
              <w:t xml:space="preserve"> </w:t>
            </w:r>
          </w:p>
          <w:p w14:paraId="04717A35" w14:textId="77777777" w:rsidR="0088147F" w:rsidRPr="007C06BB" w:rsidRDefault="0088147F" w:rsidP="00A353E1">
            <w:pPr>
              <w:rPr>
                <w:rFonts w:ascii="Arial Narrow" w:hAnsi="Arial Narrow" w:cs="Times New Roman"/>
                <w:color w:val="000000" w:themeColor="text1"/>
                <w:kern w:val="2"/>
                <w:sz w:val="20"/>
                <w:szCs w:val="20"/>
                <w14:ligatures w14:val="standardContextual"/>
              </w:rPr>
            </w:pPr>
            <w:r w:rsidRPr="007C06BB">
              <w:rPr>
                <w:rFonts w:ascii="Arial Narrow" w:hAnsi="Arial Narrow"/>
                <w:color w:val="000000" w:themeColor="text1"/>
                <w:sz w:val="20"/>
                <w:szCs w:val="20"/>
              </w:rPr>
              <w:t xml:space="preserve">The authority application must be via the Online PBS Authorities System, or in writing via HPOS form upload or mail and must include </w:t>
            </w:r>
            <w:r w:rsidRPr="007C06BB">
              <w:rPr>
                <w:rFonts w:ascii="Arial Narrow" w:hAnsi="Arial Narrow" w:cs="Times New Roman"/>
                <w:color w:val="000000" w:themeColor="text1"/>
                <w:kern w:val="2"/>
                <w:sz w:val="20"/>
                <w:szCs w:val="20"/>
                <w14:ligatures w14:val="standardContextual"/>
              </w:rPr>
              <w:t>the following:</w:t>
            </w:r>
          </w:p>
          <w:p w14:paraId="106A06C4" w14:textId="77777777" w:rsidR="0088147F" w:rsidRPr="007C06BB" w:rsidRDefault="0088147F" w:rsidP="00E64392">
            <w:pPr>
              <w:numPr>
                <w:ilvl w:val="0"/>
                <w:numId w:val="16"/>
              </w:numPr>
              <w:spacing w:after="160" w:line="259" w:lineRule="auto"/>
              <w:contextualSpacing/>
              <w:jc w:val="left"/>
              <w:rPr>
                <w:rFonts w:ascii="Arial Narrow" w:hAnsi="Arial Narrow" w:cs="Times New Roman"/>
                <w:color w:val="000000" w:themeColor="text1"/>
                <w:kern w:val="2"/>
                <w:sz w:val="20"/>
                <w:szCs w:val="20"/>
                <w14:ligatures w14:val="standardContextual"/>
              </w:rPr>
            </w:pPr>
            <w:r w:rsidRPr="007C06BB">
              <w:rPr>
                <w:rFonts w:ascii="Arial Narrow" w:hAnsi="Arial Narrow" w:cs="Times New Roman"/>
                <w:color w:val="000000" w:themeColor="text1"/>
                <w:kern w:val="2"/>
                <w:sz w:val="20"/>
                <w:szCs w:val="20"/>
                <w14:ligatures w14:val="standardContextual"/>
              </w:rPr>
              <w:t>the blood eosinophil count and date;</w:t>
            </w:r>
          </w:p>
          <w:p w14:paraId="4E9259EE" w14:textId="77777777" w:rsidR="0088147F" w:rsidRPr="007C06BB" w:rsidRDefault="0088147F" w:rsidP="00E64392">
            <w:pPr>
              <w:numPr>
                <w:ilvl w:val="0"/>
                <w:numId w:val="16"/>
              </w:numPr>
              <w:spacing w:after="160" w:line="259" w:lineRule="auto"/>
              <w:contextualSpacing/>
              <w:jc w:val="left"/>
              <w:rPr>
                <w:rFonts w:ascii="Arial Narrow" w:hAnsi="Arial Narrow" w:cs="Times New Roman"/>
                <w:color w:val="000000" w:themeColor="text1"/>
                <w:kern w:val="2"/>
                <w:sz w:val="20"/>
                <w:szCs w:val="20"/>
                <w14:ligatures w14:val="standardContextual"/>
              </w:rPr>
            </w:pPr>
            <w:r w:rsidRPr="007C06BB">
              <w:rPr>
                <w:rFonts w:ascii="Arial Narrow" w:hAnsi="Arial Narrow" w:cs="Times New Roman"/>
                <w:color w:val="000000" w:themeColor="text1"/>
                <w:kern w:val="2"/>
                <w:sz w:val="20"/>
                <w:szCs w:val="20"/>
                <w14:ligatures w14:val="standardContextual"/>
              </w:rPr>
              <w:t xml:space="preserve">details of therapy with a combination of LAMA, LABA and ICS (name of treatment, dosage, date of commencement, and duration of therapy prior to commencing non-PBS subsidised </w:t>
            </w:r>
            <w:r w:rsidRPr="007C06BB">
              <w:rPr>
                <w:rFonts w:ascii="Arial Narrow" w:hAnsi="Arial Narrow"/>
                <w:color w:val="000000" w:themeColor="text1"/>
                <w:sz w:val="20"/>
                <w:szCs w:val="20"/>
              </w:rPr>
              <w:t>treatment with this drug for this condition</w:t>
            </w:r>
            <w:r w:rsidRPr="007C06BB">
              <w:rPr>
                <w:rFonts w:ascii="Arial Narrow" w:hAnsi="Arial Narrow" w:cs="Times New Roman"/>
                <w:color w:val="000000" w:themeColor="text1"/>
                <w:kern w:val="2"/>
                <w:sz w:val="20"/>
                <w:szCs w:val="20"/>
                <w14:ligatures w14:val="standardContextual"/>
              </w:rPr>
              <w:t xml:space="preserve">); </w:t>
            </w:r>
          </w:p>
          <w:p w14:paraId="5F90D94C" w14:textId="77777777" w:rsidR="0088147F" w:rsidRPr="007C06BB" w:rsidRDefault="0088147F" w:rsidP="00E64392">
            <w:pPr>
              <w:numPr>
                <w:ilvl w:val="0"/>
                <w:numId w:val="16"/>
              </w:numPr>
              <w:spacing w:after="160" w:line="259" w:lineRule="auto"/>
              <w:contextualSpacing/>
              <w:jc w:val="left"/>
              <w:rPr>
                <w:rFonts w:ascii="Arial Narrow" w:hAnsi="Arial Narrow" w:cs="Times New Roman"/>
                <w:color w:val="000000" w:themeColor="text1"/>
                <w:kern w:val="2"/>
                <w:sz w:val="20"/>
                <w:szCs w:val="20"/>
                <w14:ligatures w14:val="standardContextual"/>
              </w:rPr>
            </w:pPr>
            <w:r w:rsidRPr="00FF53E7">
              <w:rPr>
                <w:rFonts w:ascii="Arial Narrow" w:hAnsi="Arial Narrow" w:cs="Times New Roman"/>
                <w:b/>
                <w:bCs/>
                <w:color w:val="000000" w:themeColor="text1"/>
                <w:kern w:val="2"/>
                <w:sz w:val="20"/>
                <w:szCs w:val="20"/>
                <w14:ligatures w14:val="standardContextual"/>
              </w:rPr>
              <w:t>Baseline exacerbation history:</w:t>
            </w:r>
            <w:r>
              <w:rPr>
                <w:rFonts w:ascii="Arial Narrow" w:hAnsi="Arial Narrow" w:cs="Times New Roman"/>
                <w:color w:val="000000" w:themeColor="text1"/>
                <w:kern w:val="2"/>
                <w:sz w:val="20"/>
                <w:szCs w:val="20"/>
                <w14:ligatures w14:val="standardContextual"/>
              </w:rPr>
              <w:t xml:space="preserve"> </w:t>
            </w:r>
            <w:r>
              <w:rPr>
                <w:rFonts w:ascii="Arial Narrow" w:hAnsi="Arial Narrow" w:cs="Times New Roman"/>
                <w:color w:val="000000" w:themeColor="text1"/>
                <w:kern w:val="2"/>
                <w:sz w:val="20"/>
                <w:szCs w:val="20"/>
                <w14:ligatures w14:val="standardContextual"/>
              </w:rPr>
              <w:br/>
            </w:r>
            <w:r w:rsidRPr="007C06BB">
              <w:rPr>
                <w:rFonts w:ascii="Arial Narrow" w:hAnsi="Arial Narrow" w:cs="Times New Roman"/>
                <w:color w:val="000000" w:themeColor="text1"/>
                <w:kern w:val="2"/>
                <w:sz w:val="20"/>
                <w:szCs w:val="20"/>
                <w14:ligatures w14:val="standardContextual"/>
              </w:rPr>
              <w:t xml:space="preserve">details of the number and severity of </w:t>
            </w:r>
            <w:r>
              <w:rPr>
                <w:rFonts w:ascii="Arial Narrow" w:hAnsi="Arial Narrow" w:cs="Times New Roman"/>
                <w:color w:val="000000" w:themeColor="text1"/>
                <w:kern w:val="2"/>
                <w:sz w:val="20"/>
                <w:szCs w:val="20"/>
                <w14:ligatures w14:val="standardContextual"/>
              </w:rPr>
              <w:t xml:space="preserve">COPD </w:t>
            </w:r>
            <w:r w:rsidRPr="007C06BB">
              <w:rPr>
                <w:rFonts w:ascii="Arial Narrow" w:hAnsi="Arial Narrow" w:cs="Times New Roman"/>
                <w:color w:val="000000" w:themeColor="text1"/>
                <w:kern w:val="2"/>
                <w:sz w:val="20"/>
                <w:szCs w:val="20"/>
                <w14:ligatures w14:val="standardContextual"/>
              </w:rPr>
              <w:t xml:space="preserve">exacerbation(s) experienced in the 12 months </w:t>
            </w:r>
            <w:r>
              <w:rPr>
                <w:rFonts w:ascii="Arial Narrow" w:hAnsi="Arial Narrow" w:cs="Times New Roman"/>
                <w:color w:val="000000" w:themeColor="text1"/>
                <w:kern w:val="2"/>
                <w:sz w:val="20"/>
                <w:szCs w:val="20"/>
                <w14:ligatures w14:val="standardContextual"/>
              </w:rPr>
              <w:t xml:space="preserve">immediately </w:t>
            </w:r>
            <w:r w:rsidRPr="007C06BB">
              <w:rPr>
                <w:rFonts w:ascii="Arial Narrow" w:hAnsi="Arial Narrow" w:cs="Times New Roman"/>
                <w:color w:val="000000" w:themeColor="text1"/>
                <w:kern w:val="2"/>
                <w:sz w:val="20"/>
                <w:szCs w:val="20"/>
                <w14:ligatures w14:val="standardContextual"/>
              </w:rPr>
              <w:t>prior to commenc</w:t>
            </w:r>
            <w:r>
              <w:rPr>
                <w:rFonts w:ascii="Arial Narrow" w:hAnsi="Arial Narrow" w:cs="Times New Roman"/>
                <w:color w:val="000000" w:themeColor="text1"/>
                <w:kern w:val="2"/>
                <w:sz w:val="20"/>
                <w:szCs w:val="20"/>
                <w14:ligatures w14:val="standardContextual"/>
              </w:rPr>
              <w:t>ement of this drug as</w:t>
            </w:r>
            <w:r w:rsidRPr="007C06BB">
              <w:rPr>
                <w:rFonts w:ascii="Arial Narrow" w:hAnsi="Arial Narrow" w:cs="Times New Roman"/>
                <w:color w:val="000000" w:themeColor="text1"/>
                <w:kern w:val="2"/>
                <w:sz w:val="20"/>
                <w:szCs w:val="20"/>
                <w14:ligatures w14:val="standardContextual"/>
              </w:rPr>
              <w:t xml:space="preserve"> non-PBS subsidised </w:t>
            </w:r>
            <w:r w:rsidRPr="007C06BB">
              <w:rPr>
                <w:rFonts w:ascii="Arial Narrow" w:hAnsi="Arial Narrow"/>
                <w:color w:val="000000" w:themeColor="text1"/>
                <w:sz w:val="20"/>
                <w:szCs w:val="20"/>
              </w:rPr>
              <w:t>t</w:t>
            </w:r>
            <w:r>
              <w:rPr>
                <w:rFonts w:ascii="Arial Narrow" w:hAnsi="Arial Narrow"/>
                <w:color w:val="000000" w:themeColor="text1"/>
                <w:sz w:val="20"/>
                <w:szCs w:val="20"/>
              </w:rPr>
              <w:t>herapy for this</w:t>
            </w:r>
            <w:r w:rsidRPr="007C06BB">
              <w:rPr>
                <w:rFonts w:ascii="Arial Narrow" w:hAnsi="Arial Narrow"/>
                <w:color w:val="000000" w:themeColor="text1"/>
                <w:sz w:val="20"/>
                <w:szCs w:val="20"/>
              </w:rPr>
              <w:t xml:space="preserve"> condition including:</w:t>
            </w:r>
            <w:r w:rsidRPr="007C06BB">
              <w:rPr>
                <w:rFonts w:ascii="Arial Narrow" w:hAnsi="Arial Narrow" w:cs="Times New Roman"/>
                <w:color w:val="000000" w:themeColor="text1"/>
                <w:kern w:val="2"/>
                <w:sz w:val="20"/>
                <w:szCs w:val="20"/>
                <w14:ligatures w14:val="standardContextual"/>
              </w:rPr>
              <w:t xml:space="preserve">  </w:t>
            </w:r>
          </w:p>
          <w:p w14:paraId="52ED30A5" w14:textId="77777777" w:rsidR="0088147F" w:rsidRPr="007C06BB" w:rsidRDefault="0088147F" w:rsidP="00A353E1">
            <w:pPr>
              <w:ind w:left="1080"/>
              <w:contextualSpacing/>
              <w:jc w:val="left"/>
              <w:rPr>
                <w:rFonts w:ascii="Arial Narrow" w:hAnsi="Arial Narrow" w:cs="Calibri"/>
                <w:color w:val="000000" w:themeColor="text1"/>
                <w:kern w:val="2"/>
                <w:sz w:val="20"/>
                <w:szCs w:val="20"/>
                <w14:ligatures w14:val="standardContextual"/>
              </w:rPr>
            </w:pPr>
            <w:r w:rsidRPr="007C06BB">
              <w:rPr>
                <w:rFonts w:ascii="Arial Narrow" w:hAnsi="Arial Narrow" w:cs="Calibri"/>
                <w:color w:val="000000" w:themeColor="text1"/>
                <w:kern w:val="2"/>
                <w:sz w:val="20"/>
                <w:szCs w:val="20"/>
                <w14:ligatures w14:val="standardContextual"/>
              </w:rPr>
              <w:t>(i) no. of moderate exacerbations requiring treatment with systemic corticosteroids</w:t>
            </w:r>
            <w:r w:rsidRPr="007C06BB">
              <w:rPr>
                <w:rFonts w:ascii="Arial Narrow" w:hAnsi="Arial Narrow" w:cs="Calibri"/>
                <w:color w:val="000000" w:themeColor="text1"/>
                <w:kern w:val="2"/>
                <w:sz w:val="20"/>
                <w:szCs w:val="20"/>
                <w14:ligatures w14:val="standardContextual"/>
              </w:rPr>
              <w:br/>
              <w:t>(ii) no. of moderate exacerbations requiring treatment with antibiotics</w:t>
            </w:r>
            <w:r w:rsidRPr="007C06BB">
              <w:rPr>
                <w:rFonts w:ascii="Arial Narrow" w:hAnsi="Arial Narrow" w:cs="Calibri"/>
                <w:color w:val="000000" w:themeColor="text1"/>
                <w:kern w:val="2"/>
                <w:sz w:val="20"/>
                <w:szCs w:val="20"/>
                <w14:ligatures w14:val="standardContextual"/>
              </w:rPr>
              <w:br/>
              <w:t>(ii</w:t>
            </w:r>
            <w:r>
              <w:rPr>
                <w:rFonts w:ascii="Arial Narrow" w:hAnsi="Arial Narrow" w:cs="Calibri"/>
                <w:color w:val="000000" w:themeColor="text1"/>
                <w:kern w:val="2"/>
                <w:sz w:val="20"/>
                <w:szCs w:val="20"/>
                <w14:ligatures w14:val="standardContextual"/>
              </w:rPr>
              <w:t>i</w:t>
            </w:r>
            <w:r w:rsidRPr="007C06BB">
              <w:rPr>
                <w:rFonts w:ascii="Arial Narrow" w:hAnsi="Arial Narrow" w:cs="Calibri"/>
                <w:color w:val="000000" w:themeColor="text1"/>
                <w:kern w:val="2"/>
                <w:sz w:val="20"/>
                <w:szCs w:val="20"/>
                <w14:ligatures w14:val="standardContextual"/>
              </w:rPr>
              <w:t>) no. of severe exacerbation/s which required hospitalisation</w:t>
            </w:r>
            <w:r>
              <w:rPr>
                <w:rFonts w:ascii="Arial Narrow" w:hAnsi="Arial Narrow" w:cs="Calibri"/>
                <w:color w:val="000000" w:themeColor="text1"/>
                <w:kern w:val="2"/>
                <w:sz w:val="20"/>
                <w:szCs w:val="20"/>
                <w14:ligatures w14:val="standardContextual"/>
              </w:rPr>
              <w:t xml:space="preserve">; and </w:t>
            </w:r>
          </w:p>
          <w:p w14:paraId="70700354" w14:textId="77777777" w:rsidR="0088147F" w:rsidRDefault="0088147F" w:rsidP="00E64392">
            <w:pPr>
              <w:numPr>
                <w:ilvl w:val="0"/>
                <w:numId w:val="16"/>
              </w:numPr>
              <w:spacing w:after="160" w:line="259" w:lineRule="auto"/>
              <w:contextualSpacing/>
              <w:jc w:val="left"/>
              <w:rPr>
                <w:rFonts w:ascii="Arial Narrow" w:hAnsi="Arial Narrow" w:cs="Calibri"/>
                <w:color w:val="000000" w:themeColor="text1"/>
                <w:kern w:val="2"/>
                <w:sz w:val="20"/>
                <w:szCs w:val="20"/>
                <w14:ligatures w14:val="standardContextual"/>
              </w:rPr>
            </w:pPr>
            <w:r w:rsidRPr="006843D9">
              <w:rPr>
                <w:rFonts w:ascii="Arial Narrow" w:hAnsi="Arial Narrow" w:cs="Calibri"/>
                <w:b/>
                <w:bCs/>
                <w:kern w:val="2"/>
                <w:sz w:val="20"/>
                <w:szCs w:val="20"/>
                <w14:ligatures w14:val="standardContextual"/>
              </w:rPr>
              <w:t>Assessment of response to treatment where applicable (for patients who have received at least 24 weeks of treatment):</w:t>
            </w:r>
            <w:r w:rsidRPr="006843D9">
              <w:rPr>
                <w:rFonts w:ascii="Arial Narrow" w:hAnsi="Arial Narrow" w:cs="Calibri"/>
                <w:kern w:val="2"/>
                <w:sz w:val="20"/>
                <w:szCs w:val="20"/>
                <w14:ligatures w14:val="standardContextual"/>
              </w:rPr>
              <w:t xml:space="preserve"> </w:t>
            </w:r>
            <w:r>
              <w:rPr>
                <w:rFonts w:ascii="Arial Narrow" w:hAnsi="Arial Narrow" w:cs="Calibri"/>
                <w:color w:val="000000" w:themeColor="text1"/>
                <w:kern w:val="2"/>
                <w:sz w:val="20"/>
                <w:szCs w:val="20"/>
                <w14:ligatures w14:val="standardContextual"/>
              </w:rPr>
              <w:br/>
              <w:t>details of the current number and severity of COPD exacerbations compared to baseline levels provided in this authority application including:</w:t>
            </w:r>
          </w:p>
          <w:p w14:paraId="143CA21B" w14:textId="77777777" w:rsidR="0088147F" w:rsidRPr="007C06BB" w:rsidRDefault="0088147F" w:rsidP="00A353E1">
            <w:pPr>
              <w:ind w:left="1080"/>
              <w:contextualSpacing/>
              <w:jc w:val="left"/>
              <w:rPr>
                <w:rFonts w:ascii="Arial Narrow" w:hAnsi="Arial Narrow" w:cs="Calibri"/>
                <w:color w:val="000000" w:themeColor="text1"/>
                <w:kern w:val="2"/>
                <w:sz w:val="20"/>
                <w:szCs w:val="20"/>
                <w14:ligatures w14:val="standardContextual"/>
              </w:rPr>
            </w:pPr>
            <w:r w:rsidRPr="007C06BB">
              <w:rPr>
                <w:rFonts w:ascii="Arial Narrow" w:hAnsi="Arial Narrow" w:cs="Calibri"/>
                <w:color w:val="000000" w:themeColor="text1"/>
                <w:kern w:val="2"/>
                <w:sz w:val="20"/>
                <w:szCs w:val="20"/>
                <w14:ligatures w14:val="standardContextual"/>
              </w:rPr>
              <w:t>(i) no. of moderate exacerbations requiring treatment with systemic corticosteroids</w:t>
            </w:r>
            <w:r w:rsidRPr="007C06BB">
              <w:rPr>
                <w:rFonts w:ascii="Arial Narrow" w:hAnsi="Arial Narrow" w:cs="Calibri"/>
                <w:color w:val="000000" w:themeColor="text1"/>
                <w:kern w:val="2"/>
                <w:sz w:val="20"/>
                <w:szCs w:val="20"/>
                <w14:ligatures w14:val="standardContextual"/>
              </w:rPr>
              <w:br/>
              <w:t>(ii) no. of moderate exacerbations requiring treatment with antibiotics</w:t>
            </w:r>
            <w:r w:rsidRPr="007C06BB">
              <w:rPr>
                <w:rFonts w:ascii="Arial Narrow" w:hAnsi="Arial Narrow" w:cs="Calibri"/>
                <w:color w:val="000000" w:themeColor="text1"/>
                <w:kern w:val="2"/>
                <w:sz w:val="20"/>
                <w:szCs w:val="20"/>
                <w14:ligatures w14:val="standardContextual"/>
              </w:rPr>
              <w:br/>
              <w:t>(ii</w:t>
            </w:r>
            <w:r>
              <w:rPr>
                <w:rFonts w:ascii="Arial Narrow" w:hAnsi="Arial Narrow" w:cs="Calibri"/>
                <w:color w:val="000000" w:themeColor="text1"/>
                <w:kern w:val="2"/>
                <w:sz w:val="20"/>
                <w:szCs w:val="20"/>
                <w14:ligatures w14:val="standardContextual"/>
              </w:rPr>
              <w:t>i</w:t>
            </w:r>
            <w:r w:rsidRPr="007C06BB">
              <w:rPr>
                <w:rFonts w:ascii="Arial Narrow" w:hAnsi="Arial Narrow" w:cs="Calibri"/>
                <w:color w:val="000000" w:themeColor="text1"/>
                <w:kern w:val="2"/>
                <w:sz w:val="20"/>
                <w:szCs w:val="20"/>
                <w14:ligatures w14:val="standardContextual"/>
              </w:rPr>
              <w:t>) no. of severe exacerbation/s which required hospitalisation</w:t>
            </w:r>
            <w:r>
              <w:rPr>
                <w:rFonts w:ascii="Arial Narrow" w:hAnsi="Arial Narrow" w:cs="Calibri"/>
                <w:color w:val="000000" w:themeColor="text1"/>
                <w:kern w:val="2"/>
                <w:sz w:val="20"/>
                <w:szCs w:val="20"/>
                <w14:ligatures w14:val="standardContextual"/>
              </w:rPr>
              <w:t>.</w:t>
            </w:r>
          </w:p>
          <w:p w14:paraId="7523B18F" w14:textId="77777777" w:rsidR="0088147F" w:rsidRPr="009524FB" w:rsidRDefault="0088147F" w:rsidP="00A353E1">
            <w:pPr>
              <w:spacing w:after="160" w:line="259" w:lineRule="auto"/>
              <w:contextualSpacing/>
              <w:jc w:val="left"/>
              <w:rPr>
                <w:rFonts w:ascii="Arial Narrow" w:hAnsi="Arial Narrow" w:cs="Calibri"/>
                <w:color w:val="000000" w:themeColor="text1"/>
                <w:kern w:val="2"/>
                <w:sz w:val="20"/>
                <w:szCs w:val="20"/>
                <w14:ligatures w14:val="standardContextual"/>
              </w:rPr>
            </w:pPr>
          </w:p>
          <w:p w14:paraId="755FAD49" w14:textId="77777777" w:rsidR="0088147F" w:rsidRPr="007C06BB" w:rsidRDefault="0088147F" w:rsidP="00A353E1">
            <w:pPr>
              <w:spacing w:line="259" w:lineRule="auto"/>
              <w:jc w:val="left"/>
              <w:rPr>
                <w:rFonts w:ascii="Arial Narrow" w:hAnsi="Arial Narrow" w:cs="Times New Roman"/>
                <w:color w:val="000000" w:themeColor="text1"/>
                <w:kern w:val="2"/>
                <w:sz w:val="20"/>
                <w:szCs w:val="20"/>
                <w14:ligatures w14:val="standardContextual"/>
              </w:rPr>
            </w:pPr>
            <w:r w:rsidRPr="007C06BB">
              <w:rPr>
                <w:rFonts w:ascii="Arial Narrow" w:hAnsi="Arial Narrow" w:cs="Times New Roman"/>
                <w:color w:val="000000" w:themeColor="text1"/>
                <w:kern w:val="2"/>
                <w:sz w:val="20"/>
                <w:szCs w:val="20"/>
                <w14:ligatures w14:val="standardContextual"/>
              </w:rPr>
              <w:t xml:space="preserve">The details of the number and the severity of COPD exacerbations are to inform the basis of determining if an adequate response to treatment has been achieved under the continuing treatment restriction. </w:t>
            </w:r>
          </w:p>
          <w:p w14:paraId="7287D0EA" w14:textId="77777777" w:rsidR="0088147F" w:rsidRPr="007C06BB" w:rsidRDefault="0088147F" w:rsidP="00A353E1">
            <w:pPr>
              <w:spacing w:line="259" w:lineRule="auto"/>
              <w:jc w:val="left"/>
              <w:rPr>
                <w:rFonts w:ascii="Arial Narrow" w:hAnsi="Arial Narrow" w:cs="Times New Roman"/>
                <w:color w:val="000000" w:themeColor="text1"/>
                <w:kern w:val="2"/>
                <w:sz w:val="20"/>
                <w:szCs w:val="20"/>
                <w14:ligatures w14:val="standardContextual"/>
              </w:rPr>
            </w:pPr>
            <w:r w:rsidRPr="007C06BB">
              <w:rPr>
                <w:rFonts w:ascii="Arial Narrow" w:hAnsi="Arial Narrow" w:cs="Times New Roman"/>
                <w:color w:val="000000" w:themeColor="text1"/>
                <w:kern w:val="2"/>
                <w:sz w:val="20"/>
                <w:szCs w:val="20"/>
                <w14:ligatures w14:val="standardContextual"/>
              </w:rPr>
              <w:t xml:space="preserve">In addition to stating the above details in the authority application, document them in the patient’s medical records. </w:t>
            </w:r>
          </w:p>
        </w:tc>
      </w:tr>
      <w:tr w:rsidR="0088147F" w:rsidRPr="007C06BB" w14:paraId="13C84CAB" w14:textId="77777777" w:rsidTr="00484072">
        <w:tblPrEx>
          <w:tblCellMar>
            <w:top w:w="15" w:type="dxa"/>
            <w:left w:w="15" w:type="dxa"/>
            <w:bottom w:w="15" w:type="dxa"/>
            <w:right w:w="15" w:type="dxa"/>
          </w:tblCellMar>
          <w:tblLook w:val="04A0" w:firstRow="1" w:lastRow="0" w:firstColumn="1" w:lastColumn="0" w:noHBand="0" w:noVBand="1"/>
        </w:tblPrEx>
        <w:tc>
          <w:tcPr>
            <w:tcW w:w="9351" w:type="dxa"/>
            <w:gridSpan w:val="6"/>
            <w:vAlign w:val="center"/>
          </w:tcPr>
          <w:p w14:paraId="42CF1171" w14:textId="77777777" w:rsidR="0088147F" w:rsidRPr="007C06BB" w:rsidRDefault="0088147F" w:rsidP="00A353E1">
            <w:pPr>
              <w:ind w:left="-57"/>
              <w:rPr>
                <w:rFonts w:ascii="Arial Narrow" w:hAnsi="Arial Narrow"/>
                <w:b/>
                <w:bCs/>
                <w:color w:val="000000" w:themeColor="text1"/>
                <w:sz w:val="20"/>
                <w:szCs w:val="20"/>
              </w:rPr>
            </w:pPr>
            <w:r w:rsidRPr="007C06BB">
              <w:rPr>
                <w:rFonts w:ascii="Arial Narrow" w:hAnsi="Arial Narrow"/>
                <w:b/>
                <w:bCs/>
                <w:color w:val="000000" w:themeColor="text1"/>
                <w:sz w:val="20"/>
                <w:szCs w:val="20"/>
              </w:rPr>
              <w:t xml:space="preserve"> Prescribing Instruction: </w:t>
            </w:r>
          </w:p>
          <w:p w14:paraId="1CDCEB67" w14:textId="77777777" w:rsidR="0088147F" w:rsidRPr="007C06BB" w:rsidRDefault="0088147F" w:rsidP="00A353E1">
            <w:pPr>
              <w:ind w:left="-57"/>
              <w:rPr>
                <w:rFonts w:ascii="Arial Narrow" w:hAnsi="Arial Narrow"/>
                <w:color w:val="000000" w:themeColor="text1"/>
                <w:sz w:val="20"/>
                <w:szCs w:val="20"/>
              </w:rPr>
            </w:pPr>
            <w:r w:rsidRPr="007C06BB">
              <w:rPr>
                <w:rFonts w:ascii="Arial Narrow" w:hAnsi="Arial Narrow"/>
                <w:color w:val="000000" w:themeColor="text1"/>
                <w:sz w:val="20"/>
                <w:szCs w:val="20"/>
              </w:rPr>
              <w:t xml:space="preserve"> If the application is submitted through HPOS form upload or mail, it must include:</w:t>
            </w:r>
          </w:p>
          <w:p w14:paraId="623F8F9B" w14:textId="77777777" w:rsidR="0088147F" w:rsidRPr="007C06BB" w:rsidRDefault="0088147F" w:rsidP="00042FF4">
            <w:pPr>
              <w:pStyle w:val="ListParagraph"/>
              <w:numPr>
                <w:ilvl w:val="0"/>
                <w:numId w:val="21"/>
              </w:numPr>
              <w:spacing w:after="0"/>
              <w:contextualSpacing/>
              <w:jc w:val="left"/>
              <w:rPr>
                <w:rFonts w:ascii="Arial Narrow" w:hAnsi="Arial Narrow"/>
                <w:color w:val="000000" w:themeColor="text1"/>
                <w:sz w:val="20"/>
                <w:szCs w:val="20"/>
              </w:rPr>
            </w:pPr>
            <w:r w:rsidRPr="007C06BB">
              <w:rPr>
                <w:rFonts w:ascii="Arial Narrow" w:hAnsi="Arial Narrow"/>
                <w:color w:val="000000" w:themeColor="text1"/>
                <w:sz w:val="20"/>
                <w:szCs w:val="20"/>
              </w:rPr>
              <w:t>details of the proposed prescription; and</w:t>
            </w:r>
          </w:p>
          <w:p w14:paraId="3B750832" w14:textId="77777777" w:rsidR="0088147F" w:rsidRPr="007C06BB" w:rsidRDefault="0088147F" w:rsidP="00042FF4">
            <w:pPr>
              <w:pStyle w:val="ListParagraph"/>
              <w:numPr>
                <w:ilvl w:val="0"/>
                <w:numId w:val="21"/>
              </w:numPr>
              <w:spacing w:after="0"/>
              <w:contextualSpacing/>
              <w:jc w:val="left"/>
              <w:rPr>
                <w:rFonts w:ascii="Arial Narrow" w:hAnsi="Arial Narrow"/>
                <w:color w:val="000000" w:themeColor="text1"/>
                <w:sz w:val="20"/>
                <w:szCs w:val="20"/>
              </w:rPr>
            </w:pPr>
            <w:r w:rsidRPr="007C06BB">
              <w:rPr>
                <w:rFonts w:ascii="Arial Narrow" w:hAnsi="Arial Narrow"/>
                <w:color w:val="000000" w:themeColor="text1"/>
                <w:sz w:val="20"/>
                <w:szCs w:val="20"/>
              </w:rPr>
              <w:t>a completed authority application form relevant to the indication and treatment phase (the latest version is located on the website specified in the Administrative Advice).</w:t>
            </w:r>
          </w:p>
        </w:tc>
      </w:tr>
      <w:tr w:rsidR="0088147F" w:rsidRPr="007C06BB" w14:paraId="254B35E4" w14:textId="77777777" w:rsidTr="00484072">
        <w:tblPrEx>
          <w:tblCellMar>
            <w:top w:w="15" w:type="dxa"/>
            <w:left w:w="15" w:type="dxa"/>
            <w:bottom w:w="15" w:type="dxa"/>
            <w:right w:w="15" w:type="dxa"/>
          </w:tblCellMar>
          <w:tblLook w:val="04A0" w:firstRow="1" w:lastRow="0" w:firstColumn="1" w:lastColumn="0" w:noHBand="0" w:noVBand="1"/>
        </w:tblPrEx>
        <w:tc>
          <w:tcPr>
            <w:tcW w:w="9351" w:type="dxa"/>
            <w:gridSpan w:val="6"/>
            <w:vAlign w:val="center"/>
          </w:tcPr>
          <w:p w14:paraId="478A722E" w14:textId="30C15230" w:rsidR="0088147F" w:rsidRPr="007C06BB" w:rsidRDefault="0088147F" w:rsidP="00A353E1">
            <w:pPr>
              <w:spacing w:line="259" w:lineRule="auto"/>
              <w:jc w:val="left"/>
              <w:rPr>
                <w:rFonts w:ascii="Arial Narrow" w:hAnsi="Arial Narrow" w:cs="Times New Roman"/>
                <w:b/>
                <w:bCs/>
                <w:color w:val="000000" w:themeColor="text1"/>
                <w:kern w:val="2"/>
                <w:sz w:val="20"/>
                <w:szCs w:val="20"/>
                <w14:ligatures w14:val="standardContextual"/>
              </w:rPr>
            </w:pPr>
            <w:r w:rsidRPr="007C06BB">
              <w:rPr>
                <w:rFonts w:ascii="Arial Narrow" w:eastAsia="Aptos" w:hAnsi="Arial Narrow" w:cs="Times New Roman"/>
                <w:b/>
                <w:bCs/>
                <w:color w:val="000000" w:themeColor="text1"/>
                <w:kern w:val="2"/>
                <w:sz w:val="20"/>
                <w:szCs w:val="20"/>
                <w:lang w:eastAsia="en-US"/>
                <w14:ligatures w14:val="standardContextual"/>
              </w:rPr>
              <w:t>Administrative Advice:</w:t>
            </w:r>
            <w:r w:rsidRPr="007C06BB">
              <w:rPr>
                <w:rFonts w:ascii="Arial Narrow" w:eastAsia="Aptos" w:hAnsi="Arial Narrow" w:cs="Times New Roman"/>
                <w:color w:val="000000" w:themeColor="text1"/>
                <w:kern w:val="2"/>
                <w:sz w:val="20"/>
                <w:szCs w:val="20"/>
                <w:lang w:eastAsia="en-US"/>
                <w14:ligatures w14:val="standardContextual"/>
              </w:rPr>
              <w:t xml:space="preserve"> </w:t>
            </w:r>
            <w:r w:rsidRPr="001431AE">
              <w:rPr>
                <w:rFonts w:ascii="Arial Narrow" w:eastAsia="Aptos" w:hAnsi="Arial Narrow" w:cs="Times New Roman"/>
                <w:color w:val="000000" w:themeColor="text1"/>
                <w:kern w:val="2"/>
                <w:sz w:val="20"/>
                <w:szCs w:val="20"/>
                <w:lang w:eastAsia="en-US"/>
                <w14:ligatures w14:val="standardContextual"/>
              </w:rPr>
              <w:t>A Grandfathered patient may qualify for PBS-subsidised treatment under this restriction once only. For continuing PBS-subsidised treatment, a Grandfathered patient must qualify under the continuing treatment criteria.</w:t>
            </w:r>
          </w:p>
        </w:tc>
      </w:tr>
      <w:tr w:rsidR="0088147F" w:rsidRPr="007C06BB" w14:paraId="1B99F273" w14:textId="77777777" w:rsidTr="00484072">
        <w:tblPrEx>
          <w:tblCellMar>
            <w:top w:w="15" w:type="dxa"/>
            <w:left w:w="15" w:type="dxa"/>
            <w:bottom w:w="15" w:type="dxa"/>
            <w:right w:w="15" w:type="dxa"/>
          </w:tblCellMar>
          <w:tblLook w:val="04A0" w:firstRow="1" w:lastRow="0" w:firstColumn="1" w:lastColumn="0" w:noHBand="0" w:noVBand="1"/>
        </w:tblPrEx>
        <w:tc>
          <w:tcPr>
            <w:tcW w:w="9351" w:type="dxa"/>
            <w:gridSpan w:val="6"/>
            <w:vAlign w:val="center"/>
          </w:tcPr>
          <w:p w14:paraId="49F01D1E" w14:textId="77777777" w:rsidR="0088147F" w:rsidRPr="007C06BB" w:rsidRDefault="0088147F" w:rsidP="00A353E1">
            <w:pPr>
              <w:spacing w:line="259" w:lineRule="auto"/>
              <w:jc w:val="left"/>
              <w:rPr>
                <w:rFonts w:ascii="Arial Narrow" w:hAnsi="Arial Narrow" w:cs="Times New Roman"/>
                <w:b/>
                <w:bCs/>
                <w:color w:val="000000" w:themeColor="text1"/>
                <w:kern w:val="2"/>
                <w:sz w:val="20"/>
                <w:szCs w:val="20"/>
                <w14:ligatures w14:val="standardContextual"/>
              </w:rPr>
            </w:pPr>
            <w:r w:rsidRPr="007C06BB">
              <w:rPr>
                <w:rFonts w:ascii="Arial Narrow" w:eastAsia="Aptos" w:hAnsi="Arial Narrow" w:cs="Times New Roman"/>
                <w:b/>
                <w:bCs/>
                <w:color w:val="000000" w:themeColor="text1"/>
                <w:kern w:val="2"/>
                <w:sz w:val="20"/>
                <w:szCs w:val="20"/>
                <w:lang w:eastAsia="en-US"/>
                <w14:ligatures w14:val="standardContextual"/>
              </w:rPr>
              <w:lastRenderedPageBreak/>
              <w:t>Administrative Advice:</w:t>
            </w:r>
            <w:r w:rsidRPr="007C06BB">
              <w:rPr>
                <w:rFonts w:ascii="Arial Narrow" w:eastAsia="Aptos" w:hAnsi="Arial Narrow" w:cs="Times New Roman"/>
                <w:color w:val="000000" w:themeColor="text1"/>
                <w:kern w:val="2"/>
                <w:sz w:val="20"/>
                <w:szCs w:val="20"/>
                <w:lang w:eastAsia="en-US"/>
                <w14:ligatures w14:val="standardContextual"/>
              </w:rPr>
              <w:t xml:space="preserve"> This grandfather restriction will cease to operate from 12 months after the date specified in the clinical criteria.</w:t>
            </w:r>
          </w:p>
        </w:tc>
      </w:tr>
      <w:tr w:rsidR="0088147F" w:rsidRPr="007C06BB" w14:paraId="7615909E" w14:textId="77777777" w:rsidTr="00484072">
        <w:tblPrEx>
          <w:tblCellMar>
            <w:top w:w="15" w:type="dxa"/>
            <w:left w:w="15" w:type="dxa"/>
            <w:bottom w:w="15" w:type="dxa"/>
            <w:right w:w="15" w:type="dxa"/>
          </w:tblCellMar>
          <w:tblLook w:val="04A0" w:firstRow="1" w:lastRow="0" w:firstColumn="1" w:lastColumn="0" w:noHBand="0" w:noVBand="1"/>
        </w:tblPrEx>
        <w:tc>
          <w:tcPr>
            <w:tcW w:w="9351" w:type="dxa"/>
            <w:gridSpan w:val="6"/>
            <w:vAlign w:val="center"/>
          </w:tcPr>
          <w:p w14:paraId="62CB2982" w14:textId="77777777" w:rsidR="0088147F" w:rsidRPr="007C06BB" w:rsidRDefault="0088147F" w:rsidP="00A353E1">
            <w:pPr>
              <w:rPr>
                <w:rFonts w:ascii="Arial Narrow" w:hAnsi="Arial Narrow"/>
                <w:color w:val="000000" w:themeColor="text1"/>
                <w:sz w:val="20"/>
                <w:szCs w:val="20"/>
              </w:rPr>
            </w:pPr>
            <w:r w:rsidRPr="007C06BB">
              <w:rPr>
                <w:rFonts w:ascii="Arial Narrow" w:hAnsi="Arial Narrow"/>
                <w:b/>
                <w:bCs/>
                <w:color w:val="000000" w:themeColor="text1"/>
                <w:sz w:val="20"/>
                <w:szCs w:val="20"/>
              </w:rPr>
              <w:t xml:space="preserve">Administrative Advice: </w:t>
            </w:r>
            <w:r w:rsidRPr="007C06BB">
              <w:rPr>
                <w:rFonts w:ascii="Arial Narrow" w:hAnsi="Arial Narrow"/>
                <w:color w:val="000000" w:themeColor="text1"/>
                <w:sz w:val="20"/>
                <w:szCs w:val="20"/>
              </w:rPr>
              <w:t>Any queries concerning the arrangements to prescribe may be directed to Services Australia on 1800 700 270 (hours of operation 8 a.m. to 5 p.m. Monday to Friday).</w:t>
            </w:r>
          </w:p>
          <w:p w14:paraId="27044049" w14:textId="77777777" w:rsidR="0088147F" w:rsidRPr="007C06BB" w:rsidRDefault="0088147F" w:rsidP="00A353E1">
            <w:pPr>
              <w:rPr>
                <w:rFonts w:ascii="Arial Narrow" w:hAnsi="Arial Narrow"/>
                <w:color w:val="000000" w:themeColor="text1"/>
                <w:sz w:val="20"/>
                <w:szCs w:val="20"/>
              </w:rPr>
            </w:pPr>
            <w:r w:rsidRPr="007C06BB">
              <w:rPr>
                <w:rFonts w:ascii="Arial Narrow" w:hAnsi="Arial Narrow"/>
                <w:color w:val="000000" w:themeColor="text1"/>
                <w:sz w:val="20"/>
                <w:szCs w:val="20"/>
              </w:rPr>
              <w:t>Prescribing information (including Authority Application forms and other relevant documentation as applicable) is available on the Services Australia website at www.servicesaustralia.gov.au</w:t>
            </w:r>
          </w:p>
          <w:p w14:paraId="6923051D" w14:textId="77777777" w:rsidR="0088147F" w:rsidRPr="007C06BB" w:rsidRDefault="0088147F" w:rsidP="00A353E1">
            <w:pPr>
              <w:rPr>
                <w:rFonts w:ascii="Arial Narrow" w:hAnsi="Arial Narrow"/>
                <w:color w:val="000000" w:themeColor="text1"/>
                <w:sz w:val="20"/>
                <w:szCs w:val="20"/>
              </w:rPr>
            </w:pPr>
            <w:r w:rsidRPr="007C06BB">
              <w:rPr>
                <w:rFonts w:ascii="Arial Narrow" w:hAnsi="Arial Narrow"/>
                <w:color w:val="000000" w:themeColor="text1"/>
                <w:sz w:val="20"/>
                <w:szCs w:val="20"/>
              </w:rPr>
              <w:t>Applications for authority to prescribe should be submitted online using the form upload facility in Health Professional Online Services (HPOS) at www.servicesaustralia.gov.au/hpos</w:t>
            </w:r>
          </w:p>
          <w:p w14:paraId="7F880625" w14:textId="77777777" w:rsidR="0088147F" w:rsidRPr="007C06BB" w:rsidRDefault="0088147F" w:rsidP="00A353E1">
            <w:pPr>
              <w:rPr>
                <w:rFonts w:ascii="Arial Narrow" w:hAnsi="Arial Narrow"/>
                <w:color w:val="000000" w:themeColor="text1"/>
                <w:sz w:val="20"/>
                <w:szCs w:val="20"/>
              </w:rPr>
            </w:pPr>
            <w:r w:rsidRPr="007C06BB">
              <w:rPr>
                <w:rFonts w:ascii="Arial Narrow" w:hAnsi="Arial Narrow"/>
                <w:color w:val="000000" w:themeColor="text1"/>
                <w:sz w:val="20"/>
                <w:szCs w:val="20"/>
              </w:rPr>
              <w:t>Or mailed to:</w:t>
            </w:r>
          </w:p>
          <w:p w14:paraId="2060A6C4" w14:textId="77777777" w:rsidR="0088147F" w:rsidRPr="007C06BB" w:rsidRDefault="0088147F" w:rsidP="00A353E1">
            <w:pPr>
              <w:rPr>
                <w:rFonts w:ascii="Arial Narrow" w:hAnsi="Arial Narrow"/>
                <w:color w:val="000000" w:themeColor="text1"/>
                <w:sz w:val="20"/>
                <w:szCs w:val="20"/>
              </w:rPr>
            </w:pPr>
            <w:r w:rsidRPr="007C06BB">
              <w:rPr>
                <w:rFonts w:ascii="Arial Narrow" w:hAnsi="Arial Narrow"/>
                <w:color w:val="000000" w:themeColor="text1"/>
                <w:sz w:val="20"/>
                <w:szCs w:val="20"/>
              </w:rPr>
              <w:t>Services Australia</w:t>
            </w:r>
          </w:p>
          <w:p w14:paraId="36EA6147" w14:textId="77777777" w:rsidR="0088147F" w:rsidRPr="007C06BB" w:rsidRDefault="0088147F" w:rsidP="00A353E1">
            <w:pPr>
              <w:rPr>
                <w:rFonts w:ascii="Arial Narrow" w:hAnsi="Arial Narrow"/>
                <w:color w:val="000000" w:themeColor="text1"/>
                <w:sz w:val="20"/>
                <w:szCs w:val="20"/>
              </w:rPr>
            </w:pPr>
            <w:r w:rsidRPr="007C06BB">
              <w:rPr>
                <w:rFonts w:ascii="Arial Narrow" w:hAnsi="Arial Narrow"/>
                <w:color w:val="000000" w:themeColor="text1"/>
                <w:sz w:val="20"/>
                <w:szCs w:val="20"/>
              </w:rPr>
              <w:t>Complex Drugs</w:t>
            </w:r>
          </w:p>
          <w:p w14:paraId="58A2C3D9" w14:textId="77777777" w:rsidR="0088147F" w:rsidRPr="007C06BB" w:rsidRDefault="0088147F" w:rsidP="00A353E1">
            <w:pPr>
              <w:rPr>
                <w:rFonts w:ascii="Arial Narrow" w:hAnsi="Arial Narrow"/>
                <w:color w:val="000000" w:themeColor="text1"/>
                <w:sz w:val="20"/>
                <w:szCs w:val="20"/>
              </w:rPr>
            </w:pPr>
            <w:r w:rsidRPr="007C06BB">
              <w:rPr>
                <w:rFonts w:ascii="Arial Narrow" w:hAnsi="Arial Narrow"/>
                <w:color w:val="000000" w:themeColor="text1"/>
                <w:sz w:val="20"/>
                <w:szCs w:val="20"/>
              </w:rPr>
              <w:t>Reply Paid 9826</w:t>
            </w:r>
          </w:p>
          <w:p w14:paraId="77403A9D" w14:textId="77777777" w:rsidR="0088147F" w:rsidRPr="007C06BB" w:rsidRDefault="0088147F" w:rsidP="00A353E1">
            <w:pPr>
              <w:spacing w:line="259" w:lineRule="auto"/>
              <w:jc w:val="left"/>
              <w:rPr>
                <w:rFonts w:ascii="Arial Narrow" w:eastAsia="Aptos" w:hAnsi="Arial Narrow" w:cs="Times New Roman"/>
                <w:b/>
                <w:bCs/>
                <w:color w:val="000000" w:themeColor="text1"/>
                <w:kern w:val="2"/>
                <w:sz w:val="20"/>
                <w:szCs w:val="20"/>
                <w:lang w:eastAsia="en-US"/>
                <w14:ligatures w14:val="standardContextual"/>
              </w:rPr>
            </w:pPr>
            <w:r w:rsidRPr="007C06BB">
              <w:rPr>
                <w:rFonts w:ascii="Arial Narrow" w:hAnsi="Arial Narrow"/>
                <w:color w:val="000000" w:themeColor="text1"/>
                <w:sz w:val="20"/>
                <w:szCs w:val="20"/>
              </w:rPr>
              <w:t>HOBART TAS 7001</w:t>
            </w:r>
          </w:p>
        </w:tc>
      </w:tr>
    </w:tbl>
    <w:p w14:paraId="754E12D0" w14:textId="77777777" w:rsidR="000C038C" w:rsidRDefault="000C038C" w:rsidP="000C038C">
      <w:pPr>
        <w:spacing w:after="160" w:line="259" w:lineRule="auto"/>
        <w:rPr>
          <w:rFonts w:ascii="Arial Narrow" w:eastAsia="Aptos" w:hAnsi="Arial Narrow" w:cs="Calibri"/>
          <w:b/>
          <w:bCs/>
          <w:i/>
          <w:iCs/>
          <w:kern w:val="2"/>
          <w:sz w:val="20"/>
          <w:szCs w:val="20"/>
          <w:lang w:eastAsia="en-US"/>
          <w14:ligatures w14:val="standardContextual"/>
        </w:rPr>
      </w:pPr>
    </w:p>
    <w:p w14:paraId="43B073CF" w14:textId="38F9466D" w:rsidR="00451864" w:rsidRPr="00451864" w:rsidRDefault="00451864" w:rsidP="00451864">
      <w:pPr>
        <w:pStyle w:val="3-BodyText"/>
        <w:numPr>
          <w:ilvl w:val="1"/>
          <w:numId w:val="6"/>
        </w:numPr>
      </w:pPr>
      <w:bookmarkStart w:id="115" w:name="_Ref224656298"/>
      <w:r>
        <w:rPr>
          <w:snapToGrid w:val="0"/>
        </w:rPr>
        <w:t>Flow on changes to listing</w:t>
      </w:r>
      <w:r w:rsidR="00BA2F0F">
        <w:rPr>
          <w:snapToGrid w:val="0"/>
        </w:rPr>
        <w:t>:</w:t>
      </w:r>
      <w:r>
        <w:rPr>
          <w:snapToGrid w:val="0"/>
        </w:rPr>
        <w:t xml:space="preserve"> Should a second biologic be listed for this indication, </w:t>
      </w:r>
      <w:r w:rsidR="00A81F88">
        <w:t xml:space="preserve">amend the treatment phase: Initial treatment to state: Initial treatment – </w:t>
      </w:r>
      <w:r w:rsidR="00A81F88" w:rsidRPr="00EB1689">
        <w:rPr>
          <w:i/>
        </w:rPr>
        <w:t xml:space="preserve">initial </w:t>
      </w:r>
      <w:r w:rsidR="00A81F88" w:rsidRPr="00C47A02">
        <w:rPr>
          <w:i/>
        </w:rPr>
        <w:t>1</w:t>
      </w:r>
      <w:r w:rsidR="00A81F88">
        <w:t xml:space="preserve">, </w:t>
      </w:r>
      <w:r>
        <w:rPr>
          <w:snapToGrid w:val="0"/>
        </w:rPr>
        <w:t xml:space="preserve">add initial 2 (change of treatment) </w:t>
      </w:r>
      <w:r w:rsidR="00BB367F">
        <w:rPr>
          <w:snapToGrid w:val="0"/>
        </w:rPr>
        <w:t xml:space="preserve">restriction </w:t>
      </w:r>
      <w:r>
        <w:rPr>
          <w:snapToGrid w:val="0"/>
        </w:rPr>
        <w:t>and the long Administrative Advice as follows.</w:t>
      </w:r>
      <w:bookmarkEnd w:id="115"/>
      <w:r>
        <w:rPr>
          <w:snapToGrid w:val="0"/>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Flow on changes"/>
      </w:tblPr>
      <w:tblGrid>
        <w:gridCol w:w="3539"/>
        <w:gridCol w:w="1985"/>
        <w:gridCol w:w="708"/>
        <w:gridCol w:w="709"/>
        <w:gridCol w:w="709"/>
        <w:gridCol w:w="1706"/>
      </w:tblGrid>
      <w:tr w:rsidR="00451864" w:rsidRPr="0073650A" w14:paraId="29C7E8E2" w14:textId="77777777" w:rsidTr="00D04D9E">
        <w:trPr>
          <w:cantSplit/>
          <w:trHeight w:val="471"/>
        </w:trPr>
        <w:tc>
          <w:tcPr>
            <w:tcW w:w="3539" w:type="dxa"/>
          </w:tcPr>
          <w:p w14:paraId="5CFC1771" w14:textId="77777777" w:rsidR="00451864" w:rsidRPr="0073650A" w:rsidRDefault="00451864">
            <w:pPr>
              <w:spacing w:line="259" w:lineRule="auto"/>
              <w:ind w:left="-57"/>
              <w:rPr>
                <w:rFonts w:ascii="Arial Narrow" w:eastAsia="Aptos" w:hAnsi="Arial Narrow"/>
                <w:b/>
                <w:color w:val="000000" w:themeColor="text1"/>
                <w:kern w:val="2"/>
                <w:sz w:val="20"/>
                <w:szCs w:val="20"/>
                <w:lang w:eastAsia="en-US"/>
                <w14:ligatures w14:val="standardContextual"/>
              </w:rPr>
            </w:pPr>
            <w:r w:rsidRPr="0073650A">
              <w:rPr>
                <w:rFonts w:ascii="Arial Narrow" w:eastAsia="Aptos" w:hAnsi="Arial Narrow"/>
                <w:b/>
                <w:color w:val="000000" w:themeColor="text1"/>
                <w:kern w:val="2"/>
                <w:sz w:val="20"/>
                <w:szCs w:val="20"/>
                <w:lang w:eastAsia="en-US"/>
                <w14:ligatures w14:val="standardContextual"/>
              </w:rPr>
              <w:t>MEDICINAL PRODUCT</w:t>
            </w:r>
          </w:p>
          <w:p w14:paraId="4E1C4382" w14:textId="77777777" w:rsidR="00451864" w:rsidRPr="0073650A" w:rsidRDefault="00451864">
            <w:pPr>
              <w:spacing w:line="259" w:lineRule="auto"/>
              <w:ind w:left="-57"/>
              <w:rPr>
                <w:rFonts w:ascii="Arial Narrow" w:eastAsia="Aptos" w:hAnsi="Arial Narrow"/>
                <w:b/>
                <w:color w:val="000000" w:themeColor="text1"/>
                <w:kern w:val="2"/>
                <w:sz w:val="20"/>
                <w:szCs w:val="20"/>
                <w:lang w:eastAsia="en-US"/>
                <w14:ligatures w14:val="standardContextual"/>
              </w:rPr>
            </w:pPr>
            <w:r w:rsidRPr="0073650A">
              <w:rPr>
                <w:rFonts w:ascii="Arial Narrow" w:eastAsia="Aptos" w:hAnsi="Arial Narrow"/>
                <w:b/>
                <w:color w:val="000000" w:themeColor="text1"/>
                <w:kern w:val="2"/>
                <w:sz w:val="20"/>
                <w:szCs w:val="20"/>
                <w:lang w:eastAsia="en-US"/>
                <w14:ligatures w14:val="standardContextual"/>
              </w:rPr>
              <w:t>medicinal product pack</w:t>
            </w:r>
          </w:p>
        </w:tc>
        <w:tc>
          <w:tcPr>
            <w:tcW w:w="1985" w:type="dxa"/>
          </w:tcPr>
          <w:p w14:paraId="2D56BCED" w14:textId="77777777" w:rsidR="00451864" w:rsidRPr="0073650A" w:rsidRDefault="00451864">
            <w:pPr>
              <w:spacing w:line="259" w:lineRule="auto"/>
              <w:ind w:left="-57"/>
              <w:jc w:val="center"/>
              <w:rPr>
                <w:rFonts w:ascii="Arial Narrow" w:eastAsia="Aptos" w:hAnsi="Arial Narrow"/>
                <w:b/>
                <w:color w:val="000000" w:themeColor="text1"/>
                <w:kern w:val="2"/>
                <w:sz w:val="20"/>
                <w:szCs w:val="20"/>
                <w:lang w:eastAsia="en-US"/>
                <w14:ligatures w14:val="standardContextual"/>
              </w:rPr>
            </w:pPr>
            <w:r w:rsidRPr="0073650A">
              <w:rPr>
                <w:rFonts w:ascii="Arial Narrow" w:eastAsia="Aptos" w:hAnsi="Arial Narrow"/>
                <w:b/>
                <w:color w:val="000000" w:themeColor="text1"/>
                <w:kern w:val="2"/>
                <w:sz w:val="20"/>
                <w:szCs w:val="20"/>
                <w:lang w:eastAsia="en-US"/>
                <w14:ligatures w14:val="standardContextual"/>
              </w:rPr>
              <w:t>PBS item code</w:t>
            </w:r>
          </w:p>
        </w:tc>
        <w:tc>
          <w:tcPr>
            <w:tcW w:w="708" w:type="dxa"/>
          </w:tcPr>
          <w:p w14:paraId="739A9CBF" w14:textId="77777777" w:rsidR="00451864" w:rsidRPr="0073650A" w:rsidRDefault="00451864">
            <w:pPr>
              <w:spacing w:line="259" w:lineRule="auto"/>
              <w:ind w:left="-57"/>
              <w:jc w:val="center"/>
              <w:rPr>
                <w:rFonts w:ascii="Arial Narrow" w:eastAsia="Aptos" w:hAnsi="Arial Narrow"/>
                <w:b/>
                <w:color w:val="000000" w:themeColor="text1"/>
                <w:kern w:val="2"/>
                <w:sz w:val="20"/>
                <w:szCs w:val="20"/>
                <w:lang w:eastAsia="en-US"/>
                <w14:ligatures w14:val="standardContextual"/>
              </w:rPr>
            </w:pPr>
            <w:r w:rsidRPr="0073650A">
              <w:rPr>
                <w:rFonts w:ascii="Arial Narrow" w:eastAsia="Aptos" w:hAnsi="Arial Narrow"/>
                <w:b/>
                <w:color w:val="000000" w:themeColor="text1"/>
                <w:kern w:val="2"/>
                <w:sz w:val="20"/>
                <w:szCs w:val="20"/>
                <w:lang w:eastAsia="en-US"/>
                <w14:ligatures w14:val="standardContextual"/>
              </w:rPr>
              <w:t>Max. qty packs</w:t>
            </w:r>
          </w:p>
        </w:tc>
        <w:tc>
          <w:tcPr>
            <w:tcW w:w="709" w:type="dxa"/>
          </w:tcPr>
          <w:p w14:paraId="0D7C44A0" w14:textId="77777777" w:rsidR="00451864" w:rsidRPr="0073650A" w:rsidRDefault="00451864">
            <w:pPr>
              <w:spacing w:line="259" w:lineRule="auto"/>
              <w:ind w:left="-57"/>
              <w:jc w:val="center"/>
              <w:rPr>
                <w:rFonts w:ascii="Arial Narrow" w:eastAsia="Aptos" w:hAnsi="Arial Narrow"/>
                <w:b/>
                <w:color w:val="000000" w:themeColor="text1"/>
                <w:kern w:val="2"/>
                <w:sz w:val="20"/>
                <w:szCs w:val="20"/>
                <w:lang w:eastAsia="en-US"/>
                <w14:ligatures w14:val="standardContextual"/>
              </w:rPr>
            </w:pPr>
            <w:r w:rsidRPr="0073650A">
              <w:rPr>
                <w:rFonts w:ascii="Arial Narrow" w:eastAsia="Aptos" w:hAnsi="Arial Narrow"/>
                <w:b/>
                <w:color w:val="000000" w:themeColor="text1"/>
                <w:kern w:val="2"/>
                <w:sz w:val="20"/>
                <w:szCs w:val="20"/>
                <w:lang w:eastAsia="en-US"/>
                <w14:ligatures w14:val="standardContextual"/>
              </w:rPr>
              <w:t>Max. qty units</w:t>
            </w:r>
          </w:p>
        </w:tc>
        <w:tc>
          <w:tcPr>
            <w:tcW w:w="709" w:type="dxa"/>
          </w:tcPr>
          <w:p w14:paraId="73615DB4" w14:textId="77777777" w:rsidR="00451864" w:rsidRPr="0073650A" w:rsidRDefault="00451864">
            <w:pPr>
              <w:spacing w:line="259" w:lineRule="auto"/>
              <w:ind w:left="-57"/>
              <w:jc w:val="center"/>
              <w:rPr>
                <w:rFonts w:ascii="Arial Narrow" w:eastAsia="Aptos" w:hAnsi="Arial Narrow"/>
                <w:b/>
                <w:color w:val="000000" w:themeColor="text1"/>
                <w:kern w:val="2"/>
                <w:sz w:val="20"/>
                <w:szCs w:val="20"/>
                <w:lang w:eastAsia="en-US"/>
                <w14:ligatures w14:val="standardContextual"/>
              </w:rPr>
            </w:pPr>
            <w:r w:rsidRPr="0073650A">
              <w:rPr>
                <w:rFonts w:ascii="Arial Narrow" w:eastAsia="Aptos" w:hAnsi="Arial Narrow"/>
                <w:b/>
                <w:color w:val="000000" w:themeColor="text1"/>
                <w:kern w:val="2"/>
                <w:sz w:val="20"/>
                <w:szCs w:val="20"/>
                <w:lang w:eastAsia="en-US"/>
                <w14:ligatures w14:val="standardContextual"/>
              </w:rPr>
              <w:t>№.of</w:t>
            </w:r>
          </w:p>
          <w:p w14:paraId="7954A957" w14:textId="77777777" w:rsidR="00451864" w:rsidRPr="0073650A" w:rsidRDefault="00451864">
            <w:pPr>
              <w:spacing w:line="259" w:lineRule="auto"/>
              <w:ind w:left="-57"/>
              <w:jc w:val="center"/>
              <w:rPr>
                <w:rFonts w:ascii="Arial Narrow" w:eastAsia="Aptos" w:hAnsi="Arial Narrow"/>
                <w:b/>
                <w:color w:val="000000" w:themeColor="text1"/>
                <w:kern w:val="2"/>
                <w:sz w:val="20"/>
                <w:szCs w:val="20"/>
                <w:lang w:eastAsia="en-US"/>
                <w14:ligatures w14:val="standardContextual"/>
              </w:rPr>
            </w:pPr>
            <w:r w:rsidRPr="0073650A">
              <w:rPr>
                <w:rFonts w:ascii="Arial Narrow" w:eastAsia="Aptos" w:hAnsi="Arial Narrow"/>
                <w:b/>
                <w:color w:val="000000" w:themeColor="text1"/>
                <w:kern w:val="2"/>
                <w:sz w:val="20"/>
                <w:szCs w:val="20"/>
                <w:lang w:eastAsia="en-US"/>
                <w14:ligatures w14:val="standardContextual"/>
              </w:rPr>
              <w:t>Rpts</w:t>
            </w:r>
          </w:p>
        </w:tc>
        <w:tc>
          <w:tcPr>
            <w:tcW w:w="1706" w:type="dxa"/>
          </w:tcPr>
          <w:p w14:paraId="3FF15EA0" w14:textId="77777777" w:rsidR="00451864" w:rsidRPr="0073650A" w:rsidRDefault="00451864">
            <w:pPr>
              <w:spacing w:line="259" w:lineRule="auto"/>
              <w:ind w:left="-57"/>
              <w:jc w:val="left"/>
              <w:rPr>
                <w:rFonts w:ascii="Arial Narrow" w:eastAsia="Aptos" w:hAnsi="Arial Narrow"/>
                <w:b/>
                <w:color w:val="000000" w:themeColor="text1"/>
                <w:kern w:val="2"/>
                <w:sz w:val="20"/>
                <w:szCs w:val="20"/>
                <w:lang w:eastAsia="en-US"/>
                <w14:ligatures w14:val="standardContextual"/>
              </w:rPr>
            </w:pPr>
            <w:r w:rsidRPr="0073650A">
              <w:rPr>
                <w:rFonts w:ascii="Arial Narrow" w:eastAsia="Aptos" w:hAnsi="Arial Narrow"/>
                <w:b/>
                <w:color w:val="000000" w:themeColor="text1"/>
                <w:kern w:val="2"/>
                <w:sz w:val="20"/>
                <w:szCs w:val="20"/>
                <w:lang w:eastAsia="en-US"/>
                <w14:ligatures w14:val="standardContextual"/>
              </w:rPr>
              <w:t>Available brands</w:t>
            </w:r>
          </w:p>
        </w:tc>
      </w:tr>
      <w:tr w:rsidR="00451864" w:rsidRPr="0073650A" w14:paraId="62F5DBBC" w14:textId="77777777" w:rsidTr="00D04D9E">
        <w:trPr>
          <w:cantSplit/>
          <w:trHeight w:val="302"/>
        </w:trPr>
        <w:tc>
          <w:tcPr>
            <w:tcW w:w="9356" w:type="dxa"/>
            <w:gridSpan w:val="6"/>
          </w:tcPr>
          <w:p w14:paraId="753DE7E3" w14:textId="77777777" w:rsidR="00451864" w:rsidRPr="0073650A" w:rsidRDefault="00451864">
            <w:pPr>
              <w:spacing w:line="259" w:lineRule="auto"/>
              <w:ind w:left="-57"/>
              <w:jc w:val="left"/>
              <w:rPr>
                <w:rFonts w:ascii="Arial Narrow" w:eastAsia="Aptos" w:hAnsi="Arial Narrow"/>
                <w:bCs/>
                <w:color w:val="000000" w:themeColor="text1"/>
                <w:kern w:val="2"/>
                <w:sz w:val="20"/>
                <w:szCs w:val="20"/>
                <w:lang w:eastAsia="en-US"/>
                <w14:ligatures w14:val="standardContextual"/>
              </w:rPr>
            </w:pPr>
            <w:r w:rsidRPr="0073650A">
              <w:rPr>
                <w:rFonts w:ascii="Arial Narrow" w:eastAsia="Aptos" w:hAnsi="Arial Narrow"/>
                <w:bCs/>
                <w:color w:val="000000" w:themeColor="text1"/>
                <w:kern w:val="2"/>
                <w:sz w:val="20"/>
                <w:szCs w:val="20"/>
                <w:lang w:eastAsia="en-US"/>
                <w14:ligatures w14:val="standardContextual"/>
              </w:rPr>
              <w:t>DUPILUMAB</w:t>
            </w:r>
          </w:p>
        </w:tc>
      </w:tr>
      <w:tr w:rsidR="00451864" w:rsidRPr="0073650A" w14:paraId="09570141" w14:textId="77777777" w:rsidTr="00D04D9E">
        <w:trPr>
          <w:cantSplit/>
          <w:trHeight w:val="419"/>
        </w:trPr>
        <w:tc>
          <w:tcPr>
            <w:tcW w:w="3539" w:type="dxa"/>
          </w:tcPr>
          <w:p w14:paraId="0CFBA746" w14:textId="77777777" w:rsidR="00451864" w:rsidRPr="0073650A" w:rsidRDefault="00451864">
            <w:pPr>
              <w:spacing w:line="259" w:lineRule="auto"/>
              <w:ind w:left="-57"/>
              <w:rPr>
                <w:rFonts w:ascii="Arial Narrow" w:eastAsia="Aptos" w:hAnsi="Arial Narrow"/>
                <w:color w:val="000000" w:themeColor="text1"/>
                <w:kern w:val="2"/>
                <w:sz w:val="20"/>
                <w:szCs w:val="20"/>
                <w:lang w:eastAsia="en-US"/>
                <w14:ligatures w14:val="standardContextual"/>
              </w:rPr>
            </w:pPr>
            <w:r w:rsidRPr="0073650A">
              <w:rPr>
                <w:rFonts w:ascii="Arial Narrow" w:eastAsia="Aptos" w:hAnsi="Arial Narrow"/>
                <w:color w:val="000000" w:themeColor="text1"/>
                <w:kern w:val="2"/>
                <w:sz w:val="20"/>
                <w:szCs w:val="20"/>
                <w:lang w:eastAsia="en-US"/>
                <w14:ligatures w14:val="standardContextual"/>
              </w:rPr>
              <w:t>dupilumab 300 mg/2mL injection, 2 x 2 mL syringes</w:t>
            </w:r>
          </w:p>
        </w:tc>
        <w:tc>
          <w:tcPr>
            <w:tcW w:w="1985" w:type="dxa"/>
          </w:tcPr>
          <w:p w14:paraId="2D4CD217" w14:textId="4815886E" w:rsidR="00451864" w:rsidRPr="0073650A" w:rsidRDefault="00434BEB">
            <w:pPr>
              <w:spacing w:line="259" w:lineRule="auto"/>
              <w:jc w:val="center"/>
              <w:rPr>
                <w:rFonts w:ascii="Arial Narrow" w:eastAsia="Aptos" w:hAnsi="Arial Narrow"/>
                <w:color w:val="000000" w:themeColor="text1"/>
                <w:kern w:val="2"/>
                <w:sz w:val="20"/>
                <w:szCs w:val="20"/>
                <w:lang w:eastAsia="en-US"/>
                <w14:ligatures w14:val="standardContextual"/>
              </w:rPr>
            </w:pPr>
            <w:r>
              <w:rPr>
                <w:rFonts w:ascii="Arial Narrow" w:eastAsia="Aptos" w:hAnsi="Arial Narrow"/>
                <w:color w:val="000000" w:themeColor="text1"/>
                <w:kern w:val="2"/>
                <w:sz w:val="20"/>
                <w:szCs w:val="20"/>
                <w:lang w:eastAsia="en-US"/>
                <w14:ligatures w14:val="standardContextual"/>
              </w:rPr>
              <w:t>Initial item code</w:t>
            </w:r>
            <w:r w:rsidRPr="0073650A">
              <w:rPr>
                <w:rFonts w:ascii="Arial Narrow" w:eastAsia="Aptos" w:hAnsi="Arial Narrow"/>
                <w:color w:val="000000" w:themeColor="text1"/>
                <w:kern w:val="2"/>
                <w:sz w:val="20"/>
                <w:szCs w:val="20"/>
                <w:lang w:eastAsia="en-US"/>
                <w14:ligatures w14:val="standardContextual"/>
              </w:rPr>
              <w:t xml:space="preserve"> </w:t>
            </w:r>
            <w:r w:rsidR="00451864" w:rsidRPr="0073650A">
              <w:rPr>
                <w:rFonts w:ascii="Arial Narrow" w:eastAsia="Aptos" w:hAnsi="Arial Narrow"/>
                <w:color w:val="000000" w:themeColor="text1"/>
                <w:kern w:val="2"/>
                <w:sz w:val="20"/>
                <w:szCs w:val="20"/>
                <w:lang w:eastAsia="en-US"/>
                <w14:ligatures w14:val="standardContextual"/>
              </w:rPr>
              <w:t>(HSD PUBLIC)</w:t>
            </w:r>
          </w:p>
          <w:p w14:paraId="772495E4" w14:textId="77ED0EFC" w:rsidR="00451864" w:rsidRPr="0073650A" w:rsidRDefault="00434BEB">
            <w:pPr>
              <w:spacing w:line="259" w:lineRule="auto"/>
              <w:jc w:val="center"/>
              <w:rPr>
                <w:rFonts w:ascii="Arial Narrow" w:eastAsia="Aptos" w:hAnsi="Arial Narrow"/>
                <w:color w:val="000000" w:themeColor="text1"/>
                <w:kern w:val="2"/>
                <w:sz w:val="20"/>
                <w:szCs w:val="20"/>
                <w:lang w:eastAsia="en-US"/>
                <w14:ligatures w14:val="standardContextual"/>
              </w:rPr>
            </w:pPr>
            <w:r>
              <w:rPr>
                <w:rFonts w:ascii="Arial Narrow" w:eastAsia="Aptos" w:hAnsi="Arial Narrow"/>
                <w:color w:val="000000" w:themeColor="text1"/>
                <w:kern w:val="2"/>
                <w:sz w:val="20"/>
                <w:szCs w:val="20"/>
                <w:lang w:eastAsia="en-US"/>
                <w14:ligatures w14:val="standardContextual"/>
              </w:rPr>
              <w:t>Initial item code</w:t>
            </w:r>
            <w:r w:rsidR="00451864" w:rsidRPr="0073650A">
              <w:rPr>
                <w:rFonts w:ascii="Arial Narrow" w:eastAsia="Aptos" w:hAnsi="Arial Narrow"/>
                <w:color w:val="000000" w:themeColor="text1"/>
                <w:kern w:val="2"/>
                <w:sz w:val="20"/>
                <w:szCs w:val="20"/>
                <w:lang w:eastAsia="en-US"/>
                <w14:ligatures w14:val="standardContextual"/>
              </w:rPr>
              <w:t xml:space="preserve"> (HSD PRIVATE)</w:t>
            </w:r>
          </w:p>
          <w:p w14:paraId="51974E5A" w14:textId="77777777" w:rsidR="00451864" w:rsidRPr="0073650A" w:rsidRDefault="00451864">
            <w:pPr>
              <w:spacing w:line="259" w:lineRule="auto"/>
              <w:jc w:val="center"/>
              <w:rPr>
                <w:rFonts w:ascii="Arial Narrow" w:eastAsia="Aptos" w:hAnsi="Arial Narrow"/>
                <w:color w:val="000000" w:themeColor="text1"/>
                <w:kern w:val="2"/>
                <w:sz w:val="20"/>
                <w:szCs w:val="20"/>
                <w:vertAlign w:val="subscript"/>
                <w:lang w:eastAsia="en-US"/>
                <w14:ligatures w14:val="standardContextual"/>
              </w:rPr>
            </w:pPr>
            <w:r w:rsidRPr="0073650A">
              <w:rPr>
                <w:rFonts w:ascii="Arial Narrow" w:eastAsia="Aptos" w:hAnsi="Arial Narrow"/>
                <w:color w:val="000000" w:themeColor="text1"/>
                <w:kern w:val="2"/>
                <w:sz w:val="20"/>
                <w:szCs w:val="20"/>
                <w:vertAlign w:val="subscript"/>
                <w:lang w:eastAsia="en-US"/>
                <w14:ligatures w14:val="standardContextual"/>
              </w:rPr>
              <w:t xml:space="preserve">MP  </w:t>
            </w:r>
          </w:p>
        </w:tc>
        <w:tc>
          <w:tcPr>
            <w:tcW w:w="708" w:type="dxa"/>
          </w:tcPr>
          <w:p w14:paraId="34A5BCB8" w14:textId="77777777" w:rsidR="00451864" w:rsidRPr="0073650A" w:rsidRDefault="00451864">
            <w:pPr>
              <w:spacing w:line="259" w:lineRule="auto"/>
              <w:ind w:left="-57"/>
              <w:jc w:val="center"/>
              <w:rPr>
                <w:rFonts w:ascii="Arial Narrow" w:eastAsia="Aptos" w:hAnsi="Arial Narrow"/>
                <w:color w:val="000000" w:themeColor="text1"/>
                <w:kern w:val="2"/>
                <w:sz w:val="20"/>
                <w:szCs w:val="20"/>
                <w:lang w:eastAsia="en-US"/>
                <w14:ligatures w14:val="standardContextual"/>
              </w:rPr>
            </w:pPr>
            <w:r w:rsidRPr="0073650A">
              <w:rPr>
                <w:rFonts w:ascii="Arial Narrow" w:eastAsia="Aptos" w:hAnsi="Arial Narrow"/>
                <w:color w:val="000000" w:themeColor="text1"/>
                <w:kern w:val="2"/>
                <w:sz w:val="20"/>
                <w:szCs w:val="20"/>
                <w:lang w:eastAsia="en-US"/>
                <w14:ligatures w14:val="standardContextual"/>
              </w:rPr>
              <w:t>1</w:t>
            </w:r>
          </w:p>
        </w:tc>
        <w:tc>
          <w:tcPr>
            <w:tcW w:w="709" w:type="dxa"/>
          </w:tcPr>
          <w:p w14:paraId="5545B982" w14:textId="77777777" w:rsidR="00451864" w:rsidRPr="0073650A" w:rsidRDefault="00451864">
            <w:pPr>
              <w:spacing w:line="259" w:lineRule="auto"/>
              <w:jc w:val="center"/>
              <w:rPr>
                <w:rFonts w:ascii="Arial Narrow" w:eastAsia="Aptos" w:hAnsi="Arial Narrow"/>
                <w:color w:val="000000" w:themeColor="text1"/>
                <w:kern w:val="2"/>
                <w:sz w:val="20"/>
                <w:szCs w:val="20"/>
                <w:lang w:eastAsia="en-US"/>
                <w14:ligatures w14:val="standardContextual"/>
              </w:rPr>
            </w:pPr>
            <w:r w:rsidRPr="0073650A">
              <w:rPr>
                <w:rFonts w:ascii="Arial Narrow" w:eastAsia="Aptos" w:hAnsi="Arial Narrow"/>
                <w:color w:val="000000" w:themeColor="text1"/>
                <w:kern w:val="2"/>
                <w:sz w:val="20"/>
                <w:szCs w:val="20"/>
                <w:lang w:eastAsia="en-US"/>
                <w14:ligatures w14:val="standardContextual"/>
              </w:rPr>
              <w:t>2</w:t>
            </w:r>
          </w:p>
        </w:tc>
        <w:tc>
          <w:tcPr>
            <w:tcW w:w="709" w:type="dxa"/>
          </w:tcPr>
          <w:p w14:paraId="6EEA81D2" w14:textId="77777777" w:rsidR="00451864" w:rsidRPr="0073650A" w:rsidRDefault="00451864">
            <w:pPr>
              <w:spacing w:line="259" w:lineRule="auto"/>
              <w:jc w:val="center"/>
              <w:rPr>
                <w:rFonts w:ascii="Arial Narrow" w:eastAsia="Aptos" w:hAnsi="Arial Narrow"/>
                <w:color w:val="000000" w:themeColor="text1"/>
                <w:kern w:val="2"/>
                <w:sz w:val="20"/>
                <w:szCs w:val="20"/>
                <w:lang w:eastAsia="en-US"/>
                <w14:ligatures w14:val="standardContextual"/>
              </w:rPr>
            </w:pPr>
            <w:r w:rsidRPr="0073650A">
              <w:rPr>
                <w:rFonts w:ascii="Arial Narrow" w:eastAsia="Aptos" w:hAnsi="Arial Narrow"/>
                <w:color w:val="000000" w:themeColor="text1"/>
                <w:kern w:val="2"/>
                <w:sz w:val="20"/>
                <w:szCs w:val="20"/>
                <w:lang w:eastAsia="en-US"/>
                <w14:ligatures w14:val="standardContextual"/>
              </w:rPr>
              <w:t>6</w:t>
            </w:r>
          </w:p>
        </w:tc>
        <w:tc>
          <w:tcPr>
            <w:tcW w:w="1706" w:type="dxa"/>
          </w:tcPr>
          <w:p w14:paraId="35834E13" w14:textId="77777777" w:rsidR="00451864" w:rsidRPr="0073650A" w:rsidRDefault="00451864">
            <w:pPr>
              <w:spacing w:line="259" w:lineRule="auto"/>
              <w:ind w:left="-57"/>
              <w:rPr>
                <w:rFonts w:ascii="Arial Narrow" w:eastAsia="Aptos" w:hAnsi="Arial Narrow"/>
                <w:color w:val="000000" w:themeColor="text1"/>
                <w:kern w:val="2"/>
                <w:sz w:val="20"/>
                <w:szCs w:val="20"/>
                <w:lang w:eastAsia="en-US"/>
                <w14:ligatures w14:val="standardContextual"/>
              </w:rPr>
            </w:pPr>
            <w:r w:rsidRPr="0073650A">
              <w:rPr>
                <w:rFonts w:ascii="Arial Narrow" w:eastAsia="Aptos" w:hAnsi="Arial Narrow"/>
                <w:color w:val="000000" w:themeColor="text1"/>
                <w:kern w:val="2"/>
                <w:sz w:val="20"/>
                <w:szCs w:val="20"/>
                <w:lang w:eastAsia="en-US"/>
                <w14:ligatures w14:val="standardContextual"/>
              </w:rPr>
              <w:t>Dupixent</w:t>
            </w:r>
            <w:r w:rsidRPr="0073650A">
              <w:rPr>
                <w:rFonts w:ascii="Arial Narrow" w:eastAsia="Aptos" w:hAnsi="Arial Narrow"/>
                <w:color w:val="000000" w:themeColor="text1"/>
                <w:kern w:val="2"/>
                <w:sz w:val="20"/>
                <w:szCs w:val="20"/>
                <w:vertAlign w:val="superscript"/>
                <w:lang w:eastAsia="en-US"/>
                <w14:ligatures w14:val="standardContextual"/>
              </w:rPr>
              <w:t>®</w:t>
            </w:r>
          </w:p>
        </w:tc>
      </w:tr>
      <w:tr w:rsidR="00451864" w:rsidRPr="0073650A" w14:paraId="2C352A64" w14:textId="77777777" w:rsidTr="00D04D9E">
        <w:trPr>
          <w:cantSplit/>
          <w:trHeight w:val="419"/>
        </w:trPr>
        <w:tc>
          <w:tcPr>
            <w:tcW w:w="3539" w:type="dxa"/>
          </w:tcPr>
          <w:p w14:paraId="69D7BFA0" w14:textId="77777777" w:rsidR="00451864" w:rsidRPr="0073650A" w:rsidRDefault="00451864">
            <w:pPr>
              <w:spacing w:line="259" w:lineRule="auto"/>
              <w:ind w:left="-57"/>
              <w:rPr>
                <w:rFonts w:ascii="Arial Narrow" w:eastAsia="Aptos" w:hAnsi="Arial Narrow"/>
                <w:color w:val="000000" w:themeColor="text1"/>
                <w:kern w:val="2"/>
                <w:sz w:val="20"/>
                <w:szCs w:val="20"/>
                <w:lang w:eastAsia="en-US"/>
                <w14:ligatures w14:val="standardContextual"/>
              </w:rPr>
            </w:pPr>
            <w:r w:rsidRPr="0073650A">
              <w:rPr>
                <w:rFonts w:ascii="Arial Narrow" w:eastAsia="Aptos" w:hAnsi="Arial Narrow"/>
                <w:color w:val="000000" w:themeColor="text1"/>
                <w:kern w:val="2"/>
                <w:sz w:val="20"/>
                <w:szCs w:val="20"/>
                <w:lang w:eastAsia="en-US"/>
                <w14:ligatures w14:val="standardContextual"/>
              </w:rPr>
              <w:t>dupilumab 300 mg/2mL injection, 2 x 2 mL pen devices</w:t>
            </w:r>
          </w:p>
        </w:tc>
        <w:tc>
          <w:tcPr>
            <w:tcW w:w="1985" w:type="dxa"/>
          </w:tcPr>
          <w:p w14:paraId="14DF52FD" w14:textId="163E87AF" w:rsidR="00451864" w:rsidRPr="0073650A" w:rsidRDefault="00434BEB">
            <w:pPr>
              <w:spacing w:line="259" w:lineRule="auto"/>
              <w:jc w:val="center"/>
              <w:rPr>
                <w:rFonts w:ascii="Arial Narrow" w:eastAsia="Aptos" w:hAnsi="Arial Narrow"/>
                <w:color w:val="000000" w:themeColor="text1"/>
                <w:kern w:val="2"/>
                <w:sz w:val="20"/>
                <w:szCs w:val="20"/>
                <w:lang w:eastAsia="en-US"/>
                <w14:ligatures w14:val="standardContextual"/>
              </w:rPr>
            </w:pPr>
            <w:r>
              <w:rPr>
                <w:rFonts w:ascii="Arial Narrow" w:eastAsia="Aptos" w:hAnsi="Arial Narrow"/>
                <w:color w:val="000000" w:themeColor="text1"/>
                <w:kern w:val="2"/>
                <w:sz w:val="20"/>
                <w:szCs w:val="20"/>
                <w:lang w:eastAsia="en-US"/>
                <w14:ligatures w14:val="standardContextual"/>
              </w:rPr>
              <w:t>Initial item code</w:t>
            </w:r>
            <w:r w:rsidR="00451864" w:rsidRPr="0073650A">
              <w:rPr>
                <w:rFonts w:ascii="Arial Narrow" w:eastAsia="Aptos" w:hAnsi="Arial Narrow"/>
                <w:color w:val="000000" w:themeColor="text1"/>
                <w:kern w:val="2"/>
                <w:sz w:val="20"/>
                <w:szCs w:val="20"/>
                <w:lang w:eastAsia="en-US"/>
                <w14:ligatures w14:val="standardContextual"/>
              </w:rPr>
              <w:t xml:space="preserve"> (HSD PUBLIC)</w:t>
            </w:r>
          </w:p>
          <w:p w14:paraId="567F8309" w14:textId="4FCC69BB" w:rsidR="00451864" w:rsidRPr="0073650A" w:rsidRDefault="00434BEB">
            <w:pPr>
              <w:spacing w:line="259" w:lineRule="auto"/>
              <w:jc w:val="center"/>
              <w:rPr>
                <w:rFonts w:ascii="Arial Narrow" w:eastAsia="Aptos" w:hAnsi="Arial Narrow"/>
                <w:color w:val="000000" w:themeColor="text1"/>
                <w:kern w:val="2"/>
                <w:sz w:val="20"/>
                <w:szCs w:val="20"/>
                <w:lang w:eastAsia="en-US"/>
                <w14:ligatures w14:val="standardContextual"/>
              </w:rPr>
            </w:pPr>
            <w:r>
              <w:rPr>
                <w:rFonts w:ascii="Arial Narrow" w:eastAsia="Aptos" w:hAnsi="Arial Narrow"/>
                <w:color w:val="000000" w:themeColor="text1"/>
                <w:kern w:val="2"/>
                <w:sz w:val="20"/>
                <w:szCs w:val="20"/>
                <w:lang w:eastAsia="en-US"/>
                <w14:ligatures w14:val="standardContextual"/>
              </w:rPr>
              <w:t>Initial item code</w:t>
            </w:r>
            <w:r w:rsidR="00451864" w:rsidRPr="0073650A">
              <w:rPr>
                <w:rFonts w:ascii="Arial Narrow" w:eastAsia="Aptos" w:hAnsi="Arial Narrow"/>
                <w:color w:val="000000" w:themeColor="text1"/>
                <w:kern w:val="2"/>
                <w:sz w:val="20"/>
                <w:szCs w:val="20"/>
                <w:lang w:eastAsia="en-US"/>
                <w14:ligatures w14:val="standardContextual"/>
              </w:rPr>
              <w:t xml:space="preserve"> (HSD PRIVATE)</w:t>
            </w:r>
          </w:p>
          <w:p w14:paraId="74D2C2EA" w14:textId="77777777" w:rsidR="00451864" w:rsidRPr="0073650A" w:rsidRDefault="00451864">
            <w:pPr>
              <w:spacing w:line="259" w:lineRule="auto"/>
              <w:jc w:val="center"/>
              <w:rPr>
                <w:rFonts w:ascii="Arial Narrow" w:eastAsia="Aptos" w:hAnsi="Arial Narrow"/>
                <w:color w:val="000000" w:themeColor="text1"/>
                <w:kern w:val="2"/>
                <w:sz w:val="20"/>
                <w:szCs w:val="20"/>
                <w:lang w:eastAsia="en-US"/>
                <w14:ligatures w14:val="standardContextual"/>
              </w:rPr>
            </w:pPr>
            <w:r w:rsidRPr="0073650A">
              <w:rPr>
                <w:rFonts w:ascii="Arial Narrow" w:eastAsia="Aptos" w:hAnsi="Arial Narrow"/>
                <w:color w:val="000000" w:themeColor="text1"/>
                <w:kern w:val="2"/>
                <w:sz w:val="20"/>
                <w:szCs w:val="20"/>
                <w:vertAlign w:val="subscript"/>
                <w:lang w:eastAsia="en-US"/>
                <w14:ligatures w14:val="standardContextual"/>
              </w:rPr>
              <w:t xml:space="preserve">MP  </w:t>
            </w:r>
          </w:p>
        </w:tc>
        <w:tc>
          <w:tcPr>
            <w:tcW w:w="708" w:type="dxa"/>
          </w:tcPr>
          <w:p w14:paraId="548C7242" w14:textId="77777777" w:rsidR="00451864" w:rsidRPr="0073650A" w:rsidRDefault="00451864">
            <w:pPr>
              <w:spacing w:line="259" w:lineRule="auto"/>
              <w:ind w:left="-57"/>
              <w:jc w:val="center"/>
              <w:rPr>
                <w:rFonts w:ascii="Arial Narrow" w:eastAsia="Aptos" w:hAnsi="Arial Narrow"/>
                <w:color w:val="000000" w:themeColor="text1"/>
                <w:kern w:val="2"/>
                <w:sz w:val="20"/>
                <w:szCs w:val="20"/>
                <w:lang w:eastAsia="en-US"/>
                <w14:ligatures w14:val="standardContextual"/>
              </w:rPr>
            </w:pPr>
            <w:r w:rsidRPr="0073650A">
              <w:rPr>
                <w:rFonts w:ascii="Arial Narrow" w:eastAsia="Aptos" w:hAnsi="Arial Narrow"/>
                <w:color w:val="000000" w:themeColor="text1"/>
                <w:kern w:val="2"/>
                <w:sz w:val="20"/>
                <w:szCs w:val="20"/>
                <w:lang w:eastAsia="en-US"/>
                <w14:ligatures w14:val="standardContextual"/>
              </w:rPr>
              <w:t>1</w:t>
            </w:r>
          </w:p>
        </w:tc>
        <w:tc>
          <w:tcPr>
            <w:tcW w:w="709" w:type="dxa"/>
          </w:tcPr>
          <w:p w14:paraId="2B083382" w14:textId="77777777" w:rsidR="00451864" w:rsidRPr="0073650A" w:rsidRDefault="00451864">
            <w:pPr>
              <w:spacing w:line="259" w:lineRule="auto"/>
              <w:jc w:val="center"/>
              <w:rPr>
                <w:rFonts w:ascii="Arial Narrow" w:eastAsia="Aptos" w:hAnsi="Arial Narrow"/>
                <w:color w:val="000000" w:themeColor="text1"/>
                <w:kern w:val="2"/>
                <w:sz w:val="20"/>
                <w:szCs w:val="20"/>
                <w:lang w:eastAsia="en-US"/>
                <w14:ligatures w14:val="standardContextual"/>
              </w:rPr>
            </w:pPr>
            <w:r w:rsidRPr="0073650A">
              <w:rPr>
                <w:rFonts w:ascii="Arial Narrow" w:eastAsia="Aptos" w:hAnsi="Arial Narrow"/>
                <w:color w:val="000000" w:themeColor="text1"/>
                <w:kern w:val="2"/>
                <w:sz w:val="20"/>
                <w:szCs w:val="20"/>
                <w:lang w:eastAsia="en-US"/>
                <w14:ligatures w14:val="standardContextual"/>
              </w:rPr>
              <w:t>2</w:t>
            </w:r>
          </w:p>
        </w:tc>
        <w:tc>
          <w:tcPr>
            <w:tcW w:w="709" w:type="dxa"/>
          </w:tcPr>
          <w:p w14:paraId="74ACBA6B" w14:textId="77777777" w:rsidR="00451864" w:rsidRPr="0073650A" w:rsidRDefault="00451864">
            <w:pPr>
              <w:spacing w:line="259" w:lineRule="auto"/>
              <w:jc w:val="center"/>
              <w:rPr>
                <w:rFonts w:ascii="Arial Narrow" w:eastAsia="Aptos" w:hAnsi="Arial Narrow"/>
                <w:color w:val="000000" w:themeColor="text1"/>
                <w:kern w:val="2"/>
                <w:sz w:val="20"/>
                <w:szCs w:val="20"/>
                <w:lang w:eastAsia="en-US"/>
                <w14:ligatures w14:val="standardContextual"/>
              </w:rPr>
            </w:pPr>
            <w:r w:rsidRPr="0073650A">
              <w:rPr>
                <w:rFonts w:ascii="Arial Narrow" w:eastAsia="Aptos" w:hAnsi="Arial Narrow"/>
                <w:color w:val="000000" w:themeColor="text1"/>
                <w:kern w:val="2"/>
                <w:sz w:val="20"/>
                <w:szCs w:val="20"/>
                <w:lang w:eastAsia="en-US"/>
                <w14:ligatures w14:val="standardContextual"/>
              </w:rPr>
              <w:t xml:space="preserve">6 </w:t>
            </w:r>
          </w:p>
        </w:tc>
        <w:tc>
          <w:tcPr>
            <w:tcW w:w="1706" w:type="dxa"/>
          </w:tcPr>
          <w:p w14:paraId="2178A3EB" w14:textId="77777777" w:rsidR="00451864" w:rsidRPr="0073650A" w:rsidRDefault="00451864">
            <w:pPr>
              <w:spacing w:line="259" w:lineRule="auto"/>
              <w:ind w:left="-57"/>
              <w:rPr>
                <w:rFonts w:ascii="Arial Narrow" w:eastAsia="Aptos" w:hAnsi="Arial Narrow"/>
                <w:color w:val="000000" w:themeColor="text1"/>
                <w:kern w:val="2"/>
                <w:sz w:val="20"/>
                <w:szCs w:val="20"/>
                <w:lang w:eastAsia="en-US"/>
                <w14:ligatures w14:val="standardContextual"/>
              </w:rPr>
            </w:pPr>
            <w:r w:rsidRPr="0073650A">
              <w:rPr>
                <w:rFonts w:ascii="Arial Narrow" w:eastAsia="Aptos" w:hAnsi="Arial Narrow"/>
                <w:color w:val="000000" w:themeColor="text1"/>
                <w:kern w:val="2"/>
                <w:sz w:val="20"/>
                <w:szCs w:val="20"/>
                <w:lang w:eastAsia="en-US"/>
                <w14:ligatures w14:val="standardContextual"/>
              </w:rPr>
              <w:t>Dupixent</w:t>
            </w:r>
            <w:r w:rsidRPr="0073650A">
              <w:rPr>
                <w:rFonts w:ascii="Arial Narrow" w:eastAsia="Aptos" w:hAnsi="Arial Narrow"/>
                <w:color w:val="000000" w:themeColor="text1"/>
                <w:kern w:val="2"/>
                <w:sz w:val="20"/>
                <w:szCs w:val="20"/>
                <w:vertAlign w:val="superscript"/>
                <w:lang w:eastAsia="en-US"/>
                <w14:ligatures w14:val="standardContextual"/>
              </w:rPr>
              <w:t>®</w:t>
            </w:r>
          </w:p>
        </w:tc>
      </w:tr>
      <w:tr w:rsidR="00451864" w:rsidRPr="0073650A" w14:paraId="5ECB7CC9" w14:textId="77777777" w:rsidTr="00D04D9E">
        <w:trPr>
          <w:cantSplit/>
          <w:trHeight w:val="329"/>
        </w:trPr>
        <w:tc>
          <w:tcPr>
            <w:tcW w:w="9356" w:type="dxa"/>
            <w:gridSpan w:val="6"/>
          </w:tcPr>
          <w:p w14:paraId="0EA804C4" w14:textId="77777777" w:rsidR="00451864" w:rsidRPr="0073650A" w:rsidRDefault="00451864">
            <w:pPr>
              <w:spacing w:line="259" w:lineRule="auto"/>
              <w:ind w:left="-57"/>
              <w:rPr>
                <w:rFonts w:ascii="Arial Narrow" w:eastAsia="Aptos" w:hAnsi="Arial Narrow"/>
                <w:color w:val="000000" w:themeColor="text1"/>
                <w:kern w:val="2"/>
                <w:sz w:val="20"/>
                <w:szCs w:val="20"/>
                <w:lang w:eastAsia="en-US"/>
                <w14:ligatures w14:val="standardContextual"/>
              </w:rPr>
            </w:pPr>
          </w:p>
        </w:tc>
      </w:tr>
      <w:tr w:rsidR="0082678D" w:rsidRPr="0073650A" w14:paraId="7874B56B" w14:textId="77777777" w:rsidTr="0082678D">
        <w:tblPrEx>
          <w:tblCellMar>
            <w:top w:w="15" w:type="dxa"/>
            <w:left w:w="15" w:type="dxa"/>
            <w:bottom w:w="15" w:type="dxa"/>
            <w:right w:w="15" w:type="dxa"/>
          </w:tblCellMar>
          <w:tblLook w:val="04A0" w:firstRow="1" w:lastRow="0" w:firstColumn="1" w:lastColumn="0" w:noHBand="0" w:noVBand="1"/>
        </w:tblPrEx>
        <w:tc>
          <w:tcPr>
            <w:tcW w:w="9356" w:type="dxa"/>
            <w:gridSpan w:val="6"/>
            <w:vAlign w:val="center"/>
            <w:hideMark/>
          </w:tcPr>
          <w:p w14:paraId="3C89404E" w14:textId="77777777" w:rsidR="0082678D" w:rsidRPr="0073650A" w:rsidRDefault="0082678D">
            <w:pPr>
              <w:spacing w:line="259" w:lineRule="auto"/>
              <w:jc w:val="left"/>
              <w:rPr>
                <w:rFonts w:ascii="Arial Narrow" w:hAnsi="Arial Narrow" w:cs="Times New Roman"/>
                <w:color w:val="000000" w:themeColor="text1"/>
                <w:kern w:val="2"/>
                <w:sz w:val="20"/>
                <w:szCs w:val="20"/>
                <w14:ligatures w14:val="standardContextual"/>
              </w:rPr>
            </w:pPr>
            <w:r w:rsidRPr="0073650A">
              <w:rPr>
                <w:rFonts w:ascii="Arial Narrow" w:eastAsia="Aptos" w:hAnsi="Arial Narrow"/>
                <w:b/>
                <w:color w:val="000000" w:themeColor="text1"/>
                <w:kern w:val="2"/>
                <w:sz w:val="20"/>
                <w:szCs w:val="20"/>
                <w:lang w:eastAsia="en-US"/>
                <w14:ligatures w14:val="standardContextual"/>
              </w:rPr>
              <w:t>Category / Program:</w:t>
            </w:r>
            <w:r w:rsidRPr="0073650A">
              <w:rPr>
                <w:rFonts w:ascii="Arial Narrow" w:eastAsia="Aptos" w:hAnsi="Arial Narrow"/>
                <w:color w:val="000000" w:themeColor="text1"/>
                <w:kern w:val="2"/>
                <w:sz w:val="20"/>
                <w:szCs w:val="20"/>
                <w:lang w:eastAsia="en-US"/>
                <w14:ligatures w14:val="standardContextual"/>
              </w:rPr>
              <w:t xml:space="preserve"> </w:t>
            </w:r>
            <w:r w:rsidRPr="0073650A">
              <w:rPr>
                <w:rFonts w:ascii="Arial Narrow" w:eastAsia="Calibri" w:hAnsi="Arial Narrow"/>
                <w:color w:val="000000" w:themeColor="text1"/>
                <w:kern w:val="2"/>
                <w:sz w:val="20"/>
                <w:szCs w:val="20"/>
                <w:lang w:eastAsia="en-US"/>
                <w14:ligatures w14:val="standardContextual"/>
              </w:rPr>
              <w:fldChar w:fldCharType="begin">
                <w:ffData>
                  <w:name w:val=""/>
                  <w:enabled/>
                  <w:calcOnExit w:val="0"/>
                  <w:checkBox>
                    <w:sizeAuto/>
                    <w:default w:val="1"/>
                  </w:checkBox>
                </w:ffData>
              </w:fldChar>
            </w:r>
            <w:r w:rsidRPr="0073650A">
              <w:rPr>
                <w:rFonts w:ascii="Arial Narrow" w:eastAsia="Calibri" w:hAnsi="Arial Narrow"/>
                <w:color w:val="000000" w:themeColor="text1"/>
                <w:kern w:val="2"/>
                <w:sz w:val="20"/>
                <w:szCs w:val="20"/>
                <w:lang w:eastAsia="en-US"/>
                <w14:ligatures w14:val="standardContextual"/>
              </w:rPr>
              <w:instrText xml:space="preserve"> FORMCHECKBOX </w:instrText>
            </w:r>
            <w:r w:rsidRPr="0073650A">
              <w:rPr>
                <w:rFonts w:ascii="Arial Narrow" w:eastAsia="Calibri" w:hAnsi="Arial Narrow"/>
                <w:color w:val="000000" w:themeColor="text1"/>
                <w:kern w:val="2"/>
                <w:sz w:val="20"/>
                <w:szCs w:val="20"/>
                <w:lang w:eastAsia="en-US"/>
                <w14:ligatures w14:val="standardContextual"/>
              </w:rPr>
            </w:r>
            <w:r w:rsidRPr="0073650A">
              <w:rPr>
                <w:rFonts w:ascii="Arial Narrow" w:eastAsia="Calibri" w:hAnsi="Arial Narrow"/>
                <w:color w:val="000000" w:themeColor="text1"/>
                <w:kern w:val="2"/>
                <w:sz w:val="20"/>
                <w:szCs w:val="20"/>
                <w:lang w:eastAsia="en-US"/>
                <w14:ligatures w14:val="standardContextual"/>
              </w:rPr>
              <w:fldChar w:fldCharType="separate"/>
            </w:r>
            <w:r w:rsidRPr="0073650A">
              <w:rPr>
                <w:rFonts w:ascii="Arial Narrow" w:eastAsia="Calibri" w:hAnsi="Arial Narrow"/>
                <w:color w:val="000000" w:themeColor="text1"/>
                <w:kern w:val="2"/>
                <w:sz w:val="20"/>
                <w:szCs w:val="20"/>
                <w:lang w:eastAsia="en-US"/>
                <w14:ligatures w14:val="standardContextual"/>
              </w:rPr>
              <w:fldChar w:fldCharType="end"/>
            </w:r>
            <w:r w:rsidRPr="0073650A">
              <w:rPr>
                <w:rFonts w:ascii="Arial Narrow" w:eastAsia="Calibri" w:hAnsi="Arial Narrow"/>
                <w:color w:val="000000" w:themeColor="text1"/>
                <w:kern w:val="2"/>
                <w:sz w:val="20"/>
                <w:szCs w:val="20"/>
                <w:lang w:eastAsia="en-US"/>
                <w14:ligatures w14:val="standardContextual"/>
              </w:rPr>
              <w:t xml:space="preserve"> </w:t>
            </w:r>
            <w:r w:rsidRPr="0073650A">
              <w:rPr>
                <w:rFonts w:ascii="Arial Narrow" w:eastAsia="Calibri" w:hAnsi="Arial Narrow" w:cs="Times New Roman"/>
                <w:color w:val="000000" w:themeColor="text1"/>
                <w:kern w:val="2"/>
                <w:sz w:val="20"/>
                <w:szCs w:val="20"/>
                <w:lang w:eastAsia="en-US"/>
                <w14:ligatures w14:val="standardContextual"/>
              </w:rPr>
              <w:t>Section 100 – Highly Specialised Drugs Program – Public (Code HB) / Private (Code HS)</w:t>
            </w:r>
          </w:p>
        </w:tc>
      </w:tr>
      <w:tr w:rsidR="0082678D" w:rsidRPr="0073650A" w14:paraId="04079754" w14:textId="77777777" w:rsidTr="0082678D">
        <w:tblPrEx>
          <w:tblCellMar>
            <w:top w:w="15" w:type="dxa"/>
            <w:left w:w="15" w:type="dxa"/>
            <w:bottom w:w="15" w:type="dxa"/>
            <w:right w:w="15" w:type="dxa"/>
          </w:tblCellMar>
          <w:tblLook w:val="04A0" w:firstRow="1" w:lastRow="0" w:firstColumn="1" w:lastColumn="0" w:noHBand="0" w:noVBand="1"/>
        </w:tblPrEx>
        <w:tc>
          <w:tcPr>
            <w:tcW w:w="9356" w:type="dxa"/>
            <w:gridSpan w:val="6"/>
            <w:vAlign w:val="center"/>
          </w:tcPr>
          <w:p w14:paraId="0AE4BBDC" w14:textId="77777777" w:rsidR="0082678D" w:rsidRPr="0073650A" w:rsidRDefault="0082678D">
            <w:pPr>
              <w:spacing w:line="259" w:lineRule="auto"/>
              <w:jc w:val="left"/>
              <w:rPr>
                <w:rFonts w:ascii="Arial Narrow" w:hAnsi="Arial Narrow" w:cs="Times New Roman"/>
                <w:b/>
                <w:bCs/>
                <w:color w:val="000000" w:themeColor="text1"/>
                <w:kern w:val="2"/>
                <w:sz w:val="20"/>
                <w:szCs w:val="20"/>
                <w14:ligatures w14:val="standardContextual"/>
              </w:rPr>
            </w:pPr>
            <w:r w:rsidRPr="0073650A">
              <w:rPr>
                <w:rFonts w:ascii="Arial Narrow" w:eastAsia="Aptos" w:hAnsi="Arial Narrow"/>
                <w:b/>
                <w:color w:val="000000" w:themeColor="text1"/>
                <w:kern w:val="2"/>
                <w:sz w:val="20"/>
                <w:szCs w:val="20"/>
                <w:lang w:eastAsia="en-US"/>
                <w14:ligatures w14:val="standardContextual"/>
              </w:rPr>
              <w:t>Prescriber type:</w:t>
            </w:r>
            <w:r w:rsidRPr="0073650A">
              <w:rPr>
                <w:rFonts w:ascii="Arial Narrow" w:eastAsia="Aptos" w:hAnsi="Arial Narrow"/>
                <w:color w:val="000000" w:themeColor="text1"/>
                <w:kern w:val="2"/>
                <w:sz w:val="20"/>
                <w:szCs w:val="20"/>
                <w:lang w:eastAsia="en-US"/>
                <w14:ligatures w14:val="standardContextual"/>
              </w:rPr>
              <w:t xml:space="preserve"> </w:t>
            </w:r>
            <w:r w:rsidRPr="0073650A">
              <w:rPr>
                <w:rFonts w:ascii="Arial Narrow" w:eastAsia="Aptos" w:hAnsi="Arial Narrow"/>
                <w:color w:val="000000" w:themeColor="text1"/>
                <w:kern w:val="2"/>
                <w:sz w:val="20"/>
                <w:szCs w:val="20"/>
                <w:lang w:eastAsia="en-US"/>
                <w14:ligatures w14:val="standardContextual"/>
              </w:rPr>
              <w:fldChar w:fldCharType="begin">
                <w:ffData>
                  <w:name w:val=""/>
                  <w:enabled/>
                  <w:calcOnExit w:val="0"/>
                  <w:checkBox>
                    <w:sizeAuto/>
                    <w:default w:val="1"/>
                  </w:checkBox>
                </w:ffData>
              </w:fldChar>
            </w:r>
            <w:r w:rsidRPr="0073650A">
              <w:rPr>
                <w:rFonts w:ascii="Arial Narrow" w:eastAsia="Aptos" w:hAnsi="Arial Narrow"/>
                <w:color w:val="000000" w:themeColor="text1"/>
                <w:kern w:val="2"/>
                <w:sz w:val="20"/>
                <w:szCs w:val="20"/>
                <w:lang w:eastAsia="en-US"/>
                <w14:ligatures w14:val="standardContextual"/>
              </w:rPr>
              <w:instrText xml:space="preserve"> FORMCHECKBOX </w:instrText>
            </w:r>
            <w:r w:rsidRPr="0073650A">
              <w:rPr>
                <w:rFonts w:ascii="Arial Narrow" w:eastAsia="Aptos" w:hAnsi="Arial Narrow"/>
                <w:color w:val="000000" w:themeColor="text1"/>
                <w:kern w:val="2"/>
                <w:sz w:val="20"/>
                <w:szCs w:val="20"/>
                <w:lang w:eastAsia="en-US"/>
                <w14:ligatures w14:val="standardContextual"/>
              </w:rPr>
            </w:r>
            <w:r w:rsidRPr="0073650A">
              <w:rPr>
                <w:rFonts w:ascii="Arial Narrow" w:eastAsia="Aptos" w:hAnsi="Arial Narrow"/>
                <w:color w:val="000000" w:themeColor="text1"/>
                <w:kern w:val="2"/>
                <w:sz w:val="20"/>
                <w:szCs w:val="20"/>
                <w:lang w:eastAsia="en-US"/>
                <w14:ligatures w14:val="standardContextual"/>
              </w:rPr>
              <w:fldChar w:fldCharType="separate"/>
            </w:r>
            <w:r w:rsidRPr="0073650A">
              <w:rPr>
                <w:rFonts w:ascii="Arial Narrow" w:eastAsia="Aptos" w:hAnsi="Arial Narrow"/>
                <w:color w:val="000000" w:themeColor="text1"/>
                <w:kern w:val="2"/>
                <w:sz w:val="20"/>
                <w:szCs w:val="20"/>
                <w:lang w:eastAsia="en-US"/>
                <w14:ligatures w14:val="standardContextual"/>
              </w:rPr>
              <w:fldChar w:fldCharType="end"/>
            </w:r>
            <w:r w:rsidRPr="0073650A">
              <w:rPr>
                <w:rFonts w:ascii="Arial Narrow" w:eastAsia="Aptos" w:hAnsi="Arial Narrow"/>
                <w:color w:val="000000" w:themeColor="text1"/>
                <w:kern w:val="2"/>
                <w:sz w:val="20"/>
                <w:szCs w:val="20"/>
                <w:lang w:eastAsia="en-US"/>
                <w14:ligatures w14:val="standardContextual"/>
              </w:rPr>
              <w:t>Medical Practitioners</w:t>
            </w:r>
          </w:p>
        </w:tc>
      </w:tr>
      <w:tr w:rsidR="0082678D" w:rsidRPr="0073650A" w14:paraId="5DCC1747" w14:textId="77777777" w:rsidTr="0082678D">
        <w:tblPrEx>
          <w:tblCellMar>
            <w:top w:w="15" w:type="dxa"/>
            <w:left w:w="15" w:type="dxa"/>
            <w:bottom w:w="15" w:type="dxa"/>
            <w:right w:w="15" w:type="dxa"/>
          </w:tblCellMar>
          <w:tblLook w:val="04A0" w:firstRow="1" w:lastRow="0" w:firstColumn="1" w:lastColumn="0" w:noHBand="0" w:noVBand="1"/>
        </w:tblPrEx>
        <w:tc>
          <w:tcPr>
            <w:tcW w:w="9356" w:type="dxa"/>
            <w:gridSpan w:val="6"/>
            <w:vAlign w:val="center"/>
            <w:hideMark/>
          </w:tcPr>
          <w:p w14:paraId="239D1F72" w14:textId="77777777" w:rsidR="0082678D" w:rsidRPr="0073650A" w:rsidRDefault="0082678D">
            <w:pPr>
              <w:spacing w:line="259" w:lineRule="auto"/>
              <w:jc w:val="left"/>
              <w:rPr>
                <w:rFonts w:ascii="Arial Narrow" w:hAnsi="Arial Narrow" w:cs="Times New Roman"/>
                <w:color w:val="000000" w:themeColor="text1"/>
                <w:kern w:val="2"/>
                <w:sz w:val="20"/>
                <w:szCs w:val="20"/>
                <w14:ligatures w14:val="standardContextual"/>
              </w:rPr>
            </w:pPr>
            <w:r w:rsidRPr="0073650A">
              <w:rPr>
                <w:rFonts w:ascii="Arial Narrow" w:eastAsia="Aptos" w:hAnsi="Arial Narrow"/>
                <w:b/>
                <w:color w:val="000000" w:themeColor="text1"/>
                <w:kern w:val="2"/>
                <w:sz w:val="20"/>
                <w:szCs w:val="20"/>
                <w:lang w:eastAsia="en-US"/>
                <w14:ligatures w14:val="standardContextual"/>
              </w:rPr>
              <w:t xml:space="preserve">Restriction type: </w:t>
            </w:r>
            <w:r w:rsidRPr="0073650A">
              <w:rPr>
                <w:rFonts w:ascii="Arial Narrow" w:eastAsia="Calibri" w:hAnsi="Arial Narrow"/>
                <w:color w:val="000000" w:themeColor="text1"/>
                <w:kern w:val="2"/>
                <w:sz w:val="20"/>
                <w:szCs w:val="20"/>
                <w:lang w:eastAsia="en-US"/>
                <w14:ligatures w14:val="standardContextual"/>
              </w:rPr>
              <w:fldChar w:fldCharType="begin">
                <w:ffData>
                  <w:name w:val=""/>
                  <w:enabled/>
                  <w:calcOnExit w:val="0"/>
                  <w:checkBox>
                    <w:sizeAuto/>
                    <w:default w:val="1"/>
                  </w:checkBox>
                </w:ffData>
              </w:fldChar>
            </w:r>
            <w:r w:rsidRPr="0073650A">
              <w:rPr>
                <w:rFonts w:ascii="Arial Narrow" w:eastAsia="Calibri" w:hAnsi="Arial Narrow"/>
                <w:color w:val="000000" w:themeColor="text1"/>
                <w:kern w:val="2"/>
                <w:sz w:val="20"/>
                <w:szCs w:val="20"/>
                <w:lang w:eastAsia="en-US"/>
                <w14:ligatures w14:val="standardContextual"/>
              </w:rPr>
              <w:instrText xml:space="preserve"> FORMCHECKBOX </w:instrText>
            </w:r>
            <w:r w:rsidRPr="0073650A">
              <w:rPr>
                <w:rFonts w:ascii="Arial Narrow" w:eastAsia="Calibri" w:hAnsi="Arial Narrow"/>
                <w:color w:val="000000" w:themeColor="text1"/>
                <w:kern w:val="2"/>
                <w:sz w:val="20"/>
                <w:szCs w:val="20"/>
                <w:lang w:eastAsia="en-US"/>
                <w14:ligatures w14:val="standardContextual"/>
              </w:rPr>
            </w:r>
            <w:r w:rsidRPr="0073650A">
              <w:rPr>
                <w:rFonts w:ascii="Arial Narrow" w:eastAsia="Calibri" w:hAnsi="Arial Narrow"/>
                <w:color w:val="000000" w:themeColor="text1"/>
                <w:kern w:val="2"/>
                <w:sz w:val="20"/>
                <w:szCs w:val="20"/>
                <w:lang w:eastAsia="en-US"/>
                <w14:ligatures w14:val="standardContextual"/>
              </w:rPr>
              <w:fldChar w:fldCharType="separate"/>
            </w:r>
            <w:r w:rsidRPr="0073650A">
              <w:rPr>
                <w:rFonts w:ascii="Arial Narrow" w:eastAsia="Calibri" w:hAnsi="Arial Narrow"/>
                <w:color w:val="000000" w:themeColor="text1"/>
                <w:kern w:val="2"/>
                <w:sz w:val="20"/>
                <w:szCs w:val="20"/>
                <w:lang w:eastAsia="en-US"/>
                <w14:ligatures w14:val="standardContextual"/>
              </w:rPr>
              <w:fldChar w:fldCharType="end"/>
            </w:r>
            <w:r w:rsidRPr="0073650A">
              <w:rPr>
                <w:rFonts w:ascii="Arial Narrow" w:eastAsia="Calibri" w:hAnsi="Arial Narrow"/>
                <w:color w:val="000000" w:themeColor="text1"/>
                <w:kern w:val="2"/>
                <w:sz w:val="20"/>
                <w:szCs w:val="20"/>
                <w14:ligatures w14:val="standardContextual"/>
              </w:rPr>
              <w:t xml:space="preserve"> Authority Required (FULL assessment) in writing only via OPA/post/HPOS upload</w:t>
            </w:r>
          </w:p>
        </w:tc>
      </w:tr>
      <w:tr w:rsidR="0082678D" w:rsidRPr="0073650A" w14:paraId="06AF35F4" w14:textId="77777777" w:rsidTr="0082678D">
        <w:tblPrEx>
          <w:tblCellMar>
            <w:top w:w="15" w:type="dxa"/>
            <w:left w:w="15" w:type="dxa"/>
            <w:bottom w:w="15" w:type="dxa"/>
            <w:right w:w="15" w:type="dxa"/>
          </w:tblCellMar>
          <w:tblLook w:val="04A0" w:firstRow="1" w:lastRow="0" w:firstColumn="1" w:lastColumn="0" w:noHBand="0" w:noVBand="1"/>
        </w:tblPrEx>
        <w:tc>
          <w:tcPr>
            <w:tcW w:w="9356" w:type="dxa"/>
            <w:gridSpan w:val="6"/>
            <w:vAlign w:val="center"/>
          </w:tcPr>
          <w:p w14:paraId="6CBC1645" w14:textId="77777777" w:rsidR="0082678D" w:rsidRPr="0073650A" w:rsidRDefault="0082678D">
            <w:pPr>
              <w:spacing w:line="259" w:lineRule="auto"/>
              <w:jc w:val="left"/>
              <w:rPr>
                <w:rFonts w:ascii="Arial Narrow" w:eastAsia="Aptos" w:hAnsi="Arial Narrow"/>
                <w:b/>
                <w:color w:val="000000" w:themeColor="text1"/>
                <w:kern w:val="2"/>
                <w:sz w:val="20"/>
                <w:szCs w:val="20"/>
                <w:lang w:eastAsia="en-US"/>
                <w14:ligatures w14:val="standardContextual"/>
              </w:rPr>
            </w:pPr>
            <w:r w:rsidRPr="0073650A">
              <w:rPr>
                <w:rFonts w:ascii="Arial Narrow" w:eastAsia="Aptos" w:hAnsi="Arial Narrow"/>
                <w:b/>
                <w:color w:val="000000" w:themeColor="text1"/>
                <w:kern w:val="2"/>
                <w:sz w:val="20"/>
                <w:szCs w:val="20"/>
                <w:lang w:eastAsia="en-US"/>
                <w14:ligatures w14:val="standardContextual"/>
              </w:rPr>
              <w:t xml:space="preserve">Authority type: </w:t>
            </w:r>
            <w:r w:rsidRPr="0073650A">
              <w:rPr>
                <w:rFonts w:ascii="Arial Narrow" w:eastAsia="Aptos" w:hAnsi="Arial Narrow"/>
                <w:bCs/>
                <w:color w:val="000000" w:themeColor="text1"/>
                <w:kern w:val="2"/>
                <w:sz w:val="20"/>
                <w:szCs w:val="20"/>
                <w:lang w:eastAsia="en-US"/>
                <w14:ligatures w14:val="standardContextual"/>
              </w:rPr>
              <w:fldChar w:fldCharType="begin">
                <w:ffData>
                  <w:name w:val=""/>
                  <w:enabled/>
                  <w:calcOnExit w:val="0"/>
                  <w:checkBox>
                    <w:sizeAuto/>
                    <w:default w:val="1"/>
                  </w:checkBox>
                </w:ffData>
              </w:fldChar>
            </w:r>
            <w:r w:rsidRPr="0073650A">
              <w:rPr>
                <w:rFonts w:ascii="Arial Narrow" w:eastAsia="Aptos" w:hAnsi="Arial Narrow"/>
                <w:bCs/>
                <w:color w:val="000000" w:themeColor="text1"/>
                <w:kern w:val="2"/>
                <w:sz w:val="20"/>
                <w:szCs w:val="20"/>
                <w:lang w:eastAsia="en-US"/>
                <w14:ligatures w14:val="standardContextual"/>
              </w:rPr>
              <w:instrText xml:space="preserve"> FORMCHECKBOX </w:instrText>
            </w:r>
            <w:r w:rsidRPr="0073650A">
              <w:rPr>
                <w:rFonts w:ascii="Arial Narrow" w:eastAsia="Aptos" w:hAnsi="Arial Narrow"/>
                <w:bCs/>
                <w:color w:val="000000" w:themeColor="text1"/>
                <w:kern w:val="2"/>
                <w:sz w:val="20"/>
                <w:szCs w:val="20"/>
                <w:lang w:eastAsia="en-US"/>
                <w14:ligatures w14:val="standardContextual"/>
              </w:rPr>
            </w:r>
            <w:r w:rsidRPr="0073650A">
              <w:rPr>
                <w:rFonts w:ascii="Arial Narrow" w:eastAsia="Aptos" w:hAnsi="Arial Narrow"/>
                <w:bCs/>
                <w:color w:val="000000" w:themeColor="text1"/>
                <w:kern w:val="2"/>
                <w:sz w:val="20"/>
                <w:szCs w:val="20"/>
                <w:lang w:eastAsia="en-US"/>
                <w14:ligatures w14:val="standardContextual"/>
              </w:rPr>
              <w:fldChar w:fldCharType="separate"/>
            </w:r>
            <w:r w:rsidRPr="0073650A">
              <w:rPr>
                <w:rFonts w:ascii="Arial Narrow" w:eastAsia="Aptos" w:hAnsi="Arial Narrow"/>
                <w:bCs/>
                <w:color w:val="000000" w:themeColor="text1"/>
                <w:kern w:val="2"/>
                <w:sz w:val="20"/>
                <w:szCs w:val="20"/>
                <w:lang w:eastAsia="en-US"/>
                <w14:ligatures w14:val="standardContextual"/>
              </w:rPr>
              <w:fldChar w:fldCharType="end"/>
            </w:r>
            <w:r w:rsidRPr="0073650A">
              <w:rPr>
                <w:rFonts w:ascii="Arial Narrow" w:eastAsia="Aptos" w:hAnsi="Arial Narrow"/>
                <w:bCs/>
                <w:color w:val="000000" w:themeColor="text1"/>
                <w:kern w:val="2"/>
                <w:sz w:val="20"/>
                <w:szCs w:val="20"/>
                <w:lang w:eastAsia="en-US"/>
                <w14:ligatures w14:val="standardContextual"/>
              </w:rPr>
              <w:t xml:space="preserve"> Complex Authority Required (CAR)</w:t>
            </w:r>
          </w:p>
        </w:tc>
      </w:tr>
      <w:tr w:rsidR="0082678D" w:rsidRPr="0073650A" w14:paraId="14945712" w14:textId="77777777" w:rsidTr="0082678D">
        <w:tblPrEx>
          <w:tblCellMar>
            <w:top w:w="15" w:type="dxa"/>
            <w:left w:w="15" w:type="dxa"/>
            <w:bottom w:w="15" w:type="dxa"/>
            <w:right w:w="15" w:type="dxa"/>
          </w:tblCellMar>
          <w:tblLook w:val="04A0" w:firstRow="1" w:lastRow="0" w:firstColumn="1" w:lastColumn="0" w:noHBand="0" w:noVBand="1"/>
        </w:tblPrEx>
        <w:tc>
          <w:tcPr>
            <w:tcW w:w="9356" w:type="dxa"/>
            <w:gridSpan w:val="6"/>
            <w:vAlign w:val="center"/>
          </w:tcPr>
          <w:p w14:paraId="01C24316" w14:textId="77777777" w:rsidR="0082678D" w:rsidRPr="0073650A" w:rsidRDefault="0082678D">
            <w:pPr>
              <w:spacing w:line="259" w:lineRule="auto"/>
              <w:jc w:val="left"/>
              <w:rPr>
                <w:rFonts w:ascii="Arial Narrow" w:hAnsi="Arial Narrow" w:cs="Times New Roman"/>
                <w:b/>
                <w:bCs/>
                <w:color w:val="000000" w:themeColor="text1"/>
                <w:kern w:val="2"/>
                <w:sz w:val="20"/>
                <w:szCs w:val="20"/>
                <w14:ligatures w14:val="standardContextual"/>
              </w:rPr>
            </w:pPr>
            <w:r w:rsidRPr="0073650A">
              <w:rPr>
                <w:rFonts w:ascii="Arial Narrow" w:hAnsi="Arial Narrow" w:cs="Times New Roman"/>
                <w:b/>
                <w:bCs/>
                <w:color w:val="000000" w:themeColor="text1"/>
                <w:kern w:val="2"/>
                <w:sz w:val="20"/>
                <w:szCs w:val="20"/>
                <w14:ligatures w14:val="standardContextual"/>
              </w:rPr>
              <w:t xml:space="preserve">Administrative Advice: </w:t>
            </w:r>
            <w:r w:rsidRPr="0073650A">
              <w:rPr>
                <w:rFonts w:ascii="Arial Narrow" w:hAnsi="Arial Narrow" w:cs="Times New Roman"/>
                <w:color w:val="000000" w:themeColor="text1"/>
                <w:kern w:val="2"/>
                <w:sz w:val="20"/>
                <w:szCs w:val="20"/>
                <w14:ligatures w14:val="standardContextual"/>
              </w:rPr>
              <w:t>No increase in the maximum quantity or number of units may be authorised</w:t>
            </w:r>
          </w:p>
        </w:tc>
      </w:tr>
      <w:tr w:rsidR="0082678D" w:rsidRPr="0073650A" w14:paraId="5AB0E60D" w14:textId="77777777" w:rsidTr="0082678D">
        <w:tblPrEx>
          <w:tblCellMar>
            <w:top w:w="15" w:type="dxa"/>
            <w:left w:w="15" w:type="dxa"/>
            <w:bottom w:w="15" w:type="dxa"/>
            <w:right w:w="15" w:type="dxa"/>
          </w:tblCellMar>
          <w:tblLook w:val="04A0" w:firstRow="1" w:lastRow="0" w:firstColumn="1" w:lastColumn="0" w:noHBand="0" w:noVBand="1"/>
        </w:tblPrEx>
        <w:tc>
          <w:tcPr>
            <w:tcW w:w="9356" w:type="dxa"/>
            <w:gridSpan w:val="6"/>
            <w:vAlign w:val="center"/>
          </w:tcPr>
          <w:p w14:paraId="235DA5DD" w14:textId="77777777" w:rsidR="0082678D" w:rsidRPr="0073650A" w:rsidRDefault="0082678D">
            <w:pPr>
              <w:spacing w:line="259" w:lineRule="auto"/>
              <w:jc w:val="left"/>
              <w:rPr>
                <w:rFonts w:ascii="Arial Narrow" w:hAnsi="Arial Narrow" w:cs="Times New Roman"/>
                <w:b/>
                <w:bCs/>
                <w:color w:val="000000" w:themeColor="text1"/>
                <w:kern w:val="2"/>
                <w:sz w:val="20"/>
                <w:szCs w:val="20"/>
                <w14:ligatures w14:val="standardContextual"/>
              </w:rPr>
            </w:pPr>
            <w:r w:rsidRPr="0073650A">
              <w:rPr>
                <w:rFonts w:ascii="Arial Narrow" w:hAnsi="Arial Narrow" w:cs="Times New Roman"/>
                <w:b/>
                <w:bCs/>
                <w:color w:val="000000" w:themeColor="text1"/>
                <w:kern w:val="2"/>
                <w:sz w:val="20"/>
                <w:szCs w:val="20"/>
                <w14:ligatures w14:val="standardContextual"/>
              </w:rPr>
              <w:t xml:space="preserve">Administrative Advice: </w:t>
            </w:r>
            <w:r w:rsidRPr="0073650A">
              <w:rPr>
                <w:rFonts w:ascii="Arial Narrow" w:hAnsi="Arial Narrow" w:cs="Times New Roman"/>
                <w:color w:val="000000" w:themeColor="text1"/>
                <w:kern w:val="2"/>
                <w:sz w:val="20"/>
                <w:szCs w:val="20"/>
                <w14:ligatures w14:val="standardContextual"/>
              </w:rPr>
              <w:t>No increase in the maximum number of repeats may be authorised</w:t>
            </w:r>
          </w:p>
        </w:tc>
      </w:tr>
      <w:tr w:rsidR="0082678D" w:rsidRPr="0073650A" w14:paraId="7CCC03B1" w14:textId="77777777" w:rsidTr="0082678D">
        <w:tblPrEx>
          <w:tblCellMar>
            <w:top w:w="15" w:type="dxa"/>
            <w:left w:w="15" w:type="dxa"/>
            <w:bottom w:w="15" w:type="dxa"/>
            <w:right w:w="15" w:type="dxa"/>
          </w:tblCellMar>
          <w:tblLook w:val="04A0" w:firstRow="1" w:lastRow="0" w:firstColumn="1" w:lastColumn="0" w:noHBand="0" w:noVBand="1"/>
        </w:tblPrEx>
        <w:tc>
          <w:tcPr>
            <w:tcW w:w="9356" w:type="dxa"/>
            <w:gridSpan w:val="6"/>
            <w:vAlign w:val="center"/>
          </w:tcPr>
          <w:p w14:paraId="6FE9F0E9" w14:textId="77777777" w:rsidR="0082678D" w:rsidRPr="0073650A" w:rsidRDefault="0082678D">
            <w:pPr>
              <w:spacing w:line="259" w:lineRule="auto"/>
              <w:jc w:val="left"/>
              <w:rPr>
                <w:rFonts w:ascii="Arial Narrow" w:hAnsi="Arial Narrow" w:cs="Times New Roman"/>
                <w:b/>
                <w:bCs/>
                <w:color w:val="000000" w:themeColor="text1"/>
                <w:kern w:val="2"/>
                <w:sz w:val="20"/>
                <w:szCs w:val="20"/>
                <w14:ligatures w14:val="standardContextual"/>
              </w:rPr>
            </w:pPr>
            <w:r w:rsidRPr="0073650A">
              <w:rPr>
                <w:rFonts w:ascii="Arial Narrow" w:hAnsi="Arial Narrow" w:cs="Times New Roman"/>
                <w:b/>
                <w:bCs/>
                <w:color w:val="000000" w:themeColor="text1"/>
                <w:kern w:val="2"/>
                <w:sz w:val="20"/>
                <w:szCs w:val="20"/>
                <w14:ligatures w14:val="standardContextual"/>
              </w:rPr>
              <w:t>Administrative Advice:</w:t>
            </w:r>
            <w:r w:rsidRPr="0073650A">
              <w:rPr>
                <w:rFonts w:ascii="Arial Narrow" w:hAnsi="Arial Narrow" w:cs="Times New Roman"/>
                <w:color w:val="000000" w:themeColor="text1"/>
                <w:kern w:val="2"/>
                <w:sz w:val="20"/>
                <w:szCs w:val="20"/>
                <w14:ligatures w14:val="standardContextual"/>
              </w:rPr>
              <w:t xml:space="preserve"> Special Pricing Arrangements apply</w:t>
            </w:r>
          </w:p>
        </w:tc>
      </w:tr>
      <w:tr w:rsidR="0082678D" w:rsidRPr="0073650A" w14:paraId="26BFD06F" w14:textId="77777777" w:rsidTr="0082678D">
        <w:tblPrEx>
          <w:tblCellMar>
            <w:top w:w="15" w:type="dxa"/>
            <w:left w:w="15" w:type="dxa"/>
            <w:bottom w:w="15" w:type="dxa"/>
            <w:right w:w="15" w:type="dxa"/>
          </w:tblCellMar>
          <w:tblLook w:val="04A0" w:firstRow="1" w:lastRow="0" w:firstColumn="1" w:lastColumn="0" w:noHBand="0" w:noVBand="1"/>
        </w:tblPrEx>
        <w:tc>
          <w:tcPr>
            <w:tcW w:w="9356" w:type="dxa"/>
            <w:gridSpan w:val="6"/>
            <w:vAlign w:val="center"/>
          </w:tcPr>
          <w:p w14:paraId="361E9E23" w14:textId="77777777" w:rsidR="0082678D" w:rsidRPr="000B663B" w:rsidRDefault="0082678D" w:rsidP="000B663B">
            <w:pPr>
              <w:rPr>
                <w:rFonts w:ascii="Arial Narrow" w:hAnsi="Arial Narrow"/>
                <w:color w:val="000000" w:themeColor="text1"/>
                <w:sz w:val="20"/>
                <w:szCs w:val="20"/>
              </w:rPr>
            </w:pPr>
            <w:r w:rsidRPr="000B663B">
              <w:rPr>
                <w:rFonts w:ascii="Arial Narrow" w:hAnsi="Arial Narrow"/>
                <w:b/>
                <w:bCs/>
                <w:color w:val="000000" w:themeColor="text1"/>
                <w:sz w:val="20"/>
                <w:szCs w:val="20"/>
              </w:rPr>
              <w:t xml:space="preserve">Administrative Advice: </w:t>
            </w:r>
            <w:r w:rsidRPr="000B663B">
              <w:rPr>
                <w:rFonts w:ascii="Arial Narrow" w:hAnsi="Arial Narrow"/>
                <w:color w:val="000000" w:themeColor="text1"/>
                <w:sz w:val="20"/>
                <w:szCs w:val="20"/>
              </w:rPr>
              <w:t>Any queries concerning the arrangements to prescribe may be directed to Services Australia on 1800 700 270 (hours of operation 8 a.m. to 5 p.m. Monday to Friday).</w:t>
            </w:r>
          </w:p>
          <w:p w14:paraId="4FA568C0" w14:textId="77777777" w:rsidR="0082678D" w:rsidRPr="000B663B" w:rsidRDefault="0082678D" w:rsidP="000B663B">
            <w:pPr>
              <w:rPr>
                <w:rFonts w:ascii="Arial Narrow" w:hAnsi="Arial Narrow"/>
                <w:color w:val="000000" w:themeColor="text1"/>
                <w:sz w:val="20"/>
                <w:szCs w:val="20"/>
              </w:rPr>
            </w:pPr>
            <w:r w:rsidRPr="000B663B">
              <w:rPr>
                <w:rFonts w:ascii="Arial Narrow" w:hAnsi="Arial Narrow"/>
                <w:color w:val="000000" w:themeColor="text1"/>
                <w:sz w:val="20"/>
                <w:szCs w:val="20"/>
              </w:rPr>
              <w:t>Prescribing information (including Authority Application forms and other relevant documentation as applicable) is available on the Services Australia website at www.servicesaustralia.gov.au</w:t>
            </w:r>
          </w:p>
          <w:p w14:paraId="17B064E5" w14:textId="77777777" w:rsidR="0082678D" w:rsidRPr="000B663B" w:rsidRDefault="0082678D" w:rsidP="000B663B">
            <w:pPr>
              <w:rPr>
                <w:rFonts w:ascii="Arial Narrow" w:hAnsi="Arial Narrow"/>
                <w:color w:val="000000" w:themeColor="text1"/>
                <w:sz w:val="20"/>
                <w:szCs w:val="20"/>
              </w:rPr>
            </w:pPr>
            <w:r w:rsidRPr="000B663B">
              <w:rPr>
                <w:rFonts w:ascii="Arial Narrow" w:hAnsi="Arial Narrow"/>
                <w:color w:val="000000" w:themeColor="text1"/>
                <w:sz w:val="20"/>
                <w:szCs w:val="20"/>
              </w:rPr>
              <w:t>Applications for authority to prescribe should be submitted online using the form upload facility in Health Professional Online Services (HPOS) at www.servicesaustralia.gov.au/hpos</w:t>
            </w:r>
          </w:p>
          <w:p w14:paraId="651B622E" w14:textId="77777777" w:rsidR="0082678D" w:rsidRPr="000B663B" w:rsidRDefault="0082678D" w:rsidP="000B663B">
            <w:pPr>
              <w:rPr>
                <w:rFonts w:ascii="Arial Narrow" w:hAnsi="Arial Narrow"/>
                <w:color w:val="000000" w:themeColor="text1"/>
                <w:sz w:val="20"/>
                <w:szCs w:val="20"/>
              </w:rPr>
            </w:pPr>
            <w:r w:rsidRPr="000B663B">
              <w:rPr>
                <w:rFonts w:ascii="Arial Narrow" w:hAnsi="Arial Narrow"/>
                <w:color w:val="000000" w:themeColor="text1"/>
                <w:sz w:val="20"/>
                <w:szCs w:val="20"/>
              </w:rPr>
              <w:t>Or mailed to:</w:t>
            </w:r>
          </w:p>
          <w:p w14:paraId="6692795E" w14:textId="77777777" w:rsidR="0082678D" w:rsidRPr="000B663B" w:rsidRDefault="0082678D" w:rsidP="000B663B">
            <w:pPr>
              <w:rPr>
                <w:rFonts w:ascii="Arial Narrow" w:hAnsi="Arial Narrow"/>
                <w:color w:val="000000" w:themeColor="text1"/>
                <w:sz w:val="20"/>
                <w:szCs w:val="20"/>
              </w:rPr>
            </w:pPr>
            <w:r w:rsidRPr="000B663B">
              <w:rPr>
                <w:rFonts w:ascii="Arial Narrow" w:hAnsi="Arial Narrow"/>
                <w:color w:val="000000" w:themeColor="text1"/>
                <w:sz w:val="20"/>
                <w:szCs w:val="20"/>
              </w:rPr>
              <w:t>Services Australia</w:t>
            </w:r>
          </w:p>
          <w:p w14:paraId="1C46F241" w14:textId="77777777" w:rsidR="0082678D" w:rsidRPr="000B663B" w:rsidRDefault="0082678D" w:rsidP="000B663B">
            <w:pPr>
              <w:rPr>
                <w:rFonts w:ascii="Arial Narrow" w:hAnsi="Arial Narrow"/>
                <w:color w:val="000000" w:themeColor="text1"/>
                <w:sz w:val="20"/>
                <w:szCs w:val="20"/>
              </w:rPr>
            </w:pPr>
            <w:r w:rsidRPr="000B663B">
              <w:rPr>
                <w:rFonts w:ascii="Arial Narrow" w:hAnsi="Arial Narrow"/>
                <w:color w:val="000000" w:themeColor="text1"/>
                <w:sz w:val="20"/>
                <w:szCs w:val="20"/>
              </w:rPr>
              <w:t>Complex Drugs</w:t>
            </w:r>
          </w:p>
          <w:p w14:paraId="68C858B0" w14:textId="77777777" w:rsidR="0082678D" w:rsidRPr="000B663B" w:rsidRDefault="0082678D" w:rsidP="000B663B">
            <w:pPr>
              <w:rPr>
                <w:rFonts w:ascii="Arial Narrow" w:hAnsi="Arial Narrow"/>
                <w:color w:val="000000" w:themeColor="text1"/>
                <w:sz w:val="20"/>
                <w:szCs w:val="20"/>
              </w:rPr>
            </w:pPr>
            <w:r w:rsidRPr="000B663B">
              <w:rPr>
                <w:rFonts w:ascii="Arial Narrow" w:hAnsi="Arial Narrow"/>
                <w:color w:val="000000" w:themeColor="text1"/>
                <w:sz w:val="20"/>
                <w:szCs w:val="20"/>
              </w:rPr>
              <w:t>Reply Paid 9826</w:t>
            </w:r>
          </w:p>
          <w:p w14:paraId="68FF572A" w14:textId="42E9166F" w:rsidR="0082678D" w:rsidRPr="000B663B" w:rsidRDefault="0082678D" w:rsidP="000B663B">
            <w:pPr>
              <w:spacing w:line="259" w:lineRule="auto"/>
              <w:jc w:val="left"/>
              <w:rPr>
                <w:rFonts w:ascii="Arial Narrow" w:hAnsi="Arial Narrow" w:cs="Times New Roman"/>
                <w:b/>
                <w:bCs/>
                <w:color w:val="000000" w:themeColor="text1"/>
                <w:kern w:val="2"/>
                <w:sz w:val="20"/>
                <w:szCs w:val="20"/>
                <w14:ligatures w14:val="standardContextual"/>
              </w:rPr>
            </w:pPr>
            <w:r w:rsidRPr="000B663B">
              <w:rPr>
                <w:rFonts w:ascii="Arial Narrow" w:hAnsi="Arial Narrow"/>
                <w:color w:val="000000" w:themeColor="text1"/>
                <w:sz w:val="20"/>
                <w:szCs w:val="20"/>
              </w:rPr>
              <w:lastRenderedPageBreak/>
              <w:t>HOBART TAS 7001</w:t>
            </w:r>
          </w:p>
        </w:tc>
      </w:tr>
      <w:tr w:rsidR="0082678D" w14:paraId="3878549B" w14:textId="77777777" w:rsidTr="0082678D">
        <w:tblPrEx>
          <w:tblLook w:val="04A0" w:firstRow="1" w:lastRow="0" w:firstColumn="1" w:lastColumn="0" w:noHBand="0" w:noVBand="1"/>
        </w:tblPrEx>
        <w:trPr>
          <w:cantSplit/>
          <w:trHeight w:val="20"/>
        </w:trPr>
        <w:tc>
          <w:tcPr>
            <w:tcW w:w="935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192D168" w14:textId="77777777" w:rsidR="0082678D" w:rsidRPr="00451864" w:rsidRDefault="0082678D">
            <w:pPr>
              <w:keepLines/>
              <w:spacing w:line="256" w:lineRule="auto"/>
              <w:rPr>
                <w:rFonts w:ascii="Arial Narrow" w:hAnsi="Arial Narrow"/>
                <w:b/>
                <w:bCs/>
                <w:color w:val="000000" w:themeColor="text1"/>
                <w:kern w:val="2"/>
                <w:sz w:val="20"/>
                <w:szCs w:val="20"/>
                <w:lang w:eastAsia="en-US"/>
                <w14:ligatures w14:val="standardContextual"/>
              </w:rPr>
            </w:pPr>
          </w:p>
        </w:tc>
      </w:tr>
      <w:tr w:rsidR="0082678D" w14:paraId="3F42D099" w14:textId="77777777" w:rsidTr="0082678D">
        <w:tblPrEx>
          <w:tblLook w:val="04A0" w:firstRow="1" w:lastRow="0" w:firstColumn="1" w:lastColumn="0" w:noHBand="0" w:noVBand="1"/>
        </w:tblPrEx>
        <w:trPr>
          <w:cantSplit/>
          <w:trHeight w:val="20"/>
        </w:trPr>
        <w:tc>
          <w:tcPr>
            <w:tcW w:w="935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17637AD" w14:textId="77777777" w:rsidR="0082678D" w:rsidRPr="00451864" w:rsidRDefault="0082678D">
            <w:pPr>
              <w:keepLines/>
              <w:spacing w:line="256" w:lineRule="auto"/>
              <w:rPr>
                <w:rFonts w:ascii="Arial Narrow" w:hAnsi="Arial Narrow"/>
                <w:b/>
                <w:bCs/>
                <w:color w:val="000000" w:themeColor="text1"/>
                <w:kern w:val="2"/>
                <w:sz w:val="20"/>
                <w:szCs w:val="20"/>
                <w:lang w:eastAsia="en-US"/>
                <w14:ligatures w14:val="standardContextual"/>
              </w:rPr>
            </w:pPr>
            <w:r w:rsidRPr="00451864">
              <w:rPr>
                <w:rFonts w:ascii="Arial Narrow" w:hAnsi="Arial Narrow"/>
                <w:b/>
                <w:bCs/>
                <w:color w:val="000000" w:themeColor="text1"/>
                <w:kern w:val="2"/>
                <w:sz w:val="20"/>
                <w:szCs w:val="20"/>
                <w:lang w:eastAsia="en-US"/>
                <w14:ligatures w14:val="standardContextual"/>
              </w:rPr>
              <w:t>Indication:</w:t>
            </w:r>
            <w:r w:rsidRPr="00451864">
              <w:rPr>
                <w:rFonts w:ascii="Arial Narrow" w:hAnsi="Arial Narrow"/>
                <w:color w:val="000000" w:themeColor="text1"/>
                <w:kern w:val="2"/>
                <w:sz w:val="20"/>
                <w:szCs w:val="20"/>
                <w:lang w:eastAsia="en-US"/>
                <w14:ligatures w14:val="standardContextual"/>
              </w:rPr>
              <w:t xml:space="preserve"> </w:t>
            </w:r>
            <w:r w:rsidRPr="00451864">
              <w:rPr>
                <w:rFonts w:ascii="Arial Narrow" w:hAnsi="Arial Narrow" w:cs="Times New Roman"/>
                <w:color w:val="000000" w:themeColor="text1"/>
                <w:kern w:val="2"/>
                <w:sz w:val="20"/>
                <w:szCs w:val="20"/>
                <w14:ligatures w14:val="standardContextual"/>
              </w:rPr>
              <w:t>Uncontrolled chronic obstructive pulmonary disease (COPD)</w:t>
            </w:r>
          </w:p>
        </w:tc>
      </w:tr>
      <w:tr w:rsidR="0082678D" w14:paraId="2E2EDC64" w14:textId="77777777" w:rsidTr="0082678D">
        <w:tblPrEx>
          <w:tblLook w:val="04A0" w:firstRow="1" w:lastRow="0" w:firstColumn="1" w:lastColumn="0" w:noHBand="0" w:noVBand="1"/>
        </w:tblPrEx>
        <w:trPr>
          <w:cantSplit/>
          <w:trHeight w:val="20"/>
        </w:trPr>
        <w:tc>
          <w:tcPr>
            <w:tcW w:w="935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549E04D" w14:textId="77777777" w:rsidR="0082678D" w:rsidRPr="00451864" w:rsidRDefault="0082678D">
            <w:pPr>
              <w:spacing w:line="256" w:lineRule="auto"/>
              <w:rPr>
                <w:rFonts w:ascii="Arial Narrow" w:hAnsi="Arial Narrow"/>
                <w:b/>
                <w:bCs/>
                <w:color w:val="000000" w:themeColor="text1"/>
                <w:kern w:val="2"/>
                <w:sz w:val="20"/>
                <w:szCs w:val="20"/>
                <w:lang w:eastAsia="en-US"/>
                <w14:ligatures w14:val="standardContextual"/>
              </w:rPr>
            </w:pPr>
            <w:r w:rsidRPr="00451864">
              <w:rPr>
                <w:rFonts w:ascii="Arial Narrow" w:hAnsi="Arial Narrow"/>
                <w:b/>
                <w:bCs/>
                <w:color w:val="000000" w:themeColor="text1"/>
                <w:kern w:val="2"/>
                <w:sz w:val="20"/>
                <w:szCs w:val="20"/>
                <w:lang w:eastAsia="en-US"/>
                <w14:ligatures w14:val="standardContextual"/>
              </w:rPr>
              <w:t>Treatment Phase:</w:t>
            </w:r>
            <w:r w:rsidRPr="00451864">
              <w:rPr>
                <w:rFonts w:ascii="Arial Narrow" w:hAnsi="Arial Narrow"/>
                <w:color w:val="000000" w:themeColor="text1"/>
                <w:kern w:val="2"/>
                <w:sz w:val="20"/>
                <w:szCs w:val="20"/>
                <w:lang w:eastAsia="en-US"/>
                <w14:ligatures w14:val="standardContextual"/>
              </w:rPr>
              <w:t xml:space="preserve"> Initial treatment – Initial 2 (Change of treatment)</w:t>
            </w:r>
          </w:p>
        </w:tc>
      </w:tr>
      <w:tr w:rsidR="0082678D" w14:paraId="68EA6E38" w14:textId="77777777" w:rsidTr="0082678D">
        <w:tblPrEx>
          <w:tblLook w:val="04A0" w:firstRow="1" w:lastRow="0" w:firstColumn="1" w:lastColumn="0" w:noHBand="0" w:noVBand="1"/>
        </w:tblPrEx>
        <w:trPr>
          <w:cantSplit/>
          <w:trHeight w:val="20"/>
        </w:trPr>
        <w:tc>
          <w:tcPr>
            <w:tcW w:w="935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3421348" w14:textId="77777777" w:rsidR="0082678D" w:rsidRPr="00451864" w:rsidRDefault="0082678D">
            <w:pPr>
              <w:spacing w:line="256" w:lineRule="auto"/>
              <w:rPr>
                <w:rFonts w:ascii="Arial Narrow" w:hAnsi="Arial Narrow"/>
                <w:b/>
                <w:bCs/>
                <w:color w:val="000000" w:themeColor="text1"/>
                <w:kern w:val="2"/>
                <w:sz w:val="20"/>
                <w:szCs w:val="20"/>
                <w:lang w:eastAsia="en-US"/>
                <w14:ligatures w14:val="standardContextual"/>
              </w:rPr>
            </w:pPr>
            <w:r w:rsidRPr="00451864">
              <w:rPr>
                <w:rFonts w:ascii="Arial Narrow" w:hAnsi="Arial Narrow"/>
                <w:b/>
                <w:bCs/>
                <w:color w:val="000000" w:themeColor="text1"/>
                <w:kern w:val="2"/>
                <w:sz w:val="20"/>
                <w:szCs w:val="20"/>
                <w:lang w:eastAsia="en-US"/>
                <w14:ligatures w14:val="standardContextual"/>
              </w:rPr>
              <w:t>Clinical criteria:</w:t>
            </w:r>
          </w:p>
        </w:tc>
      </w:tr>
      <w:tr w:rsidR="0082678D" w14:paraId="310DDCB8" w14:textId="77777777" w:rsidTr="0082678D">
        <w:tblPrEx>
          <w:tblLook w:val="04A0" w:firstRow="1" w:lastRow="0" w:firstColumn="1" w:lastColumn="0" w:noHBand="0" w:noVBand="1"/>
        </w:tblPrEx>
        <w:trPr>
          <w:cantSplit/>
          <w:trHeight w:val="20"/>
        </w:trPr>
        <w:tc>
          <w:tcPr>
            <w:tcW w:w="935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43C1C13" w14:textId="77777777" w:rsidR="0082678D" w:rsidRPr="00451864" w:rsidRDefault="0082678D">
            <w:pPr>
              <w:pStyle w:val="PBACTabletext"/>
              <w:spacing w:line="256" w:lineRule="auto"/>
              <w:rPr>
                <w:color w:val="000000" w:themeColor="text1"/>
                <w:kern w:val="2"/>
                <w14:ligatures w14:val="standardContextual"/>
              </w:rPr>
            </w:pPr>
            <w:r w:rsidRPr="00451864">
              <w:rPr>
                <w:color w:val="000000" w:themeColor="text1"/>
                <w:kern w:val="2"/>
                <w14:ligatures w14:val="standardContextual"/>
              </w:rPr>
              <w:t>Patient must have received prior PBS-subsidised treatment with a biological medicine for this condition in this treatment cycle</w:t>
            </w:r>
          </w:p>
        </w:tc>
      </w:tr>
      <w:tr w:rsidR="0082678D" w:rsidRPr="00356FAE" w14:paraId="47048FFC" w14:textId="77777777" w:rsidTr="0082678D">
        <w:tblPrEx>
          <w:tblLook w:val="04A0" w:firstRow="1" w:lastRow="0" w:firstColumn="1" w:lastColumn="0" w:noHBand="0" w:noVBand="1"/>
        </w:tblPrEx>
        <w:trPr>
          <w:cantSplit/>
          <w:trHeight w:val="20"/>
        </w:trPr>
        <w:tc>
          <w:tcPr>
            <w:tcW w:w="935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B7F8B01" w14:textId="77777777" w:rsidR="0082678D" w:rsidRPr="00451864" w:rsidRDefault="0082678D">
            <w:pPr>
              <w:pStyle w:val="PBACTabletext"/>
              <w:spacing w:line="256" w:lineRule="auto"/>
              <w:rPr>
                <w:b/>
                <w:bCs/>
                <w:color w:val="000000" w:themeColor="text1"/>
                <w:kern w:val="2"/>
                <w14:ligatures w14:val="standardContextual"/>
              </w:rPr>
            </w:pPr>
            <w:r w:rsidRPr="00451864">
              <w:rPr>
                <w:b/>
                <w:bCs/>
                <w:color w:val="000000" w:themeColor="text1"/>
                <w:kern w:val="2"/>
                <w14:ligatures w14:val="standardContextual"/>
              </w:rPr>
              <w:t>AND</w:t>
            </w:r>
          </w:p>
        </w:tc>
      </w:tr>
      <w:tr w:rsidR="0082678D" w14:paraId="67468509" w14:textId="77777777" w:rsidTr="0082678D">
        <w:tblPrEx>
          <w:tblLook w:val="04A0" w:firstRow="1" w:lastRow="0" w:firstColumn="1" w:lastColumn="0" w:noHBand="0" w:noVBand="1"/>
        </w:tblPrEx>
        <w:trPr>
          <w:cantSplit/>
          <w:trHeight w:val="20"/>
        </w:trPr>
        <w:tc>
          <w:tcPr>
            <w:tcW w:w="935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3AE7836" w14:textId="77777777" w:rsidR="0082678D" w:rsidRPr="00451864" w:rsidRDefault="0082678D" w:rsidP="00B35213">
            <w:pPr>
              <w:pStyle w:val="PBACTabletext"/>
              <w:spacing w:line="256" w:lineRule="auto"/>
              <w:rPr>
                <w:color w:val="000000" w:themeColor="text1"/>
                <w:kern w:val="2"/>
                <w14:ligatures w14:val="standardContextual"/>
              </w:rPr>
            </w:pPr>
            <w:r w:rsidRPr="00451864">
              <w:rPr>
                <w:b/>
                <w:bCs/>
                <w:color w:val="000000" w:themeColor="text1"/>
                <w:kern w:val="2"/>
                <w14:ligatures w14:val="standardContextual"/>
              </w:rPr>
              <w:t>Clinical criteria:</w:t>
            </w:r>
          </w:p>
        </w:tc>
      </w:tr>
      <w:tr w:rsidR="0082678D" w14:paraId="2C46F786" w14:textId="77777777" w:rsidTr="0082678D">
        <w:tblPrEx>
          <w:tblLook w:val="04A0" w:firstRow="1" w:lastRow="0" w:firstColumn="1" w:lastColumn="0" w:noHBand="0" w:noVBand="1"/>
        </w:tblPrEx>
        <w:trPr>
          <w:cantSplit/>
          <w:trHeight w:val="20"/>
        </w:trPr>
        <w:tc>
          <w:tcPr>
            <w:tcW w:w="935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AC9D6EB" w14:textId="4F68FA3A" w:rsidR="0082678D" w:rsidRPr="002D6F38" w:rsidRDefault="0082678D" w:rsidP="00B35213">
            <w:pPr>
              <w:pStyle w:val="PBACTabletext"/>
              <w:spacing w:line="256" w:lineRule="auto"/>
              <w:rPr>
                <w:color w:val="000000" w:themeColor="text1"/>
                <w:kern w:val="2"/>
                <w14:ligatures w14:val="standardContextual"/>
              </w:rPr>
            </w:pPr>
            <w:r w:rsidRPr="002D6F38">
              <w:rPr>
                <w:rFonts w:cs="Segoe UI"/>
                <w:color w:val="000000" w:themeColor="text1"/>
              </w:rPr>
              <w:t xml:space="preserve">Patient must have either: (i) not previously received this drug for this condition in the current treatment cycle, (ii) previously received this drug </w:t>
            </w:r>
            <w:r>
              <w:rPr>
                <w:rFonts w:cs="Segoe UI"/>
                <w:color w:val="000000" w:themeColor="text1"/>
              </w:rPr>
              <w:t xml:space="preserve">in the current treatment cycle </w:t>
            </w:r>
            <w:r w:rsidRPr="002D6F38">
              <w:rPr>
                <w:rFonts w:cs="Segoe UI"/>
                <w:color w:val="000000" w:themeColor="text1"/>
              </w:rPr>
              <w:t>and demonstrated/maintained an adequate clinical response. </w:t>
            </w:r>
          </w:p>
        </w:tc>
      </w:tr>
      <w:tr w:rsidR="0082678D" w14:paraId="339A6EA3" w14:textId="77777777" w:rsidTr="0082678D">
        <w:tblPrEx>
          <w:tblLook w:val="04A0" w:firstRow="1" w:lastRow="0" w:firstColumn="1" w:lastColumn="0" w:noHBand="0" w:noVBand="1"/>
        </w:tblPrEx>
        <w:trPr>
          <w:cantSplit/>
          <w:trHeight w:val="20"/>
        </w:trPr>
        <w:tc>
          <w:tcPr>
            <w:tcW w:w="935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7AF8552" w14:textId="77777777" w:rsidR="0082678D" w:rsidRPr="00451864" w:rsidRDefault="0082678D">
            <w:pPr>
              <w:pStyle w:val="PBACTabletext"/>
              <w:spacing w:line="256" w:lineRule="auto"/>
              <w:rPr>
                <w:color w:val="000000" w:themeColor="text1"/>
              </w:rPr>
            </w:pPr>
            <w:r w:rsidRPr="00451864">
              <w:rPr>
                <w:rFonts w:cs="Times New Roman"/>
                <w:b/>
                <w:bCs/>
                <w:color w:val="000000" w:themeColor="text1"/>
                <w:kern w:val="2"/>
                <w14:ligatures w14:val="standardContextual"/>
              </w:rPr>
              <w:t>AND</w:t>
            </w:r>
          </w:p>
        </w:tc>
      </w:tr>
      <w:tr w:rsidR="0082678D" w14:paraId="28293A86" w14:textId="77777777" w:rsidTr="0082678D">
        <w:tblPrEx>
          <w:tblLook w:val="04A0" w:firstRow="1" w:lastRow="0" w:firstColumn="1" w:lastColumn="0" w:noHBand="0" w:noVBand="1"/>
        </w:tblPrEx>
        <w:trPr>
          <w:cantSplit/>
          <w:trHeight w:val="20"/>
        </w:trPr>
        <w:tc>
          <w:tcPr>
            <w:tcW w:w="935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552E509" w14:textId="77777777" w:rsidR="0082678D" w:rsidRPr="00451864" w:rsidRDefault="0082678D" w:rsidP="00B35213">
            <w:pPr>
              <w:pStyle w:val="PBACTabletext"/>
              <w:spacing w:line="256" w:lineRule="auto"/>
              <w:rPr>
                <w:color w:val="000000" w:themeColor="text1"/>
              </w:rPr>
            </w:pPr>
            <w:r w:rsidRPr="00451864">
              <w:rPr>
                <w:rFonts w:cs="Times New Roman"/>
                <w:b/>
                <w:bCs/>
                <w:color w:val="000000" w:themeColor="text1"/>
                <w:kern w:val="2"/>
                <w14:ligatures w14:val="standardContextual"/>
              </w:rPr>
              <w:t>Clinical criteria:</w:t>
            </w:r>
          </w:p>
        </w:tc>
      </w:tr>
      <w:tr w:rsidR="0082678D" w14:paraId="21D42F9D" w14:textId="77777777" w:rsidTr="0082678D">
        <w:tblPrEx>
          <w:tblLook w:val="04A0" w:firstRow="1" w:lastRow="0" w:firstColumn="1" w:lastColumn="0" w:noHBand="0" w:noVBand="1"/>
        </w:tblPrEx>
        <w:trPr>
          <w:cantSplit/>
          <w:trHeight w:val="20"/>
        </w:trPr>
        <w:tc>
          <w:tcPr>
            <w:tcW w:w="935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779418B" w14:textId="77777777" w:rsidR="0082678D" w:rsidRPr="00451864" w:rsidRDefault="0082678D" w:rsidP="00B35213">
            <w:pPr>
              <w:pStyle w:val="PBACTabletext"/>
              <w:spacing w:line="256" w:lineRule="auto"/>
              <w:rPr>
                <w:color w:val="000000" w:themeColor="text1"/>
              </w:rPr>
            </w:pPr>
            <w:r w:rsidRPr="00451864">
              <w:rPr>
                <w:rFonts w:cs="Times New Roman"/>
                <w:color w:val="000000" w:themeColor="text1"/>
                <w:kern w:val="2"/>
                <w14:ligatures w14:val="standardContextual"/>
              </w:rPr>
              <w:t xml:space="preserve">The treatment must be in combination with </w:t>
            </w:r>
            <w:proofErr w:type="gramStart"/>
            <w:r w:rsidRPr="00451864">
              <w:rPr>
                <w:rFonts w:cs="Times New Roman"/>
                <w:color w:val="000000" w:themeColor="text1"/>
                <w:kern w:val="2"/>
                <w14:ligatures w14:val="standardContextual"/>
              </w:rPr>
              <w:t>all of</w:t>
            </w:r>
            <w:proofErr w:type="gramEnd"/>
            <w:r w:rsidRPr="00451864">
              <w:rPr>
                <w:rFonts w:cs="Times New Roman"/>
                <w:color w:val="000000" w:themeColor="text1"/>
                <w:kern w:val="2"/>
                <w14:ligatures w14:val="standardContextual"/>
              </w:rPr>
              <w:t xml:space="preserve"> (i) LAMA, (ii) LABA, (iii) ICS in an optimised</w:t>
            </w:r>
            <w:r w:rsidRPr="00451864">
              <w:rPr>
                <w:rFonts w:eastAsia="Aptos"/>
                <w:color w:val="000000" w:themeColor="text1"/>
              </w:rPr>
              <w:t xml:space="preserve"> triple inhaler therapy</w:t>
            </w:r>
          </w:p>
        </w:tc>
      </w:tr>
      <w:tr w:rsidR="0082678D" w14:paraId="35C3F942" w14:textId="77777777" w:rsidTr="0082678D">
        <w:tblPrEx>
          <w:tblLook w:val="04A0" w:firstRow="1" w:lastRow="0" w:firstColumn="1" w:lastColumn="0" w:noHBand="0" w:noVBand="1"/>
        </w:tblPrEx>
        <w:trPr>
          <w:cantSplit/>
          <w:trHeight w:val="20"/>
        </w:trPr>
        <w:tc>
          <w:tcPr>
            <w:tcW w:w="935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28725DB" w14:textId="77777777" w:rsidR="0082678D" w:rsidRPr="00451864" w:rsidRDefault="0082678D">
            <w:pPr>
              <w:pStyle w:val="PBACTabletext"/>
              <w:spacing w:line="256" w:lineRule="auto"/>
              <w:rPr>
                <w:color w:val="000000" w:themeColor="text1"/>
                <w:kern w:val="2"/>
                <w14:ligatures w14:val="standardContextual"/>
              </w:rPr>
            </w:pPr>
            <w:r w:rsidRPr="00451864">
              <w:rPr>
                <w:rFonts w:cs="Times New Roman"/>
                <w:b/>
                <w:bCs/>
                <w:color w:val="000000" w:themeColor="text1"/>
                <w:kern w:val="2"/>
                <w14:ligatures w14:val="standardContextual"/>
              </w:rPr>
              <w:t>AND</w:t>
            </w:r>
          </w:p>
        </w:tc>
      </w:tr>
      <w:tr w:rsidR="0082678D" w14:paraId="3E748A7F" w14:textId="77777777" w:rsidTr="0082678D">
        <w:tblPrEx>
          <w:tblLook w:val="04A0" w:firstRow="1" w:lastRow="0" w:firstColumn="1" w:lastColumn="0" w:noHBand="0" w:noVBand="1"/>
        </w:tblPrEx>
        <w:trPr>
          <w:cantSplit/>
          <w:trHeight w:val="20"/>
        </w:trPr>
        <w:tc>
          <w:tcPr>
            <w:tcW w:w="935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CE0283C" w14:textId="77777777" w:rsidR="0082678D" w:rsidRPr="00451864" w:rsidRDefault="0082678D" w:rsidP="00B35213">
            <w:pPr>
              <w:pStyle w:val="PBACTabletext"/>
              <w:spacing w:line="256" w:lineRule="auto"/>
              <w:rPr>
                <w:color w:val="000000" w:themeColor="text1"/>
                <w:kern w:val="2"/>
                <w14:ligatures w14:val="standardContextual"/>
              </w:rPr>
            </w:pPr>
            <w:r w:rsidRPr="00451864">
              <w:rPr>
                <w:rFonts w:cs="Times New Roman"/>
                <w:b/>
                <w:bCs/>
                <w:color w:val="000000" w:themeColor="text1"/>
                <w:kern w:val="2"/>
                <w14:ligatures w14:val="standardContextual"/>
              </w:rPr>
              <w:t>Clinical criteria:</w:t>
            </w:r>
          </w:p>
        </w:tc>
      </w:tr>
      <w:tr w:rsidR="0082678D" w14:paraId="3D4D0FA8" w14:textId="77777777" w:rsidTr="0082678D">
        <w:tblPrEx>
          <w:tblLook w:val="04A0" w:firstRow="1" w:lastRow="0" w:firstColumn="1" w:lastColumn="0" w:noHBand="0" w:noVBand="1"/>
        </w:tblPrEx>
        <w:trPr>
          <w:cantSplit/>
          <w:trHeight w:val="20"/>
        </w:trPr>
        <w:tc>
          <w:tcPr>
            <w:tcW w:w="935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8C3742F" w14:textId="68FB59D1" w:rsidR="0082678D" w:rsidRPr="00451864" w:rsidRDefault="0082678D" w:rsidP="00B35213">
            <w:pPr>
              <w:pStyle w:val="PBACTabletext"/>
              <w:spacing w:line="256" w:lineRule="auto"/>
              <w:rPr>
                <w:color w:val="000000" w:themeColor="text1"/>
                <w:kern w:val="2"/>
                <w14:ligatures w14:val="standardContextual"/>
              </w:rPr>
            </w:pPr>
            <w:r w:rsidRPr="00451864">
              <w:rPr>
                <w:rFonts w:eastAsia="Aptos" w:cs="Times New Roman"/>
                <w:color w:val="000000" w:themeColor="text1"/>
                <w:kern w:val="2"/>
                <w14:ligatures w14:val="standardContextual"/>
              </w:rPr>
              <w:t>The treatment must not be used in combination with and within 4 weeks of another PBS-subsidised biological medicine prescribed for any of: (i) nasal polyps, (ii) uncontrolled severe allergic asthma, (iii) uncontrolled severe asthma</w:t>
            </w:r>
            <w:r>
              <w:rPr>
                <w:rFonts w:eastAsia="Aptos" w:cs="Times New Roman"/>
                <w:color w:val="000000" w:themeColor="text1"/>
                <w:kern w:val="2"/>
                <w14:ligatures w14:val="standardContextual"/>
              </w:rPr>
              <w:t xml:space="preserve">, </w:t>
            </w:r>
            <w:r w:rsidRPr="00B97A15">
              <w:t>(</w:t>
            </w:r>
            <w:r w:rsidRPr="00B97A15">
              <w:rPr>
                <w:rFonts w:eastAsia="Arial Narrow" w:cs="Arial Narrow"/>
              </w:rPr>
              <w:t>iv) uncontrolled chronic obstructive pulmonary disease.</w:t>
            </w:r>
            <w:r w:rsidRPr="00B97A15">
              <w:t xml:space="preserve"> </w:t>
            </w:r>
            <w:r w:rsidRPr="00B97A15">
              <w:rPr>
                <w:snapToGrid w:val="0"/>
              </w:rPr>
              <w:t> </w:t>
            </w:r>
            <w:r w:rsidRPr="00B97A15">
              <w:rPr>
                <w:bCs/>
                <w:snapToGrid w:val="0"/>
              </w:rPr>
              <w:t> </w:t>
            </w:r>
            <w:r w:rsidRPr="00B97A15">
              <w:rPr>
                <w:rFonts w:eastAsia="Aptos" w:cs="Times New Roman"/>
                <w:kern w:val="2"/>
                <w:lang w:eastAsia="en-US"/>
                <w14:ligatures w14:val="standardContextual"/>
              </w:rPr>
              <w:t xml:space="preserve"> </w:t>
            </w:r>
            <w:r w:rsidRPr="00451864">
              <w:rPr>
                <w:rFonts w:eastAsia="Aptos" w:cs="Times New Roman"/>
                <w:color w:val="000000" w:themeColor="text1"/>
                <w:kern w:val="2"/>
                <w14:ligatures w14:val="standardContextual"/>
              </w:rPr>
              <w:t xml:space="preserve"> </w:t>
            </w:r>
          </w:p>
        </w:tc>
      </w:tr>
      <w:tr w:rsidR="0082678D" w:rsidRPr="00BE6C6F" w14:paraId="31576A6C" w14:textId="77777777" w:rsidTr="0082678D">
        <w:tblPrEx>
          <w:tblLook w:val="04A0" w:firstRow="1" w:lastRow="0" w:firstColumn="1" w:lastColumn="0" w:noHBand="0" w:noVBand="1"/>
        </w:tblPrEx>
        <w:trPr>
          <w:cantSplit/>
          <w:trHeight w:val="20"/>
        </w:trPr>
        <w:tc>
          <w:tcPr>
            <w:tcW w:w="935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43C88C2" w14:textId="77777777" w:rsidR="0082678D" w:rsidRPr="00451864" w:rsidRDefault="0082678D">
            <w:pPr>
              <w:pStyle w:val="PBACTabletext"/>
              <w:spacing w:line="256" w:lineRule="auto"/>
              <w:rPr>
                <w:rFonts w:eastAsia="Aptos" w:cs="Times New Roman"/>
                <w:color w:val="000000" w:themeColor="text1"/>
                <w:kern w:val="2"/>
                <w14:ligatures w14:val="standardContextual"/>
              </w:rPr>
            </w:pPr>
            <w:r w:rsidRPr="00451864">
              <w:rPr>
                <w:rFonts w:cs="Times New Roman"/>
                <w:b/>
                <w:bCs/>
                <w:color w:val="000000" w:themeColor="text1"/>
                <w:kern w:val="2"/>
                <w14:ligatures w14:val="standardContextual"/>
              </w:rPr>
              <w:t>AND</w:t>
            </w:r>
          </w:p>
        </w:tc>
      </w:tr>
      <w:tr w:rsidR="0082678D" w:rsidRPr="00BE6C6F" w14:paraId="1E749500" w14:textId="77777777" w:rsidTr="0082678D">
        <w:tblPrEx>
          <w:tblLook w:val="04A0" w:firstRow="1" w:lastRow="0" w:firstColumn="1" w:lastColumn="0" w:noHBand="0" w:noVBand="1"/>
        </w:tblPrEx>
        <w:trPr>
          <w:cantSplit/>
          <w:trHeight w:val="20"/>
        </w:trPr>
        <w:tc>
          <w:tcPr>
            <w:tcW w:w="935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D389338" w14:textId="77777777" w:rsidR="0082678D" w:rsidRPr="00451864" w:rsidRDefault="0082678D" w:rsidP="00B35213">
            <w:pPr>
              <w:pStyle w:val="PBACTabletext"/>
              <w:spacing w:line="256" w:lineRule="auto"/>
              <w:rPr>
                <w:rFonts w:eastAsia="Aptos" w:cs="Times New Roman"/>
                <w:color w:val="000000" w:themeColor="text1"/>
                <w:kern w:val="2"/>
                <w14:ligatures w14:val="standardContextual"/>
              </w:rPr>
            </w:pPr>
            <w:r w:rsidRPr="00451864">
              <w:rPr>
                <w:rFonts w:cs="Times New Roman"/>
                <w:b/>
                <w:bCs/>
                <w:color w:val="000000" w:themeColor="text1"/>
                <w:kern w:val="2"/>
                <w14:ligatures w14:val="standardContextual"/>
              </w:rPr>
              <w:t>Clinical criteria:</w:t>
            </w:r>
          </w:p>
        </w:tc>
      </w:tr>
      <w:tr w:rsidR="0082678D" w:rsidRPr="00BE6C6F" w14:paraId="4013000D" w14:textId="77777777" w:rsidTr="0082678D">
        <w:tblPrEx>
          <w:tblLook w:val="04A0" w:firstRow="1" w:lastRow="0" w:firstColumn="1" w:lastColumn="0" w:noHBand="0" w:noVBand="1"/>
        </w:tblPrEx>
        <w:trPr>
          <w:cantSplit/>
          <w:trHeight w:val="20"/>
        </w:trPr>
        <w:tc>
          <w:tcPr>
            <w:tcW w:w="935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CBED58A" w14:textId="77777777" w:rsidR="0082678D" w:rsidRPr="00451864" w:rsidRDefault="0082678D" w:rsidP="00B35213">
            <w:pPr>
              <w:pStyle w:val="PBACTabletext"/>
              <w:spacing w:line="256" w:lineRule="auto"/>
              <w:rPr>
                <w:rFonts w:eastAsia="Aptos" w:cs="Times New Roman"/>
                <w:color w:val="000000" w:themeColor="text1"/>
                <w:kern w:val="2"/>
                <w14:ligatures w14:val="standardContextual"/>
              </w:rPr>
            </w:pPr>
            <w:r w:rsidRPr="00451864">
              <w:rPr>
                <w:color w:val="000000" w:themeColor="text1"/>
              </w:rPr>
              <w:t>Patient must not receive more than 28 weeks of treatment under this restriction</w:t>
            </w:r>
          </w:p>
        </w:tc>
      </w:tr>
      <w:tr w:rsidR="0082678D" w14:paraId="73E038CE" w14:textId="77777777" w:rsidTr="0082678D">
        <w:tblPrEx>
          <w:tblLook w:val="04A0" w:firstRow="1" w:lastRow="0" w:firstColumn="1" w:lastColumn="0" w:noHBand="0" w:noVBand="1"/>
        </w:tblPrEx>
        <w:trPr>
          <w:cantSplit/>
          <w:trHeight w:val="20"/>
        </w:trPr>
        <w:tc>
          <w:tcPr>
            <w:tcW w:w="935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62E9392" w14:textId="77777777" w:rsidR="0082678D" w:rsidRPr="00451864" w:rsidRDefault="0082678D">
            <w:pPr>
              <w:pStyle w:val="PBACTabletext"/>
              <w:spacing w:line="256" w:lineRule="auto"/>
              <w:rPr>
                <w:color w:val="000000" w:themeColor="text1"/>
                <w:kern w:val="2"/>
                <w14:ligatures w14:val="standardContextual"/>
              </w:rPr>
            </w:pPr>
            <w:r w:rsidRPr="00451864">
              <w:rPr>
                <w:rFonts w:cs="Times New Roman"/>
                <w:b/>
                <w:bCs/>
                <w:color w:val="000000" w:themeColor="text1"/>
                <w:kern w:val="2"/>
                <w14:ligatures w14:val="standardContextual"/>
              </w:rPr>
              <w:t>Treatment criteria:</w:t>
            </w:r>
          </w:p>
        </w:tc>
      </w:tr>
      <w:tr w:rsidR="0082678D" w14:paraId="0BF9D4E2" w14:textId="77777777" w:rsidTr="0082678D">
        <w:tblPrEx>
          <w:tblLook w:val="04A0" w:firstRow="1" w:lastRow="0" w:firstColumn="1" w:lastColumn="0" w:noHBand="0" w:noVBand="1"/>
        </w:tblPrEx>
        <w:trPr>
          <w:cantSplit/>
          <w:trHeight w:val="20"/>
        </w:trPr>
        <w:tc>
          <w:tcPr>
            <w:tcW w:w="935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5DEB606" w14:textId="4C477C3D" w:rsidR="0082678D" w:rsidRPr="00451864" w:rsidRDefault="0082678D">
            <w:pPr>
              <w:pStyle w:val="PBACTabletext"/>
              <w:spacing w:line="256" w:lineRule="auto"/>
              <w:rPr>
                <w:color w:val="000000" w:themeColor="text1"/>
                <w:kern w:val="2"/>
                <w14:ligatures w14:val="standardContextual"/>
              </w:rPr>
            </w:pPr>
            <w:r w:rsidRPr="00451864">
              <w:rPr>
                <w:rFonts w:cs="Times New Roman"/>
                <w:color w:val="000000" w:themeColor="text1"/>
                <w:kern w:val="2"/>
                <w14:ligatures w14:val="standardContextual"/>
              </w:rPr>
              <w:t>Must be treated by a medical practitioner who is either a (i) respiratory physician, (ii) general physician experienced in the management of patients with this condition.</w:t>
            </w:r>
          </w:p>
        </w:tc>
      </w:tr>
      <w:tr w:rsidR="0082678D" w:rsidRPr="009F27E3" w14:paraId="69410717" w14:textId="77777777" w:rsidTr="0082678D">
        <w:tblPrEx>
          <w:tblLook w:val="04A0" w:firstRow="1" w:lastRow="0" w:firstColumn="1" w:lastColumn="0" w:noHBand="0" w:noVBand="1"/>
        </w:tblPrEx>
        <w:trPr>
          <w:cantSplit/>
          <w:trHeight w:val="20"/>
        </w:trPr>
        <w:tc>
          <w:tcPr>
            <w:tcW w:w="935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71A1923" w14:textId="77777777" w:rsidR="0082678D" w:rsidRPr="00451864" w:rsidRDefault="0082678D">
            <w:pPr>
              <w:spacing w:line="259" w:lineRule="auto"/>
              <w:jc w:val="left"/>
              <w:rPr>
                <w:rFonts w:ascii="Arial Narrow" w:hAnsi="Arial Narrow" w:cs="Times New Roman"/>
                <w:color w:val="000000" w:themeColor="text1"/>
                <w:kern w:val="2"/>
                <w:sz w:val="20"/>
                <w:szCs w:val="20"/>
                <w14:ligatures w14:val="standardContextual"/>
              </w:rPr>
            </w:pPr>
            <w:r w:rsidRPr="00451864">
              <w:rPr>
                <w:rFonts w:ascii="Arial Narrow" w:hAnsi="Arial Narrow" w:cs="Times New Roman"/>
                <w:b/>
                <w:bCs/>
                <w:color w:val="000000" w:themeColor="text1"/>
                <w:kern w:val="2"/>
                <w:sz w:val="20"/>
                <w:szCs w:val="20"/>
                <w14:ligatures w14:val="standardContextual"/>
              </w:rPr>
              <w:t>Prescribing Instructions:</w:t>
            </w:r>
            <w:r w:rsidRPr="00451864">
              <w:rPr>
                <w:rFonts w:ascii="Arial Narrow" w:hAnsi="Arial Narrow" w:cs="Times New Roman"/>
                <w:color w:val="000000" w:themeColor="text1"/>
                <w:kern w:val="2"/>
                <w:sz w:val="20"/>
                <w:szCs w:val="20"/>
                <w14:ligatures w14:val="standardContextual"/>
              </w:rPr>
              <w:t xml:space="preserve"> </w:t>
            </w:r>
          </w:p>
          <w:p w14:paraId="6F4340F5" w14:textId="77777777" w:rsidR="0082678D" w:rsidRPr="00451864" w:rsidRDefault="0082678D">
            <w:pPr>
              <w:rPr>
                <w:rFonts w:ascii="Arial Narrow" w:hAnsi="Arial Narrow" w:cs="Times New Roman"/>
                <w:color w:val="000000" w:themeColor="text1"/>
                <w:kern w:val="2"/>
                <w:sz w:val="20"/>
                <w:szCs w:val="20"/>
                <w14:ligatures w14:val="standardContextual"/>
              </w:rPr>
            </w:pPr>
            <w:r w:rsidRPr="00451864">
              <w:rPr>
                <w:rFonts w:ascii="Arial Narrow" w:hAnsi="Arial Narrow"/>
                <w:color w:val="000000" w:themeColor="text1"/>
                <w:sz w:val="20"/>
                <w:szCs w:val="20"/>
              </w:rPr>
              <w:t xml:space="preserve">The authority application must be via the Online PBS Authorities System, or in writing via HPOS form upload or mail and must include </w:t>
            </w:r>
            <w:r w:rsidRPr="00451864">
              <w:rPr>
                <w:rFonts w:ascii="Arial Narrow" w:hAnsi="Arial Narrow" w:cs="Times New Roman"/>
                <w:color w:val="000000" w:themeColor="text1"/>
                <w:kern w:val="2"/>
                <w:sz w:val="20"/>
                <w:szCs w:val="20"/>
                <w14:ligatures w14:val="standardContextual"/>
              </w:rPr>
              <w:t>the following:</w:t>
            </w:r>
          </w:p>
          <w:p w14:paraId="021FF0C4" w14:textId="77777777" w:rsidR="0082678D" w:rsidRPr="00451864" w:rsidRDefault="0082678D" w:rsidP="00042FF4">
            <w:pPr>
              <w:pStyle w:val="ListParagraph"/>
              <w:numPr>
                <w:ilvl w:val="0"/>
                <w:numId w:val="19"/>
              </w:numPr>
              <w:spacing w:after="0"/>
              <w:contextualSpacing/>
              <w:jc w:val="left"/>
              <w:rPr>
                <w:rFonts w:ascii="Arial Narrow" w:hAnsi="Arial Narrow"/>
                <w:color w:val="000000" w:themeColor="text1"/>
                <w:sz w:val="20"/>
                <w:szCs w:val="20"/>
              </w:rPr>
            </w:pPr>
            <w:r w:rsidRPr="00451864">
              <w:rPr>
                <w:rFonts w:ascii="Arial Narrow" w:hAnsi="Arial Narrow"/>
                <w:color w:val="000000" w:themeColor="text1"/>
                <w:sz w:val="20"/>
                <w:szCs w:val="20"/>
              </w:rPr>
              <w:t>details (date and duration of treatment) of prior biological medicine treatment; and</w:t>
            </w:r>
          </w:p>
          <w:p w14:paraId="1E644920" w14:textId="251BDAE7" w:rsidR="0082678D" w:rsidRPr="00451864" w:rsidRDefault="0082678D" w:rsidP="00042FF4">
            <w:pPr>
              <w:pStyle w:val="ListParagraph"/>
              <w:numPr>
                <w:ilvl w:val="0"/>
                <w:numId w:val="19"/>
              </w:numPr>
              <w:spacing w:after="0"/>
              <w:contextualSpacing/>
              <w:jc w:val="left"/>
              <w:rPr>
                <w:rFonts w:ascii="Arial Narrow" w:hAnsi="Arial Narrow"/>
                <w:color w:val="000000" w:themeColor="text1"/>
                <w:sz w:val="20"/>
                <w:szCs w:val="20"/>
              </w:rPr>
            </w:pPr>
            <w:r w:rsidRPr="00451864">
              <w:rPr>
                <w:rFonts w:ascii="Arial Narrow" w:hAnsi="Arial Narrow"/>
                <w:color w:val="000000" w:themeColor="text1"/>
                <w:sz w:val="20"/>
                <w:szCs w:val="20"/>
              </w:rPr>
              <w:t>The reason for switching therapy (e.g. not achieving adequate response with prior</w:t>
            </w:r>
            <w:r>
              <w:rPr>
                <w:rFonts w:ascii="Arial Narrow" w:hAnsi="Arial Narrow"/>
                <w:color w:val="000000" w:themeColor="text1"/>
                <w:sz w:val="20"/>
                <w:szCs w:val="20"/>
              </w:rPr>
              <w:t xml:space="preserve"> biological therapy</w:t>
            </w:r>
            <w:r w:rsidRPr="00451864">
              <w:rPr>
                <w:rFonts w:ascii="Arial Narrow" w:hAnsi="Arial Narrow"/>
                <w:color w:val="000000" w:themeColor="text1"/>
                <w:sz w:val="20"/>
                <w:szCs w:val="20"/>
              </w:rPr>
              <w:t>, partial response to prior therapy, adverse event to prior therapy)</w:t>
            </w:r>
          </w:p>
          <w:p w14:paraId="085613C4" w14:textId="7BE6AC3E" w:rsidR="0082678D" w:rsidRPr="00451864" w:rsidRDefault="0082678D" w:rsidP="006F4C00">
            <w:pPr>
              <w:spacing w:line="259" w:lineRule="auto"/>
              <w:contextualSpacing/>
              <w:jc w:val="left"/>
              <w:rPr>
                <w:rFonts w:ascii="Arial Narrow" w:hAnsi="Arial Narrow" w:cs="Times New Roman"/>
                <w:strike/>
                <w:color w:val="000000" w:themeColor="text1"/>
                <w:kern w:val="2"/>
                <w:sz w:val="20"/>
                <w:szCs w:val="20"/>
                <w14:ligatures w14:val="standardContextual"/>
              </w:rPr>
            </w:pPr>
            <w:r w:rsidRPr="00451864">
              <w:rPr>
                <w:rFonts w:ascii="Arial Narrow" w:hAnsi="Arial Narrow"/>
                <w:color w:val="000000" w:themeColor="text1"/>
                <w:sz w:val="20"/>
                <w:szCs w:val="20"/>
              </w:rPr>
              <w:t>All supporting evidence must be documented in the patient’s medical records</w:t>
            </w:r>
          </w:p>
        </w:tc>
      </w:tr>
      <w:tr w:rsidR="0082678D" w:rsidRPr="003A45C0" w14:paraId="2CF125E3" w14:textId="77777777" w:rsidTr="0082678D">
        <w:tblPrEx>
          <w:tblLook w:val="04A0" w:firstRow="1" w:lastRow="0" w:firstColumn="1" w:lastColumn="0" w:noHBand="0" w:noVBand="1"/>
        </w:tblPrEx>
        <w:trPr>
          <w:cantSplit/>
          <w:trHeight w:val="20"/>
        </w:trPr>
        <w:tc>
          <w:tcPr>
            <w:tcW w:w="935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C3C16EC" w14:textId="77777777" w:rsidR="0082678D" w:rsidRPr="00451864" w:rsidRDefault="0082678D">
            <w:pPr>
              <w:ind w:left="-57"/>
              <w:rPr>
                <w:rFonts w:ascii="Arial Narrow" w:hAnsi="Arial Narrow"/>
                <w:b/>
                <w:bCs/>
                <w:color w:val="000000" w:themeColor="text1"/>
                <w:sz w:val="20"/>
                <w:szCs w:val="20"/>
              </w:rPr>
            </w:pPr>
            <w:r w:rsidRPr="00451864">
              <w:rPr>
                <w:rFonts w:ascii="Arial Narrow" w:hAnsi="Arial Narrow"/>
                <w:b/>
                <w:bCs/>
                <w:color w:val="000000" w:themeColor="text1"/>
                <w:sz w:val="20"/>
                <w:szCs w:val="20"/>
              </w:rPr>
              <w:t xml:space="preserve">   Prescribing Instruction: </w:t>
            </w:r>
          </w:p>
          <w:p w14:paraId="6848204B" w14:textId="77777777" w:rsidR="0082678D" w:rsidRPr="00451864" w:rsidRDefault="0082678D">
            <w:pPr>
              <w:ind w:left="-57"/>
              <w:rPr>
                <w:rFonts w:ascii="Arial Narrow" w:hAnsi="Arial Narrow"/>
                <w:color w:val="000000" w:themeColor="text1"/>
                <w:sz w:val="20"/>
                <w:szCs w:val="20"/>
              </w:rPr>
            </w:pPr>
            <w:r w:rsidRPr="00451864">
              <w:rPr>
                <w:rFonts w:ascii="Arial Narrow" w:hAnsi="Arial Narrow"/>
                <w:color w:val="000000" w:themeColor="text1"/>
                <w:sz w:val="20"/>
                <w:szCs w:val="20"/>
              </w:rPr>
              <w:t xml:space="preserve">   If the application is submitted through HPOS form upload or mail, it must include:</w:t>
            </w:r>
          </w:p>
          <w:p w14:paraId="320BBECE" w14:textId="77777777" w:rsidR="0082678D" w:rsidRPr="00451864" w:rsidRDefault="0082678D" w:rsidP="00042FF4">
            <w:pPr>
              <w:pStyle w:val="ListParagraph"/>
              <w:numPr>
                <w:ilvl w:val="0"/>
                <w:numId w:val="20"/>
              </w:numPr>
              <w:spacing w:after="0"/>
              <w:contextualSpacing/>
              <w:jc w:val="left"/>
              <w:rPr>
                <w:rFonts w:ascii="Arial Narrow" w:hAnsi="Arial Narrow"/>
                <w:color w:val="000000" w:themeColor="text1"/>
                <w:sz w:val="20"/>
                <w:szCs w:val="20"/>
              </w:rPr>
            </w:pPr>
            <w:r w:rsidRPr="00451864">
              <w:rPr>
                <w:rFonts w:ascii="Arial Narrow" w:hAnsi="Arial Narrow"/>
                <w:color w:val="000000" w:themeColor="text1"/>
                <w:sz w:val="20"/>
                <w:szCs w:val="20"/>
              </w:rPr>
              <w:t>details of the proposed prescription; and</w:t>
            </w:r>
          </w:p>
          <w:p w14:paraId="07A3AB59" w14:textId="77777777" w:rsidR="0082678D" w:rsidRPr="00451864" w:rsidRDefault="0082678D" w:rsidP="00042FF4">
            <w:pPr>
              <w:pStyle w:val="ListParagraph"/>
              <w:numPr>
                <w:ilvl w:val="0"/>
                <w:numId w:val="20"/>
              </w:numPr>
              <w:spacing w:after="0"/>
              <w:contextualSpacing/>
              <w:jc w:val="left"/>
              <w:rPr>
                <w:rFonts w:ascii="Arial Narrow" w:hAnsi="Arial Narrow"/>
                <w:color w:val="000000" w:themeColor="text1"/>
                <w:sz w:val="20"/>
                <w:szCs w:val="20"/>
              </w:rPr>
            </w:pPr>
            <w:r w:rsidRPr="00451864">
              <w:rPr>
                <w:rFonts w:ascii="Arial Narrow" w:hAnsi="Arial Narrow"/>
                <w:color w:val="000000" w:themeColor="text1"/>
                <w:sz w:val="20"/>
                <w:szCs w:val="20"/>
              </w:rPr>
              <w:t>a completed authority application form relevant to the indication and treatment phase (the latest version is located on the website specified in the Administrative Advice).</w:t>
            </w:r>
          </w:p>
        </w:tc>
      </w:tr>
    </w:tbl>
    <w:p w14:paraId="0AEAA5A6" w14:textId="77777777" w:rsidR="00AA394A" w:rsidRPr="00964DA0" w:rsidRDefault="00AA394A" w:rsidP="000C038C">
      <w:pPr>
        <w:spacing w:after="160" w:line="259" w:lineRule="auto"/>
        <w:rPr>
          <w:rFonts w:ascii="Arial Narrow" w:eastAsia="Aptos" w:hAnsi="Arial Narrow" w:cs="Calibri"/>
          <w:b/>
          <w:bCs/>
          <w:i/>
          <w:iCs/>
          <w:kern w:val="2"/>
          <w:sz w:val="20"/>
          <w:szCs w:val="20"/>
          <w:lang w:eastAsia="en-US"/>
          <w14:ligatures w14:val="standardContextual"/>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Caption w:val="Administrative advice"/>
      </w:tblPr>
      <w:tblGrid>
        <w:gridCol w:w="9010"/>
      </w:tblGrid>
      <w:tr w:rsidR="0082678D" w:rsidRPr="00577331" w14:paraId="424ACA4B" w14:textId="77777777" w:rsidTr="0082678D">
        <w:trPr>
          <w:trHeight w:val="20"/>
        </w:trPr>
        <w:tc>
          <w:tcPr>
            <w:tcW w:w="9356" w:type="dxa"/>
            <w:tcBorders>
              <w:top w:val="single" w:sz="4" w:space="0" w:color="auto"/>
              <w:left w:val="single" w:sz="4" w:space="0" w:color="auto"/>
              <w:bottom w:val="single" w:sz="4" w:space="0" w:color="auto"/>
              <w:right w:val="single" w:sz="4" w:space="0" w:color="auto"/>
            </w:tcBorders>
          </w:tcPr>
          <w:p w14:paraId="304BBD4F" w14:textId="77777777" w:rsidR="0082678D" w:rsidRPr="00912FFE" w:rsidRDefault="0082678D" w:rsidP="00912FFE">
            <w:pPr>
              <w:ind w:left="-57"/>
              <w:rPr>
                <w:rFonts w:ascii="Arial Narrow" w:hAnsi="Arial Narrow"/>
                <w:b/>
                <w:bCs/>
                <w:color w:val="000000" w:themeColor="text1"/>
                <w:sz w:val="20"/>
                <w:szCs w:val="20"/>
              </w:rPr>
            </w:pPr>
            <w:r w:rsidRPr="00912FFE">
              <w:rPr>
                <w:rFonts w:ascii="Arial Narrow" w:hAnsi="Arial Narrow"/>
                <w:b/>
                <w:bCs/>
                <w:color w:val="000000" w:themeColor="text1"/>
                <w:sz w:val="20"/>
                <w:szCs w:val="20"/>
              </w:rPr>
              <w:t>Administrative Advice:</w:t>
            </w:r>
          </w:p>
          <w:p w14:paraId="64AA3B6A" w14:textId="77777777" w:rsidR="0082678D" w:rsidRPr="00912FFE" w:rsidRDefault="0082678D" w:rsidP="00912FFE">
            <w:pPr>
              <w:ind w:left="-57"/>
              <w:rPr>
                <w:rFonts w:ascii="Arial Narrow" w:hAnsi="Arial Narrow"/>
                <w:b/>
                <w:bCs/>
                <w:color w:val="000000" w:themeColor="text1"/>
                <w:sz w:val="20"/>
                <w:szCs w:val="20"/>
                <w:u w:val="single"/>
              </w:rPr>
            </w:pPr>
            <w:r w:rsidRPr="00912FFE">
              <w:rPr>
                <w:rFonts w:ascii="Arial Narrow" w:hAnsi="Arial Narrow"/>
                <w:b/>
                <w:bCs/>
                <w:color w:val="000000" w:themeColor="text1"/>
                <w:sz w:val="20"/>
                <w:szCs w:val="20"/>
                <w:u w:val="single"/>
              </w:rPr>
              <w:t>TREATMENT OF PATIENTS WITH UNCONTROLLED CHRONIC OBSTRUCTIVE PULMONARY DISEASE (COPD)</w:t>
            </w:r>
          </w:p>
          <w:p w14:paraId="71B648CA" w14:textId="34E598BC" w:rsidR="0082678D" w:rsidRPr="00912FFE" w:rsidRDefault="0082678D" w:rsidP="00912FFE">
            <w:pPr>
              <w:ind w:left="-57"/>
              <w:rPr>
                <w:rFonts w:ascii="Arial Narrow" w:hAnsi="Arial Narrow"/>
                <w:color w:val="000000" w:themeColor="text1"/>
                <w:sz w:val="20"/>
                <w:szCs w:val="20"/>
              </w:rPr>
            </w:pPr>
            <w:r w:rsidRPr="00912FFE">
              <w:rPr>
                <w:rFonts w:ascii="Arial Narrow" w:hAnsi="Arial Narrow"/>
                <w:color w:val="000000" w:themeColor="text1"/>
                <w:sz w:val="20"/>
                <w:szCs w:val="20"/>
              </w:rPr>
              <w:t>The following information applies to the prescribing under the Pharmaceutical Benefits Scheme (PBS) of the biological medicines for Uncontrolled COPD. Where the term biological medicine appears in the following notes and restrictions it refers to all PBS benefits with the specific PBS indication of ‘Uncontrolled COPD’</w:t>
            </w:r>
            <w:r>
              <w:rPr>
                <w:rFonts w:ascii="Arial Narrow" w:hAnsi="Arial Narrow"/>
                <w:color w:val="000000" w:themeColor="text1"/>
                <w:sz w:val="20"/>
                <w:szCs w:val="20"/>
              </w:rPr>
              <w:t>.</w:t>
            </w:r>
          </w:p>
          <w:p w14:paraId="7913742D" w14:textId="77777777" w:rsidR="0082678D" w:rsidRPr="00912FFE" w:rsidRDefault="0082678D" w:rsidP="00912FFE">
            <w:pPr>
              <w:ind w:left="-57"/>
              <w:rPr>
                <w:rFonts w:ascii="Arial Narrow" w:hAnsi="Arial Narrow"/>
                <w:color w:val="000000" w:themeColor="text1"/>
                <w:sz w:val="20"/>
                <w:szCs w:val="20"/>
              </w:rPr>
            </w:pPr>
            <w:r w:rsidRPr="00912FFE">
              <w:rPr>
                <w:rFonts w:ascii="Arial Narrow" w:hAnsi="Arial Narrow"/>
                <w:color w:val="000000" w:themeColor="text1"/>
                <w:sz w:val="20"/>
                <w:szCs w:val="20"/>
              </w:rPr>
              <w:t>A patient is eligible for PBS-subsidised treatment with only one biological medicine for ‘Uncontrolled COPD’ at any one time.</w:t>
            </w:r>
          </w:p>
          <w:p w14:paraId="7A5CD9DB" w14:textId="77777777" w:rsidR="0082678D" w:rsidRPr="00912FFE" w:rsidRDefault="0082678D" w:rsidP="00912FFE">
            <w:pPr>
              <w:ind w:left="-57"/>
              <w:rPr>
                <w:rFonts w:ascii="Arial Narrow" w:hAnsi="Arial Narrow"/>
                <w:color w:val="000000" w:themeColor="text1"/>
                <w:sz w:val="20"/>
                <w:szCs w:val="20"/>
              </w:rPr>
            </w:pPr>
            <w:r w:rsidRPr="00912FFE">
              <w:rPr>
                <w:rFonts w:ascii="Arial Narrow" w:hAnsi="Arial Narrow"/>
                <w:color w:val="000000" w:themeColor="text1"/>
                <w:sz w:val="20"/>
                <w:szCs w:val="20"/>
              </w:rPr>
              <w:lastRenderedPageBreak/>
              <w:t xml:space="preserve">Under these arrangements, within a treatment cycle, a patient may receive long-term treatment with a biological medicine </w:t>
            </w:r>
            <w:proofErr w:type="gramStart"/>
            <w:r w:rsidRPr="00912FFE">
              <w:rPr>
                <w:rFonts w:ascii="Arial Narrow" w:hAnsi="Arial Narrow"/>
                <w:color w:val="000000" w:themeColor="text1"/>
                <w:sz w:val="20"/>
                <w:szCs w:val="20"/>
              </w:rPr>
              <w:t>as long as</w:t>
            </w:r>
            <w:proofErr w:type="gramEnd"/>
            <w:r w:rsidRPr="00912FFE">
              <w:rPr>
                <w:rFonts w:ascii="Arial Narrow" w:hAnsi="Arial Narrow"/>
                <w:color w:val="000000" w:themeColor="text1"/>
                <w:sz w:val="20"/>
                <w:szCs w:val="20"/>
              </w:rPr>
              <w:t xml:space="preserve"> they sustain a response to therapy.</w:t>
            </w:r>
          </w:p>
          <w:p w14:paraId="571E9BF8" w14:textId="72DD3292" w:rsidR="0082678D" w:rsidRPr="00912FFE" w:rsidRDefault="0082678D" w:rsidP="00912FFE">
            <w:pPr>
              <w:ind w:left="-57"/>
              <w:rPr>
                <w:rFonts w:ascii="Arial Narrow" w:hAnsi="Arial Narrow"/>
                <w:color w:val="000000" w:themeColor="text1"/>
                <w:sz w:val="20"/>
                <w:szCs w:val="20"/>
              </w:rPr>
            </w:pPr>
            <w:r w:rsidRPr="00912FFE">
              <w:rPr>
                <w:rFonts w:ascii="Arial Narrow" w:hAnsi="Arial Narrow"/>
                <w:color w:val="000000" w:themeColor="text1"/>
                <w:sz w:val="20"/>
                <w:szCs w:val="20"/>
              </w:rPr>
              <w:t>A patient currently receiving PBS-subsidised treatment as of (first biologic for COPD listing date X/X/XXXX) is considered to have started a cycle of treatment.</w:t>
            </w:r>
          </w:p>
          <w:p w14:paraId="4C526B36" w14:textId="77777777" w:rsidR="0082678D" w:rsidRPr="00912FFE" w:rsidRDefault="0082678D" w:rsidP="00912FFE">
            <w:pPr>
              <w:ind w:left="-57"/>
              <w:rPr>
                <w:rFonts w:ascii="Arial Narrow" w:hAnsi="Arial Narrow"/>
                <w:color w:val="000000" w:themeColor="text1"/>
                <w:sz w:val="20"/>
                <w:szCs w:val="20"/>
              </w:rPr>
            </w:pPr>
            <w:r w:rsidRPr="00912FFE">
              <w:rPr>
                <w:rFonts w:ascii="Arial Narrow" w:hAnsi="Arial Narrow"/>
                <w:color w:val="000000" w:themeColor="text1"/>
                <w:sz w:val="20"/>
                <w:szCs w:val="20"/>
              </w:rPr>
              <w:t>Within the same treatment cycle, a patient cannot trial and not achieve response, or cease to respond to, the same PBS-subsidised biological medicine more than once.</w:t>
            </w:r>
          </w:p>
          <w:p w14:paraId="10E7C299" w14:textId="77777777" w:rsidR="0082678D" w:rsidRPr="00912FFE" w:rsidRDefault="0082678D" w:rsidP="00912FFE">
            <w:pPr>
              <w:ind w:left="-57"/>
              <w:rPr>
                <w:rFonts w:ascii="Arial Narrow" w:hAnsi="Arial Narrow"/>
                <w:color w:val="000000" w:themeColor="text1"/>
                <w:sz w:val="20"/>
                <w:szCs w:val="20"/>
              </w:rPr>
            </w:pPr>
            <w:r w:rsidRPr="00912FFE">
              <w:rPr>
                <w:rFonts w:ascii="Arial Narrow" w:hAnsi="Arial Narrow"/>
                <w:color w:val="000000" w:themeColor="text1"/>
                <w:sz w:val="20"/>
                <w:szCs w:val="20"/>
              </w:rPr>
              <w:t>Therefore, in cases where the patient does not achieve the response criteria for a PBS-subsidised biological medicine, they must change to an alternate biological medicine if they wish to continue PBS-subsidised biological treatment.</w:t>
            </w:r>
          </w:p>
          <w:p w14:paraId="2621221A" w14:textId="77777777" w:rsidR="0082678D" w:rsidRPr="00912FFE" w:rsidRDefault="0082678D" w:rsidP="00912FFE">
            <w:pPr>
              <w:ind w:left="-57"/>
              <w:rPr>
                <w:rFonts w:ascii="Arial Narrow" w:hAnsi="Arial Narrow"/>
                <w:color w:val="000000" w:themeColor="text1"/>
                <w:sz w:val="20"/>
                <w:szCs w:val="20"/>
              </w:rPr>
            </w:pPr>
            <w:r w:rsidRPr="00912FFE">
              <w:rPr>
                <w:rFonts w:ascii="Arial Narrow" w:hAnsi="Arial Narrow"/>
                <w:color w:val="000000" w:themeColor="text1"/>
                <w:sz w:val="20"/>
                <w:szCs w:val="20"/>
              </w:rPr>
              <w:t>In cases where the patient does not achieve or sustain the response criteria to treatment two times, they are deemed to have completed a single treatment cycle. They must have at least a 12-month break in PBS-subsidised biological medicine therapy before they are eligible to recommence another new treatment cycle [further details are under 'Recommencement of treatment after a treatment break in PBS-subsidised therapy' below].</w:t>
            </w:r>
          </w:p>
          <w:p w14:paraId="602613F6" w14:textId="77777777" w:rsidR="0082678D" w:rsidRPr="00912FFE" w:rsidRDefault="0082678D" w:rsidP="00912FFE">
            <w:pPr>
              <w:ind w:left="-57"/>
              <w:rPr>
                <w:rFonts w:ascii="Arial Narrow" w:hAnsi="Arial Narrow"/>
                <w:color w:val="000000" w:themeColor="text1"/>
                <w:sz w:val="20"/>
                <w:szCs w:val="20"/>
              </w:rPr>
            </w:pPr>
            <w:r w:rsidRPr="00912FFE">
              <w:rPr>
                <w:rFonts w:ascii="Arial Narrow" w:hAnsi="Arial Narrow"/>
                <w:color w:val="000000" w:themeColor="text1"/>
                <w:sz w:val="20"/>
                <w:szCs w:val="20"/>
              </w:rPr>
              <w:t>The length of the break in therapy is measured from the date the most recent treatment with a PBS-subsidised biological medicine is ceased until the date of the first application for recommencement of treatment with a biological medicine under the new treatment cycle.</w:t>
            </w:r>
          </w:p>
          <w:p w14:paraId="2FD8C060" w14:textId="0F08AB74" w:rsidR="0082678D" w:rsidRPr="00912FFE" w:rsidRDefault="0082678D" w:rsidP="00912FFE">
            <w:pPr>
              <w:ind w:left="-57"/>
              <w:rPr>
                <w:rFonts w:ascii="Arial Narrow" w:hAnsi="Arial Narrow"/>
                <w:color w:val="000000" w:themeColor="text1"/>
                <w:sz w:val="20"/>
                <w:szCs w:val="20"/>
              </w:rPr>
            </w:pPr>
            <w:r w:rsidRPr="00912FFE">
              <w:rPr>
                <w:rFonts w:ascii="Arial Narrow" w:hAnsi="Arial Narrow"/>
                <w:color w:val="000000" w:themeColor="text1"/>
                <w:sz w:val="20"/>
                <w:szCs w:val="20"/>
              </w:rPr>
              <w:t>There is no limit to the number of treatment cycles that a patient may undertake in their lifetime.</w:t>
            </w:r>
          </w:p>
          <w:p w14:paraId="2958EDF4" w14:textId="77777777" w:rsidR="0082678D" w:rsidRPr="00912FFE" w:rsidRDefault="0082678D" w:rsidP="00912FFE">
            <w:pPr>
              <w:ind w:left="-57"/>
              <w:rPr>
                <w:rFonts w:ascii="Arial Narrow" w:hAnsi="Arial Narrow"/>
                <w:color w:val="000000" w:themeColor="text1"/>
                <w:sz w:val="20"/>
                <w:szCs w:val="20"/>
              </w:rPr>
            </w:pPr>
          </w:p>
          <w:p w14:paraId="53AD83A1" w14:textId="3FB798B5" w:rsidR="0082678D" w:rsidRPr="00912FFE" w:rsidRDefault="0082678D" w:rsidP="00912FFE">
            <w:pPr>
              <w:ind w:left="-57"/>
              <w:rPr>
                <w:rFonts w:ascii="Arial Narrow" w:hAnsi="Arial Narrow"/>
                <w:color w:val="000000" w:themeColor="text1"/>
                <w:sz w:val="20"/>
                <w:szCs w:val="20"/>
              </w:rPr>
            </w:pPr>
            <w:r w:rsidRPr="00912FFE">
              <w:rPr>
                <w:rFonts w:ascii="Arial Narrow" w:hAnsi="Arial Narrow"/>
                <w:color w:val="000000" w:themeColor="text1"/>
                <w:sz w:val="20"/>
                <w:szCs w:val="20"/>
              </w:rPr>
              <w:t>How to prescribe PBS-subsidised biological medicine treatment for ‘Uncontrolled COPD’</w:t>
            </w:r>
          </w:p>
          <w:p w14:paraId="429F9719" w14:textId="77777777" w:rsidR="0082678D" w:rsidRPr="00912FFE" w:rsidRDefault="0082678D" w:rsidP="00912FFE">
            <w:pPr>
              <w:ind w:left="-57"/>
              <w:rPr>
                <w:rFonts w:ascii="Arial Narrow" w:hAnsi="Arial Narrow"/>
                <w:color w:val="000000" w:themeColor="text1"/>
                <w:sz w:val="20"/>
                <w:szCs w:val="20"/>
              </w:rPr>
            </w:pPr>
            <w:r w:rsidRPr="00912FFE">
              <w:rPr>
                <w:rFonts w:ascii="Arial Narrow" w:hAnsi="Arial Narrow"/>
                <w:color w:val="000000" w:themeColor="text1"/>
                <w:sz w:val="20"/>
                <w:szCs w:val="20"/>
              </w:rPr>
              <w:t>(1) Initial treatment:</w:t>
            </w:r>
          </w:p>
          <w:p w14:paraId="7F746B3A" w14:textId="77777777" w:rsidR="0082678D" w:rsidRPr="00912FFE" w:rsidRDefault="0082678D" w:rsidP="00912FFE">
            <w:pPr>
              <w:ind w:left="-57"/>
              <w:rPr>
                <w:rFonts w:ascii="Arial Narrow" w:hAnsi="Arial Narrow"/>
                <w:color w:val="000000" w:themeColor="text1"/>
                <w:sz w:val="20"/>
                <w:szCs w:val="20"/>
              </w:rPr>
            </w:pPr>
            <w:r w:rsidRPr="00912FFE">
              <w:rPr>
                <w:rFonts w:ascii="Arial Narrow" w:hAnsi="Arial Narrow"/>
                <w:color w:val="000000" w:themeColor="text1"/>
                <w:sz w:val="20"/>
                <w:szCs w:val="20"/>
              </w:rPr>
              <w:t>Applications for initial treatment should be made where:</w:t>
            </w:r>
          </w:p>
          <w:p w14:paraId="30428569" w14:textId="77777777" w:rsidR="0082678D" w:rsidRPr="00912FFE" w:rsidRDefault="0082678D" w:rsidP="00912FFE">
            <w:pPr>
              <w:ind w:left="-57"/>
              <w:rPr>
                <w:rFonts w:ascii="Arial Narrow" w:hAnsi="Arial Narrow"/>
                <w:color w:val="000000" w:themeColor="text1"/>
                <w:sz w:val="20"/>
                <w:szCs w:val="20"/>
              </w:rPr>
            </w:pPr>
            <w:r w:rsidRPr="00912FFE">
              <w:rPr>
                <w:rFonts w:ascii="Arial Narrow" w:hAnsi="Arial Narrow"/>
                <w:color w:val="000000" w:themeColor="text1"/>
                <w:sz w:val="20"/>
                <w:szCs w:val="20"/>
              </w:rPr>
              <w:t>(i) a patient has not received prior PBS-subsidised biological medicine treatment and wishes to commence such therapy (Initial 1 restriction); or</w:t>
            </w:r>
          </w:p>
          <w:p w14:paraId="0304D202" w14:textId="77777777" w:rsidR="0082678D" w:rsidRPr="00912FFE" w:rsidRDefault="0082678D" w:rsidP="00912FFE">
            <w:pPr>
              <w:ind w:left="-57"/>
              <w:rPr>
                <w:rFonts w:ascii="Arial Narrow" w:hAnsi="Arial Narrow"/>
                <w:color w:val="000000" w:themeColor="text1"/>
                <w:sz w:val="20"/>
                <w:szCs w:val="20"/>
              </w:rPr>
            </w:pPr>
            <w:r w:rsidRPr="00912FFE">
              <w:rPr>
                <w:rFonts w:ascii="Arial Narrow" w:hAnsi="Arial Narrow"/>
                <w:color w:val="000000" w:themeColor="text1"/>
                <w:sz w:val="20"/>
                <w:szCs w:val="20"/>
              </w:rPr>
              <w:t>(ii) a patient has received prior PBS-subsidised treatment with a biological medicine and wishes to recommence a new treatment cycle with this biological medicine following a mandatory treatment break in PBS-subsidised therapy (Initial 1 restriction); or</w:t>
            </w:r>
          </w:p>
          <w:p w14:paraId="6AF9476D" w14:textId="77777777" w:rsidR="0082678D" w:rsidRPr="00912FFE" w:rsidRDefault="0082678D" w:rsidP="00912FFE">
            <w:pPr>
              <w:ind w:left="-57"/>
              <w:rPr>
                <w:rFonts w:ascii="Arial Narrow" w:hAnsi="Arial Narrow"/>
                <w:color w:val="000000" w:themeColor="text1"/>
                <w:sz w:val="20"/>
                <w:szCs w:val="20"/>
              </w:rPr>
            </w:pPr>
            <w:r w:rsidRPr="00912FFE">
              <w:rPr>
                <w:rFonts w:ascii="Arial Narrow" w:hAnsi="Arial Narrow"/>
                <w:color w:val="000000" w:themeColor="text1"/>
                <w:sz w:val="20"/>
                <w:szCs w:val="20"/>
              </w:rPr>
              <w:t>(iii) a patient has received prior PBS-subsidised biological medicine therapy and wishes to trial an alternate biological medicine within the same treatment cycle (Initial 2 restriction) - [further details are under 'Swapping therapy' below].</w:t>
            </w:r>
          </w:p>
          <w:p w14:paraId="78362359" w14:textId="77777777" w:rsidR="0082678D" w:rsidRPr="00912FFE" w:rsidRDefault="0082678D" w:rsidP="00912FFE">
            <w:pPr>
              <w:ind w:left="-57"/>
              <w:rPr>
                <w:rFonts w:ascii="Arial Narrow" w:hAnsi="Arial Narrow"/>
                <w:color w:val="000000" w:themeColor="text1"/>
                <w:sz w:val="20"/>
                <w:szCs w:val="20"/>
              </w:rPr>
            </w:pPr>
            <w:r w:rsidRPr="00912FFE">
              <w:rPr>
                <w:rFonts w:ascii="Arial Narrow" w:hAnsi="Arial Narrow"/>
                <w:color w:val="000000" w:themeColor="text1"/>
                <w:sz w:val="20"/>
                <w:szCs w:val="20"/>
              </w:rPr>
              <w:t>All applications for initial treatment will be limited to provide for a maximum of up to 28 weeks of therapy of a biological medicine. It is recommended that a patient be reviewed in the month prior to completing their course of initial treatment to ensure uninterrupted biological medicine supply.</w:t>
            </w:r>
          </w:p>
          <w:p w14:paraId="4FF6FCC0" w14:textId="77777777" w:rsidR="0082678D" w:rsidRPr="00912FFE" w:rsidRDefault="0082678D" w:rsidP="00912FFE">
            <w:pPr>
              <w:ind w:left="-57"/>
              <w:rPr>
                <w:rFonts w:ascii="Arial Narrow" w:hAnsi="Arial Narrow"/>
                <w:color w:val="000000" w:themeColor="text1"/>
                <w:sz w:val="20"/>
                <w:szCs w:val="20"/>
              </w:rPr>
            </w:pPr>
          </w:p>
          <w:p w14:paraId="514B2F7C" w14:textId="77777777" w:rsidR="0082678D" w:rsidRPr="00912FFE" w:rsidRDefault="0082678D" w:rsidP="00912FFE">
            <w:pPr>
              <w:ind w:left="-57"/>
              <w:rPr>
                <w:rFonts w:ascii="Arial Narrow" w:hAnsi="Arial Narrow"/>
                <w:color w:val="000000" w:themeColor="text1"/>
                <w:sz w:val="20"/>
                <w:szCs w:val="20"/>
              </w:rPr>
            </w:pPr>
            <w:r w:rsidRPr="00912FFE">
              <w:rPr>
                <w:rFonts w:ascii="Arial Narrow" w:hAnsi="Arial Narrow"/>
                <w:color w:val="000000" w:themeColor="text1"/>
                <w:sz w:val="20"/>
                <w:szCs w:val="20"/>
              </w:rPr>
              <w:t xml:space="preserve">(2) Grandfather patients </w:t>
            </w:r>
          </w:p>
          <w:p w14:paraId="4C698ACD" w14:textId="77777777" w:rsidR="0082678D" w:rsidRPr="00912FFE" w:rsidRDefault="0082678D" w:rsidP="00912FFE">
            <w:pPr>
              <w:ind w:left="-57"/>
              <w:rPr>
                <w:rFonts w:ascii="Arial Narrow" w:hAnsi="Arial Narrow"/>
                <w:color w:val="000000" w:themeColor="text1"/>
                <w:sz w:val="20"/>
                <w:szCs w:val="20"/>
              </w:rPr>
            </w:pPr>
            <w:r w:rsidRPr="00912FFE">
              <w:rPr>
                <w:rFonts w:ascii="Arial Narrow" w:hAnsi="Arial Narrow"/>
                <w:color w:val="000000" w:themeColor="text1"/>
                <w:sz w:val="20"/>
                <w:szCs w:val="20"/>
              </w:rPr>
              <w:t xml:space="preserve">A patient who commenced treatment with a biological medicine for ‘Uncontrolled COPD’ prior to [the relevant biological medicine’s listing date, specified in the restrictions] and who continues to receive treatment at the time of application, may qualify for treatment under the ‘Grandfather’ treatment restriction. </w:t>
            </w:r>
          </w:p>
          <w:p w14:paraId="07FEC3C0" w14:textId="77777777" w:rsidR="0082678D" w:rsidRPr="00912FFE" w:rsidRDefault="0082678D" w:rsidP="00912FFE">
            <w:pPr>
              <w:ind w:left="-57"/>
              <w:rPr>
                <w:rFonts w:ascii="Arial Narrow" w:hAnsi="Arial Narrow"/>
                <w:color w:val="000000" w:themeColor="text1"/>
                <w:sz w:val="20"/>
                <w:szCs w:val="20"/>
              </w:rPr>
            </w:pPr>
            <w:r w:rsidRPr="00912FFE">
              <w:rPr>
                <w:rFonts w:ascii="Arial Narrow" w:hAnsi="Arial Narrow"/>
                <w:color w:val="000000" w:themeColor="text1"/>
                <w:sz w:val="20"/>
                <w:szCs w:val="20"/>
              </w:rPr>
              <w:t xml:space="preserve">A patient may only qualify for PBS-subsidised treatment under this restriction once. A maximum of 24 weeks of treatment will be authorised under this restriction. Following completion of the first PBS-subsidised course, further subsidised treatment must be prescribed under the continuing treatment restriction of the relevant biological medicine. </w:t>
            </w:r>
          </w:p>
          <w:p w14:paraId="53A85818" w14:textId="77777777" w:rsidR="0082678D" w:rsidRPr="00912FFE" w:rsidRDefault="0082678D" w:rsidP="00912FFE">
            <w:pPr>
              <w:ind w:left="-57"/>
              <w:rPr>
                <w:rFonts w:ascii="Arial Narrow" w:hAnsi="Arial Narrow"/>
                <w:color w:val="000000" w:themeColor="text1"/>
                <w:sz w:val="20"/>
                <w:szCs w:val="20"/>
              </w:rPr>
            </w:pPr>
          </w:p>
          <w:p w14:paraId="7C486529" w14:textId="77777777" w:rsidR="0082678D" w:rsidRPr="00912FFE" w:rsidRDefault="0082678D" w:rsidP="00912FFE">
            <w:pPr>
              <w:ind w:left="-57"/>
              <w:rPr>
                <w:rFonts w:ascii="Arial Narrow" w:hAnsi="Arial Narrow"/>
                <w:color w:val="000000" w:themeColor="text1"/>
                <w:sz w:val="20"/>
                <w:szCs w:val="20"/>
              </w:rPr>
            </w:pPr>
            <w:r w:rsidRPr="00912FFE">
              <w:rPr>
                <w:rFonts w:ascii="Arial Narrow" w:hAnsi="Arial Narrow"/>
                <w:color w:val="000000" w:themeColor="text1"/>
                <w:sz w:val="20"/>
                <w:szCs w:val="20"/>
              </w:rPr>
              <w:t>(3) Continuing treatment:</w:t>
            </w:r>
          </w:p>
          <w:p w14:paraId="005DCAF0" w14:textId="77777777" w:rsidR="0082678D" w:rsidRPr="00912FFE" w:rsidRDefault="0082678D" w:rsidP="00912FFE">
            <w:pPr>
              <w:ind w:left="-57"/>
              <w:rPr>
                <w:rFonts w:ascii="Arial Narrow" w:hAnsi="Arial Narrow"/>
                <w:color w:val="000000" w:themeColor="text1"/>
                <w:sz w:val="20"/>
                <w:szCs w:val="20"/>
              </w:rPr>
            </w:pPr>
            <w:r w:rsidRPr="00912FFE">
              <w:rPr>
                <w:rFonts w:ascii="Arial Narrow" w:hAnsi="Arial Narrow"/>
                <w:color w:val="000000" w:themeColor="text1"/>
                <w:sz w:val="20"/>
                <w:szCs w:val="20"/>
              </w:rPr>
              <w:t>Following the completion of an initial treatment course with a specific biological medicine, a patient may qualify to receive up to 24 weeks of continuing treatment with that biological medicine providing they have demonstrated an adequate response to treatment. The patient remains eligible to receive continuing biological medicine treatment with the same drug in courses of up to 24 weeks providing they continue to sustain the response. It is recommended that a patient be reviewed the month prior to completing their current course of treatment to ensure uninterrupted biological medicine supply.</w:t>
            </w:r>
          </w:p>
          <w:p w14:paraId="293F022D" w14:textId="77777777" w:rsidR="0082678D" w:rsidRPr="00912FFE" w:rsidRDefault="0082678D" w:rsidP="00912FFE">
            <w:pPr>
              <w:ind w:left="-57"/>
              <w:rPr>
                <w:rFonts w:ascii="Arial Narrow" w:hAnsi="Arial Narrow"/>
                <w:color w:val="000000" w:themeColor="text1"/>
                <w:sz w:val="20"/>
                <w:szCs w:val="20"/>
              </w:rPr>
            </w:pPr>
            <w:r w:rsidRPr="00912FFE">
              <w:rPr>
                <w:rFonts w:ascii="Arial Narrow" w:hAnsi="Arial Narrow"/>
                <w:color w:val="000000" w:themeColor="text1"/>
                <w:sz w:val="20"/>
                <w:szCs w:val="20"/>
              </w:rPr>
              <w:t>(4) Swapping therapy within the same treatment cycle.</w:t>
            </w:r>
          </w:p>
          <w:p w14:paraId="71433989" w14:textId="77777777" w:rsidR="0082678D" w:rsidRPr="00912FFE" w:rsidRDefault="0082678D" w:rsidP="00912FFE">
            <w:pPr>
              <w:ind w:left="-57"/>
              <w:rPr>
                <w:rFonts w:ascii="Arial Narrow" w:hAnsi="Arial Narrow"/>
                <w:color w:val="000000" w:themeColor="text1"/>
                <w:sz w:val="20"/>
                <w:szCs w:val="20"/>
              </w:rPr>
            </w:pPr>
            <w:r w:rsidRPr="00912FFE">
              <w:rPr>
                <w:rFonts w:ascii="Arial Narrow" w:hAnsi="Arial Narrow"/>
                <w:color w:val="000000" w:themeColor="text1"/>
                <w:sz w:val="20"/>
                <w:szCs w:val="20"/>
              </w:rPr>
              <w:t>Once initial treatment with the first PBS-subsidised biological medicine is approved, a patient may swap to an alternate biological medicine at any time by qualifying under an Initial 2 restriction.</w:t>
            </w:r>
          </w:p>
          <w:p w14:paraId="3B03260B" w14:textId="3F5EB28E" w:rsidR="0082678D" w:rsidRPr="00912FFE" w:rsidRDefault="0082678D" w:rsidP="00912FFE">
            <w:pPr>
              <w:ind w:left="-57"/>
              <w:rPr>
                <w:rFonts w:ascii="Arial Narrow" w:hAnsi="Arial Narrow"/>
                <w:color w:val="000000" w:themeColor="text1"/>
                <w:sz w:val="20"/>
                <w:szCs w:val="20"/>
              </w:rPr>
            </w:pPr>
            <w:r w:rsidRPr="00912FFE">
              <w:rPr>
                <w:rFonts w:ascii="Arial Narrow" w:hAnsi="Arial Narrow"/>
                <w:color w:val="000000" w:themeColor="text1"/>
                <w:sz w:val="20"/>
                <w:szCs w:val="20"/>
              </w:rPr>
              <w:t>However, they cannot swap to a particular biological medicine if they did not achieve response to prior treatment with that drug within the same treatment cycle.</w:t>
            </w:r>
          </w:p>
          <w:p w14:paraId="02D755C8" w14:textId="77777777" w:rsidR="0082678D" w:rsidRPr="00912FFE" w:rsidRDefault="0082678D" w:rsidP="00912FFE">
            <w:pPr>
              <w:ind w:left="-57"/>
              <w:rPr>
                <w:rFonts w:ascii="Arial Narrow" w:hAnsi="Arial Narrow"/>
                <w:color w:val="000000" w:themeColor="text1"/>
                <w:sz w:val="20"/>
                <w:szCs w:val="20"/>
              </w:rPr>
            </w:pPr>
            <w:r w:rsidRPr="00912FFE">
              <w:rPr>
                <w:rFonts w:ascii="Arial Narrow" w:hAnsi="Arial Narrow"/>
                <w:color w:val="000000" w:themeColor="text1"/>
                <w:sz w:val="20"/>
                <w:szCs w:val="20"/>
              </w:rPr>
              <w:t>Within the same treatment cycle a patient may alternate between therapy with any biological medicine of their choice (1 at a time) providing:</w:t>
            </w:r>
          </w:p>
          <w:p w14:paraId="1A028EB5" w14:textId="77777777" w:rsidR="0082678D" w:rsidRPr="00912FFE" w:rsidRDefault="0082678D" w:rsidP="00912FFE">
            <w:pPr>
              <w:ind w:left="-57"/>
              <w:rPr>
                <w:rFonts w:ascii="Arial Narrow" w:hAnsi="Arial Narrow"/>
                <w:color w:val="000000" w:themeColor="text1"/>
                <w:sz w:val="20"/>
                <w:szCs w:val="20"/>
              </w:rPr>
            </w:pPr>
            <w:r w:rsidRPr="00912FFE">
              <w:rPr>
                <w:rFonts w:ascii="Arial Narrow" w:hAnsi="Arial Narrow"/>
                <w:color w:val="000000" w:themeColor="text1"/>
                <w:sz w:val="20"/>
                <w:szCs w:val="20"/>
              </w:rPr>
              <w:t xml:space="preserve">(i) they have not received PBS-subsidised treatment with that </w:t>
            </w:r>
            <w:proofErr w:type="gramStart"/>
            <w:r w:rsidRPr="00912FFE">
              <w:rPr>
                <w:rFonts w:ascii="Arial Narrow" w:hAnsi="Arial Narrow"/>
                <w:color w:val="000000" w:themeColor="text1"/>
                <w:sz w:val="20"/>
                <w:szCs w:val="20"/>
              </w:rPr>
              <w:t>particular biological</w:t>
            </w:r>
            <w:proofErr w:type="gramEnd"/>
            <w:r w:rsidRPr="00912FFE">
              <w:rPr>
                <w:rFonts w:ascii="Arial Narrow" w:hAnsi="Arial Narrow"/>
                <w:color w:val="000000" w:themeColor="text1"/>
                <w:sz w:val="20"/>
                <w:szCs w:val="20"/>
              </w:rPr>
              <w:t xml:space="preserve"> medicine previously; or</w:t>
            </w:r>
          </w:p>
          <w:p w14:paraId="6F29804F" w14:textId="77777777" w:rsidR="0082678D" w:rsidRPr="00912FFE" w:rsidRDefault="0082678D" w:rsidP="00912FFE">
            <w:pPr>
              <w:ind w:left="-57"/>
              <w:rPr>
                <w:rFonts w:ascii="Arial Narrow" w:hAnsi="Arial Narrow"/>
                <w:color w:val="000000" w:themeColor="text1"/>
                <w:sz w:val="20"/>
                <w:szCs w:val="20"/>
              </w:rPr>
            </w:pPr>
            <w:r w:rsidRPr="00912FFE">
              <w:rPr>
                <w:rFonts w:ascii="Arial Narrow" w:hAnsi="Arial Narrow"/>
                <w:color w:val="000000" w:themeColor="text1"/>
                <w:sz w:val="20"/>
                <w:szCs w:val="20"/>
              </w:rPr>
              <w:t xml:space="preserve">(ii) they have demonstrated an adequate response to that </w:t>
            </w:r>
            <w:proofErr w:type="gramStart"/>
            <w:r w:rsidRPr="00912FFE">
              <w:rPr>
                <w:rFonts w:ascii="Arial Narrow" w:hAnsi="Arial Narrow"/>
                <w:color w:val="000000" w:themeColor="text1"/>
                <w:sz w:val="20"/>
                <w:szCs w:val="20"/>
              </w:rPr>
              <w:t>particular biological</w:t>
            </w:r>
            <w:proofErr w:type="gramEnd"/>
            <w:r w:rsidRPr="00912FFE">
              <w:rPr>
                <w:rFonts w:ascii="Arial Narrow" w:hAnsi="Arial Narrow"/>
                <w:color w:val="000000" w:themeColor="text1"/>
                <w:sz w:val="20"/>
                <w:szCs w:val="20"/>
              </w:rPr>
              <w:t xml:space="preserve"> medicine if they have previously trialled it on the PBS; and</w:t>
            </w:r>
          </w:p>
          <w:p w14:paraId="262C3D47" w14:textId="77777777" w:rsidR="0082678D" w:rsidRPr="00912FFE" w:rsidRDefault="0082678D" w:rsidP="00912FFE">
            <w:pPr>
              <w:ind w:left="-57"/>
              <w:rPr>
                <w:rFonts w:ascii="Arial Narrow" w:hAnsi="Arial Narrow"/>
                <w:color w:val="000000" w:themeColor="text1"/>
                <w:sz w:val="20"/>
                <w:szCs w:val="20"/>
              </w:rPr>
            </w:pPr>
            <w:r w:rsidRPr="00912FFE">
              <w:rPr>
                <w:rFonts w:ascii="Arial Narrow" w:hAnsi="Arial Narrow"/>
                <w:color w:val="000000" w:themeColor="text1"/>
                <w:sz w:val="20"/>
                <w:szCs w:val="20"/>
              </w:rPr>
              <w:lastRenderedPageBreak/>
              <w:t>(iii) they have not previously ceased to respond to treatment with all 2 biological medicines in this treatment cycle.</w:t>
            </w:r>
          </w:p>
          <w:p w14:paraId="0A3799E6" w14:textId="77777777" w:rsidR="0082678D" w:rsidRPr="00912FFE" w:rsidRDefault="0082678D" w:rsidP="00912FFE">
            <w:pPr>
              <w:ind w:left="-57"/>
              <w:rPr>
                <w:rFonts w:ascii="Arial Narrow" w:hAnsi="Arial Narrow"/>
                <w:color w:val="000000" w:themeColor="text1"/>
                <w:sz w:val="20"/>
                <w:szCs w:val="20"/>
              </w:rPr>
            </w:pPr>
            <w:r w:rsidRPr="00912FFE">
              <w:rPr>
                <w:rFonts w:ascii="Arial Narrow" w:hAnsi="Arial Narrow"/>
                <w:color w:val="000000" w:themeColor="text1"/>
                <w:sz w:val="20"/>
                <w:szCs w:val="20"/>
              </w:rPr>
              <w:t>(5) Re-commencement of a new treatment cycle after a treatment break in PBS-subsidised therapy:</w:t>
            </w:r>
          </w:p>
          <w:p w14:paraId="1217BC83" w14:textId="77777777" w:rsidR="0082678D" w:rsidRPr="00912FFE" w:rsidRDefault="0082678D" w:rsidP="00912FFE">
            <w:pPr>
              <w:ind w:left="-57"/>
              <w:rPr>
                <w:rFonts w:ascii="Arial Narrow" w:hAnsi="Arial Narrow"/>
                <w:color w:val="000000" w:themeColor="text1"/>
                <w:sz w:val="20"/>
                <w:szCs w:val="20"/>
              </w:rPr>
            </w:pPr>
            <w:r w:rsidRPr="00912FFE">
              <w:rPr>
                <w:rFonts w:ascii="Arial Narrow" w:hAnsi="Arial Narrow"/>
                <w:color w:val="000000" w:themeColor="text1"/>
                <w:sz w:val="20"/>
                <w:szCs w:val="20"/>
              </w:rPr>
              <w:t>A patient who wishes to trial a second or subsequent new treatment cycle, following a mandatory break in PBS-subsidised therapy of at least 12 months (in patients who have not achieved or ceased to sustain a response to treatment 2 times within a treatment cycle), must re-qualify through an Initial 1 restriction.</w:t>
            </w:r>
          </w:p>
          <w:p w14:paraId="33A7AAA8" w14:textId="77777777" w:rsidR="0082678D" w:rsidRPr="00912FFE" w:rsidRDefault="0082678D" w:rsidP="00912FFE">
            <w:pPr>
              <w:ind w:left="-57"/>
              <w:rPr>
                <w:rFonts w:ascii="Arial Narrow" w:hAnsi="Arial Narrow"/>
                <w:color w:val="000000" w:themeColor="text1"/>
                <w:sz w:val="20"/>
                <w:szCs w:val="20"/>
              </w:rPr>
            </w:pPr>
          </w:p>
        </w:tc>
      </w:tr>
    </w:tbl>
    <w:p w14:paraId="116AA1EF" w14:textId="77777777" w:rsidR="00CD4D07" w:rsidRDefault="00CD4D07" w:rsidP="004618FC">
      <w:pPr>
        <w:tabs>
          <w:tab w:val="left" w:pos="1080"/>
        </w:tabs>
        <w:autoSpaceDE w:val="0"/>
        <w:autoSpaceDN w:val="0"/>
        <w:adjustRightInd w:val="0"/>
        <w:rPr>
          <w:rFonts w:asciiTheme="minorHAnsi" w:hAnsiTheme="minorHAnsi" w:cstheme="minorHAnsi"/>
        </w:rPr>
      </w:pPr>
    </w:p>
    <w:p w14:paraId="1CD76EC0" w14:textId="2630D4E4" w:rsidR="00D92640" w:rsidRPr="00A05965" w:rsidRDefault="00D92640" w:rsidP="007E0BCE">
      <w:pPr>
        <w:pStyle w:val="3-BodyText"/>
      </w:pPr>
      <w:bookmarkStart w:id="116" w:name="_Ref224719368"/>
      <w:r w:rsidRPr="00A05965">
        <w:t>Flow on changes to all PBS-subsidised biological medicine listed for nasal polyps, uncontrolled severe allergic asthma, and uncontrolled severe asthma to prevent concomitant therapy with another biologic listed for these indications including uncontrolled COPD.</w:t>
      </w:r>
      <w:bookmarkEnd w:id="116"/>
    </w:p>
    <w:p w14:paraId="0FC081D0" w14:textId="77777777" w:rsidR="00D92640" w:rsidRDefault="00D92640" w:rsidP="00D92640">
      <w:pPr>
        <w:spacing w:before="120"/>
      </w:pPr>
      <w:r w:rsidRPr="16667453">
        <w:t xml:space="preserve">Amend the following clinical criterion </w:t>
      </w:r>
      <w:r>
        <w:t>with the addition of the text in italics</w:t>
      </w:r>
      <w:r w:rsidRPr="16667453">
        <w:t xml:space="preserve">: </w:t>
      </w:r>
    </w:p>
    <w:tbl>
      <w:tblPr>
        <w:tblW w:w="9363" w:type="dxa"/>
        <w:tblInd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Caption w:val="Flow on changes"/>
      </w:tblPr>
      <w:tblGrid>
        <w:gridCol w:w="9363"/>
      </w:tblGrid>
      <w:tr w:rsidR="0082678D" w14:paraId="12906A06" w14:textId="77777777" w:rsidTr="0082678D">
        <w:trPr>
          <w:trHeight w:val="300"/>
        </w:trPr>
        <w:tc>
          <w:tcPr>
            <w:tcW w:w="9363" w:type="dxa"/>
            <w:tcBorders>
              <w:top w:val="single" w:sz="6" w:space="0" w:color="auto"/>
              <w:left w:val="single" w:sz="6" w:space="0" w:color="auto"/>
              <w:bottom w:val="single" w:sz="6" w:space="0" w:color="auto"/>
              <w:right w:val="single" w:sz="6" w:space="0" w:color="auto"/>
            </w:tcBorders>
            <w:vAlign w:val="center"/>
          </w:tcPr>
          <w:p w14:paraId="3886484C" w14:textId="77777777" w:rsidR="0082678D" w:rsidRDefault="0082678D" w:rsidP="00A353E1">
            <w:pPr>
              <w:rPr>
                <w:rFonts w:ascii="Arial Narrow" w:hAnsi="Arial Narrow"/>
                <w:sz w:val="20"/>
                <w:szCs w:val="20"/>
              </w:rPr>
            </w:pPr>
            <w:r w:rsidRPr="16667453">
              <w:rPr>
                <w:rFonts w:ascii="Arial Narrow" w:hAnsi="Arial Narrow"/>
                <w:b/>
                <w:bCs/>
                <w:sz w:val="20"/>
                <w:szCs w:val="20"/>
              </w:rPr>
              <w:t>Clinical criteria:</w:t>
            </w:r>
            <w:r w:rsidRPr="16667453">
              <w:rPr>
                <w:rFonts w:ascii="Arial Narrow" w:hAnsi="Arial Narrow"/>
                <w:sz w:val="20"/>
                <w:szCs w:val="20"/>
              </w:rPr>
              <w:t> </w:t>
            </w:r>
          </w:p>
        </w:tc>
      </w:tr>
      <w:tr w:rsidR="0082678D" w14:paraId="4D392B37" w14:textId="77777777" w:rsidTr="0082678D">
        <w:trPr>
          <w:trHeight w:val="300"/>
        </w:trPr>
        <w:tc>
          <w:tcPr>
            <w:tcW w:w="9363" w:type="dxa"/>
            <w:tcBorders>
              <w:top w:val="single" w:sz="6" w:space="0" w:color="auto"/>
              <w:left w:val="single" w:sz="6" w:space="0" w:color="auto"/>
              <w:bottom w:val="single" w:sz="6" w:space="0" w:color="auto"/>
              <w:right w:val="single" w:sz="6" w:space="0" w:color="auto"/>
            </w:tcBorders>
            <w:vAlign w:val="center"/>
          </w:tcPr>
          <w:p w14:paraId="3AAE567F" w14:textId="77777777" w:rsidR="0082678D" w:rsidRDefault="0082678D" w:rsidP="00A353E1">
            <w:pPr>
              <w:rPr>
                <w:rFonts w:ascii="Arial Narrow" w:eastAsia="Arial Narrow" w:hAnsi="Arial Narrow" w:cs="Arial Narrow"/>
                <w:sz w:val="20"/>
                <w:szCs w:val="20"/>
              </w:rPr>
            </w:pPr>
            <w:r w:rsidRPr="16667453">
              <w:rPr>
                <w:rFonts w:ascii="Arial Narrow" w:hAnsi="Arial Narrow"/>
                <w:sz w:val="20"/>
                <w:szCs w:val="20"/>
              </w:rPr>
              <w:t>The treatment must not be used in combination with and within 4 weeks of another PBS-subsidised biological medicine prescribed for any of: (i) nasal polyps, (ii) uncontrolled severe allergic asthma, (iii) uncontrolled severe asthma</w:t>
            </w:r>
            <w:r w:rsidRPr="000167D5">
              <w:rPr>
                <w:rFonts w:ascii="Arial Narrow" w:hAnsi="Arial Narrow"/>
                <w:sz w:val="20"/>
                <w:szCs w:val="20"/>
              </w:rPr>
              <w:t xml:space="preserve">, </w:t>
            </w:r>
            <w:r w:rsidRPr="000167D5">
              <w:rPr>
                <w:rFonts w:ascii="Arial Narrow" w:eastAsia="Arial Narrow" w:hAnsi="Arial Narrow" w:cs="Arial Narrow"/>
                <w:sz w:val="20"/>
                <w:szCs w:val="20"/>
                <w:u w:val="single"/>
              </w:rPr>
              <w:t>(</w:t>
            </w:r>
            <w:r w:rsidRPr="000167D5">
              <w:rPr>
                <w:rFonts w:ascii="Arial Narrow" w:eastAsia="Arial Narrow" w:hAnsi="Arial Narrow" w:cs="Arial Narrow"/>
                <w:i/>
                <w:iCs/>
                <w:sz w:val="20"/>
                <w:szCs w:val="20"/>
                <w:u w:val="single"/>
              </w:rPr>
              <w:t>iv) uncontrolled chronic obstructive pulmonary disease</w:t>
            </w:r>
            <w:r w:rsidRPr="00DD1F49">
              <w:rPr>
                <w:rFonts w:ascii="Arial Narrow" w:eastAsia="Arial Narrow" w:hAnsi="Arial Narrow" w:cs="Arial Narrow"/>
                <w:i/>
                <w:iCs/>
                <w:sz w:val="20"/>
                <w:szCs w:val="20"/>
              </w:rPr>
              <w:t>.</w:t>
            </w:r>
          </w:p>
        </w:tc>
      </w:tr>
    </w:tbl>
    <w:p w14:paraId="3AD1C74B" w14:textId="77777777" w:rsidR="00D92640" w:rsidRDefault="00D92640" w:rsidP="004618FC">
      <w:pPr>
        <w:tabs>
          <w:tab w:val="left" w:pos="1080"/>
        </w:tabs>
        <w:autoSpaceDE w:val="0"/>
        <w:autoSpaceDN w:val="0"/>
        <w:adjustRightInd w:val="0"/>
        <w:rPr>
          <w:rFonts w:asciiTheme="minorHAnsi" w:hAnsiTheme="minorHAnsi" w:cstheme="minorHAnsi"/>
        </w:rPr>
      </w:pPr>
    </w:p>
    <w:p w14:paraId="1C5CE3AE" w14:textId="6E1C0D48" w:rsidR="0073532F" w:rsidRPr="00331ADA" w:rsidRDefault="00CD4D07" w:rsidP="00331ADA">
      <w:pPr>
        <w:spacing w:before="120"/>
        <w:rPr>
          <w:rFonts w:asciiTheme="minorHAnsi" w:hAnsiTheme="minorHAnsi"/>
          <w:b/>
          <w:i/>
          <w:iCs/>
          <w:snapToGrid w:val="0"/>
          <w:lang w:val="en-GB"/>
        </w:rPr>
      </w:pPr>
      <w:r w:rsidRPr="00907671">
        <w:rPr>
          <w:rFonts w:asciiTheme="minorHAnsi" w:hAnsiTheme="minorHAnsi"/>
          <w:b/>
          <w:i/>
          <w:iCs/>
          <w:snapToGrid w:val="0"/>
          <w:lang w:val="en-GB"/>
        </w:rPr>
        <w:t>These restrictions may be subject to further review. Should there be any changes made to the restriction the sponsor will be informed.</w:t>
      </w:r>
      <w:bookmarkEnd w:id="60"/>
    </w:p>
    <w:p w14:paraId="24A5CB91" w14:textId="7CC6D06B" w:rsidR="0082678D" w:rsidRPr="00061CBE" w:rsidRDefault="0082678D" w:rsidP="0082678D">
      <w:pPr>
        <w:pStyle w:val="2-SectionHeading"/>
        <w:numPr>
          <w:ilvl w:val="0"/>
          <w:numId w:val="0"/>
        </w:numPr>
        <w:ind w:left="720" w:hanging="720"/>
        <w:rPr>
          <w:lang w:val="en-GB"/>
        </w:rPr>
      </w:pPr>
      <w:r>
        <w:t>9</w:t>
      </w:r>
      <w:r w:rsidRPr="00061CBE">
        <w:tab/>
        <w:t>Context for Decision</w:t>
      </w:r>
    </w:p>
    <w:p w14:paraId="077F4AD4" w14:textId="77777777" w:rsidR="0082678D" w:rsidRPr="00061CBE" w:rsidRDefault="0082678D" w:rsidP="0082678D">
      <w:pPr>
        <w:ind w:left="720"/>
        <w:rPr>
          <w:bCs/>
          <w:lang w:val="en-GB"/>
        </w:rPr>
      </w:pPr>
      <w:r w:rsidRPr="00061CBE">
        <w:rPr>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6D769B1A" w14:textId="14644DEE" w:rsidR="0082678D" w:rsidRPr="00331ADA" w:rsidRDefault="0082678D" w:rsidP="00331ADA">
      <w:pPr>
        <w:pStyle w:val="2-SectionHeading"/>
        <w:numPr>
          <w:ilvl w:val="0"/>
          <w:numId w:val="0"/>
        </w:numPr>
        <w:ind w:left="720" w:hanging="720"/>
      </w:pPr>
      <w:r>
        <w:t>10</w:t>
      </w:r>
      <w:r w:rsidRPr="00061CBE">
        <w:tab/>
        <w:t>Sponsor’s Comment</w:t>
      </w:r>
    </w:p>
    <w:p w14:paraId="0461527A" w14:textId="752D7F39" w:rsidR="0082678D" w:rsidRPr="0073532F" w:rsidRDefault="0082678D" w:rsidP="0082678D">
      <w:pPr>
        <w:ind w:firstLine="720"/>
      </w:pPr>
      <w:r w:rsidRPr="00061CBE">
        <w:rPr>
          <w:bCs/>
        </w:rPr>
        <w:t>The sponsor had no comment.</w:t>
      </w:r>
    </w:p>
    <w:sectPr w:rsidR="0082678D" w:rsidRPr="0073532F" w:rsidSect="00AC05DD">
      <w:headerReference w:type="even" r:id="rId14"/>
      <w:headerReference w:type="default" r:id="rId15"/>
      <w:footerReference w:type="even" r:id="rId16"/>
      <w:footerReference w:type="default" r:id="rId17"/>
      <w:headerReference w:type="first" r:id="rId18"/>
      <w:footerReference w:type="first" r:id="rId19"/>
      <w:pgSz w:w="11900"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BF6D7" w14:textId="77777777" w:rsidR="00731495" w:rsidRDefault="00731495" w:rsidP="00124A51">
      <w:r>
        <w:separator/>
      </w:r>
    </w:p>
    <w:p w14:paraId="22395127" w14:textId="77777777" w:rsidR="00731495" w:rsidRDefault="00731495"/>
  </w:endnote>
  <w:endnote w:type="continuationSeparator" w:id="0">
    <w:p w14:paraId="51151AD2" w14:textId="77777777" w:rsidR="00731495" w:rsidRDefault="00731495" w:rsidP="00124A51">
      <w:r>
        <w:continuationSeparator/>
      </w:r>
    </w:p>
    <w:p w14:paraId="31B2B7FE" w14:textId="77777777" w:rsidR="00731495" w:rsidRDefault="007314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inionPro-Regular">
    <w:altName w:val="Cambria Math"/>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F2477" w14:textId="54E56A09" w:rsidR="00036FA0" w:rsidRDefault="009704A1">
    <w:pPr>
      <w:pStyle w:val="Footer"/>
    </w:pPr>
    <w:r>
      <w:rPr>
        <w:noProof/>
      </w:rPr>
      <mc:AlternateContent>
        <mc:Choice Requires="wps">
          <w:drawing>
            <wp:anchor distT="0" distB="0" distL="0" distR="0" simplePos="0" relativeHeight="251663362" behindDoc="0" locked="0" layoutInCell="1" allowOverlap="1" wp14:anchorId="0021AE72" wp14:editId="19274864">
              <wp:simplePos x="635" y="635"/>
              <wp:positionH relativeFrom="page">
                <wp:align>center</wp:align>
              </wp:positionH>
              <wp:positionV relativeFrom="page">
                <wp:align>bottom</wp:align>
              </wp:positionV>
              <wp:extent cx="622300" cy="376555"/>
              <wp:effectExtent l="0" t="0" r="6350" b="0"/>
              <wp:wrapNone/>
              <wp:docPr id="105021371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BDD13E4" w14:textId="5B50CDEB" w:rsidR="009704A1" w:rsidRPr="009704A1" w:rsidRDefault="009704A1" w:rsidP="009704A1">
                          <w:pPr>
                            <w:rPr>
                              <w:rFonts w:ascii="Aptos" w:eastAsia="Aptos" w:hAnsi="Aptos" w:cs="Aptos"/>
                              <w:noProof/>
                              <w:color w:val="FF0000"/>
                            </w:rPr>
                          </w:pPr>
                          <w:r w:rsidRPr="009704A1">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21AE72" id="_x0000_t202" coordsize="21600,21600" o:spt="202" path="m,l,21600r21600,l21600,xe">
              <v:stroke joinstyle="miter"/>
              <v:path gradientshapeok="t" o:connecttype="rect"/>
            </v:shapetype>
            <v:shape id="Text Box 5" o:spid="_x0000_s1029" type="#_x0000_t202" alt="OFFICIAL" style="position:absolute;left:0;text-align:left;margin-left:0;margin-top:0;width:49pt;height:29.65pt;z-index:25166336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2BDD13E4" w14:textId="5B50CDEB" w:rsidR="009704A1" w:rsidRPr="009704A1" w:rsidRDefault="009704A1" w:rsidP="009704A1">
                    <w:pPr>
                      <w:rPr>
                        <w:rFonts w:ascii="Aptos" w:eastAsia="Aptos" w:hAnsi="Aptos" w:cs="Aptos"/>
                        <w:noProof/>
                        <w:color w:val="FF0000"/>
                      </w:rPr>
                    </w:pPr>
                    <w:r w:rsidRPr="009704A1">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10206" w14:textId="08170CCE" w:rsidR="00C029C0" w:rsidRDefault="009704A1" w:rsidP="00C029C0">
    <w:pPr>
      <w:pStyle w:val="Footer"/>
    </w:pPr>
    <w:r>
      <w:rPr>
        <w:noProof/>
      </w:rPr>
      <mc:AlternateContent>
        <mc:Choice Requires="wps">
          <w:drawing>
            <wp:anchor distT="0" distB="0" distL="0" distR="0" simplePos="0" relativeHeight="251664386" behindDoc="0" locked="0" layoutInCell="1" allowOverlap="1" wp14:anchorId="7752F0B5" wp14:editId="0A251ACD">
              <wp:simplePos x="635" y="635"/>
              <wp:positionH relativeFrom="page">
                <wp:align>center</wp:align>
              </wp:positionH>
              <wp:positionV relativeFrom="page">
                <wp:align>bottom</wp:align>
              </wp:positionV>
              <wp:extent cx="622300" cy="376555"/>
              <wp:effectExtent l="0" t="0" r="6350" b="0"/>
              <wp:wrapNone/>
              <wp:docPr id="49431299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65FF656" w14:textId="0A7A2965" w:rsidR="009704A1" w:rsidRPr="009704A1" w:rsidRDefault="009704A1" w:rsidP="009704A1">
                          <w:pPr>
                            <w:rPr>
                              <w:rFonts w:ascii="Aptos" w:eastAsia="Aptos" w:hAnsi="Aptos" w:cs="Aptos"/>
                              <w:noProof/>
                              <w:color w:val="FF0000"/>
                            </w:rPr>
                          </w:pPr>
                          <w:r w:rsidRPr="009704A1">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52F0B5" id="_x0000_t202" coordsize="21600,21600" o:spt="202" path="m,l,21600r21600,l21600,xe">
              <v:stroke joinstyle="miter"/>
              <v:path gradientshapeok="t" o:connecttype="rect"/>
            </v:shapetype>
            <v:shape id="Text Box 6" o:spid="_x0000_s1030" type="#_x0000_t202" alt="OFFICIAL" style="position:absolute;left:0;text-align:left;margin-left:0;margin-top:0;width:49pt;height:29.65pt;z-index:25166438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665FF656" w14:textId="0A7A2965" w:rsidR="009704A1" w:rsidRPr="009704A1" w:rsidRDefault="009704A1" w:rsidP="009704A1">
                    <w:pPr>
                      <w:rPr>
                        <w:rFonts w:ascii="Aptos" w:eastAsia="Aptos" w:hAnsi="Aptos" w:cs="Aptos"/>
                        <w:noProof/>
                        <w:color w:val="FF0000"/>
                      </w:rPr>
                    </w:pPr>
                    <w:r w:rsidRPr="009704A1">
                      <w:rPr>
                        <w:rFonts w:ascii="Aptos" w:eastAsia="Aptos" w:hAnsi="Aptos" w:cs="Aptos"/>
                        <w:noProof/>
                        <w:color w:val="FF0000"/>
                      </w:rPr>
                      <w:t>OFFICIAL</w:t>
                    </w:r>
                  </w:p>
                </w:txbxContent>
              </v:textbox>
              <w10:wrap anchorx="page" anchory="page"/>
            </v:shape>
          </w:pict>
        </mc:Fallback>
      </mc:AlternateContent>
    </w:r>
  </w:p>
  <w:p w14:paraId="6CC745B7" w14:textId="42461EAD" w:rsidR="00C029C0" w:rsidRPr="00705529" w:rsidRDefault="00731495" w:rsidP="006028D3">
    <w:pPr>
      <w:pStyle w:val="PageFooter"/>
      <w:rPr>
        <w:noProof/>
      </w:rPr>
    </w:pPr>
    <w:sdt>
      <w:sdtPr>
        <w:id w:val="-2094156023"/>
        <w:docPartObj>
          <w:docPartGallery w:val="Page Numbers (Bottom of Page)"/>
          <w:docPartUnique/>
        </w:docPartObj>
      </w:sdtPr>
      <w:sdtEndPr>
        <w:rPr>
          <w:noProof/>
        </w:rPr>
      </w:sdtEndPr>
      <w:sdtContent>
        <w:r w:rsidR="00C029C0" w:rsidRPr="00705529">
          <w:fldChar w:fldCharType="begin"/>
        </w:r>
        <w:r w:rsidR="00C029C0" w:rsidRPr="00705529">
          <w:instrText xml:space="preserve"> PAGE   \* MERGEFORMAT </w:instrText>
        </w:r>
        <w:r w:rsidR="00C029C0" w:rsidRPr="00705529">
          <w:fldChar w:fldCharType="separate"/>
        </w:r>
        <w:r w:rsidR="00C029C0" w:rsidRPr="00705529">
          <w:rPr>
            <w:noProof/>
          </w:rPr>
          <w:t>2</w:t>
        </w:r>
        <w:r w:rsidR="00C029C0" w:rsidRPr="00705529">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C9172" w14:textId="61BCB901" w:rsidR="00036FA0" w:rsidRDefault="009704A1">
    <w:pPr>
      <w:pStyle w:val="Footer"/>
    </w:pPr>
    <w:r>
      <w:rPr>
        <w:noProof/>
      </w:rPr>
      <mc:AlternateContent>
        <mc:Choice Requires="wps">
          <w:drawing>
            <wp:anchor distT="0" distB="0" distL="0" distR="0" simplePos="0" relativeHeight="251662338" behindDoc="0" locked="0" layoutInCell="1" allowOverlap="1" wp14:anchorId="20125619" wp14:editId="735AEAFE">
              <wp:simplePos x="635" y="635"/>
              <wp:positionH relativeFrom="page">
                <wp:align>center</wp:align>
              </wp:positionH>
              <wp:positionV relativeFrom="page">
                <wp:align>bottom</wp:align>
              </wp:positionV>
              <wp:extent cx="622300" cy="376555"/>
              <wp:effectExtent l="0" t="0" r="6350" b="0"/>
              <wp:wrapNone/>
              <wp:docPr id="78161549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7AB18EB" w14:textId="09E7B7FB" w:rsidR="009704A1" w:rsidRPr="009704A1" w:rsidRDefault="009704A1" w:rsidP="009704A1">
                          <w:pPr>
                            <w:rPr>
                              <w:rFonts w:ascii="Aptos" w:eastAsia="Aptos" w:hAnsi="Aptos" w:cs="Aptos"/>
                              <w:noProof/>
                              <w:color w:val="FF0000"/>
                            </w:rPr>
                          </w:pPr>
                          <w:r w:rsidRPr="009704A1">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125619" id="_x0000_t202" coordsize="21600,21600" o:spt="202" path="m,l,21600r21600,l21600,xe">
              <v:stroke joinstyle="miter"/>
              <v:path gradientshapeok="t" o:connecttype="rect"/>
            </v:shapetype>
            <v:shape id="Text Box 4" o:spid="_x0000_s1032" type="#_x0000_t202" alt="OFFICIAL" style="position:absolute;left:0;text-align:left;margin-left:0;margin-top:0;width:49pt;height:29.65pt;z-index:25166233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47AB18EB" w14:textId="09E7B7FB" w:rsidR="009704A1" w:rsidRPr="009704A1" w:rsidRDefault="009704A1" w:rsidP="009704A1">
                    <w:pPr>
                      <w:rPr>
                        <w:rFonts w:ascii="Aptos" w:eastAsia="Aptos" w:hAnsi="Aptos" w:cs="Aptos"/>
                        <w:noProof/>
                        <w:color w:val="FF0000"/>
                      </w:rPr>
                    </w:pPr>
                    <w:r w:rsidRPr="009704A1">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09145" w14:textId="77777777" w:rsidR="00731495" w:rsidRDefault="00731495" w:rsidP="00124A51">
      <w:r>
        <w:separator/>
      </w:r>
    </w:p>
    <w:p w14:paraId="56A1CD0C" w14:textId="77777777" w:rsidR="00731495" w:rsidRDefault="00731495"/>
  </w:footnote>
  <w:footnote w:type="continuationSeparator" w:id="0">
    <w:p w14:paraId="07F4FEA2" w14:textId="77777777" w:rsidR="00731495" w:rsidRDefault="00731495" w:rsidP="00124A51">
      <w:r>
        <w:continuationSeparator/>
      </w:r>
    </w:p>
    <w:p w14:paraId="5CD95382" w14:textId="77777777" w:rsidR="00731495" w:rsidRDefault="00731495"/>
  </w:footnote>
  <w:footnote w:id="1">
    <w:p w14:paraId="7A38AD5C" w14:textId="02C0D8B8" w:rsidR="00C552B5" w:rsidRDefault="00C552B5">
      <w:pPr>
        <w:pStyle w:val="FootnoteText"/>
      </w:pPr>
      <w:r>
        <w:rPr>
          <w:rStyle w:val="FootnoteReference"/>
        </w:rPr>
        <w:footnoteRef/>
      </w:r>
      <w:r>
        <w:t xml:space="preserve"> </w:t>
      </w:r>
      <w:r w:rsidR="00BD3EA2" w:rsidRPr="00BD3EA2">
        <w:t>Global Initiative for Chronic Obstructive Lung Disease (GOLD)</w:t>
      </w:r>
      <w:r w:rsidR="00BD3EA2">
        <w:t xml:space="preserve">, </w:t>
      </w:r>
      <w:r w:rsidR="00BD3EA2" w:rsidRPr="00BD3EA2">
        <w:t>Global strategy for the diagnosis, management, and prevention of chronic obstructive lung disease</w:t>
      </w:r>
      <w:r w:rsidR="00BD3EA2">
        <w:t>, 2026 Report.</w:t>
      </w:r>
    </w:p>
  </w:footnote>
  <w:footnote w:id="2">
    <w:p w14:paraId="1E8400E9" w14:textId="39690A9C" w:rsidR="00EB6ADE" w:rsidRDefault="00EB6ADE">
      <w:pPr>
        <w:pStyle w:val="FootnoteText"/>
      </w:pPr>
      <w:r>
        <w:rPr>
          <w:rStyle w:val="FootnoteReference"/>
        </w:rPr>
        <w:footnoteRef/>
      </w:r>
      <w:r>
        <w:t xml:space="preserve"> </w:t>
      </w:r>
      <w:r w:rsidRPr="00BD3EA2">
        <w:t>Global Initiative for Chronic Obstructive Lung Disease (GOLD)</w:t>
      </w:r>
      <w:r>
        <w:t xml:space="preserve">, </w:t>
      </w:r>
      <w:r w:rsidRPr="00BD3EA2">
        <w:t>Global strategy for the diagnosis, management, and prevention of chronic obstructive lung disease</w:t>
      </w:r>
      <w:r>
        <w:t>, 2026 Report.</w:t>
      </w:r>
    </w:p>
  </w:footnote>
  <w:footnote w:id="3">
    <w:p w14:paraId="45074371" w14:textId="77777777" w:rsidR="00966FDD" w:rsidRPr="00E26A86" w:rsidRDefault="00966FDD" w:rsidP="00966FDD">
      <w:pPr>
        <w:pStyle w:val="FootnoteText"/>
        <w:rPr>
          <w:lang w:val="en-GB"/>
        </w:rPr>
      </w:pPr>
      <w:r>
        <w:rPr>
          <w:rStyle w:val="FootnoteReference"/>
        </w:rPr>
        <w:footnoteRef/>
      </w:r>
      <w:r w:rsidRPr="00F778C8">
        <w:rPr>
          <w:lang w:val="fr-CH"/>
        </w:rPr>
        <w:t xml:space="preserve"> Alqahtani, J.S. </w:t>
      </w:r>
      <w:r w:rsidRPr="00F778C8">
        <w:rPr>
          <w:i/>
          <w:iCs/>
          <w:lang w:val="fr-CH"/>
        </w:rPr>
        <w:t>et al.</w:t>
      </w:r>
      <w:r w:rsidRPr="00F778C8">
        <w:rPr>
          <w:lang w:val="fr-CH"/>
        </w:rPr>
        <w:t xml:space="preserve"> </w:t>
      </w:r>
      <w:r w:rsidRPr="00E26A86">
        <w:rPr>
          <w:lang w:val="en-GB"/>
        </w:rPr>
        <w:t xml:space="preserve">(2021) ‘Reduction in hospitalised COPD exacerbations during COVID-19: A systematic review and meta-analysis’, </w:t>
      </w:r>
      <w:r w:rsidRPr="00E26A86">
        <w:rPr>
          <w:i/>
          <w:iCs/>
          <w:lang w:val="en-GB"/>
        </w:rPr>
        <w:t>PLOS ONE</w:t>
      </w:r>
      <w:r w:rsidRPr="00E26A86">
        <w:rPr>
          <w:lang w:val="en-GB"/>
        </w:rPr>
        <w:t xml:space="preserve">, 16(8). doi:10.1371/journal.pone.0255659. </w:t>
      </w:r>
    </w:p>
  </w:footnote>
  <w:footnote w:id="4">
    <w:p w14:paraId="78276C58" w14:textId="7884E90D" w:rsidR="00A77038" w:rsidRDefault="00A77038" w:rsidP="00FF0228">
      <w:pPr>
        <w:pStyle w:val="FootnoteText"/>
        <w:jc w:val="left"/>
      </w:pPr>
      <w:r>
        <w:rPr>
          <w:rStyle w:val="FootnoteReference"/>
        </w:rPr>
        <w:footnoteRef/>
      </w:r>
      <w:r>
        <w:t xml:space="preserve"> Alma, H. et al. (2018) ‘Clinically relevant differences in COPD health status: Systematic review and triangulation’, European Respiratory Journal, 52(3), p. 1800412. doi:10.1183/13993003.00412-2018.</w:t>
      </w:r>
    </w:p>
  </w:footnote>
  <w:footnote w:id="5">
    <w:p w14:paraId="454D4264" w14:textId="77777777" w:rsidR="00A979D9" w:rsidRPr="00A1568F" w:rsidRDefault="00A979D9" w:rsidP="00A979D9">
      <w:pPr>
        <w:pStyle w:val="FootnoteText"/>
        <w:rPr>
          <w:sz w:val="18"/>
          <w:szCs w:val="18"/>
        </w:rPr>
      </w:pPr>
      <w:r w:rsidRPr="00A1568F">
        <w:rPr>
          <w:rStyle w:val="FootnoteReference"/>
          <w:sz w:val="18"/>
          <w:szCs w:val="18"/>
        </w:rPr>
        <w:footnoteRef/>
      </w:r>
      <w:r w:rsidRPr="00A1568F">
        <w:rPr>
          <w:sz w:val="18"/>
          <w:szCs w:val="18"/>
        </w:rPr>
        <w:t xml:space="preserve"> Bhatt, S.P., Freemantle, N., Soliman, M., Heble, J., Yann Cabon, Herrera, E.M., Yang, J. and Xu, Y. (2025). Dupilumab Versus Mepolizumab for COPD: Evaluating Efficacy Outcomes Using Placebo-Adjusted Indirect Treatment Comparison. Pulmonary Therapy. https://doi.org/10.1007/s41030-025-00322-1.</w:t>
      </w:r>
    </w:p>
  </w:footnote>
  <w:footnote w:id="6">
    <w:p w14:paraId="3FF8D32A" w14:textId="77777777" w:rsidR="00A979D9" w:rsidRDefault="00A979D9" w:rsidP="00A979D9">
      <w:pPr>
        <w:pStyle w:val="FootnoteText"/>
      </w:pPr>
      <w:r w:rsidRPr="0091488C">
        <w:rPr>
          <w:sz w:val="18"/>
          <w:szCs w:val="18"/>
          <w:vertAlign w:val="superscript"/>
        </w:rPr>
        <w:footnoteRef/>
      </w:r>
      <w:r w:rsidRPr="00A1568F">
        <w:rPr>
          <w:sz w:val="18"/>
          <w:szCs w:val="18"/>
        </w:rPr>
        <w:t xml:space="preserve"> Suter, P., Greig, R., Chan, R. and </w:t>
      </w:r>
      <w:proofErr w:type="spellStart"/>
      <w:r w:rsidRPr="00A1568F">
        <w:rPr>
          <w:sz w:val="18"/>
          <w:szCs w:val="18"/>
        </w:rPr>
        <w:t>Lipworth</w:t>
      </w:r>
      <w:proofErr w:type="spellEnd"/>
      <w:r w:rsidRPr="00A1568F">
        <w:rPr>
          <w:sz w:val="18"/>
          <w:szCs w:val="18"/>
        </w:rPr>
        <w:t>, B. (2025). Efficacy of dupilumab and mepolizumab in eosinophilic COPD: insights from phase 3 trials. Respiratory Medicine, 248, p.108343. https://doi.org/10.1016/j.rmed.2025.108343.</w:t>
      </w:r>
    </w:p>
  </w:footnote>
  <w:footnote w:id="7">
    <w:p w14:paraId="1543CFAF" w14:textId="0D390BF4" w:rsidR="00AC64A4" w:rsidRPr="00A67C89" w:rsidRDefault="00AC64A4" w:rsidP="00AC64A4">
      <w:pPr>
        <w:pStyle w:val="FootnoteText"/>
        <w:rPr>
          <w:lang w:val="en-US"/>
        </w:rPr>
      </w:pPr>
      <w:r>
        <w:rPr>
          <w:rStyle w:val="FootnoteReference"/>
        </w:rPr>
        <w:footnoteRef/>
      </w:r>
      <w:r>
        <w:t xml:space="preserve"> Santa et al., (2022), </w:t>
      </w:r>
      <w:r w:rsidRPr="00390DF0">
        <w:t>Severe exacerbations and mortality in COPD patients: A</w:t>
      </w:r>
      <w:r>
        <w:t xml:space="preserve"> </w:t>
      </w:r>
      <w:r w:rsidRPr="00390DF0">
        <w:t>retrospective analysis of the database of the Hungarian</w:t>
      </w:r>
      <w:r>
        <w:t xml:space="preserve"> </w:t>
      </w:r>
      <w:r w:rsidRPr="00390DF0">
        <w:t>National Health Insurance Fund</w:t>
      </w:r>
      <w:r>
        <w:t xml:space="preserve">, </w:t>
      </w:r>
      <w:r w:rsidRPr="00CA1887">
        <w:rPr>
          <w:i/>
          <w:iCs/>
        </w:rPr>
        <w:t>Pulmonology</w:t>
      </w:r>
      <w:r>
        <w:t xml:space="preserve"> 29 (2023), pp 284-291,  </w:t>
      </w:r>
      <w:r w:rsidRPr="003F19BA">
        <w:t>https://doi.org/10.1016/j.pulmoe.2022.11.001</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B4002" w14:textId="31686949" w:rsidR="00036FA0" w:rsidRDefault="009704A1">
    <w:pPr>
      <w:pStyle w:val="Header"/>
    </w:pPr>
    <w:r>
      <w:rPr>
        <w:noProof/>
      </w:rPr>
      <mc:AlternateContent>
        <mc:Choice Requires="wps">
          <w:drawing>
            <wp:anchor distT="0" distB="0" distL="0" distR="0" simplePos="0" relativeHeight="251660290" behindDoc="0" locked="0" layoutInCell="1" allowOverlap="1" wp14:anchorId="0D9BE6AC" wp14:editId="73BC2D86">
              <wp:simplePos x="635" y="635"/>
              <wp:positionH relativeFrom="page">
                <wp:align>center</wp:align>
              </wp:positionH>
              <wp:positionV relativeFrom="page">
                <wp:align>top</wp:align>
              </wp:positionV>
              <wp:extent cx="622300" cy="376555"/>
              <wp:effectExtent l="0" t="0" r="6350" b="4445"/>
              <wp:wrapNone/>
              <wp:docPr id="128759991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EB66CCB" w14:textId="077870E1" w:rsidR="009704A1" w:rsidRPr="009704A1" w:rsidRDefault="009704A1" w:rsidP="009704A1">
                          <w:pPr>
                            <w:rPr>
                              <w:rFonts w:ascii="Aptos" w:eastAsia="Aptos" w:hAnsi="Aptos" w:cs="Aptos"/>
                              <w:noProof/>
                              <w:color w:val="FF0000"/>
                            </w:rPr>
                          </w:pPr>
                          <w:r w:rsidRPr="009704A1">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9BE6AC" id="_x0000_t202" coordsize="21600,21600" o:spt="202" path="m,l,21600r21600,l21600,xe">
              <v:stroke joinstyle="miter"/>
              <v:path gradientshapeok="t" o:connecttype="rect"/>
            </v:shapetype>
            <v:shape id="Text Box 2" o:spid="_x0000_s1027" type="#_x0000_t202" alt="OFFICIAL" style="position:absolute;left:0;text-align:left;margin-left:0;margin-top:0;width:49pt;height:29.65pt;z-index:25166029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0EB66CCB" w14:textId="077870E1" w:rsidR="009704A1" w:rsidRPr="009704A1" w:rsidRDefault="009704A1" w:rsidP="009704A1">
                    <w:pPr>
                      <w:rPr>
                        <w:rFonts w:ascii="Aptos" w:eastAsia="Aptos" w:hAnsi="Aptos" w:cs="Aptos"/>
                        <w:noProof/>
                        <w:color w:val="FF0000"/>
                      </w:rPr>
                    </w:pPr>
                    <w:r w:rsidRPr="009704A1">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63787" w14:textId="3AAB10E3" w:rsidR="00A81687" w:rsidRDefault="009704A1" w:rsidP="00911779">
    <w:pPr>
      <w:pStyle w:val="Header"/>
      <w:rPr>
        <w:rFonts w:asciiTheme="minorHAnsi" w:hAnsiTheme="minorHAnsi"/>
        <w:i w:val="0"/>
        <w:color w:val="808080"/>
      </w:rPr>
    </w:pPr>
    <w:r>
      <w:rPr>
        <w:rFonts w:asciiTheme="minorHAnsi" w:hAnsiTheme="minorHAnsi"/>
        <w:noProof/>
        <w:color w:val="808080"/>
      </w:rPr>
      <mc:AlternateContent>
        <mc:Choice Requires="wps">
          <w:drawing>
            <wp:anchor distT="0" distB="0" distL="0" distR="0" simplePos="0" relativeHeight="251661314" behindDoc="0" locked="0" layoutInCell="1" allowOverlap="1" wp14:anchorId="4FB39CD8" wp14:editId="3B25A5FE">
              <wp:simplePos x="635" y="635"/>
              <wp:positionH relativeFrom="page">
                <wp:align>center</wp:align>
              </wp:positionH>
              <wp:positionV relativeFrom="page">
                <wp:align>top</wp:align>
              </wp:positionV>
              <wp:extent cx="622300" cy="376555"/>
              <wp:effectExtent l="0" t="0" r="6350" b="4445"/>
              <wp:wrapNone/>
              <wp:docPr id="44439073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5B39D97" w14:textId="16B193E2" w:rsidR="009704A1" w:rsidRPr="009704A1" w:rsidRDefault="009704A1" w:rsidP="009704A1">
                          <w:pPr>
                            <w:rPr>
                              <w:rFonts w:ascii="Aptos" w:eastAsia="Aptos" w:hAnsi="Aptos" w:cs="Aptos"/>
                              <w:noProof/>
                              <w:color w:val="FF0000"/>
                            </w:rPr>
                          </w:pPr>
                          <w:r w:rsidRPr="009704A1">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B39CD8" id="_x0000_t202" coordsize="21600,21600" o:spt="202" path="m,l,21600r21600,l21600,xe">
              <v:stroke joinstyle="miter"/>
              <v:path gradientshapeok="t" o:connecttype="rect"/>
            </v:shapetype>
            <v:shape id="Text Box 3" o:spid="_x0000_s1028" type="#_x0000_t202" alt="OFFICIAL" style="position:absolute;left:0;text-align:left;margin-left:0;margin-top:0;width:49pt;height:29.65pt;z-index:25166131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45B39D97" w14:textId="16B193E2" w:rsidR="009704A1" w:rsidRPr="009704A1" w:rsidRDefault="009704A1" w:rsidP="009704A1">
                    <w:pPr>
                      <w:rPr>
                        <w:rFonts w:ascii="Aptos" w:eastAsia="Aptos" w:hAnsi="Aptos" w:cs="Aptos"/>
                        <w:noProof/>
                        <w:color w:val="FF0000"/>
                      </w:rPr>
                    </w:pPr>
                    <w:r w:rsidRPr="009704A1">
                      <w:rPr>
                        <w:rFonts w:ascii="Aptos" w:eastAsia="Aptos" w:hAnsi="Aptos" w:cs="Aptos"/>
                        <w:noProof/>
                        <w:color w:val="FF0000"/>
                      </w:rPr>
                      <w:t>OFFICIAL</w:t>
                    </w:r>
                  </w:p>
                </w:txbxContent>
              </v:textbox>
              <w10:wrap anchorx="page" anchory="page"/>
            </v:shape>
          </w:pict>
        </mc:Fallback>
      </mc:AlternateContent>
    </w:r>
    <w:r w:rsidR="00911779">
      <w:rPr>
        <w:rFonts w:asciiTheme="minorHAnsi" w:hAnsiTheme="minorHAnsi"/>
        <w:color w:val="808080"/>
      </w:rPr>
      <w:t>Public Summary Document</w:t>
    </w:r>
    <w:r w:rsidR="00DB0F64">
      <w:rPr>
        <w:rFonts w:asciiTheme="minorHAnsi" w:hAnsiTheme="minorHAnsi"/>
        <w:color w:val="808080"/>
      </w:rPr>
      <w:t xml:space="preserve"> </w:t>
    </w:r>
    <w:r w:rsidR="00705529">
      <w:rPr>
        <w:rFonts w:asciiTheme="minorHAnsi" w:hAnsiTheme="minorHAnsi" w:cstheme="minorHAnsi"/>
        <w:color w:val="808080"/>
      </w:rPr>
      <w:t>–</w:t>
    </w:r>
    <w:r w:rsidR="00705529">
      <w:rPr>
        <w:rFonts w:asciiTheme="minorHAnsi" w:hAnsiTheme="minorHAnsi"/>
        <w:color w:val="808080"/>
      </w:rPr>
      <w:t xml:space="preserve"> </w:t>
    </w:r>
    <w:r w:rsidR="00D01273">
      <w:rPr>
        <w:rFonts w:asciiTheme="minorHAnsi" w:hAnsiTheme="minorHAnsi"/>
        <w:color w:val="808080"/>
      </w:rPr>
      <w:t xml:space="preserve">March 2026 </w:t>
    </w:r>
    <w:r w:rsidR="00D01273" w:rsidRPr="00195452">
      <w:rPr>
        <w:rFonts w:asciiTheme="minorHAnsi" w:hAnsiTheme="minorHAnsi"/>
        <w:color w:val="808080"/>
      </w:rPr>
      <w:t>PBAC Meeting</w:t>
    </w:r>
  </w:p>
  <w:p w14:paraId="4B0411D3" w14:textId="77777777" w:rsidR="00AF63B9" w:rsidRDefault="00AF63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A9CDF" w14:textId="08516657" w:rsidR="00036FA0" w:rsidRDefault="009704A1">
    <w:pPr>
      <w:pStyle w:val="Header"/>
    </w:pPr>
    <w:r>
      <w:rPr>
        <w:noProof/>
      </w:rPr>
      <mc:AlternateContent>
        <mc:Choice Requires="wps">
          <w:drawing>
            <wp:anchor distT="0" distB="0" distL="0" distR="0" simplePos="0" relativeHeight="251659266" behindDoc="0" locked="0" layoutInCell="1" allowOverlap="1" wp14:anchorId="35CFC803" wp14:editId="50E886A4">
              <wp:simplePos x="635" y="635"/>
              <wp:positionH relativeFrom="page">
                <wp:align>center</wp:align>
              </wp:positionH>
              <wp:positionV relativeFrom="page">
                <wp:align>top</wp:align>
              </wp:positionV>
              <wp:extent cx="622300" cy="376555"/>
              <wp:effectExtent l="0" t="0" r="6350" b="4445"/>
              <wp:wrapNone/>
              <wp:docPr id="5215916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34D8BD8" w14:textId="10FAC2B3" w:rsidR="009704A1" w:rsidRPr="009704A1" w:rsidRDefault="009704A1" w:rsidP="009704A1">
                          <w:pPr>
                            <w:rPr>
                              <w:rFonts w:ascii="Aptos" w:eastAsia="Aptos" w:hAnsi="Aptos" w:cs="Aptos"/>
                              <w:noProof/>
                              <w:color w:val="FF0000"/>
                            </w:rPr>
                          </w:pPr>
                          <w:r w:rsidRPr="009704A1">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CFC803" id="_x0000_t202" coordsize="21600,21600" o:spt="202" path="m,l,21600r21600,l21600,xe">
              <v:stroke joinstyle="miter"/>
              <v:path gradientshapeok="t" o:connecttype="rect"/>
            </v:shapetype>
            <v:shape id="Text Box 1" o:spid="_x0000_s1031" type="#_x0000_t202" alt="OFFICIAL" style="position:absolute;left:0;text-align:left;margin-left:0;margin-top:0;width:49pt;height:29.65pt;z-index:25165926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434D8BD8" w14:textId="10FAC2B3" w:rsidR="009704A1" w:rsidRPr="009704A1" w:rsidRDefault="009704A1" w:rsidP="009704A1">
                    <w:pPr>
                      <w:rPr>
                        <w:rFonts w:ascii="Aptos" w:eastAsia="Aptos" w:hAnsi="Aptos" w:cs="Aptos"/>
                        <w:noProof/>
                        <w:color w:val="FF0000"/>
                      </w:rPr>
                    </w:pPr>
                    <w:r w:rsidRPr="009704A1">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2C108C"/>
    <w:multiLevelType w:val="hybridMultilevel"/>
    <w:tmpl w:val="12A238C2"/>
    <w:lvl w:ilvl="0" w:tplc="0C090001">
      <w:start w:val="1"/>
      <w:numFmt w:val="bullet"/>
      <w:lvlText w:val=""/>
      <w:lvlJc w:val="left"/>
      <w:pPr>
        <w:ind w:left="1069" w:hanging="360"/>
      </w:pPr>
      <w:rPr>
        <w:rFonts w:ascii="Symbol" w:hAnsi="Symbol" w:hint="default"/>
      </w:rPr>
    </w:lvl>
    <w:lvl w:ilvl="1" w:tplc="0C090003">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2" w15:restartNumberingAfterBreak="0">
    <w:nsid w:val="0E9766C6"/>
    <w:multiLevelType w:val="hybridMultilevel"/>
    <w:tmpl w:val="226CD64C"/>
    <w:lvl w:ilvl="0" w:tplc="5CD81C9C">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F0D23CC"/>
    <w:multiLevelType w:val="hybridMultilevel"/>
    <w:tmpl w:val="8076C0D0"/>
    <w:lvl w:ilvl="0" w:tplc="9FB426C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237185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9C30D63"/>
    <w:multiLevelType w:val="hybridMultilevel"/>
    <w:tmpl w:val="6D2CA58A"/>
    <w:lvl w:ilvl="0" w:tplc="FFFFFFFF">
      <w:start w:val="1"/>
      <w:numFmt w:val="lowerRoman"/>
      <w:lvlText w:val="(%1)"/>
      <w:lvlJc w:val="left"/>
      <w:pPr>
        <w:ind w:left="663" w:hanging="720"/>
      </w:pPr>
      <w:rPr>
        <w:rFonts w:ascii="Arial Narrow" w:eastAsia="Times New Roman" w:hAnsi="Arial Narrow" w:cs="Arial"/>
      </w:rPr>
    </w:lvl>
    <w:lvl w:ilvl="1" w:tplc="FFFFFFFF" w:tentative="1">
      <w:start w:val="1"/>
      <w:numFmt w:val="lowerLetter"/>
      <w:lvlText w:val="%2."/>
      <w:lvlJc w:val="left"/>
      <w:pPr>
        <w:ind w:left="1023" w:hanging="360"/>
      </w:pPr>
    </w:lvl>
    <w:lvl w:ilvl="2" w:tplc="FFFFFFFF" w:tentative="1">
      <w:start w:val="1"/>
      <w:numFmt w:val="lowerRoman"/>
      <w:lvlText w:val="%3."/>
      <w:lvlJc w:val="right"/>
      <w:pPr>
        <w:ind w:left="1743" w:hanging="180"/>
      </w:pPr>
    </w:lvl>
    <w:lvl w:ilvl="3" w:tplc="FFFFFFFF" w:tentative="1">
      <w:start w:val="1"/>
      <w:numFmt w:val="decimal"/>
      <w:lvlText w:val="%4."/>
      <w:lvlJc w:val="left"/>
      <w:pPr>
        <w:ind w:left="2463" w:hanging="360"/>
      </w:pPr>
    </w:lvl>
    <w:lvl w:ilvl="4" w:tplc="FFFFFFFF" w:tentative="1">
      <w:start w:val="1"/>
      <w:numFmt w:val="lowerLetter"/>
      <w:lvlText w:val="%5."/>
      <w:lvlJc w:val="left"/>
      <w:pPr>
        <w:ind w:left="3183" w:hanging="360"/>
      </w:pPr>
    </w:lvl>
    <w:lvl w:ilvl="5" w:tplc="FFFFFFFF" w:tentative="1">
      <w:start w:val="1"/>
      <w:numFmt w:val="lowerRoman"/>
      <w:lvlText w:val="%6."/>
      <w:lvlJc w:val="right"/>
      <w:pPr>
        <w:ind w:left="3903" w:hanging="180"/>
      </w:pPr>
    </w:lvl>
    <w:lvl w:ilvl="6" w:tplc="FFFFFFFF" w:tentative="1">
      <w:start w:val="1"/>
      <w:numFmt w:val="decimal"/>
      <w:lvlText w:val="%7."/>
      <w:lvlJc w:val="left"/>
      <w:pPr>
        <w:ind w:left="4623" w:hanging="360"/>
      </w:pPr>
    </w:lvl>
    <w:lvl w:ilvl="7" w:tplc="FFFFFFFF" w:tentative="1">
      <w:start w:val="1"/>
      <w:numFmt w:val="lowerLetter"/>
      <w:lvlText w:val="%8."/>
      <w:lvlJc w:val="left"/>
      <w:pPr>
        <w:ind w:left="5343" w:hanging="360"/>
      </w:pPr>
    </w:lvl>
    <w:lvl w:ilvl="8" w:tplc="FFFFFFFF" w:tentative="1">
      <w:start w:val="1"/>
      <w:numFmt w:val="lowerRoman"/>
      <w:lvlText w:val="%9."/>
      <w:lvlJc w:val="right"/>
      <w:pPr>
        <w:ind w:left="6063" w:hanging="180"/>
      </w:pPr>
    </w:lvl>
  </w:abstractNum>
  <w:abstractNum w:abstractNumId="6" w15:restartNumberingAfterBreak="0">
    <w:nsid w:val="1D383609"/>
    <w:multiLevelType w:val="hybridMultilevel"/>
    <w:tmpl w:val="E83030C6"/>
    <w:lvl w:ilvl="0" w:tplc="A6D6EF40">
      <w:start w:val="1"/>
      <w:numFmt w:val="bullet"/>
      <w:pStyle w:val="Sanofi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37C7C47"/>
    <w:multiLevelType w:val="hybridMultilevel"/>
    <w:tmpl w:val="F760D5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AFF3524"/>
    <w:multiLevelType w:val="hybridMultilevel"/>
    <w:tmpl w:val="4C6A031E"/>
    <w:lvl w:ilvl="0" w:tplc="35E2A38E">
      <w:start w:val="1"/>
      <w:numFmt w:val="lowerRoman"/>
      <w:lvlText w:val="(%1)"/>
      <w:lvlJc w:val="left"/>
      <w:pPr>
        <w:ind w:left="1080" w:hanging="720"/>
      </w:pPr>
      <w:rPr>
        <w:rFonts w:hint="default"/>
      </w:rPr>
    </w:lvl>
    <w:lvl w:ilvl="1" w:tplc="E51271A0">
      <w:start w:val="1"/>
      <w:numFmt w:val="lowerLetter"/>
      <w:lvlText w:val="%2)"/>
      <w:lvlJc w:val="left"/>
      <w:pPr>
        <w:ind w:left="1440" w:hanging="360"/>
      </w:pPr>
      <w:rPr>
        <w:rFonts w:ascii="Arial Narrow" w:eastAsia="Times New Roman" w:hAnsi="Arial Narrow" w:cs="Times New Roman"/>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0346AD7"/>
    <w:multiLevelType w:val="hybridMultilevel"/>
    <w:tmpl w:val="71A65F8E"/>
    <w:lvl w:ilvl="0" w:tplc="CFBE442A">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374F0BC9"/>
    <w:multiLevelType w:val="hybridMultilevel"/>
    <w:tmpl w:val="A59A8B64"/>
    <w:lvl w:ilvl="0" w:tplc="969A29A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A4C2D64"/>
    <w:multiLevelType w:val="hybridMultilevel"/>
    <w:tmpl w:val="02FA9968"/>
    <w:lvl w:ilvl="0" w:tplc="08090001">
      <w:start w:val="1"/>
      <w:numFmt w:val="bullet"/>
      <w:lvlText w:val=""/>
      <w:lvlJc w:val="left"/>
      <w:pPr>
        <w:ind w:left="1134" w:hanging="360"/>
      </w:pPr>
      <w:rPr>
        <w:rFonts w:ascii="Symbol" w:hAnsi="Symbol" w:hint="default"/>
      </w:rPr>
    </w:lvl>
    <w:lvl w:ilvl="1" w:tplc="08090003" w:tentative="1">
      <w:start w:val="1"/>
      <w:numFmt w:val="bullet"/>
      <w:lvlText w:val="o"/>
      <w:lvlJc w:val="left"/>
      <w:pPr>
        <w:ind w:left="1854" w:hanging="360"/>
      </w:pPr>
      <w:rPr>
        <w:rFonts w:ascii="Courier New" w:hAnsi="Courier New" w:cs="Courier New" w:hint="default"/>
      </w:rPr>
    </w:lvl>
    <w:lvl w:ilvl="2" w:tplc="08090005" w:tentative="1">
      <w:start w:val="1"/>
      <w:numFmt w:val="bullet"/>
      <w:lvlText w:val=""/>
      <w:lvlJc w:val="left"/>
      <w:pPr>
        <w:ind w:left="2574" w:hanging="360"/>
      </w:pPr>
      <w:rPr>
        <w:rFonts w:ascii="Wingdings" w:hAnsi="Wingdings" w:hint="default"/>
      </w:rPr>
    </w:lvl>
    <w:lvl w:ilvl="3" w:tplc="08090001" w:tentative="1">
      <w:start w:val="1"/>
      <w:numFmt w:val="bullet"/>
      <w:lvlText w:val=""/>
      <w:lvlJc w:val="left"/>
      <w:pPr>
        <w:ind w:left="3294" w:hanging="360"/>
      </w:pPr>
      <w:rPr>
        <w:rFonts w:ascii="Symbol" w:hAnsi="Symbol" w:hint="default"/>
      </w:rPr>
    </w:lvl>
    <w:lvl w:ilvl="4" w:tplc="08090003" w:tentative="1">
      <w:start w:val="1"/>
      <w:numFmt w:val="bullet"/>
      <w:lvlText w:val="o"/>
      <w:lvlJc w:val="left"/>
      <w:pPr>
        <w:ind w:left="4014" w:hanging="360"/>
      </w:pPr>
      <w:rPr>
        <w:rFonts w:ascii="Courier New" w:hAnsi="Courier New" w:cs="Courier New" w:hint="default"/>
      </w:rPr>
    </w:lvl>
    <w:lvl w:ilvl="5" w:tplc="08090005" w:tentative="1">
      <w:start w:val="1"/>
      <w:numFmt w:val="bullet"/>
      <w:lvlText w:val=""/>
      <w:lvlJc w:val="left"/>
      <w:pPr>
        <w:ind w:left="4734" w:hanging="360"/>
      </w:pPr>
      <w:rPr>
        <w:rFonts w:ascii="Wingdings" w:hAnsi="Wingdings" w:hint="default"/>
      </w:rPr>
    </w:lvl>
    <w:lvl w:ilvl="6" w:tplc="08090001" w:tentative="1">
      <w:start w:val="1"/>
      <w:numFmt w:val="bullet"/>
      <w:lvlText w:val=""/>
      <w:lvlJc w:val="left"/>
      <w:pPr>
        <w:ind w:left="5454" w:hanging="360"/>
      </w:pPr>
      <w:rPr>
        <w:rFonts w:ascii="Symbol" w:hAnsi="Symbol" w:hint="default"/>
      </w:rPr>
    </w:lvl>
    <w:lvl w:ilvl="7" w:tplc="08090003" w:tentative="1">
      <w:start w:val="1"/>
      <w:numFmt w:val="bullet"/>
      <w:lvlText w:val="o"/>
      <w:lvlJc w:val="left"/>
      <w:pPr>
        <w:ind w:left="6174" w:hanging="360"/>
      </w:pPr>
      <w:rPr>
        <w:rFonts w:ascii="Courier New" w:hAnsi="Courier New" w:cs="Courier New" w:hint="default"/>
      </w:rPr>
    </w:lvl>
    <w:lvl w:ilvl="8" w:tplc="08090005" w:tentative="1">
      <w:start w:val="1"/>
      <w:numFmt w:val="bullet"/>
      <w:lvlText w:val=""/>
      <w:lvlJc w:val="left"/>
      <w:pPr>
        <w:ind w:left="6894" w:hanging="360"/>
      </w:pPr>
      <w:rPr>
        <w:rFonts w:ascii="Wingdings" w:hAnsi="Wingdings" w:hint="default"/>
      </w:rPr>
    </w:lvl>
  </w:abstractNum>
  <w:abstractNum w:abstractNumId="12"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7757ED"/>
    <w:multiLevelType w:val="hybridMultilevel"/>
    <w:tmpl w:val="6D2CA58A"/>
    <w:lvl w:ilvl="0" w:tplc="0A48EA34">
      <w:start w:val="1"/>
      <w:numFmt w:val="lowerRoman"/>
      <w:lvlText w:val="(%1)"/>
      <w:lvlJc w:val="left"/>
      <w:pPr>
        <w:ind w:left="663" w:hanging="720"/>
      </w:pPr>
      <w:rPr>
        <w:rFonts w:ascii="Arial Narrow" w:eastAsia="Times New Roman" w:hAnsi="Arial Narrow" w:cs="Arial"/>
      </w:rPr>
    </w:lvl>
    <w:lvl w:ilvl="1" w:tplc="0C090019" w:tentative="1">
      <w:start w:val="1"/>
      <w:numFmt w:val="lowerLetter"/>
      <w:lvlText w:val="%2."/>
      <w:lvlJc w:val="left"/>
      <w:pPr>
        <w:ind w:left="1023" w:hanging="360"/>
      </w:pPr>
    </w:lvl>
    <w:lvl w:ilvl="2" w:tplc="0C09001B" w:tentative="1">
      <w:start w:val="1"/>
      <w:numFmt w:val="lowerRoman"/>
      <w:lvlText w:val="%3."/>
      <w:lvlJc w:val="right"/>
      <w:pPr>
        <w:ind w:left="1743" w:hanging="180"/>
      </w:pPr>
    </w:lvl>
    <w:lvl w:ilvl="3" w:tplc="0C09000F" w:tentative="1">
      <w:start w:val="1"/>
      <w:numFmt w:val="decimal"/>
      <w:lvlText w:val="%4."/>
      <w:lvlJc w:val="left"/>
      <w:pPr>
        <w:ind w:left="2463" w:hanging="360"/>
      </w:pPr>
    </w:lvl>
    <w:lvl w:ilvl="4" w:tplc="0C090019" w:tentative="1">
      <w:start w:val="1"/>
      <w:numFmt w:val="lowerLetter"/>
      <w:lvlText w:val="%5."/>
      <w:lvlJc w:val="left"/>
      <w:pPr>
        <w:ind w:left="3183" w:hanging="360"/>
      </w:pPr>
    </w:lvl>
    <w:lvl w:ilvl="5" w:tplc="0C09001B" w:tentative="1">
      <w:start w:val="1"/>
      <w:numFmt w:val="lowerRoman"/>
      <w:lvlText w:val="%6."/>
      <w:lvlJc w:val="right"/>
      <w:pPr>
        <w:ind w:left="3903" w:hanging="180"/>
      </w:pPr>
    </w:lvl>
    <w:lvl w:ilvl="6" w:tplc="0C09000F" w:tentative="1">
      <w:start w:val="1"/>
      <w:numFmt w:val="decimal"/>
      <w:lvlText w:val="%7."/>
      <w:lvlJc w:val="left"/>
      <w:pPr>
        <w:ind w:left="4623" w:hanging="360"/>
      </w:pPr>
    </w:lvl>
    <w:lvl w:ilvl="7" w:tplc="0C090019" w:tentative="1">
      <w:start w:val="1"/>
      <w:numFmt w:val="lowerLetter"/>
      <w:lvlText w:val="%8."/>
      <w:lvlJc w:val="left"/>
      <w:pPr>
        <w:ind w:left="5343" w:hanging="360"/>
      </w:pPr>
    </w:lvl>
    <w:lvl w:ilvl="8" w:tplc="0C09001B" w:tentative="1">
      <w:start w:val="1"/>
      <w:numFmt w:val="lowerRoman"/>
      <w:lvlText w:val="%9."/>
      <w:lvlJc w:val="right"/>
      <w:pPr>
        <w:ind w:left="6063" w:hanging="180"/>
      </w:pPr>
    </w:lvl>
  </w:abstractNum>
  <w:abstractNum w:abstractNumId="14" w15:restartNumberingAfterBreak="0">
    <w:nsid w:val="4D5209B6"/>
    <w:multiLevelType w:val="multilevel"/>
    <w:tmpl w:val="9CE0D5B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3EF46EA"/>
    <w:multiLevelType w:val="hybridMultilevel"/>
    <w:tmpl w:val="8076C0D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6C303A58"/>
    <w:multiLevelType w:val="hybridMultilevel"/>
    <w:tmpl w:val="A59A8B6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DEF2E97"/>
    <w:multiLevelType w:val="hybridMultilevel"/>
    <w:tmpl w:val="2A78AC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17E3C81"/>
    <w:multiLevelType w:val="hybridMultilevel"/>
    <w:tmpl w:val="6D2CA58A"/>
    <w:lvl w:ilvl="0" w:tplc="FFFFFFFF">
      <w:start w:val="1"/>
      <w:numFmt w:val="lowerRoman"/>
      <w:lvlText w:val="(%1)"/>
      <w:lvlJc w:val="left"/>
      <w:pPr>
        <w:ind w:left="663" w:hanging="720"/>
      </w:pPr>
      <w:rPr>
        <w:rFonts w:ascii="Arial Narrow" w:eastAsia="Times New Roman" w:hAnsi="Arial Narrow" w:cs="Arial"/>
      </w:rPr>
    </w:lvl>
    <w:lvl w:ilvl="1" w:tplc="FFFFFFFF" w:tentative="1">
      <w:start w:val="1"/>
      <w:numFmt w:val="lowerLetter"/>
      <w:lvlText w:val="%2."/>
      <w:lvlJc w:val="left"/>
      <w:pPr>
        <w:ind w:left="1023" w:hanging="360"/>
      </w:pPr>
    </w:lvl>
    <w:lvl w:ilvl="2" w:tplc="FFFFFFFF" w:tentative="1">
      <w:start w:val="1"/>
      <w:numFmt w:val="lowerRoman"/>
      <w:lvlText w:val="%3."/>
      <w:lvlJc w:val="right"/>
      <w:pPr>
        <w:ind w:left="1743" w:hanging="180"/>
      </w:pPr>
    </w:lvl>
    <w:lvl w:ilvl="3" w:tplc="FFFFFFFF" w:tentative="1">
      <w:start w:val="1"/>
      <w:numFmt w:val="decimal"/>
      <w:lvlText w:val="%4."/>
      <w:lvlJc w:val="left"/>
      <w:pPr>
        <w:ind w:left="2463" w:hanging="360"/>
      </w:pPr>
    </w:lvl>
    <w:lvl w:ilvl="4" w:tplc="FFFFFFFF" w:tentative="1">
      <w:start w:val="1"/>
      <w:numFmt w:val="lowerLetter"/>
      <w:lvlText w:val="%5."/>
      <w:lvlJc w:val="left"/>
      <w:pPr>
        <w:ind w:left="3183" w:hanging="360"/>
      </w:pPr>
    </w:lvl>
    <w:lvl w:ilvl="5" w:tplc="FFFFFFFF" w:tentative="1">
      <w:start w:val="1"/>
      <w:numFmt w:val="lowerRoman"/>
      <w:lvlText w:val="%6."/>
      <w:lvlJc w:val="right"/>
      <w:pPr>
        <w:ind w:left="3903" w:hanging="180"/>
      </w:pPr>
    </w:lvl>
    <w:lvl w:ilvl="6" w:tplc="FFFFFFFF" w:tentative="1">
      <w:start w:val="1"/>
      <w:numFmt w:val="decimal"/>
      <w:lvlText w:val="%7."/>
      <w:lvlJc w:val="left"/>
      <w:pPr>
        <w:ind w:left="4623" w:hanging="360"/>
      </w:pPr>
    </w:lvl>
    <w:lvl w:ilvl="7" w:tplc="FFFFFFFF" w:tentative="1">
      <w:start w:val="1"/>
      <w:numFmt w:val="lowerLetter"/>
      <w:lvlText w:val="%8."/>
      <w:lvlJc w:val="left"/>
      <w:pPr>
        <w:ind w:left="5343" w:hanging="360"/>
      </w:pPr>
    </w:lvl>
    <w:lvl w:ilvl="8" w:tplc="FFFFFFFF" w:tentative="1">
      <w:start w:val="1"/>
      <w:numFmt w:val="lowerRoman"/>
      <w:lvlText w:val="%9."/>
      <w:lvlJc w:val="right"/>
      <w:pPr>
        <w:ind w:left="6063" w:hanging="180"/>
      </w:pPr>
    </w:lvl>
  </w:abstractNum>
  <w:abstractNum w:abstractNumId="20" w15:restartNumberingAfterBreak="0">
    <w:nsid w:val="76CE14DC"/>
    <w:multiLevelType w:val="hybridMultilevel"/>
    <w:tmpl w:val="D3FA9C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84D033C"/>
    <w:multiLevelType w:val="multilevel"/>
    <w:tmpl w:val="C0DA0F40"/>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ACD5353"/>
    <w:multiLevelType w:val="hybridMultilevel"/>
    <w:tmpl w:val="BFB89684"/>
    <w:lvl w:ilvl="0" w:tplc="0C090001">
      <w:start w:val="1"/>
      <w:numFmt w:val="bullet"/>
      <w:lvlText w:val=""/>
      <w:lvlJc w:val="left"/>
      <w:pPr>
        <w:ind w:left="762" w:hanging="360"/>
      </w:pPr>
      <w:rPr>
        <w:rFonts w:ascii="Symbol" w:hAnsi="Symbol" w:hint="default"/>
      </w:rPr>
    </w:lvl>
    <w:lvl w:ilvl="1" w:tplc="0C090003">
      <w:start w:val="1"/>
      <w:numFmt w:val="bullet"/>
      <w:lvlText w:val="o"/>
      <w:lvlJc w:val="left"/>
      <w:pPr>
        <w:ind w:left="1482" w:hanging="360"/>
      </w:pPr>
      <w:rPr>
        <w:rFonts w:ascii="Courier New" w:hAnsi="Courier New" w:cs="Courier New" w:hint="default"/>
      </w:rPr>
    </w:lvl>
    <w:lvl w:ilvl="2" w:tplc="0C090005" w:tentative="1">
      <w:start w:val="1"/>
      <w:numFmt w:val="bullet"/>
      <w:lvlText w:val=""/>
      <w:lvlJc w:val="left"/>
      <w:pPr>
        <w:ind w:left="2202" w:hanging="360"/>
      </w:pPr>
      <w:rPr>
        <w:rFonts w:ascii="Wingdings" w:hAnsi="Wingdings" w:hint="default"/>
      </w:rPr>
    </w:lvl>
    <w:lvl w:ilvl="3" w:tplc="0C090001" w:tentative="1">
      <w:start w:val="1"/>
      <w:numFmt w:val="bullet"/>
      <w:lvlText w:val=""/>
      <w:lvlJc w:val="left"/>
      <w:pPr>
        <w:ind w:left="2922" w:hanging="360"/>
      </w:pPr>
      <w:rPr>
        <w:rFonts w:ascii="Symbol" w:hAnsi="Symbol" w:hint="default"/>
      </w:rPr>
    </w:lvl>
    <w:lvl w:ilvl="4" w:tplc="0C090003" w:tentative="1">
      <w:start w:val="1"/>
      <w:numFmt w:val="bullet"/>
      <w:lvlText w:val="o"/>
      <w:lvlJc w:val="left"/>
      <w:pPr>
        <w:ind w:left="3642" w:hanging="360"/>
      </w:pPr>
      <w:rPr>
        <w:rFonts w:ascii="Courier New" w:hAnsi="Courier New" w:cs="Courier New" w:hint="default"/>
      </w:rPr>
    </w:lvl>
    <w:lvl w:ilvl="5" w:tplc="0C090005" w:tentative="1">
      <w:start w:val="1"/>
      <w:numFmt w:val="bullet"/>
      <w:lvlText w:val=""/>
      <w:lvlJc w:val="left"/>
      <w:pPr>
        <w:ind w:left="4362" w:hanging="360"/>
      </w:pPr>
      <w:rPr>
        <w:rFonts w:ascii="Wingdings" w:hAnsi="Wingdings" w:hint="default"/>
      </w:rPr>
    </w:lvl>
    <w:lvl w:ilvl="6" w:tplc="0C090001" w:tentative="1">
      <w:start w:val="1"/>
      <w:numFmt w:val="bullet"/>
      <w:lvlText w:val=""/>
      <w:lvlJc w:val="left"/>
      <w:pPr>
        <w:ind w:left="5082" w:hanging="360"/>
      </w:pPr>
      <w:rPr>
        <w:rFonts w:ascii="Symbol" w:hAnsi="Symbol" w:hint="default"/>
      </w:rPr>
    </w:lvl>
    <w:lvl w:ilvl="7" w:tplc="0C090003" w:tentative="1">
      <w:start w:val="1"/>
      <w:numFmt w:val="bullet"/>
      <w:lvlText w:val="o"/>
      <w:lvlJc w:val="left"/>
      <w:pPr>
        <w:ind w:left="5802" w:hanging="360"/>
      </w:pPr>
      <w:rPr>
        <w:rFonts w:ascii="Courier New" w:hAnsi="Courier New" w:cs="Courier New" w:hint="default"/>
      </w:rPr>
    </w:lvl>
    <w:lvl w:ilvl="8" w:tplc="0C090005" w:tentative="1">
      <w:start w:val="1"/>
      <w:numFmt w:val="bullet"/>
      <w:lvlText w:val=""/>
      <w:lvlJc w:val="left"/>
      <w:pPr>
        <w:ind w:left="6522" w:hanging="360"/>
      </w:pPr>
      <w:rPr>
        <w:rFonts w:ascii="Wingdings" w:hAnsi="Wingdings" w:hint="default"/>
      </w:rPr>
    </w:lvl>
  </w:abstractNum>
  <w:num w:numId="1" w16cid:durableId="816186631">
    <w:abstractNumId w:val="21"/>
  </w:num>
  <w:num w:numId="2" w16cid:durableId="917793048">
    <w:abstractNumId w:val="12"/>
  </w:num>
  <w:num w:numId="3" w16cid:durableId="263461728">
    <w:abstractNumId w:val="0"/>
  </w:num>
  <w:num w:numId="4" w16cid:durableId="220360847">
    <w:abstractNumId w:val="16"/>
  </w:num>
  <w:num w:numId="5" w16cid:durableId="268196418">
    <w:abstractNumId w:val="9"/>
  </w:num>
  <w:num w:numId="6" w16cid:durableId="1048839230">
    <w:abstractNumId w:val="21"/>
  </w:num>
  <w:num w:numId="7" w16cid:durableId="622880937">
    <w:abstractNumId w:val="20"/>
  </w:num>
  <w:num w:numId="8" w16cid:durableId="542058337">
    <w:abstractNumId w:val="22"/>
  </w:num>
  <w:num w:numId="9" w16cid:durableId="1577590320">
    <w:abstractNumId w:val="3"/>
  </w:num>
  <w:num w:numId="10" w16cid:durableId="913125579">
    <w:abstractNumId w:val="7"/>
  </w:num>
  <w:num w:numId="11" w16cid:durableId="1726102782">
    <w:abstractNumId w:val="2"/>
  </w:num>
  <w:num w:numId="12" w16cid:durableId="1389301493">
    <w:abstractNumId w:val="6"/>
  </w:num>
  <w:num w:numId="13" w16cid:durableId="569846562">
    <w:abstractNumId w:val="18"/>
  </w:num>
  <w:num w:numId="14" w16cid:durableId="1300843087">
    <w:abstractNumId w:val="1"/>
  </w:num>
  <w:num w:numId="15" w16cid:durableId="68239341">
    <w:abstractNumId w:val="8"/>
  </w:num>
  <w:num w:numId="16" w16cid:durableId="1198738545">
    <w:abstractNumId w:val="15"/>
  </w:num>
  <w:num w:numId="17" w16cid:durableId="1875382794">
    <w:abstractNumId w:val="10"/>
  </w:num>
  <w:num w:numId="18" w16cid:durableId="873154524">
    <w:abstractNumId w:val="13"/>
  </w:num>
  <w:num w:numId="19" w16cid:durableId="2069258720">
    <w:abstractNumId w:val="17"/>
  </w:num>
  <w:num w:numId="20" w16cid:durableId="1311398283">
    <w:abstractNumId w:val="5"/>
  </w:num>
  <w:num w:numId="21" w16cid:durableId="1881818189">
    <w:abstractNumId w:val="19"/>
  </w:num>
  <w:num w:numId="22" w16cid:durableId="1538588983">
    <w:abstractNumId w:val="21"/>
  </w:num>
  <w:num w:numId="23" w16cid:durableId="1331520374">
    <w:abstractNumId w:val="14"/>
  </w:num>
  <w:num w:numId="24" w16cid:durableId="778719498">
    <w:abstractNumId w:val="11"/>
  </w:num>
  <w:num w:numId="25" w16cid:durableId="453133175">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06E"/>
    <w:rsid w:val="00000126"/>
    <w:rsid w:val="00000305"/>
    <w:rsid w:val="0000054B"/>
    <w:rsid w:val="00000790"/>
    <w:rsid w:val="00000984"/>
    <w:rsid w:val="00000ACC"/>
    <w:rsid w:val="00000FBE"/>
    <w:rsid w:val="0000110B"/>
    <w:rsid w:val="0000157E"/>
    <w:rsid w:val="000019A7"/>
    <w:rsid w:val="00001CC9"/>
    <w:rsid w:val="00001D01"/>
    <w:rsid w:val="00001D2A"/>
    <w:rsid w:val="000020B7"/>
    <w:rsid w:val="000022E9"/>
    <w:rsid w:val="0000257F"/>
    <w:rsid w:val="00002809"/>
    <w:rsid w:val="00002B55"/>
    <w:rsid w:val="00002F41"/>
    <w:rsid w:val="00003484"/>
    <w:rsid w:val="00003499"/>
    <w:rsid w:val="000039B7"/>
    <w:rsid w:val="00003C3B"/>
    <w:rsid w:val="000040E8"/>
    <w:rsid w:val="000043DE"/>
    <w:rsid w:val="000047EE"/>
    <w:rsid w:val="00004C5A"/>
    <w:rsid w:val="00005037"/>
    <w:rsid w:val="000051B7"/>
    <w:rsid w:val="0000547E"/>
    <w:rsid w:val="00005519"/>
    <w:rsid w:val="000056B9"/>
    <w:rsid w:val="00005BDA"/>
    <w:rsid w:val="00005C13"/>
    <w:rsid w:val="0000639A"/>
    <w:rsid w:val="00006CFE"/>
    <w:rsid w:val="000071D5"/>
    <w:rsid w:val="00007252"/>
    <w:rsid w:val="00007303"/>
    <w:rsid w:val="00007413"/>
    <w:rsid w:val="00007749"/>
    <w:rsid w:val="00007E8D"/>
    <w:rsid w:val="00010045"/>
    <w:rsid w:val="000102CB"/>
    <w:rsid w:val="000102EE"/>
    <w:rsid w:val="0001053D"/>
    <w:rsid w:val="000105FE"/>
    <w:rsid w:val="0001086E"/>
    <w:rsid w:val="00010927"/>
    <w:rsid w:val="00010A9C"/>
    <w:rsid w:val="00010B76"/>
    <w:rsid w:val="00010E03"/>
    <w:rsid w:val="00010E3A"/>
    <w:rsid w:val="0001119E"/>
    <w:rsid w:val="00011379"/>
    <w:rsid w:val="000119C8"/>
    <w:rsid w:val="00011C9B"/>
    <w:rsid w:val="00011DCB"/>
    <w:rsid w:val="00012438"/>
    <w:rsid w:val="000124A2"/>
    <w:rsid w:val="00012785"/>
    <w:rsid w:val="00012E34"/>
    <w:rsid w:val="00013247"/>
    <w:rsid w:val="000132D4"/>
    <w:rsid w:val="0001380B"/>
    <w:rsid w:val="000138B7"/>
    <w:rsid w:val="0001416F"/>
    <w:rsid w:val="0001426F"/>
    <w:rsid w:val="000148C9"/>
    <w:rsid w:val="00014A93"/>
    <w:rsid w:val="00015139"/>
    <w:rsid w:val="00015221"/>
    <w:rsid w:val="00015337"/>
    <w:rsid w:val="000153E8"/>
    <w:rsid w:val="000154AE"/>
    <w:rsid w:val="00015886"/>
    <w:rsid w:val="00015EB0"/>
    <w:rsid w:val="0001602B"/>
    <w:rsid w:val="0001604F"/>
    <w:rsid w:val="000162EF"/>
    <w:rsid w:val="00016469"/>
    <w:rsid w:val="0001699B"/>
    <w:rsid w:val="0001704D"/>
    <w:rsid w:val="00017110"/>
    <w:rsid w:val="00017172"/>
    <w:rsid w:val="00017A8F"/>
    <w:rsid w:val="00017F50"/>
    <w:rsid w:val="000207C9"/>
    <w:rsid w:val="00020A4F"/>
    <w:rsid w:val="00020BC3"/>
    <w:rsid w:val="00020C8B"/>
    <w:rsid w:val="00020C95"/>
    <w:rsid w:val="00020D4B"/>
    <w:rsid w:val="00020D7F"/>
    <w:rsid w:val="00020FAB"/>
    <w:rsid w:val="00021302"/>
    <w:rsid w:val="0002144A"/>
    <w:rsid w:val="000215B9"/>
    <w:rsid w:val="0002185B"/>
    <w:rsid w:val="00021A6E"/>
    <w:rsid w:val="000221A1"/>
    <w:rsid w:val="0002225F"/>
    <w:rsid w:val="0002291B"/>
    <w:rsid w:val="000229A3"/>
    <w:rsid w:val="00022AFA"/>
    <w:rsid w:val="00022C70"/>
    <w:rsid w:val="00022C91"/>
    <w:rsid w:val="00022CAF"/>
    <w:rsid w:val="00023182"/>
    <w:rsid w:val="000232C3"/>
    <w:rsid w:val="00023763"/>
    <w:rsid w:val="0002390A"/>
    <w:rsid w:val="00024033"/>
    <w:rsid w:val="0002425B"/>
    <w:rsid w:val="0002454E"/>
    <w:rsid w:val="00024AB2"/>
    <w:rsid w:val="00024AC9"/>
    <w:rsid w:val="00024B81"/>
    <w:rsid w:val="00024D77"/>
    <w:rsid w:val="00024EB5"/>
    <w:rsid w:val="00024F09"/>
    <w:rsid w:val="0002503F"/>
    <w:rsid w:val="00025102"/>
    <w:rsid w:val="00025106"/>
    <w:rsid w:val="000255D9"/>
    <w:rsid w:val="0002573D"/>
    <w:rsid w:val="00025826"/>
    <w:rsid w:val="000259F1"/>
    <w:rsid w:val="00025A90"/>
    <w:rsid w:val="00025B59"/>
    <w:rsid w:val="00025BCE"/>
    <w:rsid w:val="000260DB"/>
    <w:rsid w:val="000264BE"/>
    <w:rsid w:val="000265D7"/>
    <w:rsid w:val="00026637"/>
    <w:rsid w:val="0002668A"/>
    <w:rsid w:val="00026968"/>
    <w:rsid w:val="00026A53"/>
    <w:rsid w:val="00026BE4"/>
    <w:rsid w:val="00026EE1"/>
    <w:rsid w:val="00027108"/>
    <w:rsid w:val="0002730C"/>
    <w:rsid w:val="000274B8"/>
    <w:rsid w:val="00027628"/>
    <w:rsid w:val="00027E8E"/>
    <w:rsid w:val="000300DC"/>
    <w:rsid w:val="00030171"/>
    <w:rsid w:val="00030497"/>
    <w:rsid w:val="000306AA"/>
    <w:rsid w:val="0003083E"/>
    <w:rsid w:val="00030867"/>
    <w:rsid w:val="00030C02"/>
    <w:rsid w:val="00030C67"/>
    <w:rsid w:val="00030E7C"/>
    <w:rsid w:val="000314B7"/>
    <w:rsid w:val="00031A86"/>
    <w:rsid w:val="00031C5E"/>
    <w:rsid w:val="00031E83"/>
    <w:rsid w:val="00032195"/>
    <w:rsid w:val="00032261"/>
    <w:rsid w:val="0003247A"/>
    <w:rsid w:val="0003256F"/>
    <w:rsid w:val="000325F3"/>
    <w:rsid w:val="0003275F"/>
    <w:rsid w:val="00032B56"/>
    <w:rsid w:val="00032CC1"/>
    <w:rsid w:val="00033863"/>
    <w:rsid w:val="000339D2"/>
    <w:rsid w:val="000339F6"/>
    <w:rsid w:val="000340C4"/>
    <w:rsid w:val="000342D1"/>
    <w:rsid w:val="00034531"/>
    <w:rsid w:val="0003463F"/>
    <w:rsid w:val="00034EAA"/>
    <w:rsid w:val="00035721"/>
    <w:rsid w:val="000357AB"/>
    <w:rsid w:val="00035859"/>
    <w:rsid w:val="00035977"/>
    <w:rsid w:val="00035CDC"/>
    <w:rsid w:val="00035DC0"/>
    <w:rsid w:val="00036063"/>
    <w:rsid w:val="00036181"/>
    <w:rsid w:val="000361F0"/>
    <w:rsid w:val="000367EF"/>
    <w:rsid w:val="00036829"/>
    <w:rsid w:val="000369D2"/>
    <w:rsid w:val="00036CE1"/>
    <w:rsid w:val="00036F7E"/>
    <w:rsid w:val="00036FA0"/>
    <w:rsid w:val="0003710B"/>
    <w:rsid w:val="000372DA"/>
    <w:rsid w:val="00037A16"/>
    <w:rsid w:val="00037F09"/>
    <w:rsid w:val="000400B7"/>
    <w:rsid w:val="0004011F"/>
    <w:rsid w:val="000402E5"/>
    <w:rsid w:val="0004063C"/>
    <w:rsid w:val="000406B9"/>
    <w:rsid w:val="00040895"/>
    <w:rsid w:val="00040A61"/>
    <w:rsid w:val="00040A93"/>
    <w:rsid w:val="00040C61"/>
    <w:rsid w:val="00040D5F"/>
    <w:rsid w:val="00040FFF"/>
    <w:rsid w:val="000410A0"/>
    <w:rsid w:val="000415C8"/>
    <w:rsid w:val="00041973"/>
    <w:rsid w:val="00041A66"/>
    <w:rsid w:val="00041ABB"/>
    <w:rsid w:val="00041E19"/>
    <w:rsid w:val="00041EFC"/>
    <w:rsid w:val="00042656"/>
    <w:rsid w:val="00042B6C"/>
    <w:rsid w:val="00042B7E"/>
    <w:rsid w:val="00042BA0"/>
    <w:rsid w:val="00042D30"/>
    <w:rsid w:val="00042DFD"/>
    <w:rsid w:val="00042F28"/>
    <w:rsid w:val="00042FA3"/>
    <w:rsid w:val="00042FF4"/>
    <w:rsid w:val="0004308A"/>
    <w:rsid w:val="000435EE"/>
    <w:rsid w:val="0004397C"/>
    <w:rsid w:val="00043C37"/>
    <w:rsid w:val="00043CA9"/>
    <w:rsid w:val="00043F24"/>
    <w:rsid w:val="0004447F"/>
    <w:rsid w:val="000448CC"/>
    <w:rsid w:val="00044AB2"/>
    <w:rsid w:val="00045017"/>
    <w:rsid w:val="000450BB"/>
    <w:rsid w:val="000450E2"/>
    <w:rsid w:val="000451BD"/>
    <w:rsid w:val="00045A2B"/>
    <w:rsid w:val="00045B80"/>
    <w:rsid w:val="00045D19"/>
    <w:rsid w:val="00046129"/>
    <w:rsid w:val="0004698F"/>
    <w:rsid w:val="00046D53"/>
    <w:rsid w:val="00046D64"/>
    <w:rsid w:val="0004707A"/>
    <w:rsid w:val="0004725C"/>
    <w:rsid w:val="00047B2A"/>
    <w:rsid w:val="00047E02"/>
    <w:rsid w:val="000508C2"/>
    <w:rsid w:val="00051142"/>
    <w:rsid w:val="000511F6"/>
    <w:rsid w:val="0005135E"/>
    <w:rsid w:val="00051577"/>
    <w:rsid w:val="000517C5"/>
    <w:rsid w:val="00051819"/>
    <w:rsid w:val="000518F7"/>
    <w:rsid w:val="00052213"/>
    <w:rsid w:val="000528D6"/>
    <w:rsid w:val="00052B04"/>
    <w:rsid w:val="00052DE7"/>
    <w:rsid w:val="000531D4"/>
    <w:rsid w:val="000531FB"/>
    <w:rsid w:val="0005372B"/>
    <w:rsid w:val="000539D0"/>
    <w:rsid w:val="00053A54"/>
    <w:rsid w:val="00053E0E"/>
    <w:rsid w:val="00054621"/>
    <w:rsid w:val="000546D7"/>
    <w:rsid w:val="00054722"/>
    <w:rsid w:val="00054A8D"/>
    <w:rsid w:val="00055049"/>
    <w:rsid w:val="000552C9"/>
    <w:rsid w:val="00055408"/>
    <w:rsid w:val="000554F8"/>
    <w:rsid w:val="000556D2"/>
    <w:rsid w:val="00055B5B"/>
    <w:rsid w:val="0005630F"/>
    <w:rsid w:val="000564BA"/>
    <w:rsid w:val="000568D2"/>
    <w:rsid w:val="0005699B"/>
    <w:rsid w:val="00056E58"/>
    <w:rsid w:val="00056ECF"/>
    <w:rsid w:val="000575D0"/>
    <w:rsid w:val="0005794F"/>
    <w:rsid w:val="000579C7"/>
    <w:rsid w:val="00057C11"/>
    <w:rsid w:val="000602B3"/>
    <w:rsid w:val="0006044D"/>
    <w:rsid w:val="000604DF"/>
    <w:rsid w:val="00060936"/>
    <w:rsid w:val="000619A9"/>
    <w:rsid w:val="000619F1"/>
    <w:rsid w:val="00061BBC"/>
    <w:rsid w:val="00061C84"/>
    <w:rsid w:val="00061D2D"/>
    <w:rsid w:val="0006206D"/>
    <w:rsid w:val="00062324"/>
    <w:rsid w:val="00062427"/>
    <w:rsid w:val="0006296B"/>
    <w:rsid w:val="00062B10"/>
    <w:rsid w:val="00063028"/>
    <w:rsid w:val="00063088"/>
    <w:rsid w:val="000632FE"/>
    <w:rsid w:val="00063379"/>
    <w:rsid w:val="000637C9"/>
    <w:rsid w:val="00063D20"/>
    <w:rsid w:val="00063DFA"/>
    <w:rsid w:val="00063E27"/>
    <w:rsid w:val="00064013"/>
    <w:rsid w:val="00064A91"/>
    <w:rsid w:val="00064BDF"/>
    <w:rsid w:val="00064C7D"/>
    <w:rsid w:val="000653B5"/>
    <w:rsid w:val="00065433"/>
    <w:rsid w:val="000655A9"/>
    <w:rsid w:val="0006595F"/>
    <w:rsid w:val="00065BC4"/>
    <w:rsid w:val="00066360"/>
    <w:rsid w:val="0006644E"/>
    <w:rsid w:val="00066533"/>
    <w:rsid w:val="00066608"/>
    <w:rsid w:val="000668CB"/>
    <w:rsid w:val="00066AF8"/>
    <w:rsid w:val="00066CFB"/>
    <w:rsid w:val="00066DCA"/>
    <w:rsid w:val="00066E99"/>
    <w:rsid w:val="000671F9"/>
    <w:rsid w:val="00067B01"/>
    <w:rsid w:val="00067C04"/>
    <w:rsid w:val="00067DAA"/>
    <w:rsid w:val="00067FF4"/>
    <w:rsid w:val="00070119"/>
    <w:rsid w:val="000701B3"/>
    <w:rsid w:val="0007049F"/>
    <w:rsid w:val="0007081B"/>
    <w:rsid w:val="00070ACA"/>
    <w:rsid w:val="00070D5D"/>
    <w:rsid w:val="00070E53"/>
    <w:rsid w:val="00070FF8"/>
    <w:rsid w:val="00071166"/>
    <w:rsid w:val="00071248"/>
    <w:rsid w:val="00071401"/>
    <w:rsid w:val="0007165D"/>
    <w:rsid w:val="00071748"/>
    <w:rsid w:val="000717E1"/>
    <w:rsid w:val="000719E1"/>
    <w:rsid w:val="00072052"/>
    <w:rsid w:val="000720B9"/>
    <w:rsid w:val="00072510"/>
    <w:rsid w:val="00072691"/>
    <w:rsid w:val="0007271F"/>
    <w:rsid w:val="00072B74"/>
    <w:rsid w:val="00072D6F"/>
    <w:rsid w:val="000732CD"/>
    <w:rsid w:val="000734C7"/>
    <w:rsid w:val="000736DC"/>
    <w:rsid w:val="000737F7"/>
    <w:rsid w:val="00073AC5"/>
    <w:rsid w:val="0007458C"/>
    <w:rsid w:val="00074B65"/>
    <w:rsid w:val="00075054"/>
    <w:rsid w:val="000752E2"/>
    <w:rsid w:val="000753A3"/>
    <w:rsid w:val="00075538"/>
    <w:rsid w:val="00075638"/>
    <w:rsid w:val="00075800"/>
    <w:rsid w:val="0007672F"/>
    <w:rsid w:val="0007690E"/>
    <w:rsid w:val="00076B54"/>
    <w:rsid w:val="00076B8C"/>
    <w:rsid w:val="00076BE0"/>
    <w:rsid w:val="00076EB6"/>
    <w:rsid w:val="00076F49"/>
    <w:rsid w:val="000770B3"/>
    <w:rsid w:val="000771B8"/>
    <w:rsid w:val="000772B9"/>
    <w:rsid w:val="000773A2"/>
    <w:rsid w:val="000774F0"/>
    <w:rsid w:val="00077843"/>
    <w:rsid w:val="00080332"/>
    <w:rsid w:val="0008046D"/>
    <w:rsid w:val="000808DF"/>
    <w:rsid w:val="00080909"/>
    <w:rsid w:val="00080B93"/>
    <w:rsid w:val="00080BD2"/>
    <w:rsid w:val="00080C69"/>
    <w:rsid w:val="00080DBF"/>
    <w:rsid w:val="00080F2D"/>
    <w:rsid w:val="00080F3F"/>
    <w:rsid w:val="000812CA"/>
    <w:rsid w:val="00081B66"/>
    <w:rsid w:val="00081E63"/>
    <w:rsid w:val="000821B3"/>
    <w:rsid w:val="00082282"/>
    <w:rsid w:val="000822C3"/>
    <w:rsid w:val="000823A4"/>
    <w:rsid w:val="000824AC"/>
    <w:rsid w:val="0008258D"/>
    <w:rsid w:val="00082771"/>
    <w:rsid w:val="000828B1"/>
    <w:rsid w:val="00082C22"/>
    <w:rsid w:val="00083138"/>
    <w:rsid w:val="00083824"/>
    <w:rsid w:val="00083B64"/>
    <w:rsid w:val="00083E5A"/>
    <w:rsid w:val="00083E99"/>
    <w:rsid w:val="00084250"/>
    <w:rsid w:val="000844F8"/>
    <w:rsid w:val="0008463D"/>
    <w:rsid w:val="000846F2"/>
    <w:rsid w:val="00084719"/>
    <w:rsid w:val="00084920"/>
    <w:rsid w:val="00084FA8"/>
    <w:rsid w:val="000850BB"/>
    <w:rsid w:val="000856C5"/>
    <w:rsid w:val="000858EE"/>
    <w:rsid w:val="000859EF"/>
    <w:rsid w:val="00085C31"/>
    <w:rsid w:val="00085D37"/>
    <w:rsid w:val="00085E32"/>
    <w:rsid w:val="0008672A"/>
    <w:rsid w:val="000867C1"/>
    <w:rsid w:val="0008683A"/>
    <w:rsid w:val="00086F42"/>
    <w:rsid w:val="0008715E"/>
    <w:rsid w:val="000902D9"/>
    <w:rsid w:val="000907B6"/>
    <w:rsid w:val="000907E7"/>
    <w:rsid w:val="00090C7E"/>
    <w:rsid w:val="00090E7D"/>
    <w:rsid w:val="000911AC"/>
    <w:rsid w:val="000911C8"/>
    <w:rsid w:val="00091306"/>
    <w:rsid w:val="000913BE"/>
    <w:rsid w:val="000913E6"/>
    <w:rsid w:val="00091582"/>
    <w:rsid w:val="00091785"/>
    <w:rsid w:val="00091817"/>
    <w:rsid w:val="000919EF"/>
    <w:rsid w:val="00091B45"/>
    <w:rsid w:val="00091C87"/>
    <w:rsid w:val="0009213C"/>
    <w:rsid w:val="000923C5"/>
    <w:rsid w:val="000923D5"/>
    <w:rsid w:val="0009253A"/>
    <w:rsid w:val="00092600"/>
    <w:rsid w:val="0009262B"/>
    <w:rsid w:val="00092CE0"/>
    <w:rsid w:val="00093310"/>
    <w:rsid w:val="00093530"/>
    <w:rsid w:val="0009354B"/>
    <w:rsid w:val="0009372C"/>
    <w:rsid w:val="000939E1"/>
    <w:rsid w:val="00093A0E"/>
    <w:rsid w:val="00093A1F"/>
    <w:rsid w:val="00093B38"/>
    <w:rsid w:val="00093DF6"/>
    <w:rsid w:val="000942F1"/>
    <w:rsid w:val="000943F3"/>
    <w:rsid w:val="0009445C"/>
    <w:rsid w:val="000950C3"/>
    <w:rsid w:val="00095200"/>
    <w:rsid w:val="00095433"/>
    <w:rsid w:val="00095484"/>
    <w:rsid w:val="0009551B"/>
    <w:rsid w:val="00095680"/>
    <w:rsid w:val="00095A3A"/>
    <w:rsid w:val="00095E72"/>
    <w:rsid w:val="00095FE5"/>
    <w:rsid w:val="00096284"/>
    <w:rsid w:val="0009678E"/>
    <w:rsid w:val="00097599"/>
    <w:rsid w:val="000975BC"/>
    <w:rsid w:val="00097C83"/>
    <w:rsid w:val="000A02AF"/>
    <w:rsid w:val="000A0562"/>
    <w:rsid w:val="000A07E9"/>
    <w:rsid w:val="000A0CF0"/>
    <w:rsid w:val="000A0FEF"/>
    <w:rsid w:val="000A1463"/>
    <w:rsid w:val="000A15CE"/>
    <w:rsid w:val="000A16A3"/>
    <w:rsid w:val="000A19E5"/>
    <w:rsid w:val="000A1BC0"/>
    <w:rsid w:val="000A1F80"/>
    <w:rsid w:val="000A227A"/>
    <w:rsid w:val="000A22CA"/>
    <w:rsid w:val="000A2438"/>
    <w:rsid w:val="000A2671"/>
    <w:rsid w:val="000A2C55"/>
    <w:rsid w:val="000A2D13"/>
    <w:rsid w:val="000A2F9E"/>
    <w:rsid w:val="000A3038"/>
    <w:rsid w:val="000A30EB"/>
    <w:rsid w:val="000A3A04"/>
    <w:rsid w:val="000A3A8D"/>
    <w:rsid w:val="000A3DD2"/>
    <w:rsid w:val="000A3E47"/>
    <w:rsid w:val="000A3EE2"/>
    <w:rsid w:val="000A415C"/>
    <w:rsid w:val="000A4BC3"/>
    <w:rsid w:val="000A522B"/>
    <w:rsid w:val="000A5879"/>
    <w:rsid w:val="000A5AE7"/>
    <w:rsid w:val="000A5DF5"/>
    <w:rsid w:val="000A5F27"/>
    <w:rsid w:val="000A6015"/>
    <w:rsid w:val="000A6039"/>
    <w:rsid w:val="000A613F"/>
    <w:rsid w:val="000A61DE"/>
    <w:rsid w:val="000A6BF5"/>
    <w:rsid w:val="000A6BFD"/>
    <w:rsid w:val="000A6D9F"/>
    <w:rsid w:val="000A6E16"/>
    <w:rsid w:val="000A6EDB"/>
    <w:rsid w:val="000A71B2"/>
    <w:rsid w:val="000A7453"/>
    <w:rsid w:val="000A76E0"/>
    <w:rsid w:val="000A7D08"/>
    <w:rsid w:val="000B0121"/>
    <w:rsid w:val="000B02AE"/>
    <w:rsid w:val="000B0670"/>
    <w:rsid w:val="000B072D"/>
    <w:rsid w:val="000B0778"/>
    <w:rsid w:val="000B0C87"/>
    <w:rsid w:val="000B0E75"/>
    <w:rsid w:val="000B1180"/>
    <w:rsid w:val="000B16C5"/>
    <w:rsid w:val="000B1952"/>
    <w:rsid w:val="000B2137"/>
    <w:rsid w:val="000B22DE"/>
    <w:rsid w:val="000B247B"/>
    <w:rsid w:val="000B274B"/>
    <w:rsid w:val="000B2DCB"/>
    <w:rsid w:val="000B3146"/>
    <w:rsid w:val="000B3296"/>
    <w:rsid w:val="000B32BC"/>
    <w:rsid w:val="000B3570"/>
    <w:rsid w:val="000B3856"/>
    <w:rsid w:val="000B3B83"/>
    <w:rsid w:val="000B400C"/>
    <w:rsid w:val="000B419E"/>
    <w:rsid w:val="000B434E"/>
    <w:rsid w:val="000B446E"/>
    <w:rsid w:val="000B5039"/>
    <w:rsid w:val="000B59FA"/>
    <w:rsid w:val="000B5A6B"/>
    <w:rsid w:val="000B5BB0"/>
    <w:rsid w:val="000B5CBA"/>
    <w:rsid w:val="000B5CE0"/>
    <w:rsid w:val="000B5E17"/>
    <w:rsid w:val="000B5EDE"/>
    <w:rsid w:val="000B6221"/>
    <w:rsid w:val="000B62FD"/>
    <w:rsid w:val="000B663B"/>
    <w:rsid w:val="000B6AF1"/>
    <w:rsid w:val="000B6CAC"/>
    <w:rsid w:val="000B7137"/>
    <w:rsid w:val="000B7612"/>
    <w:rsid w:val="000B78AE"/>
    <w:rsid w:val="000B7BFD"/>
    <w:rsid w:val="000B7D44"/>
    <w:rsid w:val="000B7DA6"/>
    <w:rsid w:val="000C0298"/>
    <w:rsid w:val="000C038C"/>
    <w:rsid w:val="000C09A0"/>
    <w:rsid w:val="000C0EAB"/>
    <w:rsid w:val="000C1057"/>
    <w:rsid w:val="000C10BA"/>
    <w:rsid w:val="000C12EB"/>
    <w:rsid w:val="000C13DC"/>
    <w:rsid w:val="000C171A"/>
    <w:rsid w:val="000C1A5D"/>
    <w:rsid w:val="000C1D3F"/>
    <w:rsid w:val="000C1D9E"/>
    <w:rsid w:val="000C1E00"/>
    <w:rsid w:val="000C1ECC"/>
    <w:rsid w:val="000C2048"/>
    <w:rsid w:val="000C2515"/>
    <w:rsid w:val="000C38A6"/>
    <w:rsid w:val="000C3B68"/>
    <w:rsid w:val="000C3BD5"/>
    <w:rsid w:val="000C3D2B"/>
    <w:rsid w:val="000C3DD8"/>
    <w:rsid w:val="000C3DF9"/>
    <w:rsid w:val="000C40DD"/>
    <w:rsid w:val="000C4744"/>
    <w:rsid w:val="000C47DF"/>
    <w:rsid w:val="000C4B62"/>
    <w:rsid w:val="000C4C56"/>
    <w:rsid w:val="000C4CF2"/>
    <w:rsid w:val="000C512E"/>
    <w:rsid w:val="000C51CB"/>
    <w:rsid w:val="000C556B"/>
    <w:rsid w:val="000C5790"/>
    <w:rsid w:val="000C5AA0"/>
    <w:rsid w:val="000C6224"/>
    <w:rsid w:val="000C663C"/>
    <w:rsid w:val="000C6713"/>
    <w:rsid w:val="000C695C"/>
    <w:rsid w:val="000C6B04"/>
    <w:rsid w:val="000C6B4A"/>
    <w:rsid w:val="000C6C46"/>
    <w:rsid w:val="000C6E21"/>
    <w:rsid w:val="000C6E6F"/>
    <w:rsid w:val="000C787A"/>
    <w:rsid w:val="000C7A5A"/>
    <w:rsid w:val="000C7DE1"/>
    <w:rsid w:val="000C7F68"/>
    <w:rsid w:val="000D0093"/>
    <w:rsid w:val="000D0229"/>
    <w:rsid w:val="000D0286"/>
    <w:rsid w:val="000D0552"/>
    <w:rsid w:val="000D0C1B"/>
    <w:rsid w:val="000D0E1A"/>
    <w:rsid w:val="000D10CD"/>
    <w:rsid w:val="000D12BB"/>
    <w:rsid w:val="000D1355"/>
    <w:rsid w:val="000D142F"/>
    <w:rsid w:val="000D1986"/>
    <w:rsid w:val="000D1BFC"/>
    <w:rsid w:val="000D1C0D"/>
    <w:rsid w:val="000D1C74"/>
    <w:rsid w:val="000D1D5D"/>
    <w:rsid w:val="000D2030"/>
    <w:rsid w:val="000D2671"/>
    <w:rsid w:val="000D27E8"/>
    <w:rsid w:val="000D281A"/>
    <w:rsid w:val="000D2848"/>
    <w:rsid w:val="000D2A7B"/>
    <w:rsid w:val="000D2F7B"/>
    <w:rsid w:val="000D2FD7"/>
    <w:rsid w:val="000D326A"/>
    <w:rsid w:val="000D32BA"/>
    <w:rsid w:val="000D35E5"/>
    <w:rsid w:val="000D3877"/>
    <w:rsid w:val="000D3EA7"/>
    <w:rsid w:val="000D3FC3"/>
    <w:rsid w:val="000D4BEC"/>
    <w:rsid w:val="000D4FA0"/>
    <w:rsid w:val="000D51FB"/>
    <w:rsid w:val="000D584B"/>
    <w:rsid w:val="000D5AEA"/>
    <w:rsid w:val="000D5CA4"/>
    <w:rsid w:val="000D5E94"/>
    <w:rsid w:val="000D6423"/>
    <w:rsid w:val="000D6497"/>
    <w:rsid w:val="000D66DC"/>
    <w:rsid w:val="000D6802"/>
    <w:rsid w:val="000D6D61"/>
    <w:rsid w:val="000D6E6F"/>
    <w:rsid w:val="000D6ECC"/>
    <w:rsid w:val="000D7407"/>
    <w:rsid w:val="000D7514"/>
    <w:rsid w:val="000E0148"/>
    <w:rsid w:val="000E0203"/>
    <w:rsid w:val="000E05AE"/>
    <w:rsid w:val="000E0640"/>
    <w:rsid w:val="000E0837"/>
    <w:rsid w:val="000E0AB4"/>
    <w:rsid w:val="000E0BE5"/>
    <w:rsid w:val="000E0BF9"/>
    <w:rsid w:val="000E1258"/>
    <w:rsid w:val="000E135D"/>
    <w:rsid w:val="000E1872"/>
    <w:rsid w:val="000E1B44"/>
    <w:rsid w:val="000E1C57"/>
    <w:rsid w:val="000E1CD6"/>
    <w:rsid w:val="000E1CEA"/>
    <w:rsid w:val="000E2093"/>
    <w:rsid w:val="000E2335"/>
    <w:rsid w:val="000E25BC"/>
    <w:rsid w:val="000E3210"/>
    <w:rsid w:val="000E33BE"/>
    <w:rsid w:val="000E35BA"/>
    <w:rsid w:val="000E3747"/>
    <w:rsid w:val="000E399D"/>
    <w:rsid w:val="000E3B50"/>
    <w:rsid w:val="000E3DCE"/>
    <w:rsid w:val="000E4521"/>
    <w:rsid w:val="000E457A"/>
    <w:rsid w:val="000E4AA2"/>
    <w:rsid w:val="000E4EA4"/>
    <w:rsid w:val="000E5027"/>
    <w:rsid w:val="000E5212"/>
    <w:rsid w:val="000E528E"/>
    <w:rsid w:val="000E5462"/>
    <w:rsid w:val="000E54A4"/>
    <w:rsid w:val="000E55FE"/>
    <w:rsid w:val="000E57A6"/>
    <w:rsid w:val="000E5AF8"/>
    <w:rsid w:val="000E5B8B"/>
    <w:rsid w:val="000E5C4F"/>
    <w:rsid w:val="000E6479"/>
    <w:rsid w:val="000E6E41"/>
    <w:rsid w:val="000E6E45"/>
    <w:rsid w:val="000E7167"/>
    <w:rsid w:val="000E7499"/>
    <w:rsid w:val="000E780E"/>
    <w:rsid w:val="000E7FCE"/>
    <w:rsid w:val="000F00BA"/>
    <w:rsid w:val="000F0512"/>
    <w:rsid w:val="000F095C"/>
    <w:rsid w:val="000F0BD6"/>
    <w:rsid w:val="000F0E0E"/>
    <w:rsid w:val="000F0EC2"/>
    <w:rsid w:val="000F14A5"/>
    <w:rsid w:val="000F14AC"/>
    <w:rsid w:val="000F14E8"/>
    <w:rsid w:val="000F1775"/>
    <w:rsid w:val="000F19A4"/>
    <w:rsid w:val="000F212F"/>
    <w:rsid w:val="000F22BF"/>
    <w:rsid w:val="000F305D"/>
    <w:rsid w:val="000F316A"/>
    <w:rsid w:val="000F31B6"/>
    <w:rsid w:val="000F3277"/>
    <w:rsid w:val="000F3C74"/>
    <w:rsid w:val="000F41C5"/>
    <w:rsid w:val="000F437F"/>
    <w:rsid w:val="000F45FD"/>
    <w:rsid w:val="000F4BB8"/>
    <w:rsid w:val="000F4EF1"/>
    <w:rsid w:val="000F4FA9"/>
    <w:rsid w:val="000F51E3"/>
    <w:rsid w:val="000F53FB"/>
    <w:rsid w:val="000F5642"/>
    <w:rsid w:val="000F600E"/>
    <w:rsid w:val="000F627B"/>
    <w:rsid w:val="000F670E"/>
    <w:rsid w:val="000F673F"/>
    <w:rsid w:val="000F69AA"/>
    <w:rsid w:val="000F6AC4"/>
    <w:rsid w:val="000F6F41"/>
    <w:rsid w:val="000F6F54"/>
    <w:rsid w:val="000F7127"/>
    <w:rsid w:val="000F7284"/>
    <w:rsid w:val="000F73CC"/>
    <w:rsid w:val="000F787E"/>
    <w:rsid w:val="000F7B54"/>
    <w:rsid w:val="000F7EC5"/>
    <w:rsid w:val="001000A2"/>
    <w:rsid w:val="001000B3"/>
    <w:rsid w:val="001006BD"/>
    <w:rsid w:val="00100E20"/>
    <w:rsid w:val="00100F8A"/>
    <w:rsid w:val="00101084"/>
    <w:rsid w:val="001019B5"/>
    <w:rsid w:val="001021CA"/>
    <w:rsid w:val="0010243B"/>
    <w:rsid w:val="001028D4"/>
    <w:rsid w:val="0010291C"/>
    <w:rsid w:val="0010292F"/>
    <w:rsid w:val="00102E2C"/>
    <w:rsid w:val="00102F37"/>
    <w:rsid w:val="0010305F"/>
    <w:rsid w:val="00103204"/>
    <w:rsid w:val="00103535"/>
    <w:rsid w:val="001037C3"/>
    <w:rsid w:val="001037D4"/>
    <w:rsid w:val="00103C7F"/>
    <w:rsid w:val="00103C92"/>
    <w:rsid w:val="001042FD"/>
    <w:rsid w:val="0010449A"/>
    <w:rsid w:val="0010452E"/>
    <w:rsid w:val="00105A5F"/>
    <w:rsid w:val="00105AE2"/>
    <w:rsid w:val="00105EB2"/>
    <w:rsid w:val="00105EF3"/>
    <w:rsid w:val="00105F60"/>
    <w:rsid w:val="001060C6"/>
    <w:rsid w:val="0010689F"/>
    <w:rsid w:val="001069F5"/>
    <w:rsid w:val="00106A40"/>
    <w:rsid w:val="00106B80"/>
    <w:rsid w:val="00106D2F"/>
    <w:rsid w:val="00107027"/>
    <w:rsid w:val="001070EA"/>
    <w:rsid w:val="0010713F"/>
    <w:rsid w:val="00107221"/>
    <w:rsid w:val="00107A52"/>
    <w:rsid w:val="00107F0B"/>
    <w:rsid w:val="0011029E"/>
    <w:rsid w:val="0011032E"/>
    <w:rsid w:val="00110615"/>
    <w:rsid w:val="00110689"/>
    <w:rsid w:val="00110909"/>
    <w:rsid w:val="001116BA"/>
    <w:rsid w:val="00111719"/>
    <w:rsid w:val="001118A2"/>
    <w:rsid w:val="00111C68"/>
    <w:rsid w:val="00111ED9"/>
    <w:rsid w:val="00111F60"/>
    <w:rsid w:val="00111F7A"/>
    <w:rsid w:val="00111FF3"/>
    <w:rsid w:val="0011231B"/>
    <w:rsid w:val="00112480"/>
    <w:rsid w:val="0011252B"/>
    <w:rsid w:val="00112598"/>
    <w:rsid w:val="00112898"/>
    <w:rsid w:val="00112A03"/>
    <w:rsid w:val="00112B2A"/>
    <w:rsid w:val="00112DE3"/>
    <w:rsid w:val="00112F27"/>
    <w:rsid w:val="0011348B"/>
    <w:rsid w:val="00113D2D"/>
    <w:rsid w:val="00113E1C"/>
    <w:rsid w:val="00114556"/>
    <w:rsid w:val="00114DE8"/>
    <w:rsid w:val="00115143"/>
    <w:rsid w:val="0011539A"/>
    <w:rsid w:val="00115643"/>
    <w:rsid w:val="001157AD"/>
    <w:rsid w:val="00115982"/>
    <w:rsid w:val="00116241"/>
    <w:rsid w:val="0011639C"/>
    <w:rsid w:val="00116534"/>
    <w:rsid w:val="00116975"/>
    <w:rsid w:val="00116C53"/>
    <w:rsid w:val="00116CE6"/>
    <w:rsid w:val="00117565"/>
    <w:rsid w:val="0011791B"/>
    <w:rsid w:val="00117963"/>
    <w:rsid w:val="00117C10"/>
    <w:rsid w:val="00117F2D"/>
    <w:rsid w:val="00120400"/>
    <w:rsid w:val="0012065E"/>
    <w:rsid w:val="001206E4"/>
    <w:rsid w:val="00120712"/>
    <w:rsid w:val="00120ABE"/>
    <w:rsid w:val="00120B35"/>
    <w:rsid w:val="00120CBD"/>
    <w:rsid w:val="00120E5F"/>
    <w:rsid w:val="00120FD0"/>
    <w:rsid w:val="001211C1"/>
    <w:rsid w:val="001216A1"/>
    <w:rsid w:val="0012178D"/>
    <w:rsid w:val="00121799"/>
    <w:rsid w:val="00121A31"/>
    <w:rsid w:val="00121C12"/>
    <w:rsid w:val="00121F6A"/>
    <w:rsid w:val="001222FC"/>
    <w:rsid w:val="00122452"/>
    <w:rsid w:val="0012253C"/>
    <w:rsid w:val="00122793"/>
    <w:rsid w:val="00122849"/>
    <w:rsid w:val="0012284D"/>
    <w:rsid w:val="00122D80"/>
    <w:rsid w:val="001230BF"/>
    <w:rsid w:val="00123282"/>
    <w:rsid w:val="0012367C"/>
    <w:rsid w:val="00123902"/>
    <w:rsid w:val="00123ADF"/>
    <w:rsid w:val="00123B26"/>
    <w:rsid w:val="00123EA2"/>
    <w:rsid w:val="00123F90"/>
    <w:rsid w:val="0012401F"/>
    <w:rsid w:val="0012481F"/>
    <w:rsid w:val="00124A51"/>
    <w:rsid w:val="00124DBA"/>
    <w:rsid w:val="00125184"/>
    <w:rsid w:val="00125398"/>
    <w:rsid w:val="0012569D"/>
    <w:rsid w:val="0012592B"/>
    <w:rsid w:val="00126621"/>
    <w:rsid w:val="00126A9D"/>
    <w:rsid w:val="00126B1D"/>
    <w:rsid w:val="00126D46"/>
    <w:rsid w:val="0012736F"/>
    <w:rsid w:val="001273BF"/>
    <w:rsid w:val="00127D5D"/>
    <w:rsid w:val="00127D85"/>
    <w:rsid w:val="00127DA7"/>
    <w:rsid w:val="00127E2B"/>
    <w:rsid w:val="001301E9"/>
    <w:rsid w:val="0013020C"/>
    <w:rsid w:val="0013023E"/>
    <w:rsid w:val="00130AB5"/>
    <w:rsid w:val="00130B21"/>
    <w:rsid w:val="00130D93"/>
    <w:rsid w:val="00130F29"/>
    <w:rsid w:val="00131362"/>
    <w:rsid w:val="00131579"/>
    <w:rsid w:val="001316AE"/>
    <w:rsid w:val="0013175E"/>
    <w:rsid w:val="00131AD4"/>
    <w:rsid w:val="00131AE9"/>
    <w:rsid w:val="00131C13"/>
    <w:rsid w:val="00131D82"/>
    <w:rsid w:val="001322EE"/>
    <w:rsid w:val="00132354"/>
    <w:rsid w:val="0013279C"/>
    <w:rsid w:val="00132B22"/>
    <w:rsid w:val="00132C83"/>
    <w:rsid w:val="00132F88"/>
    <w:rsid w:val="0013323E"/>
    <w:rsid w:val="0013324B"/>
    <w:rsid w:val="0013324C"/>
    <w:rsid w:val="001336C6"/>
    <w:rsid w:val="00133A34"/>
    <w:rsid w:val="00133D36"/>
    <w:rsid w:val="00133D8E"/>
    <w:rsid w:val="00134758"/>
    <w:rsid w:val="00134942"/>
    <w:rsid w:val="00134B8E"/>
    <w:rsid w:val="00134EEB"/>
    <w:rsid w:val="00135726"/>
    <w:rsid w:val="00135794"/>
    <w:rsid w:val="001358D5"/>
    <w:rsid w:val="00135A46"/>
    <w:rsid w:val="00135CFB"/>
    <w:rsid w:val="00135DE6"/>
    <w:rsid w:val="00135E02"/>
    <w:rsid w:val="00136075"/>
    <w:rsid w:val="00136648"/>
    <w:rsid w:val="00136DF0"/>
    <w:rsid w:val="00137125"/>
    <w:rsid w:val="00137434"/>
    <w:rsid w:val="0013747D"/>
    <w:rsid w:val="00137645"/>
    <w:rsid w:val="0013766E"/>
    <w:rsid w:val="00137958"/>
    <w:rsid w:val="001379DC"/>
    <w:rsid w:val="00137B0C"/>
    <w:rsid w:val="00137B1C"/>
    <w:rsid w:val="00137B85"/>
    <w:rsid w:val="00137EE0"/>
    <w:rsid w:val="0014015A"/>
    <w:rsid w:val="00140E2A"/>
    <w:rsid w:val="00140E99"/>
    <w:rsid w:val="0014118F"/>
    <w:rsid w:val="00141538"/>
    <w:rsid w:val="001415CB"/>
    <w:rsid w:val="0014191E"/>
    <w:rsid w:val="00142132"/>
    <w:rsid w:val="00142202"/>
    <w:rsid w:val="001422CA"/>
    <w:rsid w:val="0014289A"/>
    <w:rsid w:val="001429A4"/>
    <w:rsid w:val="00142A57"/>
    <w:rsid w:val="00142C62"/>
    <w:rsid w:val="001431AE"/>
    <w:rsid w:val="00143229"/>
    <w:rsid w:val="00143DD2"/>
    <w:rsid w:val="00143E8D"/>
    <w:rsid w:val="00143EB3"/>
    <w:rsid w:val="00143F67"/>
    <w:rsid w:val="0014416D"/>
    <w:rsid w:val="001441FE"/>
    <w:rsid w:val="001446F2"/>
    <w:rsid w:val="001448E6"/>
    <w:rsid w:val="00144B8D"/>
    <w:rsid w:val="00144BB4"/>
    <w:rsid w:val="00144D8A"/>
    <w:rsid w:val="00144E28"/>
    <w:rsid w:val="0014506A"/>
    <w:rsid w:val="00145234"/>
    <w:rsid w:val="00145540"/>
    <w:rsid w:val="001456B0"/>
    <w:rsid w:val="001460E8"/>
    <w:rsid w:val="00146559"/>
    <w:rsid w:val="00146669"/>
    <w:rsid w:val="001467B7"/>
    <w:rsid w:val="00146969"/>
    <w:rsid w:val="00146A9D"/>
    <w:rsid w:val="00146BC7"/>
    <w:rsid w:val="00146D0C"/>
    <w:rsid w:val="00146E0F"/>
    <w:rsid w:val="001470A6"/>
    <w:rsid w:val="0014718A"/>
    <w:rsid w:val="001474FA"/>
    <w:rsid w:val="001479A5"/>
    <w:rsid w:val="00147A50"/>
    <w:rsid w:val="00147DA6"/>
    <w:rsid w:val="001503CD"/>
    <w:rsid w:val="001505FC"/>
    <w:rsid w:val="0015079E"/>
    <w:rsid w:val="00150B05"/>
    <w:rsid w:val="00150C25"/>
    <w:rsid w:val="00151764"/>
    <w:rsid w:val="00151CE8"/>
    <w:rsid w:val="0015209D"/>
    <w:rsid w:val="00152507"/>
    <w:rsid w:val="00152680"/>
    <w:rsid w:val="001526C7"/>
    <w:rsid w:val="00152BD5"/>
    <w:rsid w:val="00152D92"/>
    <w:rsid w:val="00152FF8"/>
    <w:rsid w:val="00153123"/>
    <w:rsid w:val="00153144"/>
    <w:rsid w:val="00153797"/>
    <w:rsid w:val="001537CB"/>
    <w:rsid w:val="00153906"/>
    <w:rsid w:val="00153FF8"/>
    <w:rsid w:val="001541FE"/>
    <w:rsid w:val="0015440A"/>
    <w:rsid w:val="001547AB"/>
    <w:rsid w:val="00154FE0"/>
    <w:rsid w:val="00155178"/>
    <w:rsid w:val="00155239"/>
    <w:rsid w:val="00155308"/>
    <w:rsid w:val="00155D2D"/>
    <w:rsid w:val="001560DE"/>
    <w:rsid w:val="001560E7"/>
    <w:rsid w:val="00156737"/>
    <w:rsid w:val="00156DA2"/>
    <w:rsid w:val="00156EE6"/>
    <w:rsid w:val="00156F8F"/>
    <w:rsid w:val="00157056"/>
    <w:rsid w:val="00157130"/>
    <w:rsid w:val="001571F3"/>
    <w:rsid w:val="00157682"/>
    <w:rsid w:val="001576B1"/>
    <w:rsid w:val="0015774F"/>
    <w:rsid w:val="00157950"/>
    <w:rsid w:val="00157C30"/>
    <w:rsid w:val="00160084"/>
    <w:rsid w:val="001601BA"/>
    <w:rsid w:val="001602AA"/>
    <w:rsid w:val="0016047B"/>
    <w:rsid w:val="00160500"/>
    <w:rsid w:val="0016065A"/>
    <w:rsid w:val="0016096F"/>
    <w:rsid w:val="00160A4C"/>
    <w:rsid w:val="00160A5D"/>
    <w:rsid w:val="00160EDC"/>
    <w:rsid w:val="00161308"/>
    <w:rsid w:val="0016184A"/>
    <w:rsid w:val="00161BD4"/>
    <w:rsid w:val="00161C76"/>
    <w:rsid w:val="00161CC7"/>
    <w:rsid w:val="00161E7F"/>
    <w:rsid w:val="00161F28"/>
    <w:rsid w:val="001623B5"/>
    <w:rsid w:val="001624A8"/>
    <w:rsid w:val="0016275A"/>
    <w:rsid w:val="00162781"/>
    <w:rsid w:val="00162861"/>
    <w:rsid w:val="0016289C"/>
    <w:rsid w:val="001628E0"/>
    <w:rsid w:val="00162913"/>
    <w:rsid w:val="00162DF5"/>
    <w:rsid w:val="00163141"/>
    <w:rsid w:val="00163296"/>
    <w:rsid w:val="001632B5"/>
    <w:rsid w:val="0016344B"/>
    <w:rsid w:val="00163A6C"/>
    <w:rsid w:val="00163EFF"/>
    <w:rsid w:val="00163F66"/>
    <w:rsid w:val="00164391"/>
    <w:rsid w:val="00164568"/>
    <w:rsid w:val="0016478E"/>
    <w:rsid w:val="001647A6"/>
    <w:rsid w:val="0016492D"/>
    <w:rsid w:val="00164935"/>
    <w:rsid w:val="00164F1F"/>
    <w:rsid w:val="001653D3"/>
    <w:rsid w:val="001655CF"/>
    <w:rsid w:val="00165B80"/>
    <w:rsid w:val="00165BE0"/>
    <w:rsid w:val="00165EC4"/>
    <w:rsid w:val="001661FB"/>
    <w:rsid w:val="001663D0"/>
    <w:rsid w:val="001669E0"/>
    <w:rsid w:val="00167094"/>
    <w:rsid w:val="001671A0"/>
    <w:rsid w:val="0016725C"/>
    <w:rsid w:val="001674A0"/>
    <w:rsid w:val="00167585"/>
    <w:rsid w:val="0016759B"/>
    <w:rsid w:val="0016767F"/>
    <w:rsid w:val="00167C4C"/>
    <w:rsid w:val="00167D4E"/>
    <w:rsid w:val="00167D98"/>
    <w:rsid w:val="00167F46"/>
    <w:rsid w:val="00170019"/>
    <w:rsid w:val="0017004C"/>
    <w:rsid w:val="00170062"/>
    <w:rsid w:val="00170646"/>
    <w:rsid w:val="00170864"/>
    <w:rsid w:val="0017134B"/>
    <w:rsid w:val="00171B27"/>
    <w:rsid w:val="00171B2C"/>
    <w:rsid w:val="00171F23"/>
    <w:rsid w:val="00172149"/>
    <w:rsid w:val="001721EB"/>
    <w:rsid w:val="00172D8D"/>
    <w:rsid w:val="00173565"/>
    <w:rsid w:val="00173A34"/>
    <w:rsid w:val="00173A60"/>
    <w:rsid w:val="00173B07"/>
    <w:rsid w:val="00173E1B"/>
    <w:rsid w:val="00173F05"/>
    <w:rsid w:val="00174086"/>
    <w:rsid w:val="0017418D"/>
    <w:rsid w:val="001742CF"/>
    <w:rsid w:val="001745EA"/>
    <w:rsid w:val="001748F4"/>
    <w:rsid w:val="0017491D"/>
    <w:rsid w:val="00174A5C"/>
    <w:rsid w:val="00174A9E"/>
    <w:rsid w:val="00174AF4"/>
    <w:rsid w:val="00174F92"/>
    <w:rsid w:val="001751AD"/>
    <w:rsid w:val="001751FA"/>
    <w:rsid w:val="001752F6"/>
    <w:rsid w:val="0017533B"/>
    <w:rsid w:val="001755C9"/>
    <w:rsid w:val="001758F1"/>
    <w:rsid w:val="001759D4"/>
    <w:rsid w:val="00175B68"/>
    <w:rsid w:val="001760B1"/>
    <w:rsid w:val="0017620F"/>
    <w:rsid w:val="00176274"/>
    <w:rsid w:val="00176392"/>
    <w:rsid w:val="001769C5"/>
    <w:rsid w:val="00176C51"/>
    <w:rsid w:val="00176D40"/>
    <w:rsid w:val="00176DBA"/>
    <w:rsid w:val="0017707F"/>
    <w:rsid w:val="001770A2"/>
    <w:rsid w:val="00177224"/>
    <w:rsid w:val="00177C66"/>
    <w:rsid w:val="00177D25"/>
    <w:rsid w:val="00177E1A"/>
    <w:rsid w:val="001800A7"/>
    <w:rsid w:val="001800AF"/>
    <w:rsid w:val="0018011B"/>
    <w:rsid w:val="00180183"/>
    <w:rsid w:val="001805F6"/>
    <w:rsid w:val="00180C50"/>
    <w:rsid w:val="00180CAA"/>
    <w:rsid w:val="00180EC0"/>
    <w:rsid w:val="00181C10"/>
    <w:rsid w:val="00181D9C"/>
    <w:rsid w:val="00181DC3"/>
    <w:rsid w:val="001826F4"/>
    <w:rsid w:val="00182A67"/>
    <w:rsid w:val="00182D98"/>
    <w:rsid w:val="00182FC4"/>
    <w:rsid w:val="00183248"/>
    <w:rsid w:val="00183675"/>
    <w:rsid w:val="001837FF"/>
    <w:rsid w:val="001838A9"/>
    <w:rsid w:val="001840D2"/>
    <w:rsid w:val="001842B4"/>
    <w:rsid w:val="0018432A"/>
    <w:rsid w:val="00184AA0"/>
    <w:rsid w:val="00184B0E"/>
    <w:rsid w:val="00184EA1"/>
    <w:rsid w:val="00184ED8"/>
    <w:rsid w:val="001854D5"/>
    <w:rsid w:val="001855E0"/>
    <w:rsid w:val="00185771"/>
    <w:rsid w:val="00185DB1"/>
    <w:rsid w:val="001861EF"/>
    <w:rsid w:val="00186437"/>
    <w:rsid w:val="001867B4"/>
    <w:rsid w:val="00186874"/>
    <w:rsid w:val="00186CAB"/>
    <w:rsid w:val="00186DD9"/>
    <w:rsid w:val="00186DE3"/>
    <w:rsid w:val="00187057"/>
    <w:rsid w:val="001872FD"/>
    <w:rsid w:val="0018752F"/>
    <w:rsid w:val="00187C39"/>
    <w:rsid w:val="00187DFB"/>
    <w:rsid w:val="00190D2C"/>
    <w:rsid w:val="00191326"/>
    <w:rsid w:val="00191B79"/>
    <w:rsid w:val="00191F16"/>
    <w:rsid w:val="00192327"/>
    <w:rsid w:val="001924B9"/>
    <w:rsid w:val="00192706"/>
    <w:rsid w:val="00192A65"/>
    <w:rsid w:val="00192ADF"/>
    <w:rsid w:val="00192AE0"/>
    <w:rsid w:val="00192B82"/>
    <w:rsid w:val="00192BD7"/>
    <w:rsid w:val="00192EA4"/>
    <w:rsid w:val="00192F85"/>
    <w:rsid w:val="00193734"/>
    <w:rsid w:val="00193828"/>
    <w:rsid w:val="00193838"/>
    <w:rsid w:val="00193B5A"/>
    <w:rsid w:val="001946F9"/>
    <w:rsid w:val="00194AD8"/>
    <w:rsid w:val="00195222"/>
    <w:rsid w:val="00195452"/>
    <w:rsid w:val="00195933"/>
    <w:rsid w:val="00195C23"/>
    <w:rsid w:val="00195E4D"/>
    <w:rsid w:val="00195FD1"/>
    <w:rsid w:val="0019614A"/>
    <w:rsid w:val="00196CEF"/>
    <w:rsid w:val="00196DA0"/>
    <w:rsid w:val="00196F9C"/>
    <w:rsid w:val="0019706D"/>
    <w:rsid w:val="001973A8"/>
    <w:rsid w:val="001975A7"/>
    <w:rsid w:val="001975D8"/>
    <w:rsid w:val="001975E7"/>
    <w:rsid w:val="001975EE"/>
    <w:rsid w:val="00197FFB"/>
    <w:rsid w:val="001A02CF"/>
    <w:rsid w:val="001A02F2"/>
    <w:rsid w:val="001A06C6"/>
    <w:rsid w:val="001A08E5"/>
    <w:rsid w:val="001A0A57"/>
    <w:rsid w:val="001A0DE5"/>
    <w:rsid w:val="001A0FAD"/>
    <w:rsid w:val="001A0FEE"/>
    <w:rsid w:val="001A1005"/>
    <w:rsid w:val="001A1141"/>
    <w:rsid w:val="001A178E"/>
    <w:rsid w:val="001A18D5"/>
    <w:rsid w:val="001A1AAC"/>
    <w:rsid w:val="001A1AE1"/>
    <w:rsid w:val="001A1EC4"/>
    <w:rsid w:val="001A2336"/>
    <w:rsid w:val="001A274F"/>
    <w:rsid w:val="001A2922"/>
    <w:rsid w:val="001A2BC9"/>
    <w:rsid w:val="001A2DC2"/>
    <w:rsid w:val="001A2E55"/>
    <w:rsid w:val="001A2F01"/>
    <w:rsid w:val="001A3166"/>
    <w:rsid w:val="001A33D5"/>
    <w:rsid w:val="001A345D"/>
    <w:rsid w:val="001A37CB"/>
    <w:rsid w:val="001A38BE"/>
    <w:rsid w:val="001A3A37"/>
    <w:rsid w:val="001A3A69"/>
    <w:rsid w:val="001A3AB3"/>
    <w:rsid w:val="001A3B8B"/>
    <w:rsid w:val="001A3F17"/>
    <w:rsid w:val="001A43FA"/>
    <w:rsid w:val="001A462A"/>
    <w:rsid w:val="001A47C5"/>
    <w:rsid w:val="001A573A"/>
    <w:rsid w:val="001A5803"/>
    <w:rsid w:val="001A59FB"/>
    <w:rsid w:val="001A5B61"/>
    <w:rsid w:val="001A5E9E"/>
    <w:rsid w:val="001A6092"/>
    <w:rsid w:val="001A61D0"/>
    <w:rsid w:val="001A6354"/>
    <w:rsid w:val="001A6366"/>
    <w:rsid w:val="001A6515"/>
    <w:rsid w:val="001A6579"/>
    <w:rsid w:val="001A6628"/>
    <w:rsid w:val="001A67E4"/>
    <w:rsid w:val="001A6879"/>
    <w:rsid w:val="001A6942"/>
    <w:rsid w:val="001A6CDA"/>
    <w:rsid w:val="001A7584"/>
    <w:rsid w:val="001A7A26"/>
    <w:rsid w:val="001A7AE8"/>
    <w:rsid w:val="001B0399"/>
    <w:rsid w:val="001B05A5"/>
    <w:rsid w:val="001B07DD"/>
    <w:rsid w:val="001B07EB"/>
    <w:rsid w:val="001B0B68"/>
    <w:rsid w:val="001B0C2D"/>
    <w:rsid w:val="001B0C4A"/>
    <w:rsid w:val="001B0CF8"/>
    <w:rsid w:val="001B1117"/>
    <w:rsid w:val="001B12AB"/>
    <w:rsid w:val="001B13A9"/>
    <w:rsid w:val="001B13B8"/>
    <w:rsid w:val="001B16B2"/>
    <w:rsid w:val="001B17EB"/>
    <w:rsid w:val="001B1A2C"/>
    <w:rsid w:val="001B1ECA"/>
    <w:rsid w:val="001B2044"/>
    <w:rsid w:val="001B204E"/>
    <w:rsid w:val="001B2266"/>
    <w:rsid w:val="001B2372"/>
    <w:rsid w:val="001B23AC"/>
    <w:rsid w:val="001B2AC8"/>
    <w:rsid w:val="001B3131"/>
    <w:rsid w:val="001B313F"/>
    <w:rsid w:val="001B32A9"/>
    <w:rsid w:val="001B32CD"/>
    <w:rsid w:val="001B3443"/>
    <w:rsid w:val="001B34C6"/>
    <w:rsid w:val="001B3917"/>
    <w:rsid w:val="001B3C4C"/>
    <w:rsid w:val="001B3C60"/>
    <w:rsid w:val="001B43F1"/>
    <w:rsid w:val="001B4850"/>
    <w:rsid w:val="001B4B5A"/>
    <w:rsid w:val="001B4C04"/>
    <w:rsid w:val="001B4D20"/>
    <w:rsid w:val="001B4DBC"/>
    <w:rsid w:val="001B4E79"/>
    <w:rsid w:val="001B5336"/>
    <w:rsid w:val="001B5B23"/>
    <w:rsid w:val="001B5FCB"/>
    <w:rsid w:val="001B6019"/>
    <w:rsid w:val="001B61EC"/>
    <w:rsid w:val="001B668C"/>
    <w:rsid w:val="001B733D"/>
    <w:rsid w:val="001B745D"/>
    <w:rsid w:val="001B7CAB"/>
    <w:rsid w:val="001B7F84"/>
    <w:rsid w:val="001C0259"/>
    <w:rsid w:val="001C04CF"/>
    <w:rsid w:val="001C09AC"/>
    <w:rsid w:val="001C232E"/>
    <w:rsid w:val="001C2471"/>
    <w:rsid w:val="001C289A"/>
    <w:rsid w:val="001C2A9B"/>
    <w:rsid w:val="001C2F99"/>
    <w:rsid w:val="001C31C2"/>
    <w:rsid w:val="001C33BC"/>
    <w:rsid w:val="001C3825"/>
    <w:rsid w:val="001C3992"/>
    <w:rsid w:val="001C3D05"/>
    <w:rsid w:val="001C3DD6"/>
    <w:rsid w:val="001C3EFC"/>
    <w:rsid w:val="001C4005"/>
    <w:rsid w:val="001C4299"/>
    <w:rsid w:val="001C4366"/>
    <w:rsid w:val="001C4370"/>
    <w:rsid w:val="001C4874"/>
    <w:rsid w:val="001C48B9"/>
    <w:rsid w:val="001C4956"/>
    <w:rsid w:val="001C4C49"/>
    <w:rsid w:val="001C5A43"/>
    <w:rsid w:val="001C5EC7"/>
    <w:rsid w:val="001C5EDA"/>
    <w:rsid w:val="001C5F94"/>
    <w:rsid w:val="001C5FD1"/>
    <w:rsid w:val="001C610B"/>
    <w:rsid w:val="001C6522"/>
    <w:rsid w:val="001C69D2"/>
    <w:rsid w:val="001C6A0D"/>
    <w:rsid w:val="001C6E66"/>
    <w:rsid w:val="001C72C4"/>
    <w:rsid w:val="001C7319"/>
    <w:rsid w:val="001C7F78"/>
    <w:rsid w:val="001D03CA"/>
    <w:rsid w:val="001D0904"/>
    <w:rsid w:val="001D09DC"/>
    <w:rsid w:val="001D0D4C"/>
    <w:rsid w:val="001D0F5E"/>
    <w:rsid w:val="001D1100"/>
    <w:rsid w:val="001D1391"/>
    <w:rsid w:val="001D16E8"/>
    <w:rsid w:val="001D1AF6"/>
    <w:rsid w:val="001D1C85"/>
    <w:rsid w:val="001D1DA6"/>
    <w:rsid w:val="001D2111"/>
    <w:rsid w:val="001D22FF"/>
    <w:rsid w:val="001D25D7"/>
    <w:rsid w:val="001D2D9A"/>
    <w:rsid w:val="001D370D"/>
    <w:rsid w:val="001D3B9A"/>
    <w:rsid w:val="001D3EC9"/>
    <w:rsid w:val="001D41ED"/>
    <w:rsid w:val="001D440C"/>
    <w:rsid w:val="001D4509"/>
    <w:rsid w:val="001D4CF1"/>
    <w:rsid w:val="001D4E48"/>
    <w:rsid w:val="001D50B2"/>
    <w:rsid w:val="001D51A5"/>
    <w:rsid w:val="001D53FC"/>
    <w:rsid w:val="001D5501"/>
    <w:rsid w:val="001D5537"/>
    <w:rsid w:val="001D56A8"/>
    <w:rsid w:val="001D5925"/>
    <w:rsid w:val="001D5B72"/>
    <w:rsid w:val="001D653B"/>
    <w:rsid w:val="001D69F8"/>
    <w:rsid w:val="001D6D04"/>
    <w:rsid w:val="001D6E5E"/>
    <w:rsid w:val="001D71F4"/>
    <w:rsid w:val="001D72ED"/>
    <w:rsid w:val="001D740D"/>
    <w:rsid w:val="001D7645"/>
    <w:rsid w:val="001D7677"/>
    <w:rsid w:val="001D7CB7"/>
    <w:rsid w:val="001E02AF"/>
    <w:rsid w:val="001E08D2"/>
    <w:rsid w:val="001E0F35"/>
    <w:rsid w:val="001E0FF5"/>
    <w:rsid w:val="001E14E8"/>
    <w:rsid w:val="001E156B"/>
    <w:rsid w:val="001E169E"/>
    <w:rsid w:val="001E16D9"/>
    <w:rsid w:val="001E19E2"/>
    <w:rsid w:val="001E1D79"/>
    <w:rsid w:val="001E1DAD"/>
    <w:rsid w:val="001E1E86"/>
    <w:rsid w:val="001E1FFA"/>
    <w:rsid w:val="001E238E"/>
    <w:rsid w:val="001E23F3"/>
    <w:rsid w:val="001E2419"/>
    <w:rsid w:val="001E2438"/>
    <w:rsid w:val="001E2483"/>
    <w:rsid w:val="001E2552"/>
    <w:rsid w:val="001E267B"/>
    <w:rsid w:val="001E282E"/>
    <w:rsid w:val="001E28DD"/>
    <w:rsid w:val="001E29A5"/>
    <w:rsid w:val="001E2B1E"/>
    <w:rsid w:val="001E2CFF"/>
    <w:rsid w:val="001E2F23"/>
    <w:rsid w:val="001E2F24"/>
    <w:rsid w:val="001E30D4"/>
    <w:rsid w:val="001E34DF"/>
    <w:rsid w:val="001E35A8"/>
    <w:rsid w:val="001E3F42"/>
    <w:rsid w:val="001E4225"/>
    <w:rsid w:val="001E42DD"/>
    <w:rsid w:val="001E443C"/>
    <w:rsid w:val="001E44C0"/>
    <w:rsid w:val="001E45DA"/>
    <w:rsid w:val="001E4C9D"/>
    <w:rsid w:val="001E52EB"/>
    <w:rsid w:val="001E5715"/>
    <w:rsid w:val="001E57AD"/>
    <w:rsid w:val="001E5882"/>
    <w:rsid w:val="001E5B54"/>
    <w:rsid w:val="001E5E69"/>
    <w:rsid w:val="001E60BC"/>
    <w:rsid w:val="001E61D2"/>
    <w:rsid w:val="001E6D5F"/>
    <w:rsid w:val="001E72FE"/>
    <w:rsid w:val="001E73B5"/>
    <w:rsid w:val="001E740C"/>
    <w:rsid w:val="001E75EB"/>
    <w:rsid w:val="001E763A"/>
    <w:rsid w:val="001E7BB7"/>
    <w:rsid w:val="001E7BE9"/>
    <w:rsid w:val="001E7BEF"/>
    <w:rsid w:val="001E7EE8"/>
    <w:rsid w:val="001F01B2"/>
    <w:rsid w:val="001F02C6"/>
    <w:rsid w:val="001F035F"/>
    <w:rsid w:val="001F0761"/>
    <w:rsid w:val="001F0A2A"/>
    <w:rsid w:val="001F0E18"/>
    <w:rsid w:val="001F0EE0"/>
    <w:rsid w:val="001F1235"/>
    <w:rsid w:val="001F14F6"/>
    <w:rsid w:val="001F167F"/>
    <w:rsid w:val="001F17D8"/>
    <w:rsid w:val="001F1CB3"/>
    <w:rsid w:val="001F2A74"/>
    <w:rsid w:val="001F34F3"/>
    <w:rsid w:val="001F38B5"/>
    <w:rsid w:val="001F3955"/>
    <w:rsid w:val="001F3966"/>
    <w:rsid w:val="001F3E48"/>
    <w:rsid w:val="001F3F0F"/>
    <w:rsid w:val="001F4081"/>
    <w:rsid w:val="001F4587"/>
    <w:rsid w:val="001F4AB7"/>
    <w:rsid w:val="001F4BA7"/>
    <w:rsid w:val="001F4BB3"/>
    <w:rsid w:val="001F4F6E"/>
    <w:rsid w:val="001F51D9"/>
    <w:rsid w:val="001F58FF"/>
    <w:rsid w:val="001F5E5C"/>
    <w:rsid w:val="001F665C"/>
    <w:rsid w:val="001F6E07"/>
    <w:rsid w:val="001F7191"/>
    <w:rsid w:val="001F7361"/>
    <w:rsid w:val="001F774E"/>
    <w:rsid w:val="001F7B04"/>
    <w:rsid w:val="001F7DBD"/>
    <w:rsid w:val="001F7F1D"/>
    <w:rsid w:val="001F7F29"/>
    <w:rsid w:val="002000A4"/>
    <w:rsid w:val="00200138"/>
    <w:rsid w:val="0020031A"/>
    <w:rsid w:val="00200C35"/>
    <w:rsid w:val="00200C92"/>
    <w:rsid w:val="00200E5C"/>
    <w:rsid w:val="00200EB7"/>
    <w:rsid w:val="00200EBE"/>
    <w:rsid w:val="002011B0"/>
    <w:rsid w:val="00201A6A"/>
    <w:rsid w:val="002021D3"/>
    <w:rsid w:val="0020243A"/>
    <w:rsid w:val="0020263E"/>
    <w:rsid w:val="00202E16"/>
    <w:rsid w:val="00203181"/>
    <w:rsid w:val="00203285"/>
    <w:rsid w:val="00203783"/>
    <w:rsid w:val="002037A2"/>
    <w:rsid w:val="0020385F"/>
    <w:rsid w:val="00203CF1"/>
    <w:rsid w:val="00203E59"/>
    <w:rsid w:val="0020405B"/>
    <w:rsid w:val="002040B3"/>
    <w:rsid w:val="002041A7"/>
    <w:rsid w:val="0020428B"/>
    <w:rsid w:val="002045A7"/>
    <w:rsid w:val="00204ADC"/>
    <w:rsid w:val="00204E2D"/>
    <w:rsid w:val="00205059"/>
    <w:rsid w:val="002050CF"/>
    <w:rsid w:val="00205242"/>
    <w:rsid w:val="00205462"/>
    <w:rsid w:val="00205674"/>
    <w:rsid w:val="00206674"/>
    <w:rsid w:val="0020681D"/>
    <w:rsid w:val="002068A0"/>
    <w:rsid w:val="002068CA"/>
    <w:rsid w:val="00206C4B"/>
    <w:rsid w:val="00207021"/>
    <w:rsid w:val="0020732F"/>
    <w:rsid w:val="002074AE"/>
    <w:rsid w:val="0020754C"/>
    <w:rsid w:val="00207BB1"/>
    <w:rsid w:val="00207D00"/>
    <w:rsid w:val="0021015F"/>
    <w:rsid w:val="00210185"/>
    <w:rsid w:val="002105C1"/>
    <w:rsid w:val="00210A59"/>
    <w:rsid w:val="00211085"/>
    <w:rsid w:val="0021156D"/>
    <w:rsid w:val="002116FD"/>
    <w:rsid w:val="00211B4A"/>
    <w:rsid w:val="00211BBD"/>
    <w:rsid w:val="00211D17"/>
    <w:rsid w:val="00211F73"/>
    <w:rsid w:val="002125FC"/>
    <w:rsid w:val="00212807"/>
    <w:rsid w:val="00213260"/>
    <w:rsid w:val="0021341C"/>
    <w:rsid w:val="00213777"/>
    <w:rsid w:val="00213853"/>
    <w:rsid w:val="002138EB"/>
    <w:rsid w:val="00213C75"/>
    <w:rsid w:val="00213EF5"/>
    <w:rsid w:val="00214059"/>
    <w:rsid w:val="0021425D"/>
    <w:rsid w:val="00214497"/>
    <w:rsid w:val="00214663"/>
    <w:rsid w:val="00214E44"/>
    <w:rsid w:val="002151BD"/>
    <w:rsid w:val="00215218"/>
    <w:rsid w:val="0021567D"/>
    <w:rsid w:val="00215872"/>
    <w:rsid w:val="002159FC"/>
    <w:rsid w:val="00215D6C"/>
    <w:rsid w:val="00215DF9"/>
    <w:rsid w:val="00215EF2"/>
    <w:rsid w:val="00216445"/>
    <w:rsid w:val="00216759"/>
    <w:rsid w:val="00216BF5"/>
    <w:rsid w:val="00217010"/>
    <w:rsid w:val="0021762D"/>
    <w:rsid w:val="00217733"/>
    <w:rsid w:val="00217782"/>
    <w:rsid w:val="00217820"/>
    <w:rsid w:val="002178BA"/>
    <w:rsid w:val="0021798F"/>
    <w:rsid w:val="002179C3"/>
    <w:rsid w:val="00217BE3"/>
    <w:rsid w:val="00217C83"/>
    <w:rsid w:val="00217E91"/>
    <w:rsid w:val="00217F91"/>
    <w:rsid w:val="00220294"/>
    <w:rsid w:val="002202A3"/>
    <w:rsid w:val="0022079C"/>
    <w:rsid w:val="002207ED"/>
    <w:rsid w:val="00220B81"/>
    <w:rsid w:val="002217FF"/>
    <w:rsid w:val="0022181E"/>
    <w:rsid w:val="00221914"/>
    <w:rsid w:val="00221A49"/>
    <w:rsid w:val="00221A78"/>
    <w:rsid w:val="00221BC6"/>
    <w:rsid w:val="0022249E"/>
    <w:rsid w:val="00222644"/>
    <w:rsid w:val="00222D65"/>
    <w:rsid w:val="00222FD0"/>
    <w:rsid w:val="002232CE"/>
    <w:rsid w:val="002235D2"/>
    <w:rsid w:val="00223667"/>
    <w:rsid w:val="00223B49"/>
    <w:rsid w:val="00223BBB"/>
    <w:rsid w:val="00223C01"/>
    <w:rsid w:val="00223D5A"/>
    <w:rsid w:val="00223DE8"/>
    <w:rsid w:val="002241F8"/>
    <w:rsid w:val="0022432B"/>
    <w:rsid w:val="0022434D"/>
    <w:rsid w:val="002245DB"/>
    <w:rsid w:val="0022492A"/>
    <w:rsid w:val="00224A42"/>
    <w:rsid w:val="00224DD4"/>
    <w:rsid w:val="002252F2"/>
    <w:rsid w:val="00225B9E"/>
    <w:rsid w:val="002261F8"/>
    <w:rsid w:val="00226446"/>
    <w:rsid w:val="00226573"/>
    <w:rsid w:val="00226602"/>
    <w:rsid w:val="00226808"/>
    <w:rsid w:val="00226AB2"/>
    <w:rsid w:val="00226D4E"/>
    <w:rsid w:val="00226F91"/>
    <w:rsid w:val="0022708E"/>
    <w:rsid w:val="00227546"/>
    <w:rsid w:val="0022773F"/>
    <w:rsid w:val="002278A0"/>
    <w:rsid w:val="00227D05"/>
    <w:rsid w:val="00227EC2"/>
    <w:rsid w:val="0023026E"/>
    <w:rsid w:val="00230427"/>
    <w:rsid w:val="00230923"/>
    <w:rsid w:val="002309CC"/>
    <w:rsid w:val="002312C2"/>
    <w:rsid w:val="002314CB"/>
    <w:rsid w:val="0023150D"/>
    <w:rsid w:val="00231ABD"/>
    <w:rsid w:val="00231BA9"/>
    <w:rsid w:val="00231C0A"/>
    <w:rsid w:val="00231D13"/>
    <w:rsid w:val="0023209F"/>
    <w:rsid w:val="0023275B"/>
    <w:rsid w:val="00232BCF"/>
    <w:rsid w:val="00232FD6"/>
    <w:rsid w:val="0023304C"/>
    <w:rsid w:val="00233198"/>
    <w:rsid w:val="00233231"/>
    <w:rsid w:val="002333EF"/>
    <w:rsid w:val="002336DC"/>
    <w:rsid w:val="00233824"/>
    <w:rsid w:val="00233861"/>
    <w:rsid w:val="00233BDD"/>
    <w:rsid w:val="00233C01"/>
    <w:rsid w:val="00233CB3"/>
    <w:rsid w:val="002340BF"/>
    <w:rsid w:val="0023412A"/>
    <w:rsid w:val="0023413C"/>
    <w:rsid w:val="0023447D"/>
    <w:rsid w:val="0023456A"/>
    <w:rsid w:val="00234670"/>
    <w:rsid w:val="002346D9"/>
    <w:rsid w:val="002346F0"/>
    <w:rsid w:val="0023479A"/>
    <w:rsid w:val="002347FA"/>
    <w:rsid w:val="00234F4E"/>
    <w:rsid w:val="00235343"/>
    <w:rsid w:val="00235471"/>
    <w:rsid w:val="00235520"/>
    <w:rsid w:val="00235780"/>
    <w:rsid w:val="0023583B"/>
    <w:rsid w:val="0023629D"/>
    <w:rsid w:val="00236434"/>
    <w:rsid w:val="002367DA"/>
    <w:rsid w:val="00237255"/>
    <w:rsid w:val="00237492"/>
    <w:rsid w:val="0023749B"/>
    <w:rsid w:val="002375C7"/>
    <w:rsid w:val="00237666"/>
    <w:rsid w:val="0023785B"/>
    <w:rsid w:val="0023789F"/>
    <w:rsid w:val="00237C56"/>
    <w:rsid w:val="00237C9E"/>
    <w:rsid w:val="00237CB1"/>
    <w:rsid w:val="0024010B"/>
    <w:rsid w:val="002406FE"/>
    <w:rsid w:val="002409A0"/>
    <w:rsid w:val="00240A3E"/>
    <w:rsid w:val="00240A7A"/>
    <w:rsid w:val="0024167F"/>
    <w:rsid w:val="00241B0D"/>
    <w:rsid w:val="00241CF7"/>
    <w:rsid w:val="002421A5"/>
    <w:rsid w:val="002424AF"/>
    <w:rsid w:val="002425E9"/>
    <w:rsid w:val="002428E6"/>
    <w:rsid w:val="0024298C"/>
    <w:rsid w:val="00242A3C"/>
    <w:rsid w:val="00242D90"/>
    <w:rsid w:val="0024322B"/>
    <w:rsid w:val="0024335E"/>
    <w:rsid w:val="0024365E"/>
    <w:rsid w:val="00243720"/>
    <w:rsid w:val="002437AD"/>
    <w:rsid w:val="002439DC"/>
    <w:rsid w:val="00243AFE"/>
    <w:rsid w:val="00243B19"/>
    <w:rsid w:val="00243DFB"/>
    <w:rsid w:val="002441D2"/>
    <w:rsid w:val="00244DC8"/>
    <w:rsid w:val="00244DCA"/>
    <w:rsid w:val="00244EE9"/>
    <w:rsid w:val="00244F9A"/>
    <w:rsid w:val="00244FAF"/>
    <w:rsid w:val="0024524A"/>
    <w:rsid w:val="002454F9"/>
    <w:rsid w:val="002458BA"/>
    <w:rsid w:val="002458D8"/>
    <w:rsid w:val="00245A87"/>
    <w:rsid w:val="00245C7B"/>
    <w:rsid w:val="00245C88"/>
    <w:rsid w:val="00245CE9"/>
    <w:rsid w:val="00245EEE"/>
    <w:rsid w:val="00246233"/>
    <w:rsid w:val="00246324"/>
    <w:rsid w:val="0024636C"/>
    <w:rsid w:val="00246655"/>
    <w:rsid w:val="00247203"/>
    <w:rsid w:val="00247925"/>
    <w:rsid w:val="00247EC3"/>
    <w:rsid w:val="00247F79"/>
    <w:rsid w:val="00247F7F"/>
    <w:rsid w:val="00247FC5"/>
    <w:rsid w:val="00250579"/>
    <w:rsid w:val="0025099E"/>
    <w:rsid w:val="00250B85"/>
    <w:rsid w:val="00251006"/>
    <w:rsid w:val="0025134B"/>
    <w:rsid w:val="002514FC"/>
    <w:rsid w:val="00251ABA"/>
    <w:rsid w:val="00251ABC"/>
    <w:rsid w:val="00251CCD"/>
    <w:rsid w:val="00251DA6"/>
    <w:rsid w:val="00251DEE"/>
    <w:rsid w:val="00251E1A"/>
    <w:rsid w:val="0025209D"/>
    <w:rsid w:val="002524D5"/>
    <w:rsid w:val="0025256D"/>
    <w:rsid w:val="00252AD5"/>
    <w:rsid w:val="00252C80"/>
    <w:rsid w:val="00252E68"/>
    <w:rsid w:val="002530F8"/>
    <w:rsid w:val="0025315E"/>
    <w:rsid w:val="00253264"/>
    <w:rsid w:val="002539AF"/>
    <w:rsid w:val="00253B0C"/>
    <w:rsid w:val="00253B1D"/>
    <w:rsid w:val="00253C53"/>
    <w:rsid w:val="002541BF"/>
    <w:rsid w:val="00254303"/>
    <w:rsid w:val="00254C57"/>
    <w:rsid w:val="00254DCF"/>
    <w:rsid w:val="00254E4B"/>
    <w:rsid w:val="00255153"/>
    <w:rsid w:val="002551CA"/>
    <w:rsid w:val="0025534B"/>
    <w:rsid w:val="002553C4"/>
    <w:rsid w:val="00255A38"/>
    <w:rsid w:val="00255BB7"/>
    <w:rsid w:val="00255DA7"/>
    <w:rsid w:val="00255E63"/>
    <w:rsid w:val="002560BA"/>
    <w:rsid w:val="00256377"/>
    <w:rsid w:val="00256C26"/>
    <w:rsid w:val="002571F8"/>
    <w:rsid w:val="00257318"/>
    <w:rsid w:val="00257541"/>
    <w:rsid w:val="00257A39"/>
    <w:rsid w:val="00257AC4"/>
    <w:rsid w:val="00257AF0"/>
    <w:rsid w:val="00257BBE"/>
    <w:rsid w:val="00257D20"/>
    <w:rsid w:val="002613BA"/>
    <w:rsid w:val="00261EEF"/>
    <w:rsid w:val="002620AE"/>
    <w:rsid w:val="002621F3"/>
    <w:rsid w:val="0026243C"/>
    <w:rsid w:val="00262557"/>
    <w:rsid w:val="0026259B"/>
    <w:rsid w:val="002628E3"/>
    <w:rsid w:val="00262A1A"/>
    <w:rsid w:val="00262A87"/>
    <w:rsid w:val="00262D2B"/>
    <w:rsid w:val="00262FC5"/>
    <w:rsid w:val="00262FD1"/>
    <w:rsid w:val="00262FD4"/>
    <w:rsid w:val="00263216"/>
    <w:rsid w:val="00263258"/>
    <w:rsid w:val="002632FB"/>
    <w:rsid w:val="002638A4"/>
    <w:rsid w:val="002639DE"/>
    <w:rsid w:val="00263A36"/>
    <w:rsid w:val="00263E26"/>
    <w:rsid w:val="00263F7D"/>
    <w:rsid w:val="002640DC"/>
    <w:rsid w:val="00264348"/>
    <w:rsid w:val="00264973"/>
    <w:rsid w:val="00264A54"/>
    <w:rsid w:val="00264CEA"/>
    <w:rsid w:val="00264D26"/>
    <w:rsid w:val="00264EFA"/>
    <w:rsid w:val="00264F46"/>
    <w:rsid w:val="00265104"/>
    <w:rsid w:val="002656C0"/>
    <w:rsid w:val="002659E8"/>
    <w:rsid w:val="002663A7"/>
    <w:rsid w:val="002664B8"/>
    <w:rsid w:val="00266E8D"/>
    <w:rsid w:val="00267366"/>
    <w:rsid w:val="002674BD"/>
    <w:rsid w:val="00267642"/>
    <w:rsid w:val="00267958"/>
    <w:rsid w:val="00267AEA"/>
    <w:rsid w:val="002700E6"/>
    <w:rsid w:val="002704C1"/>
    <w:rsid w:val="002709F2"/>
    <w:rsid w:val="00270ADB"/>
    <w:rsid w:val="00270EAB"/>
    <w:rsid w:val="00271008"/>
    <w:rsid w:val="0027106E"/>
    <w:rsid w:val="002712E9"/>
    <w:rsid w:val="00271468"/>
    <w:rsid w:val="002717B5"/>
    <w:rsid w:val="0027267C"/>
    <w:rsid w:val="00272765"/>
    <w:rsid w:val="002727D5"/>
    <w:rsid w:val="00272924"/>
    <w:rsid w:val="0027294B"/>
    <w:rsid w:val="0027296E"/>
    <w:rsid w:val="0027298D"/>
    <w:rsid w:val="00272B83"/>
    <w:rsid w:val="00272D00"/>
    <w:rsid w:val="002730C8"/>
    <w:rsid w:val="002730EC"/>
    <w:rsid w:val="0027315B"/>
    <w:rsid w:val="0027371A"/>
    <w:rsid w:val="0027388D"/>
    <w:rsid w:val="00273EB4"/>
    <w:rsid w:val="00274462"/>
    <w:rsid w:val="0027450E"/>
    <w:rsid w:val="00274682"/>
    <w:rsid w:val="0027491C"/>
    <w:rsid w:val="00274979"/>
    <w:rsid w:val="00274F1F"/>
    <w:rsid w:val="00275158"/>
    <w:rsid w:val="00275379"/>
    <w:rsid w:val="00275643"/>
    <w:rsid w:val="00275694"/>
    <w:rsid w:val="002757E4"/>
    <w:rsid w:val="00275C5A"/>
    <w:rsid w:val="00275C8E"/>
    <w:rsid w:val="00275E1F"/>
    <w:rsid w:val="00276013"/>
    <w:rsid w:val="00276026"/>
    <w:rsid w:val="0027611B"/>
    <w:rsid w:val="00276334"/>
    <w:rsid w:val="002767BC"/>
    <w:rsid w:val="00276DA9"/>
    <w:rsid w:val="002771A4"/>
    <w:rsid w:val="002771B9"/>
    <w:rsid w:val="002773B9"/>
    <w:rsid w:val="00277719"/>
    <w:rsid w:val="002779ED"/>
    <w:rsid w:val="00277A9D"/>
    <w:rsid w:val="00277AE8"/>
    <w:rsid w:val="00277BD2"/>
    <w:rsid w:val="00277DD0"/>
    <w:rsid w:val="00277F0B"/>
    <w:rsid w:val="00280329"/>
    <w:rsid w:val="0028039C"/>
    <w:rsid w:val="0028072D"/>
    <w:rsid w:val="002809A1"/>
    <w:rsid w:val="00280B75"/>
    <w:rsid w:val="00280C8E"/>
    <w:rsid w:val="00280D0B"/>
    <w:rsid w:val="00280E78"/>
    <w:rsid w:val="00280FD2"/>
    <w:rsid w:val="00281014"/>
    <w:rsid w:val="002811EE"/>
    <w:rsid w:val="00281B31"/>
    <w:rsid w:val="00281F45"/>
    <w:rsid w:val="0028206C"/>
    <w:rsid w:val="00282104"/>
    <w:rsid w:val="002821E6"/>
    <w:rsid w:val="002823DE"/>
    <w:rsid w:val="002831DA"/>
    <w:rsid w:val="00283249"/>
    <w:rsid w:val="00283292"/>
    <w:rsid w:val="00283626"/>
    <w:rsid w:val="0028382E"/>
    <w:rsid w:val="00283DA8"/>
    <w:rsid w:val="00283DFD"/>
    <w:rsid w:val="00283E91"/>
    <w:rsid w:val="00284430"/>
    <w:rsid w:val="00284531"/>
    <w:rsid w:val="002847F5"/>
    <w:rsid w:val="00284860"/>
    <w:rsid w:val="00284BB2"/>
    <w:rsid w:val="00285137"/>
    <w:rsid w:val="00285517"/>
    <w:rsid w:val="002857D8"/>
    <w:rsid w:val="00285855"/>
    <w:rsid w:val="002859B0"/>
    <w:rsid w:val="00285BCE"/>
    <w:rsid w:val="00285D60"/>
    <w:rsid w:val="00285E61"/>
    <w:rsid w:val="00285FB5"/>
    <w:rsid w:val="002863DE"/>
    <w:rsid w:val="0028665D"/>
    <w:rsid w:val="00286953"/>
    <w:rsid w:val="002869F3"/>
    <w:rsid w:val="00286B1E"/>
    <w:rsid w:val="0028709F"/>
    <w:rsid w:val="0028716D"/>
    <w:rsid w:val="0028769A"/>
    <w:rsid w:val="0028780E"/>
    <w:rsid w:val="00287904"/>
    <w:rsid w:val="00287B82"/>
    <w:rsid w:val="00290255"/>
    <w:rsid w:val="00290D41"/>
    <w:rsid w:val="00290FA3"/>
    <w:rsid w:val="00291431"/>
    <w:rsid w:val="002916B9"/>
    <w:rsid w:val="002918E3"/>
    <w:rsid w:val="002919DB"/>
    <w:rsid w:val="0029206D"/>
    <w:rsid w:val="0029228A"/>
    <w:rsid w:val="00292557"/>
    <w:rsid w:val="00292771"/>
    <w:rsid w:val="00292D92"/>
    <w:rsid w:val="002935A5"/>
    <w:rsid w:val="002935F0"/>
    <w:rsid w:val="002936A0"/>
    <w:rsid w:val="00293CF5"/>
    <w:rsid w:val="00293FCE"/>
    <w:rsid w:val="0029489D"/>
    <w:rsid w:val="00294F75"/>
    <w:rsid w:val="00295922"/>
    <w:rsid w:val="00295ED5"/>
    <w:rsid w:val="002960C6"/>
    <w:rsid w:val="002962C4"/>
    <w:rsid w:val="0029644D"/>
    <w:rsid w:val="0029665F"/>
    <w:rsid w:val="0029688F"/>
    <w:rsid w:val="002971F0"/>
    <w:rsid w:val="00297AD3"/>
    <w:rsid w:val="00297D53"/>
    <w:rsid w:val="002A0054"/>
    <w:rsid w:val="002A048E"/>
    <w:rsid w:val="002A0585"/>
    <w:rsid w:val="002A0BFE"/>
    <w:rsid w:val="002A0C1C"/>
    <w:rsid w:val="002A0D3B"/>
    <w:rsid w:val="002A0D5A"/>
    <w:rsid w:val="002A14AB"/>
    <w:rsid w:val="002A1566"/>
    <w:rsid w:val="002A1776"/>
    <w:rsid w:val="002A1867"/>
    <w:rsid w:val="002A2669"/>
    <w:rsid w:val="002A2745"/>
    <w:rsid w:val="002A2816"/>
    <w:rsid w:val="002A2929"/>
    <w:rsid w:val="002A2A00"/>
    <w:rsid w:val="002A2ADE"/>
    <w:rsid w:val="002A2B44"/>
    <w:rsid w:val="002A2C3A"/>
    <w:rsid w:val="002A2F50"/>
    <w:rsid w:val="002A2FA2"/>
    <w:rsid w:val="002A3439"/>
    <w:rsid w:val="002A3524"/>
    <w:rsid w:val="002A358B"/>
    <w:rsid w:val="002A3781"/>
    <w:rsid w:val="002A3BC5"/>
    <w:rsid w:val="002A41F6"/>
    <w:rsid w:val="002A45AB"/>
    <w:rsid w:val="002A4674"/>
    <w:rsid w:val="002A47CD"/>
    <w:rsid w:val="002A48D9"/>
    <w:rsid w:val="002A494A"/>
    <w:rsid w:val="002A4A59"/>
    <w:rsid w:val="002A5651"/>
    <w:rsid w:val="002A5B35"/>
    <w:rsid w:val="002A5F65"/>
    <w:rsid w:val="002A618E"/>
    <w:rsid w:val="002A658F"/>
    <w:rsid w:val="002A6662"/>
    <w:rsid w:val="002A67B7"/>
    <w:rsid w:val="002A686D"/>
    <w:rsid w:val="002A68F1"/>
    <w:rsid w:val="002A6D28"/>
    <w:rsid w:val="002A6DDB"/>
    <w:rsid w:val="002A6EAD"/>
    <w:rsid w:val="002A6FC1"/>
    <w:rsid w:val="002A6FE2"/>
    <w:rsid w:val="002A7137"/>
    <w:rsid w:val="002A7202"/>
    <w:rsid w:val="002A7286"/>
    <w:rsid w:val="002A729E"/>
    <w:rsid w:val="002A75E7"/>
    <w:rsid w:val="002A773C"/>
    <w:rsid w:val="002A7943"/>
    <w:rsid w:val="002A7976"/>
    <w:rsid w:val="002A7A67"/>
    <w:rsid w:val="002A7D42"/>
    <w:rsid w:val="002B0136"/>
    <w:rsid w:val="002B05A1"/>
    <w:rsid w:val="002B06EC"/>
    <w:rsid w:val="002B0898"/>
    <w:rsid w:val="002B09A4"/>
    <w:rsid w:val="002B16EE"/>
    <w:rsid w:val="002B18F8"/>
    <w:rsid w:val="002B1C1F"/>
    <w:rsid w:val="002B20A1"/>
    <w:rsid w:val="002B22AE"/>
    <w:rsid w:val="002B275F"/>
    <w:rsid w:val="002B2A38"/>
    <w:rsid w:val="002B335C"/>
    <w:rsid w:val="002B360C"/>
    <w:rsid w:val="002B37F5"/>
    <w:rsid w:val="002B3815"/>
    <w:rsid w:val="002B3892"/>
    <w:rsid w:val="002B3A68"/>
    <w:rsid w:val="002B42F9"/>
    <w:rsid w:val="002B432F"/>
    <w:rsid w:val="002B43A0"/>
    <w:rsid w:val="002B481A"/>
    <w:rsid w:val="002B4851"/>
    <w:rsid w:val="002B4D68"/>
    <w:rsid w:val="002B5048"/>
    <w:rsid w:val="002B547D"/>
    <w:rsid w:val="002B560E"/>
    <w:rsid w:val="002B57C1"/>
    <w:rsid w:val="002B5F15"/>
    <w:rsid w:val="002B5FE7"/>
    <w:rsid w:val="002B62B3"/>
    <w:rsid w:val="002B6754"/>
    <w:rsid w:val="002B6B06"/>
    <w:rsid w:val="002B6C90"/>
    <w:rsid w:val="002B6CCE"/>
    <w:rsid w:val="002B73E8"/>
    <w:rsid w:val="002B7B88"/>
    <w:rsid w:val="002B7E77"/>
    <w:rsid w:val="002B7FE9"/>
    <w:rsid w:val="002C0258"/>
    <w:rsid w:val="002C1A51"/>
    <w:rsid w:val="002C24B3"/>
    <w:rsid w:val="002C2510"/>
    <w:rsid w:val="002C2775"/>
    <w:rsid w:val="002C27C1"/>
    <w:rsid w:val="002C28C6"/>
    <w:rsid w:val="002C2B9C"/>
    <w:rsid w:val="002C2E29"/>
    <w:rsid w:val="002C3564"/>
    <w:rsid w:val="002C3698"/>
    <w:rsid w:val="002C36E3"/>
    <w:rsid w:val="002C3706"/>
    <w:rsid w:val="002C3C18"/>
    <w:rsid w:val="002C3CB2"/>
    <w:rsid w:val="002C40D6"/>
    <w:rsid w:val="002C42D8"/>
    <w:rsid w:val="002C46A6"/>
    <w:rsid w:val="002C4701"/>
    <w:rsid w:val="002C5099"/>
    <w:rsid w:val="002C547A"/>
    <w:rsid w:val="002C56ED"/>
    <w:rsid w:val="002C5889"/>
    <w:rsid w:val="002C5969"/>
    <w:rsid w:val="002C5C2C"/>
    <w:rsid w:val="002C5D3C"/>
    <w:rsid w:val="002C5F49"/>
    <w:rsid w:val="002C6930"/>
    <w:rsid w:val="002C6A41"/>
    <w:rsid w:val="002C6F64"/>
    <w:rsid w:val="002C71CE"/>
    <w:rsid w:val="002C7220"/>
    <w:rsid w:val="002C791F"/>
    <w:rsid w:val="002C7933"/>
    <w:rsid w:val="002D08F8"/>
    <w:rsid w:val="002D0A97"/>
    <w:rsid w:val="002D0B4F"/>
    <w:rsid w:val="002D0CFF"/>
    <w:rsid w:val="002D0F57"/>
    <w:rsid w:val="002D0F98"/>
    <w:rsid w:val="002D1243"/>
    <w:rsid w:val="002D14BD"/>
    <w:rsid w:val="002D19A1"/>
    <w:rsid w:val="002D1B16"/>
    <w:rsid w:val="002D1B50"/>
    <w:rsid w:val="002D221C"/>
    <w:rsid w:val="002D2263"/>
    <w:rsid w:val="002D23D0"/>
    <w:rsid w:val="002D285E"/>
    <w:rsid w:val="002D32CA"/>
    <w:rsid w:val="002D3460"/>
    <w:rsid w:val="002D3587"/>
    <w:rsid w:val="002D3A8D"/>
    <w:rsid w:val="002D3E74"/>
    <w:rsid w:val="002D4081"/>
    <w:rsid w:val="002D416A"/>
    <w:rsid w:val="002D4255"/>
    <w:rsid w:val="002D4355"/>
    <w:rsid w:val="002D4422"/>
    <w:rsid w:val="002D4544"/>
    <w:rsid w:val="002D4F6F"/>
    <w:rsid w:val="002D577C"/>
    <w:rsid w:val="002D588B"/>
    <w:rsid w:val="002D5A1A"/>
    <w:rsid w:val="002D5BEE"/>
    <w:rsid w:val="002D6123"/>
    <w:rsid w:val="002D65EA"/>
    <w:rsid w:val="002D6924"/>
    <w:rsid w:val="002D6F38"/>
    <w:rsid w:val="002D70DE"/>
    <w:rsid w:val="002D72C1"/>
    <w:rsid w:val="002D7832"/>
    <w:rsid w:val="002D7A2E"/>
    <w:rsid w:val="002D7AF9"/>
    <w:rsid w:val="002D7AFA"/>
    <w:rsid w:val="002D7BE7"/>
    <w:rsid w:val="002D7C09"/>
    <w:rsid w:val="002D7D26"/>
    <w:rsid w:val="002E012E"/>
    <w:rsid w:val="002E01EC"/>
    <w:rsid w:val="002E068F"/>
    <w:rsid w:val="002E075D"/>
    <w:rsid w:val="002E0861"/>
    <w:rsid w:val="002E0917"/>
    <w:rsid w:val="002E1071"/>
    <w:rsid w:val="002E1465"/>
    <w:rsid w:val="002E158B"/>
    <w:rsid w:val="002E15B9"/>
    <w:rsid w:val="002E180F"/>
    <w:rsid w:val="002E186A"/>
    <w:rsid w:val="002E19F7"/>
    <w:rsid w:val="002E1CBD"/>
    <w:rsid w:val="002E1FAC"/>
    <w:rsid w:val="002E2158"/>
    <w:rsid w:val="002E2201"/>
    <w:rsid w:val="002E233F"/>
    <w:rsid w:val="002E27B5"/>
    <w:rsid w:val="002E2E79"/>
    <w:rsid w:val="002E357B"/>
    <w:rsid w:val="002E3700"/>
    <w:rsid w:val="002E37D5"/>
    <w:rsid w:val="002E3859"/>
    <w:rsid w:val="002E388D"/>
    <w:rsid w:val="002E38F8"/>
    <w:rsid w:val="002E396B"/>
    <w:rsid w:val="002E3C35"/>
    <w:rsid w:val="002E3CAA"/>
    <w:rsid w:val="002E4284"/>
    <w:rsid w:val="002E4429"/>
    <w:rsid w:val="002E44FD"/>
    <w:rsid w:val="002E4631"/>
    <w:rsid w:val="002E470B"/>
    <w:rsid w:val="002E4785"/>
    <w:rsid w:val="002E4898"/>
    <w:rsid w:val="002E4B08"/>
    <w:rsid w:val="002E4B73"/>
    <w:rsid w:val="002E4E8E"/>
    <w:rsid w:val="002E4F02"/>
    <w:rsid w:val="002E5521"/>
    <w:rsid w:val="002E56F4"/>
    <w:rsid w:val="002E57A1"/>
    <w:rsid w:val="002E5834"/>
    <w:rsid w:val="002E5B76"/>
    <w:rsid w:val="002E5C3E"/>
    <w:rsid w:val="002E5F05"/>
    <w:rsid w:val="002E6024"/>
    <w:rsid w:val="002E62D5"/>
    <w:rsid w:val="002E6633"/>
    <w:rsid w:val="002E67EB"/>
    <w:rsid w:val="002E685C"/>
    <w:rsid w:val="002E6BD1"/>
    <w:rsid w:val="002E6C20"/>
    <w:rsid w:val="002E6D10"/>
    <w:rsid w:val="002E6E86"/>
    <w:rsid w:val="002E6F0E"/>
    <w:rsid w:val="002E7219"/>
    <w:rsid w:val="002E771B"/>
    <w:rsid w:val="002E7722"/>
    <w:rsid w:val="002E779C"/>
    <w:rsid w:val="002E78CA"/>
    <w:rsid w:val="002F018D"/>
    <w:rsid w:val="002F02AC"/>
    <w:rsid w:val="002F0481"/>
    <w:rsid w:val="002F05B8"/>
    <w:rsid w:val="002F07BA"/>
    <w:rsid w:val="002F07BF"/>
    <w:rsid w:val="002F0B80"/>
    <w:rsid w:val="002F0DA9"/>
    <w:rsid w:val="002F1014"/>
    <w:rsid w:val="002F13AA"/>
    <w:rsid w:val="002F170F"/>
    <w:rsid w:val="002F18B1"/>
    <w:rsid w:val="002F1BE9"/>
    <w:rsid w:val="002F1E3B"/>
    <w:rsid w:val="002F1F4A"/>
    <w:rsid w:val="002F2330"/>
    <w:rsid w:val="002F2415"/>
    <w:rsid w:val="002F25F0"/>
    <w:rsid w:val="002F270C"/>
    <w:rsid w:val="002F2776"/>
    <w:rsid w:val="002F2A47"/>
    <w:rsid w:val="002F2C66"/>
    <w:rsid w:val="002F3023"/>
    <w:rsid w:val="002F3288"/>
    <w:rsid w:val="002F3674"/>
    <w:rsid w:val="002F3851"/>
    <w:rsid w:val="002F39BA"/>
    <w:rsid w:val="002F3A15"/>
    <w:rsid w:val="002F3A6B"/>
    <w:rsid w:val="002F3A8A"/>
    <w:rsid w:val="002F3C95"/>
    <w:rsid w:val="002F4879"/>
    <w:rsid w:val="002F4D7C"/>
    <w:rsid w:val="002F4D98"/>
    <w:rsid w:val="002F4F7D"/>
    <w:rsid w:val="002F51EE"/>
    <w:rsid w:val="002F52FB"/>
    <w:rsid w:val="002F5764"/>
    <w:rsid w:val="002F5883"/>
    <w:rsid w:val="002F63F1"/>
    <w:rsid w:val="002F643C"/>
    <w:rsid w:val="002F662A"/>
    <w:rsid w:val="002F6ABE"/>
    <w:rsid w:val="002F6C18"/>
    <w:rsid w:val="002F71C0"/>
    <w:rsid w:val="002F7223"/>
    <w:rsid w:val="002F74F1"/>
    <w:rsid w:val="002F7A52"/>
    <w:rsid w:val="002F7B21"/>
    <w:rsid w:val="002F7D73"/>
    <w:rsid w:val="002F7F09"/>
    <w:rsid w:val="003002E3"/>
    <w:rsid w:val="00300302"/>
    <w:rsid w:val="003003F5"/>
    <w:rsid w:val="0030093F"/>
    <w:rsid w:val="00300A11"/>
    <w:rsid w:val="00300C75"/>
    <w:rsid w:val="00300DA7"/>
    <w:rsid w:val="00301017"/>
    <w:rsid w:val="0030112C"/>
    <w:rsid w:val="00301284"/>
    <w:rsid w:val="0030155F"/>
    <w:rsid w:val="003015A8"/>
    <w:rsid w:val="003015E1"/>
    <w:rsid w:val="00301796"/>
    <w:rsid w:val="00301834"/>
    <w:rsid w:val="003021AF"/>
    <w:rsid w:val="0030238E"/>
    <w:rsid w:val="003029E7"/>
    <w:rsid w:val="00302FF9"/>
    <w:rsid w:val="003031B1"/>
    <w:rsid w:val="00303318"/>
    <w:rsid w:val="003034CB"/>
    <w:rsid w:val="00304054"/>
    <w:rsid w:val="0030429E"/>
    <w:rsid w:val="003043B5"/>
    <w:rsid w:val="003044C7"/>
    <w:rsid w:val="003046CE"/>
    <w:rsid w:val="00304B39"/>
    <w:rsid w:val="00304E20"/>
    <w:rsid w:val="00304FF5"/>
    <w:rsid w:val="00305498"/>
    <w:rsid w:val="0030587B"/>
    <w:rsid w:val="0030596E"/>
    <w:rsid w:val="00305AD3"/>
    <w:rsid w:val="00306736"/>
    <w:rsid w:val="003067FA"/>
    <w:rsid w:val="00306CEE"/>
    <w:rsid w:val="00306D0B"/>
    <w:rsid w:val="00306D98"/>
    <w:rsid w:val="00306F21"/>
    <w:rsid w:val="00307212"/>
    <w:rsid w:val="003075AC"/>
    <w:rsid w:val="003076F8"/>
    <w:rsid w:val="0030785A"/>
    <w:rsid w:val="0030786C"/>
    <w:rsid w:val="00307955"/>
    <w:rsid w:val="00307D45"/>
    <w:rsid w:val="00307D8C"/>
    <w:rsid w:val="00307EEB"/>
    <w:rsid w:val="0031031A"/>
    <w:rsid w:val="00310533"/>
    <w:rsid w:val="003106BD"/>
    <w:rsid w:val="0031079B"/>
    <w:rsid w:val="003107AF"/>
    <w:rsid w:val="00310839"/>
    <w:rsid w:val="003108A6"/>
    <w:rsid w:val="00310981"/>
    <w:rsid w:val="00310A1E"/>
    <w:rsid w:val="00310A2C"/>
    <w:rsid w:val="00310ADA"/>
    <w:rsid w:val="00310D44"/>
    <w:rsid w:val="00310E80"/>
    <w:rsid w:val="00310EFB"/>
    <w:rsid w:val="003111B7"/>
    <w:rsid w:val="0031124C"/>
    <w:rsid w:val="00311C35"/>
    <w:rsid w:val="00311D9B"/>
    <w:rsid w:val="00311FC0"/>
    <w:rsid w:val="003124D9"/>
    <w:rsid w:val="00312594"/>
    <w:rsid w:val="003126CA"/>
    <w:rsid w:val="003127E1"/>
    <w:rsid w:val="00312918"/>
    <w:rsid w:val="003129C6"/>
    <w:rsid w:val="00312BE3"/>
    <w:rsid w:val="00312F6C"/>
    <w:rsid w:val="0031306F"/>
    <w:rsid w:val="003138F2"/>
    <w:rsid w:val="00313987"/>
    <w:rsid w:val="00313CF6"/>
    <w:rsid w:val="0031407B"/>
    <w:rsid w:val="00314509"/>
    <w:rsid w:val="003145F2"/>
    <w:rsid w:val="00314AD5"/>
    <w:rsid w:val="00314DF6"/>
    <w:rsid w:val="00315192"/>
    <w:rsid w:val="003151F2"/>
    <w:rsid w:val="00315305"/>
    <w:rsid w:val="00315498"/>
    <w:rsid w:val="00315573"/>
    <w:rsid w:val="003157D2"/>
    <w:rsid w:val="00315E98"/>
    <w:rsid w:val="0031613D"/>
    <w:rsid w:val="00316474"/>
    <w:rsid w:val="003164DC"/>
    <w:rsid w:val="003164E8"/>
    <w:rsid w:val="00316837"/>
    <w:rsid w:val="00316A29"/>
    <w:rsid w:val="00316D9A"/>
    <w:rsid w:val="00317185"/>
    <w:rsid w:val="0031776F"/>
    <w:rsid w:val="00317DB2"/>
    <w:rsid w:val="00320264"/>
    <w:rsid w:val="003203F6"/>
    <w:rsid w:val="0032040E"/>
    <w:rsid w:val="00320970"/>
    <w:rsid w:val="003209D6"/>
    <w:rsid w:val="00320B71"/>
    <w:rsid w:val="00320BDD"/>
    <w:rsid w:val="00320EE1"/>
    <w:rsid w:val="00320F58"/>
    <w:rsid w:val="00321032"/>
    <w:rsid w:val="003210E2"/>
    <w:rsid w:val="0032122C"/>
    <w:rsid w:val="0032155C"/>
    <w:rsid w:val="00321779"/>
    <w:rsid w:val="0032194C"/>
    <w:rsid w:val="00322107"/>
    <w:rsid w:val="00322140"/>
    <w:rsid w:val="00322355"/>
    <w:rsid w:val="00322610"/>
    <w:rsid w:val="00322846"/>
    <w:rsid w:val="00322C39"/>
    <w:rsid w:val="00323229"/>
    <w:rsid w:val="0032347A"/>
    <w:rsid w:val="0032368A"/>
    <w:rsid w:val="00323875"/>
    <w:rsid w:val="00323F6D"/>
    <w:rsid w:val="003242C7"/>
    <w:rsid w:val="003249BB"/>
    <w:rsid w:val="00324AE5"/>
    <w:rsid w:val="00324B7A"/>
    <w:rsid w:val="00324C37"/>
    <w:rsid w:val="00325006"/>
    <w:rsid w:val="003253FF"/>
    <w:rsid w:val="00326DA7"/>
    <w:rsid w:val="00326FD8"/>
    <w:rsid w:val="00327014"/>
    <w:rsid w:val="003270E4"/>
    <w:rsid w:val="00327191"/>
    <w:rsid w:val="003271D9"/>
    <w:rsid w:val="0032772F"/>
    <w:rsid w:val="00327B3F"/>
    <w:rsid w:val="0033006B"/>
    <w:rsid w:val="0033024B"/>
    <w:rsid w:val="003302A8"/>
    <w:rsid w:val="003303C0"/>
    <w:rsid w:val="00330DAA"/>
    <w:rsid w:val="00330F5C"/>
    <w:rsid w:val="00331263"/>
    <w:rsid w:val="003315D0"/>
    <w:rsid w:val="003318FC"/>
    <w:rsid w:val="00331ADA"/>
    <w:rsid w:val="00331E9E"/>
    <w:rsid w:val="003320FC"/>
    <w:rsid w:val="0033263C"/>
    <w:rsid w:val="0033267D"/>
    <w:rsid w:val="00332A34"/>
    <w:rsid w:val="00332E98"/>
    <w:rsid w:val="00332FEF"/>
    <w:rsid w:val="00333153"/>
    <w:rsid w:val="00333439"/>
    <w:rsid w:val="003334D1"/>
    <w:rsid w:val="00333963"/>
    <w:rsid w:val="003344B3"/>
    <w:rsid w:val="0033451E"/>
    <w:rsid w:val="003346C0"/>
    <w:rsid w:val="00334AFB"/>
    <w:rsid w:val="00334D31"/>
    <w:rsid w:val="00334D8D"/>
    <w:rsid w:val="00334F96"/>
    <w:rsid w:val="003352B2"/>
    <w:rsid w:val="00335523"/>
    <w:rsid w:val="00335538"/>
    <w:rsid w:val="00335C6E"/>
    <w:rsid w:val="00335F7C"/>
    <w:rsid w:val="0033629B"/>
    <w:rsid w:val="00336629"/>
    <w:rsid w:val="003366C9"/>
    <w:rsid w:val="00336D6A"/>
    <w:rsid w:val="003371B0"/>
    <w:rsid w:val="00337216"/>
    <w:rsid w:val="003377C2"/>
    <w:rsid w:val="00337D73"/>
    <w:rsid w:val="003403B8"/>
    <w:rsid w:val="003404A7"/>
    <w:rsid w:val="003404F5"/>
    <w:rsid w:val="0034063E"/>
    <w:rsid w:val="00340DF1"/>
    <w:rsid w:val="003410CE"/>
    <w:rsid w:val="003413E6"/>
    <w:rsid w:val="0034141E"/>
    <w:rsid w:val="0034170C"/>
    <w:rsid w:val="003417C5"/>
    <w:rsid w:val="0034194A"/>
    <w:rsid w:val="00341C12"/>
    <w:rsid w:val="00342163"/>
    <w:rsid w:val="00342349"/>
    <w:rsid w:val="0034239D"/>
    <w:rsid w:val="003423F0"/>
    <w:rsid w:val="00342698"/>
    <w:rsid w:val="00342746"/>
    <w:rsid w:val="00342988"/>
    <w:rsid w:val="00342C29"/>
    <w:rsid w:val="00342EA7"/>
    <w:rsid w:val="00342F5C"/>
    <w:rsid w:val="003434EE"/>
    <w:rsid w:val="00343557"/>
    <w:rsid w:val="003435A2"/>
    <w:rsid w:val="00343B69"/>
    <w:rsid w:val="0034434D"/>
    <w:rsid w:val="003445C8"/>
    <w:rsid w:val="00344A58"/>
    <w:rsid w:val="00344C22"/>
    <w:rsid w:val="00344FE2"/>
    <w:rsid w:val="00345115"/>
    <w:rsid w:val="0034599E"/>
    <w:rsid w:val="00345A08"/>
    <w:rsid w:val="00345A34"/>
    <w:rsid w:val="00345A54"/>
    <w:rsid w:val="00345D82"/>
    <w:rsid w:val="00345F34"/>
    <w:rsid w:val="00345F7D"/>
    <w:rsid w:val="003460A8"/>
    <w:rsid w:val="003464A4"/>
    <w:rsid w:val="00346535"/>
    <w:rsid w:val="00346834"/>
    <w:rsid w:val="0034696C"/>
    <w:rsid w:val="003469B6"/>
    <w:rsid w:val="00346FD8"/>
    <w:rsid w:val="00346FF2"/>
    <w:rsid w:val="0034739A"/>
    <w:rsid w:val="00347607"/>
    <w:rsid w:val="0034762B"/>
    <w:rsid w:val="0034765D"/>
    <w:rsid w:val="0034786C"/>
    <w:rsid w:val="00347D87"/>
    <w:rsid w:val="00350139"/>
    <w:rsid w:val="0035017A"/>
    <w:rsid w:val="00350C75"/>
    <w:rsid w:val="00351151"/>
    <w:rsid w:val="003512B3"/>
    <w:rsid w:val="003517F9"/>
    <w:rsid w:val="00351953"/>
    <w:rsid w:val="00351BA9"/>
    <w:rsid w:val="00351BF0"/>
    <w:rsid w:val="00351CF7"/>
    <w:rsid w:val="00351FA8"/>
    <w:rsid w:val="00352394"/>
    <w:rsid w:val="003524D5"/>
    <w:rsid w:val="00352890"/>
    <w:rsid w:val="00352BAA"/>
    <w:rsid w:val="0035377E"/>
    <w:rsid w:val="00353A72"/>
    <w:rsid w:val="003541F7"/>
    <w:rsid w:val="0035428F"/>
    <w:rsid w:val="003545AD"/>
    <w:rsid w:val="00354AB5"/>
    <w:rsid w:val="00354F64"/>
    <w:rsid w:val="00354FF0"/>
    <w:rsid w:val="00355138"/>
    <w:rsid w:val="00355155"/>
    <w:rsid w:val="003552E9"/>
    <w:rsid w:val="003557E7"/>
    <w:rsid w:val="00355C24"/>
    <w:rsid w:val="00355CF2"/>
    <w:rsid w:val="00355D2E"/>
    <w:rsid w:val="003560C1"/>
    <w:rsid w:val="0035620E"/>
    <w:rsid w:val="0035650F"/>
    <w:rsid w:val="00356549"/>
    <w:rsid w:val="00356624"/>
    <w:rsid w:val="00356716"/>
    <w:rsid w:val="00356C5F"/>
    <w:rsid w:val="003575BE"/>
    <w:rsid w:val="00360345"/>
    <w:rsid w:val="00360A47"/>
    <w:rsid w:val="00360C24"/>
    <w:rsid w:val="00361470"/>
    <w:rsid w:val="00361A05"/>
    <w:rsid w:val="0036242B"/>
    <w:rsid w:val="003624C4"/>
    <w:rsid w:val="00362BC3"/>
    <w:rsid w:val="00362EA4"/>
    <w:rsid w:val="00362FBE"/>
    <w:rsid w:val="0036329B"/>
    <w:rsid w:val="0036329E"/>
    <w:rsid w:val="00363323"/>
    <w:rsid w:val="00363473"/>
    <w:rsid w:val="0036380B"/>
    <w:rsid w:val="00363A4F"/>
    <w:rsid w:val="00363B00"/>
    <w:rsid w:val="00363CCD"/>
    <w:rsid w:val="00364237"/>
    <w:rsid w:val="0036438C"/>
    <w:rsid w:val="003644A9"/>
    <w:rsid w:val="003645E8"/>
    <w:rsid w:val="00364B19"/>
    <w:rsid w:val="0036529C"/>
    <w:rsid w:val="003654AC"/>
    <w:rsid w:val="00365521"/>
    <w:rsid w:val="00365758"/>
    <w:rsid w:val="00365B19"/>
    <w:rsid w:val="00365CA2"/>
    <w:rsid w:val="00365D36"/>
    <w:rsid w:val="00365E60"/>
    <w:rsid w:val="00365F5F"/>
    <w:rsid w:val="00366004"/>
    <w:rsid w:val="003661F5"/>
    <w:rsid w:val="00366709"/>
    <w:rsid w:val="0036679E"/>
    <w:rsid w:val="00366895"/>
    <w:rsid w:val="00366A52"/>
    <w:rsid w:val="00366DF9"/>
    <w:rsid w:val="00366EE7"/>
    <w:rsid w:val="003678AC"/>
    <w:rsid w:val="00367AB6"/>
    <w:rsid w:val="00367B04"/>
    <w:rsid w:val="00367D51"/>
    <w:rsid w:val="0037057D"/>
    <w:rsid w:val="003709C0"/>
    <w:rsid w:val="00370D7F"/>
    <w:rsid w:val="003710CF"/>
    <w:rsid w:val="0037163F"/>
    <w:rsid w:val="00371944"/>
    <w:rsid w:val="00371AB5"/>
    <w:rsid w:val="00371DC3"/>
    <w:rsid w:val="00371E6A"/>
    <w:rsid w:val="00371F17"/>
    <w:rsid w:val="00371F2F"/>
    <w:rsid w:val="0037248D"/>
    <w:rsid w:val="00372AAD"/>
    <w:rsid w:val="00372AB6"/>
    <w:rsid w:val="00372DDD"/>
    <w:rsid w:val="00372E23"/>
    <w:rsid w:val="00373280"/>
    <w:rsid w:val="0037332A"/>
    <w:rsid w:val="0037358A"/>
    <w:rsid w:val="003736C7"/>
    <w:rsid w:val="003737ED"/>
    <w:rsid w:val="0037383B"/>
    <w:rsid w:val="00373FDF"/>
    <w:rsid w:val="003744BD"/>
    <w:rsid w:val="00374710"/>
    <w:rsid w:val="00374723"/>
    <w:rsid w:val="00374885"/>
    <w:rsid w:val="00374AF4"/>
    <w:rsid w:val="00374D08"/>
    <w:rsid w:val="00374F96"/>
    <w:rsid w:val="003750F6"/>
    <w:rsid w:val="00375306"/>
    <w:rsid w:val="003759ED"/>
    <w:rsid w:val="00375DF1"/>
    <w:rsid w:val="00375E23"/>
    <w:rsid w:val="003760FC"/>
    <w:rsid w:val="003767CB"/>
    <w:rsid w:val="00376DC8"/>
    <w:rsid w:val="00377591"/>
    <w:rsid w:val="003776BE"/>
    <w:rsid w:val="003777EE"/>
    <w:rsid w:val="00377D6F"/>
    <w:rsid w:val="00380556"/>
    <w:rsid w:val="00380813"/>
    <w:rsid w:val="00380DB3"/>
    <w:rsid w:val="00381102"/>
    <w:rsid w:val="00381D4D"/>
    <w:rsid w:val="0038216C"/>
    <w:rsid w:val="003821B5"/>
    <w:rsid w:val="003825B5"/>
    <w:rsid w:val="00383158"/>
    <w:rsid w:val="003831AE"/>
    <w:rsid w:val="003833CA"/>
    <w:rsid w:val="00383557"/>
    <w:rsid w:val="003835F6"/>
    <w:rsid w:val="0038365C"/>
    <w:rsid w:val="0038369B"/>
    <w:rsid w:val="003838CB"/>
    <w:rsid w:val="00383B78"/>
    <w:rsid w:val="00383DAE"/>
    <w:rsid w:val="003840D7"/>
    <w:rsid w:val="00384571"/>
    <w:rsid w:val="0038474D"/>
    <w:rsid w:val="00384AE1"/>
    <w:rsid w:val="00384E84"/>
    <w:rsid w:val="00385262"/>
    <w:rsid w:val="00385366"/>
    <w:rsid w:val="003856C5"/>
    <w:rsid w:val="003857CD"/>
    <w:rsid w:val="00385A9D"/>
    <w:rsid w:val="00385AD7"/>
    <w:rsid w:val="00385C5A"/>
    <w:rsid w:val="00385DAF"/>
    <w:rsid w:val="00385EEA"/>
    <w:rsid w:val="00386526"/>
    <w:rsid w:val="0038659F"/>
    <w:rsid w:val="003866F7"/>
    <w:rsid w:val="00386729"/>
    <w:rsid w:val="0038681B"/>
    <w:rsid w:val="0038686E"/>
    <w:rsid w:val="00387121"/>
    <w:rsid w:val="00387867"/>
    <w:rsid w:val="00387BB2"/>
    <w:rsid w:val="00387DA1"/>
    <w:rsid w:val="00387DF0"/>
    <w:rsid w:val="003902B1"/>
    <w:rsid w:val="0039033C"/>
    <w:rsid w:val="00390439"/>
    <w:rsid w:val="0039077D"/>
    <w:rsid w:val="0039091E"/>
    <w:rsid w:val="00390A52"/>
    <w:rsid w:val="00390B15"/>
    <w:rsid w:val="00390C4C"/>
    <w:rsid w:val="00390E36"/>
    <w:rsid w:val="00391072"/>
    <w:rsid w:val="0039113B"/>
    <w:rsid w:val="003912A7"/>
    <w:rsid w:val="00391378"/>
    <w:rsid w:val="0039179C"/>
    <w:rsid w:val="003917C5"/>
    <w:rsid w:val="00391927"/>
    <w:rsid w:val="00391C6D"/>
    <w:rsid w:val="00391FF6"/>
    <w:rsid w:val="0039202B"/>
    <w:rsid w:val="00392354"/>
    <w:rsid w:val="003928AB"/>
    <w:rsid w:val="00392DF6"/>
    <w:rsid w:val="00392F7A"/>
    <w:rsid w:val="00392FF0"/>
    <w:rsid w:val="003934A8"/>
    <w:rsid w:val="003937C1"/>
    <w:rsid w:val="00393800"/>
    <w:rsid w:val="003949F5"/>
    <w:rsid w:val="00394E80"/>
    <w:rsid w:val="0039531F"/>
    <w:rsid w:val="003957EC"/>
    <w:rsid w:val="003958D8"/>
    <w:rsid w:val="00395BA6"/>
    <w:rsid w:val="00396049"/>
    <w:rsid w:val="003960BF"/>
    <w:rsid w:val="00396896"/>
    <w:rsid w:val="00396E16"/>
    <w:rsid w:val="00396F87"/>
    <w:rsid w:val="00396FD0"/>
    <w:rsid w:val="003974E6"/>
    <w:rsid w:val="00397946"/>
    <w:rsid w:val="003A066A"/>
    <w:rsid w:val="003A08CF"/>
    <w:rsid w:val="003A0B67"/>
    <w:rsid w:val="003A0CAB"/>
    <w:rsid w:val="003A0CC5"/>
    <w:rsid w:val="003A17BC"/>
    <w:rsid w:val="003A196F"/>
    <w:rsid w:val="003A19DD"/>
    <w:rsid w:val="003A1A7A"/>
    <w:rsid w:val="003A1A82"/>
    <w:rsid w:val="003A1DEE"/>
    <w:rsid w:val="003A1F1E"/>
    <w:rsid w:val="003A2040"/>
    <w:rsid w:val="003A2258"/>
    <w:rsid w:val="003A2392"/>
    <w:rsid w:val="003A249C"/>
    <w:rsid w:val="003A24B3"/>
    <w:rsid w:val="003A2831"/>
    <w:rsid w:val="003A2BC3"/>
    <w:rsid w:val="003A2C30"/>
    <w:rsid w:val="003A2F04"/>
    <w:rsid w:val="003A2F1D"/>
    <w:rsid w:val="003A30C0"/>
    <w:rsid w:val="003A395C"/>
    <w:rsid w:val="003A3CB6"/>
    <w:rsid w:val="003A3CF1"/>
    <w:rsid w:val="003A3E8C"/>
    <w:rsid w:val="003A3ED1"/>
    <w:rsid w:val="003A4082"/>
    <w:rsid w:val="003A438D"/>
    <w:rsid w:val="003A44DB"/>
    <w:rsid w:val="003A46E0"/>
    <w:rsid w:val="003A4A6B"/>
    <w:rsid w:val="003A4C14"/>
    <w:rsid w:val="003A5676"/>
    <w:rsid w:val="003A594C"/>
    <w:rsid w:val="003A6219"/>
    <w:rsid w:val="003A6887"/>
    <w:rsid w:val="003A7049"/>
    <w:rsid w:val="003A73CF"/>
    <w:rsid w:val="003A749E"/>
    <w:rsid w:val="003A74D8"/>
    <w:rsid w:val="003A74D9"/>
    <w:rsid w:val="003A7790"/>
    <w:rsid w:val="003A7E18"/>
    <w:rsid w:val="003A7EB6"/>
    <w:rsid w:val="003B0272"/>
    <w:rsid w:val="003B033E"/>
    <w:rsid w:val="003B048D"/>
    <w:rsid w:val="003B0737"/>
    <w:rsid w:val="003B08F2"/>
    <w:rsid w:val="003B0AE2"/>
    <w:rsid w:val="003B0E57"/>
    <w:rsid w:val="003B10EC"/>
    <w:rsid w:val="003B121B"/>
    <w:rsid w:val="003B123C"/>
    <w:rsid w:val="003B17F2"/>
    <w:rsid w:val="003B1D65"/>
    <w:rsid w:val="003B1FD2"/>
    <w:rsid w:val="003B2D55"/>
    <w:rsid w:val="003B302C"/>
    <w:rsid w:val="003B36A0"/>
    <w:rsid w:val="003B37A9"/>
    <w:rsid w:val="003B3950"/>
    <w:rsid w:val="003B3971"/>
    <w:rsid w:val="003B437F"/>
    <w:rsid w:val="003B4485"/>
    <w:rsid w:val="003B45F0"/>
    <w:rsid w:val="003B4BC9"/>
    <w:rsid w:val="003B4EC5"/>
    <w:rsid w:val="003B55D1"/>
    <w:rsid w:val="003B563A"/>
    <w:rsid w:val="003B5AB1"/>
    <w:rsid w:val="003B5B61"/>
    <w:rsid w:val="003B617C"/>
    <w:rsid w:val="003B63E7"/>
    <w:rsid w:val="003B6989"/>
    <w:rsid w:val="003B6A4D"/>
    <w:rsid w:val="003B7355"/>
    <w:rsid w:val="003C0437"/>
    <w:rsid w:val="003C04CE"/>
    <w:rsid w:val="003C0528"/>
    <w:rsid w:val="003C0777"/>
    <w:rsid w:val="003C08B8"/>
    <w:rsid w:val="003C0B2C"/>
    <w:rsid w:val="003C0B40"/>
    <w:rsid w:val="003C0FF2"/>
    <w:rsid w:val="003C11F0"/>
    <w:rsid w:val="003C1654"/>
    <w:rsid w:val="003C17D9"/>
    <w:rsid w:val="003C1818"/>
    <w:rsid w:val="003C1B33"/>
    <w:rsid w:val="003C1F5E"/>
    <w:rsid w:val="003C2AE2"/>
    <w:rsid w:val="003C2D10"/>
    <w:rsid w:val="003C2D79"/>
    <w:rsid w:val="003C2FC7"/>
    <w:rsid w:val="003C30B7"/>
    <w:rsid w:val="003C315F"/>
    <w:rsid w:val="003C32B6"/>
    <w:rsid w:val="003C3FE6"/>
    <w:rsid w:val="003C476D"/>
    <w:rsid w:val="003C49D6"/>
    <w:rsid w:val="003C4E91"/>
    <w:rsid w:val="003C4F01"/>
    <w:rsid w:val="003C5542"/>
    <w:rsid w:val="003C6123"/>
    <w:rsid w:val="003C64B2"/>
    <w:rsid w:val="003C67F8"/>
    <w:rsid w:val="003C6871"/>
    <w:rsid w:val="003C7097"/>
    <w:rsid w:val="003C722A"/>
    <w:rsid w:val="003C7644"/>
    <w:rsid w:val="003C79DF"/>
    <w:rsid w:val="003C7C14"/>
    <w:rsid w:val="003C7C15"/>
    <w:rsid w:val="003C7D19"/>
    <w:rsid w:val="003C7D2F"/>
    <w:rsid w:val="003C7F73"/>
    <w:rsid w:val="003C7FB4"/>
    <w:rsid w:val="003D0250"/>
    <w:rsid w:val="003D0441"/>
    <w:rsid w:val="003D075F"/>
    <w:rsid w:val="003D0C5A"/>
    <w:rsid w:val="003D0D37"/>
    <w:rsid w:val="003D142A"/>
    <w:rsid w:val="003D1828"/>
    <w:rsid w:val="003D184D"/>
    <w:rsid w:val="003D1A98"/>
    <w:rsid w:val="003D1DE4"/>
    <w:rsid w:val="003D1E9A"/>
    <w:rsid w:val="003D1FCB"/>
    <w:rsid w:val="003D2045"/>
    <w:rsid w:val="003D20A8"/>
    <w:rsid w:val="003D2167"/>
    <w:rsid w:val="003D2422"/>
    <w:rsid w:val="003D2506"/>
    <w:rsid w:val="003D26FA"/>
    <w:rsid w:val="003D299A"/>
    <w:rsid w:val="003D2A49"/>
    <w:rsid w:val="003D2B32"/>
    <w:rsid w:val="003D2C45"/>
    <w:rsid w:val="003D2C7A"/>
    <w:rsid w:val="003D2D84"/>
    <w:rsid w:val="003D2F93"/>
    <w:rsid w:val="003D39A1"/>
    <w:rsid w:val="003D3EF5"/>
    <w:rsid w:val="003D3FBF"/>
    <w:rsid w:val="003D425E"/>
    <w:rsid w:val="003D4A30"/>
    <w:rsid w:val="003D4CE2"/>
    <w:rsid w:val="003D4EF6"/>
    <w:rsid w:val="003D5301"/>
    <w:rsid w:val="003D552E"/>
    <w:rsid w:val="003D59BA"/>
    <w:rsid w:val="003D5AAF"/>
    <w:rsid w:val="003D5B5B"/>
    <w:rsid w:val="003D5BC4"/>
    <w:rsid w:val="003D6144"/>
    <w:rsid w:val="003D6BD0"/>
    <w:rsid w:val="003D6E83"/>
    <w:rsid w:val="003D7393"/>
    <w:rsid w:val="003D7452"/>
    <w:rsid w:val="003D7654"/>
    <w:rsid w:val="003D76ED"/>
    <w:rsid w:val="003D79BB"/>
    <w:rsid w:val="003D7AFB"/>
    <w:rsid w:val="003D7C98"/>
    <w:rsid w:val="003D7D9D"/>
    <w:rsid w:val="003E047A"/>
    <w:rsid w:val="003E0543"/>
    <w:rsid w:val="003E0804"/>
    <w:rsid w:val="003E0891"/>
    <w:rsid w:val="003E090B"/>
    <w:rsid w:val="003E098B"/>
    <w:rsid w:val="003E0BC3"/>
    <w:rsid w:val="003E0D79"/>
    <w:rsid w:val="003E0FE2"/>
    <w:rsid w:val="003E1066"/>
    <w:rsid w:val="003E1484"/>
    <w:rsid w:val="003E1BAF"/>
    <w:rsid w:val="003E1EB5"/>
    <w:rsid w:val="003E20DA"/>
    <w:rsid w:val="003E2661"/>
    <w:rsid w:val="003E2732"/>
    <w:rsid w:val="003E2773"/>
    <w:rsid w:val="003E292D"/>
    <w:rsid w:val="003E314D"/>
    <w:rsid w:val="003E333F"/>
    <w:rsid w:val="003E4230"/>
    <w:rsid w:val="003E436C"/>
    <w:rsid w:val="003E45A9"/>
    <w:rsid w:val="003E4A86"/>
    <w:rsid w:val="003E4DDD"/>
    <w:rsid w:val="003E5407"/>
    <w:rsid w:val="003E5603"/>
    <w:rsid w:val="003E5617"/>
    <w:rsid w:val="003E5E5C"/>
    <w:rsid w:val="003E606A"/>
    <w:rsid w:val="003E6127"/>
    <w:rsid w:val="003E61A5"/>
    <w:rsid w:val="003E63A6"/>
    <w:rsid w:val="003E6551"/>
    <w:rsid w:val="003E6BD1"/>
    <w:rsid w:val="003E6C69"/>
    <w:rsid w:val="003E6CE4"/>
    <w:rsid w:val="003E6F82"/>
    <w:rsid w:val="003E749E"/>
    <w:rsid w:val="003E75CB"/>
    <w:rsid w:val="003E7810"/>
    <w:rsid w:val="003E7B48"/>
    <w:rsid w:val="003F033C"/>
    <w:rsid w:val="003F0DEB"/>
    <w:rsid w:val="003F0ED6"/>
    <w:rsid w:val="003F12C4"/>
    <w:rsid w:val="003F147D"/>
    <w:rsid w:val="003F1670"/>
    <w:rsid w:val="003F174F"/>
    <w:rsid w:val="003F18FA"/>
    <w:rsid w:val="003F1909"/>
    <w:rsid w:val="003F19BA"/>
    <w:rsid w:val="003F1ABA"/>
    <w:rsid w:val="003F1D14"/>
    <w:rsid w:val="003F1DA0"/>
    <w:rsid w:val="003F22E5"/>
    <w:rsid w:val="003F2691"/>
    <w:rsid w:val="003F2A99"/>
    <w:rsid w:val="003F2ABD"/>
    <w:rsid w:val="003F2CCE"/>
    <w:rsid w:val="003F2EA1"/>
    <w:rsid w:val="003F3334"/>
    <w:rsid w:val="003F35DC"/>
    <w:rsid w:val="003F4156"/>
    <w:rsid w:val="003F436B"/>
    <w:rsid w:val="003F4462"/>
    <w:rsid w:val="003F45EA"/>
    <w:rsid w:val="003F4948"/>
    <w:rsid w:val="003F4A66"/>
    <w:rsid w:val="003F4D76"/>
    <w:rsid w:val="003F514E"/>
    <w:rsid w:val="003F5195"/>
    <w:rsid w:val="003F557D"/>
    <w:rsid w:val="003F5975"/>
    <w:rsid w:val="003F5ADF"/>
    <w:rsid w:val="003F5F4B"/>
    <w:rsid w:val="003F634E"/>
    <w:rsid w:val="003F66A2"/>
    <w:rsid w:val="003F687C"/>
    <w:rsid w:val="003F6A77"/>
    <w:rsid w:val="003F6D20"/>
    <w:rsid w:val="003F7003"/>
    <w:rsid w:val="003F70A2"/>
    <w:rsid w:val="003F755D"/>
    <w:rsid w:val="003F75C6"/>
    <w:rsid w:val="003F7B2D"/>
    <w:rsid w:val="0040044B"/>
    <w:rsid w:val="0040047D"/>
    <w:rsid w:val="00400484"/>
    <w:rsid w:val="00400A53"/>
    <w:rsid w:val="00400B29"/>
    <w:rsid w:val="00400C8E"/>
    <w:rsid w:val="004017A5"/>
    <w:rsid w:val="00401847"/>
    <w:rsid w:val="00401B38"/>
    <w:rsid w:val="00401CA9"/>
    <w:rsid w:val="00401DA9"/>
    <w:rsid w:val="00402035"/>
    <w:rsid w:val="00402575"/>
    <w:rsid w:val="00402812"/>
    <w:rsid w:val="00402C32"/>
    <w:rsid w:val="00402F37"/>
    <w:rsid w:val="00403149"/>
    <w:rsid w:val="004031E7"/>
    <w:rsid w:val="004031F9"/>
    <w:rsid w:val="00403973"/>
    <w:rsid w:val="00403A07"/>
    <w:rsid w:val="00403AD1"/>
    <w:rsid w:val="00403C3C"/>
    <w:rsid w:val="00403DD0"/>
    <w:rsid w:val="00404166"/>
    <w:rsid w:val="00404209"/>
    <w:rsid w:val="00404775"/>
    <w:rsid w:val="0040504B"/>
    <w:rsid w:val="0040513F"/>
    <w:rsid w:val="004052A2"/>
    <w:rsid w:val="004052FF"/>
    <w:rsid w:val="004053B6"/>
    <w:rsid w:val="00405479"/>
    <w:rsid w:val="0040570C"/>
    <w:rsid w:val="004058C9"/>
    <w:rsid w:val="004059F4"/>
    <w:rsid w:val="00405AD4"/>
    <w:rsid w:val="00405BAA"/>
    <w:rsid w:val="00405D1C"/>
    <w:rsid w:val="00405DC5"/>
    <w:rsid w:val="00405EAD"/>
    <w:rsid w:val="004060BB"/>
    <w:rsid w:val="004063D5"/>
    <w:rsid w:val="0040648A"/>
    <w:rsid w:val="004068E9"/>
    <w:rsid w:val="00406AA7"/>
    <w:rsid w:val="00407285"/>
    <w:rsid w:val="004072A6"/>
    <w:rsid w:val="0040738D"/>
    <w:rsid w:val="00407732"/>
    <w:rsid w:val="00407E73"/>
    <w:rsid w:val="00407FE5"/>
    <w:rsid w:val="004101B0"/>
    <w:rsid w:val="00410252"/>
    <w:rsid w:val="00410326"/>
    <w:rsid w:val="0041051E"/>
    <w:rsid w:val="00410660"/>
    <w:rsid w:val="00410708"/>
    <w:rsid w:val="0041080C"/>
    <w:rsid w:val="00410ADC"/>
    <w:rsid w:val="00410EC7"/>
    <w:rsid w:val="00410EFC"/>
    <w:rsid w:val="00410F4C"/>
    <w:rsid w:val="00411344"/>
    <w:rsid w:val="00411491"/>
    <w:rsid w:val="0041151B"/>
    <w:rsid w:val="00411581"/>
    <w:rsid w:val="0041171F"/>
    <w:rsid w:val="004117D7"/>
    <w:rsid w:val="00411833"/>
    <w:rsid w:val="00411AB2"/>
    <w:rsid w:val="00411B39"/>
    <w:rsid w:val="0041247F"/>
    <w:rsid w:val="004127A7"/>
    <w:rsid w:val="00412C1A"/>
    <w:rsid w:val="00412DAA"/>
    <w:rsid w:val="00412F67"/>
    <w:rsid w:val="0041317C"/>
    <w:rsid w:val="004136CF"/>
    <w:rsid w:val="00413A1E"/>
    <w:rsid w:val="00413C3A"/>
    <w:rsid w:val="00413CFC"/>
    <w:rsid w:val="00413F81"/>
    <w:rsid w:val="00414476"/>
    <w:rsid w:val="0041468C"/>
    <w:rsid w:val="00414AD4"/>
    <w:rsid w:val="00414C2E"/>
    <w:rsid w:val="004151CF"/>
    <w:rsid w:val="004152F7"/>
    <w:rsid w:val="004157D8"/>
    <w:rsid w:val="00415CBF"/>
    <w:rsid w:val="00416364"/>
    <w:rsid w:val="004163FB"/>
    <w:rsid w:val="0041665F"/>
    <w:rsid w:val="0041679B"/>
    <w:rsid w:val="004168F2"/>
    <w:rsid w:val="00416A46"/>
    <w:rsid w:val="00416C5B"/>
    <w:rsid w:val="0041729C"/>
    <w:rsid w:val="00417345"/>
    <w:rsid w:val="0041734F"/>
    <w:rsid w:val="0041764E"/>
    <w:rsid w:val="00417A5C"/>
    <w:rsid w:val="00417C5A"/>
    <w:rsid w:val="00420035"/>
    <w:rsid w:val="004201B9"/>
    <w:rsid w:val="0042047F"/>
    <w:rsid w:val="00420524"/>
    <w:rsid w:val="00420603"/>
    <w:rsid w:val="00420AA6"/>
    <w:rsid w:val="00420B9F"/>
    <w:rsid w:val="00421015"/>
    <w:rsid w:val="0042192C"/>
    <w:rsid w:val="00421B39"/>
    <w:rsid w:val="00422260"/>
    <w:rsid w:val="004237DF"/>
    <w:rsid w:val="00423A73"/>
    <w:rsid w:val="00423BBF"/>
    <w:rsid w:val="00423C1D"/>
    <w:rsid w:val="00423C6A"/>
    <w:rsid w:val="00423F62"/>
    <w:rsid w:val="00423FF4"/>
    <w:rsid w:val="0042413F"/>
    <w:rsid w:val="0042446C"/>
    <w:rsid w:val="00424731"/>
    <w:rsid w:val="0042489F"/>
    <w:rsid w:val="00424FCD"/>
    <w:rsid w:val="004250FD"/>
    <w:rsid w:val="0042522E"/>
    <w:rsid w:val="00425522"/>
    <w:rsid w:val="004255B0"/>
    <w:rsid w:val="004256CF"/>
    <w:rsid w:val="00425754"/>
    <w:rsid w:val="0042618F"/>
    <w:rsid w:val="004266CA"/>
    <w:rsid w:val="00426D6C"/>
    <w:rsid w:val="00426F11"/>
    <w:rsid w:val="0042750A"/>
    <w:rsid w:val="0042757C"/>
    <w:rsid w:val="0042768A"/>
    <w:rsid w:val="004276B9"/>
    <w:rsid w:val="004276D5"/>
    <w:rsid w:val="004279D1"/>
    <w:rsid w:val="00427B0A"/>
    <w:rsid w:val="00427C49"/>
    <w:rsid w:val="00427FDF"/>
    <w:rsid w:val="004305DE"/>
    <w:rsid w:val="0043060A"/>
    <w:rsid w:val="0043082E"/>
    <w:rsid w:val="004308C6"/>
    <w:rsid w:val="00430D28"/>
    <w:rsid w:val="00430D51"/>
    <w:rsid w:val="00431595"/>
    <w:rsid w:val="00431694"/>
    <w:rsid w:val="004319F8"/>
    <w:rsid w:val="00431AC5"/>
    <w:rsid w:val="00431E55"/>
    <w:rsid w:val="004321F6"/>
    <w:rsid w:val="00432518"/>
    <w:rsid w:val="0043252D"/>
    <w:rsid w:val="00432C90"/>
    <w:rsid w:val="00432DA0"/>
    <w:rsid w:val="00433044"/>
    <w:rsid w:val="00433764"/>
    <w:rsid w:val="00434070"/>
    <w:rsid w:val="00434074"/>
    <w:rsid w:val="00434088"/>
    <w:rsid w:val="00434403"/>
    <w:rsid w:val="00434955"/>
    <w:rsid w:val="00434BEB"/>
    <w:rsid w:val="00434CC7"/>
    <w:rsid w:val="00434EF5"/>
    <w:rsid w:val="004358ED"/>
    <w:rsid w:val="004364DC"/>
    <w:rsid w:val="00436B7B"/>
    <w:rsid w:val="00436E5D"/>
    <w:rsid w:val="00436F78"/>
    <w:rsid w:val="004370BF"/>
    <w:rsid w:val="00437254"/>
    <w:rsid w:val="004375B9"/>
    <w:rsid w:val="0043762A"/>
    <w:rsid w:val="00437638"/>
    <w:rsid w:val="00437797"/>
    <w:rsid w:val="00437A6D"/>
    <w:rsid w:val="00437A92"/>
    <w:rsid w:val="00440241"/>
    <w:rsid w:val="00440413"/>
    <w:rsid w:val="004407E2"/>
    <w:rsid w:val="00440889"/>
    <w:rsid w:val="00441563"/>
    <w:rsid w:val="004415B2"/>
    <w:rsid w:val="00441845"/>
    <w:rsid w:val="004418B6"/>
    <w:rsid w:val="00441F3F"/>
    <w:rsid w:val="004420FF"/>
    <w:rsid w:val="00442368"/>
    <w:rsid w:val="004428D0"/>
    <w:rsid w:val="00442C48"/>
    <w:rsid w:val="00442E06"/>
    <w:rsid w:val="00443333"/>
    <w:rsid w:val="00443504"/>
    <w:rsid w:val="00443556"/>
    <w:rsid w:val="00443DD6"/>
    <w:rsid w:val="00443E6D"/>
    <w:rsid w:val="00443FFF"/>
    <w:rsid w:val="00444185"/>
    <w:rsid w:val="00444316"/>
    <w:rsid w:val="004443A7"/>
    <w:rsid w:val="0044442C"/>
    <w:rsid w:val="0044478F"/>
    <w:rsid w:val="0044490E"/>
    <w:rsid w:val="00444BC4"/>
    <w:rsid w:val="00444C2B"/>
    <w:rsid w:val="00445297"/>
    <w:rsid w:val="00445769"/>
    <w:rsid w:val="0044577E"/>
    <w:rsid w:val="00445941"/>
    <w:rsid w:val="00445CAA"/>
    <w:rsid w:val="00446065"/>
    <w:rsid w:val="00446093"/>
    <w:rsid w:val="004462E5"/>
    <w:rsid w:val="0044634B"/>
    <w:rsid w:val="004464EB"/>
    <w:rsid w:val="00446551"/>
    <w:rsid w:val="00446605"/>
    <w:rsid w:val="00446702"/>
    <w:rsid w:val="0044673E"/>
    <w:rsid w:val="0044697C"/>
    <w:rsid w:val="00446A6E"/>
    <w:rsid w:val="00446E28"/>
    <w:rsid w:val="00446FFA"/>
    <w:rsid w:val="004470F9"/>
    <w:rsid w:val="004475D3"/>
    <w:rsid w:val="004476AE"/>
    <w:rsid w:val="004476EB"/>
    <w:rsid w:val="0044778E"/>
    <w:rsid w:val="00447D26"/>
    <w:rsid w:val="00447DFC"/>
    <w:rsid w:val="00447EE0"/>
    <w:rsid w:val="004506B5"/>
    <w:rsid w:val="0045072A"/>
    <w:rsid w:val="00450C43"/>
    <w:rsid w:val="00450CC4"/>
    <w:rsid w:val="00450D6D"/>
    <w:rsid w:val="00450E93"/>
    <w:rsid w:val="00450EC3"/>
    <w:rsid w:val="00451073"/>
    <w:rsid w:val="00451476"/>
    <w:rsid w:val="00451575"/>
    <w:rsid w:val="00451864"/>
    <w:rsid w:val="004518E8"/>
    <w:rsid w:val="00451FCE"/>
    <w:rsid w:val="004520B8"/>
    <w:rsid w:val="00452AFD"/>
    <w:rsid w:val="00452C2A"/>
    <w:rsid w:val="00452F0B"/>
    <w:rsid w:val="0045325D"/>
    <w:rsid w:val="00453AA2"/>
    <w:rsid w:val="00453C77"/>
    <w:rsid w:val="004541EC"/>
    <w:rsid w:val="004549EE"/>
    <w:rsid w:val="00454C74"/>
    <w:rsid w:val="00454CAA"/>
    <w:rsid w:val="00454F63"/>
    <w:rsid w:val="00454FEC"/>
    <w:rsid w:val="004550BA"/>
    <w:rsid w:val="00455767"/>
    <w:rsid w:val="004558C0"/>
    <w:rsid w:val="00455B65"/>
    <w:rsid w:val="00455D1F"/>
    <w:rsid w:val="00455D45"/>
    <w:rsid w:val="00456086"/>
    <w:rsid w:val="004560F8"/>
    <w:rsid w:val="00456313"/>
    <w:rsid w:val="004563ED"/>
    <w:rsid w:val="0045681D"/>
    <w:rsid w:val="004568ED"/>
    <w:rsid w:val="004569A1"/>
    <w:rsid w:val="00456B19"/>
    <w:rsid w:val="00456BAD"/>
    <w:rsid w:val="004571D8"/>
    <w:rsid w:val="00457403"/>
    <w:rsid w:val="00457572"/>
    <w:rsid w:val="004576CD"/>
    <w:rsid w:val="004577BD"/>
    <w:rsid w:val="00457A78"/>
    <w:rsid w:val="00457C98"/>
    <w:rsid w:val="004600DA"/>
    <w:rsid w:val="00460477"/>
    <w:rsid w:val="00460912"/>
    <w:rsid w:val="00460990"/>
    <w:rsid w:val="00460CE9"/>
    <w:rsid w:val="00460E20"/>
    <w:rsid w:val="00461070"/>
    <w:rsid w:val="00461211"/>
    <w:rsid w:val="0046181F"/>
    <w:rsid w:val="004618D4"/>
    <w:rsid w:val="004618FC"/>
    <w:rsid w:val="00461BAC"/>
    <w:rsid w:val="00462375"/>
    <w:rsid w:val="004628A2"/>
    <w:rsid w:val="00462908"/>
    <w:rsid w:val="00462B9D"/>
    <w:rsid w:val="00462D99"/>
    <w:rsid w:val="00462E9C"/>
    <w:rsid w:val="00462F34"/>
    <w:rsid w:val="00462FB1"/>
    <w:rsid w:val="00463120"/>
    <w:rsid w:val="004637C9"/>
    <w:rsid w:val="0046407A"/>
    <w:rsid w:val="00464283"/>
    <w:rsid w:val="00464486"/>
    <w:rsid w:val="00464595"/>
    <w:rsid w:val="004648C8"/>
    <w:rsid w:val="00464B02"/>
    <w:rsid w:val="00464B91"/>
    <w:rsid w:val="00464F12"/>
    <w:rsid w:val="004652B7"/>
    <w:rsid w:val="00465479"/>
    <w:rsid w:val="00465846"/>
    <w:rsid w:val="004658B5"/>
    <w:rsid w:val="004659FE"/>
    <w:rsid w:val="00465E2F"/>
    <w:rsid w:val="00466004"/>
    <w:rsid w:val="0046661C"/>
    <w:rsid w:val="00466672"/>
    <w:rsid w:val="00466D80"/>
    <w:rsid w:val="00466E95"/>
    <w:rsid w:val="00466F51"/>
    <w:rsid w:val="004671BF"/>
    <w:rsid w:val="004672B9"/>
    <w:rsid w:val="00467359"/>
    <w:rsid w:val="004673BB"/>
    <w:rsid w:val="00467643"/>
    <w:rsid w:val="0046769F"/>
    <w:rsid w:val="004678EF"/>
    <w:rsid w:val="00467C3C"/>
    <w:rsid w:val="00467E49"/>
    <w:rsid w:val="00467E89"/>
    <w:rsid w:val="00467E90"/>
    <w:rsid w:val="00470A48"/>
    <w:rsid w:val="00470A4A"/>
    <w:rsid w:val="00470A84"/>
    <w:rsid w:val="00470FC6"/>
    <w:rsid w:val="004710D5"/>
    <w:rsid w:val="00471EA5"/>
    <w:rsid w:val="004720CB"/>
    <w:rsid w:val="004720E1"/>
    <w:rsid w:val="00472A79"/>
    <w:rsid w:val="00472E7F"/>
    <w:rsid w:val="0047365E"/>
    <w:rsid w:val="00473CBA"/>
    <w:rsid w:val="00473F19"/>
    <w:rsid w:val="00474AC4"/>
    <w:rsid w:val="00474C78"/>
    <w:rsid w:val="00474E02"/>
    <w:rsid w:val="00475517"/>
    <w:rsid w:val="00475B02"/>
    <w:rsid w:val="00475DDA"/>
    <w:rsid w:val="00475E22"/>
    <w:rsid w:val="00475F9E"/>
    <w:rsid w:val="00476772"/>
    <w:rsid w:val="00476878"/>
    <w:rsid w:val="00476A5B"/>
    <w:rsid w:val="00476B72"/>
    <w:rsid w:val="00476B83"/>
    <w:rsid w:val="00476C7D"/>
    <w:rsid w:val="00476D89"/>
    <w:rsid w:val="00476E60"/>
    <w:rsid w:val="00476EC2"/>
    <w:rsid w:val="004774C8"/>
    <w:rsid w:val="00477F81"/>
    <w:rsid w:val="00480124"/>
    <w:rsid w:val="00480173"/>
    <w:rsid w:val="004801E8"/>
    <w:rsid w:val="00480291"/>
    <w:rsid w:val="004805C3"/>
    <w:rsid w:val="0048088E"/>
    <w:rsid w:val="00480934"/>
    <w:rsid w:val="00480AEB"/>
    <w:rsid w:val="00480B75"/>
    <w:rsid w:val="00480E16"/>
    <w:rsid w:val="00480F2B"/>
    <w:rsid w:val="00481028"/>
    <w:rsid w:val="0048104F"/>
    <w:rsid w:val="00481147"/>
    <w:rsid w:val="0048146A"/>
    <w:rsid w:val="004817DD"/>
    <w:rsid w:val="00481916"/>
    <w:rsid w:val="00481C54"/>
    <w:rsid w:val="00481EEE"/>
    <w:rsid w:val="00481FF8"/>
    <w:rsid w:val="004826EF"/>
    <w:rsid w:val="00482720"/>
    <w:rsid w:val="0048273C"/>
    <w:rsid w:val="00482794"/>
    <w:rsid w:val="00482C1D"/>
    <w:rsid w:val="00482F72"/>
    <w:rsid w:val="0048351B"/>
    <w:rsid w:val="004835E7"/>
    <w:rsid w:val="00484072"/>
    <w:rsid w:val="00484337"/>
    <w:rsid w:val="004844CA"/>
    <w:rsid w:val="004845BA"/>
    <w:rsid w:val="004846FF"/>
    <w:rsid w:val="00484E5A"/>
    <w:rsid w:val="00484E5F"/>
    <w:rsid w:val="00484FC2"/>
    <w:rsid w:val="00485392"/>
    <w:rsid w:val="004853AD"/>
    <w:rsid w:val="004853CE"/>
    <w:rsid w:val="004859E1"/>
    <w:rsid w:val="00485BA4"/>
    <w:rsid w:val="004867E2"/>
    <w:rsid w:val="0048687E"/>
    <w:rsid w:val="004868E9"/>
    <w:rsid w:val="00486929"/>
    <w:rsid w:val="00486A42"/>
    <w:rsid w:val="00486D43"/>
    <w:rsid w:val="00487059"/>
    <w:rsid w:val="00487578"/>
    <w:rsid w:val="0048795C"/>
    <w:rsid w:val="00487A53"/>
    <w:rsid w:val="00487AF6"/>
    <w:rsid w:val="00487E4E"/>
    <w:rsid w:val="00487F08"/>
    <w:rsid w:val="0049002F"/>
    <w:rsid w:val="0049079A"/>
    <w:rsid w:val="00490957"/>
    <w:rsid w:val="00490959"/>
    <w:rsid w:val="00490AB4"/>
    <w:rsid w:val="00490B17"/>
    <w:rsid w:val="0049106B"/>
    <w:rsid w:val="00491123"/>
    <w:rsid w:val="00491311"/>
    <w:rsid w:val="004918CF"/>
    <w:rsid w:val="004919F1"/>
    <w:rsid w:val="00491B3A"/>
    <w:rsid w:val="00491B9C"/>
    <w:rsid w:val="00491C68"/>
    <w:rsid w:val="00491E1F"/>
    <w:rsid w:val="00492493"/>
    <w:rsid w:val="0049256E"/>
    <w:rsid w:val="0049266F"/>
    <w:rsid w:val="00492746"/>
    <w:rsid w:val="004927B1"/>
    <w:rsid w:val="0049294C"/>
    <w:rsid w:val="00492ABE"/>
    <w:rsid w:val="00492CFD"/>
    <w:rsid w:val="004931E0"/>
    <w:rsid w:val="00493240"/>
    <w:rsid w:val="0049366E"/>
    <w:rsid w:val="00493904"/>
    <w:rsid w:val="00493F6A"/>
    <w:rsid w:val="00493F75"/>
    <w:rsid w:val="00493FE3"/>
    <w:rsid w:val="00494074"/>
    <w:rsid w:val="00494207"/>
    <w:rsid w:val="0049436C"/>
    <w:rsid w:val="004945CC"/>
    <w:rsid w:val="00494DD5"/>
    <w:rsid w:val="00494F6E"/>
    <w:rsid w:val="004951D7"/>
    <w:rsid w:val="00495DC9"/>
    <w:rsid w:val="00495F1C"/>
    <w:rsid w:val="00496018"/>
    <w:rsid w:val="00496059"/>
    <w:rsid w:val="004962D2"/>
    <w:rsid w:val="00496350"/>
    <w:rsid w:val="004967EC"/>
    <w:rsid w:val="00496A28"/>
    <w:rsid w:val="00496A58"/>
    <w:rsid w:val="00496CBE"/>
    <w:rsid w:val="00496D78"/>
    <w:rsid w:val="00496E63"/>
    <w:rsid w:val="00496F40"/>
    <w:rsid w:val="0049716A"/>
    <w:rsid w:val="004972D2"/>
    <w:rsid w:val="004A0006"/>
    <w:rsid w:val="004A027F"/>
    <w:rsid w:val="004A06CE"/>
    <w:rsid w:val="004A0754"/>
    <w:rsid w:val="004A0BA7"/>
    <w:rsid w:val="004A0CF7"/>
    <w:rsid w:val="004A0DA1"/>
    <w:rsid w:val="004A0E54"/>
    <w:rsid w:val="004A13D6"/>
    <w:rsid w:val="004A275B"/>
    <w:rsid w:val="004A28D7"/>
    <w:rsid w:val="004A299F"/>
    <w:rsid w:val="004A2B14"/>
    <w:rsid w:val="004A2C35"/>
    <w:rsid w:val="004A315C"/>
    <w:rsid w:val="004A361F"/>
    <w:rsid w:val="004A36C8"/>
    <w:rsid w:val="004A39FA"/>
    <w:rsid w:val="004A3A25"/>
    <w:rsid w:val="004A3CBD"/>
    <w:rsid w:val="004A401F"/>
    <w:rsid w:val="004A4043"/>
    <w:rsid w:val="004A4094"/>
    <w:rsid w:val="004A42D8"/>
    <w:rsid w:val="004A4390"/>
    <w:rsid w:val="004A4640"/>
    <w:rsid w:val="004A4668"/>
    <w:rsid w:val="004A4A35"/>
    <w:rsid w:val="004A4AAE"/>
    <w:rsid w:val="004A4EEF"/>
    <w:rsid w:val="004A52E0"/>
    <w:rsid w:val="004A52E9"/>
    <w:rsid w:val="004A5779"/>
    <w:rsid w:val="004A600B"/>
    <w:rsid w:val="004A6040"/>
    <w:rsid w:val="004A61DE"/>
    <w:rsid w:val="004A62FE"/>
    <w:rsid w:val="004A6597"/>
    <w:rsid w:val="004A68C8"/>
    <w:rsid w:val="004A7109"/>
    <w:rsid w:val="004A7327"/>
    <w:rsid w:val="004A7848"/>
    <w:rsid w:val="004A793B"/>
    <w:rsid w:val="004B039A"/>
    <w:rsid w:val="004B0622"/>
    <w:rsid w:val="004B130D"/>
    <w:rsid w:val="004B1626"/>
    <w:rsid w:val="004B1CB4"/>
    <w:rsid w:val="004B23E8"/>
    <w:rsid w:val="004B2455"/>
    <w:rsid w:val="004B24B7"/>
    <w:rsid w:val="004B277A"/>
    <w:rsid w:val="004B2F18"/>
    <w:rsid w:val="004B3111"/>
    <w:rsid w:val="004B317E"/>
    <w:rsid w:val="004B3635"/>
    <w:rsid w:val="004B3AE4"/>
    <w:rsid w:val="004B3DB3"/>
    <w:rsid w:val="004B3DDB"/>
    <w:rsid w:val="004B3EFD"/>
    <w:rsid w:val="004B4446"/>
    <w:rsid w:val="004B44FD"/>
    <w:rsid w:val="004B4CA2"/>
    <w:rsid w:val="004B51AD"/>
    <w:rsid w:val="004B531D"/>
    <w:rsid w:val="004B54E8"/>
    <w:rsid w:val="004B5609"/>
    <w:rsid w:val="004B5CFC"/>
    <w:rsid w:val="004B5E56"/>
    <w:rsid w:val="004B61BA"/>
    <w:rsid w:val="004B667C"/>
    <w:rsid w:val="004B670F"/>
    <w:rsid w:val="004B68F3"/>
    <w:rsid w:val="004B6A0B"/>
    <w:rsid w:val="004B6DFC"/>
    <w:rsid w:val="004B6F79"/>
    <w:rsid w:val="004B7279"/>
    <w:rsid w:val="004B7623"/>
    <w:rsid w:val="004B774D"/>
    <w:rsid w:val="004B7BB0"/>
    <w:rsid w:val="004B7CEB"/>
    <w:rsid w:val="004B7E9E"/>
    <w:rsid w:val="004C0543"/>
    <w:rsid w:val="004C0BD4"/>
    <w:rsid w:val="004C1600"/>
    <w:rsid w:val="004C16F9"/>
    <w:rsid w:val="004C179C"/>
    <w:rsid w:val="004C19E4"/>
    <w:rsid w:val="004C1F81"/>
    <w:rsid w:val="004C211A"/>
    <w:rsid w:val="004C2AC2"/>
    <w:rsid w:val="004C3211"/>
    <w:rsid w:val="004C33CE"/>
    <w:rsid w:val="004C3511"/>
    <w:rsid w:val="004C3A4A"/>
    <w:rsid w:val="004C3B02"/>
    <w:rsid w:val="004C3B7A"/>
    <w:rsid w:val="004C4543"/>
    <w:rsid w:val="004C456F"/>
    <w:rsid w:val="004C45E7"/>
    <w:rsid w:val="004C4754"/>
    <w:rsid w:val="004C48F8"/>
    <w:rsid w:val="004C49E8"/>
    <w:rsid w:val="004C4AED"/>
    <w:rsid w:val="004C4E90"/>
    <w:rsid w:val="004C52C1"/>
    <w:rsid w:val="004C5732"/>
    <w:rsid w:val="004C5997"/>
    <w:rsid w:val="004C5FE7"/>
    <w:rsid w:val="004C6035"/>
    <w:rsid w:val="004C67D1"/>
    <w:rsid w:val="004C6B51"/>
    <w:rsid w:val="004C6E09"/>
    <w:rsid w:val="004C6E61"/>
    <w:rsid w:val="004C7424"/>
    <w:rsid w:val="004C74A4"/>
    <w:rsid w:val="004C7532"/>
    <w:rsid w:val="004C7595"/>
    <w:rsid w:val="004C765E"/>
    <w:rsid w:val="004D02D9"/>
    <w:rsid w:val="004D062E"/>
    <w:rsid w:val="004D087A"/>
    <w:rsid w:val="004D0EC0"/>
    <w:rsid w:val="004D0EC6"/>
    <w:rsid w:val="004D1021"/>
    <w:rsid w:val="004D126C"/>
    <w:rsid w:val="004D127E"/>
    <w:rsid w:val="004D1418"/>
    <w:rsid w:val="004D15ED"/>
    <w:rsid w:val="004D1603"/>
    <w:rsid w:val="004D16FF"/>
    <w:rsid w:val="004D2448"/>
    <w:rsid w:val="004D2597"/>
    <w:rsid w:val="004D2611"/>
    <w:rsid w:val="004D2C2D"/>
    <w:rsid w:val="004D303E"/>
    <w:rsid w:val="004D31FF"/>
    <w:rsid w:val="004D336D"/>
    <w:rsid w:val="004D34B7"/>
    <w:rsid w:val="004D387C"/>
    <w:rsid w:val="004D3A2C"/>
    <w:rsid w:val="004D3AD9"/>
    <w:rsid w:val="004D3E51"/>
    <w:rsid w:val="004D3E94"/>
    <w:rsid w:val="004D3EE3"/>
    <w:rsid w:val="004D45C6"/>
    <w:rsid w:val="004D4C1F"/>
    <w:rsid w:val="004D552D"/>
    <w:rsid w:val="004D5607"/>
    <w:rsid w:val="004D5766"/>
    <w:rsid w:val="004D5AB2"/>
    <w:rsid w:val="004D626D"/>
    <w:rsid w:val="004D69B5"/>
    <w:rsid w:val="004D6B9D"/>
    <w:rsid w:val="004D6F86"/>
    <w:rsid w:val="004D7227"/>
    <w:rsid w:val="004D72E6"/>
    <w:rsid w:val="004D7B5E"/>
    <w:rsid w:val="004E0319"/>
    <w:rsid w:val="004E0BE9"/>
    <w:rsid w:val="004E0E7F"/>
    <w:rsid w:val="004E0EB8"/>
    <w:rsid w:val="004E1029"/>
    <w:rsid w:val="004E10AD"/>
    <w:rsid w:val="004E12D8"/>
    <w:rsid w:val="004E17B5"/>
    <w:rsid w:val="004E18E9"/>
    <w:rsid w:val="004E1A72"/>
    <w:rsid w:val="004E1BAF"/>
    <w:rsid w:val="004E1C81"/>
    <w:rsid w:val="004E2493"/>
    <w:rsid w:val="004E275C"/>
    <w:rsid w:val="004E2AA9"/>
    <w:rsid w:val="004E2ADC"/>
    <w:rsid w:val="004E2E43"/>
    <w:rsid w:val="004E3375"/>
    <w:rsid w:val="004E364B"/>
    <w:rsid w:val="004E3809"/>
    <w:rsid w:val="004E3892"/>
    <w:rsid w:val="004E3A5C"/>
    <w:rsid w:val="004E3BCB"/>
    <w:rsid w:val="004E3BDA"/>
    <w:rsid w:val="004E3EF7"/>
    <w:rsid w:val="004E3F3D"/>
    <w:rsid w:val="004E3FEE"/>
    <w:rsid w:val="004E4059"/>
    <w:rsid w:val="004E42C1"/>
    <w:rsid w:val="004E43B2"/>
    <w:rsid w:val="004E43F0"/>
    <w:rsid w:val="004E461B"/>
    <w:rsid w:val="004E4A1E"/>
    <w:rsid w:val="004E4DA3"/>
    <w:rsid w:val="004E4FE6"/>
    <w:rsid w:val="004E554D"/>
    <w:rsid w:val="004E55D0"/>
    <w:rsid w:val="004E593F"/>
    <w:rsid w:val="004E5A41"/>
    <w:rsid w:val="004E5E96"/>
    <w:rsid w:val="004E606B"/>
    <w:rsid w:val="004E6433"/>
    <w:rsid w:val="004E6535"/>
    <w:rsid w:val="004E65FE"/>
    <w:rsid w:val="004E718E"/>
    <w:rsid w:val="004E727E"/>
    <w:rsid w:val="004E75E7"/>
    <w:rsid w:val="004E76AC"/>
    <w:rsid w:val="004E7740"/>
    <w:rsid w:val="004E786C"/>
    <w:rsid w:val="004E7CA8"/>
    <w:rsid w:val="004E7D77"/>
    <w:rsid w:val="004E7F21"/>
    <w:rsid w:val="004F0184"/>
    <w:rsid w:val="004F04F1"/>
    <w:rsid w:val="004F09AF"/>
    <w:rsid w:val="004F1152"/>
    <w:rsid w:val="004F1503"/>
    <w:rsid w:val="004F15A2"/>
    <w:rsid w:val="004F1A3F"/>
    <w:rsid w:val="004F1C03"/>
    <w:rsid w:val="004F1D02"/>
    <w:rsid w:val="004F1E9F"/>
    <w:rsid w:val="004F1F80"/>
    <w:rsid w:val="004F21F4"/>
    <w:rsid w:val="004F25BA"/>
    <w:rsid w:val="004F2679"/>
    <w:rsid w:val="004F2F21"/>
    <w:rsid w:val="004F32E6"/>
    <w:rsid w:val="004F3ABD"/>
    <w:rsid w:val="004F3DE5"/>
    <w:rsid w:val="004F3DED"/>
    <w:rsid w:val="004F3E11"/>
    <w:rsid w:val="004F43DD"/>
    <w:rsid w:val="004F452F"/>
    <w:rsid w:val="004F45DD"/>
    <w:rsid w:val="004F480E"/>
    <w:rsid w:val="004F49D0"/>
    <w:rsid w:val="004F5651"/>
    <w:rsid w:val="004F56C6"/>
    <w:rsid w:val="004F56C9"/>
    <w:rsid w:val="004F58C6"/>
    <w:rsid w:val="004F5C98"/>
    <w:rsid w:val="004F5E98"/>
    <w:rsid w:val="004F5F98"/>
    <w:rsid w:val="004F601E"/>
    <w:rsid w:val="004F627F"/>
    <w:rsid w:val="004F63E9"/>
    <w:rsid w:val="004F66B5"/>
    <w:rsid w:val="004F6913"/>
    <w:rsid w:val="004F6940"/>
    <w:rsid w:val="004F697C"/>
    <w:rsid w:val="004F6B6D"/>
    <w:rsid w:val="004F7722"/>
    <w:rsid w:val="004F7865"/>
    <w:rsid w:val="004F7A95"/>
    <w:rsid w:val="004F7E6F"/>
    <w:rsid w:val="0050077B"/>
    <w:rsid w:val="00500958"/>
    <w:rsid w:val="00500C1A"/>
    <w:rsid w:val="00500CE4"/>
    <w:rsid w:val="0050152A"/>
    <w:rsid w:val="005016A8"/>
    <w:rsid w:val="0050174E"/>
    <w:rsid w:val="00501758"/>
    <w:rsid w:val="00501854"/>
    <w:rsid w:val="00501AF5"/>
    <w:rsid w:val="00501E9F"/>
    <w:rsid w:val="0050207A"/>
    <w:rsid w:val="00502087"/>
    <w:rsid w:val="0050219B"/>
    <w:rsid w:val="005022B5"/>
    <w:rsid w:val="005024AF"/>
    <w:rsid w:val="00502D5E"/>
    <w:rsid w:val="00502E4C"/>
    <w:rsid w:val="00502F3D"/>
    <w:rsid w:val="005036BE"/>
    <w:rsid w:val="0050381B"/>
    <w:rsid w:val="00503D85"/>
    <w:rsid w:val="00503DCB"/>
    <w:rsid w:val="00503F17"/>
    <w:rsid w:val="00503F3A"/>
    <w:rsid w:val="005040F0"/>
    <w:rsid w:val="005040F4"/>
    <w:rsid w:val="005041E0"/>
    <w:rsid w:val="0050445F"/>
    <w:rsid w:val="00504840"/>
    <w:rsid w:val="00504B44"/>
    <w:rsid w:val="00504F41"/>
    <w:rsid w:val="005058D8"/>
    <w:rsid w:val="00505FC3"/>
    <w:rsid w:val="00505FD9"/>
    <w:rsid w:val="00506018"/>
    <w:rsid w:val="005060B7"/>
    <w:rsid w:val="00506473"/>
    <w:rsid w:val="00506928"/>
    <w:rsid w:val="00506A7D"/>
    <w:rsid w:val="00506D6F"/>
    <w:rsid w:val="005077EF"/>
    <w:rsid w:val="00510005"/>
    <w:rsid w:val="00510521"/>
    <w:rsid w:val="00510E0E"/>
    <w:rsid w:val="00511189"/>
    <w:rsid w:val="005118D6"/>
    <w:rsid w:val="005119CB"/>
    <w:rsid w:val="00511AD5"/>
    <w:rsid w:val="00511DC7"/>
    <w:rsid w:val="00511EC4"/>
    <w:rsid w:val="00512398"/>
    <w:rsid w:val="005123BF"/>
    <w:rsid w:val="00512AE9"/>
    <w:rsid w:val="00512D3A"/>
    <w:rsid w:val="00512E1A"/>
    <w:rsid w:val="00512EA8"/>
    <w:rsid w:val="0051333C"/>
    <w:rsid w:val="00513387"/>
    <w:rsid w:val="00513621"/>
    <w:rsid w:val="005137DE"/>
    <w:rsid w:val="005137FC"/>
    <w:rsid w:val="0051395E"/>
    <w:rsid w:val="00513A64"/>
    <w:rsid w:val="00513A83"/>
    <w:rsid w:val="00513F17"/>
    <w:rsid w:val="00513FDD"/>
    <w:rsid w:val="005141E1"/>
    <w:rsid w:val="005142C5"/>
    <w:rsid w:val="005143D5"/>
    <w:rsid w:val="0051447D"/>
    <w:rsid w:val="005147B9"/>
    <w:rsid w:val="00514908"/>
    <w:rsid w:val="0051492E"/>
    <w:rsid w:val="00514D70"/>
    <w:rsid w:val="0051501B"/>
    <w:rsid w:val="005152B5"/>
    <w:rsid w:val="00515758"/>
    <w:rsid w:val="00515833"/>
    <w:rsid w:val="00515886"/>
    <w:rsid w:val="00515D0C"/>
    <w:rsid w:val="00516440"/>
    <w:rsid w:val="00516567"/>
    <w:rsid w:val="0051668B"/>
    <w:rsid w:val="0051695E"/>
    <w:rsid w:val="00516F90"/>
    <w:rsid w:val="0051712B"/>
    <w:rsid w:val="005172A4"/>
    <w:rsid w:val="0051731C"/>
    <w:rsid w:val="00517B70"/>
    <w:rsid w:val="005201BB"/>
    <w:rsid w:val="00520503"/>
    <w:rsid w:val="0052098C"/>
    <w:rsid w:val="00520C73"/>
    <w:rsid w:val="00520E52"/>
    <w:rsid w:val="00520EF1"/>
    <w:rsid w:val="00520F25"/>
    <w:rsid w:val="00520F8B"/>
    <w:rsid w:val="0052112E"/>
    <w:rsid w:val="0052123C"/>
    <w:rsid w:val="00521319"/>
    <w:rsid w:val="005214DB"/>
    <w:rsid w:val="00521667"/>
    <w:rsid w:val="0052169A"/>
    <w:rsid w:val="00521A22"/>
    <w:rsid w:val="00521A6E"/>
    <w:rsid w:val="00521B7D"/>
    <w:rsid w:val="00521C04"/>
    <w:rsid w:val="0052225F"/>
    <w:rsid w:val="00522BC8"/>
    <w:rsid w:val="00522D4C"/>
    <w:rsid w:val="00522E06"/>
    <w:rsid w:val="00522FA9"/>
    <w:rsid w:val="005234D2"/>
    <w:rsid w:val="0052395C"/>
    <w:rsid w:val="00523C28"/>
    <w:rsid w:val="00523E22"/>
    <w:rsid w:val="005249E8"/>
    <w:rsid w:val="00524DC7"/>
    <w:rsid w:val="005251E2"/>
    <w:rsid w:val="005254C3"/>
    <w:rsid w:val="005258B1"/>
    <w:rsid w:val="00525976"/>
    <w:rsid w:val="00525EF7"/>
    <w:rsid w:val="005261FA"/>
    <w:rsid w:val="005263B6"/>
    <w:rsid w:val="00527080"/>
    <w:rsid w:val="0052736A"/>
    <w:rsid w:val="00527802"/>
    <w:rsid w:val="00527DB3"/>
    <w:rsid w:val="005300FD"/>
    <w:rsid w:val="005305F1"/>
    <w:rsid w:val="0053087E"/>
    <w:rsid w:val="00530AE4"/>
    <w:rsid w:val="00530C97"/>
    <w:rsid w:val="00530CCD"/>
    <w:rsid w:val="00531178"/>
    <w:rsid w:val="005311D4"/>
    <w:rsid w:val="0053176B"/>
    <w:rsid w:val="005317D9"/>
    <w:rsid w:val="00531989"/>
    <w:rsid w:val="005319C9"/>
    <w:rsid w:val="00531DA8"/>
    <w:rsid w:val="00532851"/>
    <w:rsid w:val="00532B2F"/>
    <w:rsid w:val="00532B6C"/>
    <w:rsid w:val="00532FC0"/>
    <w:rsid w:val="0053356A"/>
    <w:rsid w:val="005341B3"/>
    <w:rsid w:val="005341E2"/>
    <w:rsid w:val="005346B0"/>
    <w:rsid w:val="00534AEF"/>
    <w:rsid w:val="00534EE4"/>
    <w:rsid w:val="00535352"/>
    <w:rsid w:val="00535B14"/>
    <w:rsid w:val="00535C49"/>
    <w:rsid w:val="00535E00"/>
    <w:rsid w:val="00535F30"/>
    <w:rsid w:val="005360D5"/>
    <w:rsid w:val="00536102"/>
    <w:rsid w:val="00536118"/>
    <w:rsid w:val="005362EC"/>
    <w:rsid w:val="0053661D"/>
    <w:rsid w:val="00536654"/>
    <w:rsid w:val="00536824"/>
    <w:rsid w:val="005368B9"/>
    <w:rsid w:val="00536B37"/>
    <w:rsid w:val="00536B58"/>
    <w:rsid w:val="00536BEF"/>
    <w:rsid w:val="00536F42"/>
    <w:rsid w:val="00537182"/>
    <w:rsid w:val="005371C1"/>
    <w:rsid w:val="00537376"/>
    <w:rsid w:val="00537503"/>
    <w:rsid w:val="0053799F"/>
    <w:rsid w:val="005402AE"/>
    <w:rsid w:val="005404D2"/>
    <w:rsid w:val="0054075E"/>
    <w:rsid w:val="005409B4"/>
    <w:rsid w:val="00540B12"/>
    <w:rsid w:val="00540B77"/>
    <w:rsid w:val="00540D14"/>
    <w:rsid w:val="00541263"/>
    <w:rsid w:val="005414BC"/>
    <w:rsid w:val="00541744"/>
    <w:rsid w:val="00541A5C"/>
    <w:rsid w:val="00541E27"/>
    <w:rsid w:val="00541EDD"/>
    <w:rsid w:val="005423DB"/>
    <w:rsid w:val="00542743"/>
    <w:rsid w:val="00542B62"/>
    <w:rsid w:val="00542C2D"/>
    <w:rsid w:val="00542CA8"/>
    <w:rsid w:val="00542D5B"/>
    <w:rsid w:val="00542FB4"/>
    <w:rsid w:val="0054300D"/>
    <w:rsid w:val="00543484"/>
    <w:rsid w:val="00543F6D"/>
    <w:rsid w:val="005441CC"/>
    <w:rsid w:val="00544288"/>
    <w:rsid w:val="0054443F"/>
    <w:rsid w:val="0054450E"/>
    <w:rsid w:val="005446D7"/>
    <w:rsid w:val="00544A22"/>
    <w:rsid w:val="00544FDC"/>
    <w:rsid w:val="005450F4"/>
    <w:rsid w:val="005453ED"/>
    <w:rsid w:val="00545B13"/>
    <w:rsid w:val="00545BDB"/>
    <w:rsid w:val="00545F77"/>
    <w:rsid w:val="005469D9"/>
    <w:rsid w:val="00546A40"/>
    <w:rsid w:val="00546E63"/>
    <w:rsid w:val="005470E7"/>
    <w:rsid w:val="00547225"/>
    <w:rsid w:val="005478BD"/>
    <w:rsid w:val="005479E3"/>
    <w:rsid w:val="00547D89"/>
    <w:rsid w:val="005500FF"/>
    <w:rsid w:val="005505AB"/>
    <w:rsid w:val="0055086C"/>
    <w:rsid w:val="00550B68"/>
    <w:rsid w:val="00550F22"/>
    <w:rsid w:val="00551678"/>
    <w:rsid w:val="005516B5"/>
    <w:rsid w:val="00551985"/>
    <w:rsid w:val="005520B5"/>
    <w:rsid w:val="005521FB"/>
    <w:rsid w:val="00552427"/>
    <w:rsid w:val="00552528"/>
    <w:rsid w:val="00552593"/>
    <w:rsid w:val="00552BD3"/>
    <w:rsid w:val="00552C2B"/>
    <w:rsid w:val="00553151"/>
    <w:rsid w:val="005532A0"/>
    <w:rsid w:val="00553546"/>
    <w:rsid w:val="005536F0"/>
    <w:rsid w:val="00553AB2"/>
    <w:rsid w:val="00553E64"/>
    <w:rsid w:val="005541DD"/>
    <w:rsid w:val="00555109"/>
    <w:rsid w:val="0055590D"/>
    <w:rsid w:val="00555B18"/>
    <w:rsid w:val="00555C71"/>
    <w:rsid w:val="00555CEF"/>
    <w:rsid w:val="0055661A"/>
    <w:rsid w:val="00556B35"/>
    <w:rsid w:val="00556D57"/>
    <w:rsid w:val="00556DB1"/>
    <w:rsid w:val="00556F15"/>
    <w:rsid w:val="00557046"/>
    <w:rsid w:val="0055741A"/>
    <w:rsid w:val="00557B99"/>
    <w:rsid w:val="00557E66"/>
    <w:rsid w:val="005600D8"/>
    <w:rsid w:val="005603C0"/>
    <w:rsid w:val="00560B00"/>
    <w:rsid w:val="005611B7"/>
    <w:rsid w:val="005614E4"/>
    <w:rsid w:val="005615DC"/>
    <w:rsid w:val="0056183D"/>
    <w:rsid w:val="005618D4"/>
    <w:rsid w:val="005618F3"/>
    <w:rsid w:val="00561A64"/>
    <w:rsid w:val="00561A9B"/>
    <w:rsid w:val="00561E4C"/>
    <w:rsid w:val="00561F16"/>
    <w:rsid w:val="00562159"/>
    <w:rsid w:val="0056259E"/>
    <w:rsid w:val="00562C46"/>
    <w:rsid w:val="00562C87"/>
    <w:rsid w:val="00562D26"/>
    <w:rsid w:val="00562EFC"/>
    <w:rsid w:val="0056330B"/>
    <w:rsid w:val="005634CF"/>
    <w:rsid w:val="00563783"/>
    <w:rsid w:val="0056378F"/>
    <w:rsid w:val="00563CA9"/>
    <w:rsid w:val="0056474F"/>
    <w:rsid w:val="00564867"/>
    <w:rsid w:val="00564EA4"/>
    <w:rsid w:val="0056521B"/>
    <w:rsid w:val="0056532B"/>
    <w:rsid w:val="00565660"/>
    <w:rsid w:val="005657B0"/>
    <w:rsid w:val="00565B10"/>
    <w:rsid w:val="00565C79"/>
    <w:rsid w:val="00565DF0"/>
    <w:rsid w:val="00565E48"/>
    <w:rsid w:val="00565E78"/>
    <w:rsid w:val="005660DB"/>
    <w:rsid w:val="00566360"/>
    <w:rsid w:val="00566672"/>
    <w:rsid w:val="00566889"/>
    <w:rsid w:val="00566924"/>
    <w:rsid w:val="0056696F"/>
    <w:rsid w:val="00566CB8"/>
    <w:rsid w:val="00566E33"/>
    <w:rsid w:val="00567431"/>
    <w:rsid w:val="00567570"/>
    <w:rsid w:val="00567718"/>
    <w:rsid w:val="005679F5"/>
    <w:rsid w:val="00567F79"/>
    <w:rsid w:val="005701C1"/>
    <w:rsid w:val="005706F7"/>
    <w:rsid w:val="00570BA0"/>
    <w:rsid w:val="00570CFD"/>
    <w:rsid w:val="00570D53"/>
    <w:rsid w:val="00570F83"/>
    <w:rsid w:val="00571304"/>
    <w:rsid w:val="0057155E"/>
    <w:rsid w:val="00571643"/>
    <w:rsid w:val="00571A42"/>
    <w:rsid w:val="00572243"/>
    <w:rsid w:val="00572269"/>
    <w:rsid w:val="0057244A"/>
    <w:rsid w:val="00572663"/>
    <w:rsid w:val="0057294F"/>
    <w:rsid w:val="005729B1"/>
    <w:rsid w:val="00572BFC"/>
    <w:rsid w:val="00572D87"/>
    <w:rsid w:val="00572DE2"/>
    <w:rsid w:val="00572E30"/>
    <w:rsid w:val="00572E5C"/>
    <w:rsid w:val="00572F26"/>
    <w:rsid w:val="00573464"/>
    <w:rsid w:val="005737A7"/>
    <w:rsid w:val="005739FC"/>
    <w:rsid w:val="00573A1C"/>
    <w:rsid w:val="00573C88"/>
    <w:rsid w:val="00573F07"/>
    <w:rsid w:val="00574299"/>
    <w:rsid w:val="005742F5"/>
    <w:rsid w:val="00574A78"/>
    <w:rsid w:val="00574F17"/>
    <w:rsid w:val="005750C5"/>
    <w:rsid w:val="005752DE"/>
    <w:rsid w:val="00575313"/>
    <w:rsid w:val="005756A0"/>
    <w:rsid w:val="00575805"/>
    <w:rsid w:val="00575D60"/>
    <w:rsid w:val="00575D8D"/>
    <w:rsid w:val="005762A3"/>
    <w:rsid w:val="00576438"/>
    <w:rsid w:val="00576884"/>
    <w:rsid w:val="00576972"/>
    <w:rsid w:val="00576B00"/>
    <w:rsid w:val="005770D4"/>
    <w:rsid w:val="005771AE"/>
    <w:rsid w:val="00577248"/>
    <w:rsid w:val="00577653"/>
    <w:rsid w:val="00577787"/>
    <w:rsid w:val="00577A36"/>
    <w:rsid w:val="00577BB6"/>
    <w:rsid w:val="00577BEE"/>
    <w:rsid w:val="00577CD1"/>
    <w:rsid w:val="00577D3F"/>
    <w:rsid w:val="0058039E"/>
    <w:rsid w:val="005809CA"/>
    <w:rsid w:val="00580BDC"/>
    <w:rsid w:val="00580C0A"/>
    <w:rsid w:val="00580D61"/>
    <w:rsid w:val="005810B4"/>
    <w:rsid w:val="00581372"/>
    <w:rsid w:val="005818B6"/>
    <w:rsid w:val="00581913"/>
    <w:rsid w:val="005819CB"/>
    <w:rsid w:val="00581B42"/>
    <w:rsid w:val="00582043"/>
    <w:rsid w:val="00582053"/>
    <w:rsid w:val="0058215C"/>
    <w:rsid w:val="005823CD"/>
    <w:rsid w:val="00582492"/>
    <w:rsid w:val="005828F9"/>
    <w:rsid w:val="00582994"/>
    <w:rsid w:val="00582D5D"/>
    <w:rsid w:val="00582E81"/>
    <w:rsid w:val="0058319C"/>
    <w:rsid w:val="0058327C"/>
    <w:rsid w:val="005834D1"/>
    <w:rsid w:val="00583699"/>
    <w:rsid w:val="00583ADA"/>
    <w:rsid w:val="00583D77"/>
    <w:rsid w:val="00584031"/>
    <w:rsid w:val="00584289"/>
    <w:rsid w:val="0058449A"/>
    <w:rsid w:val="005845F2"/>
    <w:rsid w:val="00584805"/>
    <w:rsid w:val="005848F5"/>
    <w:rsid w:val="00584956"/>
    <w:rsid w:val="00584B62"/>
    <w:rsid w:val="00584F74"/>
    <w:rsid w:val="00585460"/>
    <w:rsid w:val="00585641"/>
    <w:rsid w:val="00585662"/>
    <w:rsid w:val="005858DD"/>
    <w:rsid w:val="00585B9A"/>
    <w:rsid w:val="00585CDD"/>
    <w:rsid w:val="00585E98"/>
    <w:rsid w:val="00585F83"/>
    <w:rsid w:val="00586145"/>
    <w:rsid w:val="0058646C"/>
    <w:rsid w:val="00586BA4"/>
    <w:rsid w:val="00586DE6"/>
    <w:rsid w:val="00586E3C"/>
    <w:rsid w:val="00587044"/>
    <w:rsid w:val="00587058"/>
    <w:rsid w:val="005873DA"/>
    <w:rsid w:val="005875B0"/>
    <w:rsid w:val="005901B3"/>
    <w:rsid w:val="005901E8"/>
    <w:rsid w:val="005902D6"/>
    <w:rsid w:val="005903AF"/>
    <w:rsid w:val="005904F2"/>
    <w:rsid w:val="00590E2A"/>
    <w:rsid w:val="00591957"/>
    <w:rsid w:val="005919FB"/>
    <w:rsid w:val="0059205C"/>
    <w:rsid w:val="00592210"/>
    <w:rsid w:val="0059224F"/>
    <w:rsid w:val="0059236C"/>
    <w:rsid w:val="005923A8"/>
    <w:rsid w:val="00592442"/>
    <w:rsid w:val="00592593"/>
    <w:rsid w:val="00592763"/>
    <w:rsid w:val="005929AA"/>
    <w:rsid w:val="00592BAF"/>
    <w:rsid w:val="00592ED4"/>
    <w:rsid w:val="005931BF"/>
    <w:rsid w:val="005934A9"/>
    <w:rsid w:val="00593937"/>
    <w:rsid w:val="0059398F"/>
    <w:rsid w:val="00593A8D"/>
    <w:rsid w:val="00593BA5"/>
    <w:rsid w:val="00593E35"/>
    <w:rsid w:val="00593F41"/>
    <w:rsid w:val="0059403F"/>
    <w:rsid w:val="005942FB"/>
    <w:rsid w:val="00594300"/>
    <w:rsid w:val="0059433F"/>
    <w:rsid w:val="0059464B"/>
    <w:rsid w:val="00594A34"/>
    <w:rsid w:val="00594B99"/>
    <w:rsid w:val="00594C11"/>
    <w:rsid w:val="00594C6F"/>
    <w:rsid w:val="0059518B"/>
    <w:rsid w:val="00595222"/>
    <w:rsid w:val="00595358"/>
    <w:rsid w:val="005956FB"/>
    <w:rsid w:val="00595857"/>
    <w:rsid w:val="00595E54"/>
    <w:rsid w:val="005963B1"/>
    <w:rsid w:val="005963FB"/>
    <w:rsid w:val="00596C67"/>
    <w:rsid w:val="00596CF7"/>
    <w:rsid w:val="005979BE"/>
    <w:rsid w:val="00597A6E"/>
    <w:rsid w:val="00597BF9"/>
    <w:rsid w:val="00597F39"/>
    <w:rsid w:val="005A0269"/>
    <w:rsid w:val="005A0704"/>
    <w:rsid w:val="005A0906"/>
    <w:rsid w:val="005A0C11"/>
    <w:rsid w:val="005A0DAD"/>
    <w:rsid w:val="005A1176"/>
    <w:rsid w:val="005A1362"/>
    <w:rsid w:val="005A1AA2"/>
    <w:rsid w:val="005A1B29"/>
    <w:rsid w:val="005A1EA6"/>
    <w:rsid w:val="005A20C8"/>
    <w:rsid w:val="005A2949"/>
    <w:rsid w:val="005A309A"/>
    <w:rsid w:val="005A31A0"/>
    <w:rsid w:val="005A35B8"/>
    <w:rsid w:val="005A3649"/>
    <w:rsid w:val="005A36D7"/>
    <w:rsid w:val="005A373D"/>
    <w:rsid w:val="005A3E6D"/>
    <w:rsid w:val="005A465B"/>
    <w:rsid w:val="005A4FBD"/>
    <w:rsid w:val="005A51A4"/>
    <w:rsid w:val="005A528C"/>
    <w:rsid w:val="005A541D"/>
    <w:rsid w:val="005A5649"/>
    <w:rsid w:val="005A5990"/>
    <w:rsid w:val="005A6290"/>
    <w:rsid w:val="005A6873"/>
    <w:rsid w:val="005A690F"/>
    <w:rsid w:val="005A691D"/>
    <w:rsid w:val="005A6AF9"/>
    <w:rsid w:val="005A711B"/>
    <w:rsid w:val="005A7192"/>
    <w:rsid w:val="005A727F"/>
    <w:rsid w:val="005A794B"/>
    <w:rsid w:val="005A7C7E"/>
    <w:rsid w:val="005A7F74"/>
    <w:rsid w:val="005B00E1"/>
    <w:rsid w:val="005B018B"/>
    <w:rsid w:val="005B046E"/>
    <w:rsid w:val="005B0B58"/>
    <w:rsid w:val="005B0E63"/>
    <w:rsid w:val="005B1350"/>
    <w:rsid w:val="005B1591"/>
    <w:rsid w:val="005B1754"/>
    <w:rsid w:val="005B18DD"/>
    <w:rsid w:val="005B1ACF"/>
    <w:rsid w:val="005B1B0A"/>
    <w:rsid w:val="005B2004"/>
    <w:rsid w:val="005B24E3"/>
    <w:rsid w:val="005B2629"/>
    <w:rsid w:val="005B2788"/>
    <w:rsid w:val="005B2A25"/>
    <w:rsid w:val="005B2BB3"/>
    <w:rsid w:val="005B2C0F"/>
    <w:rsid w:val="005B3237"/>
    <w:rsid w:val="005B3D6B"/>
    <w:rsid w:val="005B3DC0"/>
    <w:rsid w:val="005B3F35"/>
    <w:rsid w:val="005B3F69"/>
    <w:rsid w:val="005B405E"/>
    <w:rsid w:val="005B4583"/>
    <w:rsid w:val="005B4E3C"/>
    <w:rsid w:val="005B4E53"/>
    <w:rsid w:val="005B4F34"/>
    <w:rsid w:val="005B55C4"/>
    <w:rsid w:val="005B57D5"/>
    <w:rsid w:val="005B57E6"/>
    <w:rsid w:val="005B5857"/>
    <w:rsid w:val="005B5989"/>
    <w:rsid w:val="005B610A"/>
    <w:rsid w:val="005B63F4"/>
    <w:rsid w:val="005B6586"/>
    <w:rsid w:val="005B676A"/>
    <w:rsid w:val="005B69A5"/>
    <w:rsid w:val="005B6CA6"/>
    <w:rsid w:val="005B77FF"/>
    <w:rsid w:val="005B78CB"/>
    <w:rsid w:val="005B7C83"/>
    <w:rsid w:val="005C0086"/>
    <w:rsid w:val="005C0338"/>
    <w:rsid w:val="005C03FD"/>
    <w:rsid w:val="005C0581"/>
    <w:rsid w:val="005C1593"/>
    <w:rsid w:val="005C18A8"/>
    <w:rsid w:val="005C19C4"/>
    <w:rsid w:val="005C1B83"/>
    <w:rsid w:val="005C1C60"/>
    <w:rsid w:val="005C1EF0"/>
    <w:rsid w:val="005C2322"/>
    <w:rsid w:val="005C2332"/>
    <w:rsid w:val="005C2515"/>
    <w:rsid w:val="005C25FF"/>
    <w:rsid w:val="005C2C9E"/>
    <w:rsid w:val="005C2D55"/>
    <w:rsid w:val="005C323B"/>
    <w:rsid w:val="005C346B"/>
    <w:rsid w:val="005C3A61"/>
    <w:rsid w:val="005C3ADD"/>
    <w:rsid w:val="005C3E2E"/>
    <w:rsid w:val="005C4592"/>
    <w:rsid w:val="005C45B4"/>
    <w:rsid w:val="005C49A5"/>
    <w:rsid w:val="005C4C1E"/>
    <w:rsid w:val="005C51FA"/>
    <w:rsid w:val="005C53E0"/>
    <w:rsid w:val="005C56B3"/>
    <w:rsid w:val="005C5ABC"/>
    <w:rsid w:val="005C5AC0"/>
    <w:rsid w:val="005C63ED"/>
    <w:rsid w:val="005C643F"/>
    <w:rsid w:val="005C64F4"/>
    <w:rsid w:val="005C66E2"/>
    <w:rsid w:val="005C6A1D"/>
    <w:rsid w:val="005C6E11"/>
    <w:rsid w:val="005C7138"/>
    <w:rsid w:val="005C7D03"/>
    <w:rsid w:val="005D044D"/>
    <w:rsid w:val="005D0512"/>
    <w:rsid w:val="005D09C6"/>
    <w:rsid w:val="005D0ABD"/>
    <w:rsid w:val="005D0B3C"/>
    <w:rsid w:val="005D1707"/>
    <w:rsid w:val="005D18AD"/>
    <w:rsid w:val="005D18B9"/>
    <w:rsid w:val="005D1AF8"/>
    <w:rsid w:val="005D1D42"/>
    <w:rsid w:val="005D1FD6"/>
    <w:rsid w:val="005D26B4"/>
    <w:rsid w:val="005D2761"/>
    <w:rsid w:val="005D28AD"/>
    <w:rsid w:val="005D2DDF"/>
    <w:rsid w:val="005D30E6"/>
    <w:rsid w:val="005D37AB"/>
    <w:rsid w:val="005D3988"/>
    <w:rsid w:val="005D41E0"/>
    <w:rsid w:val="005D4259"/>
    <w:rsid w:val="005D43A6"/>
    <w:rsid w:val="005D49AD"/>
    <w:rsid w:val="005D4D65"/>
    <w:rsid w:val="005D4FA6"/>
    <w:rsid w:val="005D50B4"/>
    <w:rsid w:val="005D549B"/>
    <w:rsid w:val="005D5673"/>
    <w:rsid w:val="005D588E"/>
    <w:rsid w:val="005D5900"/>
    <w:rsid w:val="005D5FB2"/>
    <w:rsid w:val="005D6152"/>
    <w:rsid w:val="005D639C"/>
    <w:rsid w:val="005D653A"/>
    <w:rsid w:val="005D65BE"/>
    <w:rsid w:val="005D6711"/>
    <w:rsid w:val="005D6C2C"/>
    <w:rsid w:val="005D6D9D"/>
    <w:rsid w:val="005D728B"/>
    <w:rsid w:val="005D733B"/>
    <w:rsid w:val="005D77FA"/>
    <w:rsid w:val="005D7891"/>
    <w:rsid w:val="005D7CF6"/>
    <w:rsid w:val="005D7DC6"/>
    <w:rsid w:val="005E05E8"/>
    <w:rsid w:val="005E05F8"/>
    <w:rsid w:val="005E0867"/>
    <w:rsid w:val="005E08D3"/>
    <w:rsid w:val="005E0B74"/>
    <w:rsid w:val="005E0C85"/>
    <w:rsid w:val="005E1075"/>
    <w:rsid w:val="005E1414"/>
    <w:rsid w:val="005E1898"/>
    <w:rsid w:val="005E1995"/>
    <w:rsid w:val="005E2102"/>
    <w:rsid w:val="005E214F"/>
    <w:rsid w:val="005E2342"/>
    <w:rsid w:val="005E2573"/>
    <w:rsid w:val="005E295C"/>
    <w:rsid w:val="005E2A52"/>
    <w:rsid w:val="005E367F"/>
    <w:rsid w:val="005E3920"/>
    <w:rsid w:val="005E393C"/>
    <w:rsid w:val="005E43F7"/>
    <w:rsid w:val="005E4490"/>
    <w:rsid w:val="005E4E2B"/>
    <w:rsid w:val="005E4EA6"/>
    <w:rsid w:val="005E4F5D"/>
    <w:rsid w:val="005E5030"/>
    <w:rsid w:val="005E504A"/>
    <w:rsid w:val="005E51D1"/>
    <w:rsid w:val="005E587C"/>
    <w:rsid w:val="005E5E3E"/>
    <w:rsid w:val="005E5FD9"/>
    <w:rsid w:val="005E6220"/>
    <w:rsid w:val="005E6CBC"/>
    <w:rsid w:val="005E6DBB"/>
    <w:rsid w:val="005E6FB0"/>
    <w:rsid w:val="005E72FF"/>
    <w:rsid w:val="005E73C0"/>
    <w:rsid w:val="005E7BE3"/>
    <w:rsid w:val="005E7D0B"/>
    <w:rsid w:val="005E7D71"/>
    <w:rsid w:val="005E7E32"/>
    <w:rsid w:val="005F0104"/>
    <w:rsid w:val="005F0115"/>
    <w:rsid w:val="005F013D"/>
    <w:rsid w:val="005F028D"/>
    <w:rsid w:val="005F0616"/>
    <w:rsid w:val="005F0677"/>
    <w:rsid w:val="005F07ED"/>
    <w:rsid w:val="005F0900"/>
    <w:rsid w:val="005F0C43"/>
    <w:rsid w:val="005F1489"/>
    <w:rsid w:val="005F1BF6"/>
    <w:rsid w:val="005F1F7B"/>
    <w:rsid w:val="005F2013"/>
    <w:rsid w:val="005F21BE"/>
    <w:rsid w:val="005F25C0"/>
    <w:rsid w:val="005F2706"/>
    <w:rsid w:val="005F2E37"/>
    <w:rsid w:val="005F314E"/>
    <w:rsid w:val="005F3373"/>
    <w:rsid w:val="005F376B"/>
    <w:rsid w:val="005F38A0"/>
    <w:rsid w:val="005F3A19"/>
    <w:rsid w:val="005F3D6A"/>
    <w:rsid w:val="005F3D71"/>
    <w:rsid w:val="005F41D1"/>
    <w:rsid w:val="005F442E"/>
    <w:rsid w:val="005F45C2"/>
    <w:rsid w:val="005F493B"/>
    <w:rsid w:val="005F4C5D"/>
    <w:rsid w:val="005F4E13"/>
    <w:rsid w:val="005F5147"/>
    <w:rsid w:val="005F557D"/>
    <w:rsid w:val="005F5989"/>
    <w:rsid w:val="005F5B15"/>
    <w:rsid w:val="005F5CD4"/>
    <w:rsid w:val="005F5FFB"/>
    <w:rsid w:val="005F67DE"/>
    <w:rsid w:val="005F6A8F"/>
    <w:rsid w:val="005F6BB7"/>
    <w:rsid w:val="005F713B"/>
    <w:rsid w:val="005F7588"/>
    <w:rsid w:val="005F7732"/>
    <w:rsid w:val="005F77D5"/>
    <w:rsid w:val="005F7DF9"/>
    <w:rsid w:val="00600554"/>
    <w:rsid w:val="00600667"/>
    <w:rsid w:val="00600A75"/>
    <w:rsid w:val="00600F1F"/>
    <w:rsid w:val="00601427"/>
    <w:rsid w:val="00601A74"/>
    <w:rsid w:val="00601B4A"/>
    <w:rsid w:val="00601C68"/>
    <w:rsid w:val="00602003"/>
    <w:rsid w:val="00602399"/>
    <w:rsid w:val="006024ED"/>
    <w:rsid w:val="006027A3"/>
    <w:rsid w:val="006028D3"/>
    <w:rsid w:val="00602915"/>
    <w:rsid w:val="00602A59"/>
    <w:rsid w:val="00602DE4"/>
    <w:rsid w:val="006033C0"/>
    <w:rsid w:val="006034EF"/>
    <w:rsid w:val="006036E5"/>
    <w:rsid w:val="006036EA"/>
    <w:rsid w:val="006038B3"/>
    <w:rsid w:val="00603AD5"/>
    <w:rsid w:val="00603CB3"/>
    <w:rsid w:val="00603DB9"/>
    <w:rsid w:val="00603E86"/>
    <w:rsid w:val="00604162"/>
    <w:rsid w:val="006047B4"/>
    <w:rsid w:val="006051AB"/>
    <w:rsid w:val="006056D3"/>
    <w:rsid w:val="00605775"/>
    <w:rsid w:val="006057BB"/>
    <w:rsid w:val="00605D74"/>
    <w:rsid w:val="00605D90"/>
    <w:rsid w:val="0060608D"/>
    <w:rsid w:val="00606964"/>
    <w:rsid w:val="00606B78"/>
    <w:rsid w:val="00606CC1"/>
    <w:rsid w:val="00606F0B"/>
    <w:rsid w:val="00606FBA"/>
    <w:rsid w:val="00607669"/>
    <w:rsid w:val="006076F4"/>
    <w:rsid w:val="0060791D"/>
    <w:rsid w:val="00607A0E"/>
    <w:rsid w:val="00607AFD"/>
    <w:rsid w:val="006107AF"/>
    <w:rsid w:val="00610D66"/>
    <w:rsid w:val="00610EA0"/>
    <w:rsid w:val="00610FB7"/>
    <w:rsid w:val="00610FEC"/>
    <w:rsid w:val="00611247"/>
    <w:rsid w:val="00611289"/>
    <w:rsid w:val="0061165A"/>
    <w:rsid w:val="0061187A"/>
    <w:rsid w:val="0061189F"/>
    <w:rsid w:val="0061198B"/>
    <w:rsid w:val="00611A10"/>
    <w:rsid w:val="00611B12"/>
    <w:rsid w:val="00611C7C"/>
    <w:rsid w:val="00611DDB"/>
    <w:rsid w:val="00611DED"/>
    <w:rsid w:val="00611E07"/>
    <w:rsid w:val="00611F8C"/>
    <w:rsid w:val="006123E8"/>
    <w:rsid w:val="006126CF"/>
    <w:rsid w:val="00612848"/>
    <w:rsid w:val="00612849"/>
    <w:rsid w:val="00612B00"/>
    <w:rsid w:val="00612E06"/>
    <w:rsid w:val="00612F97"/>
    <w:rsid w:val="0061345D"/>
    <w:rsid w:val="006136A6"/>
    <w:rsid w:val="006137A0"/>
    <w:rsid w:val="00614386"/>
    <w:rsid w:val="0061444E"/>
    <w:rsid w:val="006145E1"/>
    <w:rsid w:val="00614B68"/>
    <w:rsid w:val="00614E7B"/>
    <w:rsid w:val="0061549B"/>
    <w:rsid w:val="00615527"/>
    <w:rsid w:val="00615703"/>
    <w:rsid w:val="00615841"/>
    <w:rsid w:val="006158A4"/>
    <w:rsid w:val="00615A93"/>
    <w:rsid w:val="00615ED0"/>
    <w:rsid w:val="00615F08"/>
    <w:rsid w:val="00616011"/>
    <w:rsid w:val="00616211"/>
    <w:rsid w:val="006162E6"/>
    <w:rsid w:val="00616802"/>
    <w:rsid w:val="0061717D"/>
    <w:rsid w:val="006171BD"/>
    <w:rsid w:val="0061745D"/>
    <w:rsid w:val="00617E12"/>
    <w:rsid w:val="00620386"/>
    <w:rsid w:val="006207FA"/>
    <w:rsid w:val="00620B61"/>
    <w:rsid w:val="00620C25"/>
    <w:rsid w:val="00621111"/>
    <w:rsid w:val="0062141B"/>
    <w:rsid w:val="00621477"/>
    <w:rsid w:val="006217C7"/>
    <w:rsid w:val="006217FE"/>
    <w:rsid w:val="00621A48"/>
    <w:rsid w:val="00621ADA"/>
    <w:rsid w:val="00622038"/>
    <w:rsid w:val="00622047"/>
    <w:rsid w:val="00622312"/>
    <w:rsid w:val="00622412"/>
    <w:rsid w:val="006229F8"/>
    <w:rsid w:val="00622AC1"/>
    <w:rsid w:val="00623056"/>
    <w:rsid w:val="00623661"/>
    <w:rsid w:val="00623AF4"/>
    <w:rsid w:val="00623F7B"/>
    <w:rsid w:val="00624891"/>
    <w:rsid w:val="00624BD4"/>
    <w:rsid w:val="00624D78"/>
    <w:rsid w:val="00624E4F"/>
    <w:rsid w:val="00624EFA"/>
    <w:rsid w:val="006254AD"/>
    <w:rsid w:val="00625579"/>
    <w:rsid w:val="00625A09"/>
    <w:rsid w:val="00625BDA"/>
    <w:rsid w:val="00625F56"/>
    <w:rsid w:val="00626049"/>
    <w:rsid w:val="00626878"/>
    <w:rsid w:val="00626CB9"/>
    <w:rsid w:val="006273AD"/>
    <w:rsid w:val="00627749"/>
    <w:rsid w:val="00627AD7"/>
    <w:rsid w:val="00627B29"/>
    <w:rsid w:val="00627B6C"/>
    <w:rsid w:val="00627BE4"/>
    <w:rsid w:val="00627C8B"/>
    <w:rsid w:val="00627D9C"/>
    <w:rsid w:val="006300C5"/>
    <w:rsid w:val="006301B1"/>
    <w:rsid w:val="0063026A"/>
    <w:rsid w:val="00630378"/>
    <w:rsid w:val="006303D4"/>
    <w:rsid w:val="0063066E"/>
    <w:rsid w:val="0063070E"/>
    <w:rsid w:val="00630908"/>
    <w:rsid w:val="00630C92"/>
    <w:rsid w:val="00630E38"/>
    <w:rsid w:val="006313D1"/>
    <w:rsid w:val="0063158F"/>
    <w:rsid w:val="00631623"/>
    <w:rsid w:val="00631891"/>
    <w:rsid w:val="00631B0A"/>
    <w:rsid w:val="00631D6B"/>
    <w:rsid w:val="00631E35"/>
    <w:rsid w:val="00632183"/>
    <w:rsid w:val="006323AD"/>
    <w:rsid w:val="006324A2"/>
    <w:rsid w:val="006325CB"/>
    <w:rsid w:val="0063274B"/>
    <w:rsid w:val="0063284A"/>
    <w:rsid w:val="00632991"/>
    <w:rsid w:val="00632F3D"/>
    <w:rsid w:val="006330A1"/>
    <w:rsid w:val="006334F5"/>
    <w:rsid w:val="006335F6"/>
    <w:rsid w:val="0063375C"/>
    <w:rsid w:val="00633906"/>
    <w:rsid w:val="00633945"/>
    <w:rsid w:val="00633ABD"/>
    <w:rsid w:val="00633DD9"/>
    <w:rsid w:val="00633FED"/>
    <w:rsid w:val="0063407B"/>
    <w:rsid w:val="0063467A"/>
    <w:rsid w:val="0063479F"/>
    <w:rsid w:val="006348E2"/>
    <w:rsid w:val="0063530B"/>
    <w:rsid w:val="006353F0"/>
    <w:rsid w:val="006357B5"/>
    <w:rsid w:val="0063607A"/>
    <w:rsid w:val="0063621F"/>
    <w:rsid w:val="006364A1"/>
    <w:rsid w:val="006366A6"/>
    <w:rsid w:val="0063678E"/>
    <w:rsid w:val="00637568"/>
    <w:rsid w:val="006376FB"/>
    <w:rsid w:val="0063781A"/>
    <w:rsid w:val="00637984"/>
    <w:rsid w:val="0063798E"/>
    <w:rsid w:val="00637BFD"/>
    <w:rsid w:val="00637C5C"/>
    <w:rsid w:val="00637F6F"/>
    <w:rsid w:val="00640379"/>
    <w:rsid w:val="00640B15"/>
    <w:rsid w:val="00640C8E"/>
    <w:rsid w:val="0064121B"/>
    <w:rsid w:val="0064125D"/>
    <w:rsid w:val="006417F8"/>
    <w:rsid w:val="006419DA"/>
    <w:rsid w:val="00641C4E"/>
    <w:rsid w:val="00641E68"/>
    <w:rsid w:val="00641FB3"/>
    <w:rsid w:val="006422E5"/>
    <w:rsid w:val="00642613"/>
    <w:rsid w:val="0064269E"/>
    <w:rsid w:val="00642775"/>
    <w:rsid w:val="00642794"/>
    <w:rsid w:val="006428B1"/>
    <w:rsid w:val="00642983"/>
    <w:rsid w:val="00642F61"/>
    <w:rsid w:val="00643470"/>
    <w:rsid w:val="006434AB"/>
    <w:rsid w:val="00643A2A"/>
    <w:rsid w:val="00643BB8"/>
    <w:rsid w:val="00643CC9"/>
    <w:rsid w:val="00643D30"/>
    <w:rsid w:val="006440B2"/>
    <w:rsid w:val="0064434C"/>
    <w:rsid w:val="006444B7"/>
    <w:rsid w:val="006447F1"/>
    <w:rsid w:val="006449B7"/>
    <w:rsid w:val="0064502E"/>
    <w:rsid w:val="00645349"/>
    <w:rsid w:val="006453B7"/>
    <w:rsid w:val="006454C6"/>
    <w:rsid w:val="00645563"/>
    <w:rsid w:val="00645855"/>
    <w:rsid w:val="00645AA9"/>
    <w:rsid w:val="00645B86"/>
    <w:rsid w:val="00645D22"/>
    <w:rsid w:val="006465D0"/>
    <w:rsid w:val="006466FE"/>
    <w:rsid w:val="0064677B"/>
    <w:rsid w:val="00646999"/>
    <w:rsid w:val="00646E80"/>
    <w:rsid w:val="006471C1"/>
    <w:rsid w:val="006471CC"/>
    <w:rsid w:val="006472FE"/>
    <w:rsid w:val="006477D1"/>
    <w:rsid w:val="00647A29"/>
    <w:rsid w:val="00647BC2"/>
    <w:rsid w:val="00650409"/>
    <w:rsid w:val="0065079F"/>
    <w:rsid w:val="006507C0"/>
    <w:rsid w:val="006507F0"/>
    <w:rsid w:val="006509D1"/>
    <w:rsid w:val="00650EF8"/>
    <w:rsid w:val="006513D3"/>
    <w:rsid w:val="0065154B"/>
    <w:rsid w:val="0065170D"/>
    <w:rsid w:val="00651729"/>
    <w:rsid w:val="00651FDE"/>
    <w:rsid w:val="00651FE3"/>
    <w:rsid w:val="006524F2"/>
    <w:rsid w:val="00652858"/>
    <w:rsid w:val="00652A28"/>
    <w:rsid w:val="00652B2B"/>
    <w:rsid w:val="006530C9"/>
    <w:rsid w:val="00653162"/>
    <w:rsid w:val="00653321"/>
    <w:rsid w:val="006533F7"/>
    <w:rsid w:val="00653539"/>
    <w:rsid w:val="006536B2"/>
    <w:rsid w:val="0065379F"/>
    <w:rsid w:val="00653C5E"/>
    <w:rsid w:val="00654B87"/>
    <w:rsid w:val="00654DBB"/>
    <w:rsid w:val="00654F89"/>
    <w:rsid w:val="00654FA7"/>
    <w:rsid w:val="006550DF"/>
    <w:rsid w:val="00655708"/>
    <w:rsid w:val="00655868"/>
    <w:rsid w:val="006558A3"/>
    <w:rsid w:val="006559E7"/>
    <w:rsid w:val="00655BA1"/>
    <w:rsid w:val="00655CCC"/>
    <w:rsid w:val="00655EC5"/>
    <w:rsid w:val="00656188"/>
    <w:rsid w:val="00656286"/>
    <w:rsid w:val="00656D42"/>
    <w:rsid w:val="00656EA6"/>
    <w:rsid w:val="0065715A"/>
    <w:rsid w:val="00657390"/>
    <w:rsid w:val="0065756E"/>
    <w:rsid w:val="00657BC8"/>
    <w:rsid w:val="0066009D"/>
    <w:rsid w:val="0066076D"/>
    <w:rsid w:val="006609B7"/>
    <w:rsid w:val="00660C69"/>
    <w:rsid w:val="00660DD7"/>
    <w:rsid w:val="00660FE2"/>
    <w:rsid w:val="006610C9"/>
    <w:rsid w:val="006610F1"/>
    <w:rsid w:val="00661197"/>
    <w:rsid w:val="006613D8"/>
    <w:rsid w:val="00661520"/>
    <w:rsid w:val="006616C2"/>
    <w:rsid w:val="00661A48"/>
    <w:rsid w:val="00661C6B"/>
    <w:rsid w:val="00661ED9"/>
    <w:rsid w:val="006624BB"/>
    <w:rsid w:val="00662505"/>
    <w:rsid w:val="00662D3E"/>
    <w:rsid w:val="00663226"/>
    <w:rsid w:val="006634F5"/>
    <w:rsid w:val="00663B37"/>
    <w:rsid w:val="00663CB8"/>
    <w:rsid w:val="00663D29"/>
    <w:rsid w:val="00663F99"/>
    <w:rsid w:val="00664026"/>
    <w:rsid w:val="00664350"/>
    <w:rsid w:val="00664666"/>
    <w:rsid w:val="00664C2D"/>
    <w:rsid w:val="00664E33"/>
    <w:rsid w:val="006650BA"/>
    <w:rsid w:val="00665B15"/>
    <w:rsid w:val="00665F08"/>
    <w:rsid w:val="00666A51"/>
    <w:rsid w:val="00666B03"/>
    <w:rsid w:val="00666C4C"/>
    <w:rsid w:val="00666CCB"/>
    <w:rsid w:val="00666D61"/>
    <w:rsid w:val="00666E45"/>
    <w:rsid w:val="0066706E"/>
    <w:rsid w:val="00667203"/>
    <w:rsid w:val="00667BE3"/>
    <w:rsid w:val="00667D6C"/>
    <w:rsid w:val="00667F7B"/>
    <w:rsid w:val="00670319"/>
    <w:rsid w:val="0067040D"/>
    <w:rsid w:val="00670500"/>
    <w:rsid w:val="00670BD2"/>
    <w:rsid w:val="00670E5D"/>
    <w:rsid w:val="00670EFC"/>
    <w:rsid w:val="00671004"/>
    <w:rsid w:val="006714BC"/>
    <w:rsid w:val="00671B91"/>
    <w:rsid w:val="00672646"/>
    <w:rsid w:val="006731B7"/>
    <w:rsid w:val="0067320F"/>
    <w:rsid w:val="006738A4"/>
    <w:rsid w:val="00673D59"/>
    <w:rsid w:val="006740E5"/>
    <w:rsid w:val="006742F8"/>
    <w:rsid w:val="00674483"/>
    <w:rsid w:val="0067471A"/>
    <w:rsid w:val="0067471D"/>
    <w:rsid w:val="0067479B"/>
    <w:rsid w:val="0067487C"/>
    <w:rsid w:val="00674BB8"/>
    <w:rsid w:val="00674E42"/>
    <w:rsid w:val="0067506B"/>
    <w:rsid w:val="00675153"/>
    <w:rsid w:val="0067524E"/>
    <w:rsid w:val="00675312"/>
    <w:rsid w:val="00675B79"/>
    <w:rsid w:val="00675DE8"/>
    <w:rsid w:val="00675E4C"/>
    <w:rsid w:val="00675F67"/>
    <w:rsid w:val="0067614A"/>
    <w:rsid w:val="0067617B"/>
    <w:rsid w:val="00676563"/>
    <w:rsid w:val="00676598"/>
    <w:rsid w:val="00676836"/>
    <w:rsid w:val="00676A65"/>
    <w:rsid w:val="00676B5A"/>
    <w:rsid w:val="00676B91"/>
    <w:rsid w:val="00676FEA"/>
    <w:rsid w:val="00677465"/>
    <w:rsid w:val="00677AFE"/>
    <w:rsid w:val="00677B40"/>
    <w:rsid w:val="00677B43"/>
    <w:rsid w:val="00680386"/>
    <w:rsid w:val="00680BC1"/>
    <w:rsid w:val="00680EB6"/>
    <w:rsid w:val="00680F38"/>
    <w:rsid w:val="00680F69"/>
    <w:rsid w:val="006811CE"/>
    <w:rsid w:val="006813F8"/>
    <w:rsid w:val="0068188C"/>
    <w:rsid w:val="00681948"/>
    <w:rsid w:val="00681FC3"/>
    <w:rsid w:val="00681FF8"/>
    <w:rsid w:val="00682112"/>
    <w:rsid w:val="00682287"/>
    <w:rsid w:val="0068238A"/>
    <w:rsid w:val="00682693"/>
    <w:rsid w:val="006827F3"/>
    <w:rsid w:val="00682850"/>
    <w:rsid w:val="00682991"/>
    <w:rsid w:val="006829CE"/>
    <w:rsid w:val="00682BA6"/>
    <w:rsid w:val="00682C41"/>
    <w:rsid w:val="00683348"/>
    <w:rsid w:val="00683833"/>
    <w:rsid w:val="00683E9A"/>
    <w:rsid w:val="00683EF7"/>
    <w:rsid w:val="00683F7C"/>
    <w:rsid w:val="006843D9"/>
    <w:rsid w:val="00684532"/>
    <w:rsid w:val="00684AF0"/>
    <w:rsid w:val="00684D6B"/>
    <w:rsid w:val="0068504B"/>
    <w:rsid w:val="00685156"/>
    <w:rsid w:val="006851C5"/>
    <w:rsid w:val="0068545D"/>
    <w:rsid w:val="0068583E"/>
    <w:rsid w:val="00685DEC"/>
    <w:rsid w:val="00686587"/>
    <w:rsid w:val="00686957"/>
    <w:rsid w:val="00686E93"/>
    <w:rsid w:val="00686E97"/>
    <w:rsid w:val="00686F7B"/>
    <w:rsid w:val="00686F91"/>
    <w:rsid w:val="006872BA"/>
    <w:rsid w:val="0068769F"/>
    <w:rsid w:val="00687C8B"/>
    <w:rsid w:val="00687E65"/>
    <w:rsid w:val="00690174"/>
    <w:rsid w:val="00690214"/>
    <w:rsid w:val="00690664"/>
    <w:rsid w:val="00690795"/>
    <w:rsid w:val="006909A9"/>
    <w:rsid w:val="00690A2F"/>
    <w:rsid w:val="00690C01"/>
    <w:rsid w:val="00690CAD"/>
    <w:rsid w:val="00691153"/>
    <w:rsid w:val="006913A2"/>
    <w:rsid w:val="00691438"/>
    <w:rsid w:val="00691648"/>
    <w:rsid w:val="00691747"/>
    <w:rsid w:val="006917D7"/>
    <w:rsid w:val="00691872"/>
    <w:rsid w:val="00691C05"/>
    <w:rsid w:val="00691DCE"/>
    <w:rsid w:val="0069273E"/>
    <w:rsid w:val="006927D7"/>
    <w:rsid w:val="00692CB8"/>
    <w:rsid w:val="00692CE2"/>
    <w:rsid w:val="00692D2F"/>
    <w:rsid w:val="00692E3D"/>
    <w:rsid w:val="006937FC"/>
    <w:rsid w:val="00693871"/>
    <w:rsid w:val="00693948"/>
    <w:rsid w:val="00693BF0"/>
    <w:rsid w:val="00693DCF"/>
    <w:rsid w:val="0069434C"/>
    <w:rsid w:val="00694B93"/>
    <w:rsid w:val="00694F09"/>
    <w:rsid w:val="00694F44"/>
    <w:rsid w:val="006953A7"/>
    <w:rsid w:val="0069540F"/>
    <w:rsid w:val="00695606"/>
    <w:rsid w:val="006957FE"/>
    <w:rsid w:val="00695A81"/>
    <w:rsid w:val="00695A98"/>
    <w:rsid w:val="00695D5D"/>
    <w:rsid w:val="00696381"/>
    <w:rsid w:val="00696607"/>
    <w:rsid w:val="006968CB"/>
    <w:rsid w:val="0069697A"/>
    <w:rsid w:val="00696EF9"/>
    <w:rsid w:val="00696F2B"/>
    <w:rsid w:val="00696F51"/>
    <w:rsid w:val="0069773A"/>
    <w:rsid w:val="006977FC"/>
    <w:rsid w:val="0069782E"/>
    <w:rsid w:val="006979A5"/>
    <w:rsid w:val="006979CF"/>
    <w:rsid w:val="00697BF6"/>
    <w:rsid w:val="00697F09"/>
    <w:rsid w:val="00697FC1"/>
    <w:rsid w:val="006A016F"/>
    <w:rsid w:val="006A052C"/>
    <w:rsid w:val="006A052D"/>
    <w:rsid w:val="006A0619"/>
    <w:rsid w:val="006A069F"/>
    <w:rsid w:val="006A06DA"/>
    <w:rsid w:val="006A0A10"/>
    <w:rsid w:val="006A0DF7"/>
    <w:rsid w:val="006A107B"/>
    <w:rsid w:val="006A17B0"/>
    <w:rsid w:val="006A1996"/>
    <w:rsid w:val="006A1A9D"/>
    <w:rsid w:val="006A2517"/>
    <w:rsid w:val="006A276A"/>
    <w:rsid w:val="006A3192"/>
    <w:rsid w:val="006A3285"/>
    <w:rsid w:val="006A371F"/>
    <w:rsid w:val="006A380B"/>
    <w:rsid w:val="006A39D8"/>
    <w:rsid w:val="006A3F35"/>
    <w:rsid w:val="006A3FA5"/>
    <w:rsid w:val="006A4321"/>
    <w:rsid w:val="006A43D9"/>
    <w:rsid w:val="006A4643"/>
    <w:rsid w:val="006A4711"/>
    <w:rsid w:val="006A4735"/>
    <w:rsid w:val="006A47EA"/>
    <w:rsid w:val="006A48E9"/>
    <w:rsid w:val="006A4CB4"/>
    <w:rsid w:val="006A4D49"/>
    <w:rsid w:val="006A4EDF"/>
    <w:rsid w:val="006A51AB"/>
    <w:rsid w:val="006A5334"/>
    <w:rsid w:val="006A595D"/>
    <w:rsid w:val="006A5ABF"/>
    <w:rsid w:val="006A611A"/>
    <w:rsid w:val="006A61EE"/>
    <w:rsid w:val="006A61EF"/>
    <w:rsid w:val="006A6679"/>
    <w:rsid w:val="006A6B99"/>
    <w:rsid w:val="006A6BF3"/>
    <w:rsid w:val="006A74AF"/>
    <w:rsid w:val="006A7688"/>
    <w:rsid w:val="006A7C67"/>
    <w:rsid w:val="006A7E5F"/>
    <w:rsid w:val="006A7EC0"/>
    <w:rsid w:val="006A7FAF"/>
    <w:rsid w:val="006B023E"/>
    <w:rsid w:val="006B07C6"/>
    <w:rsid w:val="006B12B2"/>
    <w:rsid w:val="006B142E"/>
    <w:rsid w:val="006B151F"/>
    <w:rsid w:val="006B18C1"/>
    <w:rsid w:val="006B1C0C"/>
    <w:rsid w:val="006B20FD"/>
    <w:rsid w:val="006B261B"/>
    <w:rsid w:val="006B2BBE"/>
    <w:rsid w:val="006B2C90"/>
    <w:rsid w:val="006B2EC9"/>
    <w:rsid w:val="006B3286"/>
    <w:rsid w:val="006B3547"/>
    <w:rsid w:val="006B355F"/>
    <w:rsid w:val="006B35E6"/>
    <w:rsid w:val="006B3707"/>
    <w:rsid w:val="006B3F09"/>
    <w:rsid w:val="006B4055"/>
    <w:rsid w:val="006B40AE"/>
    <w:rsid w:val="006B465A"/>
    <w:rsid w:val="006B46B8"/>
    <w:rsid w:val="006B489A"/>
    <w:rsid w:val="006B4AB8"/>
    <w:rsid w:val="006B4BA4"/>
    <w:rsid w:val="006B4D7A"/>
    <w:rsid w:val="006B4E17"/>
    <w:rsid w:val="006B4E4E"/>
    <w:rsid w:val="006B5696"/>
    <w:rsid w:val="006B5B57"/>
    <w:rsid w:val="006B5F5B"/>
    <w:rsid w:val="006B6015"/>
    <w:rsid w:val="006B6930"/>
    <w:rsid w:val="006B6DD0"/>
    <w:rsid w:val="006B7891"/>
    <w:rsid w:val="006B7A66"/>
    <w:rsid w:val="006B7BA5"/>
    <w:rsid w:val="006B7CF7"/>
    <w:rsid w:val="006B7E22"/>
    <w:rsid w:val="006C0399"/>
    <w:rsid w:val="006C0A42"/>
    <w:rsid w:val="006C0A46"/>
    <w:rsid w:val="006C0A4F"/>
    <w:rsid w:val="006C1907"/>
    <w:rsid w:val="006C1D30"/>
    <w:rsid w:val="006C1D35"/>
    <w:rsid w:val="006C1ED3"/>
    <w:rsid w:val="006C2090"/>
    <w:rsid w:val="006C2177"/>
    <w:rsid w:val="006C24F5"/>
    <w:rsid w:val="006C27A3"/>
    <w:rsid w:val="006C2A8E"/>
    <w:rsid w:val="006C2C63"/>
    <w:rsid w:val="006C2D28"/>
    <w:rsid w:val="006C2D52"/>
    <w:rsid w:val="006C2F17"/>
    <w:rsid w:val="006C2F51"/>
    <w:rsid w:val="006C2F75"/>
    <w:rsid w:val="006C3111"/>
    <w:rsid w:val="006C3255"/>
    <w:rsid w:val="006C3952"/>
    <w:rsid w:val="006C3E3D"/>
    <w:rsid w:val="006C3F26"/>
    <w:rsid w:val="006C41DD"/>
    <w:rsid w:val="006C44C8"/>
    <w:rsid w:val="006C48CD"/>
    <w:rsid w:val="006C4C72"/>
    <w:rsid w:val="006C4D60"/>
    <w:rsid w:val="006C579B"/>
    <w:rsid w:val="006C626B"/>
    <w:rsid w:val="006C62C4"/>
    <w:rsid w:val="006C6383"/>
    <w:rsid w:val="006C6651"/>
    <w:rsid w:val="006C6CF7"/>
    <w:rsid w:val="006C6F3A"/>
    <w:rsid w:val="006C714C"/>
    <w:rsid w:val="006C71C5"/>
    <w:rsid w:val="006C727C"/>
    <w:rsid w:val="006C7427"/>
    <w:rsid w:val="006C7CF8"/>
    <w:rsid w:val="006D0365"/>
    <w:rsid w:val="006D0705"/>
    <w:rsid w:val="006D0A89"/>
    <w:rsid w:val="006D0AB0"/>
    <w:rsid w:val="006D0B80"/>
    <w:rsid w:val="006D0C37"/>
    <w:rsid w:val="006D0D17"/>
    <w:rsid w:val="006D1804"/>
    <w:rsid w:val="006D1819"/>
    <w:rsid w:val="006D1F32"/>
    <w:rsid w:val="006D2000"/>
    <w:rsid w:val="006D209A"/>
    <w:rsid w:val="006D2125"/>
    <w:rsid w:val="006D263E"/>
    <w:rsid w:val="006D2DD4"/>
    <w:rsid w:val="006D31B6"/>
    <w:rsid w:val="006D32E2"/>
    <w:rsid w:val="006D35B7"/>
    <w:rsid w:val="006D39D1"/>
    <w:rsid w:val="006D3B9C"/>
    <w:rsid w:val="006D3C7D"/>
    <w:rsid w:val="006D3CF7"/>
    <w:rsid w:val="006D4114"/>
    <w:rsid w:val="006D4344"/>
    <w:rsid w:val="006D4659"/>
    <w:rsid w:val="006D4A81"/>
    <w:rsid w:val="006D4AD9"/>
    <w:rsid w:val="006D4C06"/>
    <w:rsid w:val="006D4DF6"/>
    <w:rsid w:val="006D4EC7"/>
    <w:rsid w:val="006D522B"/>
    <w:rsid w:val="006D53D8"/>
    <w:rsid w:val="006D57D2"/>
    <w:rsid w:val="006D5AE9"/>
    <w:rsid w:val="006D5BDF"/>
    <w:rsid w:val="006D5D5F"/>
    <w:rsid w:val="006D68FB"/>
    <w:rsid w:val="006D6952"/>
    <w:rsid w:val="006D6EF3"/>
    <w:rsid w:val="006D6FEF"/>
    <w:rsid w:val="006D70D1"/>
    <w:rsid w:val="006D7418"/>
    <w:rsid w:val="006D76B5"/>
    <w:rsid w:val="006D7792"/>
    <w:rsid w:val="006D7CCD"/>
    <w:rsid w:val="006D7F7F"/>
    <w:rsid w:val="006E0029"/>
    <w:rsid w:val="006E0067"/>
    <w:rsid w:val="006E0079"/>
    <w:rsid w:val="006E0386"/>
    <w:rsid w:val="006E06D9"/>
    <w:rsid w:val="006E0B2F"/>
    <w:rsid w:val="006E13F0"/>
    <w:rsid w:val="006E14A1"/>
    <w:rsid w:val="006E18F3"/>
    <w:rsid w:val="006E20EE"/>
    <w:rsid w:val="006E21F6"/>
    <w:rsid w:val="006E2868"/>
    <w:rsid w:val="006E2884"/>
    <w:rsid w:val="006E2E18"/>
    <w:rsid w:val="006E305C"/>
    <w:rsid w:val="006E3360"/>
    <w:rsid w:val="006E3A00"/>
    <w:rsid w:val="006E4260"/>
    <w:rsid w:val="006E42D4"/>
    <w:rsid w:val="006E4428"/>
    <w:rsid w:val="006E48CD"/>
    <w:rsid w:val="006E4BEC"/>
    <w:rsid w:val="006E4E38"/>
    <w:rsid w:val="006E5A87"/>
    <w:rsid w:val="006E5B6B"/>
    <w:rsid w:val="006E5BB8"/>
    <w:rsid w:val="006E5CDD"/>
    <w:rsid w:val="006E6447"/>
    <w:rsid w:val="006E644F"/>
    <w:rsid w:val="006E6A04"/>
    <w:rsid w:val="006E6D5F"/>
    <w:rsid w:val="006E7380"/>
    <w:rsid w:val="006E748E"/>
    <w:rsid w:val="006E7CCF"/>
    <w:rsid w:val="006E7D15"/>
    <w:rsid w:val="006F00B4"/>
    <w:rsid w:val="006F0173"/>
    <w:rsid w:val="006F0353"/>
    <w:rsid w:val="006F0416"/>
    <w:rsid w:val="006F05C5"/>
    <w:rsid w:val="006F0616"/>
    <w:rsid w:val="006F0776"/>
    <w:rsid w:val="006F0A06"/>
    <w:rsid w:val="006F0D6E"/>
    <w:rsid w:val="006F0DC1"/>
    <w:rsid w:val="006F0E92"/>
    <w:rsid w:val="006F1179"/>
    <w:rsid w:val="006F1698"/>
    <w:rsid w:val="006F1A8F"/>
    <w:rsid w:val="006F1FDA"/>
    <w:rsid w:val="006F2A1D"/>
    <w:rsid w:val="006F306C"/>
    <w:rsid w:val="006F30F6"/>
    <w:rsid w:val="006F3587"/>
    <w:rsid w:val="006F3975"/>
    <w:rsid w:val="006F3A0B"/>
    <w:rsid w:val="006F4282"/>
    <w:rsid w:val="006F4C00"/>
    <w:rsid w:val="006F5317"/>
    <w:rsid w:val="006F537E"/>
    <w:rsid w:val="006F53A6"/>
    <w:rsid w:val="006F55FC"/>
    <w:rsid w:val="006F5C25"/>
    <w:rsid w:val="006F5D33"/>
    <w:rsid w:val="006F5DD1"/>
    <w:rsid w:val="006F618A"/>
    <w:rsid w:val="006F61FE"/>
    <w:rsid w:val="006F6322"/>
    <w:rsid w:val="006F63A5"/>
    <w:rsid w:val="006F6512"/>
    <w:rsid w:val="006F67A7"/>
    <w:rsid w:val="006F6E56"/>
    <w:rsid w:val="006F72EC"/>
    <w:rsid w:val="006F7325"/>
    <w:rsid w:val="006F781E"/>
    <w:rsid w:val="006F7BFE"/>
    <w:rsid w:val="0070007D"/>
    <w:rsid w:val="00700185"/>
    <w:rsid w:val="00700397"/>
    <w:rsid w:val="00700A2D"/>
    <w:rsid w:val="0070103A"/>
    <w:rsid w:val="0070142B"/>
    <w:rsid w:val="00701610"/>
    <w:rsid w:val="00701FE3"/>
    <w:rsid w:val="00701FFA"/>
    <w:rsid w:val="007026B1"/>
    <w:rsid w:val="0070276E"/>
    <w:rsid w:val="00702F8F"/>
    <w:rsid w:val="00703619"/>
    <w:rsid w:val="007036B4"/>
    <w:rsid w:val="007037D7"/>
    <w:rsid w:val="00703A93"/>
    <w:rsid w:val="00703EA3"/>
    <w:rsid w:val="007040E9"/>
    <w:rsid w:val="00704890"/>
    <w:rsid w:val="00704F15"/>
    <w:rsid w:val="007054C4"/>
    <w:rsid w:val="00705529"/>
    <w:rsid w:val="00705584"/>
    <w:rsid w:val="007059CB"/>
    <w:rsid w:val="00705C79"/>
    <w:rsid w:val="00705D69"/>
    <w:rsid w:val="007061DE"/>
    <w:rsid w:val="00706388"/>
    <w:rsid w:val="0070659F"/>
    <w:rsid w:val="007079FC"/>
    <w:rsid w:val="00707BB6"/>
    <w:rsid w:val="00707CF5"/>
    <w:rsid w:val="00707E71"/>
    <w:rsid w:val="0071009E"/>
    <w:rsid w:val="00710360"/>
    <w:rsid w:val="00710368"/>
    <w:rsid w:val="00710762"/>
    <w:rsid w:val="00710D87"/>
    <w:rsid w:val="00710F06"/>
    <w:rsid w:val="0071143E"/>
    <w:rsid w:val="007114AA"/>
    <w:rsid w:val="007114BC"/>
    <w:rsid w:val="00711A03"/>
    <w:rsid w:val="00711A36"/>
    <w:rsid w:val="00712324"/>
    <w:rsid w:val="00712539"/>
    <w:rsid w:val="007125D3"/>
    <w:rsid w:val="0071276D"/>
    <w:rsid w:val="007131AC"/>
    <w:rsid w:val="007135B9"/>
    <w:rsid w:val="00713B31"/>
    <w:rsid w:val="00713EC1"/>
    <w:rsid w:val="0071442A"/>
    <w:rsid w:val="00714581"/>
    <w:rsid w:val="00714592"/>
    <w:rsid w:val="0071470E"/>
    <w:rsid w:val="00714862"/>
    <w:rsid w:val="00714967"/>
    <w:rsid w:val="00714C26"/>
    <w:rsid w:val="007151E0"/>
    <w:rsid w:val="0071529C"/>
    <w:rsid w:val="007156AB"/>
    <w:rsid w:val="00715C6D"/>
    <w:rsid w:val="00715FE5"/>
    <w:rsid w:val="0071605A"/>
    <w:rsid w:val="0071699A"/>
    <w:rsid w:val="007170DA"/>
    <w:rsid w:val="007171A0"/>
    <w:rsid w:val="007171B9"/>
    <w:rsid w:val="007172AD"/>
    <w:rsid w:val="007174CE"/>
    <w:rsid w:val="00717546"/>
    <w:rsid w:val="007176E6"/>
    <w:rsid w:val="00717707"/>
    <w:rsid w:val="00717AAF"/>
    <w:rsid w:val="00717BEB"/>
    <w:rsid w:val="00717C4E"/>
    <w:rsid w:val="007202F5"/>
    <w:rsid w:val="0072045B"/>
    <w:rsid w:val="0072071D"/>
    <w:rsid w:val="007207B8"/>
    <w:rsid w:val="00720801"/>
    <w:rsid w:val="00720A20"/>
    <w:rsid w:val="00721722"/>
    <w:rsid w:val="007218EE"/>
    <w:rsid w:val="00721E9B"/>
    <w:rsid w:val="00721FC1"/>
    <w:rsid w:val="00722038"/>
    <w:rsid w:val="00722205"/>
    <w:rsid w:val="007222B2"/>
    <w:rsid w:val="007224DE"/>
    <w:rsid w:val="00722803"/>
    <w:rsid w:val="00722A5C"/>
    <w:rsid w:val="00722B1B"/>
    <w:rsid w:val="00722CE0"/>
    <w:rsid w:val="00722E2C"/>
    <w:rsid w:val="00722E3B"/>
    <w:rsid w:val="00723037"/>
    <w:rsid w:val="00723AA6"/>
    <w:rsid w:val="00723CE3"/>
    <w:rsid w:val="00724018"/>
    <w:rsid w:val="0072416F"/>
    <w:rsid w:val="007241C9"/>
    <w:rsid w:val="007241EC"/>
    <w:rsid w:val="00724269"/>
    <w:rsid w:val="00724542"/>
    <w:rsid w:val="00724F48"/>
    <w:rsid w:val="00725427"/>
    <w:rsid w:val="00725468"/>
    <w:rsid w:val="007258E2"/>
    <w:rsid w:val="0072597E"/>
    <w:rsid w:val="00725BDB"/>
    <w:rsid w:val="007263FB"/>
    <w:rsid w:val="00726890"/>
    <w:rsid w:val="00726B2A"/>
    <w:rsid w:val="00726C78"/>
    <w:rsid w:val="00726D9A"/>
    <w:rsid w:val="007270AF"/>
    <w:rsid w:val="00727512"/>
    <w:rsid w:val="00727807"/>
    <w:rsid w:val="0072797B"/>
    <w:rsid w:val="00727C94"/>
    <w:rsid w:val="00727D61"/>
    <w:rsid w:val="00727FAD"/>
    <w:rsid w:val="00727FBC"/>
    <w:rsid w:val="00730392"/>
    <w:rsid w:val="0073045A"/>
    <w:rsid w:val="007307BD"/>
    <w:rsid w:val="00730BE2"/>
    <w:rsid w:val="007313A8"/>
    <w:rsid w:val="00731495"/>
    <w:rsid w:val="00731B0A"/>
    <w:rsid w:val="00731EAE"/>
    <w:rsid w:val="00732B6A"/>
    <w:rsid w:val="00732E35"/>
    <w:rsid w:val="00733073"/>
    <w:rsid w:val="007331E2"/>
    <w:rsid w:val="00733270"/>
    <w:rsid w:val="007335EF"/>
    <w:rsid w:val="00733986"/>
    <w:rsid w:val="00733B77"/>
    <w:rsid w:val="00733C68"/>
    <w:rsid w:val="00734173"/>
    <w:rsid w:val="0073441F"/>
    <w:rsid w:val="00734FDA"/>
    <w:rsid w:val="00735033"/>
    <w:rsid w:val="00735135"/>
    <w:rsid w:val="00735328"/>
    <w:rsid w:val="0073532F"/>
    <w:rsid w:val="007355B2"/>
    <w:rsid w:val="0073564A"/>
    <w:rsid w:val="00735B77"/>
    <w:rsid w:val="00735C3E"/>
    <w:rsid w:val="00736120"/>
    <w:rsid w:val="00736329"/>
    <w:rsid w:val="0073650A"/>
    <w:rsid w:val="00736657"/>
    <w:rsid w:val="007366BD"/>
    <w:rsid w:val="007366EE"/>
    <w:rsid w:val="0073685B"/>
    <w:rsid w:val="00736BE0"/>
    <w:rsid w:val="0073709E"/>
    <w:rsid w:val="007372E8"/>
    <w:rsid w:val="00737402"/>
    <w:rsid w:val="00737B15"/>
    <w:rsid w:val="0074001F"/>
    <w:rsid w:val="007402CA"/>
    <w:rsid w:val="0074095E"/>
    <w:rsid w:val="00740AA8"/>
    <w:rsid w:val="00740AD1"/>
    <w:rsid w:val="00740B6F"/>
    <w:rsid w:val="00740BF6"/>
    <w:rsid w:val="00740F05"/>
    <w:rsid w:val="007411A9"/>
    <w:rsid w:val="007411CE"/>
    <w:rsid w:val="00741641"/>
    <w:rsid w:val="00741CBB"/>
    <w:rsid w:val="007422BF"/>
    <w:rsid w:val="00742B64"/>
    <w:rsid w:val="00742BBF"/>
    <w:rsid w:val="00742E8A"/>
    <w:rsid w:val="00743566"/>
    <w:rsid w:val="007435B5"/>
    <w:rsid w:val="00743A07"/>
    <w:rsid w:val="00743AF9"/>
    <w:rsid w:val="00743C48"/>
    <w:rsid w:val="00743E36"/>
    <w:rsid w:val="00743E74"/>
    <w:rsid w:val="00743F79"/>
    <w:rsid w:val="00744275"/>
    <w:rsid w:val="007442AE"/>
    <w:rsid w:val="007448CB"/>
    <w:rsid w:val="007449BF"/>
    <w:rsid w:val="007450EC"/>
    <w:rsid w:val="00745169"/>
    <w:rsid w:val="007451F0"/>
    <w:rsid w:val="00745939"/>
    <w:rsid w:val="00745D14"/>
    <w:rsid w:val="00745E3F"/>
    <w:rsid w:val="00746077"/>
    <w:rsid w:val="00746388"/>
    <w:rsid w:val="007463FE"/>
    <w:rsid w:val="00746514"/>
    <w:rsid w:val="00746BC0"/>
    <w:rsid w:val="00746FF2"/>
    <w:rsid w:val="007470BF"/>
    <w:rsid w:val="0074725B"/>
    <w:rsid w:val="007474B8"/>
    <w:rsid w:val="00747B9B"/>
    <w:rsid w:val="00747DC4"/>
    <w:rsid w:val="0075004A"/>
    <w:rsid w:val="007501CF"/>
    <w:rsid w:val="007503FC"/>
    <w:rsid w:val="007508ED"/>
    <w:rsid w:val="00750AA8"/>
    <w:rsid w:val="00750CB5"/>
    <w:rsid w:val="00750E1C"/>
    <w:rsid w:val="007510B4"/>
    <w:rsid w:val="00751141"/>
    <w:rsid w:val="0075126E"/>
    <w:rsid w:val="0075197C"/>
    <w:rsid w:val="00752142"/>
    <w:rsid w:val="007523F4"/>
    <w:rsid w:val="007523F9"/>
    <w:rsid w:val="007525AE"/>
    <w:rsid w:val="00752C55"/>
    <w:rsid w:val="00753136"/>
    <w:rsid w:val="007534C3"/>
    <w:rsid w:val="0075357E"/>
    <w:rsid w:val="007537D0"/>
    <w:rsid w:val="0075396B"/>
    <w:rsid w:val="00753970"/>
    <w:rsid w:val="00753B29"/>
    <w:rsid w:val="00753E57"/>
    <w:rsid w:val="00753EB4"/>
    <w:rsid w:val="00754477"/>
    <w:rsid w:val="00754F56"/>
    <w:rsid w:val="0075568D"/>
    <w:rsid w:val="00755888"/>
    <w:rsid w:val="007558B1"/>
    <w:rsid w:val="00756376"/>
    <w:rsid w:val="00756529"/>
    <w:rsid w:val="0075656A"/>
    <w:rsid w:val="00756676"/>
    <w:rsid w:val="00756DF6"/>
    <w:rsid w:val="00756EE9"/>
    <w:rsid w:val="007573E8"/>
    <w:rsid w:val="00757929"/>
    <w:rsid w:val="00757C0F"/>
    <w:rsid w:val="00757F3E"/>
    <w:rsid w:val="007601C9"/>
    <w:rsid w:val="00760981"/>
    <w:rsid w:val="00760A22"/>
    <w:rsid w:val="00760C4E"/>
    <w:rsid w:val="00760F9E"/>
    <w:rsid w:val="007610E4"/>
    <w:rsid w:val="0076114E"/>
    <w:rsid w:val="00761187"/>
    <w:rsid w:val="0076143D"/>
    <w:rsid w:val="007616E6"/>
    <w:rsid w:val="00761A5A"/>
    <w:rsid w:val="00761C4C"/>
    <w:rsid w:val="00761FCA"/>
    <w:rsid w:val="007626A9"/>
    <w:rsid w:val="0076274B"/>
    <w:rsid w:val="007627BE"/>
    <w:rsid w:val="00762960"/>
    <w:rsid w:val="00763390"/>
    <w:rsid w:val="00763601"/>
    <w:rsid w:val="0076385F"/>
    <w:rsid w:val="0076407E"/>
    <w:rsid w:val="007640D9"/>
    <w:rsid w:val="007643D0"/>
    <w:rsid w:val="007644A2"/>
    <w:rsid w:val="00764726"/>
    <w:rsid w:val="00764CDF"/>
    <w:rsid w:val="00764F03"/>
    <w:rsid w:val="007650D3"/>
    <w:rsid w:val="007652CD"/>
    <w:rsid w:val="007659B7"/>
    <w:rsid w:val="00765B1A"/>
    <w:rsid w:val="00765C85"/>
    <w:rsid w:val="00765DC1"/>
    <w:rsid w:val="00765DCD"/>
    <w:rsid w:val="007660AD"/>
    <w:rsid w:val="00766585"/>
    <w:rsid w:val="0076673D"/>
    <w:rsid w:val="0076684F"/>
    <w:rsid w:val="00766874"/>
    <w:rsid w:val="00766BBE"/>
    <w:rsid w:val="00766CE7"/>
    <w:rsid w:val="007676C9"/>
    <w:rsid w:val="0077016A"/>
    <w:rsid w:val="0077033A"/>
    <w:rsid w:val="00770343"/>
    <w:rsid w:val="00770439"/>
    <w:rsid w:val="0077058C"/>
    <w:rsid w:val="00770598"/>
    <w:rsid w:val="007705DD"/>
    <w:rsid w:val="00770AFD"/>
    <w:rsid w:val="00770B9F"/>
    <w:rsid w:val="00770CFB"/>
    <w:rsid w:val="00770E7C"/>
    <w:rsid w:val="007710F1"/>
    <w:rsid w:val="007711C0"/>
    <w:rsid w:val="0077172E"/>
    <w:rsid w:val="007717B7"/>
    <w:rsid w:val="00771E0B"/>
    <w:rsid w:val="0077226F"/>
    <w:rsid w:val="007724D4"/>
    <w:rsid w:val="007725CB"/>
    <w:rsid w:val="00772654"/>
    <w:rsid w:val="00772688"/>
    <w:rsid w:val="007726B2"/>
    <w:rsid w:val="00772AB6"/>
    <w:rsid w:val="00772EDC"/>
    <w:rsid w:val="007730E2"/>
    <w:rsid w:val="007735EF"/>
    <w:rsid w:val="007735F7"/>
    <w:rsid w:val="00773756"/>
    <w:rsid w:val="00773E67"/>
    <w:rsid w:val="00773EC6"/>
    <w:rsid w:val="00774213"/>
    <w:rsid w:val="00774240"/>
    <w:rsid w:val="007749D0"/>
    <w:rsid w:val="00774E85"/>
    <w:rsid w:val="00774F5F"/>
    <w:rsid w:val="0077509E"/>
    <w:rsid w:val="0077543E"/>
    <w:rsid w:val="007758AB"/>
    <w:rsid w:val="00775C82"/>
    <w:rsid w:val="00775E55"/>
    <w:rsid w:val="00775EFA"/>
    <w:rsid w:val="00776A29"/>
    <w:rsid w:val="00776BAD"/>
    <w:rsid w:val="00776CF3"/>
    <w:rsid w:val="00776D0E"/>
    <w:rsid w:val="00776E2A"/>
    <w:rsid w:val="00777335"/>
    <w:rsid w:val="00777894"/>
    <w:rsid w:val="00777DAB"/>
    <w:rsid w:val="00780270"/>
    <w:rsid w:val="0078063F"/>
    <w:rsid w:val="007807FA"/>
    <w:rsid w:val="00780976"/>
    <w:rsid w:val="00780ADC"/>
    <w:rsid w:val="00780F7F"/>
    <w:rsid w:val="00781712"/>
    <w:rsid w:val="00781C9C"/>
    <w:rsid w:val="00782193"/>
    <w:rsid w:val="007821EB"/>
    <w:rsid w:val="00782961"/>
    <w:rsid w:val="00782C8A"/>
    <w:rsid w:val="00782F85"/>
    <w:rsid w:val="00783169"/>
    <w:rsid w:val="00783A18"/>
    <w:rsid w:val="00783CE8"/>
    <w:rsid w:val="007843F2"/>
    <w:rsid w:val="007846FA"/>
    <w:rsid w:val="00784A87"/>
    <w:rsid w:val="00784BDF"/>
    <w:rsid w:val="007850E6"/>
    <w:rsid w:val="0078533A"/>
    <w:rsid w:val="00785574"/>
    <w:rsid w:val="007857A2"/>
    <w:rsid w:val="00785A9F"/>
    <w:rsid w:val="00786244"/>
    <w:rsid w:val="007863E0"/>
    <w:rsid w:val="00786AE3"/>
    <w:rsid w:val="00786CD2"/>
    <w:rsid w:val="00786DA5"/>
    <w:rsid w:val="00786E89"/>
    <w:rsid w:val="00787149"/>
    <w:rsid w:val="00787237"/>
    <w:rsid w:val="00787B39"/>
    <w:rsid w:val="00787CCE"/>
    <w:rsid w:val="00790036"/>
    <w:rsid w:val="00790431"/>
    <w:rsid w:val="00790985"/>
    <w:rsid w:val="00790D4F"/>
    <w:rsid w:val="00790DE8"/>
    <w:rsid w:val="00790E11"/>
    <w:rsid w:val="00790F86"/>
    <w:rsid w:val="007910BD"/>
    <w:rsid w:val="0079123A"/>
    <w:rsid w:val="0079132F"/>
    <w:rsid w:val="0079145D"/>
    <w:rsid w:val="00791BB1"/>
    <w:rsid w:val="00791F59"/>
    <w:rsid w:val="007921C8"/>
    <w:rsid w:val="007925DF"/>
    <w:rsid w:val="007928E8"/>
    <w:rsid w:val="00792DE4"/>
    <w:rsid w:val="0079319E"/>
    <w:rsid w:val="007931DC"/>
    <w:rsid w:val="007934A1"/>
    <w:rsid w:val="0079362A"/>
    <w:rsid w:val="007936AE"/>
    <w:rsid w:val="007936DF"/>
    <w:rsid w:val="007937CF"/>
    <w:rsid w:val="00793953"/>
    <w:rsid w:val="00794131"/>
    <w:rsid w:val="00794D9C"/>
    <w:rsid w:val="007952F7"/>
    <w:rsid w:val="007954A5"/>
    <w:rsid w:val="00795902"/>
    <w:rsid w:val="00795EAC"/>
    <w:rsid w:val="007961A6"/>
    <w:rsid w:val="00796497"/>
    <w:rsid w:val="007964B4"/>
    <w:rsid w:val="007965D1"/>
    <w:rsid w:val="007967AC"/>
    <w:rsid w:val="00796E37"/>
    <w:rsid w:val="00796EFE"/>
    <w:rsid w:val="00796F7C"/>
    <w:rsid w:val="00796FA7"/>
    <w:rsid w:val="00797013"/>
    <w:rsid w:val="007971D5"/>
    <w:rsid w:val="00797887"/>
    <w:rsid w:val="00797C72"/>
    <w:rsid w:val="00797CA0"/>
    <w:rsid w:val="00797CFF"/>
    <w:rsid w:val="007A00B1"/>
    <w:rsid w:val="007A00B6"/>
    <w:rsid w:val="007A00DB"/>
    <w:rsid w:val="007A0185"/>
    <w:rsid w:val="007A03EC"/>
    <w:rsid w:val="007A08AA"/>
    <w:rsid w:val="007A08CD"/>
    <w:rsid w:val="007A0A12"/>
    <w:rsid w:val="007A0DC2"/>
    <w:rsid w:val="007A10F7"/>
    <w:rsid w:val="007A1229"/>
    <w:rsid w:val="007A132D"/>
    <w:rsid w:val="007A1345"/>
    <w:rsid w:val="007A1833"/>
    <w:rsid w:val="007A1AAD"/>
    <w:rsid w:val="007A1B94"/>
    <w:rsid w:val="007A1C95"/>
    <w:rsid w:val="007A1D91"/>
    <w:rsid w:val="007A28A4"/>
    <w:rsid w:val="007A2DDB"/>
    <w:rsid w:val="007A3131"/>
    <w:rsid w:val="007A3596"/>
    <w:rsid w:val="007A36E5"/>
    <w:rsid w:val="007A3C79"/>
    <w:rsid w:val="007A4004"/>
    <w:rsid w:val="007A4231"/>
    <w:rsid w:val="007A433C"/>
    <w:rsid w:val="007A4364"/>
    <w:rsid w:val="007A43D8"/>
    <w:rsid w:val="007A4CFB"/>
    <w:rsid w:val="007A4EEA"/>
    <w:rsid w:val="007A54EA"/>
    <w:rsid w:val="007A5759"/>
    <w:rsid w:val="007A59AB"/>
    <w:rsid w:val="007A59F3"/>
    <w:rsid w:val="007A626F"/>
    <w:rsid w:val="007A6689"/>
    <w:rsid w:val="007A69EB"/>
    <w:rsid w:val="007A6D23"/>
    <w:rsid w:val="007A70BA"/>
    <w:rsid w:val="007A7524"/>
    <w:rsid w:val="007A768C"/>
    <w:rsid w:val="007A7C28"/>
    <w:rsid w:val="007A7E28"/>
    <w:rsid w:val="007A7FA0"/>
    <w:rsid w:val="007B0163"/>
    <w:rsid w:val="007B032E"/>
    <w:rsid w:val="007B09F6"/>
    <w:rsid w:val="007B0AAB"/>
    <w:rsid w:val="007B0D68"/>
    <w:rsid w:val="007B10A0"/>
    <w:rsid w:val="007B195A"/>
    <w:rsid w:val="007B1983"/>
    <w:rsid w:val="007B2418"/>
    <w:rsid w:val="007B251D"/>
    <w:rsid w:val="007B2F0F"/>
    <w:rsid w:val="007B2FF2"/>
    <w:rsid w:val="007B3044"/>
    <w:rsid w:val="007B332B"/>
    <w:rsid w:val="007B3533"/>
    <w:rsid w:val="007B35D0"/>
    <w:rsid w:val="007B373B"/>
    <w:rsid w:val="007B3847"/>
    <w:rsid w:val="007B389B"/>
    <w:rsid w:val="007B3B52"/>
    <w:rsid w:val="007B3BBA"/>
    <w:rsid w:val="007B3C64"/>
    <w:rsid w:val="007B4345"/>
    <w:rsid w:val="007B4575"/>
    <w:rsid w:val="007B4B8E"/>
    <w:rsid w:val="007B4C43"/>
    <w:rsid w:val="007B4E15"/>
    <w:rsid w:val="007B4F58"/>
    <w:rsid w:val="007B528D"/>
    <w:rsid w:val="007B542B"/>
    <w:rsid w:val="007B5717"/>
    <w:rsid w:val="007B58AD"/>
    <w:rsid w:val="007B59B9"/>
    <w:rsid w:val="007B6132"/>
    <w:rsid w:val="007B63CA"/>
    <w:rsid w:val="007B64C5"/>
    <w:rsid w:val="007B6647"/>
    <w:rsid w:val="007B6959"/>
    <w:rsid w:val="007B6F01"/>
    <w:rsid w:val="007B73D9"/>
    <w:rsid w:val="007B7682"/>
    <w:rsid w:val="007B77D1"/>
    <w:rsid w:val="007B782F"/>
    <w:rsid w:val="007B7884"/>
    <w:rsid w:val="007C01F8"/>
    <w:rsid w:val="007C0450"/>
    <w:rsid w:val="007C06AB"/>
    <w:rsid w:val="007C06BB"/>
    <w:rsid w:val="007C07C7"/>
    <w:rsid w:val="007C0F8D"/>
    <w:rsid w:val="007C1373"/>
    <w:rsid w:val="007C1818"/>
    <w:rsid w:val="007C1837"/>
    <w:rsid w:val="007C1CD9"/>
    <w:rsid w:val="007C235A"/>
    <w:rsid w:val="007C25DF"/>
    <w:rsid w:val="007C29E0"/>
    <w:rsid w:val="007C2A94"/>
    <w:rsid w:val="007C2CD9"/>
    <w:rsid w:val="007C2E1B"/>
    <w:rsid w:val="007C2FEB"/>
    <w:rsid w:val="007C32EF"/>
    <w:rsid w:val="007C361D"/>
    <w:rsid w:val="007C3F91"/>
    <w:rsid w:val="007C4263"/>
    <w:rsid w:val="007C429D"/>
    <w:rsid w:val="007C4786"/>
    <w:rsid w:val="007C4A57"/>
    <w:rsid w:val="007C4B84"/>
    <w:rsid w:val="007C5130"/>
    <w:rsid w:val="007C5AF9"/>
    <w:rsid w:val="007C5BAE"/>
    <w:rsid w:val="007C5E38"/>
    <w:rsid w:val="007C5EA1"/>
    <w:rsid w:val="007C6519"/>
    <w:rsid w:val="007C68B2"/>
    <w:rsid w:val="007C6A49"/>
    <w:rsid w:val="007C6D5B"/>
    <w:rsid w:val="007C7097"/>
    <w:rsid w:val="007C70FF"/>
    <w:rsid w:val="007C7298"/>
    <w:rsid w:val="007C72F9"/>
    <w:rsid w:val="007C7696"/>
    <w:rsid w:val="007C7C25"/>
    <w:rsid w:val="007C7EAE"/>
    <w:rsid w:val="007D004F"/>
    <w:rsid w:val="007D00C6"/>
    <w:rsid w:val="007D035F"/>
    <w:rsid w:val="007D03BD"/>
    <w:rsid w:val="007D06B2"/>
    <w:rsid w:val="007D0710"/>
    <w:rsid w:val="007D0838"/>
    <w:rsid w:val="007D0B38"/>
    <w:rsid w:val="007D0C06"/>
    <w:rsid w:val="007D0D00"/>
    <w:rsid w:val="007D0E10"/>
    <w:rsid w:val="007D11E3"/>
    <w:rsid w:val="007D15FC"/>
    <w:rsid w:val="007D1D8A"/>
    <w:rsid w:val="007D2311"/>
    <w:rsid w:val="007D27DE"/>
    <w:rsid w:val="007D2A0B"/>
    <w:rsid w:val="007D2FBC"/>
    <w:rsid w:val="007D3571"/>
    <w:rsid w:val="007D3755"/>
    <w:rsid w:val="007D4117"/>
    <w:rsid w:val="007D48AC"/>
    <w:rsid w:val="007D493C"/>
    <w:rsid w:val="007D4CB7"/>
    <w:rsid w:val="007D4E0B"/>
    <w:rsid w:val="007D4EBC"/>
    <w:rsid w:val="007D4FFB"/>
    <w:rsid w:val="007D52ED"/>
    <w:rsid w:val="007D5440"/>
    <w:rsid w:val="007D563A"/>
    <w:rsid w:val="007D57BC"/>
    <w:rsid w:val="007D588C"/>
    <w:rsid w:val="007D5ACA"/>
    <w:rsid w:val="007D5E7B"/>
    <w:rsid w:val="007D607D"/>
    <w:rsid w:val="007D649B"/>
    <w:rsid w:val="007D69EB"/>
    <w:rsid w:val="007D6A38"/>
    <w:rsid w:val="007D6DDE"/>
    <w:rsid w:val="007D7271"/>
    <w:rsid w:val="007D776C"/>
    <w:rsid w:val="007D7A41"/>
    <w:rsid w:val="007D7CEA"/>
    <w:rsid w:val="007D7D76"/>
    <w:rsid w:val="007E07C9"/>
    <w:rsid w:val="007E0BCE"/>
    <w:rsid w:val="007E0DD0"/>
    <w:rsid w:val="007E0E29"/>
    <w:rsid w:val="007E128F"/>
    <w:rsid w:val="007E18D0"/>
    <w:rsid w:val="007E1CE9"/>
    <w:rsid w:val="007E2125"/>
    <w:rsid w:val="007E25A0"/>
    <w:rsid w:val="007E2875"/>
    <w:rsid w:val="007E2CA5"/>
    <w:rsid w:val="007E3306"/>
    <w:rsid w:val="007E3521"/>
    <w:rsid w:val="007E43C4"/>
    <w:rsid w:val="007E45A6"/>
    <w:rsid w:val="007E46AA"/>
    <w:rsid w:val="007E4CE4"/>
    <w:rsid w:val="007E524C"/>
    <w:rsid w:val="007E5461"/>
    <w:rsid w:val="007E59B6"/>
    <w:rsid w:val="007E5DBF"/>
    <w:rsid w:val="007E5EB1"/>
    <w:rsid w:val="007E6298"/>
    <w:rsid w:val="007E6800"/>
    <w:rsid w:val="007E6848"/>
    <w:rsid w:val="007E689D"/>
    <w:rsid w:val="007E6B41"/>
    <w:rsid w:val="007E6E47"/>
    <w:rsid w:val="007E7A85"/>
    <w:rsid w:val="007E7B45"/>
    <w:rsid w:val="007E7F9E"/>
    <w:rsid w:val="007F01F5"/>
    <w:rsid w:val="007F02E7"/>
    <w:rsid w:val="007F074C"/>
    <w:rsid w:val="007F07DC"/>
    <w:rsid w:val="007F086E"/>
    <w:rsid w:val="007F1017"/>
    <w:rsid w:val="007F1275"/>
    <w:rsid w:val="007F15AD"/>
    <w:rsid w:val="007F186F"/>
    <w:rsid w:val="007F19A4"/>
    <w:rsid w:val="007F1B7F"/>
    <w:rsid w:val="007F2331"/>
    <w:rsid w:val="007F233B"/>
    <w:rsid w:val="007F2E35"/>
    <w:rsid w:val="007F2E8B"/>
    <w:rsid w:val="007F3229"/>
    <w:rsid w:val="007F37DE"/>
    <w:rsid w:val="007F3ACA"/>
    <w:rsid w:val="007F3AF7"/>
    <w:rsid w:val="007F4229"/>
    <w:rsid w:val="007F43BF"/>
    <w:rsid w:val="007F4A3F"/>
    <w:rsid w:val="007F4A61"/>
    <w:rsid w:val="007F4F32"/>
    <w:rsid w:val="007F5255"/>
    <w:rsid w:val="007F54C7"/>
    <w:rsid w:val="007F5540"/>
    <w:rsid w:val="007F56CC"/>
    <w:rsid w:val="007F574E"/>
    <w:rsid w:val="007F61C2"/>
    <w:rsid w:val="007F6491"/>
    <w:rsid w:val="007F68C6"/>
    <w:rsid w:val="007F6918"/>
    <w:rsid w:val="007F6C6D"/>
    <w:rsid w:val="007F6E09"/>
    <w:rsid w:val="007F6E20"/>
    <w:rsid w:val="007F6F07"/>
    <w:rsid w:val="007F712B"/>
    <w:rsid w:val="007F7276"/>
    <w:rsid w:val="007F74E0"/>
    <w:rsid w:val="007F761B"/>
    <w:rsid w:val="007F767F"/>
    <w:rsid w:val="007F7D39"/>
    <w:rsid w:val="007F7E41"/>
    <w:rsid w:val="008000B1"/>
    <w:rsid w:val="008000CD"/>
    <w:rsid w:val="008003B4"/>
    <w:rsid w:val="00800724"/>
    <w:rsid w:val="00800817"/>
    <w:rsid w:val="00800920"/>
    <w:rsid w:val="00800921"/>
    <w:rsid w:val="0080135C"/>
    <w:rsid w:val="008018B8"/>
    <w:rsid w:val="00801AB7"/>
    <w:rsid w:val="00802552"/>
    <w:rsid w:val="008026FB"/>
    <w:rsid w:val="00802736"/>
    <w:rsid w:val="00802F0F"/>
    <w:rsid w:val="0080361F"/>
    <w:rsid w:val="00803FDD"/>
    <w:rsid w:val="0080419D"/>
    <w:rsid w:val="008041DE"/>
    <w:rsid w:val="008043E0"/>
    <w:rsid w:val="008043F2"/>
    <w:rsid w:val="00804BCE"/>
    <w:rsid w:val="00805142"/>
    <w:rsid w:val="008055FC"/>
    <w:rsid w:val="0080561E"/>
    <w:rsid w:val="0080566B"/>
    <w:rsid w:val="00805D0E"/>
    <w:rsid w:val="00805DE8"/>
    <w:rsid w:val="00805F87"/>
    <w:rsid w:val="00805FCE"/>
    <w:rsid w:val="008060C5"/>
    <w:rsid w:val="008062B8"/>
    <w:rsid w:val="0080660E"/>
    <w:rsid w:val="008067FC"/>
    <w:rsid w:val="00807348"/>
    <w:rsid w:val="00807A8B"/>
    <w:rsid w:val="00807E9A"/>
    <w:rsid w:val="00810061"/>
    <w:rsid w:val="00810402"/>
    <w:rsid w:val="00810924"/>
    <w:rsid w:val="00810CBB"/>
    <w:rsid w:val="0081105F"/>
    <w:rsid w:val="00811383"/>
    <w:rsid w:val="00811773"/>
    <w:rsid w:val="008117DE"/>
    <w:rsid w:val="00811940"/>
    <w:rsid w:val="0081194B"/>
    <w:rsid w:val="00811A8C"/>
    <w:rsid w:val="00811B51"/>
    <w:rsid w:val="00811C5B"/>
    <w:rsid w:val="00812149"/>
    <w:rsid w:val="00812209"/>
    <w:rsid w:val="00812464"/>
    <w:rsid w:val="00812930"/>
    <w:rsid w:val="00812A07"/>
    <w:rsid w:val="00812CAC"/>
    <w:rsid w:val="00812FF9"/>
    <w:rsid w:val="008130BC"/>
    <w:rsid w:val="00813327"/>
    <w:rsid w:val="008134A8"/>
    <w:rsid w:val="00813522"/>
    <w:rsid w:val="00813E48"/>
    <w:rsid w:val="00813E63"/>
    <w:rsid w:val="0081438A"/>
    <w:rsid w:val="008147A3"/>
    <w:rsid w:val="00814B8F"/>
    <w:rsid w:val="00814BC0"/>
    <w:rsid w:val="00814EFD"/>
    <w:rsid w:val="00814FEA"/>
    <w:rsid w:val="008152E9"/>
    <w:rsid w:val="008153BC"/>
    <w:rsid w:val="00815771"/>
    <w:rsid w:val="00815E33"/>
    <w:rsid w:val="00815E4D"/>
    <w:rsid w:val="00815EE1"/>
    <w:rsid w:val="00815FD0"/>
    <w:rsid w:val="00816112"/>
    <w:rsid w:val="0081616A"/>
    <w:rsid w:val="00816361"/>
    <w:rsid w:val="008166EF"/>
    <w:rsid w:val="0081684C"/>
    <w:rsid w:val="0081697D"/>
    <w:rsid w:val="00816CA7"/>
    <w:rsid w:val="00816D47"/>
    <w:rsid w:val="00816EFA"/>
    <w:rsid w:val="00816FEF"/>
    <w:rsid w:val="00817429"/>
    <w:rsid w:val="00817771"/>
    <w:rsid w:val="00817BE0"/>
    <w:rsid w:val="0082048E"/>
    <w:rsid w:val="0082082C"/>
    <w:rsid w:val="008208FC"/>
    <w:rsid w:val="00820A6B"/>
    <w:rsid w:val="00820A8C"/>
    <w:rsid w:val="00820E1D"/>
    <w:rsid w:val="0082128C"/>
    <w:rsid w:val="00821426"/>
    <w:rsid w:val="008215FB"/>
    <w:rsid w:val="0082180B"/>
    <w:rsid w:val="008220CC"/>
    <w:rsid w:val="00822115"/>
    <w:rsid w:val="00822312"/>
    <w:rsid w:val="0082240C"/>
    <w:rsid w:val="00822609"/>
    <w:rsid w:val="00822BEF"/>
    <w:rsid w:val="00822C63"/>
    <w:rsid w:val="00822FE3"/>
    <w:rsid w:val="00823174"/>
    <w:rsid w:val="008231C1"/>
    <w:rsid w:val="00823459"/>
    <w:rsid w:val="008235FB"/>
    <w:rsid w:val="00823902"/>
    <w:rsid w:val="00823983"/>
    <w:rsid w:val="00823CBE"/>
    <w:rsid w:val="00823CC1"/>
    <w:rsid w:val="00823EF5"/>
    <w:rsid w:val="00824034"/>
    <w:rsid w:val="00824065"/>
    <w:rsid w:val="00824109"/>
    <w:rsid w:val="0082432B"/>
    <w:rsid w:val="00824663"/>
    <w:rsid w:val="008248C7"/>
    <w:rsid w:val="00824E25"/>
    <w:rsid w:val="008252F1"/>
    <w:rsid w:val="00825751"/>
    <w:rsid w:val="00825D20"/>
    <w:rsid w:val="0082623C"/>
    <w:rsid w:val="008264EB"/>
    <w:rsid w:val="0082678D"/>
    <w:rsid w:val="008268CE"/>
    <w:rsid w:val="008271B4"/>
    <w:rsid w:val="00827538"/>
    <w:rsid w:val="00827556"/>
    <w:rsid w:val="008275E5"/>
    <w:rsid w:val="008276CB"/>
    <w:rsid w:val="0082770F"/>
    <w:rsid w:val="008277B3"/>
    <w:rsid w:val="0082787F"/>
    <w:rsid w:val="00827A97"/>
    <w:rsid w:val="00827C23"/>
    <w:rsid w:val="00827CD4"/>
    <w:rsid w:val="00827EA5"/>
    <w:rsid w:val="0083034B"/>
    <w:rsid w:val="00830386"/>
    <w:rsid w:val="00830567"/>
    <w:rsid w:val="00830608"/>
    <w:rsid w:val="008307E2"/>
    <w:rsid w:val="00830E80"/>
    <w:rsid w:val="008310EE"/>
    <w:rsid w:val="00831206"/>
    <w:rsid w:val="00831988"/>
    <w:rsid w:val="00831D2A"/>
    <w:rsid w:val="0083221A"/>
    <w:rsid w:val="008324B6"/>
    <w:rsid w:val="00832A77"/>
    <w:rsid w:val="00833337"/>
    <w:rsid w:val="00833556"/>
    <w:rsid w:val="00833583"/>
    <w:rsid w:val="0083361B"/>
    <w:rsid w:val="00833708"/>
    <w:rsid w:val="00833A23"/>
    <w:rsid w:val="00833A71"/>
    <w:rsid w:val="00833A9C"/>
    <w:rsid w:val="00833B05"/>
    <w:rsid w:val="00833BA4"/>
    <w:rsid w:val="00834ACE"/>
    <w:rsid w:val="00834BAB"/>
    <w:rsid w:val="00835147"/>
    <w:rsid w:val="008355AC"/>
    <w:rsid w:val="00835B79"/>
    <w:rsid w:val="00835C91"/>
    <w:rsid w:val="00835D58"/>
    <w:rsid w:val="008362B4"/>
    <w:rsid w:val="008367FB"/>
    <w:rsid w:val="00836A87"/>
    <w:rsid w:val="00836C1F"/>
    <w:rsid w:val="00836E92"/>
    <w:rsid w:val="00837173"/>
    <w:rsid w:val="00837274"/>
    <w:rsid w:val="00837442"/>
    <w:rsid w:val="00837C00"/>
    <w:rsid w:val="00837F39"/>
    <w:rsid w:val="0084002F"/>
    <w:rsid w:val="0084047E"/>
    <w:rsid w:val="00840994"/>
    <w:rsid w:val="00840CA2"/>
    <w:rsid w:val="008414C7"/>
    <w:rsid w:val="00841A6E"/>
    <w:rsid w:val="00841C76"/>
    <w:rsid w:val="00841F93"/>
    <w:rsid w:val="008426BE"/>
    <w:rsid w:val="008429DE"/>
    <w:rsid w:val="0084315D"/>
    <w:rsid w:val="00843201"/>
    <w:rsid w:val="008432E9"/>
    <w:rsid w:val="00843412"/>
    <w:rsid w:val="0084374F"/>
    <w:rsid w:val="00843A7C"/>
    <w:rsid w:val="00843D2B"/>
    <w:rsid w:val="00843EB3"/>
    <w:rsid w:val="008442A4"/>
    <w:rsid w:val="00844947"/>
    <w:rsid w:val="00844A22"/>
    <w:rsid w:val="00844C8F"/>
    <w:rsid w:val="00844DC9"/>
    <w:rsid w:val="008453CA"/>
    <w:rsid w:val="0084584B"/>
    <w:rsid w:val="00845B8E"/>
    <w:rsid w:val="00845C01"/>
    <w:rsid w:val="00845E45"/>
    <w:rsid w:val="00845E6B"/>
    <w:rsid w:val="00845F3B"/>
    <w:rsid w:val="00846011"/>
    <w:rsid w:val="008461E1"/>
    <w:rsid w:val="0084672B"/>
    <w:rsid w:val="00846A34"/>
    <w:rsid w:val="00846ED6"/>
    <w:rsid w:val="00846FD3"/>
    <w:rsid w:val="00847157"/>
    <w:rsid w:val="00847703"/>
    <w:rsid w:val="00847A5F"/>
    <w:rsid w:val="00847A7B"/>
    <w:rsid w:val="00847DF5"/>
    <w:rsid w:val="0085014A"/>
    <w:rsid w:val="008504DD"/>
    <w:rsid w:val="0085091D"/>
    <w:rsid w:val="00850A49"/>
    <w:rsid w:val="00850FCB"/>
    <w:rsid w:val="008511CE"/>
    <w:rsid w:val="008513A7"/>
    <w:rsid w:val="00851E9B"/>
    <w:rsid w:val="008529D9"/>
    <w:rsid w:val="00852C90"/>
    <w:rsid w:val="0085309D"/>
    <w:rsid w:val="008530C7"/>
    <w:rsid w:val="008531A4"/>
    <w:rsid w:val="008538FB"/>
    <w:rsid w:val="00853BC2"/>
    <w:rsid w:val="00853C3F"/>
    <w:rsid w:val="00853D08"/>
    <w:rsid w:val="008541CA"/>
    <w:rsid w:val="00854732"/>
    <w:rsid w:val="00854885"/>
    <w:rsid w:val="00854A12"/>
    <w:rsid w:val="00854BAB"/>
    <w:rsid w:val="00854E69"/>
    <w:rsid w:val="00854FB8"/>
    <w:rsid w:val="0085512F"/>
    <w:rsid w:val="008552B6"/>
    <w:rsid w:val="00855396"/>
    <w:rsid w:val="008553D1"/>
    <w:rsid w:val="00855614"/>
    <w:rsid w:val="008558C0"/>
    <w:rsid w:val="00855AF9"/>
    <w:rsid w:val="00855DBF"/>
    <w:rsid w:val="008560B1"/>
    <w:rsid w:val="00856661"/>
    <w:rsid w:val="00856879"/>
    <w:rsid w:val="00856897"/>
    <w:rsid w:val="008568B5"/>
    <w:rsid w:val="00856C00"/>
    <w:rsid w:val="00856D6E"/>
    <w:rsid w:val="00856DD4"/>
    <w:rsid w:val="00856E9A"/>
    <w:rsid w:val="0085701A"/>
    <w:rsid w:val="008572C5"/>
    <w:rsid w:val="008572CD"/>
    <w:rsid w:val="0086075D"/>
    <w:rsid w:val="008607A9"/>
    <w:rsid w:val="008607EE"/>
    <w:rsid w:val="00861164"/>
    <w:rsid w:val="008617AC"/>
    <w:rsid w:val="00861BB2"/>
    <w:rsid w:val="00861BDC"/>
    <w:rsid w:val="00861D82"/>
    <w:rsid w:val="00862502"/>
    <w:rsid w:val="0086255B"/>
    <w:rsid w:val="0086258B"/>
    <w:rsid w:val="00862CC1"/>
    <w:rsid w:val="00862CDD"/>
    <w:rsid w:val="00862E4F"/>
    <w:rsid w:val="00862ECC"/>
    <w:rsid w:val="00863626"/>
    <w:rsid w:val="0086384F"/>
    <w:rsid w:val="00863C0E"/>
    <w:rsid w:val="008642A7"/>
    <w:rsid w:val="00864394"/>
    <w:rsid w:val="0086550B"/>
    <w:rsid w:val="00865723"/>
    <w:rsid w:val="008657E1"/>
    <w:rsid w:val="00865DBC"/>
    <w:rsid w:val="008660D4"/>
    <w:rsid w:val="0086631F"/>
    <w:rsid w:val="008665AB"/>
    <w:rsid w:val="0086663A"/>
    <w:rsid w:val="0086674D"/>
    <w:rsid w:val="008667E6"/>
    <w:rsid w:val="00866BAB"/>
    <w:rsid w:val="00866D51"/>
    <w:rsid w:val="008678DE"/>
    <w:rsid w:val="008679E1"/>
    <w:rsid w:val="00867A44"/>
    <w:rsid w:val="00867F6F"/>
    <w:rsid w:val="00870275"/>
    <w:rsid w:val="00870D9B"/>
    <w:rsid w:val="00870EDD"/>
    <w:rsid w:val="00870F7A"/>
    <w:rsid w:val="008715F3"/>
    <w:rsid w:val="00871883"/>
    <w:rsid w:val="008719F9"/>
    <w:rsid w:val="00871CA9"/>
    <w:rsid w:val="00871FA9"/>
    <w:rsid w:val="0087214B"/>
    <w:rsid w:val="008721F8"/>
    <w:rsid w:val="008728E9"/>
    <w:rsid w:val="00872993"/>
    <w:rsid w:val="00872E98"/>
    <w:rsid w:val="008737CF"/>
    <w:rsid w:val="008742C6"/>
    <w:rsid w:val="0087448A"/>
    <w:rsid w:val="008745D4"/>
    <w:rsid w:val="008758DC"/>
    <w:rsid w:val="00875C19"/>
    <w:rsid w:val="0087612F"/>
    <w:rsid w:val="0087640F"/>
    <w:rsid w:val="00876D44"/>
    <w:rsid w:val="008771C0"/>
    <w:rsid w:val="0087762B"/>
    <w:rsid w:val="008776A1"/>
    <w:rsid w:val="00877A53"/>
    <w:rsid w:val="00877DBC"/>
    <w:rsid w:val="00880071"/>
    <w:rsid w:val="00880976"/>
    <w:rsid w:val="008809F9"/>
    <w:rsid w:val="00880F1B"/>
    <w:rsid w:val="0088105E"/>
    <w:rsid w:val="0088147F"/>
    <w:rsid w:val="00881E96"/>
    <w:rsid w:val="00881F0F"/>
    <w:rsid w:val="00882075"/>
    <w:rsid w:val="008825F7"/>
    <w:rsid w:val="00882774"/>
    <w:rsid w:val="00882874"/>
    <w:rsid w:val="00882ADC"/>
    <w:rsid w:val="00882DF6"/>
    <w:rsid w:val="00882E27"/>
    <w:rsid w:val="00882E3C"/>
    <w:rsid w:val="0088308A"/>
    <w:rsid w:val="00883264"/>
    <w:rsid w:val="00883787"/>
    <w:rsid w:val="00883B74"/>
    <w:rsid w:val="00883DBD"/>
    <w:rsid w:val="008843EE"/>
    <w:rsid w:val="0088464C"/>
    <w:rsid w:val="00884853"/>
    <w:rsid w:val="00884877"/>
    <w:rsid w:val="00885030"/>
    <w:rsid w:val="008852BF"/>
    <w:rsid w:val="008852EB"/>
    <w:rsid w:val="00885327"/>
    <w:rsid w:val="00885435"/>
    <w:rsid w:val="00885548"/>
    <w:rsid w:val="008855E4"/>
    <w:rsid w:val="008856C8"/>
    <w:rsid w:val="00885B59"/>
    <w:rsid w:val="00885EFE"/>
    <w:rsid w:val="008861EB"/>
    <w:rsid w:val="00886351"/>
    <w:rsid w:val="008866FA"/>
    <w:rsid w:val="0088685C"/>
    <w:rsid w:val="00886AF8"/>
    <w:rsid w:val="00886C86"/>
    <w:rsid w:val="00886CD2"/>
    <w:rsid w:val="00886FA3"/>
    <w:rsid w:val="00887087"/>
    <w:rsid w:val="008870C9"/>
    <w:rsid w:val="0088728B"/>
    <w:rsid w:val="008873BC"/>
    <w:rsid w:val="008875D5"/>
    <w:rsid w:val="008876A9"/>
    <w:rsid w:val="008877A7"/>
    <w:rsid w:val="00887AA4"/>
    <w:rsid w:val="00887AE3"/>
    <w:rsid w:val="00887E75"/>
    <w:rsid w:val="008900ED"/>
    <w:rsid w:val="00890456"/>
    <w:rsid w:val="00890606"/>
    <w:rsid w:val="00890A7F"/>
    <w:rsid w:val="00890D7F"/>
    <w:rsid w:val="00890DDD"/>
    <w:rsid w:val="00890EC1"/>
    <w:rsid w:val="008913A8"/>
    <w:rsid w:val="0089147C"/>
    <w:rsid w:val="0089154B"/>
    <w:rsid w:val="00891CB6"/>
    <w:rsid w:val="00891E6F"/>
    <w:rsid w:val="0089205F"/>
    <w:rsid w:val="00892206"/>
    <w:rsid w:val="00892397"/>
    <w:rsid w:val="008925FC"/>
    <w:rsid w:val="0089275D"/>
    <w:rsid w:val="00892A36"/>
    <w:rsid w:val="00892BC7"/>
    <w:rsid w:val="00893239"/>
    <w:rsid w:val="00893267"/>
    <w:rsid w:val="0089373B"/>
    <w:rsid w:val="008937AE"/>
    <w:rsid w:val="00893DA3"/>
    <w:rsid w:val="0089420E"/>
    <w:rsid w:val="00894489"/>
    <w:rsid w:val="0089452F"/>
    <w:rsid w:val="0089463C"/>
    <w:rsid w:val="00894CD6"/>
    <w:rsid w:val="008951BF"/>
    <w:rsid w:val="00895662"/>
    <w:rsid w:val="0089573B"/>
    <w:rsid w:val="008957B5"/>
    <w:rsid w:val="00895B9B"/>
    <w:rsid w:val="00895FC5"/>
    <w:rsid w:val="008963A5"/>
    <w:rsid w:val="008964E4"/>
    <w:rsid w:val="008965B1"/>
    <w:rsid w:val="008966B2"/>
    <w:rsid w:val="008969E3"/>
    <w:rsid w:val="00896B28"/>
    <w:rsid w:val="00896D5D"/>
    <w:rsid w:val="00896FF4"/>
    <w:rsid w:val="00897498"/>
    <w:rsid w:val="00897525"/>
    <w:rsid w:val="008976E2"/>
    <w:rsid w:val="0089789B"/>
    <w:rsid w:val="008978D7"/>
    <w:rsid w:val="008978FD"/>
    <w:rsid w:val="008A058F"/>
    <w:rsid w:val="008A0DEA"/>
    <w:rsid w:val="008A0FBA"/>
    <w:rsid w:val="008A1018"/>
    <w:rsid w:val="008A14E0"/>
    <w:rsid w:val="008A16EC"/>
    <w:rsid w:val="008A1703"/>
    <w:rsid w:val="008A1AB4"/>
    <w:rsid w:val="008A1B65"/>
    <w:rsid w:val="008A1ED0"/>
    <w:rsid w:val="008A1F2B"/>
    <w:rsid w:val="008A21DB"/>
    <w:rsid w:val="008A27FB"/>
    <w:rsid w:val="008A2D78"/>
    <w:rsid w:val="008A2EF8"/>
    <w:rsid w:val="008A3158"/>
    <w:rsid w:val="008A3363"/>
    <w:rsid w:val="008A3371"/>
    <w:rsid w:val="008A3947"/>
    <w:rsid w:val="008A3A95"/>
    <w:rsid w:val="008A3C3E"/>
    <w:rsid w:val="008A3D16"/>
    <w:rsid w:val="008A41F2"/>
    <w:rsid w:val="008A4476"/>
    <w:rsid w:val="008A460F"/>
    <w:rsid w:val="008A4A83"/>
    <w:rsid w:val="008A596F"/>
    <w:rsid w:val="008A606F"/>
    <w:rsid w:val="008A63A6"/>
    <w:rsid w:val="008A65FC"/>
    <w:rsid w:val="008A69F0"/>
    <w:rsid w:val="008A7230"/>
    <w:rsid w:val="008A74B7"/>
    <w:rsid w:val="008A79DE"/>
    <w:rsid w:val="008A7C8D"/>
    <w:rsid w:val="008B00E2"/>
    <w:rsid w:val="008B06E3"/>
    <w:rsid w:val="008B0C19"/>
    <w:rsid w:val="008B0C1A"/>
    <w:rsid w:val="008B0E75"/>
    <w:rsid w:val="008B1137"/>
    <w:rsid w:val="008B12C3"/>
    <w:rsid w:val="008B14EF"/>
    <w:rsid w:val="008B1757"/>
    <w:rsid w:val="008B1C33"/>
    <w:rsid w:val="008B1D55"/>
    <w:rsid w:val="008B1FB1"/>
    <w:rsid w:val="008B224B"/>
    <w:rsid w:val="008B236D"/>
    <w:rsid w:val="008B2D33"/>
    <w:rsid w:val="008B2DC5"/>
    <w:rsid w:val="008B33A4"/>
    <w:rsid w:val="008B3544"/>
    <w:rsid w:val="008B3C37"/>
    <w:rsid w:val="008B4379"/>
    <w:rsid w:val="008B43EE"/>
    <w:rsid w:val="008B4667"/>
    <w:rsid w:val="008B4B6F"/>
    <w:rsid w:val="008B4CE6"/>
    <w:rsid w:val="008B4F6E"/>
    <w:rsid w:val="008B529E"/>
    <w:rsid w:val="008B557D"/>
    <w:rsid w:val="008B5F39"/>
    <w:rsid w:val="008B6027"/>
    <w:rsid w:val="008B638D"/>
    <w:rsid w:val="008B6660"/>
    <w:rsid w:val="008B67AB"/>
    <w:rsid w:val="008B6805"/>
    <w:rsid w:val="008B690D"/>
    <w:rsid w:val="008B6C38"/>
    <w:rsid w:val="008B772A"/>
    <w:rsid w:val="008B796E"/>
    <w:rsid w:val="008B7992"/>
    <w:rsid w:val="008B7B6E"/>
    <w:rsid w:val="008B7D7E"/>
    <w:rsid w:val="008C0193"/>
    <w:rsid w:val="008C0431"/>
    <w:rsid w:val="008C0905"/>
    <w:rsid w:val="008C0BEA"/>
    <w:rsid w:val="008C10B3"/>
    <w:rsid w:val="008C1136"/>
    <w:rsid w:val="008C14C2"/>
    <w:rsid w:val="008C1C21"/>
    <w:rsid w:val="008C1D4B"/>
    <w:rsid w:val="008C1E08"/>
    <w:rsid w:val="008C3240"/>
    <w:rsid w:val="008C3338"/>
    <w:rsid w:val="008C3527"/>
    <w:rsid w:val="008C3786"/>
    <w:rsid w:val="008C3909"/>
    <w:rsid w:val="008C399B"/>
    <w:rsid w:val="008C3B05"/>
    <w:rsid w:val="008C3C22"/>
    <w:rsid w:val="008C3FA1"/>
    <w:rsid w:val="008C4290"/>
    <w:rsid w:val="008C4358"/>
    <w:rsid w:val="008C4690"/>
    <w:rsid w:val="008C49FB"/>
    <w:rsid w:val="008C4B1A"/>
    <w:rsid w:val="008C51BA"/>
    <w:rsid w:val="008C51C3"/>
    <w:rsid w:val="008C5610"/>
    <w:rsid w:val="008C5739"/>
    <w:rsid w:val="008C5C33"/>
    <w:rsid w:val="008C5FCE"/>
    <w:rsid w:val="008C6163"/>
    <w:rsid w:val="008C671D"/>
    <w:rsid w:val="008C6A18"/>
    <w:rsid w:val="008C6A4C"/>
    <w:rsid w:val="008C6B8D"/>
    <w:rsid w:val="008C6B9C"/>
    <w:rsid w:val="008C6C59"/>
    <w:rsid w:val="008C6ED5"/>
    <w:rsid w:val="008C7200"/>
    <w:rsid w:val="008C7282"/>
    <w:rsid w:val="008C737F"/>
    <w:rsid w:val="008C7E10"/>
    <w:rsid w:val="008C7ECB"/>
    <w:rsid w:val="008D0023"/>
    <w:rsid w:val="008D00BE"/>
    <w:rsid w:val="008D0191"/>
    <w:rsid w:val="008D0895"/>
    <w:rsid w:val="008D0A0D"/>
    <w:rsid w:val="008D0AB8"/>
    <w:rsid w:val="008D0D83"/>
    <w:rsid w:val="008D0EF1"/>
    <w:rsid w:val="008D1068"/>
    <w:rsid w:val="008D114E"/>
    <w:rsid w:val="008D1937"/>
    <w:rsid w:val="008D1CE2"/>
    <w:rsid w:val="008D25D7"/>
    <w:rsid w:val="008D26E9"/>
    <w:rsid w:val="008D2823"/>
    <w:rsid w:val="008D2A3E"/>
    <w:rsid w:val="008D2E28"/>
    <w:rsid w:val="008D2F90"/>
    <w:rsid w:val="008D3446"/>
    <w:rsid w:val="008D3A1E"/>
    <w:rsid w:val="008D3B58"/>
    <w:rsid w:val="008D3B86"/>
    <w:rsid w:val="008D3E77"/>
    <w:rsid w:val="008D418A"/>
    <w:rsid w:val="008D419D"/>
    <w:rsid w:val="008D4230"/>
    <w:rsid w:val="008D43FD"/>
    <w:rsid w:val="008D4755"/>
    <w:rsid w:val="008D49A7"/>
    <w:rsid w:val="008D4A0F"/>
    <w:rsid w:val="008D4BEF"/>
    <w:rsid w:val="008D4C3D"/>
    <w:rsid w:val="008D5B65"/>
    <w:rsid w:val="008D5C0E"/>
    <w:rsid w:val="008D5E09"/>
    <w:rsid w:val="008D6690"/>
    <w:rsid w:val="008D6703"/>
    <w:rsid w:val="008D67EC"/>
    <w:rsid w:val="008D7041"/>
    <w:rsid w:val="008D743C"/>
    <w:rsid w:val="008D79AA"/>
    <w:rsid w:val="008D7D41"/>
    <w:rsid w:val="008E008E"/>
    <w:rsid w:val="008E015D"/>
    <w:rsid w:val="008E04BA"/>
    <w:rsid w:val="008E067B"/>
    <w:rsid w:val="008E079D"/>
    <w:rsid w:val="008E0D3C"/>
    <w:rsid w:val="008E0F6B"/>
    <w:rsid w:val="008E13F3"/>
    <w:rsid w:val="008E1AA7"/>
    <w:rsid w:val="008E1B9E"/>
    <w:rsid w:val="008E1EC8"/>
    <w:rsid w:val="008E2199"/>
    <w:rsid w:val="008E23AC"/>
    <w:rsid w:val="008E24F2"/>
    <w:rsid w:val="008E2576"/>
    <w:rsid w:val="008E27D2"/>
    <w:rsid w:val="008E28BA"/>
    <w:rsid w:val="008E2B56"/>
    <w:rsid w:val="008E2D10"/>
    <w:rsid w:val="008E36FD"/>
    <w:rsid w:val="008E3C07"/>
    <w:rsid w:val="008E43AD"/>
    <w:rsid w:val="008E4731"/>
    <w:rsid w:val="008E48E0"/>
    <w:rsid w:val="008E49EC"/>
    <w:rsid w:val="008E4A4B"/>
    <w:rsid w:val="008E4ADE"/>
    <w:rsid w:val="008E4AEA"/>
    <w:rsid w:val="008E55AB"/>
    <w:rsid w:val="008E56AE"/>
    <w:rsid w:val="008E594E"/>
    <w:rsid w:val="008E5BB9"/>
    <w:rsid w:val="008E5FE4"/>
    <w:rsid w:val="008E615F"/>
    <w:rsid w:val="008E634A"/>
    <w:rsid w:val="008E635A"/>
    <w:rsid w:val="008E6413"/>
    <w:rsid w:val="008E6421"/>
    <w:rsid w:val="008E6433"/>
    <w:rsid w:val="008E650C"/>
    <w:rsid w:val="008E6587"/>
    <w:rsid w:val="008E6BC0"/>
    <w:rsid w:val="008E6F4B"/>
    <w:rsid w:val="008E717B"/>
    <w:rsid w:val="008E74D1"/>
    <w:rsid w:val="008E7FA8"/>
    <w:rsid w:val="008F002E"/>
    <w:rsid w:val="008F007F"/>
    <w:rsid w:val="008F0129"/>
    <w:rsid w:val="008F01DF"/>
    <w:rsid w:val="008F0870"/>
    <w:rsid w:val="008F120A"/>
    <w:rsid w:val="008F1EC4"/>
    <w:rsid w:val="008F25D9"/>
    <w:rsid w:val="008F2611"/>
    <w:rsid w:val="008F26CE"/>
    <w:rsid w:val="008F27E0"/>
    <w:rsid w:val="008F289D"/>
    <w:rsid w:val="008F2996"/>
    <w:rsid w:val="008F2A8B"/>
    <w:rsid w:val="008F2AC8"/>
    <w:rsid w:val="008F2B16"/>
    <w:rsid w:val="008F2B31"/>
    <w:rsid w:val="008F31CF"/>
    <w:rsid w:val="008F4478"/>
    <w:rsid w:val="008F48EB"/>
    <w:rsid w:val="008F49C8"/>
    <w:rsid w:val="008F49F3"/>
    <w:rsid w:val="008F4F0B"/>
    <w:rsid w:val="008F53DD"/>
    <w:rsid w:val="008F5447"/>
    <w:rsid w:val="008F560A"/>
    <w:rsid w:val="008F564A"/>
    <w:rsid w:val="008F5A44"/>
    <w:rsid w:val="008F5ED8"/>
    <w:rsid w:val="008F6260"/>
    <w:rsid w:val="008F6321"/>
    <w:rsid w:val="008F6508"/>
    <w:rsid w:val="008F6614"/>
    <w:rsid w:val="008F67B7"/>
    <w:rsid w:val="008F6A75"/>
    <w:rsid w:val="008F6BB4"/>
    <w:rsid w:val="008F7310"/>
    <w:rsid w:val="008F73A4"/>
    <w:rsid w:val="008F77D5"/>
    <w:rsid w:val="008F7B5B"/>
    <w:rsid w:val="008F7C65"/>
    <w:rsid w:val="008F7DB6"/>
    <w:rsid w:val="009001A0"/>
    <w:rsid w:val="0090071C"/>
    <w:rsid w:val="00900A26"/>
    <w:rsid w:val="00900D51"/>
    <w:rsid w:val="00900FA3"/>
    <w:rsid w:val="00901296"/>
    <w:rsid w:val="009014FF"/>
    <w:rsid w:val="00901775"/>
    <w:rsid w:val="0090177A"/>
    <w:rsid w:val="00901934"/>
    <w:rsid w:val="00901B62"/>
    <w:rsid w:val="00901B9E"/>
    <w:rsid w:val="00901C6B"/>
    <w:rsid w:val="00901EDD"/>
    <w:rsid w:val="00902124"/>
    <w:rsid w:val="00902229"/>
    <w:rsid w:val="009022A2"/>
    <w:rsid w:val="00902456"/>
    <w:rsid w:val="009024FC"/>
    <w:rsid w:val="00902C1D"/>
    <w:rsid w:val="00902F6E"/>
    <w:rsid w:val="00903136"/>
    <w:rsid w:val="00903334"/>
    <w:rsid w:val="00903851"/>
    <w:rsid w:val="009038E1"/>
    <w:rsid w:val="009039DE"/>
    <w:rsid w:val="00903BD3"/>
    <w:rsid w:val="00903F5E"/>
    <w:rsid w:val="009043A9"/>
    <w:rsid w:val="009046C4"/>
    <w:rsid w:val="00904701"/>
    <w:rsid w:val="009048CA"/>
    <w:rsid w:val="00904DD3"/>
    <w:rsid w:val="0090507C"/>
    <w:rsid w:val="009050E5"/>
    <w:rsid w:val="00905492"/>
    <w:rsid w:val="009058D1"/>
    <w:rsid w:val="00905E5F"/>
    <w:rsid w:val="00905F0D"/>
    <w:rsid w:val="009062A5"/>
    <w:rsid w:val="009063A1"/>
    <w:rsid w:val="009066EF"/>
    <w:rsid w:val="0090694B"/>
    <w:rsid w:val="009069D5"/>
    <w:rsid w:val="00907002"/>
    <w:rsid w:val="00907699"/>
    <w:rsid w:val="00907717"/>
    <w:rsid w:val="0090787C"/>
    <w:rsid w:val="00907D3D"/>
    <w:rsid w:val="00907E5A"/>
    <w:rsid w:val="009104DD"/>
    <w:rsid w:val="00910CDA"/>
    <w:rsid w:val="00910DF2"/>
    <w:rsid w:val="00910FA7"/>
    <w:rsid w:val="00911272"/>
    <w:rsid w:val="009112BF"/>
    <w:rsid w:val="00911339"/>
    <w:rsid w:val="00911779"/>
    <w:rsid w:val="00911EB2"/>
    <w:rsid w:val="00911F77"/>
    <w:rsid w:val="00911F80"/>
    <w:rsid w:val="009120CE"/>
    <w:rsid w:val="0091234B"/>
    <w:rsid w:val="009127D9"/>
    <w:rsid w:val="00912BB2"/>
    <w:rsid w:val="00912FFE"/>
    <w:rsid w:val="009134D9"/>
    <w:rsid w:val="009135CF"/>
    <w:rsid w:val="009135D6"/>
    <w:rsid w:val="0091361F"/>
    <w:rsid w:val="009137DE"/>
    <w:rsid w:val="009138D7"/>
    <w:rsid w:val="009139AA"/>
    <w:rsid w:val="00913B16"/>
    <w:rsid w:val="00913E4A"/>
    <w:rsid w:val="0091465A"/>
    <w:rsid w:val="0091488C"/>
    <w:rsid w:val="00914C29"/>
    <w:rsid w:val="00914C5C"/>
    <w:rsid w:val="00914C77"/>
    <w:rsid w:val="009152B1"/>
    <w:rsid w:val="0091595E"/>
    <w:rsid w:val="00915B16"/>
    <w:rsid w:val="00915BB9"/>
    <w:rsid w:val="00915E66"/>
    <w:rsid w:val="00916593"/>
    <w:rsid w:val="009165D1"/>
    <w:rsid w:val="009166DE"/>
    <w:rsid w:val="00916BCA"/>
    <w:rsid w:val="00916C1A"/>
    <w:rsid w:val="00917617"/>
    <w:rsid w:val="00917689"/>
    <w:rsid w:val="009176B3"/>
    <w:rsid w:val="00917AF5"/>
    <w:rsid w:val="00917B1F"/>
    <w:rsid w:val="00917FDD"/>
    <w:rsid w:val="0092000B"/>
    <w:rsid w:val="00920079"/>
    <w:rsid w:val="009201E3"/>
    <w:rsid w:val="0092024C"/>
    <w:rsid w:val="009203F6"/>
    <w:rsid w:val="00920989"/>
    <w:rsid w:val="00920A09"/>
    <w:rsid w:val="00920FF3"/>
    <w:rsid w:val="009210E7"/>
    <w:rsid w:val="009215C6"/>
    <w:rsid w:val="00921842"/>
    <w:rsid w:val="009219BB"/>
    <w:rsid w:val="00921A52"/>
    <w:rsid w:val="00921ACB"/>
    <w:rsid w:val="00921D8A"/>
    <w:rsid w:val="00921E02"/>
    <w:rsid w:val="00921F20"/>
    <w:rsid w:val="00921F8F"/>
    <w:rsid w:val="00922039"/>
    <w:rsid w:val="009220C8"/>
    <w:rsid w:val="009221C8"/>
    <w:rsid w:val="0092369B"/>
    <w:rsid w:val="0092390A"/>
    <w:rsid w:val="00923D79"/>
    <w:rsid w:val="00923DF6"/>
    <w:rsid w:val="00923EDA"/>
    <w:rsid w:val="0092407C"/>
    <w:rsid w:val="009241C6"/>
    <w:rsid w:val="00924296"/>
    <w:rsid w:val="00924365"/>
    <w:rsid w:val="009247BE"/>
    <w:rsid w:val="00924D57"/>
    <w:rsid w:val="00924E01"/>
    <w:rsid w:val="0092597E"/>
    <w:rsid w:val="009259D1"/>
    <w:rsid w:val="00925BB0"/>
    <w:rsid w:val="00925CCE"/>
    <w:rsid w:val="009260D4"/>
    <w:rsid w:val="009264C0"/>
    <w:rsid w:val="00926549"/>
    <w:rsid w:val="009267B1"/>
    <w:rsid w:val="00926824"/>
    <w:rsid w:val="00926C86"/>
    <w:rsid w:val="00926D2D"/>
    <w:rsid w:val="00926ED8"/>
    <w:rsid w:val="00927A0B"/>
    <w:rsid w:val="00927B37"/>
    <w:rsid w:val="00927B5C"/>
    <w:rsid w:val="00927C00"/>
    <w:rsid w:val="00927C1C"/>
    <w:rsid w:val="00930296"/>
    <w:rsid w:val="0093065E"/>
    <w:rsid w:val="009307C0"/>
    <w:rsid w:val="00930A15"/>
    <w:rsid w:val="00930C36"/>
    <w:rsid w:val="00930FAF"/>
    <w:rsid w:val="00931087"/>
    <w:rsid w:val="00931274"/>
    <w:rsid w:val="009315A8"/>
    <w:rsid w:val="00931A9B"/>
    <w:rsid w:val="00931B1A"/>
    <w:rsid w:val="00931C3C"/>
    <w:rsid w:val="00931C77"/>
    <w:rsid w:val="00931EAA"/>
    <w:rsid w:val="009322FA"/>
    <w:rsid w:val="009324C6"/>
    <w:rsid w:val="009326C5"/>
    <w:rsid w:val="00932767"/>
    <w:rsid w:val="00932907"/>
    <w:rsid w:val="00932AB7"/>
    <w:rsid w:val="00932C58"/>
    <w:rsid w:val="0093313E"/>
    <w:rsid w:val="00933202"/>
    <w:rsid w:val="0093356B"/>
    <w:rsid w:val="0093370B"/>
    <w:rsid w:val="0093379E"/>
    <w:rsid w:val="00933CB9"/>
    <w:rsid w:val="00933DF1"/>
    <w:rsid w:val="009343AC"/>
    <w:rsid w:val="00934594"/>
    <w:rsid w:val="009347A2"/>
    <w:rsid w:val="00934988"/>
    <w:rsid w:val="00934D81"/>
    <w:rsid w:val="00934DE3"/>
    <w:rsid w:val="00934ED3"/>
    <w:rsid w:val="00935B4F"/>
    <w:rsid w:val="00935E9D"/>
    <w:rsid w:val="009360A2"/>
    <w:rsid w:val="00936110"/>
    <w:rsid w:val="0093642D"/>
    <w:rsid w:val="00936560"/>
    <w:rsid w:val="009365B0"/>
    <w:rsid w:val="00936781"/>
    <w:rsid w:val="0093683C"/>
    <w:rsid w:val="00936F85"/>
    <w:rsid w:val="00937033"/>
    <w:rsid w:val="00937089"/>
    <w:rsid w:val="009371FD"/>
    <w:rsid w:val="0093729F"/>
    <w:rsid w:val="0093733A"/>
    <w:rsid w:val="00937B5F"/>
    <w:rsid w:val="00937ED3"/>
    <w:rsid w:val="009401B0"/>
    <w:rsid w:val="00940ADB"/>
    <w:rsid w:val="009412D1"/>
    <w:rsid w:val="009412FA"/>
    <w:rsid w:val="0094134C"/>
    <w:rsid w:val="0094138D"/>
    <w:rsid w:val="00941456"/>
    <w:rsid w:val="00941E87"/>
    <w:rsid w:val="009425C8"/>
    <w:rsid w:val="00942760"/>
    <w:rsid w:val="00942B85"/>
    <w:rsid w:val="00942C92"/>
    <w:rsid w:val="00943464"/>
    <w:rsid w:val="00943588"/>
    <w:rsid w:val="00943815"/>
    <w:rsid w:val="00943EF2"/>
    <w:rsid w:val="0094402D"/>
    <w:rsid w:val="00944073"/>
    <w:rsid w:val="009441C3"/>
    <w:rsid w:val="00944D8B"/>
    <w:rsid w:val="00944F8A"/>
    <w:rsid w:val="009452FE"/>
    <w:rsid w:val="00945491"/>
    <w:rsid w:val="009456FE"/>
    <w:rsid w:val="00945751"/>
    <w:rsid w:val="00945EE2"/>
    <w:rsid w:val="0094608D"/>
    <w:rsid w:val="009462ED"/>
    <w:rsid w:val="009468CD"/>
    <w:rsid w:val="00946934"/>
    <w:rsid w:val="009469B1"/>
    <w:rsid w:val="009472B6"/>
    <w:rsid w:val="009477C5"/>
    <w:rsid w:val="00947955"/>
    <w:rsid w:val="00947BAE"/>
    <w:rsid w:val="009506FA"/>
    <w:rsid w:val="009507F9"/>
    <w:rsid w:val="00950C84"/>
    <w:rsid w:val="00950D55"/>
    <w:rsid w:val="00950F8B"/>
    <w:rsid w:val="009510A2"/>
    <w:rsid w:val="009524FB"/>
    <w:rsid w:val="009529C7"/>
    <w:rsid w:val="00952EA7"/>
    <w:rsid w:val="00953097"/>
    <w:rsid w:val="00953257"/>
    <w:rsid w:val="00953DD0"/>
    <w:rsid w:val="0095408B"/>
    <w:rsid w:val="009542EF"/>
    <w:rsid w:val="009542F7"/>
    <w:rsid w:val="0095474C"/>
    <w:rsid w:val="0095476A"/>
    <w:rsid w:val="00954E50"/>
    <w:rsid w:val="00954F48"/>
    <w:rsid w:val="009551D1"/>
    <w:rsid w:val="00955294"/>
    <w:rsid w:val="00955369"/>
    <w:rsid w:val="0095557B"/>
    <w:rsid w:val="009555A7"/>
    <w:rsid w:val="00955DB0"/>
    <w:rsid w:val="00956580"/>
    <w:rsid w:val="009566D5"/>
    <w:rsid w:val="00956723"/>
    <w:rsid w:val="00956AF8"/>
    <w:rsid w:val="00956B84"/>
    <w:rsid w:val="00956D5A"/>
    <w:rsid w:val="00956DB1"/>
    <w:rsid w:val="00956E39"/>
    <w:rsid w:val="00956E6C"/>
    <w:rsid w:val="00957046"/>
    <w:rsid w:val="009571B9"/>
    <w:rsid w:val="0095748F"/>
    <w:rsid w:val="0095777D"/>
    <w:rsid w:val="00957823"/>
    <w:rsid w:val="009578D7"/>
    <w:rsid w:val="00957D92"/>
    <w:rsid w:val="00957DD0"/>
    <w:rsid w:val="00957FC4"/>
    <w:rsid w:val="0096054F"/>
    <w:rsid w:val="009605C5"/>
    <w:rsid w:val="00960718"/>
    <w:rsid w:val="00960EFE"/>
    <w:rsid w:val="009611D5"/>
    <w:rsid w:val="009613A6"/>
    <w:rsid w:val="00961A04"/>
    <w:rsid w:val="00961A18"/>
    <w:rsid w:val="00961AF6"/>
    <w:rsid w:val="00961DA3"/>
    <w:rsid w:val="009623AE"/>
    <w:rsid w:val="0096240D"/>
    <w:rsid w:val="009626FF"/>
    <w:rsid w:val="009629BB"/>
    <w:rsid w:val="00962A32"/>
    <w:rsid w:val="00962B3C"/>
    <w:rsid w:val="00962B5A"/>
    <w:rsid w:val="00962CB9"/>
    <w:rsid w:val="009635D4"/>
    <w:rsid w:val="00963BA0"/>
    <w:rsid w:val="00963DF8"/>
    <w:rsid w:val="00963EB8"/>
    <w:rsid w:val="00963F31"/>
    <w:rsid w:val="009640D6"/>
    <w:rsid w:val="00964312"/>
    <w:rsid w:val="00964761"/>
    <w:rsid w:val="00964A1F"/>
    <w:rsid w:val="00964DA0"/>
    <w:rsid w:val="00965B8A"/>
    <w:rsid w:val="00965FFD"/>
    <w:rsid w:val="0096642B"/>
    <w:rsid w:val="00966610"/>
    <w:rsid w:val="009666DB"/>
    <w:rsid w:val="0096676C"/>
    <w:rsid w:val="009668B5"/>
    <w:rsid w:val="0096692B"/>
    <w:rsid w:val="00966B0E"/>
    <w:rsid w:val="00966BAA"/>
    <w:rsid w:val="00966FDD"/>
    <w:rsid w:val="00967752"/>
    <w:rsid w:val="00967E42"/>
    <w:rsid w:val="00970404"/>
    <w:rsid w:val="009704A1"/>
    <w:rsid w:val="0097071F"/>
    <w:rsid w:val="00971506"/>
    <w:rsid w:val="009715DE"/>
    <w:rsid w:val="00971675"/>
    <w:rsid w:val="00971695"/>
    <w:rsid w:val="009717AC"/>
    <w:rsid w:val="00972024"/>
    <w:rsid w:val="009724B2"/>
    <w:rsid w:val="009724B7"/>
    <w:rsid w:val="009729E6"/>
    <w:rsid w:val="00972C19"/>
    <w:rsid w:val="00972ED1"/>
    <w:rsid w:val="00973555"/>
    <w:rsid w:val="009739C2"/>
    <w:rsid w:val="00973DE1"/>
    <w:rsid w:val="0097435E"/>
    <w:rsid w:val="009743AA"/>
    <w:rsid w:val="00974434"/>
    <w:rsid w:val="00974552"/>
    <w:rsid w:val="009746FF"/>
    <w:rsid w:val="00974A59"/>
    <w:rsid w:val="00974DEC"/>
    <w:rsid w:val="009751C1"/>
    <w:rsid w:val="0097555E"/>
    <w:rsid w:val="0097556A"/>
    <w:rsid w:val="00975683"/>
    <w:rsid w:val="00975991"/>
    <w:rsid w:val="00975DD4"/>
    <w:rsid w:val="0097635A"/>
    <w:rsid w:val="009763B6"/>
    <w:rsid w:val="009763E0"/>
    <w:rsid w:val="009764F2"/>
    <w:rsid w:val="009769F3"/>
    <w:rsid w:val="00976B11"/>
    <w:rsid w:val="00976C66"/>
    <w:rsid w:val="00976E1F"/>
    <w:rsid w:val="0097704A"/>
    <w:rsid w:val="009771BD"/>
    <w:rsid w:val="00977209"/>
    <w:rsid w:val="00977A50"/>
    <w:rsid w:val="00980304"/>
    <w:rsid w:val="00980942"/>
    <w:rsid w:val="00980DA2"/>
    <w:rsid w:val="00980EFD"/>
    <w:rsid w:val="009810A7"/>
    <w:rsid w:val="00981121"/>
    <w:rsid w:val="009811F1"/>
    <w:rsid w:val="00981281"/>
    <w:rsid w:val="009813A3"/>
    <w:rsid w:val="009814EE"/>
    <w:rsid w:val="009823B7"/>
    <w:rsid w:val="00982408"/>
    <w:rsid w:val="0098262F"/>
    <w:rsid w:val="00982698"/>
    <w:rsid w:val="00982D36"/>
    <w:rsid w:val="00982F28"/>
    <w:rsid w:val="00983128"/>
    <w:rsid w:val="009838B3"/>
    <w:rsid w:val="00983E57"/>
    <w:rsid w:val="009845B1"/>
    <w:rsid w:val="009847F5"/>
    <w:rsid w:val="009849F4"/>
    <w:rsid w:val="009854EB"/>
    <w:rsid w:val="00985697"/>
    <w:rsid w:val="00985737"/>
    <w:rsid w:val="009859B1"/>
    <w:rsid w:val="00985CBC"/>
    <w:rsid w:val="00985DAE"/>
    <w:rsid w:val="00985DE2"/>
    <w:rsid w:val="009863B9"/>
    <w:rsid w:val="00986653"/>
    <w:rsid w:val="0098675D"/>
    <w:rsid w:val="00987209"/>
    <w:rsid w:val="0098741F"/>
    <w:rsid w:val="009875BE"/>
    <w:rsid w:val="0098791D"/>
    <w:rsid w:val="009879DE"/>
    <w:rsid w:val="00987A7C"/>
    <w:rsid w:val="00987B26"/>
    <w:rsid w:val="00987BA4"/>
    <w:rsid w:val="009900C5"/>
    <w:rsid w:val="009906A2"/>
    <w:rsid w:val="00990810"/>
    <w:rsid w:val="00990843"/>
    <w:rsid w:val="00990BFD"/>
    <w:rsid w:val="00991253"/>
    <w:rsid w:val="00991565"/>
    <w:rsid w:val="00991993"/>
    <w:rsid w:val="009919BD"/>
    <w:rsid w:val="00991FB8"/>
    <w:rsid w:val="0099206A"/>
    <w:rsid w:val="009921AB"/>
    <w:rsid w:val="009921E5"/>
    <w:rsid w:val="00992254"/>
    <w:rsid w:val="0099257B"/>
    <w:rsid w:val="009925AB"/>
    <w:rsid w:val="009925C3"/>
    <w:rsid w:val="009926E0"/>
    <w:rsid w:val="009927A4"/>
    <w:rsid w:val="00992D3A"/>
    <w:rsid w:val="00993533"/>
    <w:rsid w:val="00993696"/>
    <w:rsid w:val="00993999"/>
    <w:rsid w:val="009939A3"/>
    <w:rsid w:val="00993A5C"/>
    <w:rsid w:val="00993E5D"/>
    <w:rsid w:val="00993F19"/>
    <w:rsid w:val="00993F4C"/>
    <w:rsid w:val="00994363"/>
    <w:rsid w:val="0099451E"/>
    <w:rsid w:val="009946B9"/>
    <w:rsid w:val="00994B30"/>
    <w:rsid w:val="00994B3F"/>
    <w:rsid w:val="00994B51"/>
    <w:rsid w:val="00995391"/>
    <w:rsid w:val="009953F7"/>
    <w:rsid w:val="00995717"/>
    <w:rsid w:val="00995847"/>
    <w:rsid w:val="00995885"/>
    <w:rsid w:val="00996444"/>
    <w:rsid w:val="009965AF"/>
    <w:rsid w:val="0099679A"/>
    <w:rsid w:val="009967B7"/>
    <w:rsid w:val="009967CE"/>
    <w:rsid w:val="0099696D"/>
    <w:rsid w:val="00996AA7"/>
    <w:rsid w:val="00996B1A"/>
    <w:rsid w:val="00996B91"/>
    <w:rsid w:val="00996F0F"/>
    <w:rsid w:val="00997212"/>
    <w:rsid w:val="009973B6"/>
    <w:rsid w:val="009975D6"/>
    <w:rsid w:val="009975FD"/>
    <w:rsid w:val="00997AD6"/>
    <w:rsid w:val="00997C66"/>
    <w:rsid w:val="00997F49"/>
    <w:rsid w:val="009A0015"/>
    <w:rsid w:val="009A0022"/>
    <w:rsid w:val="009A00B9"/>
    <w:rsid w:val="009A00E1"/>
    <w:rsid w:val="009A080A"/>
    <w:rsid w:val="009A0BF2"/>
    <w:rsid w:val="009A18F6"/>
    <w:rsid w:val="009A1A29"/>
    <w:rsid w:val="009A1E6B"/>
    <w:rsid w:val="009A22CA"/>
    <w:rsid w:val="009A2540"/>
    <w:rsid w:val="009A26F2"/>
    <w:rsid w:val="009A293B"/>
    <w:rsid w:val="009A2C13"/>
    <w:rsid w:val="009A2D2D"/>
    <w:rsid w:val="009A2DCC"/>
    <w:rsid w:val="009A2E50"/>
    <w:rsid w:val="009A30A6"/>
    <w:rsid w:val="009A41FC"/>
    <w:rsid w:val="009A43D0"/>
    <w:rsid w:val="009A442F"/>
    <w:rsid w:val="009A4975"/>
    <w:rsid w:val="009A49E9"/>
    <w:rsid w:val="009A4FD8"/>
    <w:rsid w:val="009A513D"/>
    <w:rsid w:val="009A57D8"/>
    <w:rsid w:val="009A595E"/>
    <w:rsid w:val="009A5A2E"/>
    <w:rsid w:val="009A5ABC"/>
    <w:rsid w:val="009A5E77"/>
    <w:rsid w:val="009A61AB"/>
    <w:rsid w:val="009A645F"/>
    <w:rsid w:val="009A650C"/>
    <w:rsid w:val="009A68DA"/>
    <w:rsid w:val="009A7471"/>
    <w:rsid w:val="009A7C2D"/>
    <w:rsid w:val="009A7D1E"/>
    <w:rsid w:val="009A7F10"/>
    <w:rsid w:val="009B0016"/>
    <w:rsid w:val="009B002C"/>
    <w:rsid w:val="009B03A1"/>
    <w:rsid w:val="009B0A9B"/>
    <w:rsid w:val="009B0ABA"/>
    <w:rsid w:val="009B10F9"/>
    <w:rsid w:val="009B14B2"/>
    <w:rsid w:val="009B16B2"/>
    <w:rsid w:val="009B199F"/>
    <w:rsid w:val="009B1B0B"/>
    <w:rsid w:val="009B2AB2"/>
    <w:rsid w:val="009B2D79"/>
    <w:rsid w:val="009B2D91"/>
    <w:rsid w:val="009B2DD6"/>
    <w:rsid w:val="009B304D"/>
    <w:rsid w:val="009B31BF"/>
    <w:rsid w:val="009B33CF"/>
    <w:rsid w:val="009B3407"/>
    <w:rsid w:val="009B34E3"/>
    <w:rsid w:val="009B3AB4"/>
    <w:rsid w:val="009B3E26"/>
    <w:rsid w:val="009B3E3B"/>
    <w:rsid w:val="009B3F75"/>
    <w:rsid w:val="009B4544"/>
    <w:rsid w:val="009B470C"/>
    <w:rsid w:val="009B4887"/>
    <w:rsid w:val="009B49B4"/>
    <w:rsid w:val="009B4A40"/>
    <w:rsid w:val="009B5056"/>
    <w:rsid w:val="009B5452"/>
    <w:rsid w:val="009B5633"/>
    <w:rsid w:val="009B597A"/>
    <w:rsid w:val="009B60AD"/>
    <w:rsid w:val="009B6285"/>
    <w:rsid w:val="009B639C"/>
    <w:rsid w:val="009B6508"/>
    <w:rsid w:val="009B695B"/>
    <w:rsid w:val="009B6F53"/>
    <w:rsid w:val="009B7268"/>
    <w:rsid w:val="009B77EB"/>
    <w:rsid w:val="009B783D"/>
    <w:rsid w:val="009B7E37"/>
    <w:rsid w:val="009C064F"/>
    <w:rsid w:val="009C06C4"/>
    <w:rsid w:val="009C0906"/>
    <w:rsid w:val="009C0BB8"/>
    <w:rsid w:val="009C0CCE"/>
    <w:rsid w:val="009C0E66"/>
    <w:rsid w:val="009C1271"/>
    <w:rsid w:val="009C12EB"/>
    <w:rsid w:val="009C13E7"/>
    <w:rsid w:val="009C1742"/>
    <w:rsid w:val="009C1BC2"/>
    <w:rsid w:val="009C1BCD"/>
    <w:rsid w:val="009C1C08"/>
    <w:rsid w:val="009C1D50"/>
    <w:rsid w:val="009C279E"/>
    <w:rsid w:val="009C28C2"/>
    <w:rsid w:val="009C2F2F"/>
    <w:rsid w:val="009C320E"/>
    <w:rsid w:val="009C3450"/>
    <w:rsid w:val="009C3530"/>
    <w:rsid w:val="009C35B7"/>
    <w:rsid w:val="009C3706"/>
    <w:rsid w:val="009C379F"/>
    <w:rsid w:val="009C3A3A"/>
    <w:rsid w:val="009C3F89"/>
    <w:rsid w:val="009C3FA1"/>
    <w:rsid w:val="009C4110"/>
    <w:rsid w:val="009C426B"/>
    <w:rsid w:val="009C47A0"/>
    <w:rsid w:val="009C4A1B"/>
    <w:rsid w:val="009C53FD"/>
    <w:rsid w:val="009C5602"/>
    <w:rsid w:val="009C5883"/>
    <w:rsid w:val="009C5EBC"/>
    <w:rsid w:val="009C5EE1"/>
    <w:rsid w:val="009C65C0"/>
    <w:rsid w:val="009C66D3"/>
    <w:rsid w:val="009C6AF2"/>
    <w:rsid w:val="009C6CEA"/>
    <w:rsid w:val="009C75B6"/>
    <w:rsid w:val="009C78CA"/>
    <w:rsid w:val="009C7B85"/>
    <w:rsid w:val="009C7CBE"/>
    <w:rsid w:val="009C7E68"/>
    <w:rsid w:val="009C7FAD"/>
    <w:rsid w:val="009D0254"/>
    <w:rsid w:val="009D034D"/>
    <w:rsid w:val="009D05B8"/>
    <w:rsid w:val="009D0660"/>
    <w:rsid w:val="009D09A8"/>
    <w:rsid w:val="009D0EA3"/>
    <w:rsid w:val="009D0FEE"/>
    <w:rsid w:val="009D1051"/>
    <w:rsid w:val="009D17CC"/>
    <w:rsid w:val="009D18AD"/>
    <w:rsid w:val="009D18FD"/>
    <w:rsid w:val="009D1A64"/>
    <w:rsid w:val="009D1B32"/>
    <w:rsid w:val="009D1E91"/>
    <w:rsid w:val="009D20C6"/>
    <w:rsid w:val="009D20FA"/>
    <w:rsid w:val="009D21B3"/>
    <w:rsid w:val="009D236F"/>
    <w:rsid w:val="009D250F"/>
    <w:rsid w:val="009D266C"/>
    <w:rsid w:val="009D28C2"/>
    <w:rsid w:val="009D29EC"/>
    <w:rsid w:val="009D2A4B"/>
    <w:rsid w:val="009D38BB"/>
    <w:rsid w:val="009D397F"/>
    <w:rsid w:val="009D436F"/>
    <w:rsid w:val="009D4385"/>
    <w:rsid w:val="009D43A4"/>
    <w:rsid w:val="009D4473"/>
    <w:rsid w:val="009D458D"/>
    <w:rsid w:val="009D4AD6"/>
    <w:rsid w:val="009D4C27"/>
    <w:rsid w:val="009D4DAE"/>
    <w:rsid w:val="009D4E36"/>
    <w:rsid w:val="009D545B"/>
    <w:rsid w:val="009D5719"/>
    <w:rsid w:val="009D5820"/>
    <w:rsid w:val="009D589E"/>
    <w:rsid w:val="009D5B91"/>
    <w:rsid w:val="009D6206"/>
    <w:rsid w:val="009D6A52"/>
    <w:rsid w:val="009D7050"/>
    <w:rsid w:val="009D74C7"/>
    <w:rsid w:val="009D758E"/>
    <w:rsid w:val="009D75F5"/>
    <w:rsid w:val="009D779C"/>
    <w:rsid w:val="009D78B1"/>
    <w:rsid w:val="009D792E"/>
    <w:rsid w:val="009D79F2"/>
    <w:rsid w:val="009D7DD8"/>
    <w:rsid w:val="009E0154"/>
    <w:rsid w:val="009E01B8"/>
    <w:rsid w:val="009E08F5"/>
    <w:rsid w:val="009E0B3B"/>
    <w:rsid w:val="009E0DFE"/>
    <w:rsid w:val="009E1045"/>
    <w:rsid w:val="009E10A1"/>
    <w:rsid w:val="009E10AE"/>
    <w:rsid w:val="009E1B24"/>
    <w:rsid w:val="009E1C5F"/>
    <w:rsid w:val="009E2001"/>
    <w:rsid w:val="009E202F"/>
    <w:rsid w:val="009E243E"/>
    <w:rsid w:val="009E24BD"/>
    <w:rsid w:val="009E2912"/>
    <w:rsid w:val="009E30C0"/>
    <w:rsid w:val="009E31F6"/>
    <w:rsid w:val="009E3208"/>
    <w:rsid w:val="009E35A4"/>
    <w:rsid w:val="009E3CCA"/>
    <w:rsid w:val="009E43DF"/>
    <w:rsid w:val="009E4449"/>
    <w:rsid w:val="009E4470"/>
    <w:rsid w:val="009E4A2C"/>
    <w:rsid w:val="009E4C07"/>
    <w:rsid w:val="009E4E86"/>
    <w:rsid w:val="009E545A"/>
    <w:rsid w:val="009E5CCD"/>
    <w:rsid w:val="009E5D53"/>
    <w:rsid w:val="009E5EB1"/>
    <w:rsid w:val="009E60AE"/>
    <w:rsid w:val="009E6309"/>
    <w:rsid w:val="009E640B"/>
    <w:rsid w:val="009E6459"/>
    <w:rsid w:val="009E6A2E"/>
    <w:rsid w:val="009E6AC0"/>
    <w:rsid w:val="009E6C03"/>
    <w:rsid w:val="009E6E8C"/>
    <w:rsid w:val="009E7191"/>
    <w:rsid w:val="009E72B9"/>
    <w:rsid w:val="009E7668"/>
    <w:rsid w:val="009E777F"/>
    <w:rsid w:val="009E786D"/>
    <w:rsid w:val="009E7A08"/>
    <w:rsid w:val="009E7B4D"/>
    <w:rsid w:val="009F0119"/>
    <w:rsid w:val="009F082A"/>
    <w:rsid w:val="009F091A"/>
    <w:rsid w:val="009F0FD2"/>
    <w:rsid w:val="009F106F"/>
    <w:rsid w:val="009F10D2"/>
    <w:rsid w:val="009F11F6"/>
    <w:rsid w:val="009F1212"/>
    <w:rsid w:val="009F171D"/>
    <w:rsid w:val="009F1E66"/>
    <w:rsid w:val="009F23C0"/>
    <w:rsid w:val="009F2469"/>
    <w:rsid w:val="009F277D"/>
    <w:rsid w:val="009F2D3F"/>
    <w:rsid w:val="009F2DC9"/>
    <w:rsid w:val="009F2E14"/>
    <w:rsid w:val="009F3099"/>
    <w:rsid w:val="009F322B"/>
    <w:rsid w:val="009F37A2"/>
    <w:rsid w:val="009F3AF0"/>
    <w:rsid w:val="009F3BF5"/>
    <w:rsid w:val="009F3D7E"/>
    <w:rsid w:val="009F3FAD"/>
    <w:rsid w:val="009F413E"/>
    <w:rsid w:val="009F4403"/>
    <w:rsid w:val="009F4D57"/>
    <w:rsid w:val="009F4DA4"/>
    <w:rsid w:val="009F4FF2"/>
    <w:rsid w:val="009F502F"/>
    <w:rsid w:val="009F5044"/>
    <w:rsid w:val="009F50C2"/>
    <w:rsid w:val="009F58BD"/>
    <w:rsid w:val="009F59AB"/>
    <w:rsid w:val="009F5CC5"/>
    <w:rsid w:val="009F5E6D"/>
    <w:rsid w:val="009F60B3"/>
    <w:rsid w:val="009F6120"/>
    <w:rsid w:val="009F63F5"/>
    <w:rsid w:val="009F685E"/>
    <w:rsid w:val="009F6AC0"/>
    <w:rsid w:val="009F6D91"/>
    <w:rsid w:val="009F7089"/>
    <w:rsid w:val="009F7128"/>
    <w:rsid w:val="009F76CE"/>
    <w:rsid w:val="009F791B"/>
    <w:rsid w:val="009F7BAA"/>
    <w:rsid w:val="00A001E1"/>
    <w:rsid w:val="00A0026D"/>
    <w:rsid w:val="00A003C4"/>
    <w:rsid w:val="00A005C8"/>
    <w:rsid w:val="00A00C94"/>
    <w:rsid w:val="00A00D76"/>
    <w:rsid w:val="00A00F7F"/>
    <w:rsid w:val="00A0117E"/>
    <w:rsid w:val="00A01184"/>
    <w:rsid w:val="00A01449"/>
    <w:rsid w:val="00A01779"/>
    <w:rsid w:val="00A01F6F"/>
    <w:rsid w:val="00A021BA"/>
    <w:rsid w:val="00A02370"/>
    <w:rsid w:val="00A02604"/>
    <w:rsid w:val="00A02D81"/>
    <w:rsid w:val="00A02FD4"/>
    <w:rsid w:val="00A03103"/>
    <w:rsid w:val="00A031A5"/>
    <w:rsid w:val="00A037C2"/>
    <w:rsid w:val="00A03BC2"/>
    <w:rsid w:val="00A03C57"/>
    <w:rsid w:val="00A03D43"/>
    <w:rsid w:val="00A03D85"/>
    <w:rsid w:val="00A03E86"/>
    <w:rsid w:val="00A04380"/>
    <w:rsid w:val="00A04505"/>
    <w:rsid w:val="00A04786"/>
    <w:rsid w:val="00A0492B"/>
    <w:rsid w:val="00A04FBD"/>
    <w:rsid w:val="00A05077"/>
    <w:rsid w:val="00A05221"/>
    <w:rsid w:val="00A05472"/>
    <w:rsid w:val="00A05A1E"/>
    <w:rsid w:val="00A05AA4"/>
    <w:rsid w:val="00A05ACF"/>
    <w:rsid w:val="00A05C32"/>
    <w:rsid w:val="00A05FFF"/>
    <w:rsid w:val="00A060D4"/>
    <w:rsid w:val="00A0653F"/>
    <w:rsid w:val="00A066B0"/>
    <w:rsid w:val="00A066FF"/>
    <w:rsid w:val="00A06735"/>
    <w:rsid w:val="00A075F8"/>
    <w:rsid w:val="00A07BBF"/>
    <w:rsid w:val="00A1000E"/>
    <w:rsid w:val="00A1092A"/>
    <w:rsid w:val="00A10B41"/>
    <w:rsid w:val="00A1129B"/>
    <w:rsid w:val="00A114E0"/>
    <w:rsid w:val="00A11504"/>
    <w:rsid w:val="00A11759"/>
    <w:rsid w:val="00A11786"/>
    <w:rsid w:val="00A11CD0"/>
    <w:rsid w:val="00A11F0E"/>
    <w:rsid w:val="00A120F8"/>
    <w:rsid w:val="00A121B8"/>
    <w:rsid w:val="00A122F9"/>
    <w:rsid w:val="00A123D8"/>
    <w:rsid w:val="00A127A9"/>
    <w:rsid w:val="00A12ABD"/>
    <w:rsid w:val="00A12BB8"/>
    <w:rsid w:val="00A12D15"/>
    <w:rsid w:val="00A12FA6"/>
    <w:rsid w:val="00A13183"/>
    <w:rsid w:val="00A131B5"/>
    <w:rsid w:val="00A1328A"/>
    <w:rsid w:val="00A133AD"/>
    <w:rsid w:val="00A13919"/>
    <w:rsid w:val="00A13948"/>
    <w:rsid w:val="00A13F93"/>
    <w:rsid w:val="00A140DD"/>
    <w:rsid w:val="00A1444F"/>
    <w:rsid w:val="00A144DA"/>
    <w:rsid w:val="00A150B3"/>
    <w:rsid w:val="00A1555B"/>
    <w:rsid w:val="00A155C5"/>
    <w:rsid w:val="00A1568F"/>
    <w:rsid w:val="00A15B59"/>
    <w:rsid w:val="00A15C33"/>
    <w:rsid w:val="00A15DA8"/>
    <w:rsid w:val="00A15EA4"/>
    <w:rsid w:val="00A15ED7"/>
    <w:rsid w:val="00A1608A"/>
    <w:rsid w:val="00A1665B"/>
    <w:rsid w:val="00A169F0"/>
    <w:rsid w:val="00A16A41"/>
    <w:rsid w:val="00A16AD8"/>
    <w:rsid w:val="00A16BC4"/>
    <w:rsid w:val="00A16E1C"/>
    <w:rsid w:val="00A16F4A"/>
    <w:rsid w:val="00A17E8F"/>
    <w:rsid w:val="00A2021E"/>
    <w:rsid w:val="00A203E5"/>
    <w:rsid w:val="00A20902"/>
    <w:rsid w:val="00A209E3"/>
    <w:rsid w:val="00A20AA7"/>
    <w:rsid w:val="00A210AD"/>
    <w:rsid w:val="00A2146B"/>
    <w:rsid w:val="00A214CC"/>
    <w:rsid w:val="00A21541"/>
    <w:rsid w:val="00A216F9"/>
    <w:rsid w:val="00A21745"/>
    <w:rsid w:val="00A2197D"/>
    <w:rsid w:val="00A21C95"/>
    <w:rsid w:val="00A21CF3"/>
    <w:rsid w:val="00A222BC"/>
    <w:rsid w:val="00A223D4"/>
    <w:rsid w:val="00A2256D"/>
    <w:rsid w:val="00A228E9"/>
    <w:rsid w:val="00A22F6B"/>
    <w:rsid w:val="00A22FC5"/>
    <w:rsid w:val="00A23362"/>
    <w:rsid w:val="00A2376B"/>
    <w:rsid w:val="00A2384A"/>
    <w:rsid w:val="00A23983"/>
    <w:rsid w:val="00A23A11"/>
    <w:rsid w:val="00A23A3E"/>
    <w:rsid w:val="00A23C0A"/>
    <w:rsid w:val="00A23E38"/>
    <w:rsid w:val="00A23F64"/>
    <w:rsid w:val="00A23FFB"/>
    <w:rsid w:val="00A246B6"/>
    <w:rsid w:val="00A24812"/>
    <w:rsid w:val="00A24813"/>
    <w:rsid w:val="00A249EC"/>
    <w:rsid w:val="00A24AA5"/>
    <w:rsid w:val="00A24EF4"/>
    <w:rsid w:val="00A24F23"/>
    <w:rsid w:val="00A251AF"/>
    <w:rsid w:val="00A25270"/>
    <w:rsid w:val="00A25363"/>
    <w:rsid w:val="00A2572F"/>
    <w:rsid w:val="00A25A45"/>
    <w:rsid w:val="00A25B51"/>
    <w:rsid w:val="00A261CA"/>
    <w:rsid w:val="00A264C5"/>
    <w:rsid w:val="00A2680A"/>
    <w:rsid w:val="00A26D07"/>
    <w:rsid w:val="00A27372"/>
    <w:rsid w:val="00A27383"/>
    <w:rsid w:val="00A2785B"/>
    <w:rsid w:val="00A27AEC"/>
    <w:rsid w:val="00A30145"/>
    <w:rsid w:val="00A301A2"/>
    <w:rsid w:val="00A306B1"/>
    <w:rsid w:val="00A30B30"/>
    <w:rsid w:val="00A31195"/>
    <w:rsid w:val="00A31603"/>
    <w:rsid w:val="00A31771"/>
    <w:rsid w:val="00A3190B"/>
    <w:rsid w:val="00A320AA"/>
    <w:rsid w:val="00A320DB"/>
    <w:rsid w:val="00A32103"/>
    <w:rsid w:val="00A3213F"/>
    <w:rsid w:val="00A321D6"/>
    <w:rsid w:val="00A324A1"/>
    <w:rsid w:val="00A3269C"/>
    <w:rsid w:val="00A329DC"/>
    <w:rsid w:val="00A32ACE"/>
    <w:rsid w:val="00A32F30"/>
    <w:rsid w:val="00A336A6"/>
    <w:rsid w:val="00A336E9"/>
    <w:rsid w:val="00A3397E"/>
    <w:rsid w:val="00A34588"/>
    <w:rsid w:val="00A35233"/>
    <w:rsid w:val="00A353E1"/>
    <w:rsid w:val="00A3569F"/>
    <w:rsid w:val="00A357A4"/>
    <w:rsid w:val="00A359D1"/>
    <w:rsid w:val="00A35C3C"/>
    <w:rsid w:val="00A35D16"/>
    <w:rsid w:val="00A35F36"/>
    <w:rsid w:val="00A35FFF"/>
    <w:rsid w:val="00A360F8"/>
    <w:rsid w:val="00A3641E"/>
    <w:rsid w:val="00A3666F"/>
    <w:rsid w:val="00A36AE1"/>
    <w:rsid w:val="00A36CD1"/>
    <w:rsid w:val="00A36D04"/>
    <w:rsid w:val="00A37476"/>
    <w:rsid w:val="00A374D7"/>
    <w:rsid w:val="00A37B25"/>
    <w:rsid w:val="00A37BCD"/>
    <w:rsid w:val="00A40124"/>
    <w:rsid w:val="00A40170"/>
    <w:rsid w:val="00A4093B"/>
    <w:rsid w:val="00A41689"/>
    <w:rsid w:val="00A41969"/>
    <w:rsid w:val="00A41BD4"/>
    <w:rsid w:val="00A41D0F"/>
    <w:rsid w:val="00A421F9"/>
    <w:rsid w:val="00A4250A"/>
    <w:rsid w:val="00A42592"/>
    <w:rsid w:val="00A4268D"/>
    <w:rsid w:val="00A428F2"/>
    <w:rsid w:val="00A428F4"/>
    <w:rsid w:val="00A42BF7"/>
    <w:rsid w:val="00A42DC5"/>
    <w:rsid w:val="00A42FA1"/>
    <w:rsid w:val="00A43065"/>
    <w:rsid w:val="00A43820"/>
    <w:rsid w:val="00A439BE"/>
    <w:rsid w:val="00A43BEA"/>
    <w:rsid w:val="00A43C59"/>
    <w:rsid w:val="00A43D2F"/>
    <w:rsid w:val="00A43D6A"/>
    <w:rsid w:val="00A43E9C"/>
    <w:rsid w:val="00A44150"/>
    <w:rsid w:val="00A44248"/>
    <w:rsid w:val="00A44ED0"/>
    <w:rsid w:val="00A44F56"/>
    <w:rsid w:val="00A44F62"/>
    <w:rsid w:val="00A45249"/>
    <w:rsid w:val="00A45A60"/>
    <w:rsid w:val="00A45BFD"/>
    <w:rsid w:val="00A45C39"/>
    <w:rsid w:val="00A45E91"/>
    <w:rsid w:val="00A45F73"/>
    <w:rsid w:val="00A464B6"/>
    <w:rsid w:val="00A4661A"/>
    <w:rsid w:val="00A46CA7"/>
    <w:rsid w:val="00A46DCE"/>
    <w:rsid w:val="00A471F5"/>
    <w:rsid w:val="00A472F4"/>
    <w:rsid w:val="00A474B5"/>
    <w:rsid w:val="00A478E9"/>
    <w:rsid w:val="00A47A63"/>
    <w:rsid w:val="00A47BA4"/>
    <w:rsid w:val="00A47D0A"/>
    <w:rsid w:val="00A47E4D"/>
    <w:rsid w:val="00A5036A"/>
    <w:rsid w:val="00A50729"/>
    <w:rsid w:val="00A50741"/>
    <w:rsid w:val="00A508FD"/>
    <w:rsid w:val="00A50A2C"/>
    <w:rsid w:val="00A50B2A"/>
    <w:rsid w:val="00A50ECD"/>
    <w:rsid w:val="00A5125E"/>
    <w:rsid w:val="00A515CB"/>
    <w:rsid w:val="00A51697"/>
    <w:rsid w:val="00A516FA"/>
    <w:rsid w:val="00A518F3"/>
    <w:rsid w:val="00A51AB3"/>
    <w:rsid w:val="00A51FFE"/>
    <w:rsid w:val="00A52528"/>
    <w:rsid w:val="00A526EF"/>
    <w:rsid w:val="00A52729"/>
    <w:rsid w:val="00A52AA7"/>
    <w:rsid w:val="00A52C17"/>
    <w:rsid w:val="00A53675"/>
    <w:rsid w:val="00A53B5D"/>
    <w:rsid w:val="00A53B84"/>
    <w:rsid w:val="00A53BB7"/>
    <w:rsid w:val="00A53DA6"/>
    <w:rsid w:val="00A54025"/>
    <w:rsid w:val="00A54465"/>
    <w:rsid w:val="00A5463A"/>
    <w:rsid w:val="00A5502D"/>
    <w:rsid w:val="00A55133"/>
    <w:rsid w:val="00A55603"/>
    <w:rsid w:val="00A558D4"/>
    <w:rsid w:val="00A55E10"/>
    <w:rsid w:val="00A5605E"/>
    <w:rsid w:val="00A560F7"/>
    <w:rsid w:val="00A56120"/>
    <w:rsid w:val="00A562A2"/>
    <w:rsid w:val="00A564D7"/>
    <w:rsid w:val="00A56B6A"/>
    <w:rsid w:val="00A56D6D"/>
    <w:rsid w:val="00A56F7A"/>
    <w:rsid w:val="00A56F8E"/>
    <w:rsid w:val="00A57492"/>
    <w:rsid w:val="00A577EB"/>
    <w:rsid w:val="00A578B3"/>
    <w:rsid w:val="00A578DC"/>
    <w:rsid w:val="00A601F5"/>
    <w:rsid w:val="00A60A20"/>
    <w:rsid w:val="00A60AC6"/>
    <w:rsid w:val="00A60B9F"/>
    <w:rsid w:val="00A60D51"/>
    <w:rsid w:val="00A60FF1"/>
    <w:rsid w:val="00A6124E"/>
    <w:rsid w:val="00A613BB"/>
    <w:rsid w:val="00A61634"/>
    <w:rsid w:val="00A61893"/>
    <w:rsid w:val="00A61969"/>
    <w:rsid w:val="00A61E2F"/>
    <w:rsid w:val="00A61E4A"/>
    <w:rsid w:val="00A62385"/>
    <w:rsid w:val="00A62615"/>
    <w:rsid w:val="00A6261E"/>
    <w:rsid w:val="00A62670"/>
    <w:rsid w:val="00A62798"/>
    <w:rsid w:val="00A62A47"/>
    <w:rsid w:val="00A62ADA"/>
    <w:rsid w:val="00A62DCF"/>
    <w:rsid w:val="00A62E3C"/>
    <w:rsid w:val="00A632C5"/>
    <w:rsid w:val="00A63E43"/>
    <w:rsid w:val="00A640E2"/>
    <w:rsid w:val="00A648B3"/>
    <w:rsid w:val="00A64D65"/>
    <w:rsid w:val="00A6554E"/>
    <w:rsid w:val="00A65983"/>
    <w:rsid w:val="00A65A10"/>
    <w:rsid w:val="00A65B11"/>
    <w:rsid w:val="00A666A5"/>
    <w:rsid w:val="00A6692A"/>
    <w:rsid w:val="00A669DD"/>
    <w:rsid w:val="00A66A6D"/>
    <w:rsid w:val="00A66AAC"/>
    <w:rsid w:val="00A66EC4"/>
    <w:rsid w:val="00A66EC7"/>
    <w:rsid w:val="00A6708A"/>
    <w:rsid w:val="00A6725B"/>
    <w:rsid w:val="00A673A1"/>
    <w:rsid w:val="00A675F1"/>
    <w:rsid w:val="00A67931"/>
    <w:rsid w:val="00A67985"/>
    <w:rsid w:val="00A67BC1"/>
    <w:rsid w:val="00A67CB8"/>
    <w:rsid w:val="00A67E2E"/>
    <w:rsid w:val="00A70558"/>
    <w:rsid w:val="00A70605"/>
    <w:rsid w:val="00A706A2"/>
    <w:rsid w:val="00A708A0"/>
    <w:rsid w:val="00A70905"/>
    <w:rsid w:val="00A70A2D"/>
    <w:rsid w:val="00A70CC0"/>
    <w:rsid w:val="00A70DC8"/>
    <w:rsid w:val="00A71522"/>
    <w:rsid w:val="00A7158E"/>
    <w:rsid w:val="00A715FF"/>
    <w:rsid w:val="00A71BE3"/>
    <w:rsid w:val="00A71BEC"/>
    <w:rsid w:val="00A71F71"/>
    <w:rsid w:val="00A72216"/>
    <w:rsid w:val="00A7240B"/>
    <w:rsid w:val="00A72463"/>
    <w:rsid w:val="00A72562"/>
    <w:rsid w:val="00A73104"/>
    <w:rsid w:val="00A73134"/>
    <w:rsid w:val="00A731BF"/>
    <w:rsid w:val="00A732EF"/>
    <w:rsid w:val="00A7355E"/>
    <w:rsid w:val="00A7365A"/>
    <w:rsid w:val="00A73796"/>
    <w:rsid w:val="00A73DFD"/>
    <w:rsid w:val="00A740F5"/>
    <w:rsid w:val="00A7431B"/>
    <w:rsid w:val="00A743FF"/>
    <w:rsid w:val="00A74864"/>
    <w:rsid w:val="00A74965"/>
    <w:rsid w:val="00A749EA"/>
    <w:rsid w:val="00A74B52"/>
    <w:rsid w:val="00A74C33"/>
    <w:rsid w:val="00A74D09"/>
    <w:rsid w:val="00A74D8E"/>
    <w:rsid w:val="00A74F59"/>
    <w:rsid w:val="00A750D0"/>
    <w:rsid w:val="00A7571E"/>
    <w:rsid w:val="00A76001"/>
    <w:rsid w:val="00A76099"/>
    <w:rsid w:val="00A76174"/>
    <w:rsid w:val="00A76F38"/>
    <w:rsid w:val="00A77024"/>
    <w:rsid w:val="00A77038"/>
    <w:rsid w:val="00A7734F"/>
    <w:rsid w:val="00A77567"/>
    <w:rsid w:val="00A775E2"/>
    <w:rsid w:val="00A777B2"/>
    <w:rsid w:val="00A778A3"/>
    <w:rsid w:val="00A77C7D"/>
    <w:rsid w:val="00A80273"/>
    <w:rsid w:val="00A80360"/>
    <w:rsid w:val="00A803ED"/>
    <w:rsid w:val="00A80703"/>
    <w:rsid w:val="00A80AA7"/>
    <w:rsid w:val="00A80C29"/>
    <w:rsid w:val="00A8115C"/>
    <w:rsid w:val="00A812E9"/>
    <w:rsid w:val="00A81687"/>
    <w:rsid w:val="00A8174A"/>
    <w:rsid w:val="00A817A8"/>
    <w:rsid w:val="00A81F88"/>
    <w:rsid w:val="00A81FFB"/>
    <w:rsid w:val="00A822B3"/>
    <w:rsid w:val="00A823A6"/>
    <w:rsid w:val="00A825D4"/>
    <w:rsid w:val="00A826D9"/>
    <w:rsid w:val="00A828F6"/>
    <w:rsid w:val="00A82B73"/>
    <w:rsid w:val="00A82EF3"/>
    <w:rsid w:val="00A83008"/>
    <w:rsid w:val="00A8302A"/>
    <w:rsid w:val="00A83105"/>
    <w:rsid w:val="00A83628"/>
    <w:rsid w:val="00A83668"/>
    <w:rsid w:val="00A83BFF"/>
    <w:rsid w:val="00A83D5D"/>
    <w:rsid w:val="00A84065"/>
    <w:rsid w:val="00A84158"/>
    <w:rsid w:val="00A84165"/>
    <w:rsid w:val="00A8435A"/>
    <w:rsid w:val="00A85319"/>
    <w:rsid w:val="00A8546B"/>
    <w:rsid w:val="00A8550C"/>
    <w:rsid w:val="00A85767"/>
    <w:rsid w:val="00A85816"/>
    <w:rsid w:val="00A8584C"/>
    <w:rsid w:val="00A859DE"/>
    <w:rsid w:val="00A85EAC"/>
    <w:rsid w:val="00A85FAB"/>
    <w:rsid w:val="00A85FFF"/>
    <w:rsid w:val="00A8608E"/>
    <w:rsid w:val="00A86559"/>
    <w:rsid w:val="00A8668C"/>
    <w:rsid w:val="00A869DD"/>
    <w:rsid w:val="00A86D38"/>
    <w:rsid w:val="00A86E8B"/>
    <w:rsid w:val="00A87164"/>
    <w:rsid w:val="00A871A9"/>
    <w:rsid w:val="00A87890"/>
    <w:rsid w:val="00A87ECA"/>
    <w:rsid w:val="00A9046C"/>
    <w:rsid w:val="00A908EB"/>
    <w:rsid w:val="00A90D4F"/>
    <w:rsid w:val="00A90E41"/>
    <w:rsid w:val="00A911BB"/>
    <w:rsid w:val="00A91353"/>
    <w:rsid w:val="00A9145D"/>
    <w:rsid w:val="00A916A6"/>
    <w:rsid w:val="00A9178D"/>
    <w:rsid w:val="00A91BA3"/>
    <w:rsid w:val="00A91C83"/>
    <w:rsid w:val="00A92380"/>
    <w:rsid w:val="00A92464"/>
    <w:rsid w:val="00A927DB"/>
    <w:rsid w:val="00A92A25"/>
    <w:rsid w:val="00A92A36"/>
    <w:rsid w:val="00A92EB1"/>
    <w:rsid w:val="00A93072"/>
    <w:rsid w:val="00A932C7"/>
    <w:rsid w:val="00A938BD"/>
    <w:rsid w:val="00A938BF"/>
    <w:rsid w:val="00A93953"/>
    <w:rsid w:val="00A93983"/>
    <w:rsid w:val="00A941B8"/>
    <w:rsid w:val="00A944F0"/>
    <w:rsid w:val="00A94763"/>
    <w:rsid w:val="00A947BA"/>
    <w:rsid w:val="00A94D45"/>
    <w:rsid w:val="00A94E75"/>
    <w:rsid w:val="00A957C4"/>
    <w:rsid w:val="00A959D8"/>
    <w:rsid w:val="00A95B4B"/>
    <w:rsid w:val="00A95BB4"/>
    <w:rsid w:val="00A95BD0"/>
    <w:rsid w:val="00A96E4A"/>
    <w:rsid w:val="00A96F6B"/>
    <w:rsid w:val="00A97036"/>
    <w:rsid w:val="00A97941"/>
    <w:rsid w:val="00A979D9"/>
    <w:rsid w:val="00A97B6B"/>
    <w:rsid w:val="00A97D56"/>
    <w:rsid w:val="00A97F58"/>
    <w:rsid w:val="00AA0024"/>
    <w:rsid w:val="00AA004D"/>
    <w:rsid w:val="00AA06B7"/>
    <w:rsid w:val="00AA08C7"/>
    <w:rsid w:val="00AA0A7E"/>
    <w:rsid w:val="00AA0E20"/>
    <w:rsid w:val="00AA0F7A"/>
    <w:rsid w:val="00AA113D"/>
    <w:rsid w:val="00AA155E"/>
    <w:rsid w:val="00AA1852"/>
    <w:rsid w:val="00AA189A"/>
    <w:rsid w:val="00AA1954"/>
    <w:rsid w:val="00AA1B82"/>
    <w:rsid w:val="00AA1BAE"/>
    <w:rsid w:val="00AA1BDD"/>
    <w:rsid w:val="00AA24C0"/>
    <w:rsid w:val="00AA2526"/>
    <w:rsid w:val="00AA287B"/>
    <w:rsid w:val="00AA28A0"/>
    <w:rsid w:val="00AA293C"/>
    <w:rsid w:val="00AA2B72"/>
    <w:rsid w:val="00AA368E"/>
    <w:rsid w:val="00AA375A"/>
    <w:rsid w:val="00AA3858"/>
    <w:rsid w:val="00AA394A"/>
    <w:rsid w:val="00AA3A3C"/>
    <w:rsid w:val="00AA3B09"/>
    <w:rsid w:val="00AA3BA2"/>
    <w:rsid w:val="00AA3BBA"/>
    <w:rsid w:val="00AA3BC8"/>
    <w:rsid w:val="00AA3EEB"/>
    <w:rsid w:val="00AA45AF"/>
    <w:rsid w:val="00AA4864"/>
    <w:rsid w:val="00AA51B7"/>
    <w:rsid w:val="00AA529E"/>
    <w:rsid w:val="00AA551A"/>
    <w:rsid w:val="00AA558A"/>
    <w:rsid w:val="00AA56D0"/>
    <w:rsid w:val="00AA5930"/>
    <w:rsid w:val="00AA5BAF"/>
    <w:rsid w:val="00AA6189"/>
    <w:rsid w:val="00AA6716"/>
    <w:rsid w:val="00AA6A32"/>
    <w:rsid w:val="00AA6BD5"/>
    <w:rsid w:val="00AA6BD8"/>
    <w:rsid w:val="00AA6C7D"/>
    <w:rsid w:val="00AA6FE5"/>
    <w:rsid w:val="00AA707F"/>
    <w:rsid w:val="00AA79A8"/>
    <w:rsid w:val="00AA7D37"/>
    <w:rsid w:val="00AA7FD6"/>
    <w:rsid w:val="00AB00AE"/>
    <w:rsid w:val="00AB01BD"/>
    <w:rsid w:val="00AB042A"/>
    <w:rsid w:val="00AB05C7"/>
    <w:rsid w:val="00AB05CA"/>
    <w:rsid w:val="00AB05D8"/>
    <w:rsid w:val="00AB0AA5"/>
    <w:rsid w:val="00AB0C4E"/>
    <w:rsid w:val="00AB11AD"/>
    <w:rsid w:val="00AB149F"/>
    <w:rsid w:val="00AB1554"/>
    <w:rsid w:val="00AB15F1"/>
    <w:rsid w:val="00AB19EF"/>
    <w:rsid w:val="00AB1D5E"/>
    <w:rsid w:val="00AB2372"/>
    <w:rsid w:val="00AB239C"/>
    <w:rsid w:val="00AB2495"/>
    <w:rsid w:val="00AB277A"/>
    <w:rsid w:val="00AB27B0"/>
    <w:rsid w:val="00AB280E"/>
    <w:rsid w:val="00AB2B92"/>
    <w:rsid w:val="00AB2CDF"/>
    <w:rsid w:val="00AB2D34"/>
    <w:rsid w:val="00AB3397"/>
    <w:rsid w:val="00AB3430"/>
    <w:rsid w:val="00AB37B9"/>
    <w:rsid w:val="00AB3A7A"/>
    <w:rsid w:val="00AB3BC7"/>
    <w:rsid w:val="00AB3CDC"/>
    <w:rsid w:val="00AB3D16"/>
    <w:rsid w:val="00AB3D29"/>
    <w:rsid w:val="00AB3DCB"/>
    <w:rsid w:val="00AB4184"/>
    <w:rsid w:val="00AB422C"/>
    <w:rsid w:val="00AB4255"/>
    <w:rsid w:val="00AB467E"/>
    <w:rsid w:val="00AB46CB"/>
    <w:rsid w:val="00AB4844"/>
    <w:rsid w:val="00AB4891"/>
    <w:rsid w:val="00AB49DD"/>
    <w:rsid w:val="00AB4AD1"/>
    <w:rsid w:val="00AB4B14"/>
    <w:rsid w:val="00AB4BE7"/>
    <w:rsid w:val="00AB4CC2"/>
    <w:rsid w:val="00AB4E43"/>
    <w:rsid w:val="00AB4F94"/>
    <w:rsid w:val="00AB5107"/>
    <w:rsid w:val="00AB546C"/>
    <w:rsid w:val="00AB5D8C"/>
    <w:rsid w:val="00AB5E07"/>
    <w:rsid w:val="00AB6212"/>
    <w:rsid w:val="00AB63C4"/>
    <w:rsid w:val="00AB65D1"/>
    <w:rsid w:val="00AB6665"/>
    <w:rsid w:val="00AB6CCD"/>
    <w:rsid w:val="00AB6CEE"/>
    <w:rsid w:val="00AB7067"/>
    <w:rsid w:val="00AB72EA"/>
    <w:rsid w:val="00AB7385"/>
    <w:rsid w:val="00AB7486"/>
    <w:rsid w:val="00AB74A7"/>
    <w:rsid w:val="00AB7689"/>
    <w:rsid w:val="00AB7AB9"/>
    <w:rsid w:val="00AB7CFA"/>
    <w:rsid w:val="00AB7E75"/>
    <w:rsid w:val="00AB7FEF"/>
    <w:rsid w:val="00AC0066"/>
    <w:rsid w:val="00AC022C"/>
    <w:rsid w:val="00AC05DD"/>
    <w:rsid w:val="00AC08E6"/>
    <w:rsid w:val="00AC08E9"/>
    <w:rsid w:val="00AC0CB7"/>
    <w:rsid w:val="00AC0FA8"/>
    <w:rsid w:val="00AC130A"/>
    <w:rsid w:val="00AC1520"/>
    <w:rsid w:val="00AC1FE3"/>
    <w:rsid w:val="00AC2197"/>
    <w:rsid w:val="00AC25FF"/>
    <w:rsid w:val="00AC27D5"/>
    <w:rsid w:val="00AC2A61"/>
    <w:rsid w:val="00AC2E7B"/>
    <w:rsid w:val="00AC33CE"/>
    <w:rsid w:val="00AC353D"/>
    <w:rsid w:val="00AC3945"/>
    <w:rsid w:val="00AC41F6"/>
    <w:rsid w:val="00AC4480"/>
    <w:rsid w:val="00AC522B"/>
    <w:rsid w:val="00AC53C0"/>
    <w:rsid w:val="00AC58EE"/>
    <w:rsid w:val="00AC5AA2"/>
    <w:rsid w:val="00AC5B42"/>
    <w:rsid w:val="00AC5B48"/>
    <w:rsid w:val="00AC5B90"/>
    <w:rsid w:val="00AC6224"/>
    <w:rsid w:val="00AC6494"/>
    <w:rsid w:val="00AC64A4"/>
    <w:rsid w:val="00AC64C5"/>
    <w:rsid w:val="00AC67FE"/>
    <w:rsid w:val="00AC6DFB"/>
    <w:rsid w:val="00AC6FCD"/>
    <w:rsid w:val="00AC7064"/>
    <w:rsid w:val="00AC717A"/>
    <w:rsid w:val="00AC76D9"/>
    <w:rsid w:val="00AC7967"/>
    <w:rsid w:val="00AC7E20"/>
    <w:rsid w:val="00AC7EE6"/>
    <w:rsid w:val="00AC7FD8"/>
    <w:rsid w:val="00AD0594"/>
    <w:rsid w:val="00AD08C2"/>
    <w:rsid w:val="00AD0AC3"/>
    <w:rsid w:val="00AD0E2E"/>
    <w:rsid w:val="00AD11EF"/>
    <w:rsid w:val="00AD137F"/>
    <w:rsid w:val="00AD1450"/>
    <w:rsid w:val="00AD15E8"/>
    <w:rsid w:val="00AD1967"/>
    <w:rsid w:val="00AD1B27"/>
    <w:rsid w:val="00AD1BBA"/>
    <w:rsid w:val="00AD1D6C"/>
    <w:rsid w:val="00AD2513"/>
    <w:rsid w:val="00AD29EA"/>
    <w:rsid w:val="00AD2EE7"/>
    <w:rsid w:val="00AD3003"/>
    <w:rsid w:val="00AD330D"/>
    <w:rsid w:val="00AD33DC"/>
    <w:rsid w:val="00AD356D"/>
    <w:rsid w:val="00AD3D6B"/>
    <w:rsid w:val="00AD3F19"/>
    <w:rsid w:val="00AD3FB8"/>
    <w:rsid w:val="00AD4150"/>
    <w:rsid w:val="00AD4999"/>
    <w:rsid w:val="00AD4CB7"/>
    <w:rsid w:val="00AD4DC5"/>
    <w:rsid w:val="00AD533A"/>
    <w:rsid w:val="00AD57C9"/>
    <w:rsid w:val="00AD58F2"/>
    <w:rsid w:val="00AD6080"/>
    <w:rsid w:val="00AD60C3"/>
    <w:rsid w:val="00AD6502"/>
    <w:rsid w:val="00AD67D7"/>
    <w:rsid w:val="00AD6A9C"/>
    <w:rsid w:val="00AD6C3F"/>
    <w:rsid w:val="00AD6F82"/>
    <w:rsid w:val="00AD714D"/>
    <w:rsid w:val="00AD73C1"/>
    <w:rsid w:val="00AD73FD"/>
    <w:rsid w:val="00AD7ECD"/>
    <w:rsid w:val="00AD7F2B"/>
    <w:rsid w:val="00AD7FBC"/>
    <w:rsid w:val="00AE0695"/>
    <w:rsid w:val="00AE0F09"/>
    <w:rsid w:val="00AE1056"/>
    <w:rsid w:val="00AE147F"/>
    <w:rsid w:val="00AE18EC"/>
    <w:rsid w:val="00AE1B7A"/>
    <w:rsid w:val="00AE1BFF"/>
    <w:rsid w:val="00AE1DFC"/>
    <w:rsid w:val="00AE1EC3"/>
    <w:rsid w:val="00AE24C7"/>
    <w:rsid w:val="00AE2576"/>
    <w:rsid w:val="00AE25F4"/>
    <w:rsid w:val="00AE2B6B"/>
    <w:rsid w:val="00AE2C8F"/>
    <w:rsid w:val="00AE3158"/>
    <w:rsid w:val="00AE3312"/>
    <w:rsid w:val="00AE34B7"/>
    <w:rsid w:val="00AE37C3"/>
    <w:rsid w:val="00AE3A86"/>
    <w:rsid w:val="00AE3E7E"/>
    <w:rsid w:val="00AE499B"/>
    <w:rsid w:val="00AE4EFE"/>
    <w:rsid w:val="00AE509D"/>
    <w:rsid w:val="00AE51B5"/>
    <w:rsid w:val="00AE5780"/>
    <w:rsid w:val="00AE5A30"/>
    <w:rsid w:val="00AE5BCB"/>
    <w:rsid w:val="00AE5CA4"/>
    <w:rsid w:val="00AE5E5A"/>
    <w:rsid w:val="00AE69D6"/>
    <w:rsid w:val="00AE6B1C"/>
    <w:rsid w:val="00AE6E77"/>
    <w:rsid w:val="00AE6EC9"/>
    <w:rsid w:val="00AE718B"/>
    <w:rsid w:val="00AE7362"/>
    <w:rsid w:val="00AE7D5D"/>
    <w:rsid w:val="00AE7E53"/>
    <w:rsid w:val="00AF01D6"/>
    <w:rsid w:val="00AF0AFF"/>
    <w:rsid w:val="00AF0BC5"/>
    <w:rsid w:val="00AF0C1F"/>
    <w:rsid w:val="00AF1315"/>
    <w:rsid w:val="00AF14DD"/>
    <w:rsid w:val="00AF1654"/>
    <w:rsid w:val="00AF19BF"/>
    <w:rsid w:val="00AF1A6D"/>
    <w:rsid w:val="00AF239D"/>
    <w:rsid w:val="00AF2DC3"/>
    <w:rsid w:val="00AF2E26"/>
    <w:rsid w:val="00AF2F7E"/>
    <w:rsid w:val="00AF30EE"/>
    <w:rsid w:val="00AF378E"/>
    <w:rsid w:val="00AF3BD6"/>
    <w:rsid w:val="00AF3C2A"/>
    <w:rsid w:val="00AF3C8D"/>
    <w:rsid w:val="00AF3CCC"/>
    <w:rsid w:val="00AF3F8E"/>
    <w:rsid w:val="00AF44C9"/>
    <w:rsid w:val="00AF4573"/>
    <w:rsid w:val="00AF46D5"/>
    <w:rsid w:val="00AF4C65"/>
    <w:rsid w:val="00AF4C6C"/>
    <w:rsid w:val="00AF4FEF"/>
    <w:rsid w:val="00AF53B5"/>
    <w:rsid w:val="00AF57CF"/>
    <w:rsid w:val="00AF5931"/>
    <w:rsid w:val="00AF59EE"/>
    <w:rsid w:val="00AF5BBA"/>
    <w:rsid w:val="00AF5EE0"/>
    <w:rsid w:val="00AF63B9"/>
    <w:rsid w:val="00AF63C4"/>
    <w:rsid w:val="00AF656B"/>
    <w:rsid w:val="00AF6E0C"/>
    <w:rsid w:val="00AF71D9"/>
    <w:rsid w:val="00AF7C61"/>
    <w:rsid w:val="00AF7CE0"/>
    <w:rsid w:val="00B0012B"/>
    <w:rsid w:val="00B0040E"/>
    <w:rsid w:val="00B004E7"/>
    <w:rsid w:val="00B00698"/>
    <w:rsid w:val="00B006B3"/>
    <w:rsid w:val="00B00736"/>
    <w:rsid w:val="00B00787"/>
    <w:rsid w:val="00B00B13"/>
    <w:rsid w:val="00B00C9F"/>
    <w:rsid w:val="00B01162"/>
    <w:rsid w:val="00B01661"/>
    <w:rsid w:val="00B01BFD"/>
    <w:rsid w:val="00B01CC2"/>
    <w:rsid w:val="00B020A8"/>
    <w:rsid w:val="00B0232C"/>
    <w:rsid w:val="00B02446"/>
    <w:rsid w:val="00B026BF"/>
    <w:rsid w:val="00B02848"/>
    <w:rsid w:val="00B0285D"/>
    <w:rsid w:val="00B0286E"/>
    <w:rsid w:val="00B02C8B"/>
    <w:rsid w:val="00B02C8C"/>
    <w:rsid w:val="00B030C2"/>
    <w:rsid w:val="00B033E5"/>
    <w:rsid w:val="00B034A4"/>
    <w:rsid w:val="00B03889"/>
    <w:rsid w:val="00B0398A"/>
    <w:rsid w:val="00B03A63"/>
    <w:rsid w:val="00B03B28"/>
    <w:rsid w:val="00B04108"/>
    <w:rsid w:val="00B043DE"/>
    <w:rsid w:val="00B049A8"/>
    <w:rsid w:val="00B04A74"/>
    <w:rsid w:val="00B04BE8"/>
    <w:rsid w:val="00B04C12"/>
    <w:rsid w:val="00B04D12"/>
    <w:rsid w:val="00B04D4A"/>
    <w:rsid w:val="00B0501B"/>
    <w:rsid w:val="00B0651D"/>
    <w:rsid w:val="00B0652C"/>
    <w:rsid w:val="00B0653D"/>
    <w:rsid w:val="00B0661D"/>
    <w:rsid w:val="00B06777"/>
    <w:rsid w:val="00B06987"/>
    <w:rsid w:val="00B06AA0"/>
    <w:rsid w:val="00B06B4E"/>
    <w:rsid w:val="00B06FF3"/>
    <w:rsid w:val="00B07458"/>
    <w:rsid w:val="00B07685"/>
    <w:rsid w:val="00B07E50"/>
    <w:rsid w:val="00B07F7F"/>
    <w:rsid w:val="00B10067"/>
    <w:rsid w:val="00B10411"/>
    <w:rsid w:val="00B104C6"/>
    <w:rsid w:val="00B10C0A"/>
    <w:rsid w:val="00B10C36"/>
    <w:rsid w:val="00B11012"/>
    <w:rsid w:val="00B1199F"/>
    <w:rsid w:val="00B11E6C"/>
    <w:rsid w:val="00B12031"/>
    <w:rsid w:val="00B12415"/>
    <w:rsid w:val="00B12972"/>
    <w:rsid w:val="00B129A4"/>
    <w:rsid w:val="00B12E83"/>
    <w:rsid w:val="00B1303E"/>
    <w:rsid w:val="00B13316"/>
    <w:rsid w:val="00B1360D"/>
    <w:rsid w:val="00B13A72"/>
    <w:rsid w:val="00B13C1C"/>
    <w:rsid w:val="00B13C29"/>
    <w:rsid w:val="00B14200"/>
    <w:rsid w:val="00B142A0"/>
    <w:rsid w:val="00B147D7"/>
    <w:rsid w:val="00B14949"/>
    <w:rsid w:val="00B14AAE"/>
    <w:rsid w:val="00B14AD8"/>
    <w:rsid w:val="00B14BEA"/>
    <w:rsid w:val="00B14EA5"/>
    <w:rsid w:val="00B150D8"/>
    <w:rsid w:val="00B1512D"/>
    <w:rsid w:val="00B153F4"/>
    <w:rsid w:val="00B156F1"/>
    <w:rsid w:val="00B15BE2"/>
    <w:rsid w:val="00B15D50"/>
    <w:rsid w:val="00B16004"/>
    <w:rsid w:val="00B1604D"/>
    <w:rsid w:val="00B1628C"/>
    <w:rsid w:val="00B162A0"/>
    <w:rsid w:val="00B16964"/>
    <w:rsid w:val="00B17371"/>
    <w:rsid w:val="00B174BE"/>
    <w:rsid w:val="00B17EAC"/>
    <w:rsid w:val="00B17FFC"/>
    <w:rsid w:val="00B201A4"/>
    <w:rsid w:val="00B201D1"/>
    <w:rsid w:val="00B203DF"/>
    <w:rsid w:val="00B203FA"/>
    <w:rsid w:val="00B2043F"/>
    <w:rsid w:val="00B20462"/>
    <w:rsid w:val="00B205D9"/>
    <w:rsid w:val="00B206BC"/>
    <w:rsid w:val="00B208CC"/>
    <w:rsid w:val="00B20F20"/>
    <w:rsid w:val="00B21016"/>
    <w:rsid w:val="00B2115E"/>
    <w:rsid w:val="00B21204"/>
    <w:rsid w:val="00B213A6"/>
    <w:rsid w:val="00B215C6"/>
    <w:rsid w:val="00B216DB"/>
    <w:rsid w:val="00B21CD9"/>
    <w:rsid w:val="00B21EBE"/>
    <w:rsid w:val="00B22316"/>
    <w:rsid w:val="00B223AC"/>
    <w:rsid w:val="00B228A1"/>
    <w:rsid w:val="00B22A59"/>
    <w:rsid w:val="00B2333F"/>
    <w:rsid w:val="00B235B0"/>
    <w:rsid w:val="00B2385C"/>
    <w:rsid w:val="00B23D23"/>
    <w:rsid w:val="00B240CB"/>
    <w:rsid w:val="00B246CC"/>
    <w:rsid w:val="00B24DF6"/>
    <w:rsid w:val="00B25169"/>
    <w:rsid w:val="00B252DB"/>
    <w:rsid w:val="00B25503"/>
    <w:rsid w:val="00B259F1"/>
    <w:rsid w:val="00B260F0"/>
    <w:rsid w:val="00B2612D"/>
    <w:rsid w:val="00B261EE"/>
    <w:rsid w:val="00B2655A"/>
    <w:rsid w:val="00B26CA1"/>
    <w:rsid w:val="00B26CA7"/>
    <w:rsid w:val="00B26CF6"/>
    <w:rsid w:val="00B26D9A"/>
    <w:rsid w:val="00B26E83"/>
    <w:rsid w:val="00B26E9F"/>
    <w:rsid w:val="00B26F01"/>
    <w:rsid w:val="00B2721A"/>
    <w:rsid w:val="00B272F4"/>
    <w:rsid w:val="00B274B9"/>
    <w:rsid w:val="00B277FA"/>
    <w:rsid w:val="00B27A61"/>
    <w:rsid w:val="00B27CF1"/>
    <w:rsid w:val="00B27F36"/>
    <w:rsid w:val="00B300B3"/>
    <w:rsid w:val="00B3019B"/>
    <w:rsid w:val="00B303A0"/>
    <w:rsid w:val="00B304A9"/>
    <w:rsid w:val="00B30663"/>
    <w:rsid w:val="00B308BD"/>
    <w:rsid w:val="00B309C3"/>
    <w:rsid w:val="00B30AF8"/>
    <w:rsid w:val="00B311CB"/>
    <w:rsid w:val="00B31406"/>
    <w:rsid w:val="00B314A6"/>
    <w:rsid w:val="00B3193F"/>
    <w:rsid w:val="00B31950"/>
    <w:rsid w:val="00B3224A"/>
    <w:rsid w:val="00B32382"/>
    <w:rsid w:val="00B324D8"/>
    <w:rsid w:val="00B324FB"/>
    <w:rsid w:val="00B32967"/>
    <w:rsid w:val="00B32A23"/>
    <w:rsid w:val="00B3414D"/>
    <w:rsid w:val="00B34615"/>
    <w:rsid w:val="00B34774"/>
    <w:rsid w:val="00B347B0"/>
    <w:rsid w:val="00B347BC"/>
    <w:rsid w:val="00B348A2"/>
    <w:rsid w:val="00B34B92"/>
    <w:rsid w:val="00B34FAF"/>
    <w:rsid w:val="00B34FE2"/>
    <w:rsid w:val="00B35166"/>
    <w:rsid w:val="00B35213"/>
    <w:rsid w:val="00B353A4"/>
    <w:rsid w:val="00B3578C"/>
    <w:rsid w:val="00B357D8"/>
    <w:rsid w:val="00B35E34"/>
    <w:rsid w:val="00B35FC3"/>
    <w:rsid w:val="00B360F4"/>
    <w:rsid w:val="00B362F0"/>
    <w:rsid w:val="00B363AE"/>
    <w:rsid w:val="00B36A00"/>
    <w:rsid w:val="00B36EFC"/>
    <w:rsid w:val="00B378C3"/>
    <w:rsid w:val="00B378E8"/>
    <w:rsid w:val="00B37915"/>
    <w:rsid w:val="00B3792B"/>
    <w:rsid w:val="00B37A8C"/>
    <w:rsid w:val="00B37BFC"/>
    <w:rsid w:val="00B4012C"/>
    <w:rsid w:val="00B40358"/>
    <w:rsid w:val="00B40703"/>
    <w:rsid w:val="00B40725"/>
    <w:rsid w:val="00B407C0"/>
    <w:rsid w:val="00B40B23"/>
    <w:rsid w:val="00B40B81"/>
    <w:rsid w:val="00B40BBA"/>
    <w:rsid w:val="00B40F84"/>
    <w:rsid w:val="00B41614"/>
    <w:rsid w:val="00B4178D"/>
    <w:rsid w:val="00B41E53"/>
    <w:rsid w:val="00B42105"/>
    <w:rsid w:val="00B427EE"/>
    <w:rsid w:val="00B42851"/>
    <w:rsid w:val="00B42F80"/>
    <w:rsid w:val="00B42FEC"/>
    <w:rsid w:val="00B43272"/>
    <w:rsid w:val="00B43375"/>
    <w:rsid w:val="00B433DF"/>
    <w:rsid w:val="00B435CB"/>
    <w:rsid w:val="00B437FD"/>
    <w:rsid w:val="00B43A49"/>
    <w:rsid w:val="00B43CEB"/>
    <w:rsid w:val="00B43D1A"/>
    <w:rsid w:val="00B43D2A"/>
    <w:rsid w:val="00B43DDD"/>
    <w:rsid w:val="00B449C6"/>
    <w:rsid w:val="00B44BDA"/>
    <w:rsid w:val="00B44F8A"/>
    <w:rsid w:val="00B45453"/>
    <w:rsid w:val="00B456E0"/>
    <w:rsid w:val="00B45D37"/>
    <w:rsid w:val="00B46003"/>
    <w:rsid w:val="00B464BE"/>
    <w:rsid w:val="00B465EC"/>
    <w:rsid w:val="00B46C85"/>
    <w:rsid w:val="00B46DCA"/>
    <w:rsid w:val="00B46F0C"/>
    <w:rsid w:val="00B470BD"/>
    <w:rsid w:val="00B4722F"/>
    <w:rsid w:val="00B475F8"/>
    <w:rsid w:val="00B47939"/>
    <w:rsid w:val="00B47991"/>
    <w:rsid w:val="00B479A1"/>
    <w:rsid w:val="00B47D1C"/>
    <w:rsid w:val="00B47E60"/>
    <w:rsid w:val="00B50034"/>
    <w:rsid w:val="00B505C8"/>
    <w:rsid w:val="00B509FB"/>
    <w:rsid w:val="00B50D6B"/>
    <w:rsid w:val="00B50DB8"/>
    <w:rsid w:val="00B50F2D"/>
    <w:rsid w:val="00B51387"/>
    <w:rsid w:val="00B51524"/>
    <w:rsid w:val="00B51D57"/>
    <w:rsid w:val="00B5241B"/>
    <w:rsid w:val="00B52488"/>
    <w:rsid w:val="00B5275E"/>
    <w:rsid w:val="00B529B0"/>
    <w:rsid w:val="00B52FA9"/>
    <w:rsid w:val="00B532A5"/>
    <w:rsid w:val="00B53474"/>
    <w:rsid w:val="00B5357D"/>
    <w:rsid w:val="00B53654"/>
    <w:rsid w:val="00B537AB"/>
    <w:rsid w:val="00B53905"/>
    <w:rsid w:val="00B546DB"/>
    <w:rsid w:val="00B54B5B"/>
    <w:rsid w:val="00B54E81"/>
    <w:rsid w:val="00B552AF"/>
    <w:rsid w:val="00B5562E"/>
    <w:rsid w:val="00B556BB"/>
    <w:rsid w:val="00B55810"/>
    <w:rsid w:val="00B55862"/>
    <w:rsid w:val="00B55D65"/>
    <w:rsid w:val="00B55DE4"/>
    <w:rsid w:val="00B55E9F"/>
    <w:rsid w:val="00B56205"/>
    <w:rsid w:val="00B562A2"/>
    <w:rsid w:val="00B56305"/>
    <w:rsid w:val="00B563ED"/>
    <w:rsid w:val="00B565BF"/>
    <w:rsid w:val="00B56878"/>
    <w:rsid w:val="00B56AF0"/>
    <w:rsid w:val="00B56BE6"/>
    <w:rsid w:val="00B56D56"/>
    <w:rsid w:val="00B56F58"/>
    <w:rsid w:val="00B57000"/>
    <w:rsid w:val="00B573AE"/>
    <w:rsid w:val="00B57784"/>
    <w:rsid w:val="00B57802"/>
    <w:rsid w:val="00B60222"/>
    <w:rsid w:val="00B60273"/>
    <w:rsid w:val="00B602ED"/>
    <w:rsid w:val="00B606BE"/>
    <w:rsid w:val="00B60939"/>
    <w:rsid w:val="00B60AFD"/>
    <w:rsid w:val="00B60F5E"/>
    <w:rsid w:val="00B6121F"/>
    <w:rsid w:val="00B617A9"/>
    <w:rsid w:val="00B61897"/>
    <w:rsid w:val="00B619B9"/>
    <w:rsid w:val="00B61ADE"/>
    <w:rsid w:val="00B61B2C"/>
    <w:rsid w:val="00B61CD6"/>
    <w:rsid w:val="00B61DAE"/>
    <w:rsid w:val="00B61EC9"/>
    <w:rsid w:val="00B6233F"/>
    <w:rsid w:val="00B62715"/>
    <w:rsid w:val="00B62B8A"/>
    <w:rsid w:val="00B631FA"/>
    <w:rsid w:val="00B6333F"/>
    <w:rsid w:val="00B63507"/>
    <w:rsid w:val="00B63650"/>
    <w:rsid w:val="00B63B40"/>
    <w:rsid w:val="00B63E72"/>
    <w:rsid w:val="00B643CD"/>
    <w:rsid w:val="00B6533F"/>
    <w:rsid w:val="00B65611"/>
    <w:rsid w:val="00B65ADD"/>
    <w:rsid w:val="00B65E18"/>
    <w:rsid w:val="00B6653C"/>
    <w:rsid w:val="00B6674B"/>
    <w:rsid w:val="00B66764"/>
    <w:rsid w:val="00B6678A"/>
    <w:rsid w:val="00B66B02"/>
    <w:rsid w:val="00B66B30"/>
    <w:rsid w:val="00B66BF9"/>
    <w:rsid w:val="00B66E85"/>
    <w:rsid w:val="00B6729A"/>
    <w:rsid w:val="00B6733F"/>
    <w:rsid w:val="00B674CF"/>
    <w:rsid w:val="00B674EA"/>
    <w:rsid w:val="00B677DA"/>
    <w:rsid w:val="00B67924"/>
    <w:rsid w:val="00B67D03"/>
    <w:rsid w:val="00B70410"/>
    <w:rsid w:val="00B70D89"/>
    <w:rsid w:val="00B70E8E"/>
    <w:rsid w:val="00B71214"/>
    <w:rsid w:val="00B71506"/>
    <w:rsid w:val="00B7206F"/>
    <w:rsid w:val="00B72143"/>
    <w:rsid w:val="00B7228B"/>
    <w:rsid w:val="00B723CE"/>
    <w:rsid w:val="00B72427"/>
    <w:rsid w:val="00B7278A"/>
    <w:rsid w:val="00B7378B"/>
    <w:rsid w:val="00B737AD"/>
    <w:rsid w:val="00B737E7"/>
    <w:rsid w:val="00B7392C"/>
    <w:rsid w:val="00B73C23"/>
    <w:rsid w:val="00B73E5E"/>
    <w:rsid w:val="00B73EA6"/>
    <w:rsid w:val="00B748BF"/>
    <w:rsid w:val="00B7535D"/>
    <w:rsid w:val="00B754A5"/>
    <w:rsid w:val="00B75CDE"/>
    <w:rsid w:val="00B76201"/>
    <w:rsid w:val="00B763FC"/>
    <w:rsid w:val="00B76C92"/>
    <w:rsid w:val="00B776E5"/>
    <w:rsid w:val="00B77705"/>
    <w:rsid w:val="00B77713"/>
    <w:rsid w:val="00B7799E"/>
    <w:rsid w:val="00B77C83"/>
    <w:rsid w:val="00B77FB3"/>
    <w:rsid w:val="00B801B6"/>
    <w:rsid w:val="00B80205"/>
    <w:rsid w:val="00B809D3"/>
    <w:rsid w:val="00B809FA"/>
    <w:rsid w:val="00B80DF4"/>
    <w:rsid w:val="00B80EFD"/>
    <w:rsid w:val="00B81583"/>
    <w:rsid w:val="00B81647"/>
    <w:rsid w:val="00B81684"/>
    <w:rsid w:val="00B8169F"/>
    <w:rsid w:val="00B817D3"/>
    <w:rsid w:val="00B818A4"/>
    <w:rsid w:val="00B81999"/>
    <w:rsid w:val="00B81BDB"/>
    <w:rsid w:val="00B81D51"/>
    <w:rsid w:val="00B81F2E"/>
    <w:rsid w:val="00B82006"/>
    <w:rsid w:val="00B821CE"/>
    <w:rsid w:val="00B821DB"/>
    <w:rsid w:val="00B821EC"/>
    <w:rsid w:val="00B8258B"/>
    <w:rsid w:val="00B82600"/>
    <w:rsid w:val="00B826A3"/>
    <w:rsid w:val="00B82974"/>
    <w:rsid w:val="00B82B63"/>
    <w:rsid w:val="00B82B95"/>
    <w:rsid w:val="00B82FFF"/>
    <w:rsid w:val="00B830F7"/>
    <w:rsid w:val="00B83209"/>
    <w:rsid w:val="00B8329E"/>
    <w:rsid w:val="00B83739"/>
    <w:rsid w:val="00B8376A"/>
    <w:rsid w:val="00B83F6A"/>
    <w:rsid w:val="00B84117"/>
    <w:rsid w:val="00B849E0"/>
    <w:rsid w:val="00B84C5C"/>
    <w:rsid w:val="00B84DAE"/>
    <w:rsid w:val="00B84E62"/>
    <w:rsid w:val="00B850B9"/>
    <w:rsid w:val="00B8534E"/>
    <w:rsid w:val="00B858F0"/>
    <w:rsid w:val="00B85AA2"/>
    <w:rsid w:val="00B85BC9"/>
    <w:rsid w:val="00B85CC0"/>
    <w:rsid w:val="00B861B5"/>
    <w:rsid w:val="00B8628E"/>
    <w:rsid w:val="00B86418"/>
    <w:rsid w:val="00B8649C"/>
    <w:rsid w:val="00B86746"/>
    <w:rsid w:val="00B8695D"/>
    <w:rsid w:val="00B86F0F"/>
    <w:rsid w:val="00B87473"/>
    <w:rsid w:val="00B87BCD"/>
    <w:rsid w:val="00B87CC0"/>
    <w:rsid w:val="00B87EDB"/>
    <w:rsid w:val="00B87F0A"/>
    <w:rsid w:val="00B907BE"/>
    <w:rsid w:val="00B908DD"/>
    <w:rsid w:val="00B910A7"/>
    <w:rsid w:val="00B913B8"/>
    <w:rsid w:val="00B915C8"/>
    <w:rsid w:val="00B918D8"/>
    <w:rsid w:val="00B92192"/>
    <w:rsid w:val="00B921CF"/>
    <w:rsid w:val="00B9226B"/>
    <w:rsid w:val="00B92711"/>
    <w:rsid w:val="00B928DD"/>
    <w:rsid w:val="00B92D0B"/>
    <w:rsid w:val="00B92D0F"/>
    <w:rsid w:val="00B9366A"/>
    <w:rsid w:val="00B93765"/>
    <w:rsid w:val="00B93D3D"/>
    <w:rsid w:val="00B93F67"/>
    <w:rsid w:val="00B94148"/>
    <w:rsid w:val="00B9430B"/>
    <w:rsid w:val="00B9439C"/>
    <w:rsid w:val="00B94556"/>
    <w:rsid w:val="00B94762"/>
    <w:rsid w:val="00B94945"/>
    <w:rsid w:val="00B94AAC"/>
    <w:rsid w:val="00B94DD6"/>
    <w:rsid w:val="00B95123"/>
    <w:rsid w:val="00B954D9"/>
    <w:rsid w:val="00B95574"/>
    <w:rsid w:val="00B95DE6"/>
    <w:rsid w:val="00B965FC"/>
    <w:rsid w:val="00B96B1D"/>
    <w:rsid w:val="00B96B42"/>
    <w:rsid w:val="00B96D8E"/>
    <w:rsid w:val="00B97084"/>
    <w:rsid w:val="00B974F8"/>
    <w:rsid w:val="00B97577"/>
    <w:rsid w:val="00B97597"/>
    <w:rsid w:val="00B97616"/>
    <w:rsid w:val="00B9768E"/>
    <w:rsid w:val="00B97A15"/>
    <w:rsid w:val="00B97B64"/>
    <w:rsid w:val="00BA039B"/>
    <w:rsid w:val="00BA0B4F"/>
    <w:rsid w:val="00BA0B8B"/>
    <w:rsid w:val="00BA1015"/>
    <w:rsid w:val="00BA109F"/>
    <w:rsid w:val="00BA1322"/>
    <w:rsid w:val="00BA1F44"/>
    <w:rsid w:val="00BA1FBC"/>
    <w:rsid w:val="00BA20C3"/>
    <w:rsid w:val="00BA2157"/>
    <w:rsid w:val="00BA2C2D"/>
    <w:rsid w:val="00BA2F0F"/>
    <w:rsid w:val="00BA2FA3"/>
    <w:rsid w:val="00BA30E7"/>
    <w:rsid w:val="00BA322D"/>
    <w:rsid w:val="00BA37B4"/>
    <w:rsid w:val="00BA3CDA"/>
    <w:rsid w:val="00BA3EC8"/>
    <w:rsid w:val="00BA3FB8"/>
    <w:rsid w:val="00BA41AD"/>
    <w:rsid w:val="00BA421E"/>
    <w:rsid w:val="00BA4343"/>
    <w:rsid w:val="00BA4793"/>
    <w:rsid w:val="00BA4920"/>
    <w:rsid w:val="00BA4962"/>
    <w:rsid w:val="00BA4B48"/>
    <w:rsid w:val="00BA4FD5"/>
    <w:rsid w:val="00BA6166"/>
    <w:rsid w:val="00BA6225"/>
    <w:rsid w:val="00BA622C"/>
    <w:rsid w:val="00BA62E6"/>
    <w:rsid w:val="00BA631A"/>
    <w:rsid w:val="00BA63FA"/>
    <w:rsid w:val="00BA665D"/>
    <w:rsid w:val="00BA6AF1"/>
    <w:rsid w:val="00BA6BB1"/>
    <w:rsid w:val="00BA6D9A"/>
    <w:rsid w:val="00BA74E1"/>
    <w:rsid w:val="00BA79EC"/>
    <w:rsid w:val="00BA7A46"/>
    <w:rsid w:val="00BA7B21"/>
    <w:rsid w:val="00BA7F60"/>
    <w:rsid w:val="00BB00B3"/>
    <w:rsid w:val="00BB00B5"/>
    <w:rsid w:val="00BB03BB"/>
    <w:rsid w:val="00BB053A"/>
    <w:rsid w:val="00BB0B07"/>
    <w:rsid w:val="00BB0BDD"/>
    <w:rsid w:val="00BB0C02"/>
    <w:rsid w:val="00BB1061"/>
    <w:rsid w:val="00BB1169"/>
    <w:rsid w:val="00BB1173"/>
    <w:rsid w:val="00BB147A"/>
    <w:rsid w:val="00BB14E7"/>
    <w:rsid w:val="00BB16CD"/>
    <w:rsid w:val="00BB176C"/>
    <w:rsid w:val="00BB1829"/>
    <w:rsid w:val="00BB256A"/>
    <w:rsid w:val="00BB2A73"/>
    <w:rsid w:val="00BB2AA6"/>
    <w:rsid w:val="00BB2C80"/>
    <w:rsid w:val="00BB2E10"/>
    <w:rsid w:val="00BB2EEC"/>
    <w:rsid w:val="00BB337C"/>
    <w:rsid w:val="00BB3396"/>
    <w:rsid w:val="00BB33C9"/>
    <w:rsid w:val="00BB367F"/>
    <w:rsid w:val="00BB3916"/>
    <w:rsid w:val="00BB3A45"/>
    <w:rsid w:val="00BB3B17"/>
    <w:rsid w:val="00BB3B85"/>
    <w:rsid w:val="00BB3C43"/>
    <w:rsid w:val="00BB3EF8"/>
    <w:rsid w:val="00BB418C"/>
    <w:rsid w:val="00BB4205"/>
    <w:rsid w:val="00BB4287"/>
    <w:rsid w:val="00BB436D"/>
    <w:rsid w:val="00BB4595"/>
    <w:rsid w:val="00BB4732"/>
    <w:rsid w:val="00BB4ACC"/>
    <w:rsid w:val="00BB4BBC"/>
    <w:rsid w:val="00BB4D21"/>
    <w:rsid w:val="00BB4D3C"/>
    <w:rsid w:val="00BB5644"/>
    <w:rsid w:val="00BB57CA"/>
    <w:rsid w:val="00BB57E8"/>
    <w:rsid w:val="00BB58FE"/>
    <w:rsid w:val="00BB5942"/>
    <w:rsid w:val="00BB5B36"/>
    <w:rsid w:val="00BB5E1E"/>
    <w:rsid w:val="00BB616C"/>
    <w:rsid w:val="00BB62A7"/>
    <w:rsid w:val="00BB673F"/>
    <w:rsid w:val="00BB68AF"/>
    <w:rsid w:val="00BB6A96"/>
    <w:rsid w:val="00BB6B55"/>
    <w:rsid w:val="00BB703E"/>
    <w:rsid w:val="00BB72F6"/>
    <w:rsid w:val="00BB732D"/>
    <w:rsid w:val="00BB7372"/>
    <w:rsid w:val="00BB7405"/>
    <w:rsid w:val="00BB7942"/>
    <w:rsid w:val="00BC005B"/>
    <w:rsid w:val="00BC0738"/>
    <w:rsid w:val="00BC0D42"/>
    <w:rsid w:val="00BC0F33"/>
    <w:rsid w:val="00BC1154"/>
    <w:rsid w:val="00BC1AD2"/>
    <w:rsid w:val="00BC1CDA"/>
    <w:rsid w:val="00BC21F4"/>
    <w:rsid w:val="00BC2C4E"/>
    <w:rsid w:val="00BC2CA1"/>
    <w:rsid w:val="00BC2D6D"/>
    <w:rsid w:val="00BC3631"/>
    <w:rsid w:val="00BC3ADA"/>
    <w:rsid w:val="00BC401E"/>
    <w:rsid w:val="00BC40EC"/>
    <w:rsid w:val="00BC40F4"/>
    <w:rsid w:val="00BC4181"/>
    <w:rsid w:val="00BC4877"/>
    <w:rsid w:val="00BC4889"/>
    <w:rsid w:val="00BC501B"/>
    <w:rsid w:val="00BC510D"/>
    <w:rsid w:val="00BC53C6"/>
    <w:rsid w:val="00BC5734"/>
    <w:rsid w:val="00BC591F"/>
    <w:rsid w:val="00BC5B6E"/>
    <w:rsid w:val="00BC5BA5"/>
    <w:rsid w:val="00BC5D40"/>
    <w:rsid w:val="00BC5E62"/>
    <w:rsid w:val="00BC5F45"/>
    <w:rsid w:val="00BC5F94"/>
    <w:rsid w:val="00BC675B"/>
    <w:rsid w:val="00BC6C49"/>
    <w:rsid w:val="00BC6CFE"/>
    <w:rsid w:val="00BC6EA4"/>
    <w:rsid w:val="00BC6F79"/>
    <w:rsid w:val="00BC7075"/>
    <w:rsid w:val="00BC71B8"/>
    <w:rsid w:val="00BC7239"/>
    <w:rsid w:val="00BC752D"/>
    <w:rsid w:val="00BC7A1D"/>
    <w:rsid w:val="00BC7D6D"/>
    <w:rsid w:val="00BC7E0E"/>
    <w:rsid w:val="00BD08C2"/>
    <w:rsid w:val="00BD0B22"/>
    <w:rsid w:val="00BD0B8E"/>
    <w:rsid w:val="00BD0D95"/>
    <w:rsid w:val="00BD0FEE"/>
    <w:rsid w:val="00BD1179"/>
    <w:rsid w:val="00BD117D"/>
    <w:rsid w:val="00BD1440"/>
    <w:rsid w:val="00BD17F9"/>
    <w:rsid w:val="00BD1AB5"/>
    <w:rsid w:val="00BD2108"/>
    <w:rsid w:val="00BD228E"/>
    <w:rsid w:val="00BD229C"/>
    <w:rsid w:val="00BD26CD"/>
    <w:rsid w:val="00BD2794"/>
    <w:rsid w:val="00BD2A85"/>
    <w:rsid w:val="00BD2C0A"/>
    <w:rsid w:val="00BD2C5D"/>
    <w:rsid w:val="00BD2FAB"/>
    <w:rsid w:val="00BD3118"/>
    <w:rsid w:val="00BD3599"/>
    <w:rsid w:val="00BD3C79"/>
    <w:rsid w:val="00BD3CD3"/>
    <w:rsid w:val="00BD3EA2"/>
    <w:rsid w:val="00BD42D3"/>
    <w:rsid w:val="00BD4AFF"/>
    <w:rsid w:val="00BD4E54"/>
    <w:rsid w:val="00BD517C"/>
    <w:rsid w:val="00BD55E0"/>
    <w:rsid w:val="00BD57EF"/>
    <w:rsid w:val="00BD585B"/>
    <w:rsid w:val="00BD5981"/>
    <w:rsid w:val="00BD5F9B"/>
    <w:rsid w:val="00BD68A3"/>
    <w:rsid w:val="00BD6938"/>
    <w:rsid w:val="00BD6ACD"/>
    <w:rsid w:val="00BD6B66"/>
    <w:rsid w:val="00BD6CF3"/>
    <w:rsid w:val="00BD6D29"/>
    <w:rsid w:val="00BD7374"/>
    <w:rsid w:val="00BD7798"/>
    <w:rsid w:val="00BD780B"/>
    <w:rsid w:val="00BD7969"/>
    <w:rsid w:val="00BD7CD5"/>
    <w:rsid w:val="00BD7D0B"/>
    <w:rsid w:val="00BD7F72"/>
    <w:rsid w:val="00BE016A"/>
    <w:rsid w:val="00BE01C3"/>
    <w:rsid w:val="00BE022F"/>
    <w:rsid w:val="00BE0367"/>
    <w:rsid w:val="00BE050F"/>
    <w:rsid w:val="00BE07AB"/>
    <w:rsid w:val="00BE0800"/>
    <w:rsid w:val="00BE0C67"/>
    <w:rsid w:val="00BE0E95"/>
    <w:rsid w:val="00BE0ECA"/>
    <w:rsid w:val="00BE1415"/>
    <w:rsid w:val="00BE14A0"/>
    <w:rsid w:val="00BE1510"/>
    <w:rsid w:val="00BE209E"/>
    <w:rsid w:val="00BE2180"/>
    <w:rsid w:val="00BE21F2"/>
    <w:rsid w:val="00BE252E"/>
    <w:rsid w:val="00BE291F"/>
    <w:rsid w:val="00BE2CD3"/>
    <w:rsid w:val="00BE363E"/>
    <w:rsid w:val="00BE3877"/>
    <w:rsid w:val="00BE3A14"/>
    <w:rsid w:val="00BE3BAB"/>
    <w:rsid w:val="00BE4275"/>
    <w:rsid w:val="00BE45E3"/>
    <w:rsid w:val="00BE46BD"/>
    <w:rsid w:val="00BE479C"/>
    <w:rsid w:val="00BE484B"/>
    <w:rsid w:val="00BE4DA6"/>
    <w:rsid w:val="00BE51C7"/>
    <w:rsid w:val="00BE521D"/>
    <w:rsid w:val="00BE5261"/>
    <w:rsid w:val="00BE58AC"/>
    <w:rsid w:val="00BE5B3D"/>
    <w:rsid w:val="00BE5C68"/>
    <w:rsid w:val="00BE5EA9"/>
    <w:rsid w:val="00BE626C"/>
    <w:rsid w:val="00BE64B0"/>
    <w:rsid w:val="00BE65F9"/>
    <w:rsid w:val="00BE6928"/>
    <w:rsid w:val="00BE6BA9"/>
    <w:rsid w:val="00BE6EBF"/>
    <w:rsid w:val="00BE720D"/>
    <w:rsid w:val="00BE73BC"/>
    <w:rsid w:val="00BE7A21"/>
    <w:rsid w:val="00BF00BA"/>
    <w:rsid w:val="00BF03B7"/>
    <w:rsid w:val="00BF06AE"/>
    <w:rsid w:val="00BF07D3"/>
    <w:rsid w:val="00BF08CC"/>
    <w:rsid w:val="00BF0993"/>
    <w:rsid w:val="00BF0B89"/>
    <w:rsid w:val="00BF0F95"/>
    <w:rsid w:val="00BF1B0A"/>
    <w:rsid w:val="00BF1E5C"/>
    <w:rsid w:val="00BF1EB8"/>
    <w:rsid w:val="00BF2433"/>
    <w:rsid w:val="00BF2927"/>
    <w:rsid w:val="00BF2C51"/>
    <w:rsid w:val="00BF2E6E"/>
    <w:rsid w:val="00BF30F7"/>
    <w:rsid w:val="00BF3237"/>
    <w:rsid w:val="00BF396E"/>
    <w:rsid w:val="00BF3B20"/>
    <w:rsid w:val="00BF3BFC"/>
    <w:rsid w:val="00BF4036"/>
    <w:rsid w:val="00BF454C"/>
    <w:rsid w:val="00BF491B"/>
    <w:rsid w:val="00BF498A"/>
    <w:rsid w:val="00BF4A32"/>
    <w:rsid w:val="00BF4D45"/>
    <w:rsid w:val="00BF5115"/>
    <w:rsid w:val="00BF53FF"/>
    <w:rsid w:val="00BF5822"/>
    <w:rsid w:val="00BF59E2"/>
    <w:rsid w:val="00BF59F0"/>
    <w:rsid w:val="00BF5CE0"/>
    <w:rsid w:val="00BF5EE7"/>
    <w:rsid w:val="00BF61C9"/>
    <w:rsid w:val="00BF61D9"/>
    <w:rsid w:val="00BF6C94"/>
    <w:rsid w:val="00BF6C97"/>
    <w:rsid w:val="00BF720B"/>
    <w:rsid w:val="00BF7454"/>
    <w:rsid w:val="00BF7996"/>
    <w:rsid w:val="00BF7B87"/>
    <w:rsid w:val="00BF7D35"/>
    <w:rsid w:val="00BF7E5A"/>
    <w:rsid w:val="00C003A4"/>
    <w:rsid w:val="00C00424"/>
    <w:rsid w:val="00C00596"/>
    <w:rsid w:val="00C005E6"/>
    <w:rsid w:val="00C00BB0"/>
    <w:rsid w:val="00C00F74"/>
    <w:rsid w:val="00C00FE0"/>
    <w:rsid w:val="00C01671"/>
    <w:rsid w:val="00C01AA3"/>
    <w:rsid w:val="00C01D42"/>
    <w:rsid w:val="00C01E86"/>
    <w:rsid w:val="00C01FE3"/>
    <w:rsid w:val="00C026BB"/>
    <w:rsid w:val="00C029C0"/>
    <w:rsid w:val="00C031A6"/>
    <w:rsid w:val="00C03574"/>
    <w:rsid w:val="00C0378C"/>
    <w:rsid w:val="00C03AB0"/>
    <w:rsid w:val="00C03B4C"/>
    <w:rsid w:val="00C03CFC"/>
    <w:rsid w:val="00C03D0C"/>
    <w:rsid w:val="00C03DE1"/>
    <w:rsid w:val="00C03E86"/>
    <w:rsid w:val="00C041F4"/>
    <w:rsid w:val="00C0451F"/>
    <w:rsid w:val="00C046CA"/>
    <w:rsid w:val="00C046E6"/>
    <w:rsid w:val="00C04803"/>
    <w:rsid w:val="00C0511C"/>
    <w:rsid w:val="00C0559F"/>
    <w:rsid w:val="00C05CE9"/>
    <w:rsid w:val="00C05F93"/>
    <w:rsid w:val="00C06542"/>
    <w:rsid w:val="00C06CE8"/>
    <w:rsid w:val="00C07494"/>
    <w:rsid w:val="00C0755A"/>
    <w:rsid w:val="00C10051"/>
    <w:rsid w:val="00C1085E"/>
    <w:rsid w:val="00C10862"/>
    <w:rsid w:val="00C10B4E"/>
    <w:rsid w:val="00C10BDB"/>
    <w:rsid w:val="00C11231"/>
    <w:rsid w:val="00C11745"/>
    <w:rsid w:val="00C1179F"/>
    <w:rsid w:val="00C11BE1"/>
    <w:rsid w:val="00C12130"/>
    <w:rsid w:val="00C12440"/>
    <w:rsid w:val="00C127B9"/>
    <w:rsid w:val="00C128FA"/>
    <w:rsid w:val="00C12ADD"/>
    <w:rsid w:val="00C12C14"/>
    <w:rsid w:val="00C12C63"/>
    <w:rsid w:val="00C12D3C"/>
    <w:rsid w:val="00C13386"/>
    <w:rsid w:val="00C1343E"/>
    <w:rsid w:val="00C13545"/>
    <w:rsid w:val="00C13DF3"/>
    <w:rsid w:val="00C14251"/>
    <w:rsid w:val="00C14B4E"/>
    <w:rsid w:val="00C14DB5"/>
    <w:rsid w:val="00C14E0F"/>
    <w:rsid w:val="00C14F61"/>
    <w:rsid w:val="00C15171"/>
    <w:rsid w:val="00C15230"/>
    <w:rsid w:val="00C15248"/>
    <w:rsid w:val="00C15275"/>
    <w:rsid w:val="00C15451"/>
    <w:rsid w:val="00C15682"/>
    <w:rsid w:val="00C15AB9"/>
    <w:rsid w:val="00C15C9E"/>
    <w:rsid w:val="00C15F04"/>
    <w:rsid w:val="00C160C8"/>
    <w:rsid w:val="00C16356"/>
    <w:rsid w:val="00C16418"/>
    <w:rsid w:val="00C164EE"/>
    <w:rsid w:val="00C1672D"/>
    <w:rsid w:val="00C172A7"/>
    <w:rsid w:val="00C173B8"/>
    <w:rsid w:val="00C17448"/>
    <w:rsid w:val="00C179B3"/>
    <w:rsid w:val="00C17B78"/>
    <w:rsid w:val="00C17E3F"/>
    <w:rsid w:val="00C2000E"/>
    <w:rsid w:val="00C200AA"/>
    <w:rsid w:val="00C2055C"/>
    <w:rsid w:val="00C20C0B"/>
    <w:rsid w:val="00C210FB"/>
    <w:rsid w:val="00C21125"/>
    <w:rsid w:val="00C212DA"/>
    <w:rsid w:val="00C21440"/>
    <w:rsid w:val="00C214D2"/>
    <w:rsid w:val="00C215C7"/>
    <w:rsid w:val="00C218E3"/>
    <w:rsid w:val="00C224DB"/>
    <w:rsid w:val="00C22ADF"/>
    <w:rsid w:val="00C23017"/>
    <w:rsid w:val="00C231F3"/>
    <w:rsid w:val="00C237C1"/>
    <w:rsid w:val="00C237ED"/>
    <w:rsid w:val="00C2391C"/>
    <w:rsid w:val="00C239FF"/>
    <w:rsid w:val="00C24276"/>
    <w:rsid w:val="00C24632"/>
    <w:rsid w:val="00C246A4"/>
    <w:rsid w:val="00C24746"/>
    <w:rsid w:val="00C24A50"/>
    <w:rsid w:val="00C24A7B"/>
    <w:rsid w:val="00C24E3B"/>
    <w:rsid w:val="00C2513B"/>
    <w:rsid w:val="00C25147"/>
    <w:rsid w:val="00C251EA"/>
    <w:rsid w:val="00C25418"/>
    <w:rsid w:val="00C25434"/>
    <w:rsid w:val="00C256DA"/>
    <w:rsid w:val="00C25D50"/>
    <w:rsid w:val="00C25D9C"/>
    <w:rsid w:val="00C25EE7"/>
    <w:rsid w:val="00C265AE"/>
    <w:rsid w:val="00C267B2"/>
    <w:rsid w:val="00C26B6D"/>
    <w:rsid w:val="00C26CCC"/>
    <w:rsid w:val="00C27303"/>
    <w:rsid w:val="00C274CF"/>
    <w:rsid w:val="00C274D6"/>
    <w:rsid w:val="00C27505"/>
    <w:rsid w:val="00C27777"/>
    <w:rsid w:val="00C2778B"/>
    <w:rsid w:val="00C27B26"/>
    <w:rsid w:val="00C27E66"/>
    <w:rsid w:val="00C303B2"/>
    <w:rsid w:val="00C30EE2"/>
    <w:rsid w:val="00C31649"/>
    <w:rsid w:val="00C318AE"/>
    <w:rsid w:val="00C320E5"/>
    <w:rsid w:val="00C32197"/>
    <w:rsid w:val="00C327D4"/>
    <w:rsid w:val="00C32F80"/>
    <w:rsid w:val="00C32FE6"/>
    <w:rsid w:val="00C33689"/>
    <w:rsid w:val="00C3434C"/>
    <w:rsid w:val="00C350F4"/>
    <w:rsid w:val="00C352D9"/>
    <w:rsid w:val="00C35672"/>
    <w:rsid w:val="00C358A3"/>
    <w:rsid w:val="00C35968"/>
    <w:rsid w:val="00C35CC7"/>
    <w:rsid w:val="00C366B5"/>
    <w:rsid w:val="00C36943"/>
    <w:rsid w:val="00C36BE1"/>
    <w:rsid w:val="00C36C69"/>
    <w:rsid w:val="00C36DF9"/>
    <w:rsid w:val="00C37249"/>
    <w:rsid w:val="00C378CF"/>
    <w:rsid w:val="00C379AC"/>
    <w:rsid w:val="00C379CB"/>
    <w:rsid w:val="00C37FF6"/>
    <w:rsid w:val="00C4021E"/>
    <w:rsid w:val="00C40385"/>
    <w:rsid w:val="00C40580"/>
    <w:rsid w:val="00C40A02"/>
    <w:rsid w:val="00C40A14"/>
    <w:rsid w:val="00C41176"/>
    <w:rsid w:val="00C413F5"/>
    <w:rsid w:val="00C415E0"/>
    <w:rsid w:val="00C41768"/>
    <w:rsid w:val="00C417EA"/>
    <w:rsid w:val="00C418B4"/>
    <w:rsid w:val="00C41AED"/>
    <w:rsid w:val="00C41C27"/>
    <w:rsid w:val="00C41C28"/>
    <w:rsid w:val="00C41CBC"/>
    <w:rsid w:val="00C41FBC"/>
    <w:rsid w:val="00C42011"/>
    <w:rsid w:val="00C4203E"/>
    <w:rsid w:val="00C422C6"/>
    <w:rsid w:val="00C42697"/>
    <w:rsid w:val="00C4270E"/>
    <w:rsid w:val="00C42A45"/>
    <w:rsid w:val="00C42A50"/>
    <w:rsid w:val="00C4385A"/>
    <w:rsid w:val="00C43C25"/>
    <w:rsid w:val="00C43C45"/>
    <w:rsid w:val="00C43E19"/>
    <w:rsid w:val="00C43E8E"/>
    <w:rsid w:val="00C443D0"/>
    <w:rsid w:val="00C444C1"/>
    <w:rsid w:val="00C44C8D"/>
    <w:rsid w:val="00C44E07"/>
    <w:rsid w:val="00C4501E"/>
    <w:rsid w:val="00C452DE"/>
    <w:rsid w:val="00C4558D"/>
    <w:rsid w:val="00C456A2"/>
    <w:rsid w:val="00C45B67"/>
    <w:rsid w:val="00C45CD4"/>
    <w:rsid w:val="00C4609A"/>
    <w:rsid w:val="00C46562"/>
    <w:rsid w:val="00C465C6"/>
    <w:rsid w:val="00C467B4"/>
    <w:rsid w:val="00C46924"/>
    <w:rsid w:val="00C46DAD"/>
    <w:rsid w:val="00C472C0"/>
    <w:rsid w:val="00C47418"/>
    <w:rsid w:val="00C475AA"/>
    <w:rsid w:val="00C475F0"/>
    <w:rsid w:val="00C4773C"/>
    <w:rsid w:val="00C477F9"/>
    <w:rsid w:val="00C479A8"/>
    <w:rsid w:val="00C47B9C"/>
    <w:rsid w:val="00C5036E"/>
    <w:rsid w:val="00C50542"/>
    <w:rsid w:val="00C5058E"/>
    <w:rsid w:val="00C505B7"/>
    <w:rsid w:val="00C506DA"/>
    <w:rsid w:val="00C50804"/>
    <w:rsid w:val="00C50906"/>
    <w:rsid w:val="00C509D6"/>
    <w:rsid w:val="00C50AC5"/>
    <w:rsid w:val="00C50B8B"/>
    <w:rsid w:val="00C50D21"/>
    <w:rsid w:val="00C513FB"/>
    <w:rsid w:val="00C51472"/>
    <w:rsid w:val="00C51673"/>
    <w:rsid w:val="00C51A3D"/>
    <w:rsid w:val="00C51AED"/>
    <w:rsid w:val="00C51BA2"/>
    <w:rsid w:val="00C51C0D"/>
    <w:rsid w:val="00C527C7"/>
    <w:rsid w:val="00C52B4C"/>
    <w:rsid w:val="00C52D9B"/>
    <w:rsid w:val="00C52FEE"/>
    <w:rsid w:val="00C534BD"/>
    <w:rsid w:val="00C53887"/>
    <w:rsid w:val="00C53C98"/>
    <w:rsid w:val="00C53DE5"/>
    <w:rsid w:val="00C540C2"/>
    <w:rsid w:val="00C5412E"/>
    <w:rsid w:val="00C5415F"/>
    <w:rsid w:val="00C544BD"/>
    <w:rsid w:val="00C545D5"/>
    <w:rsid w:val="00C54B84"/>
    <w:rsid w:val="00C54F7D"/>
    <w:rsid w:val="00C552B5"/>
    <w:rsid w:val="00C553BF"/>
    <w:rsid w:val="00C55588"/>
    <w:rsid w:val="00C555B5"/>
    <w:rsid w:val="00C55B56"/>
    <w:rsid w:val="00C56675"/>
    <w:rsid w:val="00C566C3"/>
    <w:rsid w:val="00C56A63"/>
    <w:rsid w:val="00C56C45"/>
    <w:rsid w:val="00C56E8B"/>
    <w:rsid w:val="00C56FCF"/>
    <w:rsid w:val="00C572F6"/>
    <w:rsid w:val="00C57475"/>
    <w:rsid w:val="00C57B6C"/>
    <w:rsid w:val="00C57EF0"/>
    <w:rsid w:val="00C600E0"/>
    <w:rsid w:val="00C60249"/>
    <w:rsid w:val="00C6039C"/>
    <w:rsid w:val="00C605F5"/>
    <w:rsid w:val="00C60673"/>
    <w:rsid w:val="00C6107F"/>
    <w:rsid w:val="00C61904"/>
    <w:rsid w:val="00C61A59"/>
    <w:rsid w:val="00C61E0A"/>
    <w:rsid w:val="00C62218"/>
    <w:rsid w:val="00C628A6"/>
    <w:rsid w:val="00C62D65"/>
    <w:rsid w:val="00C62E28"/>
    <w:rsid w:val="00C62EA9"/>
    <w:rsid w:val="00C63991"/>
    <w:rsid w:val="00C63A9C"/>
    <w:rsid w:val="00C63F8F"/>
    <w:rsid w:val="00C64074"/>
    <w:rsid w:val="00C64343"/>
    <w:rsid w:val="00C64344"/>
    <w:rsid w:val="00C64C0E"/>
    <w:rsid w:val="00C64CFE"/>
    <w:rsid w:val="00C650A9"/>
    <w:rsid w:val="00C65108"/>
    <w:rsid w:val="00C6529A"/>
    <w:rsid w:val="00C65576"/>
    <w:rsid w:val="00C656C5"/>
    <w:rsid w:val="00C657CD"/>
    <w:rsid w:val="00C65910"/>
    <w:rsid w:val="00C65AC6"/>
    <w:rsid w:val="00C66165"/>
    <w:rsid w:val="00C66306"/>
    <w:rsid w:val="00C66728"/>
    <w:rsid w:val="00C66AAD"/>
    <w:rsid w:val="00C66B63"/>
    <w:rsid w:val="00C66BE4"/>
    <w:rsid w:val="00C66F53"/>
    <w:rsid w:val="00C67102"/>
    <w:rsid w:val="00C67157"/>
    <w:rsid w:val="00C6717C"/>
    <w:rsid w:val="00C672B3"/>
    <w:rsid w:val="00C67B80"/>
    <w:rsid w:val="00C70351"/>
    <w:rsid w:val="00C7060A"/>
    <w:rsid w:val="00C70901"/>
    <w:rsid w:val="00C70A40"/>
    <w:rsid w:val="00C70CF3"/>
    <w:rsid w:val="00C712CC"/>
    <w:rsid w:val="00C71334"/>
    <w:rsid w:val="00C7151A"/>
    <w:rsid w:val="00C717E3"/>
    <w:rsid w:val="00C71F60"/>
    <w:rsid w:val="00C72241"/>
    <w:rsid w:val="00C7230B"/>
    <w:rsid w:val="00C7237E"/>
    <w:rsid w:val="00C72717"/>
    <w:rsid w:val="00C72B3D"/>
    <w:rsid w:val="00C72CE7"/>
    <w:rsid w:val="00C72DD7"/>
    <w:rsid w:val="00C73677"/>
    <w:rsid w:val="00C7368F"/>
    <w:rsid w:val="00C736B9"/>
    <w:rsid w:val="00C7373F"/>
    <w:rsid w:val="00C73850"/>
    <w:rsid w:val="00C73C3E"/>
    <w:rsid w:val="00C73C4C"/>
    <w:rsid w:val="00C73F87"/>
    <w:rsid w:val="00C74210"/>
    <w:rsid w:val="00C74278"/>
    <w:rsid w:val="00C742F6"/>
    <w:rsid w:val="00C745D6"/>
    <w:rsid w:val="00C74BDB"/>
    <w:rsid w:val="00C74D0D"/>
    <w:rsid w:val="00C74E00"/>
    <w:rsid w:val="00C750C8"/>
    <w:rsid w:val="00C75451"/>
    <w:rsid w:val="00C754BA"/>
    <w:rsid w:val="00C7560A"/>
    <w:rsid w:val="00C7560F"/>
    <w:rsid w:val="00C75911"/>
    <w:rsid w:val="00C75AFF"/>
    <w:rsid w:val="00C75CB0"/>
    <w:rsid w:val="00C75E45"/>
    <w:rsid w:val="00C75FAE"/>
    <w:rsid w:val="00C75FD1"/>
    <w:rsid w:val="00C76138"/>
    <w:rsid w:val="00C7627D"/>
    <w:rsid w:val="00C763F6"/>
    <w:rsid w:val="00C76A56"/>
    <w:rsid w:val="00C77555"/>
    <w:rsid w:val="00C776F7"/>
    <w:rsid w:val="00C777EB"/>
    <w:rsid w:val="00C779F2"/>
    <w:rsid w:val="00C77B10"/>
    <w:rsid w:val="00C77B2B"/>
    <w:rsid w:val="00C77DD2"/>
    <w:rsid w:val="00C77DFE"/>
    <w:rsid w:val="00C77E96"/>
    <w:rsid w:val="00C800BA"/>
    <w:rsid w:val="00C800C5"/>
    <w:rsid w:val="00C80996"/>
    <w:rsid w:val="00C80A0E"/>
    <w:rsid w:val="00C80E05"/>
    <w:rsid w:val="00C810C7"/>
    <w:rsid w:val="00C8116A"/>
    <w:rsid w:val="00C81502"/>
    <w:rsid w:val="00C81619"/>
    <w:rsid w:val="00C816DB"/>
    <w:rsid w:val="00C81ECC"/>
    <w:rsid w:val="00C8213F"/>
    <w:rsid w:val="00C821D8"/>
    <w:rsid w:val="00C82272"/>
    <w:rsid w:val="00C822A4"/>
    <w:rsid w:val="00C82AC9"/>
    <w:rsid w:val="00C82DEF"/>
    <w:rsid w:val="00C8303F"/>
    <w:rsid w:val="00C8310B"/>
    <w:rsid w:val="00C836D3"/>
    <w:rsid w:val="00C838E2"/>
    <w:rsid w:val="00C83B82"/>
    <w:rsid w:val="00C83D10"/>
    <w:rsid w:val="00C84115"/>
    <w:rsid w:val="00C841AB"/>
    <w:rsid w:val="00C842D1"/>
    <w:rsid w:val="00C8478F"/>
    <w:rsid w:val="00C84B79"/>
    <w:rsid w:val="00C8500A"/>
    <w:rsid w:val="00C85154"/>
    <w:rsid w:val="00C8539D"/>
    <w:rsid w:val="00C857E6"/>
    <w:rsid w:val="00C85A70"/>
    <w:rsid w:val="00C85C96"/>
    <w:rsid w:val="00C8619D"/>
    <w:rsid w:val="00C862A3"/>
    <w:rsid w:val="00C862C5"/>
    <w:rsid w:val="00C866BA"/>
    <w:rsid w:val="00C868C3"/>
    <w:rsid w:val="00C87035"/>
    <w:rsid w:val="00C870EF"/>
    <w:rsid w:val="00C8797A"/>
    <w:rsid w:val="00C87D62"/>
    <w:rsid w:val="00C900B8"/>
    <w:rsid w:val="00C900BA"/>
    <w:rsid w:val="00C90197"/>
    <w:rsid w:val="00C90295"/>
    <w:rsid w:val="00C9046F"/>
    <w:rsid w:val="00C90707"/>
    <w:rsid w:val="00C907BC"/>
    <w:rsid w:val="00C90BF5"/>
    <w:rsid w:val="00C90C71"/>
    <w:rsid w:val="00C91015"/>
    <w:rsid w:val="00C9104B"/>
    <w:rsid w:val="00C917A3"/>
    <w:rsid w:val="00C91ADB"/>
    <w:rsid w:val="00C91D5F"/>
    <w:rsid w:val="00C91DAF"/>
    <w:rsid w:val="00C91FD1"/>
    <w:rsid w:val="00C92AB2"/>
    <w:rsid w:val="00C931CF"/>
    <w:rsid w:val="00C93218"/>
    <w:rsid w:val="00C93520"/>
    <w:rsid w:val="00C937D1"/>
    <w:rsid w:val="00C9384C"/>
    <w:rsid w:val="00C938CF"/>
    <w:rsid w:val="00C93969"/>
    <w:rsid w:val="00C9396C"/>
    <w:rsid w:val="00C939BB"/>
    <w:rsid w:val="00C939F6"/>
    <w:rsid w:val="00C93C64"/>
    <w:rsid w:val="00C93E2A"/>
    <w:rsid w:val="00C94053"/>
    <w:rsid w:val="00C942B4"/>
    <w:rsid w:val="00C9445F"/>
    <w:rsid w:val="00C9464A"/>
    <w:rsid w:val="00C947E3"/>
    <w:rsid w:val="00C9494C"/>
    <w:rsid w:val="00C94954"/>
    <w:rsid w:val="00C94AF2"/>
    <w:rsid w:val="00C95A27"/>
    <w:rsid w:val="00C95F63"/>
    <w:rsid w:val="00C9624D"/>
    <w:rsid w:val="00C9633B"/>
    <w:rsid w:val="00C969DA"/>
    <w:rsid w:val="00C96AD4"/>
    <w:rsid w:val="00C979FE"/>
    <w:rsid w:val="00C97AD4"/>
    <w:rsid w:val="00C97B50"/>
    <w:rsid w:val="00CA0228"/>
    <w:rsid w:val="00CA046A"/>
    <w:rsid w:val="00CA051E"/>
    <w:rsid w:val="00CA08A2"/>
    <w:rsid w:val="00CA1834"/>
    <w:rsid w:val="00CA1882"/>
    <w:rsid w:val="00CA1887"/>
    <w:rsid w:val="00CA1FA2"/>
    <w:rsid w:val="00CA22AC"/>
    <w:rsid w:val="00CA24B5"/>
    <w:rsid w:val="00CA2900"/>
    <w:rsid w:val="00CA2C77"/>
    <w:rsid w:val="00CA3065"/>
    <w:rsid w:val="00CA3327"/>
    <w:rsid w:val="00CA335F"/>
    <w:rsid w:val="00CA3B3F"/>
    <w:rsid w:val="00CA3BE0"/>
    <w:rsid w:val="00CA3CF7"/>
    <w:rsid w:val="00CA3F63"/>
    <w:rsid w:val="00CA444F"/>
    <w:rsid w:val="00CA4476"/>
    <w:rsid w:val="00CA4697"/>
    <w:rsid w:val="00CA473A"/>
    <w:rsid w:val="00CA4BA4"/>
    <w:rsid w:val="00CA5245"/>
    <w:rsid w:val="00CA5921"/>
    <w:rsid w:val="00CA5DD0"/>
    <w:rsid w:val="00CA6085"/>
    <w:rsid w:val="00CA687E"/>
    <w:rsid w:val="00CA6D9E"/>
    <w:rsid w:val="00CA6E34"/>
    <w:rsid w:val="00CA71F4"/>
    <w:rsid w:val="00CA7A90"/>
    <w:rsid w:val="00CA7B09"/>
    <w:rsid w:val="00CA7BED"/>
    <w:rsid w:val="00CA7D63"/>
    <w:rsid w:val="00CA7E4B"/>
    <w:rsid w:val="00CB0066"/>
    <w:rsid w:val="00CB01F2"/>
    <w:rsid w:val="00CB0481"/>
    <w:rsid w:val="00CB0535"/>
    <w:rsid w:val="00CB06F1"/>
    <w:rsid w:val="00CB08D2"/>
    <w:rsid w:val="00CB0B73"/>
    <w:rsid w:val="00CB0ED9"/>
    <w:rsid w:val="00CB1216"/>
    <w:rsid w:val="00CB12A5"/>
    <w:rsid w:val="00CB182F"/>
    <w:rsid w:val="00CB1902"/>
    <w:rsid w:val="00CB1908"/>
    <w:rsid w:val="00CB1CAC"/>
    <w:rsid w:val="00CB21E5"/>
    <w:rsid w:val="00CB21ED"/>
    <w:rsid w:val="00CB2222"/>
    <w:rsid w:val="00CB2685"/>
    <w:rsid w:val="00CB26C7"/>
    <w:rsid w:val="00CB2730"/>
    <w:rsid w:val="00CB286B"/>
    <w:rsid w:val="00CB29DF"/>
    <w:rsid w:val="00CB2BAC"/>
    <w:rsid w:val="00CB2C03"/>
    <w:rsid w:val="00CB2C08"/>
    <w:rsid w:val="00CB2F2A"/>
    <w:rsid w:val="00CB2FE1"/>
    <w:rsid w:val="00CB338C"/>
    <w:rsid w:val="00CB3726"/>
    <w:rsid w:val="00CB3DA6"/>
    <w:rsid w:val="00CB3E1B"/>
    <w:rsid w:val="00CB417F"/>
    <w:rsid w:val="00CB43EB"/>
    <w:rsid w:val="00CB4B00"/>
    <w:rsid w:val="00CB4B8F"/>
    <w:rsid w:val="00CB4C1A"/>
    <w:rsid w:val="00CB5089"/>
    <w:rsid w:val="00CB5321"/>
    <w:rsid w:val="00CB546C"/>
    <w:rsid w:val="00CB5B1A"/>
    <w:rsid w:val="00CB5EB6"/>
    <w:rsid w:val="00CB65C7"/>
    <w:rsid w:val="00CB6632"/>
    <w:rsid w:val="00CB6A42"/>
    <w:rsid w:val="00CB6B22"/>
    <w:rsid w:val="00CB722F"/>
    <w:rsid w:val="00CB75C7"/>
    <w:rsid w:val="00CB791A"/>
    <w:rsid w:val="00CB7ECC"/>
    <w:rsid w:val="00CB7F5F"/>
    <w:rsid w:val="00CC009F"/>
    <w:rsid w:val="00CC057F"/>
    <w:rsid w:val="00CC094B"/>
    <w:rsid w:val="00CC0ADB"/>
    <w:rsid w:val="00CC0CB8"/>
    <w:rsid w:val="00CC11CF"/>
    <w:rsid w:val="00CC138F"/>
    <w:rsid w:val="00CC13EE"/>
    <w:rsid w:val="00CC1656"/>
    <w:rsid w:val="00CC19C9"/>
    <w:rsid w:val="00CC1B0E"/>
    <w:rsid w:val="00CC1B39"/>
    <w:rsid w:val="00CC1B8E"/>
    <w:rsid w:val="00CC1BFA"/>
    <w:rsid w:val="00CC1C49"/>
    <w:rsid w:val="00CC1E9B"/>
    <w:rsid w:val="00CC267D"/>
    <w:rsid w:val="00CC2691"/>
    <w:rsid w:val="00CC2E9F"/>
    <w:rsid w:val="00CC3037"/>
    <w:rsid w:val="00CC3579"/>
    <w:rsid w:val="00CC35D0"/>
    <w:rsid w:val="00CC35EA"/>
    <w:rsid w:val="00CC3848"/>
    <w:rsid w:val="00CC39E7"/>
    <w:rsid w:val="00CC497C"/>
    <w:rsid w:val="00CC49D4"/>
    <w:rsid w:val="00CC4B2D"/>
    <w:rsid w:val="00CC4CCD"/>
    <w:rsid w:val="00CC523E"/>
    <w:rsid w:val="00CC57B6"/>
    <w:rsid w:val="00CC5AB3"/>
    <w:rsid w:val="00CC5FFF"/>
    <w:rsid w:val="00CC69EA"/>
    <w:rsid w:val="00CC6B84"/>
    <w:rsid w:val="00CC6C4F"/>
    <w:rsid w:val="00CC6CD7"/>
    <w:rsid w:val="00CC6D5E"/>
    <w:rsid w:val="00CC6E7B"/>
    <w:rsid w:val="00CC73DE"/>
    <w:rsid w:val="00CC741A"/>
    <w:rsid w:val="00CC76D4"/>
    <w:rsid w:val="00CC7917"/>
    <w:rsid w:val="00CC79B0"/>
    <w:rsid w:val="00CC7ED0"/>
    <w:rsid w:val="00CD0200"/>
    <w:rsid w:val="00CD0827"/>
    <w:rsid w:val="00CD0882"/>
    <w:rsid w:val="00CD0B0C"/>
    <w:rsid w:val="00CD1134"/>
    <w:rsid w:val="00CD137D"/>
    <w:rsid w:val="00CD14D1"/>
    <w:rsid w:val="00CD1533"/>
    <w:rsid w:val="00CD1586"/>
    <w:rsid w:val="00CD17CB"/>
    <w:rsid w:val="00CD19BB"/>
    <w:rsid w:val="00CD1BE6"/>
    <w:rsid w:val="00CD20A0"/>
    <w:rsid w:val="00CD2220"/>
    <w:rsid w:val="00CD238C"/>
    <w:rsid w:val="00CD243E"/>
    <w:rsid w:val="00CD2970"/>
    <w:rsid w:val="00CD298C"/>
    <w:rsid w:val="00CD2B5E"/>
    <w:rsid w:val="00CD2ECA"/>
    <w:rsid w:val="00CD2F90"/>
    <w:rsid w:val="00CD2FDD"/>
    <w:rsid w:val="00CD3554"/>
    <w:rsid w:val="00CD35CC"/>
    <w:rsid w:val="00CD37F9"/>
    <w:rsid w:val="00CD3892"/>
    <w:rsid w:val="00CD3F77"/>
    <w:rsid w:val="00CD4509"/>
    <w:rsid w:val="00CD4631"/>
    <w:rsid w:val="00CD4640"/>
    <w:rsid w:val="00CD4D07"/>
    <w:rsid w:val="00CD57F3"/>
    <w:rsid w:val="00CD5AC6"/>
    <w:rsid w:val="00CD5E95"/>
    <w:rsid w:val="00CD6139"/>
    <w:rsid w:val="00CD68AE"/>
    <w:rsid w:val="00CD6ADC"/>
    <w:rsid w:val="00CD713F"/>
    <w:rsid w:val="00CD7193"/>
    <w:rsid w:val="00CD74B4"/>
    <w:rsid w:val="00CD74FA"/>
    <w:rsid w:val="00CD7588"/>
    <w:rsid w:val="00CD780B"/>
    <w:rsid w:val="00CE0227"/>
    <w:rsid w:val="00CE057D"/>
    <w:rsid w:val="00CE09F5"/>
    <w:rsid w:val="00CE0B1B"/>
    <w:rsid w:val="00CE0F08"/>
    <w:rsid w:val="00CE161F"/>
    <w:rsid w:val="00CE1891"/>
    <w:rsid w:val="00CE1D7C"/>
    <w:rsid w:val="00CE21E1"/>
    <w:rsid w:val="00CE235D"/>
    <w:rsid w:val="00CE23AA"/>
    <w:rsid w:val="00CE261A"/>
    <w:rsid w:val="00CE2A9A"/>
    <w:rsid w:val="00CE2E81"/>
    <w:rsid w:val="00CE2F2C"/>
    <w:rsid w:val="00CE30E3"/>
    <w:rsid w:val="00CE3196"/>
    <w:rsid w:val="00CE31C3"/>
    <w:rsid w:val="00CE355B"/>
    <w:rsid w:val="00CE356A"/>
    <w:rsid w:val="00CE365A"/>
    <w:rsid w:val="00CE365E"/>
    <w:rsid w:val="00CE36F2"/>
    <w:rsid w:val="00CE38C8"/>
    <w:rsid w:val="00CE3C2D"/>
    <w:rsid w:val="00CE3C8E"/>
    <w:rsid w:val="00CE437A"/>
    <w:rsid w:val="00CE4938"/>
    <w:rsid w:val="00CE4B7B"/>
    <w:rsid w:val="00CE50AA"/>
    <w:rsid w:val="00CE524F"/>
    <w:rsid w:val="00CE5445"/>
    <w:rsid w:val="00CE56B1"/>
    <w:rsid w:val="00CE57DE"/>
    <w:rsid w:val="00CE58CC"/>
    <w:rsid w:val="00CE5BDC"/>
    <w:rsid w:val="00CE6005"/>
    <w:rsid w:val="00CE6209"/>
    <w:rsid w:val="00CE6274"/>
    <w:rsid w:val="00CE62EB"/>
    <w:rsid w:val="00CE68C1"/>
    <w:rsid w:val="00CE6AAD"/>
    <w:rsid w:val="00CE6AB7"/>
    <w:rsid w:val="00CE6C35"/>
    <w:rsid w:val="00CE6E6E"/>
    <w:rsid w:val="00CE6EA0"/>
    <w:rsid w:val="00CE7000"/>
    <w:rsid w:val="00CE7288"/>
    <w:rsid w:val="00CE73AE"/>
    <w:rsid w:val="00CE73DB"/>
    <w:rsid w:val="00CE7660"/>
    <w:rsid w:val="00CE76CB"/>
    <w:rsid w:val="00CE76E9"/>
    <w:rsid w:val="00CE7722"/>
    <w:rsid w:val="00CE77B6"/>
    <w:rsid w:val="00CF02B8"/>
    <w:rsid w:val="00CF076C"/>
    <w:rsid w:val="00CF0835"/>
    <w:rsid w:val="00CF1023"/>
    <w:rsid w:val="00CF129F"/>
    <w:rsid w:val="00CF1380"/>
    <w:rsid w:val="00CF2025"/>
    <w:rsid w:val="00CF20A5"/>
    <w:rsid w:val="00CF2181"/>
    <w:rsid w:val="00CF2272"/>
    <w:rsid w:val="00CF2B8D"/>
    <w:rsid w:val="00CF34C0"/>
    <w:rsid w:val="00CF36FF"/>
    <w:rsid w:val="00CF378B"/>
    <w:rsid w:val="00CF3A1B"/>
    <w:rsid w:val="00CF3AC2"/>
    <w:rsid w:val="00CF3B50"/>
    <w:rsid w:val="00CF3BCA"/>
    <w:rsid w:val="00CF3BDB"/>
    <w:rsid w:val="00CF3DE8"/>
    <w:rsid w:val="00CF3EB3"/>
    <w:rsid w:val="00CF403D"/>
    <w:rsid w:val="00CF446F"/>
    <w:rsid w:val="00CF456B"/>
    <w:rsid w:val="00CF4957"/>
    <w:rsid w:val="00CF4E55"/>
    <w:rsid w:val="00CF4F80"/>
    <w:rsid w:val="00CF4FFA"/>
    <w:rsid w:val="00CF5274"/>
    <w:rsid w:val="00CF527D"/>
    <w:rsid w:val="00CF5484"/>
    <w:rsid w:val="00CF560C"/>
    <w:rsid w:val="00CF5A22"/>
    <w:rsid w:val="00CF5AC0"/>
    <w:rsid w:val="00CF5BB6"/>
    <w:rsid w:val="00CF5C4D"/>
    <w:rsid w:val="00CF5D40"/>
    <w:rsid w:val="00CF6587"/>
    <w:rsid w:val="00CF6675"/>
    <w:rsid w:val="00CF680F"/>
    <w:rsid w:val="00CF68DA"/>
    <w:rsid w:val="00CF69F1"/>
    <w:rsid w:val="00CF6C08"/>
    <w:rsid w:val="00CF70AF"/>
    <w:rsid w:val="00CF7BA0"/>
    <w:rsid w:val="00CF7D59"/>
    <w:rsid w:val="00CF7F3A"/>
    <w:rsid w:val="00CF7F85"/>
    <w:rsid w:val="00D002A1"/>
    <w:rsid w:val="00D00CAD"/>
    <w:rsid w:val="00D01273"/>
    <w:rsid w:val="00D012F7"/>
    <w:rsid w:val="00D0141D"/>
    <w:rsid w:val="00D014F8"/>
    <w:rsid w:val="00D018CC"/>
    <w:rsid w:val="00D01ACE"/>
    <w:rsid w:val="00D02134"/>
    <w:rsid w:val="00D02367"/>
    <w:rsid w:val="00D023A4"/>
    <w:rsid w:val="00D0262E"/>
    <w:rsid w:val="00D02648"/>
    <w:rsid w:val="00D02973"/>
    <w:rsid w:val="00D02B4C"/>
    <w:rsid w:val="00D02E15"/>
    <w:rsid w:val="00D02F19"/>
    <w:rsid w:val="00D03352"/>
    <w:rsid w:val="00D0349C"/>
    <w:rsid w:val="00D03679"/>
    <w:rsid w:val="00D038F8"/>
    <w:rsid w:val="00D03E84"/>
    <w:rsid w:val="00D040DD"/>
    <w:rsid w:val="00D0452F"/>
    <w:rsid w:val="00D04D9E"/>
    <w:rsid w:val="00D04E40"/>
    <w:rsid w:val="00D04EF6"/>
    <w:rsid w:val="00D0532D"/>
    <w:rsid w:val="00D057D1"/>
    <w:rsid w:val="00D05BA9"/>
    <w:rsid w:val="00D05C39"/>
    <w:rsid w:val="00D05D51"/>
    <w:rsid w:val="00D05DEA"/>
    <w:rsid w:val="00D05E1C"/>
    <w:rsid w:val="00D05E3D"/>
    <w:rsid w:val="00D05F81"/>
    <w:rsid w:val="00D06139"/>
    <w:rsid w:val="00D0639C"/>
    <w:rsid w:val="00D0678A"/>
    <w:rsid w:val="00D06799"/>
    <w:rsid w:val="00D06F6A"/>
    <w:rsid w:val="00D070DF"/>
    <w:rsid w:val="00D07158"/>
    <w:rsid w:val="00D07211"/>
    <w:rsid w:val="00D075E3"/>
    <w:rsid w:val="00D078F1"/>
    <w:rsid w:val="00D07902"/>
    <w:rsid w:val="00D07BB4"/>
    <w:rsid w:val="00D101F0"/>
    <w:rsid w:val="00D1025B"/>
    <w:rsid w:val="00D103EB"/>
    <w:rsid w:val="00D105DE"/>
    <w:rsid w:val="00D10A99"/>
    <w:rsid w:val="00D10B28"/>
    <w:rsid w:val="00D10F7D"/>
    <w:rsid w:val="00D110BD"/>
    <w:rsid w:val="00D11201"/>
    <w:rsid w:val="00D11262"/>
    <w:rsid w:val="00D11430"/>
    <w:rsid w:val="00D114C9"/>
    <w:rsid w:val="00D11507"/>
    <w:rsid w:val="00D1212D"/>
    <w:rsid w:val="00D1280C"/>
    <w:rsid w:val="00D12864"/>
    <w:rsid w:val="00D1297A"/>
    <w:rsid w:val="00D12C76"/>
    <w:rsid w:val="00D12C90"/>
    <w:rsid w:val="00D130C0"/>
    <w:rsid w:val="00D13134"/>
    <w:rsid w:val="00D13675"/>
    <w:rsid w:val="00D13728"/>
    <w:rsid w:val="00D13B42"/>
    <w:rsid w:val="00D141E1"/>
    <w:rsid w:val="00D14373"/>
    <w:rsid w:val="00D144CE"/>
    <w:rsid w:val="00D1461A"/>
    <w:rsid w:val="00D14CE7"/>
    <w:rsid w:val="00D14E09"/>
    <w:rsid w:val="00D150C0"/>
    <w:rsid w:val="00D152DA"/>
    <w:rsid w:val="00D15314"/>
    <w:rsid w:val="00D15408"/>
    <w:rsid w:val="00D1540D"/>
    <w:rsid w:val="00D15687"/>
    <w:rsid w:val="00D15B48"/>
    <w:rsid w:val="00D1624F"/>
    <w:rsid w:val="00D16254"/>
    <w:rsid w:val="00D16379"/>
    <w:rsid w:val="00D16869"/>
    <w:rsid w:val="00D170F6"/>
    <w:rsid w:val="00D1725D"/>
    <w:rsid w:val="00D1795A"/>
    <w:rsid w:val="00D17D6C"/>
    <w:rsid w:val="00D17F96"/>
    <w:rsid w:val="00D20024"/>
    <w:rsid w:val="00D200B6"/>
    <w:rsid w:val="00D204F1"/>
    <w:rsid w:val="00D20582"/>
    <w:rsid w:val="00D20B2A"/>
    <w:rsid w:val="00D21107"/>
    <w:rsid w:val="00D2155B"/>
    <w:rsid w:val="00D21916"/>
    <w:rsid w:val="00D21AAC"/>
    <w:rsid w:val="00D21AB2"/>
    <w:rsid w:val="00D22149"/>
    <w:rsid w:val="00D2277C"/>
    <w:rsid w:val="00D229FE"/>
    <w:rsid w:val="00D22D79"/>
    <w:rsid w:val="00D22EDB"/>
    <w:rsid w:val="00D23021"/>
    <w:rsid w:val="00D230AF"/>
    <w:rsid w:val="00D23141"/>
    <w:rsid w:val="00D23463"/>
    <w:rsid w:val="00D23D11"/>
    <w:rsid w:val="00D23E69"/>
    <w:rsid w:val="00D23FF0"/>
    <w:rsid w:val="00D241F8"/>
    <w:rsid w:val="00D24400"/>
    <w:rsid w:val="00D244B6"/>
    <w:rsid w:val="00D24B8C"/>
    <w:rsid w:val="00D24BA0"/>
    <w:rsid w:val="00D24DE3"/>
    <w:rsid w:val="00D26323"/>
    <w:rsid w:val="00D26A29"/>
    <w:rsid w:val="00D26BF2"/>
    <w:rsid w:val="00D2754D"/>
    <w:rsid w:val="00D27B27"/>
    <w:rsid w:val="00D27B39"/>
    <w:rsid w:val="00D27B80"/>
    <w:rsid w:val="00D27E26"/>
    <w:rsid w:val="00D30639"/>
    <w:rsid w:val="00D30785"/>
    <w:rsid w:val="00D30985"/>
    <w:rsid w:val="00D30B4D"/>
    <w:rsid w:val="00D30D01"/>
    <w:rsid w:val="00D30D5B"/>
    <w:rsid w:val="00D30E9E"/>
    <w:rsid w:val="00D30F15"/>
    <w:rsid w:val="00D31364"/>
    <w:rsid w:val="00D31463"/>
    <w:rsid w:val="00D3147B"/>
    <w:rsid w:val="00D31A92"/>
    <w:rsid w:val="00D31B87"/>
    <w:rsid w:val="00D322BC"/>
    <w:rsid w:val="00D32764"/>
    <w:rsid w:val="00D327F4"/>
    <w:rsid w:val="00D32D75"/>
    <w:rsid w:val="00D330DC"/>
    <w:rsid w:val="00D3325C"/>
    <w:rsid w:val="00D333E1"/>
    <w:rsid w:val="00D33BE9"/>
    <w:rsid w:val="00D33F77"/>
    <w:rsid w:val="00D33F91"/>
    <w:rsid w:val="00D33F92"/>
    <w:rsid w:val="00D33F93"/>
    <w:rsid w:val="00D3428B"/>
    <w:rsid w:val="00D348CE"/>
    <w:rsid w:val="00D34B40"/>
    <w:rsid w:val="00D34B72"/>
    <w:rsid w:val="00D35202"/>
    <w:rsid w:val="00D3538A"/>
    <w:rsid w:val="00D35672"/>
    <w:rsid w:val="00D357FF"/>
    <w:rsid w:val="00D35BB9"/>
    <w:rsid w:val="00D35D58"/>
    <w:rsid w:val="00D36137"/>
    <w:rsid w:val="00D36195"/>
    <w:rsid w:val="00D364B4"/>
    <w:rsid w:val="00D3663D"/>
    <w:rsid w:val="00D36694"/>
    <w:rsid w:val="00D36955"/>
    <w:rsid w:val="00D36AAB"/>
    <w:rsid w:val="00D36BB7"/>
    <w:rsid w:val="00D36E12"/>
    <w:rsid w:val="00D36E7D"/>
    <w:rsid w:val="00D36F68"/>
    <w:rsid w:val="00D37135"/>
    <w:rsid w:val="00D373BD"/>
    <w:rsid w:val="00D3757E"/>
    <w:rsid w:val="00D37795"/>
    <w:rsid w:val="00D3794E"/>
    <w:rsid w:val="00D37971"/>
    <w:rsid w:val="00D37ABA"/>
    <w:rsid w:val="00D37CFD"/>
    <w:rsid w:val="00D37D90"/>
    <w:rsid w:val="00D37DDF"/>
    <w:rsid w:val="00D40195"/>
    <w:rsid w:val="00D4024A"/>
    <w:rsid w:val="00D402CA"/>
    <w:rsid w:val="00D406FB"/>
    <w:rsid w:val="00D4102A"/>
    <w:rsid w:val="00D41116"/>
    <w:rsid w:val="00D41639"/>
    <w:rsid w:val="00D41862"/>
    <w:rsid w:val="00D41ACE"/>
    <w:rsid w:val="00D4245D"/>
    <w:rsid w:val="00D424C7"/>
    <w:rsid w:val="00D428EC"/>
    <w:rsid w:val="00D42CFE"/>
    <w:rsid w:val="00D43257"/>
    <w:rsid w:val="00D433EC"/>
    <w:rsid w:val="00D43780"/>
    <w:rsid w:val="00D43B2A"/>
    <w:rsid w:val="00D43CF1"/>
    <w:rsid w:val="00D43D83"/>
    <w:rsid w:val="00D43F3A"/>
    <w:rsid w:val="00D440A0"/>
    <w:rsid w:val="00D440E9"/>
    <w:rsid w:val="00D44B5F"/>
    <w:rsid w:val="00D44C05"/>
    <w:rsid w:val="00D44FCC"/>
    <w:rsid w:val="00D45611"/>
    <w:rsid w:val="00D45BA0"/>
    <w:rsid w:val="00D45C5A"/>
    <w:rsid w:val="00D4655B"/>
    <w:rsid w:val="00D4657D"/>
    <w:rsid w:val="00D46B6A"/>
    <w:rsid w:val="00D46BC3"/>
    <w:rsid w:val="00D46EED"/>
    <w:rsid w:val="00D46F7F"/>
    <w:rsid w:val="00D472A3"/>
    <w:rsid w:val="00D47575"/>
    <w:rsid w:val="00D478AB"/>
    <w:rsid w:val="00D47D83"/>
    <w:rsid w:val="00D47DA5"/>
    <w:rsid w:val="00D47EF6"/>
    <w:rsid w:val="00D47F6B"/>
    <w:rsid w:val="00D509A9"/>
    <w:rsid w:val="00D50BCD"/>
    <w:rsid w:val="00D50EF7"/>
    <w:rsid w:val="00D510FD"/>
    <w:rsid w:val="00D51CEC"/>
    <w:rsid w:val="00D51D79"/>
    <w:rsid w:val="00D51DF4"/>
    <w:rsid w:val="00D52380"/>
    <w:rsid w:val="00D5243B"/>
    <w:rsid w:val="00D52718"/>
    <w:rsid w:val="00D5303D"/>
    <w:rsid w:val="00D533EC"/>
    <w:rsid w:val="00D534F4"/>
    <w:rsid w:val="00D53D4A"/>
    <w:rsid w:val="00D542CE"/>
    <w:rsid w:val="00D547B4"/>
    <w:rsid w:val="00D547DC"/>
    <w:rsid w:val="00D54867"/>
    <w:rsid w:val="00D54CF2"/>
    <w:rsid w:val="00D54DDC"/>
    <w:rsid w:val="00D55039"/>
    <w:rsid w:val="00D554BD"/>
    <w:rsid w:val="00D555C5"/>
    <w:rsid w:val="00D5567F"/>
    <w:rsid w:val="00D556F5"/>
    <w:rsid w:val="00D5584D"/>
    <w:rsid w:val="00D55AFD"/>
    <w:rsid w:val="00D55CB2"/>
    <w:rsid w:val="00D56251"/>
    <w:rsid w:val="00D564BB"/>
    <w:rsid w:val="00D56826"/>
    <w:rsid w:val="00D56A95"/>
    <w:rsid w:val="00D56C7C"/>
    <w:rsid w:val="00D56F18"/>
    <w:rsid w:val="00D57073"/>
    <w:rsid w:val="00D570DF"/>
    <w:rsid w:val="00D578C2"/>
    <w:rsid w:val="00D57C21"/>
    <w:rsid w:val="00D57E53"/>
    <w:rsid w:val="00D6003C"/>
    <w:rsid w:val="00D6044F"/>
    <w:rsid w:val="00D60518"/>
    <w:rsid w:val="00D6076E"/>
    <w:rsid w:val="00D6078A"/>
    <w:rsid w:val="00D60A87"/>
    <w:rsid w:val="00D60BEF"/>
    <w:rsid w:val="00D60E1B"/>
    <w:rsid w:val="00D60F2E"/>
    <w:rsid w:val="00D61023"/>
    <w:rsid w:val="00D61150"/>
    <w:rsid w:val="00D613CD"/>
    <w:rsid w:val="00D61439"/>
    <w:rsid w:val="00D616FB"/>
    <w:rsid w:val="00D619C8"/>
    <w:rsid w:val="00D61A92"/>
    <w:rsid w:val="00D61BF6"/>
    <w:rsid w:val="00D61CD6"/>
    <w:rsid w:val="00D61E5F"/>
    <w:rsid w:val="00D61EE4"/>
    <w:rsid w:val="00D620A2"/>
    <w:rsid w:val="00D6263B"/>
    <w:rsid w:val="00D626A2"/>
    <w:rsid w:val="00D62A5A"/>
    <w:rsid w:val="00D63169"/>
    <w:rsid w:val="00D6344C"/>
    <w:rsid w:val="00D638DB"/>
    <w:rsid w:val="00D63E95"/>
    <w:rsid w:val="00D64154"/>
    <w:rsid w:val="00D6462F"/>
    <w:rsid w:val="00D64654"/>
    <w:rsid w:val="00D649E3"/>
    <w:rsid w:val="00D64D7B"/>
    <w:rsid w:val="00D64EB5"/>
    <w:rsid w:val="00D652C4"/>
    <w:rsid w:val="00D652D8"/>
    <w:rsid w:val="00D65333"/>
    <w:rsid w:val="00D658BB"/>
    <w:rsid w:val="00D65DC4"/>
    <w:rsid w:val="00D65E4B"/>
    <w:rsid w:val="00D65F49"/>
    <w:rsid w:val="00D665B2"/>
    <w:rsid w:val="00D6669A"/>
    <w:rsid w:val="00D66915"/>
    <w:rsid w:val="00D6692F"/>
    <w:rsid w:val="00D6694E"/>
    <w:rsid w:val="00D670A9"/>
    <w:rsid w:val="00D67888"/>
    <w:rsid w:val="00D67965"/>
    <w:rsid w:val="00D67D7B"/>
    <w:rsid w:val="00D701AA"/>
    <w:rsid w:val="00D706C7"/>
    <w:rsid w:val="00D70997"/>
    <w:rsid w:val="00D70D05"/>
    <w:rsid w:val="00D70D5C"/>
    <w:rsid w:val="00D70F16"/>
    <w:rsid w:val="00D71473"/>
    <w:rsid w:val="00D7149D"/>
    <w:rsid w:val="00D71586"/>
    <w:rsid w:val="00D7158C"/>
    <w:rsid w:val="00D71995"/>
    <w:rsid w:val="00D7212E"/>
    <w:rsid w:val="00D72305"/>
    <w:rsid w:val="00D723CD"/>
    <w:rsid w:val="00D72617"/>
    <w:rsid w:val="00D72D9A"/>
    <w:rsid w:val="00D72EFE"/>
    <w:rsid w:val="00D72F57"/>
    <w:rsid w:val="00D73A5A"/>
    <w:rsid w:val="00D74010"/>
    <w:rsid w:val="00D74032"/>
    <w:rsid w:val="00D740E0"/>
    <w:rsid w:val="00D741F7"/>
    <w:rsid w:val="00D745A4"/>
    <w:rsid w:val="00D748E0"/>
    <w:rsid w:val="00D74E8B"/>
    <w:rsid w:val="00D7571B"/>
    <w:rsid w:val="00D759F9"/>
    <w:rsid w:val="00D75A5D"/>
    <w:rsid w:val="00D75DE5"/>
    <w:rsid w:val="00D76A44"/>
    <w:rsid w:val="00D7718C"/>
    <w:rsid w:val="00D77469"/>
    <w:rsid w:val="00D777F8"/>
    <w:rsid w:val="00D77C69"/>
    <w:rsid w:val="00D77CAF"/>
    <w:rsid w:val="00D77D85"/>
    <w:rsid w:val="00D80248"/>
    <w:rsid w:val="00D80D45"/>
    <w:rsid w:val="00D80F99"/>
    <w:rsid w:val="00D8140B"/>
    <w:rsid w:val="00D815EF"/>
    <w:rsid w:val="00D8176F"/>
    <w:rsid w:val="00D8184A"/>
    <w:rsid w:val="00D81949"/>
    <w:rsid w:val="00D81F26"/>
    <w:rsid w:val="00D821E7"/>
    <w:rsid w:val="00D822BF"/>
    <w:rsid w:val="00D822E2"/>
    <w:rsid w:val="00D825F2"/>
    <w:rsid w:val="00D82890"/>
    <w:rsid w:val="00D829E1"/>
    <w:rsid w:val="00D82A81"/>
    <w:rsid w:val="00D82AE6"/>
    <w:rsid w:val="00D82D31"/>
    <w:rsid w:val="00D82EB0"/>
    <w:rsid w:val="00D8301C"/>
    <w:rsid w:val="00D83086"/>
    <w:rsid w:val="00D833CC"/>
    <w:rsid w:val="00D834B9"/>
    <w:rsid w:val="00D837DC"/>
    <w:rsid w:val="00D83860"/>
    <w:rsid w:val="00D83CB7"/>
    <w:rsid w:val="00D843F2"/>
    <w:rsid w:val="00D84A2D"/>
    <w:rsid w:val="00D84BF1"/>
    <w:rsid w:val="00D85315"/>
    <w:rsid w:val="00D85569"/>
    <w:rsid w:val="00D85D4E"/>
    <w:rsid w:val="00D8611E"/>
    <w:rsid w:val="00D86183"/>
    <w:rsid w:val="00D86231"/>
    <w:rsid w:val="00D86367"/>
    <w:rsid w:val="00D8674B"/>
    <w:rsid w:val="00D8694F"/>
    <w:rsid w:val="00D86A31"/>
    <w:rsid w:val="00D86BC8"/>
    <w:rsid w:val="00D86F03"/>
    <w:rsid w:val="00D8720B"/>
    <w:rsid w:val="00D875E0"/>
    <w:rsid w:val="00D90049"/>
    <w:rsid w:val="00D900C4"/>
    <w:rsid w:val="00D90249"/>
    <w:rsid w:val="00D902F2"/>
    <w:rsid w:val="00D90498"/>
    <w:rsid w:val="00D90717"/>
    <w:rsid w:val="00D9075D"/>
    <w:rsid w:val="00D907C9"/>
    <w:rsid w:val="00D90B93"/>
    <w:rsid w:val="00D90BED"/>
    <w:rsid w:val="00D90C0F"/>
    <w:rsid w:val="00D912AB"/>
    <w:rsid w:val="00D9130A"/>
    <w:rsid w:val="00D9175C"/>
    <w:rsid w:val="00D918C4"/>
    <w:rsid w:val="00D91923"/>
    <w:rsid w:val="00D919A6"/>
    <w:rsid w:val="00D91F62"/>
    <w:rsid w:val="00D9261C"/>
    <w:rsid w:val="00D92640"/>
    <w:rsid w:val="00D92BC3"/>
    <w:rsid w:val="00D92D9D"/>
    <w:rsid w:val="00D92DE9"/>
    <w:rsid w:val="00D92F39"/>
    <w:rsid w:val="00D9302B"/>
    <w:rsid w:val="00D9323A"/>
    <w:rsid w:val="00D93753"/>
    <w:rsid w:val="00D93869"/>
    <w:rsid w:val="00D93B0D"/>
    <w:rsid w:val="00D942FA"/>
    <w:rsid w:val="00D944D6"/>
    <w:rsid w:val="00D9458E"/>
    <w:rsid w:val="00D947E3"/>
    <w:rsid w:val="00D94A3C"/>
    <w:rsid w:val="00D94C4C"/>
    <w:rsid w:val="00D94FA5"/>
    <w:rsid w:val="00D95477"/>
    <w:rsid w:val="00D956D1"/>
    <w:rsid w:val="00D957F8"/>
    <w:rsid w:val="00D9596B"/>
    <w:rsid w:val="00D95B49"/>
    <w:rsid w:val="00D95F78"/>
    <w:rsid w:val="00D960C4"/>
    <w:rsid w:val="00D960D1"/>
    <w:rsid w:val="00D96446"/>
    <w:rsid w:val="00D96479"/>
    <w:rsid w:val="00D96539"/>
    <w:rsid w:val="00D965D4"/>
    <w:rsid w:val="00D96CE5"/>
    <w:rsid w:val="00D96DA7"/>
    <w:rsid w:val="00D97411"/>
    <w:rsid w:val="00D97993"/>
    <w:rsid w:val="00D97B9B"/>
    <w:rsid w:val="00D97C39"/>
    <w:rsid w:val="00D97E06"/>
    <w:rsid w:val="00DA0398"/>
    <w:rsid w:val="00DA08A7"/>
    <w:rsid w:val="00DA0A0B"/>
    <w:rsid w:val="00DA0BAE"/>
    <w:rsid w:val="00DA0F5D"/>
    <w:rsid w:val="00DA1278"/>
    <w:rsid w:val="00DA166A"/>
    <w:rsid w:val="00DA18F2"/>
    <w:rsid w:val="00DA1903"/>
    <w:rsid w:val="00DA1A11"/>
    <w:rsid w:val="00DA2321"/>
    <w:rsid w:val="00DA24E8"/>
    <w:rsid w:val="00DA24F6"/>
    <w:rsid w:val="00DA2685"/>
    <w:rsid w:val="00DA2EFC"/>
    <w:rsid w:val="00DA3167"/>
    <w:rsid w:val="00DA3440"/>
    <w:rsid w:val="00DA38D5"/>
    <w:rsid w:val="00DA3B27"/>
    <w:rsid w:val="00DA3B7E"/>
    <w:rsid w:val="00DA4315"/>
    <w:rsid w:val="00DA4434"/>
    <w:rsid w:val="00DA45C9"/>
    <w:rsid w:val="00DA4A73"/>
    <w:rsid w:val="00DA4DC3"/>
    <w:rsid w:val="00DA4DE1"/>
    <w:rsid w:val="00DA5001"/>
    <w:rsid w:val="00DA55A5"/>
    <w:rsid w:val="00DA5714"/>
    <w:rsid w:val="00DA5933"/>
    <w:rsid w:val="00DA5E05"/>
    <w:rsid w:val="00DA6024"/>
    <w:rsid w:val="00DA635D"/>
    <w:rsid w:val="00DA65C5"/>
    <w:rsid w:val="00DA6E32"/>
    <w:rsid w:val="00DA6E9E"/>
    <w:rsid w:val="00DA74C9"/>
    <w:rsid w:val="00DA74F6"/>
    <w:rsid w:val="00DA77A5"/>
    <w:rsid w:val="00DA77FE"/>
    <w:rsid w:val="00DA7F7A"/>
    <w:rsid w:val="00DB02B0"/>
    <w:rsid w:val="00DB0AFC"/>
    <w:rsid w:val="00DB0E36"/>
    <w:rsid w:val="00DB0F64"/>
    <w:rsid w:val="00DB0FE1"/>
    <w:rsid w:val="00DB137C"/>
    <w:rsid w:val="00DB15BC"/>
    <w:rsid w:val="00DB1D8F"/>
    <w:rsid w:val="00DB1F03"/>
    <w:rsid w:val="00DB21A4"/>
    <w:rsid w:val="00DB25F9"/>
    <w:rsid w:val="00DB2723"/>
    <w:rsid w:val="00DB2733"/>
    <w:rsid w:val="00DB2C09"/>
    <w:rsid w:val="00DB343D"/>
    <w:rsid w:val="00DB34DA"/>
    <w:rsid w:val="00DB352A"/>
    <w:rsid w:val="00DB3B04"/>
    <w:rsid w:val="00DB3DBF"/>
    <w:rsid w:val="00DB3E58"/>
    <w:rsid w:val="00DB3EB2"/>
    <w:rsid w:val="00DB3FFF"/>
    <w:rsid w:val="00DB40FB"/>
    <w:rsid w:val="00DB43BD"/>
    <w:rsid w:val="00DB45D6"/>
    <w:rsid w:val="00DB4787"/>
    <w:rsid w:val="00DB484F"/>
    <w:rsid w:val="00DB4906"/>
    <w:rsid w:val="00DB4C58"/>
    <w:rsid w:val="00DB52DB"/>
    <w:rsid w:val="00DB54E3"/>
    <w:rsid w:val="00DB5732"/>
    <w:rsid w:val="00DB57EA"/>
    <w:rsid w:val="00DB5A8F"/>
    <w:rsid w:val="00DB5DAD"/>
    <w:rsid w:val="00DB5E8A"/>
    <w:rsid w:val="00DB5FC6"/>
    <w:rsid w:val="00DB653B"/>
    <w:rsid w:val="00DB66F4"/>
    <w:rsid w:val="00DB69D7"/>
    <w:rsid w:val="00DB6B92"/>
    <w:rsid w:val="00DB6C5B"/>
    <w:rsid w:val="00DB717B"/>
    <w:rsid w:val="00DB7378"/>
    <w:rsid w:val="00DB7524"/>
    <w:rsid w:val="00DB7946"/>
    <w:rsid w:val="00DB79BE"/>
    <w:rsid w:val="00DB7E04"/>
    <w:rsid w:val="00DC04F6"/>
    <w:rsid w:val="00DC0690"/>
    <w:rsid w:val="00DC0A41"/>
    <w:rsid w:val="00DC0DAE"/>
    <w:rsid w:val="00DC0DE4"/>
    <w:rsid w:val="00DC0F3D"/>
    <w:rsid w:val="00DC1189"/>
    <w:rsid w:val="00DC12BD"/>
    <w:rsid w:val="00DC191E"/>
    <w:rsid w:val="00DC1D65"/>
    <w:rsid w:val="00DC2210"/>
    <w:rsid w:val="00DC23B0"/>
    <w:rsid w:val="00DC2659"/>
    <w:rsid w:val="00DC2E3A"/>
    <w:rsid w:val="00DC3116"/>
    <w:rsid w:val="00DC33DB"/>
    <w:rsid w:val="00DC3B1B"/>
    <w:rsid w:val="00DC3C57"/>
    <w:rsid w:val="00DC42C8"/>
    <w:rsid w:val="00DC4484"/>
    <w:rsid w:val="00DC47B4"/>
    <w:rsid w:val="00DC496E"/>
    <w:rsid w:val="00DC4FCC"/>
    <w:rsid w:val="00DC507E"/>
    <w:rsid w:val="00DC5371"/>
    <w:rsid w:val="00DC5501"/>
    <w:rsid w:val="00DC55FA"/>
    <w:rsid w:val="00DC5663"/>
    <w:rsid w:val="00DC577B"/>
    <w:rsid w:val="00DC597A"/>
    <w:rsid w:val="00DC5A2E"/>
    <w:rsid w:val="00DC5DD5"/>
    <w:rsid w:val="00DC5DE4"/>
    <w:rsid w:val="00DC5EEB"/>
    <w:rsid w:val="00DC6415"/>
    <w:rsid w:val="00DC6FF3"/>
    <w:rsid w:val="00DC70F2"/>
    <w:rsid w:val="00DC7154"/>
    <w:rsid w:val="00DC7833"/>
    <w:rsid w:val="00DC7DDF"/>
    <w:rsid w:val="00DC7E88"/>
    <w:rsid w:val="00DC7E8A"/>
    <w:rsid w:val="00DD00FD"/>
    <w:rsid w:val="00DD0355"/>
    <w:rsid w:val="00DD0519"/>
    <w:rsid w:val="00DD0589"/>
    <w:rsid w:val="00DD0BD6"/>
    <w:rsid w:val="00DD0BFD"/>
    <w:rsid w:val="00DD0CE6"/>
    <w:rsid w:val="00DD0F76"/>
    <w:rsid w:val="00DD0F78"/>
    <w:rsid w:val="00DD114E"/>
    <w:rsid w:val="00DD1886"/>
    <w:rsid w:val="00DD1948"/>
    <w:rsid w:val="00DD1A0F"/>
    <w:rsid w:val="00DD2526"/>
    <w:rsid w:val="00DD254E"/>
    <w:rsid w:val="00DD2572"/>
    <w:rsid w:val="00DD273C"/>
    <w:rsid w:val="00DD2C3A"/>
    <w:rsid w:val="00DD2FB3"/>
    <w:rsid w:val="00DD3F28"/>
    <w:rsid w:val="00DD41A5"/>
    <w:rsid w:val="00DD42B1"/>
    <w:rsid w:val="00DD4446"/>
    <w:rsid w:val="00DD4537"/>
    <w:rsid w:val="00DD4624"/>
    <w:rsid w:val="00DD4655"/>
    <w:rsid w:val="00DD4D22"/>
    <w:rsid w:val="00DD4E15"/>
    <w:rsid w:val="00DD510F"/>
    <w:rsid w:val="00DD512C"/>
    <w:rsid w:val="00DD5EED"/>
    <w:rsid w:val="00DD5F54"/>
    <w:rsid w:val="00DD62EC"/>
    <w:rsid w:val="00DD72BA"/>
    <w:rsid w:val="00DD73FD"/>
    <w:rsid w:val="00DD7512"/>
    <w:rsid w:val="00DD7795"/>
    <w:rsid w:val="00DD7B85"/>
    <w:rsid w:val="00DD7BE0"/>
    <w:rsid w:val="00DE026B"/>
    <w:rsid w:val="00DE045D"/>
    <w:rsid w:val="00DE0692"/>
    <w:rsid w:val="00DE1650"/>
    <w:rsid w:val="00DE17C9"/>
    <w:rsid w:val="00DE18E9"/>
    <w:rsid w:val="00DE1947"/>
    <w:rsid w:val="00DE19A1"/>
    <w:rsid w:val="00DE1DBC"/>
    <w:rsid w:val="00DE2131"/>
    <w:rsid w:val="00DE2281"/>
    <w:rsid w:val="00DE2304"/>
    <w:rsid w:val="00DE27A7"/>
    <w:rsid w:val="00DE2B43"/>
    <w:rsid w:val="00DE2DF0"/>
    <w:rsid w:val="00DE2EB5"/>
    <w:rsid w:val="00DE2FDF"/>
    <w:rsid w:val="00DE3013"/>
    <w:rsid w:val="00DE3138"/>
    <w:rsid w:val="00DE3660"/>
    <w:rsid w:val="00DE37F8"/>
    <w:rsid w:val="00DE39F1"/>
    <w:rsid w:val="00DE3E1C"/>
    <w:rsid w:val="00DE3F5E"/>
    <w:rsid w:val="00DE4273"/>
    <w:rsid w:val="00DE4335"/>
    <w:rsid w:val="00DE4AE4"/>
    <w:rsid w:val="00DE4B3A"/>
    <w:rsid w:val="00DE4E61"/>
    <w:rsid w:val="00DE4FCB"/>
    <w:rsid w:val="00DE5105"/>
    <w:rsid w:val="00DE5435"/>
    <w:rsid w:val="00DE5832"/>
    <w:rsid w:val="00DE5D02"/>
    <w:rsid w:val="00DE5D07"/>
    <w:rsid w:val="00DE5F2F"/>
    <w:rsid w:val="00DE5FA6"/>
    <w:rsid w:val="00DE61D1"/>
    <w:rsid w:val="00DE626C"/>
    <w:rsid w:val="00DE6EB4"/>
    <w:rsid w:val="00DE6FCA"/>
    <w:rsid w:val="00DE709E"/>
    <w:rsid w:val="00DE71AC"/>
    <w:rsid w:val="00DE72A7"/>
    <w:rsid w:val="00DE72C6"/>
    <w:rsid w:val="00DE75F2"/>
    <w:rsid w:val="00DE760D"/>
    <w:rsid w:val="00DE7772"/>
    <w:rsid w:val="00DE77DF"/>
    <w:rsid w:val="00DE7832"/>
    <w:rsid w:val="00DE784C"/>
    <w:rsid w:val="00DE7936"/>
    <w:rsid w:val="00DE7FA2"/>
    <w:rsid w:val="00DF010B"/>
    <w:rsid w:val="00DF0142"/>
    <w:rsid w:val="00DF02FA"/>
    <w:rsid w:val="00DF0E89"/>
    <w:rsid w:val="00DF10EA"/>
    <w:rsid w:val="00DF1527"/>
    <w:rsid w:val="00DF167B"/>
    <w:rsid w:val="00DF18FC"/>
    <w:rsid w:val="00DF190D"/>
    <w:rsid w:val="00DF1A3E"/>
    <w:rsid w:val="00DF1AB2"/>
    <w:rsid w:val="00DF1C60"/>
    <w:rsid w:val="00DF2435"/>
    <w:rsid w:val="00DF27F1"/>
    <w:rsid w:val="00DF2945"/>
    <w:rsid w:val="00DF3937"/>
    <w:rsid w:val="00DF3D2C"/>
    <w:rsid w:val="00DF40A6"/>
    <w:rsid w:val="00DF4580"/>
    <w:rsid w:val="00DF487A"/>
    <w:rsid w:val="00DF4964"/>
    <w:rsid w:val="00DF4B15"/>
    <w:rsid w:val="00DF4F78"/>
    <w:rsid w:val="00DF4FF8"/>
    <w:rsid w:val="00DF5055"/>
    <w:rsid w:val="00DF5099"/>
    <w:rsid w:val="00DF5609"/>
    <w:rsid w:val="00DF59BB"/>
    <w:rsid w:val="00DF5A96"/>
    <w:rsid w:val="00DF5BF0"/>
    <w:rsid w:val="00DF5D2B"/>
    <w:rsid w:val="00DF5E99"/>
    <w:rsid w:val="00DF60A8"/>
    <w:rsid w:val="00DF6341"/>
    <w:rsid w:val="00DF63DC"/>
    <w:rsid w:val="00DF6641"/>
    <w:rsid w:val="00DF66FF"/>
    <w:rsid w:val="00DF6A36"/>
    <w:rsid w:val="00DF6BC2"/>
    <w:rsid w:val="00DF6BC3"/>
    <w:rsid w:val="00DF7403"/>
    <w:rsid w:val="00E00861"/>
    <w:rsid w:val="00E00B39"/>
    <w:rsid w:val="00E00E8E"/>
    <w:rsid w:val="00E00FB0"/>
    <w:rsid w:val="00E013CC"/>
    <w:rsid w:val="00E014D2"/>
    <w:rsid w:val="00E01A27"/>
    <w:rsid w:val="00E01A8D"/>
    <w:rsid w:val="00E01CA4"/>
    <w:rsid w:val="00E01E22"/>
    <w:rsid w:val="00E01E6D"/>
    <w:rsid w:val="00E0230D"/>
    <w:rsid w:val="00E02706"/>
    <w:rsid w:val="00E02BAE"/>
    <w:rsid w:val="00E02DCD"/>
    <w:rsid w:val="00E02EC8"/>
    <w:rsid w:val="00E02ED3"/>
    <w:rsid w:val="00E03079"/>
    <w:rsid w:val="00E0310F"/>
    <w:rsid w:val="00E035A4"/>
    <w:rsid w:val="00E035BE"/>
    <w:rsid w:val="00E035C3"/>
    <w:rsid w:val="00E037B9"/>
    <w:rsid w:val="00E03AC3"/>
    <w:rsid w:val="00E03BC5"/>
    <w:rsid w:val="00E03C22"/>
    <w:rsid w:val="00E03F2A"/>
    <w:rsid w:val="00E04113"/>
    <w:rsid w:val="00E041E0"/>
    <w:rsid w:val="00E04CB3"/>
    <w:rsid w:val="00E04F5F"/>
    <w:rsid w:val="00E04F86"/>
    <w:rsid w:val="00E0526D"/>
    <w:rsid w:val="00E05630"/>
    <w:rsid w:val="00E05875"/>
    <w:rsid w:val="00E05ACE"/>
    <w:rsid w:val="00E05B7A"/>
    <w:rsid w:val="00E05FE3"/>
    <w:rsid w:val="00E061AE"/>
    <w:rsid w:val="00E06CBD"/>
    <w:rsid w:val="00E06DBB"/>
    <w:rsid w:val="00E070A4"/>
    <w:rsid w:val="00E070DE"/>
    <w:rsid w:val="00E0759F"/>
    <w:rsid w:val="00E07774"/>
    <w:rsid w:val="00E07863"/>
    <w:rsid w:val="00E078D4"/>
    <w:rsid w:val="00E079E4"/>
    <w:rsid w:val="00E07F5D"/>
    <w:rsid w:val="00E10149"/>
    <w:rsid w:val="00E106CF"/>
    <w:rsid w:val="00E10BF1"/>
    <w:rsid w:val="00E10F2A"/>
    <w:rsid w:val="00E11340"/>
    <w:rsid w:val="00E115D8"/>
    <w:rsid w:val="00E11852"/>
    <w:rsid w:val="00E11C0A"/>
    <w:rsid w:val="00E11E28"/>
    <w:rsid w:val="00E11EE1"/>
    <w:rsid w:val="00E1205A"/>
    <w:rsid w:val="00E122A1"/>
    <w:rsid w:val="00E1298A"/>
    <w:rsid w:val="00E129C4"/>
    <w:rsid w:val="00E12D57"/>
    <w:rsid w:val="00E1381F"/>
    <w:rsid w:val="00E13A0D"/>
    <w:rsid w:val="00E13A6C"/>
    <w:rsid w:val="00E13B4F"/>
    <w:rsid w:val="00E1407E"/>
    <w:rsid w:val="00E140D7"/>
    <w:rsid w:val="00E140EE"/>
    <w:rsid w:val="00E14815"/>
    <w:rsid w:val="00E14AB0"/>
    <w:rsid w:val="00E14FAD"/>
    <w:rsid w:val="00E14FAF"/>
    <w:rsid w:val="00E15072"/>
    <w:rsid w:val="00E155BF"/>
    <w:rsid w:val="00E1565C"/>
    <w:rsid w:val="00E15948"/>
    <w:rsid w:val="00E1632E"/>
    <w:rsid w:val="00E1635C"/>
    <w:rsid w:val="00E16372"/>
    <w:rsid w:val="00E16523"/>
    <w:rsid w:val="00E16625"/>
    <w:rsid w:val="00E16AD8"/>
    <w:rsid w:val="00E16D51"/>
    <w:rsid w:val="00E1700A"/>
    <w:rsid w:val="00E17A8B"/>
    <w:rsid w:val="00E17E26"/>
    <w:rsid w:val="00E17FFA"/>
    <w:rsid w:val="00E2096B"/>
    <w:rsid w:val="00E2099D"/>
    <w:rsid w:val="00E20A07"/>
    <w:rsid w:val="00E20E4D"/>
    <w:rsid w:val="00E20ED6"/>
    <w:rsid w:val="00E2112E"/>
    <w:rsid w:val="00E211CF"/>
    <w:rsid w:val="00E21358"/>
    <w:rsid w:val="00E2149B"/>
    <w:rsid w:val="00E216B9"/>
    <w:rsid w:val="00E21DD6"/>
    <w:rsid w:val="00E21FBB"/>
    <w:rsid w:val="00E22148"/>
    <w:rsid w:val="00E2216F"/>
    <w:rsid w:val="00E22211"/>
    <w:rsid w:val="00E2249B"/>
    <w:rsid w:val="00E22594"/>
    <w:rsid w:val="00E22A0D"/>
    <w:rsid w:val="00E22A72"/>
    <w:rsid w:val="00E22E3D"/>
    <w:rsid w:val="00E22E41"/>
    <w:rsid w:val="00E238B3"/>
    <w:rsid w:val="00E23A26"/>
    <w:rsid w:val="00E23B6A"/>
    <w:rsid w:val="00E23E41"/>
    <w:rsid w:val="00E23FF9"/>
    <w:rsid w:val="00E24144"/>
    <w:rsid w:val="00E24468"/>
    <w:rsid w:val="00E244F6"/>
    <w:rsid w:val="00E24BE8"/>
    <w:rsid w:val="00E24C65"/>
    <w:rsid w:val="00E25481"/>
    <w:rsid w:val="00E255EA"/>
    <w:rsid w:val="00E258DB"/>
    <w:rsid w:val="00E25960"/>
    <w:rsid w:val="00E2599E"/>
    <w:rsid w:val="00E25A71"/>
    <w:rsid w:val="00E25BBC"/>
    <w:rsid w:val="00E265EE"/>
    <w:rsid w:val="00E2672B"/>
    <w:rsid w:val="00E26A2E"/>
    <w:rsid w:val="00E26A86"/>
    <w:rsid w:val="00E26C33"/>
    <w:rsid w:val="00E2702A"/>
    <w:rsid w:val="00E2759C"/>
    <w:rsid w:val="00E27619"/>
    <w:rsid w:val="00E2771E"/>
    <w:rsid w:val="00E277FC"/>
    <w:rsid w:val="00E278A5"/>
    <w:rsid w:val="00E27951"/>
    <w:rsid w:val="00E27A93"/>
    <w:rsid w:val="00E30053"/>
    <w:rsid w:val="00E301A3"/>
    <w:rsid w:val="00E304C6"/>
    <w:rsid w:val="00E30877"/>
    <w:rsid w:val="00E30E2E"/>
    <w:rsid w:val="00E30F58"/>
    <w:rsid w:val="00E310B3"/>
    <w:rsid w:val="00E311EF"/>
    <w:rsid w:val="00E316E2"/>
    <w:rsid w:val="00E31B1E"/>
    <w:rsid w:val="00E31C24"/>
    <w:rsid w:val="00E31F85"/>
    <w:rsid w:val="00E31FCB"/>
    <w:rsid w:val="00E320DF"/>
    <w:rsid w:val="00E32180"/>
    <w:rsid w:val="00E32388"/>
    <w:rsid w:val="00E32502"/>
    <w:rsid w:val="00E32CC8"/>
    <w:rsid w:val="00E32FEC"/>
    <w:rsid w:val="00E33197"/>
    <w:rsid w:val="00E3331D"/>
    <w:rsid w:val="00E33454"/>
    <w:rsid w:val="00E3362A"/>
    <w:rsid w:val="00E3365A"/>
    <w:rsid w:val="00E337F9"/>
    <w:rsid w:val="00E338EF"/>
    <w:rsid w:val="00E339BE"/>
    <w:rsid w:val="00E33A39"/>
    <w:rsid w:val="00E33AD7"/>
    <w:rsid w:val="00E33B83"/>
    <w:rsid w:val="00E3486B"/>
    <w:rsid w:val="00E34948"/>
    <w:rsid w:val="00E34C59"/>
    <w:rsid w:val="00E34F51"/>
    <w:rsid w:val="00E350E3"/>
    <w:rsid w:val="00E351AB"/>
    <w:rsid w:val="00E35A13"/>
    <w:rsid w:val="00E35AD5"/>
    <w:rsid w:val="00E35B2F"/>
    <w:rsid w:val="00E35B46"/>
    <w:rsid w:val="00E35DC9"/>
    <w:rsid w:val="00E36810"/>
    <w:rsid w:val="00E36ECA"/>
    <w:rsid w:val="00E36F0F"/>
    <w:rsid w:val="00E37569"/>
    <w:rsid w:val="00E375B6"/>
    <w:rsid w:val="00E37615"/>
    <w:rsid w:val="00E376C7"/>
    <w:rsid w:val="00E37950"/>
    <w:rsid w:val="00E37DE3"/>
    <w:rsid w:val="00E40043"/>
    <w:rsid w:val="00E400A4"/>
    <w:rsid w:val="00E40106"/>
    <w:rsid w:val="00E401B2"/>
    <w:rsid w:val="00E4053C"/>
    <w:rsid w:val="00E405EB"/>
    <w:rsid w:val="00E40B7B"/>
    <w:rsid w:val="00E410F5"/>
    <w:rsid w:val="00E411A0"/>
    <w:rsid w:val="00E411A3"/>
    <w:rsid w:val="00E41E30"/>
    <w:rsid w:val="00E41EEC"/>
    <w:rsid w:val="00E42409"/>
    <w:rsid w:val="00E429D9"/>
    <w:rsid w:val="00E429FD"/>
    <w:rsid w:val="00E42DF8"/>
    <w:rsid w:val="00E42DFB"/>
    <w:rsid w:val="00E42F73"/>
    <w:rsid w:val="00E43115"/>
    <w:rsid w:val="00E43289"/>
    <w:rsid w:val="00E436B1"/>
    <w:rsid w:val="00E43B8A"/>
    <w:rsid w:val="00E43D70"/>
    <w:rsid w:val="00E44312"/>
    <w:rsid w:val="00E447F4"/>
    <w:rsid w:val="00E44A23"/>
    <w:rsid w:val="00E45260"/>
    <w:rsid w:val="00E45285"/>
    <w:rsid w:val="00E45314"/>
    <w:rsid w:val="00E45520"/>
    <w:rsid w:val="00E455D4"/>
    <w:rsid w:val="00E45A17"/>
    <w:rsid w:val="00E46372"/>
    <w:rsid w:val="00E463AA"/>
    <w:rsid w:val="00E466F3"/>
    <w:rsid w:val="00E473A9"/>
    <w:rsid w:val="00E47980"/>
    <w:rsid w:val="00E47B2C"/>
    <w:rsid w:val="00E50213"/>
    <w:rsid w:val="00E50259"/>
    <w:rsid w:val="00E50650"/>
    <w:rsid w:val="00E5071B"/>
    <w:rsid w:val="00E5087A"/>
    <w:rsid w:val="00E50F7A"/>
    <w:rsid w:val="00E50FF2"/>
    <w:rsid w:val="00E511A5"/>
    <w:rsid w:val="00E51560"/>
    <w:rsid w:val="00E5162C"/>
    <w:rsid w:val="00E51821"/>
    <w:rsid w:val="00E521D7"/>
    <w:rsid w:val="00E529D3"/>
    <w:rsid w:val="00E52C08"/>
    <w:rsid w:val="00E5340A"/>
    <w:rsid w:val="00E53429"/>
    <w:rsid w:val="00E53A4D"/>
    <w:rsid w:val="00E53AC2"/>
    <w:rsid w:val="00E53E6C"/>
    <w:rsid w:val="00E53EBA"/>
    <w:rsid w:val="00E53FC8"/>
    <w:rsid w:val="00E5418F"/>
    <w:rsid w:val="00E54211"/>
    <w:rsid w:val="00E54290"/>
    <w:rsid w:val="00E54347"/>
    <w:rsid w:val="00E54A92"/>
    <w:rsid w:val="00E553BC"/>
    <w:rsid w:val="00E55424"/>
    <w:rsid w:val="00E55653"/>
    <w:rsid w:val="00E55751"/>
    <w:rsid w:val="00E55915"/>
    <w:rsid w:val="00E55BB5"/>
    <w:rsid w:val="00E55D97"/>
    <w:rsid w:val="00E55EE0"/>
    <w:rsid w:val="00E562FC"/>
    <w:rsid w:val="00E5637B"/>
    <w:rsid w:val="00E564CD"/>
    <w:rsid w:val="00E565DC"/>
    <w:rsid w:val="00E56770"/>
    <w:rsid w:val="00E57527"/>
    <w:rsid w:val="00E575E3"/>
    <w:rsid w:val="00E57A46"/>
    <w:rsid w:val="00E57CFB"/>
    <w:rsid w:val="00E57D0B"/>
    <w:rsid w:val="00E57DAC"/>
    <w:rsid w:val="00E57EC6"/>
    <w:rsid w:val="00E57EDE"/>
    <w:rsid w:val="00E60FE6"/>
    <w:rsid w:val="00E611DF"/>
    <w:rsid w:val="00E6191D"/>
    <w:rsid w:val="00E61F09"/>
    <w:rsid w:val="00E61F5F"/>
    <w:rsid w:val="00E62353"/>
    <w:rsid w:val="00E623A9"/>
    <w:rsid w:val="00E62437"/>
    <w:rsid w:val="00E62680"/>
    <w:rsid w:val="00E62EF6"/>
    <w:rsid w:val="00E63127"/>
    <w:rsid w:val="00E634A1"/>
    <w:rsid w:val="00E63A2B"/>
    <w:rsid w:val="00E63E97"/>
    <w:rsid w:val="00E6419E"/>
    <w:rsid w:val="00E642FA"/>
    <w:rsid w:val="00E64392"/>
    <w:rsid w:val="00E648DF"/>
    <w:rsid w:val="00E64EC6"/>
    <w:rsid w:val="00E64FB4"/>
    <w:rsid w:val="00E65070"/>
    <w:rsid w:val="00E651C5"/>
    <w:rsid w:val="00E653C5"/>
    <w:rsid w:val="00E654C6"/>
    <w:rsid w:val="00E6553B"/>
    <w:rsid w:val="00E65E1A"/>
    <w:rsid w:val="00E65E79"/>
    <w:rsid w:val="00E663EA"/>
    <w:rsid w:val="00E6660C"/>
    <w:rsid w:val="00E6690F"/>
    <w:rsid w:val="00E669D6"/>
    <w:rsid w:val="00E66BA2"/>
    <w:rsid w:val="00E66DA4"/>
    <w:rsid w:val="00E6715E"/>
    <w:rsid w:val="00E67416"/>
    <w:rsid w:val="00E678E5"/>
    <w:rsid w:val="00E67D33"/>
    <w:rsid w:val="00E700E4"/>
    <w:rsid w:val="00E709C6"/>
    <w:rsid w:val="00E70B03"/>
    <w:rsid w:val="00E70C88"/>
    <w:rsid w:val="00E70E8B"/>
    <w:rsid w:val="00E710F4"/>
    <w:rsid w:val="00E71655"/>
    <w:rsid w:val="00E718B6"/>
    <w:rsid w:val="00E71C96"/>
    <w:rsid w:val="00E72167"/>
    <w:rsid w:val="00E72170"/>
    <w:rsid w:val="00E723BA"/>
    <w:rsid w:val="00E724AB"/>
    <w:rsid w:val="00E724F6"/>
    <w:rsid w:val="00E7276D"/>
    <w:rsid w:val="00E72780"/>
    <w:rsid w:val="00E72B30"/>
    <w:rsid w:val="00E72E11"/>
    <w:rsid w:val="00E72FAC"/>
    <w:rsid w:val="00E733CD"/>
    <w:rsid w:val="00E73581"/>
    <w:rsid w:val="00E7398B"/>
    <w:rsid w:val="00E73A66"/>
    <w:rsid w:val="00E74036"/>
    <w:rsid w:val="00E741FE"/>
    <w:rsid w:val="00E74549"/>
    <w:rsid w:val="00E7495C"/>
    <w:rsid w:val="00E74C10"/>
    <w:rsid w:val="00E74D17"/>
    <w:rsid w:val="00E74D4C"/>
    <w:rsid w:val="00E75716"/>
    <w:rsid w:val="00E758CD"/>
    <w:rsid w:val="00E759A2"/>
    <w:rsid w:val="00E759BA"/>
    <w:rsid w:val="00E75B09"/>
    <w:rsid w:val="00E760EE"/>
    <w:rsid w:val="00E76235"/>
    <w:rsid w:val="00E76722"/>
    <w:rsid w:val="00E768FA"/>
    <w:rsid w:val="00E769E4"/>
    <w:rsid w:val="00E76C76"/>
    <w:rsid w:val="00E76FDA"/>
    <w:rsid w:val="00E77420"/>
    <w:rsid w:val="00E774DA"/>
    <w:rsid w:val="00E77602"/>
    <w:rsid w:val="00E77610"/>
    <w:rsid w:val="00E77813"/>
    <w:rsid w:val="00E779A9"/>
    <w:rsid w:val="00E80888"/>
    <w:rsid w:val="00E8093C"/>
    <w:rsid w:val="00E80F56"/>
    <w:rsid w:val="00E80F7F"/>
    <w:rsid w:val="00E810DB"/>
    <w:rsid w:val="00E81285"/>
    <w:rsid w:val="00E812CF"/>
    <w:rsid w:val="00E81465"/>
    <w:rsid w:val="00E8181E"/>
    <w:rsid w:val="00E81975"/>
    <w:rsid w:val="00E81B04"/>
    <w:rsid w:val="00E81C98"/>
    <w:rsid w:val="00E81DBB"/>
    <w:rsid w:val="00E81EC2"/>
    <w:rsid w:val="00E81F7C"/>
    <w:rsid w:val="00E82233"/>
    <w:rsid w:val="00E82277"/>
    <w:rsid w:val="00E82425"/>
    <w:rsid w:val="00E8268A"/>
    <w:rsid w:val="00E828B8"/>
    <w:rsid w:val="00E831FC"/>
    <w:rsid w:val="00E83222"/>
    <w:rsid w:val="00E833F7"/>
    <w:rsid w:val="00E834CA"/>
    <w:rsid w:val="00E83B05"/>
    <w:rsid w:val="00E83B94"/>
    <w:rsid w:val="00E83BDF"/>
    <w:rsid w:val="00E83C34"/>
    <w:rsid w:val="00E83D89"/>
    <w:rsid w:val="00E83D98"/>
    <w:rsid w:val="00E841CB"/>
    <w:rsid w:val="00E84422"/>
    <w:rsid w:val="00E84653"/>
    <w:rsid w:val="00E84C14"/>
    <w:rsid w:val="00E84CE3"/>
    <w:rsid w:val="00E8536A"/>
    <w:rsid w:val="00E85786"/>
    <w:rsid w:val="00E85AD9"/>
    <w:rsid w:val="00E85E9A"/>
    <w:rsid w:val="00E85FCB"/>
    <w:rsid w:val="00E86048"/>
    <w:rsid w:val="00E8615C"/>
    <w:rsid w:val="00E865DB"/>
    <w:rsid w:val="00E868F3"/>
    <w:rsid w:val="00E86FCC"/>
    <w:rsid w:val="00E87770"/>
    <w:rsid w:val="00E87821"/>
    <w:rsid w:val="00E87A1D"/>
    <w:rsid w:val="00E87DF7"/>
    <w:rsid w:val="00E90181"/>
    <w:rsid w:val="00E901C0"/>
    <w:rsid w:val="00E90200"/>
    <w:rsid w:val="00E9094A"/>
    <w:rsid w:val="00E909C2"/>
    <w:rsid w:val="00E90CE5"/>
    <w:rsid w:val="00E91431"/>
    <w:rsid w:val="00E91596"/>
    <w:rsid w:val="00E9163C"/>
    <w:rsid w:val="00E91642"/>
    <w:rsid w:val="00E91D35"/>
    <w:rsid w:val="00E91DDB"/>
    <w:rsid w:val="00E921F9"/>
    <w:rsid w:val="00E92458"/>
    <w:rsid w:val="00E926A5"/>
    <w:rsid w:val="00E926B5"/>
    <w:rsid w:val="00E926BE"/>
    <w:rsid w:val="00E92E89"/>
    <w:rsid w:val="00E94ABA"/>
    <w:rsid w:val="00E94B68"/>
    <w:rsid w:val="00E953A1"/>
    <w:rsid w:val="00E95534"/>
    <w:rsid w:val="00E956B8"/>
    <w:rsid w:val="00E95892"/>
    <w:rsid w:val="00E958A2"/>
    <w:rsid w:val="00E958AF"/>
    <w:rsid w:val="00E9613F"/>
    <w:rsid w:val="00E9615D"/>
    <w:rsid w:val="00E962CC"/>
    <w:rsid w:val="00E96746"/>
    <w:rsid w:val="00E96764"/>
    <w:rsid w:val="00E96A3F"/>
    <w:rsid w:val="00E96ACF"/>
    <w:rsid w:val="00E96BA3"/>
    <w:rsid w:val="00E96E65"/>
    <w:rsid w:val="00E9713B"/>
    <w:rsid w:val="00E97591"/>
    <w:rsid w:val="00E9789F"/>
    <w:rsid w:val="00E97D27"/>
    <w:rsid w:val="00E97E4F"/>
    <w:rsid w:val="00E97F1A"/>
    <w:rsid w:val="00EA0128"/>
    <w:rsid w:val="00EA02FD"/>
    <w:rsid w:val="00EA037F"/>
    <w:rsid w:val="00EA0F79"/>
    <w:rsid w:val="00EA1530"/>
    <w:rsid w:val="00EA15E1"/>
    <w:rsid w:val="00EA17C3"/>
    <w:rsid w:val="00EA1F1B"/>
    <w:rsid w:val="00EA20F6"/>
    <w:rsid w:val="00EA2350"/>
    <w:rsid w:val="00EA2572"/>
    <w:rsid w:val="00EA2681"/>
    <w:rsid w:val="00EA270A"/>
    <w:rsid w:val="00EA2B38"/>
    <w:rsid w:val="00EA2CAA"/>
    <w:rsid w:val="00EA37B9"/>
    <w:rsid w:val="00EA3864"/>
    <w:rsid w:val="00EA3FA7"/>
    <w:rsid w:val="00EA4136"/>
    <w:rsid w:val="00EA441F"/>
    <w:rsid w:val="00EA4431"/>
    <w:rsid w:val="00EA44FC"/>
    <w:rsid w:val="00EA495E"/>
    <w:rsid w:val="00EA4A42"/>
    <w:rsid w:val="00EA4A8D"/>
    <w:rsid w:val="00EA5096"/>
    <w:rsid w:val="00EA50F7"/>
    <w:rsid w:val="00EA510E"/>
    <w:rsid w:val="00EA545E"/>
    <w:rsid w:val="00EA5682"/>
    <w:rsid w:val="00EA5AEC"/>
    <w:rsid w:val="00EA5BA4"/>
    <w:rsid w:val="00EA6017"/>
    <w:rsid w:val="00EA6542"/>
    <w:rsid w:val="00EA654D"/>
    <w:rsid w:val="00EA6619"/>
    <w:rsid w:val="00EA6C24"/>
    <w:rsid w:val="00EA76CE"/>
    <w:rsid w:val="00EA799A"/>
    <w:rsid w:val="00EA7F1C"/>
    <w:rsid w:val="00EB0842"/>
    <w:rsid w:val="00EB09E7"/>
    <w:rsid w:val="00EB0E38"/>
    <w:rsid w:val="00EB1352"/>
    <w:rsid w:val="00EB13D7"/>
    <w:rsid w:val="00EB13D9"/>
    <w:rsid w:val="00EB1443"/>
    <w:rsid w:val="00EB1492"/>
    <w:rsid w:val="00EB14B5"/>
    <w:rsid w:val="00EB15B6"/>
    <w:rsid w:val="00EB20FE"/>
    <w:rsid w:val="00EB246E"/>
    <w:rsid w:val="00EB25DC"/>
    <w:rsid w:val="00EB2708"/>
    <w:rsid w:val="00EB287C"/>
    <w:rsid w:val="00EB2F78"/>
    <w:rsid w:val="00EB3181"/>
    <w:rsid w:val="00EB327A"/>
    <w:rsid w:val="00EB3324"/>
    <w:rsid w:val="00EB34C8"/>
    <w:rsid w:val="00EB3D06"/>
    <w:rsid w:val="00EB42FD"/>
    <w:rsid w:val="00EB4305"/>
    <w:rsid w:val="00EB44CC"/>
    <w:rsid w:val="00EB4724"/>
    <w:rsid w:val="00EB4916"/>
    <w:rsid w:val="00EB4C3A"/>
    <w:rsid w:val="00EB50DC"/>
    <w:rsid w:val="00EB5199"/>
    <w:rsid w:val="00EB5392"/>
    <w:rsid w:val="00EB6180"/>
    <w:rsid w:val="00EB6337"/>
    <w:rsid w:val="00EB6859"/>
    <w:rsid w:val="00EB6ADE"/>
    <w:rsid w:val="00EB74D2"/>
    <w:rsid w:val="00EB788F"/>
    <w:rsid w:val="00EB7C93"/>
    <w:rsid w:val="00EB7DC3"/>
    <w:rsid w:val="00EC00C9"/>
    <w:rsid w:val="00EC02F9"/>
    <w:rsid w:val="00EC057E"/>
    <w:rsid w:val="00EC09AF"/>
    <w:rsid w:val="00EC0A56"/>
    <w:rsid w:val="00EC0DB2"/>
    <w:rsid w:val="00EC0DD9"/>
    <w:rsid w:val="00EC142E"/>
    <w:rsid w:val="00EC163B"/>
    <w:rsid w:val="00EC16AF"/>
    <w:rsid w:val="00EC1966"/>
    <w:rsid w:val="00EC1968"/>
    <w:rsid w:val="00EC2649"/>
    <w:rsid w:val="00EC2DB2"/>
    <w:rsid w:val="00EC305C"/>
    <w:rsid w:val="00EC31D7"/>
    <w:rsid w:val="00EC31ED"/>
    <w:rsid w:val="00EC36CB"/>
    <w:rsid w:val="00EC47D2"/>
    <w:rsid w:val="00EC4813"/>
    <w:rsid w:val="00EC48E2"/>
    <w:rsid w:val="00EC4DD8"/>
    <w:rsid w:val="00EC5836"/>
    <w:rsid w:val="00EC5837"/>
    <w:rsid w:val="00EC5AE9"/>
    <w:rsid w:val="00EC5F33"/>
    <w:rsid w:val="00EC688C"/>
    <w:rsid w:val="00EC68DB"/>
    <w:rsid w:val="00EC70E9"/>
    <w:rsid w:val="00EC7586"/>
    <w:rsid w:val="00EC77AD"/>
    <w:rsid w:val="00EC7899"/>
    <w:rsid w:val="00EC79AD"/>
    <w:rsid w:val="00EC7A01"/>
    <w:rsid w:val="00EC7EFD"/>
    <w:rsid w:val="00ED00D6"/>
    <w:rsid w:val="00ED0336"/>
    <w:rsid w:val="00ED0502"/>
    <w:rsid w:val="00ED05BA"/>
    <w:rsid w:val="00ED0749"/>
    <w:rsid w:val="00ED089B"/>
    <w:rsid w:val="00ED0CBB"/>
    <w:rsid w:val="00ED0D55"/>
    <w:rsid w:val="00ED0E24"/>
    <w:rsid w:val="00ED1180"/>
    <w:rsid w:val="00ED12E3"/>
    <w:rsid w:val="00ED152A"/>
    <w:rsid w:val="00ED2187"/>
    <w:rsid w:val="00ED2246"/>
    <w:rsid w:val="00ED3596"/>
    <w:rsid w:val="00ED3885"/>
    <w:rsid w:val="00ED3A56"/>
    <w:rsid w:val="00ED3AF0"/>
    <w:rsid w:val="00ED3F3B"/>
    <w:rsid w:val="00ED3FAE"/>
    <w:rsid w:val="00ED3FC2"/>
    <w:rsid w:val="00ED40AD"/>
    <w:rsid w:val="00ED4311"/>
    <w:rsid w:val="00ED4902"/>
    <w:rsid w:val="00ED4910"/>
    <w:rsid w:val="00ED4B04"/>
    <w:rsid w:val="00ED4E55"/>
    <w:rsid w:val="00ED4FBF"/>
    <w:rsid w:val="00ED537D"/>
    <w:rsid w:val="00ED57EA"/>
    <w:rsid w:val="00ED599B"/>
    <w:rsid w:val="00ED5B5B"/>
    <w:rsid w:val="00ED5BD4"/>
    <w:rsid w:val="00ED66EE"/>
    <w:rsid w:val="00ED68E6"/>
    <w:rsid w:val="00ED69B9"/>
    <w:rsid w:val="00ED6ADD"/>
    <w:rsid w:val="00ED6F70"/>
    <w:rsid w:val="00ED77CE"/>
    <w:rsid w:val="00ED78C1"/>
    <w:rsid w:val="00ED7A0C"/>
    <w:rsid w:val="00ED7F1A"/>
    <w:rsid w:val="00EE034E"/>
    <w:rsid w:val="00EE05AB"/>
    <w:rsid w:val="00EE0662"/>
    <w:rsid w:val="00EE07D3"/>
    <w:rsid w:val="00EE09D7"/>
    <w:rsid w:val="00EE1720"/>
    <w:rsid w:val="00EE1996"/>
    <w:rsid w:val="00EE1B3E"/>
    <w:rsid w:val="00EE1C01"/>
    <w:rsid w:val="00EE1C40"/>
    <w:rsid w:val="00EE1C53"/>
    <w:rsid w:val="00EE1C91"/>
    <w:rsid w:val="00EE1D65"/>
    <w:rsid w:val="00EE22AF"/>
    <w:rsid w:val="00EE25C9"/>
    <w:rsid w:val="00EE2626"/>
    <w:rsid w:val="00EE2B70"/>
    <w:rsid w:val="00EE2C7D"/>
    <w:rsid w:val="00EE34C5"/>
    <w:rsid w:val="00EE3C02"/>
    <w:rsid w:val="00EE3FBB"/>
    <w:rsid w:val="00EE4190"/>
    <w:rsid w:val="00EE4200"/>
    <w:rsid w:val="00EE4595"/>
    <w:rsid w:val="00EE4B6E"/>
    <w:rsid w:val="00EE4B86"/>
    <w:rsid w:val="00EE4E22"/>
    <w:rsid w:val="00EE4F3D"/>
    <w:rsid w:val="00EE5608"/>
    <w:rsid w:val="00EE5DE8"/>
    <w:rsid w:val="00EE61EB"/>
    <w:rsid w:val="00EE6380"/>
    <w:rsid w:val="00EE666F"/>
    <w:rsid w:val="00EE66B9"/>
    <w:rsid w:val="00EE6786"/>
    <w:rsid w:val="00EE6A20"/>
    <w:rsid w:val="00EE6B9D"/>
    <w:rsid w:val="00EE6BDC"/>
    <w:rsid w:val="00EE6D35"/>
    <w:rsid w:val="00EE6F6E"/>
    <w:rsid w:val="00EE7036"/>
    <w:rsid w:val="00EE70EC"/>
    <w:rsid w:val="00EE718B"/>
    <w:rsid w:val="00EE7434"/>
    <w:rsid w:val="00EE78A6"/>
    <w:rsid w:val="00EE7914"/>
    <w:rsid w:val="00EE7A7E"/>
    <w:rsid w:val="00EE7AAD"/>
    <w:rsid w:val="00EE7F8A"/>
    <w:rsid w:val="00EF0171"/>
    <w:rsid w:val="00EF0249"/>
    <w:rsid w:val="00EF0301"/>
    <w:rsid w:val="00EF042D"/>
    <w:rsid w:val="00EF0B7F"/>
    <w:rsid w:val="00EF0C84"/>
    <w:rsid w:val="00EF1266"/>
    <w:rsid w:val="00EF1B25"/>
    <w:rsid w:val="00EF1B33"/>
    <w:rsid w:val="00EF1C9E"/>
    <w:rsid w:val="00EF1CE3"/>
    <w:rsid w:val="00EF1DA0"/>
    <w:rsid w:val="00EF212B"/>
    <w:rsid w:val="00EF21BD"/>
    <w:rsid w:val="00EF2460"/>
    <w:rsid w:val="00EF250C"/>
    <w:rsid w:val="00EF27EC"/>
    <w:rsid w:val="00EF281C"/>
    <w:rsid w:val="00EF2A30"/>
    <w:rsid w:val="00EF2DC1"/>
    <w:rsid w:val="00EF3032"/>
    <w:rsid w:val="00EF3477"/>
    <w:rsid w:val="00EF3494"/>
    <w:rsid w:val="00EF3618"/>
    <w:rsid w:val="00EF3BD9"/>
    <w:rsid w:val="00EF3D0F"/>
    <w:rsid w:val="00EF3E4A"/>
    <w:rsid w:val="00EF3FA4"/>
    <w:rsid w:val="00EF457A"/>
    <w:rsid w:val="00EF45C2"/>
    <w:rsid w:val="00EF4747"/>
    <w:rsid w:val="00EF49EB"/>
    <w:rsid w:val="00EF4BB1"/>
    <w:rsid w:val="00EF4BF8"/>
    <w:rsid w:val="00EF5502"/>
    <w:rsid w:val="00EF5773"/>
    <w:rsid w:val="00EF5A7A"/>
    <w:rsid w:val="00EF64BB"/>
    <w:rsid w:val="00EF67E9"/>
    <w:rsid w:val="00EF6942"/>
    <w:rsid w:val="00EF698B"/>
    <w:rsid w:val="00EF6A5D"/>
    <w:rsid w:val="00EF6AAB"/>
    <w:rsid w:val="00EF6FE7"/>
    <w:rsid w:val="00EF73A0"/>
    <w:rsid w:val="00EF73F8"/>
    <w:rsid w:val="00EF748F"/>
    <w:rsid w:val="00EF749B"/>
    <w:rsid w:val="00EF799D"/>
    <w:rsid w:val="00EF7A9C"/>
    <w:rsid w:val="00EF7D9B"/>
    <w:rsid w:val="00EF7E4E"/>
    <w:rsid w:val="00EF7F53"/>
    <w:rsid w:val="00F0017C"/>
    <w:rsid w:val="00F0026E"/>
    <w:rsid w:val="00F00B0E"/>
    <w:rsid w:val="00F01230"/>
    <w:rsid w:val="00F012AE"/>
    <w:rsid w:val="00F013E6"/>
    <w:rsid w:val="00F01484"/>
    <w:rsid w:val="00F01978"/>
    <w:rsid w:val="00F01C2C"/>
    <w:rsid w:val="00F01EDC"/>
    <w:rsid w:val="00F021DE"/>
    <w:rsid w:val="00F02253"/>
    <w:rsid w:val="00F02704"/>
    <w:rsid w:val="00F0288F"/>
    <w:rsid w:val="00F02A1E"/>
    <w:rsid w:val="00F03939"/>
    <w:rsid w:val="00F03C2E"/>
    <w:rsid w:val="00F03D55"/>
    <w:rsid w:val="00F0411D"/>
    <w:rsid w:val="00F04172"/>
    <w:rsid w:val="00F04341"/>
    <w:rsid w:val="00F0450A"/>
    <w:rsid w:val="00F0471E"/>
    <w:rsid w:val="00F047C1"/>
    <w:rsid w:val="00F048F0"/>
    <w:rsid w:val="00F04A51"/>
    <w:rsid w:val="00F04A66"/>
    <w:rsid w:val="00F04B4B"/>
    <w:rsid w:val="00F04C60"/>
    <w:rsid w:val="00F04D51"/>
    <w:rsid w:val="00F04F4A"/>
    <w:rsid w:val="00F0516C"/>
    <w:rsid w:val="00F057A5"/>
    <w:rsid w:val="00F0586C"/>
    <w:rsid w:val="00F05AF8"/>
    <w:rsid w:val="00F05B15"/>
    <w:rsid w:val="00F05C3E"/>
    <w:rsid w:val="00F05D56"/>
    <w:rsid w:val="00F05DB0"/>
    <w:rsid w:val="00F05EDF"/>
    <w:rsid w:val="00F0645C"/>
    <w:rsid w:val="00F0653F"/>
    <w:rsid w:val="00F067A2"/>
    <w:rsid w:val="00F068DC"/>
    <w:rsid w:val="00F0718F"/>
    <w:rsid w:val="00F072F4"/>
    <w:rsid w:val="00F07306"/>
    <w:rsid w:val="00F076FC"/>
    <w:rsid w:val="00F07729"/>
    <w:rsid w:val="00F079DE"/>
    <w:rsid w:val="00F07B1A"/>
    <w:rsid w:val="00F07B9E"/>
    <w:rsid w:val="00F07E33"/>
    <w:rsid w:val="00F10A36"/>
    <w:rsid w:val="00F10FEE"/>
    <w:rsid w:val="00F1116F"/>
    <w:rsid w:val="00F112E6"/>
    <w:rsid w:val="00F113F4"/>
    <w:rsid w:val="00F11802"/>
    <w:rsid w:val="00F11C37"/>
    <w:rsid w:val="00F11CA0"/>
    <w:rsid w:val="00F11D14"/>
    <w:rsid w:val="00F11F63"/>
    <w:rsid w:val="00F11FAE"/>
    <w:rsid w:val="00F12233"/>
    <w:rsid w:val="00F124AF"/>
    <w:rsid w:val="00F1263A"/>
    <w:rsid w:val="00F1271B"/>
    <w:rsid w:val="00F12969"/>
    <w:rsid w:val="00F12D8E"/>
    <w:rsid w:val="00F13675"/>
    <w:rsid w:val="00F136AA"/>
    <w:rsid w:val="00F1391B"/>
    <w:rsid w:val="00F139C5"/>
    <w:rsid w:val="00F13BB8"/>
    <w:rsid w:val="00F1414D"/>
    <w:rsid w:val="00F14160"/>
    <w:rsid w:val="00F14260"/>
    <w:rsid w:val="00F142FF"/>
    <w:rsid w:val="00F14417"/>
    <w:rsid w:val="00F1466E"/>
    <w:rsid w:val="00F14A7B"/>
    <w:rsid w:val="00F14ADB"/>
    <w:rsid w:val="00F14B80"/>
    <w:rsid w:val="00F14F9B"/>
    <w:rsid w:val="00F153DB"/>
    <w:rsid w:val="00F1540A"/>
    <w:rsid w:val="00F1582C"/>
    <w:rsid w:val="00F1583A"/>
    <w:rsid w:val="00F1589E"/>
    <w:rsid w:val="00F15954"/>
    <w:rsid w:val="00F15B77"/>
    <w:rsid w:val="00F15D9D"/>
    <w:rsid w:val="00F16057"/>
    <w:rsid w:val="00F166BD"/>
    <w:rsid w:val="00F169A4"/>
    <w:rsid w:val="00F16E76"/>
    <w:rsid w:val="00F172E4"/>
    <w:rsid w:val="00F17704"/>
    <w:rsid w:val="00F17915"/>
    <w:rsid w:val="00F17ABC"/>
    <w:rsid w:val="00F17ED3"/>
    <w:rsid w:val="00F20337"/>
    <w:rsid w:val="00F20599"/>
    <w:rsid w:val="00F20946"/>
    <w:rsid w:val="00F21236"/>
    <w:rsid w:val="00F2143C"/>
    <w:rsid w:val="00F217BF"/>
    <w:rsid w:val="00F22001"/>
    <w:rsid w:val="00F222B9"/>
    <w:rsid w:val="00F229FD"/>
    <w:rsid w:val="00F22D75"/>
    <w:rsid w:val="00F22EAC"/>
    <w:rsid w:val="00F230A7"/>
    <w:rsid w:val="00F2342B"/>
    <w:rsid w:val="00F235A9"/>
    <w:rsid w:val="00F23894"/>
    <w:rsid w:val="00F239DF"/>
    <w:rsid w:val="00F23F48"/>
    <w:rsid w:val="00F24435"/>
    <w:rsid w:val="00F24450"/>
    <w:rsid w:val="00F246D9"/>
    <w:rsid w:val="00F24837"/>
    <w:rsid w:val="00F24AA6"/>
    <w:rsid w:val="00F24CC9"/>
    <w:rsid w:val="00F24FB8"/>
    <w:rsid w:val="00F2559F"/>
    <w:rsid w:val="00F2571B"/>
    <w:rsid w:val="00F2575F"/>
    <w:rsid w:val="00F258BE"/>
    <w:rsid w:val="00F25A5F"/>
    <w:rsid w:val="00F25C3D"/>
    <w:rsid w:val="00F25DAA"/>
    <w:rsid w:val="00F26568"/>
    <w:rsid w:val="00F26683"/>
    <w:rsid w:val="00F26810"/>
    <w:rsid w:val="00F26A2D"/>
    <w:rsid w:val="00F26D09"/>
    <w:rsid w:val="00F27565"/>
    <w:rsid w:val="00F2789A"/>
    <w:rsid w:val="00F27941"/>
    <w:rsid w:val="00F2797E"/>
    <w:rsid w:val="00F27DF7"/>
    <w:rsid w:val="00F27FD0"/>
    <w:rsid w:val="00F27FFC"/>
    <w:rsid w:val="00F3029D"/>
    <w:rsid w:val="00F30856"/>
    <w:rsid w:val="00F30E12"/>
    <w:rsid w:val="00F310D4"/>
    <w:rsid w:val="00F31A1D"/>
    <w:rsid w:val="00F31A69"/>
    <w:rsid w:val="00F31D5A"/>
    <w:rsid w:val="00F32485"/>
    <w:rsid w:val="00F32B24"/>
    <w:rsid w:val="00F32C49"/>
    <w:rsid w:val="00F33560"/>
    <w:rsid w:val="00F33702"/>
    <w:rsid w:val="00F33975"/>
    <w:rsid w:val="00F339CE"/>
    <w:rsid w:val="00F33BA1"/>
    <w:rsid w:val="00F33DE9"/>
    <w:rsid w:val="00F33E27"/>
    <w:rsid w:val="00F33E35"/>
    <w:rsid w:val="00F34321"/>
    <w:rsid w:val="00F3480B"/>
    <w:rsid w:val="00F34881"/>
    <w:rsid w:val="00F34D45"/>
    <w:rsid w:val="00F34D7B"/>
    <w:rsid w:val="00F34DFE"/>
    <w:rsid w:val="00F34F33"/>
    <w:rsid w:val="00F34F80"/>
    <w:rsid w:val="00F34FC8"/>
    <w:rsid w:val="00F3501F"/>
    <w:rsid w:val="00F3506E"/>
    <w:rsid w:val="00F3540E"/>
    <w:rsid w:val="00F3587D"/>
    <w:rsid w:val="00F35BA5"/>
    <w:rsid w:val="00F35BE2"/>
    <w:rsid w:val="00F35C76"/>
    <w:rsid w:val="00F35CA5"/>
    <w:rsid w:val="00F35E6D"/>
    <w:rsid w:val="00F3619A"/>
    <w:rsid w:val="00F37335"/>
    <w:rsid w:val="00F3737B"/>
    <w:rsid w:val="00F3785F"/>
    <w:rsid w:val="00F3793D"/>
    <w:rsid w:val="00F37CB7"/>
    <w:rsid w:val="00F37D05"/>
    <w:rsid w:val="00F37F3B"/>
    <w:rsid w:val="00F40038"/>
    <w:rsid w:val="00F40092"/>
    <w:rsid w:val="00F4018B"/>
    <w:rsid w:val="00F40534"/>
    <w:rsid w:val="00F40AAA"/>
    <w:rsid w:val="00F40BA3"/>
    <w:rsid w:val="00F40BA7"/>
    <w:rsid w:val="00F40C1B"/>
    <w:rsid w:val="00F40DDE"/>
    <w:rsid w:val="00F40F9D"/>
    <w:rsid w:val="00F41292"/>
    <w:rsid w:val="00F418EF"/>
    <w:rsid w:val="00F419DD"/>
    <w:rsid w:val="00F41A39"/>
    <w:rsid w:val="00F41ACD"/>
    <w:rsid w:val="00F41BF2"/>
    <w:rsid w:val="00F41FF6"/>
    <w:rsid w:val="00F42042"/>
    <w:rsid w:val="00F43578"/>
    <w:rsid w:val="00F43940"/>
    <w:rsid w:val="00F43A46"/>
    <w:rsid w:val="00F43ABC"/>
    <w:rsid w:val="00F43EAB"/>
    <w:rsid w:val="00F43ECA"/>
    <w:rsid w:val="00F4430F"/>
    <w:rsid w:val="00F44A77"/>
    <w:rsid w:val="00F44A85"/>
    <w:rsid w:val="00F44AE3"/>
    <w:rsid w:val="00F44F98"/>
    <w:rsid w:val="00F45381"/>
    <w:rsid w:val="00F45862"/>
    <w:rsid w:val="00F4594C"/>
    <w:rsid w:val="00F45A24"/>
    <w:rsid w:val="00F45CAA"/>
    <w:rsid w:val="00F45EF9"/>
    <w:rsid w:val="00F46016"/>
    <w:rsid w:val="00F463BC"/>
    <w:rsid w:val="00F46AD2"/>
    <w:rsid w:val="00F46C02"/>
    <w:rsid w:val="00F46CB6"/>
    <w:rsid w:val="00F46E9E"/>
    <w:rsid w:val="00F472FD"/>
    <w:rsid w:val="00F4756D"/>
    <w:rsid w:val="00F47638"/>
    <w:rsid w:val="00F47800"/>
    <w:rsid w:val="00F47963"/>
    <w:rsid w:val="00F47C1A"/>
    <w:rsid w:val="00F47DE8"/>
    <w:rsid w:val="00F47F96"/>
    <w:rsid w:val="00F50191"/>
    <w:rsid w:val="00F503E9"/>
    <w:rsid w:val="00F50792"/>
    <w:rsid w:val="00F50F5D"/>
    <w:rsid w:val="00F5123C"/>
    <w:rsid w:val="00F5126C"/>
    <w:rsid w:val="00F512C2"/>
    <w:rsid w:val="00F51398"/>
    <w:rsid w:val="00F51822"/>
    <w:rsid w:val="00F5184D"/>
    <w:rsid w:val="00F51ADC"/>
    <w:rsid w:val="00F52119"/>
    <w:rsid w:val="00F521D2"/>
    <w:rsid w:val="00F52343"/>
    <w:rsid w:val="00F5237C"/>
    <w:rsid w:val="00F52491"/>
    <w:rsid w:val="00F52566"/>
    <w:rsid w:val="00F535F9"/>
    <w:rsid w:val="00F537DF"/>
    <w:rsid w:val="00F53C58"/>
    <w:rsid w:val="00F540E7"/>
    <w:rsid w:val="00F54290"/>
    <w:rsid w:val="00F542C1"/>
    <w:rsid w:val="00F548B3"/>
    <w:rsid w:val="00F550E3"/>
    <w:rsid w:val="00F5521B"/>
    <w:rsid w:val="00F55A4F"/>
    <w:rsid w:val="00F55CAD"/>
    <w:rsid w:val="00F55E73"/>
    <w:rsid w:val="00F55EDA"/>
    <w:rsid w:val="00F562EC"/>
    <w:rsid w:val="00F567EA"/>
    <w:rsid w:val="00F56C80"/>
    <w:rsid w:val="00F56CBC"/>
    <w:rsid w:val="00F56F14"/>
    <w:rsid w:val="00F56FC1"/>
    <w:rsid w:val="00F5703F"/>
    <w:rsid w:val="00F5705F"/>
    <w:rsid w:val="00F57F2A"/>
    <w:rsid w:val="00F60092"/>
    <w:rsid w:val="00F60597"/>
    <w:rsid w:val="00F60796"/>
    <w:rsid w:val="00F608BB"/>
    <w:rsid w:val="00F60D48"/>
    <w:rsid w:val="00F614D8"/>
    <w:rsid w:val="00F61965"/>
    <w:rsid w:val="00F61C18"/>
    <w:rsid w:val="00F61D57"/>
    <w:rsid w:val="00F61E60"/>
    <w:rsid w:val="00F620EF"/>
    <w:rsid w:val="00F6227B"/>
    <w:rsid w:val="00F622A9"/>
    <w:rsid w:val="00F6280A"/>
    <w:rsid w:val="00F62BEC"/>
    <w:rsid w:val="00F63097"/>
    <w:rsid w:val="00F63333"/>
    <w:rsid w:val="00F635F5"/>
    <w:rsid w:val="00F636DF"/>
    <w:rsid w:val="00F649E7"/>
    <w:rsid w:val="00F64AA7"/>
    <w:rsid w:val="00F64E7E"/>
    <w:rsid w:val="00F64E93"/>
    <w:rsid w:val="00F64EEE"/>
    <w:rsid w:val="00F655AF"/>
    <w:rsid w:val="00F6580B"/>
    <w:rsid w:val="00F65980"/>
    <w:rsid w:val="00F65F4B"/>
    <w:rsid w:val="00F663DB"/>
    <w:rsid w:val="00F67050"/>
    <w:rsid w:val="00F6765D"/>
    <w:rsid w:val="00F67A69"/>
    <w:rsid w:val="00F700A7"/>
    <w:rsid w:val="00F702FD"/>
    <w:rsid w:val="00F70BFF"/>
    <w:rsid w:val="00F70C9D"/>
    <w:rsid w:val="00F70DBC"/>
    <w:rsid w:val="00F71263"/>
    <w:rsid w:val="00F71508"/>
    <w:rsid w:val="00F7152A"/>
    <w:rsid w:val="00F71857"/>
    <w:rsid w:val="00F7197F"/>
    <w:rsid w:val="00F71CA4"/>
    <w:rsid w:val="00F71CCC"/>
    <w:rsid w:val="00F71E8B"/>
    <w:rsid w:val="00F72060"/>
    <w:rsid w:val="00F720DD"/>
    <w:rsid w:val="00F7267A"/>
    <w:rsid w:val="00F727E7"/>
    <w:rsid w:val="00F72B9A"/>
    <w:rsid w:val="00F72BDB"/>
    <w:rsid w:val="00F72C45"/>
    <w:rsid w:val="00F73419"/>
    <w:rsid w:val="00F7376A"/>
    <w:rsid w:val="00F73869"/>
    <w:rsid w:val="00F73C73"/>
    <w:rsid w:val="00F73D07"/>
    <w:rsid w:val="00F73E08"/>
    <w:rsid w:val="00F73EF5"/>
    <w:rsid w:val="00F74187"/>
    <w:rsid w:val="00F741B6"/>
    <w:rsid w:val="00F7449F"/>
    <w:rsid w:val="00F7492B"/>
    <w:rsid w:val="00F74BE9"/>
    <w:rsid w:val="00F74C8A"/>
    <w:rsid w:val="00F74CD9"/>
    <w:rsid w:val="00F7581E"/>
    <w:rsid w:val="00F762A0"/>
    <w:rsid w:val="00F76551"/>
    <w:rsid w:val="00F7655D"/>
    <w:rsid w:val="00F767A9"/>
    <w:rsid w:val="00F76BDD"/>
    <w:rsid w:val="00F76C7F"/>
    <w:rsid w:val="00F76E6D"/>
    <w:rsid w:val="00F77558"/>
    <w:rsid w:val="00F777C9"/>
    <w:rsid w:val="00F777EE"/>
    <w:rsid w:val="00F778C8"/>
    <w:rsid w:val="00F77A92"/>
    <w:rsid w:val="00F77D1F"/>
    <w:rsid w:val="00F77EA4"/>
    <w:rsid w:val="00F77FC7"/>
    <w:rsid w:val="00F8057A"/>
    <w:rsid w:val="00F808C4"/>
    <w:rsid w:val="00F80924"/>
    <w:rsid w:val="00F80956"/>
    <w:rsid w:val="00F80A7B"/>
    <w:rsid w:val="00F80E5D"/>
    <w:rsid w:val="00F80E5E"/>
    <w:rsid w:val="00F80F21"/>
    <w:rsid w:val="00F81463"/>
    <w:rsid w:val="00F81699"/>
    <w:rsid w:val="00F81747"/>
    <w:rsid w:val="00F817F8"/>
    <w:rsid w:val="00F81A76"/>
    <w:rsid w:val="00F81E78"/>
    <w:rsid w:val="00F81E7D"/>
    <w:rsid w:val="00F824E9"/>
    <w:rsid w:val="00F82685"/>
    <w:rsid w:val="00F8279D"/>
    <w:rsid w:val="00F82863"/>
    <w:rsid w:val="00F82B2F"/>
    <w:rsid w:val="00F82D9E"/>
    <w:rsid w:val="00F83670"/>
    <w:rsid w:val="00F8390A"/>
    <w:rsid w:val="00F83916"/>
    <w:rsid w:val="00F8402F"/>
    <w:rsid w:val="00F84B63"/>
    <w:rsid w:val="00F84D43"/>
    <w:rsid w:val="00F85046"/>
    <w:rsid w:val="00F851CE"/>
    <w:rsid w:val="00F85570"/>
    <w:rsid w:val="00F8636E"/>
    <w:rsid w:val="00F867E0"/>
    <w:rsid w:val="00F8691C"/>
    <w:rsid w:val="00F86E81"/>
    <w:rsid w:val="00F871C6"/>
    <w:rsid w:val="00F872A8"/>
    <w:rsid w:val="00F87909"/>
    <w:rsid w:val="00F87FF5"/>
    <w:rsid w:val="00F902A5"/>
    <w:rsid w:val="00F90462"/>
    <w:rsid w:val="00F90626"/>
    <w:rsid w:val="00F909F9"/>
    <w:rsid w:val="00F91219"/>
    <w:rsid w:val="00F91482"/>
    <w:rsid w:val="00F91D24"/>
    <w:rsid w:val="00F92083"/>
    <w:rsid w:val="00F92194"/>
    <w:rsid w:val="00F921CA"/>
    <w:rsid w:val="00F92390"/>
    <w:rsid w:val="00F92444"/>
    <w:rsid w:val="00F924A6"/>
    <w:rsid w:val="00F92580"/>
    <w:rsid w:val="00F925C4"/>
    <w:rsid w:val="00F927DD"/>
    <w:rsid w:val="00F92A73"/>
    <w:rsid w:val="00F92F54"/>
    <w:rsid w:val="00F9346B"/>
    <w:rsid w:val="00F9393E"/>
    <w:rsid w:val="00F93987"/>
    <w:rsid w:val="00F939E2"/>
    <w:rsid w:val="00F93F76"/>
    <w:rsid w:val="00F9435E"/>
    <w:rsid w:val="00F944EA"/>
    <w:rsid w:val="00F94BE6"/>
    <w:rsid w:val="00F94DCE"/>
    <w:rsid w:val="00F94EBC"/>
    <w:rsid w:val="00F94F61"/>
    <w:rsid w:val="00F95086"/>
    <w:rsid w:val="00F955DD"/>
    <w:rsid w:val="00F95839"/>
    <w:rsid w:val="00F95A5E"/>
    <w:rsid w:val="00F95B1A"/>
    <w:rsid w:val="00F962E1"/>
    <w:rsid w:val="00F96535"/>
    <w:rsid w:val="00F966AF"/>
    <w:rsid w:val="00F966CF"/>
    <w:rsid w:val="00F96BD7"/>
    <w:rsid w:val="00F96CE3"/>
    <w:rsid w:val="00F96D99"/>
    <w:rsid w:val="00F96FD0"/>
    <w:rsid w:val="00F9728F"/>
    <w:rsid w:val="00F972D1"/>
    <w:rsid w:val="00F97365"/>
    <w:rsid w:val="00F9766C"/>
    <w:rsid w:val="00F978DF"/>
    <w:rsid w:val="00F97A78"/>
    <w:rsid w:val="00F97B9B"/>
    <w:rsid w:val="00F97BAE"/>
    <w:rsid w:val="00FA05EA"/>
    <w:rsid w:val="00FA0707"/>
    <w:rsid w:val="00FA0B20"/>
    <w:rsid w:val="00FA0B3E"/>
    <w:rsid w:val="00FA0FCB"/>
    <w:rsid w:val="00FA101D"/>
    <w:rsid w:val="00FA1287"/>
    <w:rsid w:val="00FA1458"/>
    <w:rsid w:val="00FA152F"/>
    <w:rsid w:val="00FA160F"/>
    <w:rsid w:val="00FA1BA9"/>
    <w:rsid w:val="00FA24E7"/>
    <w:rsid w:val="00FA2556"/>
    <w:rsid w:val="00FA2C80"/>
    <w:rsid w:val="00FA2D1E"/>
    <w:rsid w:val="00FA3135"/>
    <w:rsid w:val="00FA330D"/>
    <w:rsid w:val="00FA3362"/>
    <w:rsid w:val="00FA374F"/>
    <w:rsid w:val="00FA47EF"/>
    <w:rsid w:val="00FA4ED1"/>
    <w:rsid w:val="00FA550B"/>
    <w:rsid w:val="00FA5DCE"/>
    <w:rsid w:val="00FA5EE6"/>
    <w:rsid w:val="00FA60F1"/>
    <w:rsid w:val="00FA685A"/>
    <w:rsid w:val="00FA6A20"/>
    <w:rsid w:val="00FA6C43"/>
    <w:rsid w:val="00FA749F"/>
    <w:rsid w:val="00FA7956"/>
    <w:rsid w:val="00FA7CA4"/>
    <w:rsid w:val="00FA7CE0"/>
    <w:rsid w:val="00FA7D5C"/>
    <w:rsid w:val="00FB0009"/>
    <w:rsid w:val="00FB02D8"/>
    <w:rsid w:val="00FB05D6"/>
    <w:rsid w:val="00FB0824"/>
    <w:rsid w:val="00FB0C69"/>
    <w:rsid w:val="00FB15E0"/>
    <w:rsid w:val="00FB188C"/>
    <w:rsid w:val="00FB1B8A"/>
    <w:rsid w:val="00FB1C7E"/>
    <w:rsid w:val="00FB1F75"/>
    <w:rsid w:val="00FB205F"/>
    <w:rsid w:val="00FB282F"/>
    <w:rsid w:val="00FB2B64"/>
    <w:rsid w:val="00FB2BAB"/>
    <w:rsid w:val="00FB2BD3"/>
    <w:rsid w:val="00FB2D2D"/>
    <w:rsid w:val="00FB2FCB"/>
    <w:rsid w:val="00FB3158"/>
    <w:rsid w:val="00FB331E"/>
    <w:rsid w:val="00FB349C"/>
    <w:rsid w:val="00FB34BC"/>
    <w:rsid w:val="00FB3A73"/>
    <w:rsid w:val="00FB3D61"/>
    <w:rsid w:val="00FB41DA"/>
    <w:rsid w:val="00FB455E"/>
    <w:rsid w:val="00FB472A"/>
    <w:rsid w:val="00FB479C"/>
    <w:rsid w:val="00FB4AB2"/>
    <w:rsid w:val="00FB4C9C"/>
    <w:rsid w:val="00FB5256"/>
    <w:rsid w:val="00FB53C5"/>
    <w:rsid w:val="00FB54E4"/>
    <w:rsid w:val="00FB5519"/>
    <w:rsid w:val="00FB59D2"/>
    <w:rsid w:val="00FB618D"/>
    <w:rsid w:val="00FB63AF"/>
    <w:rsid w:val="00FB6586"/>
    <w:rsid w:val="00FB66BB"/>
    <w:rsid w:val="00FB68F5"/>
    <w:rsid w:val="00FB6AB2"/>
    <w:rsid w:val="00FB6C8D"/>
    <w:rsid w:val="00FB6CDD"/>
    <w:rsid w:val="00FB7120"/>
    <w:rsid w:val="00FB74A9"/>
    <w:rsid w:val="00FB773D"/>
    <w:rsid w:val="00FB7C55"/>
    <w:rsid w:val="00FB7DAF"/>
    <w:rsid w:val="00FC0492"/>
    <w:rsid w:val="00FC0B07"/>
    <w:rsid w:val="00FC0ED0"/>
    <w:rsid w:val="00FC0ED9"/>
    <w:rsid w:val="00FC1074"/>
    <w:rsid w:val="00FC1884"/>
    <w:rsid w:val="00FC1A17"/>
    <w:rsid w:val="00FC1A37"/>
    <w:rsid w:val="00FC1CD0"/>
    <w:rsid w:val="00FC2079"/>
    <w:rsid w:val="00FC2AF0"/>
    <w:rsid w:val="00FC2D65"/>
    <w:rsid w:val="00FC2DD0"/>
    <w:rsid w:val="00FC300F"/>
    <w:rsid w:val="00FC30BA"/>
    <w:rsid w:val="00FC371D"/>
    <w:rsid w:val="00FC3767"/>
    <w:rsid w:val="00FC39B5"/>
    <w:rsid w:val="00FC39E3"/>
    <w:rsid w:val="00FC414D"/>
    <w:rsid w:val="00FC41BB"/>
    <w:rsid w:val="00FC43D9"/>
    <w:rsid w:val="00FC48FB"/>
    <w:rsid w:val="00FC4B0B"/>
    <w:rsid w:val="00FC4C6C"/>
    <w:rsid w:val="00FC4E4D"/>
    <w:rsid w:val="00FC50CD"/>
    <w:rsid w:val="00FC5535"/>
    <w:rsid w:val="00FC5589"/>
    <w:rsid w:val="00FC5720"/>
    <w:rsid w:val="00FC5A86"/>
    <w:rsid w:val="00FC5B2C"/>
    <w:rsid w:val="00FC5BA5"/>
    <w:rsid w:val="00FC5C8A"/>
    <w:rsid w:val="00FC5E47"/>
    <w:rsid w:val="00FC5F0B"/>
    <w:rsid w:val="00FC6108"/>
    <w:rsid w:val="00FC622F"/>
    <w:rsid w:val="00FC68C6"/>
    <w:rsid w:val="00FC6DA7"/>
    <w:rsid w:val="00FC7105"/>
    <w:rsid w:val="00FC71BC"/>
    <w:rsid w:val="00FC7C64"/>
    <w:rsid w:val="00FD01F8"/>
    <w:rsid w:val="00FD020B"/>
    <w:rsid w:val="00FD0288"/>
    <w:rsid w:val="00FD02E5"/>
    <w:rsid w:val="00FD06AE"/>
    <w:rsid w:val="00FD0936"/>
    <w:rsid w:val="00FD0C2A"/>
    <w:rsid w:val="00FD0CFA"/>
    <w:rsid w:val="00FD0D31"/>
    <w:rsid w:val="00FD2100"/>
    <w:rsid w:val="00FD2189"/>
    <w:rsid w:val="00FD230B"/>
    <w:rsid w:val="00FD24F6"/>
    <w:rsid w:val="00FD267D"/>
    <w:rsid w:val="00FD2A24"/>
    <w:rsid w:val="00FD2AD8"/>
    <w:rsid w:val="00FD2EB0"/>
    <w:rsid w:val="00FD31CA"/>
    <w:rsid w:val="00FD3895"/>
    <w:rsid w:val="00FD3F9A"/>
    <w:rsid w:val="00FD436C"/>
    <w:rsid w:val="00FD446D"/>
    <w:rsid w:val="00FD4A92"/>
    <w:rsid w:val="00FD4AFA"/>
    <w:rsid w:val="00FD4B88"/>
    <w:rsid w:val="00FD4F2C"/>
    <w:rsid w:val="00FD5AFD"/>
    <w:rsid w:val="00FD5BD7"/>
    <w:rsid w:val="00FD5DC3"/>
    <w:rsid w:val="00FD6394"/>
    <w:rsid w:val="00FD674E"/>
    <w:rsid w:val="00FD6A39"/>
    <w:rsid w:val="00FD7125"/>
    <w:rsid w:val="00FD777D"/>
    <w:rsid w:val="00FD7846"/>
    <w:rsid w:val="00FD7E7F"/>
    <w:rsid w:val="00FE0912"/>
    <w:rsid w:val="00FE0AC5"/>
    <w:rsid w:val="00FE0BED"/>
    <w:rsid w:val="00FE0D58"/>
    <w:rsid w:val="00FE0E6C"/>
    <w:rsid w:val="00FE111A"/>
    <w:rsid w:val="00FE11F6"/>
    <w:rsid w:val="00FE1CDC"/>
    <w:rsid w:val="00FE28B0"/>
    <w:rsid w:val="00FE2951"/>
    <w:rsid w:val="00FE2AF5"/>
    <w:rsid w:val="00FE2EC7"/>
    <w:rsid w:val="00FE2EEC"/>
    <w:rsid w:val="00FE3749"/>
    <w:rsid w:val="00FE3DC6"/>
    <w:rsid w:val="00FE3DEC"/>
    <w:rsid w:val="00FE40B4"/>
    <w:rsid w:val="00FE4AF9"/>
    <w:rsid w:val="00FE4C93"/>
    <w:rsid w:val="00FE4F02"/>
    <w:rsid w:val="00FE544A"/>
    <w:rsid w:val="00FE58D5"/>
    <w:rsid w:val="00FE5D6A"/>
    <w:rsid w:val="00FE5DA1"/>
    <w:rsid w:val="00FE6A28"/>
    <w:rsid w:val="00FE6C33"/>
    <w:rsid w:val="00FE70C3"/>
    <w:rsid w:val="00FE7316"/>
    <w:rsid w:val="00FE7342"/>
    <w:rsid w:val="00FE75B9"/>
    <w:rsid w:val="00FE77A6"/>
    <w:rsid w:val="00FE77C6"/>
    <w:rsid w:val="00FE785A"/>
    <w:rsid w:val="00FE7A93"/>
    <w:rsid w:val="00FE7D31"/>
    <w:rsid w:val="00FE7FEE"/>
    <w:rsid w:val="00FF0228"/>
    <w:rsid w:val="00FF0B8F"/>
    <w:rsid w:val="00FF0E11"/>
    <w:rsid w:val="00FF0FB5"/>
    <w:rsid w:val="00FF1322"/>
    <w:rsid w:val="00FF1363"/>
    <w:rsid w:val="00FF1651"/>
    <w:rsid w:val="00FF168D"/>
    <w:rsid w:val="00FF1A8B"/>
    <w:rsid w:val="00FF20E4"/>
    <w:rsid w:val="00FF20FE"/>
    <w:rsid w:val="00FF25F7"/>
    <w:rsid w:val="00FF2873"/>
    <w:rsid w:val="00FF2AD9"/>
    <w:rsid w:val="00FF2D25"/>
    <w:rsid w:val="00FF2DFE"/>
    <w:rsid w:val="00FF2ED3"/>
    <w:rsid w:val="00FF359F"/>
    <w:rsid w:val="00FF35AD"/>
    <w:rsid w:val="00FF38DA"/>
    <w:rsid w:val="00FF39BA"/>
    <w:rsid w:val="00FF3B55"/>
    <w:rsid w:val="00FF3DCF"/>
    <w:rsid w:val="00FF407F"/>
    <w:rsid w:val="00FF4110"/>
    <w:rsid w:val="00FF414C"/>
    <w:rsid w:val="00FF4478"/>
    <w:rsid w:val="00FF48A1"/>
    <w:rsid w:val="00FF4928"/>
    <w:rsid w:val="00FF492C"/>
    <w:rsid w:val="00FF4A21"/>
    <w:rsid w:val="00FF4D60"/>
    <w:rsid w:val="00FF4EC0"/>
    <w:rsid w:val="00FF505C"/>
    <w:rsid w:val="00FF53E7"/>
    <w:rsid w:val="00FF5AA3"/>
    <w:rsid w:val="00FF5AD8"/>
    <w:rsid w:val="00FF6135"/>
    <w:rsid w:val="00FF61CC"/>
    <w:rsid w:val="00FF6534"/>
    <w:rsid w:val="00FF6898"/>
    <w:rsid w:val="00FF6932"/>
    <w:rsid w:val="00FF6AFC"/>
    <w:rsid w:val="00FF7449"/>
    <w:rsid w:val="00FF7CAE"/>
    <w:rsid w:val="01EBBF92"/>
    <w:rsid w:val="1A235960"/>
    <w:rsid w:val="2ABDCA34"/>
    <w:rsid w:val="3F5C9AA9"/>
    <w:rsid w:val="4A2BEA50"/>
    <w:rsid w:val="6B1B3C2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01AA"/>
    <w:pPr>
      <w:jc w:val="both"/>
    </w:pPr>
    <w:rPr>
      <w:rFonts w:ascii="Calibri" w:hAnsi="Calibri" w:cs="Arial"/>
      <w:sz w:val="24"/>
      <w:szCs w:val="24"/>
    </w:rPr>
  </w:style>
  <w:style w:type="paragraph" w:styleId="Heading1">
    <w:name w:val="heading 1"/>
    <w:aliases w:val="Sanofi Heading 1"/>
    <w:basedOn w:val="Normal"/>
    <w:next w:val="Normal"/>
    <w:link w:val="Heading1Char"/>
    <w:uiPriority w:val="9"/>
    <w:qFormat/>
    <w:rsid w:val="001B204E"/>
    <w:pPr>
      <w:ind w:left="720" w:hanging="720"/>
      <w:outlineLvl w:val="0"/>
    </w:pPr>
    <w:rPr>
      <w:b/>
      <w:caps/>
      <w:sz w:val="32"/>
    </w:rPr>
  </w:style>
  <w:style w:type="paragraph" w:styleId="Heading2">
    <w:name w:val="heading 2"/>
    <w:aliases w:val="Sanofi Heading 2"/>
    <w:basedOn w:val="Normal"/>
    <w:next w:val="Normal"/>
    <w:link w:val="Heading2Char"/>
    <w:uiPriority w:val="9"/>
    <w:qFormat/>
    <w:rsid w:val="001B204E"/>
    <w:pPr>
      <w:outlineLvl w:val="1"/>
    </w:pPr>
    <w:rPr>
      <w:b/>
      <w:i/>
      <w:sz w:val="28"/>
    </w:rPr>
  </w:style>
  <w:style w:type="paragraph" w:styleId="Heading3">
    <w:name w:val="heading 3"/>
    <w:aliases w:val="Sanofi Heading 3"/>
    <w:basedOn w:val="Normal"/>
    <w:next w:val="Normal"/>
    <w:link w:val="Heading3Char"/>
    <w:uiPriority w:val="9"/>
    <w:qFormat/>
    <w:rsid w:val="001F7361"/>
    <w:pPr>
      <w:outlineLvl w:val="2"/>
    </w:pPr>
    <w:rPr>
      <w:u w:val="single"/>
    </w:rPr>
  </w:style>
  <w:style w:type="paragraph" w:styleId="Heading4">
    <w:name w:val="heading 4"/>
    <w:aliases w:val="Sanofi Heading 4"/>
    <w:basedOn w:val="Normal"/>
    <w:next w:val="Normal"/>
    <w:link w:val="Heading4Char"/>
    <w:uiPriority w:val="9"/>
    <w:qFormat/>
    <w:rsid w:val="00124A51"/>
    <w:pPr>
      <w:keepNext/>
      <w:spacing w:before="240" w:after="60"/>
      <w:outlineLvl w:val="3"/>
    </w:pPr>
    <w:rPr>
      <w:b/>
      <w:bCs/>
      <w:i/>
      <w:sz w:val="26"/>
      <w:szCs w:val="28"/>
    </w:rPr>
  </w:style>
  <w:style w:type="paragraph" w:styleId="Heading5">
    <w:name w:val="heading 5"/>
    <w:aliases w:val="Sanofi Heading 5"/>
    <w:basedOn w:val="Normal"/>
    <w:next w:val="Normal"/>
    <w:link w:val="Heading5Char"/>
    <w:uiPriority w:val="9"/>
    <w:qFormat/>
    <w:rsid w:val="00124A51"/>
    <w:pPr>
      <w:spacing w:before="240" w:after="60"/>
      <w:outlineLvl w:val="4"/>
    </w:pPr>
    <w:rPr>
      <w:b/>
      <w:bCs/>
      <w:iCs/>
      <w:sz w:val="26"/>
      <w:szCs w:val="26"/>
    </w:rPr>
  </w:style>
  <w:style w:type="paragraph" w:styleId="Heading6">
    <w:name w:val="heading 6"/>
    <w:basedOn w:val="Normal"/>
    <w:next w:val="Normal"/>
    <w:link w:val="Heading6Char"/>
    <w:uiPriority w:val="9"/>
    <w:qFormat/>
    <w:rsid w:val="00124A51"/>
    <w:pPr>
      <w:spacing w:before="240" w:after="60"/>
      <w:outlineLvl w:val="5"/>
    </w:pPr>
    <w:rPr>
      <w:b/>
      <w:bCs/>
      <w:i/>
    </w:rPr>
  </w:style>
  <w:style w:type="paragraph" w:styleId="Heading7">
    <w:name w:val="heading 7"/>
    <w:basedOn w:val="Normal"/>
    <w:next w:val="Normal"/>
    <w:link w:val="Heading7Char"/>
    <w:uiPriority w:val="9"/>
    <w:qFormat/>
    <w:rsid w:val="00124A51"/>
    <w:pPr>
      <w:keepNext/>
      <w:jc w:val="center"/>
      <w:outlineLvl w:val="6"/>
    </w:pPr>
    <w:rPr>
      <w:b/>
      <w:sz w:val="20"/>
    </w:rPr>
  </w:style>
  <w:style w:type="paragraph" w:styleId="Heading8">
    <w:name w:val="heading 8"/>
    <w:basedOn w:val="Normal"/>
    <w:next w:val="Normal"/>
    <w:link w:val="Heading8Char"/>
    <w:uiPriority w:val="9"/>
    <w:qFormat/>
    <w:rsid w:val="00124A51"/>
    <w:pPr>
      <w:keepNext/>
      <w:jc w:val="right"/>
      <w:outlineLvl w:val="7"/>
    </w:pPr>
    <w:rPr>
      <w:b/>
    </w:rPr>
  </w:style>
  <w:style w:type="paragraph" w:styleId="Heading9">
    <w:name w:val="heading 9"/>
    <w:basedOn w:val="Normal"/>
    <w:next w:val="Normal"/>
    <w:link w:val="Heading9Char"/>
    <w:uiPriority w:val="9"/>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Sanofi Heading 2 Char"/>
    <w:link w:val="Heading2"/>
    <w:uiPriority w:val="9"/>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uiPriority w:val="9"/>
    <w:rsid w:val="00124A51"/>
    <w:rPr>
      <w:rFonts w:ascii="Arial" w:hAnsi="Arial"/>
      <w:b/>
      <w:snapToGrid w:val="0"/>
      <w:lang w:eastAsia="en-US"/>
    </w:rPr>
  </w:style>
  <w:style w:type="character" w:customStyle="1" w:styleId="Heading8Char">
    <w:name w:val="Heading 8 Char"/>
    <w:basedOn w:val="DefaultParagraphFont"/>
    <w:link w:val="Heading8"/>
    <w:uiPriority w:val="9"/>
    <w:rsid w:val="00124A51"/>
    <w:rPr>
      <w:b/>
      <w:snapToGrid w:val="0"/>
      <w:sz w:val="24"/>
      <w:lang w:eastAsia="en-US"/>
    </w:rPr>
  </w:style>
  <w:style w:type="character" w:customStyle="1" w:styleId="Heading9Char">
    <w:name w:val="Heading 9 Char"/>
    <w:basedOn w:val="DefaultParagraphFont"/>
    <w:link w:val="Heading9"/>
    <w:uiPriority w:val="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Sanofi TableFig Caption,Table Caption,- H17,Bayer Caption,IB Caption,Medical Caption,Caption Char Char Char Char,Caption Char Char Char,Caption Char Char Char Char Char,Caption Char Char Char Char1 Char Char,Caption Char Char Char Char Char Char"/>
    <w:basedOn w:val="Normal"/>
    <w:next w:val="Normal"/>
    <w:link w:val="CaptionChar"/>
    <w:uiPriority w:val="35"/>
    <w:unhideWhenUsed/>
    <w:qFormat/>
    <w:rsid w:val="00E16AD8"/>
    <w:pPr>
      <w:keepNext/>
      <w:keepLines/>
    </w:pPr>
    <w:rPr>
      <w:rFonts w:ascii="Arial Narrow" w:hAnsi="Arial Narrow"/>
      <w:b/>
      <w:bCs/>
      <w:sz w:val="20"/>
      <w:szCs w:val="18"/>
    </w:rPr>
  </w:style>
  <w:style w:type="character" w:customStyle="1" w:styleId="CaptionChar">
    <w:name w:val="Caption Char"/>
    <w:aliases w:val="Sanofi TableFig Caption Char,Table Caption Char,- H17 Char,Bayer Caption Char,IB Caption Char,Medical Caption Char,Caption Char Char Char Char Char1,Caption Char Char Char Char1,Caption Char Char Char Char Char Char1"/>
    <w:link w:val="Caption"/>
    <w:uiPriority w:val="35"/>
    <w:rsid w:val="00E16AD8"/>
    <w:rPr>
      <w:rFonts w:ascii="Arial Narrow" w:hAnsi="Arial Narrow" w:cs="Arial"/>
      <w:b/>
      <w:bCs/>
      <w:szCs w:val="18"/>
    </w:rPr>
  </w:style>
  <w:style w:type="paragraph" w:styleId="Title">
    <w:name w:val="Title"/>
    <w:basedOn w:val="Normal"/>
    <w:next w:val="Normal"/>
    <w:link w:val="TitleChar"/>
    <w:uiPriority w:val="10"/>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Titre4,Questions,_CC_Bullet,Paragraphe de liste1,Bullet1,Section 5,Bullet 1,Bullet List 2,Bullet List"/>
    <w:link w:val="ListParagraphChar"/>
    <w:uiPriority w:val="34"/>
    <w:qFormat/>
    <w:rsid w:val="009746FF"/>
    <w:pPr>
      <w:numPr>
        <w:numId w:val="5"/>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Titre4 Char,Questions Char,_CC_Bullet Char"/>
    <w:basedOn w:val="DefaultParagraphFont"/>
    <w:link w:val="ListParagraph"/>
    <w:uiPriority w:val="34"/>
    <w:qFormat/>
    <w:locked/>
    <w:rsid w:val="009746FF"/>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4C3B02"/>
    <w:pPr>
      <w:keepNext/>
      <w:tabs>
        <w:tab w:val="center" w:pos="4513"/>
        <w:tab w:val="right" w:pos="9026"/>
      </w:tabs>
      <w:jc w:val="center"/>
    </w:pPr>
    <w:rPr>
      <w:i/>
      <w:iCs/>
    </w:rPr>
  </w:style>
  <w:style w:type="character" w:customStyle="1" w:styleId="HeaderChar">
    <w:name w:val="Header Char"/>
    <w:aliases w:val="Page Header Char,Header title Char,he=header Char,cntr/bld Char"/>
    <w:basedOn w:val="DefaultParagraphFont"/>
    <w:link w:val="Header"/>
    <w:uiPriority w:val="99"/>
    <w:rsid w:val="004C3B02"/>
    <w:rPr>
      <w:rFonts w:ascii="Calibri" w:hAnsi="Calibri" w:cs="Arial"/>
      <w:i/>
      <w:iCs/>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RTI AMCP Table,YHEC table,Lash Style Table,Dossier table,Summary Table,Sanofi,new style,Header Table,NICE instructions,Source table_,PBAC table,Tabellengitternetz 9pt,HTAtableplain"/>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qFormat/>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CommentText">
    <w:name w:val="annotation text"/>
    <w:aliases w:val="Comment Text Char Char Char,Comment Text Char Char,Annotationtext,- H19,Comment Text Char Char1,Comment Text Char Char1 Char,Comment Text Char1 Char,Comment Text Char1 Char Char,Comment Text Char2 Char,Kommentarer"/>
    <w:basedOn w:val="Normal"/>
    <w:link w:val="CommentTextChar"/>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Annotationtext Char,- H19 Char,Comment Text Char Char1 Char1,Comment Text Char Char1 Char Char,Comment Text Char1 Char Char1,Comment Text Char1 Char Char Char"/>
    <w:basedOn w:val="DefaultParagraphFont"/>
    <w:link w:val="CommentText"/>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uiPriority w:val="11"/>
    <w:rsid w:val="00B50DB8"/>
    <w:rPr>
      <w:lang w:eastAsia="en-US"/>
    </w:rPr>
  </w:style>
  <w:style w:type="paragraph" w:styleId="Subtitle">
    <w:name w:val="Subtitle"/>
    <w:basedOn w:val="Normal"/>
    <w:link w:val="SubtitleChar"/>
    <w:uiPriority w:val="11"/>
    <w:qFormat/>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D77CAF"/>
    <w:pPr>
      <w:keepNext/>
      <w:keepLines/>
    </w:pPr>
    <w:rPr>
      <w:rFonts w:ascii="Arial Narrow" w:eastAsiaTheme="majorEastAsia" w:hAnsi="Arial Narrow" w:cstheme="majorBidi"/>
      <w:sz w:val="18"/>
      <w:szCs w:val="18"/>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4C3B0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autoRedefine/>
    <w:qFormat/>
    <w:rsid w:val="00334AFB"/>
    <w:pPr>
      <w:keepNext/>
      <w:keepLines/>
      <w:ind w:left="174" w:hanging="174"/>
    </w:pPr>
    <w:rPr>
      <w:rFonts w:ascii="Arial Narrow" w:eastAsiaTheme="majorEastAsia" w:hAnsi="Arial Narrow"/>
      <w:b/>
    </w:rPr>
  </w:style>
  <w:style w:type="paragraph" w:customStyle="1" w:styleId="2-SectionHeading">
    <w:name w:val="2-Section Heading"/>
    <w:next w:val="3-BodyText"/>
    <w:qFormat/>
    <w:rsid w:val="004C3B02"/>
    <w:pPr>
      <w:keepNext/>
      <w:numPr>
        <w:numId w:val="22"/>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4C3B0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C3B02"/>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C3B02"/>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C3B02"/>
    <w:rPr>
      <w:rFonts w:ascii="Arial Narrow" w:eastAsiaTheme="majorEastAsia" w:hAnsi="Arial Narrow" w:cstheme="majorBidi"/>
      <w:b/>
      <w:bCs/>
      <w:szCs w:val="24"/>
    </w:rPr>
  </w:style>
  <w:style w:type="paragraph" w:customStyle="1" w:styleId="3-BodyText">
    <w:name w:val="3-Body Text"/>
    <w:link w:val="3-BodyTextChar"/>
    <w:qFormat/>
    <w:rsid w:val="004C3B02"/>
    <w:pPr>
      <w:numPr>
        <w:ilvl w:val="1"/>
        <w:numId w:val="22"/>
      </w:numPr>
      <w:spacing w:before="60" w:after="6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C3B02"/>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C3B02"/>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4C3B02"/>
    <w:rPr>
      <w:rFonts w:ascii="Calibri" w:hAnsi="Calibri" w:cs="Arial"/>
      <w:b/>
      <w:sz w:val="24"/>
      <w:szCs w:val="24"/>
    </w:rPr>
  </w:style>
  <w:style w:type="paragraph" w:customStyle="1" w:styleId="FooterTableFigure">
    <w:name w:val="Footer Table/Figure"/>
    <w:basedOn w:val="Normal"/>
    <w:link w:val="FooterTableFigureChar"/>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autoRedefine/>
    <w:qFormat/>
    <w:rsid w:val="00DA1903"/>
    <w:pPr>
      <w:keepNext/>
      <w:spacing w:before="120" w:after="120"/>
    </w:pPr>
    <w:rPr>
      <w:rFonts w:asciiTheme="minorHAnsi" w:eastAsiaTheme="majorEastAsia" w:hAnsiTheme="minorHAnsi" w:cstheme="majorBidi"/>
      <w:color w:val="000000" w:themeColor="text1"/>
      <w:spacing w:val="5"/>
      <w:kern w:val="28"/>
      <w:szCs w:val="36"/>
      <w:lang w:eastAsia="en-US"/>
    </w:rPr>
  </w:style>
  <w:style w:type="character" w:customStyle="1" w:styleId="4-SubsectionHeadingChar">
    <w:name w:val="4-Subsection Heading Char"/>
    <w:basedOn w:val="Heading2Char"/>
    <w:link w:val="4-SubsectionHeading"/>
    <w:rsid w:val="00DA1903"/>
    <w:rPr>
      <w:rFonts w:asciiTheme="minorHAnsi" w:eastAsiaTheme="majorEastAsia" w:hAnsiTheme="minorHAnsi" w:cstheme="majorBidi"/>
      <w:b/>
      <w:i/>
      <w:snapToGrid/>
      <w:color w:val="000000" w:themeColor="text1"/>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C3B02"/>
    <w:pPr>
      <w:keepNext/>
      <w:keepLines/>
      <w:spacing w:before="4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C3B02"/>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3"/>
      </w:numPr>
      <w:contextualSpacing/>
    </w:pPr>
  </w:style>
  <w:style w:type="character" w:customStyle="1" w:styleId="TableTextChar0">
    <w:name w:val="Table Text Char"/>
    <w:basedOn w:val="DefaultParagraphFont"/>
    <w:link w:val="TableText0"/>
    <w:rsid w:val="00D77CAF"/>
    <w:rPr>
      <w:rFonts w:ascii="Arial Narrow" w:eastAsiaTheme="majorEastAsia" w:hAnsi="Arial Narrow" w:cstheme="majorBidi"/>
      <w:sz w:val="18"/>
      <w:szCs w:val="18"/>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4"/>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next w:val="3-BodyText"/>
    <w:link w:val="TableFigureFooterChar"/>
    <w:autoRedefine/>
    <w:qFormat/>
    <w:rsid w:val="005B63F4"/>
    <w:pPr>
      <w:keepLines/>
      <w:spacing w:after="120"/>
      <w:contextualSpacing/>
      <w:jc w:val="left"/>
    </w:pPr>
    <w:rPr>
      <w:rFonts w:ascii="Arial Narrow" w:hAnsi="Arial Narrow"/>
      <w:snapToGrid w:val="0"/>
      <w:sz w:val="18"/>
      <w:szCs w:val="22"/>
    </w:rPr>
  </w:style>
  <w:style w:type="character" w:customStyle="1" w:styleId="TableFigureFooterChar">
    <w:name w:val="Table/Figure Footer Char"/>
    <w:link w:val="TableFigureFooter"/>
    <w:rsid w:val="005B63F4"/>
    <w:rPr>
      <w:rFonts w:ascii="Arial Narrow" w:hAnsi="Arial Narrow" w:cs="Arial"/>
      <w:snapToGrid w:val="0"/>
      <w:sz w:val="18"/>
      <w:szCs w:val="22"/>
    </w:rPr>
  </w:style>
  <w:style w:type="paragraph" w:customStyle="1" w:styleId="SanofiTableText">
    <w:name w:val="Sanofi Table Text"/>
    <w:basedOn w:val="Normal"/>
    <w:qFormat/>
    <w:rsid w:val="0043060A"/>
    <w:pPr>
      <w:jc w:val="left"/>
    </w:pPr>
    <w:rPr>
      <w:rFonts w:ascii="Arial Narrow" w:eastAsiaTheme="minorHAnsi" w:hAnsi="Arial Narrow" w:cstheme="minorHAnsi"/>
      <w:bCs/>
      <w:sz w:val="20"/>
      <w:szCs w:val="18"/>
      <w:lang w:eastAsia="en-US"/>
    </w:rPr>
  </w:style>
  <w:style w:type="paragraph" w:styleId="FootnoteText">
    <w:name w:val="footnote text"/>
    <w:basedOn w:val="Normal"/>
    <w:link w:val="FootnoteTextChar"/>
    <w:semiHidden/>
    <w:unhideWhenUsed/>
    <w:rsid w:val="00446702"/>
    <w:rPr>
      <w:sz w:val="20"/>
      <w:szCs w:val="20"/>
    </w:rPr>
  </w:style>
  <w:style w:type="character" w:customStyle="1" w:styleId="FootnoteTextChar">
    <w:name w:val="Footnote Text Char"/>
    <w:basedOn w:val="DefaultParagraphFont"/>
    <w:link w:val="FootnoteText"/>
    <w:semiHidden/>
    <w:rsid w:val="00446702"/>
    <w:rPr>
      <w:rFonts w:ascii="Calibri" w:hAnsi="Calibri" w:cs="Arial"/>
    </w:rPr>
  </w:style>
  <w:style w:type="character" w:styleId="FootnoteReference">
    <w:name w:val="footnote reference"/>
    <w:basedOn w:val="DefaultParagraphFont"/>
    <w:semiHidden/>
    <w:unhideWhenUsed/>
    <w:rsid w:val="00446702"/>
    <w:rPr>
      <w:vertAlign w:val="superscript"/>
    </w:rPr>
  </w:style>
  <w:style w:type="paragraph" w:customStyle="1" w:styleId="SanofiTableBullet">
    <w:name w:val="Sanofi Table Bullet"/>
    <w:basedOn w:val="SanofiTableText"/>
    <w:rsid w:val="008F49F3"/>
    <w:pPr>
      <w:numPr>
        <w:numId w:val="12"/>
      </w:numPr>
      <w:ind w:left="357" w:hanging="357"/>
    </w:pPr>
  </w:style>
  <w:style w:type="paragraph" w:customStyle="1" w:styleId="SanofiTableFigNote">
    <w:name w:val="Sanofi TableFigNote"/>
    <w:basedOn w:val="Normal"/>
    <w:autoRedefine/>
    <w:qFormat/>
    <w:rsid w:val="008F49F3"/>
    <w:pPr>
      <w:jc w:val="left"/>
    </w:pPr>
    <w:rPr>
      <w:rFonts w:ascii="Arial Narrow" w:eastAsiaTheme="minorHAnsi" w:hAnsi="Arial Narrow" w:cstheme="minorBidi"/>
      <w:sz w:val="18"/>
      <w:szCs w:val="22"/>
      <w:lang w:eastAsia="en-US"/>
    </w:rPr>
  </w:style>
  <w:style w:type="character" w:styleId="UnresolvedMention">
    <w:name w:val="Unresolved Mention"/>
    <w:basedOn w:val="DefaultParagraphFont"/>
    <w:uiPriority w:val="99"/>
    <w:semiHidden/>
    <w:unhideWhenUsed/>
    <w:rsid w:val="008F49F3"/>
    <w:rPr>
      <w:color w:val="605E5C"/>
      <w:shd w:val="clear" w:color="auto" w:fill="E1DFDD"/>
    </w:rPr>
  </w:style>
  <w:style w:type="paragraph" w:customStyle="1" w:styleId="SanofiTableHeading">
    <w:name w:val="Sanofi TableHeading"/>
    <w:basedOn w:val="Normal"/>
    <w:qFormat/>
    <w:rsid w:val="008F49F3"/>
    <w:pPr>
      <w:keepNext/>
      <w:keepLines/>
      <w:jc w:val="left"/>
    </w:pPr>
    <w:rPr>
      <w:rFonts w:ascii="Arial Narrow" w:eastAsiaTheme="minorHAnsi" w:hAnsi="Arial Narrow" w:cstheme="minorHAnsi"/>
      <w:b/>
      <w:bCs/>
      <w:sz w:val="20"/>
      <w:szCs w:val="18"/>
      <w:lang w:eastAsia="en-US"/>
    </w:rPr>
  </w:style>
  <w:style w:type="paragraph" w:customStyle="1" w:styleId="Bibliography5">
    <w:name w:val="Bibliography5"/>
    <w:basedOn w:val="Normal"/>
    <w:rsid w:val="008F49F3"/>
    <w:pPr>
      <w:spacing w:before="100" w:beforeAutospacing="1" w:after="100" w:afterAutospacing="1"/>
      <w:jc w:val="left"/>
    </w:pPr>
    <w:rPr>
      <w:rFonts w:ascii="Times New Roman" w:eastAsiaTheme="minorEastAsia" w:hAnsi="Times New Roman" w:cs="Times New Roman"/>
    </w:rPr>
  </w:style>
  <w:style w:type="paragraph" w:customStyle="1" w:styleId="SanofiBodyText">
    <w:name w:val="Sanofi Body Text"/>
    <w:basedOn w:val="Normal"/>
    <w:link w:val="SanofiBodyTextChar"/>
    <w:qFormat/>
    <w:rsid w:val="008F49F3"/>
    <w:pPr>
      <w:keepNext/>
      <w:keepLines/>
      <w:spacing w:before="120" w:line="276" w:lineRule="auto"/>
    </w:pPr>
    <w:rPr>
      <w:rFonts w:asciiTheme="minorHAnsi" w:eastAsiaTheme="minorHAnsi" w:hAnsiTheme="minorHAnsi" w:cstheme="minorBidi"/>
      <w:sz w:val="22"/>
      <w:szCs w:val="22"/>
      <w:lang w:eastAsia="en-US"/>
    </w:rPr>
  </w:style>
  <w:style w:type="character" w:customStyle="1" w:styleId="SanofiBodyTextChar">
    <w:name w:val="Sanofi Body Text Char"/>
    <w:basedOn w:val="DefaultParagraphFont"/>
    <w:link w:val="SanofiBodyText"/>
    <w:rsid w:val="008F49F3"/>
    <w:rPr>
      <w:rFonts w:asciiTheme="minorHAnsi" w:eastAsiaTheme="minorHAnsi" w:hAnsiTheme="minorHAnsi" w:cstheme="minorBidi"/>
      <w:sz w:val="22"/>
      <w:szCs w:val="22"/>
      <w:lang w:eastAsia="en-US"/>
    </w:rPr>
  </w:style>
  <w:style w:type="character" w:styleId="PlaceholderText">
    <w:name w:val="Placeholder Text"/>
    <w:basedOn w:val="DefaultParagraphFont"/>
    <w:uiPriority w:val="99"/>
    <w:semiHidden/>
    <w:rsid w:val="009D79F2"/>
    <w:rPr>
      <w:color w:val="666666"/>
    </w:rPr>
  </w:style>
  <w:style w:type="table" w:customStyle="1" w:styleId="TableGridLight1">
    <w:name w:val="Table Grid Light1"/>
    <w:basedOn w:val="TableNormal"/>
    <w:uiPriority w:val="40"/>
    <w:rsid w:val="00A979D9"/>
    <w:rPr>
      <w:rFonts w:asciiTheme="minorHAnsi" w:eastAsiaTheme="minorHAnsi" w:hAnsiTheme="minorHAnsi" w:cstheme="minorBidi"/>
      <w:sz w:val="22"/>
      <w:szCs w:val="22"/>
      <w:lang w:val="en-US" w:eastAsia="en-US"/>
    </w:rPr>
    <w:tblPr/>
  </w:style>
  <w:style w:type="table" w:customStyle="1" w:styleId="Evidera-2024">
    <w:name w:val="Evidera - 2024"/>
    <w:basedOn w:val="TableNormal"/>
    <w:uiPriority w:val="99"/>
    <w:qFormat/>
    <w:rsid w:val="00A979D9"/>
    <w:pPr>
      <w:spacing w:before="40" w:after="40"/>
    </w:pPr>
    <w:rPr>
      <w:rFonts w:ascii="Calibri Light" w:eastAsiaTheme="minorHAnsi" w:hAnsi="Calibri Light" w:cstheme="minorBidi"/>
      <w:sz w:val="18"/>
      <w:szCs w:val="22"/>
      <w:lang w:val="en-US" w:eastAsia="en-US"/>
    </w:rPr>
    <w:tblPr/>
    <w:tblStylePr w:type="firstRow">
      <w:pPr>
        <w:jc w:val="center"/>
      </w:pPr>
      <w:rPr>
        <w:rFonts w:ascii="Calibri Light" w:hAnsi="Calibri Light"/>
        <w:b/>
        <w:color w:val="F79646" w:themeColor="accent6"/>
        <w:sz w:val="18"/>
      </w:rPr>
    </w:tblStylePr>
    <w:tblStylePr w:type="firstCol">
      <w:pPr>
        <w:jc w:val="left"/>
      </w:pPr>
    </w:tblStylePr>
    <w:tblStylePr w:type="band1Horz">
      <w:pPr>
        <w:jc w:val="center"/>
      </w:pPr>
    </w:tblStylePr>
    <w:tblStylePr w:type="band2Horz">
      <w:pPr>
        <w:jc w:val="center"/>
      </w:pPr>
    </w:tblStylePr>
    <w:tblStylePr w:type="nwCell">
      <w:pPr>
        <w:jc w:val="left"/>
      </w:pPr>
      <w:rPr>
        <w:rFonts w:ascii="Calibri Light" w:hAnsi="Calibri Light"/>
        <w:color w:val="F79646" w:themeColor="accent6"/>
        <w:sz w:val="18"/>
      </w:rPr>
    </w:tblStylePr>
  </w:style>
  <w:style w:type="paragraph" w:customStyle="1" w:styleId="TableParagraph">
    <w:name w:val="Table Paragraph"/>
    <w:basedOn w:val="Normal"/>
    <w:uiPriority w:val="1"/>
    <w:qFormat/>
    <w:rsid w:val="00A979D9"/>
    <w:pPr>
      <w:widowControl w:val="0"/>
      <w:autoSpaceDE w:val="0"/>
      <w:autoSpaceDN w:val="0"/>
      <w:spacing w:line="210" w:lineRule="exact"/>
      <w:ind w:left="107"/>
      <w:jc w:val="left"/>
    </w:pPr>
    <w:rPr>
      <w:rFonts w:ascii="Arial Narrow" w:eastAsia="Arial Narrow" w:hAnsi="Arial Narrow" w:cs="Arial Narrow"/>
      <w:sz w:val="22"/>
      <w:szCs w:val="22"/>
      <w:lang w:val="en-US" w:eastAsia="en-US"/>
    </w:rPr>
  </w:style>
  <w:style w:type="table" w:customStyle="1" w:styleId="Defaulttable">
    <w:name w:val="Default table"/>
    <w:basedOn w:val="TableNormal"/>
    <w:uiPriority w:val="99"/>
    <w:rsid w:val="00A979D9"/>
    <w:rPr>
      <w:rFonts w:asciiTheme="minorHAnsi" w:eastAsiaTheme="minorHAnsi" w:hAnsiTheme="minorHAnsi" w:cstheme="minorBidi"/>
      <w:sz w:val="22"/>
      <w:szCs w:val="22"/>
      <w:lang w:val="en-US" w:eastAsia="en-US"/>
    </w:rPr>
    <w:tblPr/>
  </w:style>
  <w:style w:type="table" w:customStyle="1" w:styleId="LightList1Sanofi">
    <w:name w:val="Light List1 Sanofi"/>
    <w:basedOn w:val="TableNormal"/>
    <w:uiPriority w:val="61"/>
    <w:rsid w:val="00A979D9"/>
    <w:rPr>
      <w:rFonts w:ascii="Arial Narrow" w:eastAsiaTheme="minorHAnsi" w:hAnsi="Arial Narrow" w:cstheme="minorBidi"/>
      <w:szCs w:val="22"/>
      <w:lang w:val="en-US" w:eastAsia="en-US"/>
    </w:rPr>
    <w:tblPr/>
    <w:tblStylePr w:type="firstRow">
      <w:pPr>
        <w:spacing w:before="0" w:after="0" w:line="240" w:lineRule="auto"/>
      </w:pPr>
      <w:rPr>
        <w:b/>
        <w:bCs/>
        <w:color w:val="auto"/>
      </w:rPr>
    </w:tblStylePr>
    <w:tblStylePr w:type="lastRow">
      <w:pPr>
        <w:spacing w:before="0" w:after="0" w:line="240" w:lineRule="auto"/>
      </w:pPr>
      <w:rPr>
        <w:b/>
        <w:bCs/>
      </w:rPr>
    </w:tblStylePr>
    <w:tblStylePr w:type="firstCol">
      <w:rPr>
        <w:rFonts w:ascii="MinionPro-Regular" w:hAnsi="MinionPro-Regular"/>
        <w:b w:val="0"/>
        <w:bCs/>
        <w:sz w:val="20"/>
      </w:rPr>
    </w:tblStylePr>
    <w:tblStylePr w:type="lastCol">
      <w:rPr>
        <w:rFonts w:ascii="MinionPro-Regular" w:hAnsi="MinionPro-Regular"/>
        <w:b w:val="0"/>
        <w:bCs/>
        <w:sz w:val="20"/>
      </w:rPr>
    </w:tblStylePr>
  </w:style>
  <w:style w:type="paragraph" w:customStyle="1" w:styleId="FigureCaption">
    <w:name w:val="Figure Caption"/>
    <w:basedOn w:val="Caption"/>
    <w:link w:val="FigureCaptionChar"/>
    <w:qFormat/>
    <w:rsid w:val="00A979D9"/>
    <w:pPr>
      <w:spacing w:before="120"/>
      <w:jc w:val="left"/>
    </w:pPr>
    <w:rPr>
      <w:rFonts w:asciiTheme="minorHAnsi" w:eastAsiaTheme="minorHAnsi" w:hAnsiTheme="minorHAnsi" w:cstheme="minorBidi"/>
      <w:color w:val="000000" w:themeColor="text1"/>
      <w:sz w:val="22"/>
      <w:szCs w:val="22"/>
      <w:lang w:eastAsia="en-US"/>
    </w:rPr>
  </w:style>
  <w:style w:type="character" w:customStyle="1" w:styleId="FigureCaptionChar">
    <w:name w:val="Figure Caption Char"/>
    <w:basedOn w:val="DefaultParagraphFont"/>
    <w:link w:val="FigureCaption"/>
    <w:rsid w:val="00A979D9"/>
    <w:rPr>
      <w:rFonts w:asciiTheme="minorHAnsi" w:eastAsiaTheme="minorHAnsi" w:hAnsiTheme="minorHAnsi" w:cstheme="minorBidi"/>
      <w:b/>
      <w:bCs/>
      <w:color w:val="000000" w:themeColor="text1"/>
      <w:sz w:val="22"/>
      <w:szCs w:val="22"/>
      <w:lang w:eastAsia="en-US"/>
    </w:rPr>
  </w:style>
  <w:style w:type="table" w:customStyle="1" w:styleId="Eviera-2018">
    <w:name w:val="Eviera - 2018"/>
    <w:basedOn w:val="TableNormal"/>
    <w:uiPriority w:val="99"/>
    <w:qFormat/>
    <w:rsid w:val="00A979D9"/>
    <w:pPr>
      <w:spacing w:before="40" w:after="40"/>
    </w:pPr>
    <w:rPr>
      <w:rFonts w:ascii="Calibri Light" w:eastAsiaTheme="minorHAnsi" w:hAnsi="Calibri Light" w:cstheme="minorBidi"/>
      <w:sz w:val="18"/>
      <w:szCs w:val="22"/>
      <w:lang w:val="en-US" w:eastAsia="en-US"/>
    </w:rPr>
    <w:tblPr/>
    <w:tblStylePr w:type="firstRow">
      <w:pPr>
        <w:jc w:val="center"/>
      </w:pPr>
      <w:rPr>
        <w:rFonts w:ascii="Calibri Light" w:hAnsi="Calibri Light"/>
        <w:b/>
        <w:color w:val="FFFFFF"/>
        <w:sz w:val="18"/>
      </w:rPr>
    </w:tblStylePr>
    <w:tblStylePr w:type="lastRow">
      <w:pPr>
        <w:jc w:val="center"/>
      </w:pPr>
    </w:tblStylePr>
    <w:tblStylePr w:type="firstCol">
      <w:pPr>
        <w:jc w:val="left"/>
      </w:pPr>
    </w:tblStylePr>
    <w:tblStylePr w:type="band1Horz">
      <w:pPr>
        <w:jc w:val="center"/>
      </w:pPr>
    </w:tblStylePr>
    <w:tblStylePr w:type="band2Horz">
      <w:pPr>
        <w:jc w:val="center"/>
      </w:pPr>
    </w:tblStylePr>
    <w:tblStylePr w:type="nwCell">
      <w:pPr>
        <w:jc w:val="left"/>
      </w:pPr>
      <w:rPr>
        <w:rFonts w:ascii="Calibri Light" w:hAnsi="Calibri Light"/>
        <w:color w:val="FFFFFF" w:themeColor="background1"/>
        <w:sz w:val="18"/>
      </w:rPr>
    </w:tblStylePr>
  </w:style>
  <w:style w:type="character" w:styleId="Mention">
    <w:name w:val="Mention"/>
    <w:basedOn w:val="DefaultParagraphFont"/>
    <w:uiPriority w:val="99"/>
    <w:unhideWhenUsed/>
    <w:rsid w:val="005360D5"/>
    <w:rPr>
      <w:color w:val="2B579A"/>
      <w:shd w:val="clear" w:color="auto" w:fill="E1DFDD"/>
    </w:rPr>
  </w:style>
  <w:style w:type="character" w:customStyle="1" w:styleId="Heading1Char">
    <w:name w:val="Heading 1 Char"/>
    <w:aliases w:val="Sanofi Heading 1 Char"/>
    <w:basedOn w:val="DefaultParagraphFont"/>
    <w:link w:val="Heading1"/>
    <w:uiPriority w:val="9"/>
    <w:rsid w:val="00AC64A4"/>
    <w:rPr>
      <w:rFonts w:ascii="Calibri" w:hAnsi="Calibri" w:cs="Arial"/>
      <w:b/>
      <w:caps/>
      <w:sz w:val="32"/>
      <w:szCs w:val="24"/>
    </w:rPr>
  </w:style>
  <w:style w:type="character" w:customStyle="1" w:styleId="Heading3Char">
    <w:name w:val="Heading 3 Char"/>
    <w:aliases w:val="Sanofi Heading 3 Char"/>
    <w:basedOn w:val="DefaultParagraphFont"/>
    <w:link w:val="Heading3"/>
    <w:uiPriority w:val="9"/>
    <w:rsid w:val="00AC64A4"/>
    <w:rPr>
      <w:rFonts w:ascii="Calibri" w:hAnsi="Calibri" w:cs="Arial"/>
      <w:sz w:val="24"/>
      <w:szCs w:val="24"/>
      <w:u w:val="single"/>
    </w:rPr>
  </w:style>
  <w:style w:type="character" w:customStyle="1" w:styleId="Heading4Char">
    <w:name w:val="Heading 4 Char"/>
    <w:aliases w:val="Sanofi Heading 4 Char"/>
    <w:basedOn w:val="DefaultParagraphFont"/>
    <w:link w:val="Heading4"/>
    <w:uiPriority w:val="9"/>
    <w:rsid w:val="00AC64A4"/>
    <w:rPr>
      <w:rFonts w:ascii="Calibri" w:hAnsi="Calibri" w:cs="Arial"/>
      <w:b/>
      <w:bCs/>
      <w:i/>
      <w:sz w:val="26"/>
      <w:szCs w:val="28"/>
    </w:rPr>
  </w:style>
  <w:style w:type="character" w:customStyle="1" w:styleId="Heading5Char">
    <w:name w:val="Heading 5 Char"/>
    <w:aliases w:val="Sanofi Heading 5 Char"/>
    <w:basedOn w:val="DefaultParagraphFont"/>
    <w:link w:val="Heading5"/>
    <w:uiPriority w:val="9"/>
    <w:rsid w:val="00AC64A4"/>
    <w:rPr>
      <w:rFonts w:ascii="Calibri" w:hAnsi="Calibri" w:cs="Arial"/>
      <w:b/>
      <w:bCs/>
      <w:iCs/>
      <w:sz w:val="26"/>
      <w:szCs w:val="26"/>
    </w:rPr>
  </w:style>
  <w:style w:type="character" w:customStyle="1" w:styleId="Heading6Char">
    <w:name w:val="Heading 6 Char"/>
    <w:basedOn w:val="DefaultParagraphFont"/>
    <w:link w:val="Heading6"/>
    <w:uiPriority w:val="9"/>
    <w:rsid w:val="00AC64A4"/>
    <w:rPr>
      <w:rFonts w:ascii="Calibri" w:hAnsi="Calibri" w:cs="Arial"/>
      <w:b/>
      <w:bCs/>
      <w:i/>
      <w:sz w:val="24"/>
      <w:szCs w:val="24"/>
    </w:rPr>
  </w:style>
  <w:style w:type="numbering" w:customStyle="1" w:styleId="NoList1">
    <w:name w:val="No List1"/>
    <w:next w:val="NoList"/>
    <w:uiPriority w:val="99"/>
    <w:semiHidden/>
    <w:unhideWhenUsed/>
    <w:rsid w:val="004A3CBD"/>
  </w:style>
  <w:style w:type="paragraph" w:customStyle="1" w:styleId="Quote1">
    <w:name w:val="Quote1"/>
    <w:basedOn w:val="Normal"/>
    <w:next w:val="Normal"/>
    <w:uiPriority w:val="29"/>
    <w:qFormat/>
    <w:rsid w:val="004A3CBD"/>
    <w:pPr>
      <w:spacing w:before="160" w:after="160" w:line="259" w:lineRule="auto"/>
      <w:jc w:val="center"/>
    </w:pPr>
    <w:rPr>
      <w:rFonts w:ascii="Arial" w:eastAsia="Aptos" w:hAnsi="Arial" w:cs="Times New Roman"/>
      <w:i/>
      <w:iCs/>
      <w:color w:val="404040"/>
      <w:kern w:val="2"/>
      <w:sz w:val="20"/>
      <w:lang w:eastAsia="en-US"/>
      <w14:ligatures w14:val="standardContextual"/>
    </w:rPr>
  </w:style>
  <w:style w:type="character" w:customStyle="1" w:styleId="QuoteChar">
    <w:name w:val="Quote Char"/>
    <w:basedOn w:val="DefaultParagraphFont"/>
    <w:link w:val="Quote"/>
    <w:uiPriority w:val="29"/>
    <w:rsid w:val="004A3CBD"/>
    <w:rPr>
      <w:i/>
      <w:iCs/>
      <w:color w:val="404040"/>
    </w:rPr>
  </w:style>
  <w:style w:type="character" w:customStyle="1" w:styleId="IntenseEmphasis1">
    <w:name w:val="Intense Emphasis1"/>
    <w:basedOn w:val="DefaultParagraphFont"/>
    <w:uiPriority w:val="21"/>
    <w:qFormat/>
    <w:rsid w:val="004A3CBD"/>
    <w:rPr>
      <w:i/>
      <w:iCs/>
      <w:color w:val="0F4761"/>
    </w:rPr>
  </w:style>
  <w:style w:type="paragraph" w:customStyle="1" w:styleId="IntenseQuote1">
    <w:name w:val="Intense Quote1"/>
    <w:basedOn w:val="Normal"/>
    <w:next w:val="Normal"/>
    <w:uiPriority w:val="30"/>
    <w:qFormat/>
    <w:rsid w:val="004A3CBD"/>
    <w:pPr>
      <w:pBdr>
        <w:top w:val="single" w:sz="4" w:space="10" w:color="0F4761"/>
        <w:bottom w:val="single" w:sz="4" w:space="10" w:color="0F4761"/>
      </w:pBdr>
      <w:spacing w:before="360" w:after="360" w:line="259" w:lineRule="auto"/>
      <w:ind w:left="864" w:right="864"/>
      <w:jc w:val="center"/>
    </w:pPr>
    <w:rPr>
      <w:rFonts w:ascii="Arial" w:eastAsia="Aptos" w:hAnsi="Arial" w:cs="Times New Roman"/>
      <w:i/>
      <w:iCs/>
      <w:color w:val="0F4761"/>
      <w:kern w:val="2"/>
      <w:sz w:val="20"/>
      <w:lang w:eastAsia="en-US"/>
      <w14:ligatures w14:val="standardContextual"/>
    </w:rPr>
  </w:style>
  <w:style w:type="character" w:customStyle="1" w:styleId="IntenseQuoteChar">
    <w:name w:val="Intense Quote Char"/>
    <w:basedOn w:val="DefaultParagraphFont"/>
    <w:link w:val="IntenseQuote"/>
    <w:uiPriority w:val="30"/>
    <w:rsid w:val="004A3CBD"/>
    <w:rPr>
      <w:i/>
      <w:iCs/>
      <w:color w:val="0F4761"/>
    </w:rPr>
  </w:style>
  <w:style w:type="character" w:customStyle="1" w:styleId="IntenseReference1">
    <w:name w:val="Intense Reference1"/>
    <w:basedOn w:val="DefaultParagraphFont"/>
    <w:uiPriority w:val="32"/>
    <w:qFormat/>
    <w:rsid w:val="004A3CBD"/>
    <w:rPr>
      <w:b/>
      <w:bCs/>
      <w:smallCaps/>
      <w:color w:val="0F4761"/>
      <w:spacing w:val="5"/>
    </w:rPr>
  </w:style>
  <w:style w:type="table" w:customStyle="1" w:styleId="TableGrid1">
    <w:name w:val="Table Grid1"/>
    <w:basedOn w:val="TableNormal"/>
    <w:next w:val="TableGrid"/>
    <w:uiPriority w:val="39"/>
    <w:rsid w:val="004A3CBD"/>
    <w:rPr>
      <w:rFonts w:ascii="Arial" w:eastAsia="Aptos" w:hAnsi="Arial"/>
      <w:kern w:val="2"/>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next w:val="PlainTable1"/>
    <w:uiPriority w:val="41"/>
    <w:rsid w:val="004A3CBD"/>
    <w:rPr>
      <w:rFonts w:ascii="Arial" w:eastAsia="Aptos" w:hAnsi="Arial"/>
      <w:kern w:val="2"/>
      <w:szCs w:val="24"/>
      <w:lang w:eastAsia="en-US"/>
      <w14:ligatures w14:val="standardContextu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Quote">
    <w:name w:val="Quote"/>
    <w:basedOn w:val="Normal"/>
    <w:next w:val="Normal"/>
    <w:link w:val="QuoteChar"/>
    <w:uiPriority w:val="29"/>
    <w:rsid w:val="004A3CBD"/>
    <w:pPr>
      <w:spacing w:before="200" w:after="160"/>
      <w:ind w:left="864" w:right="864"/>
      <w:jc w:val="center"/>
    </w:pPr>
    <w:rPr>
      <w:rFonts w:ascii="Times New Roman" w:hAnsi="Times New Roman" w:cs="Times New Roman"/>
      <w:i/>
      <w:iCs/>
      <w:color w:val="404040"/>
      <w:sz w:val="20"/>
      <w:szCs w:val="20"/>
    </w:rPr>
  </w:style>
  <w:style w:type="character" w:customStyle="1" w:styleId="QuoteChar1">
    <w:name w:val="Quote Char1"/>
    <w:basedOn w:val="DefaultParagraphFont"/>
    <w:uiPriority w:val="29"/>
    <w:rsid w:val="004A3CBD"/>
    <w:rPr>
      <w:rFonts w:ascii="Calibri" w:hAnsi="Calibri" w:cs="Arial"/>
      <w:i/>
      <w:iCs/>
      <w:color w:val="404040" w:themeColor="text1" w:themeTint="BF"/>
      <w:sz w:val="24"/>
      <w:szCs w:val="24"/>
    </w:rPr>
  </w:style>
  <w:style w:type="character" w:styleId="IntenseEmphasis">
    <w:name w:val="Intense Emphasis"/>
    <w:basedOn w:val="DefaultParagraphFont"/>
    <w:uiPriority w:val="21"/>
    <w:rsid w:val="004A3CBD"/>
    <w:rPr>
      <w:i/>
      <w:iCs/>
      <w:color w:val="4F81BD" w:themeColor="accent1"/>
    </w:rPr>
  </w:style>
  <w:style w:type="paragraph" w:styleId="IntenseQuote">
    <w:name w:val="Intense Quote"/>
    <w:basedOn w:val="Normal"/>
    <w:next w:val="Normal"/>
    <w:link w:val="IntenseQuoteChar"/>
    <w:uiPriority w:val="30"/>
    <w:rsid w:val="004A3CBD"/>
    <w:pPr>
      <w:pBdr>
        <w:top w:val="single" w:sz="4" w:space="10" w:color="4F81BD" w:themeColor="accent1"/>
        <w:bottom w:val="single" w:sz="4" w:space="10" w:color="4F81BD" w:themeColor="accent1"/>
      </w:pBdr>
      <w:spacing w:before="360" w:after="360"/>
      <w:ind w:left="864" w:right="864"/>
      <w:jc w:val="center"/>
    </w:pPr>
    <w:rPr>
      <w:rFonts w:ascii="Times New Roman" w:hAnsi="Times New Roman" w:cs="Times New Roman"/>
      <w:i/>
      <w:iCs/>
      <w:color w:val="0F4761"/>
      <w:sz w:val="20"/>
      <w:szCs w:val="20"/>
    </w:rPr>
  </w:style>
  <w:style w:type="character" w:customStyle="1" w:styleId="IntenseQuoteChar1">
    <w:name w:val="Intense Quote Char1"/>
    <w:basedOn w:val="DefaultParagraphFont"/>
    <w:uiPriority w:val="30"/>
    <w:rsid w:val="004A3CBD"/>
    <w:rPr>
      <w:rFonts w:ascii="Calibri" w:hAnsi="Calibri" w:cs="Arial"/>
      <w:i/>
      <w:iCs/>
      <w:color w:val="4F81BD" w:themeColor="accent1"/>
      <w:sz w:val="24"/>
      <w:szCs w:val="24"/>
    </w:rPr>
  </w:style>
  <w:style w:type="character" w:styleId="IntenseReference">
    <w:name w:val="Intense Reference"/>
    <w:basedOn w:val="DefaultParagraphFont"/>
    <w:uiPriority w:val="32"/>
    <w:rsid w:val="004A3CBD"/>
    <w:rPr>
      <w:b/>
      <w:bCs/>
      <w:smallCaps/>
      <w:color w:val="4F81BD" w:themeColor="accent1"/>
      <w:spacing w:val="5"/>
    </w:rPr>
  </w:style>
  <w:style w:type="table" w:styleId="PlainTable1">
    <w:name w:val="Plain Table 1"/>
    <w:basedOn w:val="TableNormal"/>
    <w:uiPriority w:val="41"/>
    <w:rsid w:val="004A3CB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f01">
    <w:name w:val="cf01"/>
    <w:basedOn w:val="DefaultParagraphFont"/>
    <w:rsid w:val="00467C3C"/>
    <w:rPr>
      <w:rFonts w:ascii="Segoe UI" w:hAnsi="Segoe UI" w:cs="Segoe UI" w:hint="default"/>
      <w:i/>
      <w:iCs/>
      <w:sz w:val="18"/>
      <w:szCs w:val="18"/>
    </w:rPr>
  </w:style>
  <w:style w:type="character" w:customStyle="1" w:styleId="cf11">
    <w:name w:val="cf11"/>
    <w:basedOn w:val="DefaultParagraphFont"/>
    <w:rsid w:val="00467C3C"/>
    <w:rPr>
      <w:rFonts w:ascii="Segoe UI" w:hAnsi="Segoe UI" w:cs="Segoe UI" w:hint="default"/>
      <w:sz w:val="18"/>
      <w:szCs w:val="18"/>
    </w:rPr>
  </w:style>
  <w:style w:type="paragraph" w:customStyle="1" w:styleId="3-SubsectionHeading">
    <w:name w:val="3-Subsection Heading"/>
    <w:basedOn w:val="Heading2"/>
    <w:next w:val="Normal"/>
    <w:link w:val="3-SubsectionHeadingChar"/>
    <w:qFormat/>
    <w:rsid w:val="00682693"/>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682693"/>
    <w:rPr>
      <w:rFonts w:asciiTheme="minorHAnsi" w:eastAsiaTheme="majorEastAsia" w:hAnsiTheme="minorHAnsi" w:cstheme="majorBidi"/>
      <w:b/>
      <w:i/>
      <w:snapToGrid/>
      <w:spacing w:val="5"/>
      <w:kern w:val="28"/>
      <w:sz w:val="28"/>
      <w:szCs w:val="36"/>
      <w:lang w:eastAsia="en-US"/>
    </w:rPr>
  </w:style>
  <w:style w:type="character" w:customStyle="1" w:styleId="PBACTabletextChar">
    <w:name w:val="PBAC Table text Char"/>
    <w:basedOn w:val="DefaultParagraphFont"/>
    <w:link w:val="PBACTabletext"/>
    <w:locked/>
    <w:rsid w:val="000C038C"/>
    <w:rPr>
      <w:rFonts w:ascii="Arial Narrow" w:hAnsi="Arial Narrow" w:cs="Arial"/>
    </w:rPr>
  </w:style>
  <w:style w:type="paragraph" w:customStyle="1" w:styleId="PBACTabletext">
    <w:name w:val="PBAC Table text"/>
    <w:basedOn w:val="Normal"/>
    <w:link w:val="PBACTabletextChar"/>
    <w:qFormat/>
    <w:rsid w:val="000C038C"/>
    <w:pPr>
      <w:spacing w:after="80"/>
      <w:jc w:val="left"/>
    </w:pPr>
    <w:rPr>
      <w:rFonts w:ascii="Arial Narrow" w:hAnsi="Arial Narro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ervicesaustralia.gov.au/HPO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5" ma:contentTypeDescription="Create a new document." ma:contentTypeScope="" ma:versionID="800ebfdfa1bbf1ff6c9cf58b3ab635a0">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cd488804b94607c00d160a5d5b6e66e9"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created" ma:index="22" nillable="true" ma:displayName="Date created" ma:description="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created xmlns="7f856f8d-13b3-495a-9a4b-41f8182eda4c" xsi:nil="true"/>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E247F-FBF0-46BA-9B08-B3513410A0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2D2721-8FD1-437D-8EE2-49C723AC154B}">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customXml/itemProps3.xml><?xml version="1.0" encoding="utf-8"?>
<ds:datastoreItem xmlns:ds="http://schemas.openxmlformats.org/officeDocument/2006/customXml" ds:itemID="{09149BFC-30DF-49DF-9927-CFC612D73CD0}">
  <ds:schemaRefs>
    <ds:schemaRef ds:uri="http://schemas.microsoft.com/sharepoint/v3/contenttype/forms"/>
  </ds:schemaRefs>
</ds:datastoreItem>
</file>

<file path=customXml/itemProps4.xml><?xml version="1.0" encoding="utf-8"?>
<ds:datastoreItem xmlns:ds="http://schemas.openxmlformats.org/officeDocument/2006/customXml" ds:itemID="{3D05D5D6-03DE-482D-89A4-ACE1A6FB9E3E}">
  <ds:schemaRefs>
    <ds:schemaRef ds:uri="http://schemas.openxmlformats.org/officeDocument/2006/bibliography"/>
  </ds:schemaRefs>
</ds:datastoreItem>
</file>

<file path=docMetadata/LabelInfo.xml><?xml version="1.0" encoding="utf-8"?>
<clbl:labelList xmlns:clbl="http://schemas.microsoft.com/office/2020/mipLabelMetadata">
  <clbl:label id="{0c0cb100-a80e-47d6-9fe9-1dc28ea0657f}" enabled="1" method="Privileged" siteId="{aca3c8d6-aa71-4e1a-a10e-03572fc58c0b}" removed="0"/>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61</Pages>
  <Words>25355</Words>
  <Characters>140472</Characters>
  <Application>Microsoft Office Word</Application>
  <DocSecurity>0</DocSecurity>
  <Lines>3902</Lines>
  <Paragraphs>2303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163524</CharactersWithSpaces>
  <SharedDoc>false</SharedDoc>
  <HLinks>
    <vt:vector size="12" baseType="variant">
      <vt:variant>
        <vt:i4>1507399</vt:i4>
      </vt:variant>
      <vt:variant>
        <vt:i4>234</vt:i4>
      </vt:variant>
      <vt:variant>
        <vt:i4>0</vt:i4>
      </vt:variant>
      <vt:variant>
        <vt:i4>5</vt:i4>
      </vt:variant>
      <vt:variant>
        <vt:lpwstr>http://www.servicesaustralia.gov.au/HPOS</vt:lpwstr>
      </vt:variant>
      <vt:variant>
        <vt:lpwstr/>
      </vt:variant>
      <vt:variant>
        <vt:i4>6225990</vt:i4>
      </vt:variant>
      <vt:variant>
        <vt:i4>0</vt:i4>
      </vt:variant>
      <vt:variant>
        <vt:i4>0</vt:i4>
      </vt:variant>
      <vt:variant>
        <vt:i4>5</vt:i4>
      </vt:variant>
      <vt:variant>
        <vt:lpwstr>https://doi.org/10.1016/j.pulmoe.2022.11.001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2026-07-07T04:08:00Z</dcterms:created>
  <dcterms:modified xsi:type="dcterms:W3CDTF">2026-07-07T04:08:00Z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31be2b8,4cbf3728,1a7cdd4e</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2e968188,3e98fd55,1d769e1e</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2026-05-29T06:40:49Z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510b9666-4351-4e00-8436-3c8cbf45cf0e</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Order">
    <vt:r8>59902200</vt:r8>
  </property>
  <property fmtid="{D5CDD505-2E9C-101B-9397-08002B2CF9AE}" pid="17" name="MediaServiceImageTags">
    <vt:lpwstr/>
  </property>
  <property fmtid="{D5CDD505-2E9C-101B-9397-08002B2CF9AE}" pid="18" name="xd_ProgID">
    <vt:lpwstr/>
  </property>
  <property fmtid="{D5CDD505-2E9C-101B-9397-08002B2CF9AE}" pid="19" name="ContentTypeId">
    <vt:lpwstr>0x0101007FED174C5281F747A8037A05221D6DBD</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y fmtid="{D5CDD505-2E9C-101B-9397-08002B2CF9AE}" pid="23" name="TriggerFlowInfo">
    <vt:lpwstr/>
  </property>
  <property fmtid="{D5CDD505-2E9C-101B-9397-08002B2CF9AE}" pid="24" name="xd_Signature">
    <vt:bool>false</vt:bool>
  </property>
</Properties>
</file>