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A9CD" w14:textId="14D53581" w:rsidR="00092EE4" w:rsidRPr="009F1BD4" w:rsidRDefault="00595ADE" w:rsidP="00092EE4">
      <w:pPr>
        <w:pStyle w:val="1-MainHeading"/>
        <w:rPr>
          <w:rFonts w:cstheme="minorHAnsi"/>
        </w:rPr>
      </w:pPr>
      <w:bookmarkStart w:id="0" w:name="_Toc219379956"/>
      <w:r w:rsidRPr="009F1BD4">
        <w:rPr>
          <w:rFonts w:cstheme="minorHAnsi"/>
        </w:rPr>
        <w:t>6.05</w:t>
      </w:r>
      <w:r w:rsidR="00163F66" w:rsidRPr="009F1BD4">
        <w:rPr>
          <w:rFonts w:cstheme="minorHAnsi"/>
        </w:rPr>
        <w:tab/>
      </w:r>
      <w:r w:rsidR="00092EE4" w:rsidRPr="009F1BD4">
        <w:rPr>
          <w:rFonts w:cstheme="minorHAnsi"/>
        </w:rPr>
        <w:t xml:space="preserve">DURVALUMAB </w:t>
      </w:r>
      <w:r w:rsidR="00092EE4" w:rsidRPr="009F1BD4">
        <w:rPr>
          <w:rFonts w:cstheme="minorHAnsi"/>
        </w:rPr>
        <w:br/>
        <w:t xml:space="preserve">Solution concentrate for I.V. infusion 120 mg in </w:t>
      </w:r>
      <w:r w:rsidR="00CC201B" w:rsidRPr="009F1BD4">
        <w:rPr>
          <w:rFonts w:cstheme="minorHAnsi"/>
        </w:rPr>
        <w:br/>
      </w:r>
      <w:r w:rsidR="00092EE4" w:rsidRPr="009F1BD4">
        <w:rPr>
          <w:rFonts w:cstheme="minorHAnsi"/>
        </w:rPr>
        <w:t xml:space="preserve">2.4 mL </w:t>
      </w:r>
      <w:r w:rsidR="00092EE4" w:rsidRPr="009F1BD4">
        <w:rPr>
          <w:rFonts w:cstheme="minorHAnsi"/>
        </w:rPr>
        <w:br/>
        <w:t>Solution concentrate for I.V. infusion 500 mg in 10 mL</w:t>
      </w:r>
      <w:r w:rsidR="00092EE4" w:rsidRPr="009F1BD4">
        <w:rPr>
          <w:rFonts w:cstheme="minorHAnsi"/>
        </w:rPr>
        <w:br/>
        <w:t xml:space="preserve">Imfinzi® </w:t>
      </w:r>
      <w:r w:rsidR="00092EE4" w:rsidRPr="009F1BD4">
        <w:rPr>
          <w:rFonts w:cstheme="minorHAnsi"/>
        </w:rPr>
        <w:br/>
      </w:r>
      <w:proofErr w:type="spellStart"/>
      <w:r w:rsidR="0015720E" w:rsidRPr="009F1BD4">
        <w:rPr>
          <w:rFonts w:cstheme="minorHAnsi"/>
        </w:rPr>
        <w:t>Astrazeneca</w:t>
      </w:r>
      <w:proofErr w:type="spellEnd"/>
      <w:r w:rsidR="0015720E" w:rsidRPr="009F1BD4">
        <w:rPr>
          <w:rFonts w:cstheme="minorHAnsi"/>
        </w:rPr>
        <w:t xml:space="preserve"> Pty Ltd</w:t>
      </w:r>
      <w:bookmarkEnd w:id="0"/>
    </w:p>
    <w:p w14:paraId="11C00795" w14:textId="054F8E86" w:rsidR="00B50DB8" w:rsidRPr="000D0E03" w:rsidRDefault="00B50DB8" w:rsidP="00277381">
      <w:pPr>
        <w:pStyle w:val="Heading1"/>
        <w:spacing w:before="160" w:after="160"/>
      </w:pPr>
      <w:bookmarkStart w:id="1" w:name="_Toc219379959"/>
      <w:r w:rsidRPr="000D0E03">
        <w:t xml:space="preserve">Purpose of </w:t>
      </w:r>
      <w:r w:rsidR="00CD7193" w:rsidRPr="000D0E03">
        <w:t>s</w:t>
      </w:r>
      <w:r w:rsidR="00BB3A45" w:rsidRPr="000D0E03">
        <w:t>ubmission</w:t>
      </w:r>
      <w:bookmarkEnd w:id="1"/>
    </w:p>
    <w:p w14:paraId="19414AA1" w14:textId="02B73C9A" w:rsidR="002C2775" w:rsidRPr="0098262F" w:rsidRDefault="007170DA" w:rsidP="00277381">
      <w:pPr>
        <w:pStyle w:val="3-BodyText"/>
        <w:spacing w:before="160" w:after="160"/>
      </w:pPr>
      <w:r w:rsidRPr="000D0E03">
        <w:t xml:space="preserve">The </w:t>
      </w:r>
      <w:r w:rsidR="00F73E08" w:rsidRPr="000D0E03">
        <w:t xml:space="preserve">Category </w:t>
      </w:r>
      <w:r w:rsidR="00FB0A83" w:rsidRPr="000D0E03">
        <w:t xml:space="preserve">2 </w:t>
      </w:r>
      <w:r w:rsidRPr="000D0E03">
        <w:t xml:space="preserve">submission </w:t>
      </w:r>
      <w:r w:rsidR="00092EE4" w:rsidRPr="000D0E03">
        <w:t>request</w:t>
      </w:r>
      <w:r w:rsidR="00577D16" w:rsidRPr="000D0E03">
        <w:t>ed</w:t>
      </w:r>
      <w:r w:rsidR="00092EE4" w:rsidRPr="000D0E03">
        <w:t xml:space="preserve"> </w:t>
      </w:r>
      <w:r w:rsidR="00FC61F7" w:rsidRPr="000D0E03">
        <w:t>Section 100 (Efficient Funding of Chemotherapy Program) PBS</w:t>
      </w:r>
      <w:r w:rsidR="00092EE4" w:rsidRPr="000D0E03">
        <w:t xml:space="preserve"> listing</w:t>
      </w:r>
      <w:r w:rsidR="00FC61F7" w:rsidRPr="000D0E03">
        <w:t xml:space="preserve"> </w:t>
      </w:r>
      <w:r w:rsidR="00DE0FD8" w:rsidRPr="000D0E03">
        <w:t>of</w:t>
      </w:r>
      <w:r w:rsidR="00092EE4" w:rsidRPr="000D0E03">
        <w:t xml:space="preserve"> durvalumab for the perioperative treatment </w:t>
      </w:r>
      <w:r w:rsidR="00DE0FD8" w:rsidRPr="000D0E03">
        <w:t>(i.e. before and after surgery) of adult</w:t>
      </w:r>
      <w:r w:rsidR="00092EE4" w:rsidRPr="000D0E03">
        <w:t xml:space="preserve"> patients with </w:t>
      </w:r>
      <w:r w:rsidR="003D1EA7" w:rsidRPr="000D0E03">
        <w:t>gastric cancer (</w:t>
      </w:r>
      <w:r w:rsidR="00DE0FD8" w:rsidRPr="000D0E03">
        <w:t>GC</w:t>
      </w:r>
      <w:r w:rsidR="003D1EA7" w:rsidRPr="000D0E03">
        <w:t>)</w:t>
      </w:r>
      <w:r w:rsidR="00DE0FD8" w:rsidRPr="000D0E03">
        <w:t xml:space="preserve"> or </w:t>
      </w:r>
      <w:r w:rsidR="003D1EA7" w:rsidRPr="000D0E03">
        <w:t>gastroesophageal junction cancer (</w:t>
      </w:r>
      <w:r w:rsidR="00DE0FD8" w:rsidRPr="000D0E03">
        <w:t>GOJC</w:t>
      </w:r>
      <w:r w:rsidR="003D1EA7" w:rsidRPr="000D0E03">
        <w:t>)</w:t>
      </w:r>
      <w:r w:rsidR="00092EE4" w:rsidRPr="000D0E03">
        <w:t xml:space="preserve"> who</w:t>
      </w:r>
      <w:r w:rsidR="00092EE4" w:rsidRPr="00092EE4">
        <w:t xml:space="preserve"> are </w:t>
      </w:r>
      <w:r w:rsidR="00DE0FD8" w:rsidRPr="00DE0FD8">
        <w:t xml:space="preserve">eligible for neoadjuvant FLOT </w:t>
      </w:r>
      <w:r w:rsidR="00092EE4" w:rsidRPr="00092EE4">
        <w:t>(fluorouracil, leucovorin, oxaliplatin, docetaxel) chemotherapy</w:t>
      </w:r>
      <w:r w:rsidR="00DE0FD8" w:rsidRPr="00DE0FD8">
        <w:t xml:space="preserve"> (i.e. eligible for FLOT chemotherapy given prior to surgery).</w:t>
      </w:r>
      <w:r w:rsidR="00FB0A83">
        <w:t xml:space="preserve"> </w:t>
      </w:r>
    </w:p>
    <w:p w14:paraId="4E9FBCB5" w14:textId="1C917517" w:rsidR="00C2778B" w:rsidRPr="0098262F" w:rsidRDefault="005750C5" w:rsidP="00277381">
      <w:pPr>
        <w:pStyle w:val="3-BodyText"/>
        <w:spacing w:before="160" w:after="160"/>
      </w:pPr>
      <w:r w:rsidRPr="0098262F">
        <w:t xml:space="preserve">Listing was requested </w:t>
      </w:r>
      <w:proofErr w:type="gramStart"/>
      <w:r w:rsidRPr="0098262F">
        <w:t>on the basis of</w:t>
      </w:r>
      <w:proofErr w:type="gramEnd"/>
      <w:r w:rsidRPr="0098262F">
        <w:t xml:space="preserve"> a cost</w:t>
      </w:r>
      <w:r w:rsidR="00675F55">
        <w:noBreakHyphen/>
      </w:r>
      <w:r w:rsidRPr="0098262F">
        <w:t>effectiveness analysis</w:t>
      </w:r>
      <w:r w:rsidR="004740FC">
        <w:t xml:space="preserve"> </w:t>
      </w:r>
      <w:r w:rsidRPr="0098262F">
        <w:t xml:space="preserve">versus </w:t>
      </w:r>
      <w:r w:rsidR="004740FC">
        <w:t>standard of care (SOC) FLOT regimen alone</w:t>
      </w:r>
      <w:r w:rsidRPr="0098262F">
        <w:t xml:space="preserve">. </w:t>
      </w:r>
    </w:p>
    <w:p w14:paraId="3718DE61" w14:textId="0DD6EE57" w:rsidR="008B1757" w:rsidRPr="0098262F" w:rsidRDefault="00696EF9" w:rsidP="00277381">
      <w:pPr>
        <w:pStyle w:val="Caption"/>
        <w:rPr>
          <w:rStyle w:val="CommentReference"/>
          <w:b/>
          <w:szCs w:val="24"/>
        </w:rPr>
      </w:pPr>
      <w:r w:rsidRPr="0098262F">
        <w:t>Table</w:t>
      </w:r>
      <w:r w:rsidR="00803AB3">
        <w:t xml:space="preserve"> </w:t>
      </w:r>
      <w:fldSimple w:instr=" SEQ Table_ \* ARABIC ">
        <w:r w:rsidR="00E71342">
          <w:rPr>
            <w:noProof/>
          </w:rPr>
          <w:t>1</w:t>
        </w:r>
      </w:fldSimple>
      <w:r w:rsidR="009D3067">
        <w:t>:</w:t>
      </w:r>
      <w:r w:rsidR="00BC591F">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414"/>
        <w:gridCol w:w="7603"/>
      </w:tblGrid>
      <w:tr w:rsidR="008B1757" w:rsidRPr="0098262F" w14:paraId="569F5103" w14:textId="77777777" w:rsidTr="004740FC">
        <w:trPr>
          <w:cantSplit/>
          <w:tblHeader/>
        </w:trPr>
        <w:tc>
          <w:tcPr>
            <w:tcW w:w="784" w:type="pct"/>
          </w:tcPr>
          <w:p w14:paraId="501803FB" w14:textId="77777777" w:rsidR="008B1757" w:rsidRPr="0098262F" w:rsidRDefault="008B1757" w:rsidP="00277381">
            <w:pPr>
              <w:pStyle w:val="TableFigureHeading"/>
              <w:rPr>
                <w:szCs w:val="20"/>
              </w:rPr>
            </w:pPr>
            <w:r w:rsidRPr="0098262F">
              <w:t>Component</w:t>
            </w:r>
          </w:p>
        </w:tc>
        <w:tc>
          <w:tcPr>
            <w:tcW w:w="4216" w:type="pct"/>
          </w:tcPr>
          <w:p w14:paraId="445D9EBB" w14:textId="77777777" w:rsidR="008B1757" w:rsidRPr="0098262F" w:rsidRDefault="008B1757" w:rsidP="00277381">
            <w:pPr>
              <w:pStyle w:val="TableFigureHeading"/>
            </w:pPr>
            <w:r w:rsidRPr="0098262F">
              <w:t>Description</w:t>
            </w:r>
          </w:p>
        </w:tc>
      </w:tr>
      <w:tr w:rsidR="004740FC" w:rsidRPr="0098262F" w14:paraId="2EB546E2" w14:textId="77777777" w:rsidTr="004740FC">
        <w:trPr>
          <w:cantSplit/>
        </w:trPr>
        <w:tc>
          <w:tcPr>
            <w:tcW w:w="784" w:type="pct"/>
          </w:tcPr>
          <w:p w14:paraId="38F3BB34" w14:textId="77777777" w:rsidR="004740FC" w:rsidRPr="00891695" w:rsidRDefault="004740FC" w:rsidP="00891695">
            <w:pPr>
              <w:pStyle w:val="TableText0"/>
            </w:pPr>
            <w:r w:rsidRPr="00891695">
              <w:t>Population</w:t>
            </w:r>
          </w:p>
        </w:tc>
        <w:tc>
          <w:tcPr>
            <w:tcW w:w="4216" w:type="pct"/>
          </w:tcPr>
          <w:p w14:paraId="79618EEE" w14:textId="2E6DAE5D" w:rsidR="004740FC" w:rsidRPr="00891695" w:rsidRDefault="004740FC" w:rsidP="00891695">
            <w:pPr>
              <w:pStyle w:val="TableText0"/>
            </w:pPr>
            <w:r w:rsidRPr="00891695">
              <w:t>Patients with resectable gastric or GOJ adenocarcinoma and eligible for neoadjuvant FLOT</w:t>
            </w:r>
          </w:p>
        </w:tc>
      </w:tr>
      <w:tr w:rsidR="004740FC" w:rsidRPr="0098262F" w14:paraId="0CA523AF" w14:textId="77777777" w:rsidTr="004740FC">
        <w:trPr>
          <w:cantSplit/>
        </w:trPr>
        <w:tc>
          <w:tcPr>
            <w:tcW w:w="784" w:type="pct"/>
          </w:tcPr>
          <w:p w14:paraId="7B6D20D8" w14:textId="77777777" w:rsidR="004740FC" w:rsidRPr="00891695" w:rsidRDefault="004740FC" w:rsidP="00891695">
            <w:pPr>
              <w:pStyle w:val="TableText0"/>
            </w:pPr>
            <w:r w:rsidRPr="00891695">
              <w:t>Intervention</w:t>
            </w:r>
          </w:p>
        </w:tc>
        <w:tc>
          <w:tcPr>
            <w:tcW w:w="4216" w:type="pct"/>
          </w:tcPr>
          <w:p w14:paraId="286FB22B" w14:textId="7897B81D" w:rsidR="004740FC" w:rsidRPr="00891695" w:rsidRDefault="004740FC" w:rsidP="00891695">
            <w:pPr>
              <w:pStyle w:val="TableText0"/>
            </w:pPr>
            <w:r w:rsidRPr="00891695">
              <w:t>Neoadjuvant: Durvalumab (1</w:t>
            </w:r>
            <w:r w:rsidR="003F13AD">
              <w:t>,</w:t>
            </w:r>
            <w:r w:rsidRPr="00891695">
              <w:t>500</w:t>
            </w:r>
            <w:r w:rsidR="003F13AD">
              <w:t xml:space="preserve"> </w:t>
            </w:r>
            <w:r w:rsidRPr="00891695">
              <w:t>mg IV Q4W) + FLOT for 2 cycles</w:t>
            </w:r>
          </w:p>
          <w:p w14:paraId="2491E905" w14:textId="6A1B7249" w:rsidR="004740FC" w:rsidRPr="00891695" w:rsidRDefault="004740FC" w:rsidP="00891695">
            <w:pPr>
              <w:pStyle w:val="TableText0"/>
            </w:pPr>
            <w:r w:rsidRPr="00891695">
              <w:t>Adjuvant: Durvalumab (1</w:t>
            </w:r>
            <w:r w:rsidR="003F13AD">
              <w:t>,</w:t>
            </w:r>
            <w:r w:rsidRPr="00891695">
              <w:t>500</w:t>
            </w:r>
            <w:r w:rsidR="003F13AD">
              <w:t xml:space="preserve"> </w:t>
            </w:r>
            <w:r w:rsidRPr="00891695">
              <w:t>mg IV Q4W) + FLOT for 2 cycles followed by durvalumab monotherapy (1</w:t>
            </w:r>
            <w:r w:rsidR="003F13AD">
              <w:t>,</w:t>
            </w:r>
            <w:r w:rsidRPr="00891695">
              <w:t>500</w:t>
            </w:r>
            <w:r w:rsidR="003F13AD">
              <w:t xml:space="preserve"> </w:t>
            </w:r>
            <w:r w:rsidRPr="00891695">
              <w:t xml:space="preserve">mg Q4W) for 10 cycles </w:t>
            </w:r>
          </w:p>
        </w:tc>
      </w:tr>
      <w:tr w:rsidR="004740FC" w:rsidRPr="0098262F" w14:paraId="0F81EBE4" w14:textId="77777777" w:rsidTr="004740FC">
        <w:trPr>
          <w:cantSplit/>
        </w:trPr>
        <w:tc>
          <w:tcPr>
            <w:tcW w:w="784" w:type="pct"/>
          </w:tcPr>
          <w:p w14:paraId="3656B343" w14:textId="77777777" w:rsidR="004740FC" w:rsidRPr="00891695" w:rsidRDefault="004740FC" w:rsidP="00891695">
            <w:pPr>
              <w:pStyle w:val="TableText0"/>
            </w:pPr>
            <w:r w:rsidRPr="00891695">
              <w:t>Comparator</w:t>
            </w:r>
          </w:p>
        </w:tc>
        <w:tc>
          <w:tcPr>
            <w:tcW w:w="4216" w:type="pct"/>
          </w:tcPr>
          <w:p w14:paraId="3727DE24" w14:textId="7587E3BC" w:rsidR="004740FC" w:rsidRPr="00891695" w:rsidRDefault="004740FC" w:rsidP="00891695">
            <w:pPr>
              <w:pStyle w:val="TableText0"/>
            </w:pPr>
            <w:r w:rsidRPr="00891695">
              <w:t xml:space="preserve">SOC </w:t>
            </w:r>
            <w:r w:rsidR="003F13AD">
              <w:t>–</w:t>
            </w:r>
            <w:r w:rsidRPr="00891695">
              <w:t xml:space="preserve"> neoadjuvant</w:t>
            </w:r>
            <w:r w:rsidR="00675F55">
              <w:noBreakHyphen/>
            </w:r>
            <w:r w:rsidRPr="00891695">
              <w:t xml:space="preserve">adjuvant FLOT regimen </w:t>
            </w:r>
            <w:r w:rsidRPr="00891695" w:rsidDel="00D6273D">
              <w:t>(FLOT4</w:t>
            </w:r>
            <w:r w:rsidRPr="00891695">
              <w:t>)</w:t>
            </w:r>
          </w:p>
        </w:tc>
      </w:tr>
      <w:tr w:rsidR="004740FC" w:rsidRPr="0098262F" w14:paraId="02F86F0D" w14:textId="77777777" w:rsidTr="004740FC">
        <w:trPr>
          <w:cantSplit/>
        </w:trPr>
        <w:tc>
          <w:tcPr>
            <w:tcW w:w="784" w:type="pct"/>
          </w:tcPr>
          <w:p w14:paraId="06433105" w14:textId="77777777" w:rsidR="004740FC" w:rsidRPr="00891695" w:rsidRDefault="004740FC" w:rsidP="00891695">
            <w:pPr>
              <w:pStyle w:val="TableText0"/>
            </w:pPr>
            <w:r w:rsidRPr="00891695">
              <w:t>Outcomes</w:t>
            </w:r>
          </w:p>
        </w:tc>
        <w:tc>
          <w:tcPr>
            <w:tcW w:w="4216" w:type="pct"/>
          </w:tcPr>
          <w:p w14:paraId="5ABC4037" w14:textId="01368F0D" w:rsidR="004740FC" w:rsidRPr="00891695" w:rsidRDefault="004740FC" w:rsidP="00891695">
            <w:pPr>
              <w:pStyle w:val="TableText0"/>
            </w:pPr>
            <w:r w:rsidRPr="00891695">
              <w:t>EFS</w:t>
            </w:r>
            <w:r w:rsidR="004058C8">
              <w:t>;</w:t>
            </w:r>
            <w:r w:rsidRPr="00891695">
              <w:t xml:space="preserve"> OS</w:t>
            </w:r>
            <w:r w:rsidRPr="00891695" w:rsidDel="00D6273D">
              <w:t xml:space="preserve">; </w:t>
            </w:r>
            <w:r w:rsidRPr="00891695">
              <w:t>pCR</w:t>
            </w:r>
            <w:r w:rsidRPr="00891695" w:rsidDel="00D6273D">
              <w:t xml:space="preserve">; </w:t>
            </w:r>
            <w:r w:rsidRPr="00891695">
              <w:t>Surgery rate</w:t>
            </w:r>
            <w:r w:rsidR="004058C8">
              <w:t>;</w:t>
            </w:r>
            <w:r w:rsidRPr="00891695">
              <w:t xml:space="preserve"> R0 resection rate</w:t>
            </w:r>
            <w:r w:rsidR="004058C8">
              <w:t>;</w:t>
            </w:r>
            <w:r w:rsidRPr="00891695" w:rsidDel="00D6273D">
              <w:t xml:space="preserve"> </w:t>
            </w:r>
            <w:r w:rsidRPr="00891695">
              <w:t>MFS</w:t>
            </w:r>
            <w:r w:rsidR="004058C8">
              <w:t>;</w:t>
            </w:r>
            <w:r w:rsidRPr="00891695" w:rsidDel="00D6273D">
              <w:t xml:space="preserve"> </w:t>
            </w:r>
            <w:r w:rsidRPr="00891695">
              <w:t>DSS; HRQoL</w:t>
            </w:r>
            <w:r w:rsidR="004058C8">
              <w:t>;</w:t>
            </w:r>
            <w:r w:rsidRPr="00891695">
              <w:t xml:space="preserve"> Safety </w:t>
            </w:r>
          </w:p>
        </w:tc>
      </w:tr>
      <w:tr w:rsidR="004740FC" w:rsidRPr="0098262F" w14:paraId="22223890" w14:textId="77777777" w:rsidTr="004740FC">
        <w:trPr>
          <w:cantSplit/>
        </w:trPr>
        <w:tc>
          <w:tcPr>
            <w:tcW w:w="784" w:type="pct"/>
          </w:tcPr>
          <w:p w14:paraId="0FC8FCE0" w14:textId="77777777" w:rsidR="004740FC" w:rsidRPr="00891695" w:rsidRDefault="004740FC" w:rsidP="00891695">
            <w:pPr>
              <w:pStyle w:val="TableText0"/>
            </w:pPr>
            <w:r w:rsidRPr="00891695">
              <w:t>Clinical claim</w:t>
            </w:r>
          </w:p>
        </w:tc>
        <w:tc>
          <w:tcPr>
            <w:tcW w:w="4216" w:type="pct"/>
          </w:tcPr>
          <w:p w14:paraId="2C99C4DE" w14:textId="39188F02" w:rsidR="004740FC" w:rsidRPr="00891695" w:rsidRDefault="004740FC" w:rsidP="00891695">
            <w:pPr>
              <w:pStyle w:val="TableText0"/>
            </w:pPr>
            <w:r w:rsidRPr="00891695">
              <w:t>Durvalumab + FLOT is superior in terms of efficacy and has an inferior but manageable safety profile compared with FLOT alone for the treatment of patients with gastric or GOJ adenocarcinoma</w:t>
            </w:r>
          </w:p>
        </w:tc>
      </w:tr>
    </w:tbl>
    <w:p w14:paraId="736133C2" w14:textId="090E237B" w:rsidR="001B5BF3" w:rsidRPr="00277381" w:rsidRDefault="001B5BF3" w:rsidP="00C1302F">
      <w:pPr>
        <w:pStyle w:val="TableFigureFooter"/>
      </w:pPr>
      <w:r w:rsidRPr="00277381">
        <w:t>Source: Table 1</w:t>
      </w:r>
      <w:r w:rsidR="00675F55">
        <w:noBreakHyphen/>
      </w:r>
      <w:r w:rsidRPr="00277381">
        <w:t>1 p 29 of the submission</w:t>
      </w:r>
    </w:p>
    <w:p w14:paraId="38C924DD" w14:textId="1C161427" w:rsidR="004740FC" w:rsidRPr="00277381" w:rsidRDefault="00415503" w:rsidP="00C1302F">
      <w:pPr>
        <w:pStyle w:val="TableFigureFooter"/>
      </w:pPr>
      <w:r w:rsidRPr="00277381">
        <w:t>DSS = disease</w:t>
      </w:r>
      <w:r w:rsidR="00675F55">
        <w:noBreakHyphen/>
      </w:r>
      <w:r w:rsidRPr="00277381">
        <w:t xml:space="preserve">specific survival; </w:t>
      </w:r>
      <w:r w:rsidR="00C87D35" w:rsidRPr="00277381">
        <w:t>EFS = event</w:t>
      </w:r>
      <w:r w:rsidR="00675F55">
        <w:noBreakHyphen/>
      </w:r>
      <w:r w:rsidR="00C87D35" w:rsidRPr="00277381">
        <w:t xml:space="preserve">free survival; </w:t>
      </w:r>
      <w:r w:rsidR="001B0266" w:rsidRPr="00277381">
        <w:t>FLOT = 5</w:t>
      </w:r>
      <w:r w:rsidR="00675F55">
        <w:noBreakHyphen/>
      </w:r>
      <w:r w:rsidR="001B0266" w:rsidRPr="00277381">
        <w:t xml:space="preserve">fluorouracil, leucovorin, oxaliplatin and docetaxel; </w:t>
      </w:r>
      <w:r w:rsidR="00020418" w:rsidRPr="00277381">
        <w:t>GOJ = gastroesophageal junction</w:t>
      </w:r>
      <w:r w:rsidR="001B0266" w:rsidRPr="00277381">
        <w:t xml:space="preserve">; </w:t>
      </w:r>
      <w:r w:rsidR="00B356B9" w:rsidRPr="00277381">
        <w:t>HRQoL = health</w:t>
      </w:r>
      <w:r w:rsidR="00675F55">
        <w:noBreakHyphen/>
      </w:r>
      <w:r w:rsidR="00B356B9" w:rsidRPr="00277381">
        <w:t xml:space="preserve">related quality of life; </w:t>
      </w:r>
      <w:r w:rsidR="001B0266" w:rsidRPr="00277381">
        <w:t xml:space="preserve">IV = intravenous; </w:t>
      </w:r>
      <w:r w:rsidR="008B6B1B" w:rsidRPr="00277381">
        <w:t>MFS = metastasis</w:t>
      </w:r>
      <w:r w:rsidR="00675F55">
        <w:noBreakHyphen/>
      </w:r>
      <w:r w:rsidR="008B6B1B" w:rsidRPr="00277381">
        <w:t xml:space="preserve">free survival; </w:t>
      </w:r>
      <w:r w:rsidR="00C87D35" w:rsidRPr="00277381">
        <w:t xml:space="preserve">OS = overall survival; </w:t>
      </w:r>
      <w:r w:rsidR="008B6B1B" w:rsidRPr="00277381">
        <w:t xml:space="preserve">pCR = pathological complete response; </w:t>
      </w:r>
      <w:r w:rsidR="001B0266" w:rsidRPr="00277381">
        <w:t>Q4W = every 4 weeks</w:t>
      </w:r>
      <w:r w:rsidR="00C87D35" w:rsidRPr="00277381">
        <w:t>; SOC = standard of care</w:t>
      </w:r>
      <w:r w:rsidR="00F63DC5" w:rsidRPr="00277381">
        <w:t>.</w:t>
      </w:r>
    </w:p>
    <w:p w14:paraId="6B4AB6C2" w14:textId="23C36288" w:rsidR="005C25FF" w:rsidRPr="000C225F" w:rsidRDefault="005C25FF" w:rsidP="00697651">
      <w:pPr>
        <w:pStyle w:val="Heading1"/>
        <w:spacing w:before="160" w:after="160"/>
      </w:pPr>
      <w:bookmarkStart w:id="2" w:name="_Toc219379960"/>
      <w:r w:rsidRPr="000C225F">
        <w:t>Background</w:t>
      </w:r>
      <w:bookmarkEnd w:id="2"/>
    </w:p>
    <w:p w14:paraId="2C521D6D" w14:textId="78CF03EE" w:rsidR="005C25FF" w:rsidRPr="0098262F" w:rsidRDefault="005C25FF" w:rsidP="00697651">
      <w:pPr>
        <w:pStyle w:val="4-SubsectionHeading"/>
        <w:spacing w:before="160" w:after="160"/>
      </w:pPr>
      <w:bookmarkStart w:id="3" w:name="_Toc22897638"/>
      <w:bookmarkStart w:id="4" w:name="_Toc219379961"/>
      <w:r w:rsidRPr="0098262F">
        <w:t>Registration status</w:t>
      </w:r>
      <w:bookmarkEnd w:id="3"/>
      <w:bookmarkEnd w:id="4"/>
    </w:p>
    <w:p w14:paraId="5416C83D" w14:textId="3C866C41" w:rsidR="006A6A81" w:rsidRPr="00EB26CB" w:rsidRDefault="005B1D80" w:rsidP="00697651">
      <w:pPr>
        <w:pStyle w:val="3-BodyText"/>
        <w:spacing w:before="160" w:after="160"/>
      </w:pPr>
      <w:r w:rsidRPr="00EB26CB">
        <w:t xml:space="preserve">Durvalumab for the treatment of G/GOJ adenocarcinoma was submitted </w:t>
      </w:r>
      <w:r w:rsidR="00FF52A8" w:rsidRPr="00EB26CB">
        <w:t xml:space="preserve">to </w:t>
      </w:r>
      <w:r w:rsidRPr="00EB26CB">
        <w:t xml:space="preserve">the TGA on 7 July 2025 with the proposed indication under priority review. The </w:t>
      </w:r>
      <w:r w:rsidR="00B557B7">
        <w:t>D</w:t>
      </w:r>
      <w:r w:rsidRPr="00EB26CB">
        <w:t xml:space="preserve">elegate’s </w:t>
      </w:r>
      <w:r w:rsidR="00B557B7">
        <w:t>O</w:t>
      </w:r>
      <w:r w:rsidRPr="00EB26CB">
        <w:t xml:space="preserve">verview </w:t>
      </w:r>
      <w:r w:rsidR="009C18EF" w:rsidRPr="00EB26CB">
        <w:t>wa</w:t>
      </w:r>
      <w:r w:rsidRPr="00EB26CB">
        <w:t xml:space="preserve">s </w:t>
      </w:r>
      <w:r w:rsidR="005F0FAF" w:rsidRPr="00EB26CB">
        <w:t>received prior to ESC consideration of durvalumab</w:t>
      </w:r>
      <w:r w:rsidRPr="00EB26CB">
        <w:t>.</w:t>
      </w:r>
      <w:r w:rsidR="005F0FAF" w:rsidRPr="00EB26CB">
        <w:t xml:space="preserve"> </w:t>
      </w:r>
      <w:r w:rsidR="00913D9F" w:rsidRPr="00EB26CB">
        <w:t xml:space="preserve">The </w:t>
      </w:r>
      <w:r w:rsidR="00FC35DE">
        <w:t>Australian TGA PI for durvalumab includes the following</w:t>
      </w:r>
      <w:r w:rsidR="006A6A81" w:rsidRPr="00EB26CB">
        <w:t xml:space="preserve"> indication:</w:t>
      </w:r>
    </w:p>
    <w:p w14:paraId="23C56118" w14:textId="0BF3DD0C" w:rsidR="005B1D80" w:rsidRPr="00EB26CB" w:rsidRDefault="006A6A81">
      <w:pPr>
        <w:pStyle w:val="3-BodyText"/>
        <w:numPr>
          <w:ilvl w:val="0"/>
          <w:numId w:val="0"/>
        </w:numPr>
        <w:spacing w:before="160" w:after="160"/>
        <w:ind w:left="720"/>
      </w:pPr>
      <w:r w:rsidRPr="00EB26CB">
        <w:lastRenderedPageBreak/>
        <w:t>“</w:t>
      </w:r>
      <w:r w:rsidR="00420DD1" w:rsidRPr="00EB26CB">
        <w:t>IMFINZI in combination with FLOT chemotherapy as neoadjuvant and adjuvant treatment, followed by adjuvant IMFINZI monotherapy, is indicated for the treatment of adult</w:t>
      </w:r>
      <w:r w:rsidR="00FC35DE">
        <w:t>s</w:t>
      </w:r>
      <w:r w:rsidR="00420DD1" w:rsidRPr="00EB26CB">
        <w:t xml:space="preserve"> with resectable gastric or gastroesophageal junction adenocarcinoma”.</w:t>
      </w:r>
      <w:r w:rsidR="005B1D80" w:rsidRPr="00EB26CB">
        <w:t xml:space="preserve"> </w:t>
      </w:r>
    </w:p>
    <w:p w14:paraId="76E4EF3C" w14:textId="086E5FA7" w:rsidR="00B60939" w:rsidRPr="0098262F" w:rsidRDefault="00B50DB8" w:rsidP="00697651">
      <w:pPr>
        <w:pStyle w:val="Heading1"/>
        <w:spacing w:before="160" w:after="160"/>
      </w:pPr>
      <w:bookmarkStart w:id="5" w:name="_Toc107902078"/>
      <w:bookmarkStart w:id="6" w:name="_Toc219379962"/>
      <w:bookmarkEnd w:id="5"/>
      <w:r w:rsidRPr="0098262F">
        <w:lastRenderedPageBreak/>
        <w:t>Requested listing</w:t>
      </w:r>
      <w:bookmarkEnd w:id="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114"/>
        <w:gridCol w:w="1771"/>
        <w:gridCol w:w="1773"/>
        <w:gridCol w:w="1275"/>
        <w:gridCol w:w="1086"/>
      </w:tblGrid>
      <w:tr w:rsidR="003B0D06" w:rsidRPr="0086661E" w14:paraId="7DD60349" w14:textId="77777777" w:rsidTr="00371101">
        <w:trPr>
          <w:cantSplit/>
          <w:trHeight w:val="227"/>
          <w:tblHeader/>
        </w:trPr>
        <w:tc>
          <w:tcPr>
            <w:tcW w:w="1726" w:type="pct"/>
            <w:vMerge w:val="restart"/>
            <w:vAlign w:val="center"/>
          </w:tcPr>
          <w:p w14:paraId="34175ED4" w14:textId="77777777" w:rsidR="003B0D06" w:rsidRPr="0086661E" w:rsidRDefault="003B0D06" w:rsidP="00D40028">
            <w:pPr>
              <w:pStyle w:val="TableFigureHeading"/>
            </w:pPr>
            <w:r w:rsidRPr="0086661E">
              <w:t>Medicinal product</w:t>
            </w:r>
          </w:p>
        </w:tc>
        <w:tc>
          <w:tcPr>
            <w:tcW w:w="1965" w:type="pct"/>
            <w:gridSpan w:val="2"/>
            <w:vAlign w:val="center"/>
          </w:tcPr>
          <w:p w14:paraId="7F9DAA07" w14:textId="77777777" w:rsidR="003B0D06" w:rsidRPr="0086661E" w:rsidRDefault="003B0D06" w:rsidP="00D40028">
            <w:pPr>
              <w:pStyle w:val="TableFigureHeading"/>
            </w:pPr>
            <w:r w:rsidRPr="0086661E">
              <w:t>DPMA, published (effective)</w:t>
            </w:r>
          </w:p>
        </w:tc>
        <w:tc>
          <w:tcPr>
            <w:tcW w:w="707" w:type="pct"/>
            <w:vMerge w:val="restart"/>
            <w:vAlign w:val="center"/>
          </w:tcPr>
          <w:p w14:paraId="5E90C587" w14:textId="77777777" w:rsidR="003B0D06" w:rsidRPr="0086661E" w:rsidRDefault="003B0D06" w:rsidP="00D40028">
            <w:pPr>
              <w:pStyle w:val="TableFigureHeading"/>
            </w:pPr>
            <w:r w:rsidRPr="0086661E">
              <w:t>Max. Amount</w:t>
            </w:r>
          </w:p>
        </w:tc>
        <w:tc>
          <w:tcPr>
            <w:tcW w:w="602" w:type="pct"/>
            <w:vMerge w:val="restart"/>
            <w:vAlign w:val="center"/>
          </w:tcPr>
          <w:p w14:paraId="72F6B6F6" w14:textId="77777777" w:rsidR="003B0D06" w:rsidRPr="0086661E" w:rsidRDefault="003B0D06" w:rsidP="00D40028">
            <w:pPr>
              <w:pStyle w:val="TableFigureHeading"/>
            </w:pPr>
            <w:r w:rsidRPr="0086661E">
              <w:t>№. of Rpts</w:t>
            </w:r>
          </w:p>
        </w:tc>
      </w:tr>
      <w:tr w:rsidR="003B0D06" w:rsidRPr="0086661E" w14:paraId="79BFE697" w14:textId="77777777" w:rsidTr="00371101">
        <w:trPr>
          <w:cantSplit/>
          <w:trHeight w:val="227"/>
          <w:tblHeader/>
        </w:trPr>
        <w:tc>
          <w:tcPr>
            <w:tcW w:w="1726" w:type="pct"/>
            <w:vMerge/>
            <w:vAlign w:val="center"/>
          </w:tcPr>
          <w:p w14:paraId="1648F48B" w14:textId="77777777" w:rsidR="003B0D06" w:rsidRPr="0086661E" w:rsidRDefault="003B0D06" w:rsidP="00D40028">
            <w:pPr>
              <w:pStyle w:val="TableFigureHeading"/>
            </w:pPr>
          </w:p>
        </w:tc>
        <w:tc>
          <w:tcPr>
            <w:tcW w:w="982" w:type="pct"/>
            <w:vAlign w:val="center"/>
          </w:tcPr>
          <w:p w14:paraId="07DA3711" w14:textId="77777777" w:rsidR="003B0D06" w:rsidRPr="0086661E" w:rsidRDefault="003B0D06" w:rsidP="00D40028">
            <w:pPr>
              <w:pStyle w:val="TableFigureHeading"/>
            </w:pPr>
            <w:r w:rsidRPr="0086661E">
              <w:t>Public hospital</w:t>
            </w:r>
          </w:p>
        </w:tc>
        <w:tc>
          <w:tcPr>
            <w:tcW w:w="983" w:type="pct"/>
            <w:vAlign w:val="center"/>
          </w:tcPr>
          <w:p w14:paraId="597F2DFD" w14:textId="77777777" w:rsidR="003B0D06" w:rsidRPr="0086661E" w:rsidRDefault="003B0D06" w:rsidP="00D40028">
            <w:pPr>
              <w:pStyle w:val="TableFigureHeading"/>
            </w:pPr>
            <w:r w:rsidRPr="0086661E">
              <w:t>Private hospital</w:t>
            </w:r>
          </w:p>
        </w:tc>
        <w:tc>
          <w:tcPr>
            <w:tcW w:w="707" w:type="pct"/>
            <w:vMerge/>
            <w:vAlign w:val="center"/>
          </w:tcPr>
          <w:p w14:paraId="7F142031" w14:textId="77777777" w:rsidR="003B0D06" w:rsidRPr="0086661E" w:rsidRDefault="003B0D06" w:rsidP="00D40028">
            <w:pPr>
              <w:pStyle w:val="TableFigureHeading"/>
            </w:pPr>
          </w:p>
        </w:tc>
        <w:tc>
          <w:tcPr>
            <w:tcW w:w="602" w:type="pct"/>
            <w:vMerge/>
            <w:vAlign w:val="center"/>
          </w:tcPr>
          <w:p w14:paraId="4223FD79" w14:textId="77777777" w:rsidR="003B0D06" w:rsidRPr="0086661E" w:rsidRDefault="003B0D06" w:rsidP="00D40028">
            <w:pPr>
              <w:pStyle w:val="TableFigureHeading"/>
            </w:pPr>
          </w:p>
        </w:tc>
      </w:tr>
      <w:tr w:rsidR="003B0D06" w:rsidRPr="0086661E" w14:paraId="7EA5D29C" w14:textId="77777777" w:rsidTr="00371101">
        <w:trPr>
          <w:cantSplit/>
          <w:trHeight w:val="227"/>
        </w:trPr>
        <w:tc>
          <w:tcPr>
            <w:tcW w:w="1726" w:type="pct"/>
            <w:vAlign w:val="center"/>
          </w:tcPr>
          <w:p w14:paraId="51FE34AD" w14:textId="4A394AC3" w:rsidR="003B0D06" w:rsidRPr="0086661E" w:rsidRDefault="00BF004D" w:rsidP="00037282">
            <w:pPr>
              <w:pStyle w:val="Tabletext"/>
              <w:keepNext/>
              <w:keepLines/>
            </w:pPr>
            <w:r w:rsidRPr="0086661E">
              <w:t>Initial treatment</w:t>
            </w:r>
          </w:p>
        </w:tc>
        <w:tc>
          <w:tcPr>
            <w:tcW w:w="982" w:type="pct"/>
          </w:tcPr>
          <w:p w14:paraId="2037BA93" w14:textId="77777777" w:rsidR="003B0D06" w:rsidRPr="0086661E" w:rsidRDefault="003B0D06" w:rsidP="00037282">
            <w:pPr>
              <w:pStyle w:val="Tabletext"/>
              <w:keepNext/>
              <w:keepLines/>
              <w:jc w:val="center"/>
            </w:pPr>
          </w:p>
        </w:tc>
        <w:tc>
          <w:tcPr>
            <w:tcW w:w="983" w:type="pct"/>
          </w:tcPr>
          <w:p w14:paraId="14FD5832" w14:textId="77777777" w:rsidR="003B0D06" w:rsidRPr="0086661E" w:rsidRDefault="003B0D06" w:rsidP="00037282">
            <w:pPr>
              <w:pStyle w:val="Tabletext"/>
              <w:keepNext/>
              <w:keepLines/>
              <w:jc w:val="center"/>
            </w:pPr>
          </w:p>
        </w:tc>
        <w:tc>
          <w:tcPr>
            <w:tcW w:w="707" w:type="pct"/>
            <w:vAlign w:val="center"/>
          </w:tcPr>
          <w:p w14:paraId="562D31E2" w14:textId="77777777" w:rsidR="003B0D06" w:rsidRPr="0086661E" w:rsidRDefault="003B0D06" w:rsidP="00037282">
            <w:pPr>
              <w:pStyle w:val="Tabletext"/>
              <w:keepNext/>
              <w:keepLines/>
              <w:jc w:val="center"/>
            </w:pPr>
          </w:p>
        </w:tc>
        <w:tc>
          <w:tcPr>
            <w:tcW w:w="602" w:type="pct"/>
            <w:vAlign w:val="center"/>
          </w:tcPr>
          <w:p w14:paraId="1EDF7C07" w14:textId="77777777" w:rsidR="003B0D06" w:rsidRPr="0086661E" w:rsidRDefault="003B0D06" w:rsidP="00037282">
            <w:pPr>
              <w:pStyle w:val="Tabletext"/>
              <w:keepNext/>
              <w:keepLines/>
              <w:jc w:val="center"/>
            </w:pPr>
          </w:p>
        </w:tc>
      </w:tr>
      <w:tr w:rsidR="003B0D06" w:rsidRPr="0086661E" w14:paraId="16C4C111" w14:textId="77777777" w:rsidTr="00371101">
        <w:trPr>
          <w:cantSplit/>
          <w:trHeight w:val="227"/>
        </w:trPr>
        <w:tc>
          <w:tcPr>
            <w:tcW w:w="1726" w:type="pct"/>
            <w:vAlign w:val="center"/>
          </w:tcPr>
          <w:p w14:paraId="3A8DA21C" w14:textId="77777777" w:rsidR="003B0D06" w:rsidRPr="0086661E" w:rsidRDefault="003B0D06" w:rsidP="00037282">
            <w:pPr>
              <w:pStyle w:val="Tabletext"/>
              <w:keepNext/>
              <w:keepLines/>
            </w:pPr>
            <w:r w:rsidRPr="0086661E">
              <w:t>Durvalumab 500 mg/10 mL; 10 mL vial</w:t>
            </w:r>
          </w:p>
        </w:tc>
        <w:tc>
          <w:tcPr>
            <w:tcW w:w="982" w:type="pct"/>
          </w:tcPr>
          <w:p w14:paraId="6690D453" w14:textId="035D835C" w:rsidR="003B0D06" w:rsidRPr="0086661E" w:rsidRDefault="003B0D06" w:rsidP="00037282">
            <w:pPr>
              <w:pStyle w:val="Tabletext"/>
              <w:keepNext/>
              <w:keepLines/>
              <w:jc w:val="center"/>
            </w:pPr>
            <w:r w:rsidRPr="0086661E">
              <w:t xml:space="preserve">$10,853.55 </w:t>
            </w:r>
            <w:r w:rsidR="000B3B79" w:rsidRPr="0086661E">
              <w:br/>
            </w:r>
            <w:r w:rsidRPr="0086661E">
              <w:t>[$</w:t>
            </w:r>
            <w:r w:rsidR="00EB1862" w:rsidRPr="00EB1862">
              <w:rPr>
                <w:sz w:val="2"/>
                <w:highlight w:val="black"/>
              </w:rPr>
              <w:t>redacted content</w:t>
            </w:r>
            <w:r w:rsidRPr="0086661E">
              <w:t xml:space="preserve"> with SPA]</w:t>
            </w:r>
          </w:p>
        </w:tc>
        <w:tc>
          <w:tcPr>
            <w:tcW w:w="983" w:type="pct"/>
          </w:tcPr>
          <w:p w14:paraId="5D2E7148" w14:textId="4A795155" w:rsidR="003B0D06" w:rsidRPr="0086661E" w:rsidRDefault="003B0D06" w:rsidP="00037282">
            <w:pPr>
              <w:pStyle w:val="Tabletext"/>
              <w:keepNext/>
              <w:keepLines/>
              <w:jc w:val="center"/>
              <w:rPr>
                <w:bCs/>
              </w:rPr>
            </w:pPr>
            <w:r w:rsidRPr="0086661E">
              <w:t xml:space="preserve">$11,049.89 </w:t>
            </w:r>
            <w:r w:rsidR="000B3B79" w:rsidRPr="0086661E">
              <w:br/>
            </w:r>
            <w:r w:rsidRPr="0086661E">
              <w:t>[$</w:t>
            </w:r>
            <w:r w:rsidR="00EB1862" w:rsidRPr="00EB1862">
              <w:rPr>
                <w:sz w:val="2"/>
                <w:highlight w:val="black"/>
              </w:rPr>
              <w:t>redacted content</w:t>
            </w:r>
            <w:r w:rsidR="007D57F2" w:rsidRPr="0086661E">
              <w:t xml:space="preserve"> </w:t>
            </w:r>
            <w:r w:rsidRPr="0086661E">
              <w:t>with SPA]</w:t>
            </w:r>
          </w:p>
        </w:tc>
        <w:tc>
          <w:tcPr>
            <w:tcW w:w="707" w:type="pct"/>
            <w:vMerge w:val="restart"/>
            <w:vAlign w:val="center"/>
          </w:tcPr>
          <w:p w14:paraId="59BCBE08" w14:textId="12D76D52" w:rsidR="003B0D06" w:rsidRPr="0086661E" w:rsidRDefault="003B0D06" w:rsidP="00037282">
            <w:pPr>
              <w:pStyle w:val="Tabletext"/>
              <w:keepNext/>
              <w:keepLines/>
              <w:jc w:val="center"/>
            </w:pPr>
            <w:r w:rsidRPr="0086661E">
              <w:t>1,500</w:t>
            </w:r>
            <w:r w:rsidR="00E3015D" w:rsidRPr="0086661E">
              <w:t xml:space="preserve"> </w:t>
            </w:r>
            <w:r w:rsidRPr="0086661E">
              <w:t>mg</w:t>
            </w:r>
          </w:p>
        </w:tc>
        <w:tc>
          <w:tcPr>
            <w:tcW w:w="602" w:type="pct"/>
            <w:vMerge w:val="restart"/>
            <w:vAlign w:val="center"/>
          </w:tcPr>
          <w:p w14:paraId="38D321CE" w14:textId="77777777" w:rsidR="003B0D06" w:rsidRPr="0086661E" w:rsidRDefault="003B0D06" w:rsidP="00037282">
            <w:pPr>
              <w:pStyle w:val="Tabletext"/>
              <w:keepNext/>
              <w:keepLines/>
              <w:jc w:val="center"/>
            </w:pPr>
            <w:r w:rsidRPr="0086661E">
              <w:t>1</w:t>
            </w:r>
          </w:p>
        </w:tc>
      </w:tr>
      <w:tr w:rsidR="003B0D06" w:rsidRPr="0086661E" w14:paraId="0BD86D9F" w14:textId="77777777" w:rsidTr="00371101">
        <w:trPr>
          <w:cantSplit/>
          <w:trHeight w:val="227"/>
        </w:trPr>
        <w:tc>
          <w:tcPr>
            <w:tcW w:w="1726" w:type="pct"/>
            <w:vAlign w:val="center"/>
          </w:tcPr>
          <w:p w14:paraId="152F6BDD" w14:textId="77777777" w:rsidR="003B0D06" w:rsidRPr="0086661E" w:rsidRDefault="003B0D06" w:rsidP="00037282">
            <w:pPr>
              <w:pStyle w:val="Tabletext"/>
              <w:keepNext/>
              <w:keepLines/>
            </w:pPr>
            <w:r w:rsidRPr="0086661E">
              <w:t>Durvalumab 120 mg/2.4 mL; 10 mL vial</w:t>
            </w:r>
          </w:p>
        </w:tc>
        <w:tc>
          <w:tcPr>
            <w:tcW w:w="982" w:type="pct"/>
          </w:tcPr>
          <w:p w14:paraId="5749CA16" w14:textId="3B941B2F" w:rsidR="003B0D06" w:rsidRPr="0086661E" w:rsidRDefault="003B0D06" w:rsidP="00037282">
            <w:pPr>
              <w:pStyle w:val="Tabletext"/>
              <w:keepNext/>
              <w:keepLines/>
              <w:jc w:val="center"/>
            </w:pPr>
            <w:r w:rsidRPr="0086661E">
              <w:t xml:space="preserve">$10,853.55 </w:t>
            </w:r>
            <w:r w:rsidR="00BA23FD" w:rsidRPr="0086661E">
              <w:br/>
            </w:r>
            <w:r w:rsidRPr="0086661E">
              <w:t>[$</w:t>
            </w:r>
            <w:r w:rsidR="00EB1862" w:rsidRPr="00EB1862">
              <w:rPr>
                <w:sz w:val="2"/>
                <w:highlight w:val="black"/>
              </w:rPr>
              <w:t>redacted content</w:t>
            </w:r>
            <w:r w:rsidRPr="0086661E">
              <w:t xml:space="preserve"> with SPA]</w:t>
            </w:r>
          </w:p>
        </w:tc>
        <w:tc>
          <w:tcPr>
            <w:tcW w:w="983" w:type="pct"/>
          </w:tcPr>
          <w:p w14:paraId="44DA8ECD" w14:textId="2A3D60E3" w:rsidR="003B0D06" w:rsidRPr="0086661E" w:rsidRDefault="003B0D06" w:rsidP="00037282">
            <w:pPr>
              <w:pStyle w:val="Tabletext"/>
              <w:keepNext/>
              <w:keepLines/>
              <w:jc w:val="center"/>
            </w:pPr>
            <w:r w:rsidRPr="0086661E">
              <w:t>$11,049.</w:t>
            </w:r>
            <w:r w:rsidRPr="0086661E" w:rsidDel="009566DA">
              <w:t xml:space="preserve">89 </w:t>
            </w:r>
            <w:r w:rsidR="00BA23FD" w:rsidRPr="0086661E">
              <w:br/>
            </w:r>
            <w:r w:rsidRPr="0086661E">
              <w:t>[$</w:t>
            </w:r>
            <w:r w:rsidR="00EB1862" w:rsidRPr="00EB1862">
              <w:rPr>
                <w:sz w:val="2"/>
                <w:highlight w:val="black"/>
              </w:rPr>
              <w:t>redacted content</w:t>
            </w:r>
            <w:r w:rsidRPr="0086661E">
              <w:t xml:space="preserve"> with SPA]</w:t>
            </w:r>
          </w:p>
        </w:tc>
        <w:tc>
          <w:tcPr>
            <w:tcW w:w="707" w:type="pct"/>
            <w:vMerge/>
            <w:vAlign w:val="center"/>
          </w:tcPr>
          <w:p w14:paraId="0FA51C07" w14:textId="77777777" w:rsidR="003B0D06" w:rsidRPr="0086661E" w:rsidRDefault="003B0D06" w:rsidP="00037282">
            <w:pPr>
              <w:pStyle w:val="Tabletext"/>
              <w:keepNext/>
              <w:keepLines/>
              <w:jc w:val="center"/>
            </w:pPr>
          </w:p>
        </w:tc>
        <w:tc>
          <w:tcPr>
            <w:tcW w:w="602" w:type="pct"/>
            <w:vMerge/>
            <w:vAlign w:val="center"/>
          </w:tcPr>
          <w:p w14:paraId="4C30EBF2" w14:textId="77777777" w:rsidR="003B0D06" w:rsidRPr="0086661E" w:rsidRDefault="003B0D06" w:rsidP="00037282">
            <w:pPr>
              <w:pStyle w:val="Tabletext"/>
              <w:keepNext/>
              <w:keepLines/>
              <w:jc w:val="center"/>
            </w:pPr>
          </w:p>
        </w:tc>
      </w:tr>
      <w:tr w:rsidR="003B0D06" w:rsidRPr="0086661E" w14:paraId="373C47C4" w14:textId="77777777" w:rsidTr="00371101">
        <w:trPr>
          <w:cantSplit/>
          <w:trHeight w:val="227"/>
        </w:trPr>
        <w:tc>
          <w:tcPr>
            <w:tcW w:w="1726" w:type="pct"/>
            <w:vAlign w:val="center"/>
          </w:tcPr>
          <w:p w14:paraId="08F223EA" w14:textId="0F4F85BE" w:rsidR="003B0D06" w:rsidRPr="0086661E" w:rsidRDefault="003B0D06" w:rsidP="00037282">
            <w:pPr>
              <w:pStyle w:val="Tabletext"/>
              <w:keepNext/>
              <w:keepLines/>
            </w:pPr>
            <w:r w:rsidRPr="0086661E">
              <w:t>Continuing</w:t>
            </w:r>
            <w:r w:rsidR="00BF004D" w:rsidRPr="0086661E">
              <w:t xml:space="preserve"> treatment</w:t>
            </w:r>
          </w:p>
        </w:tc>
        <w:tc>
          <w:tcPr>
            <w:tcW w:w="982" w:type="pct"/>
          </w:tcPr>
          <w:p w14:paraId="4C586F7F" w14:textId="77777777" w:rsidR="003B0D06" w:rsidRPr="0086661E" w:rsidRDefault="003B0D06" w:rsidP="00037282">
            <w:pPr>
              <w:pStyle w:val="Tabletext"/>
              <w:keepNext/>
              <w:keepLines/>
              <w:jc w:val="center"/>
            </w:pPr>
          </w:p>
        </w:tc>
        <w:tc>
          <w:tcPr>
            <w:tcW w:w="983" w:type="pct"/>
          </w:tcPr>
          <w:p w14:paraId="77BA2A68" w14:textId="77777777" w:rsidR="003B0D06" w:rsidRPr="0086661E" w:rsidRDefault="003B0D06" w:rsidP="00037282">
            <w:pPr>
              <w:pStyle w:val="Tabletext"/>
              <w:keepNext/>
              <w:keepLines/>
              <w:jc w:val="center"/>
            </w:pPr>
          </w:p>
        </w:tc>
        <w:tc>
          <w:tcPr>
            <w:tcW w:w="707" w:type="pct"/>
            <w:vAlign w:val="center"/>
          </w:tcPr>
          <w:p w14:paraId="3BF9DEBA" w14:textId="77777777" w:rsidR="003B0D06" w:rsidRPr="0086661E" w:rsidRDefault="003B0D06" w:rsidP="00037282">
            <w:pPr>
              <w:pStyle w:val="Tabletext"/>
              <w:keepNext/>
              <w:keepLines/>
              <w:jc w:val="center"/>
            </w:pPr>
          </w:p>
        </w:tc>
        <w:tc>
          <w:tcPr>
            <w:tcW w:w="602" w:type="pct"/>
            <w:vAlign w:val="center"/>
          </w:tcPr>
          <w:p w14:paraId="7BE264A7" w14:textId="77777777" w:rsidR="003B0D06" w:rsidRPr="0086661E" w:rsidRDefault="003B0D06" w:rsidP="00037282">
            <w:pPr>
              <w:pStyle w:val="Tabletext"/>
              <w:keepNext/>
              <w:keepLines/>
              <w:jc w:val="center"/>
            </w:pPr>
          </w:p>
        </w:tc>
      </w:tr>
      <w:tr w:rsidR="003B0D06" w:rsidRPr="0086661E" w14:paraId="6ABCB0A2" w14:textId="77777777" w:rsidTr="00371101">
        <w:trPr>
          <w:cantSplit/>
          <w:trHeight w:val="227"/>
        </w:trPr>
        <w:tc>
          <w:tcPr>
            <w:tcW w:w="1726" w:type="pct"/>
            <w:vAlign w:val="center"/>
          </w:tcPr>
          <w:p w14:paraId="1E99EFAA" w14:textId="77777777" w:rsidR="003B0D06" w:rsidRPr="0086661E" w:rsidRDefault="003B0D06" w:rsidP="00037282">
            <w:pPr>
              <w:pStyle w:val="Tabletext"/>
              <w:keepNext/>
              <w:keepLines/>
            </w:pPr>
            <w:r w:rsidRPr="0086661E">
              <w:t>Durvalumab 500 mg/10 mL; 10 mL vial</w:t>
            </w:r>
          </w:p>
        </w:tc>
        <w:tc>
          <w:tcPr>
            <w:tcW w:w="982" w:type="pct"/>
          </w:tcPr>
          <w:p w14:paraId="128C0ED9" w14:textId="0851DCF6" w:rsidR="003B0D06" w:rsidRPr="0086661E" w:rsidRDefault="003B0D06" w:rsidP="00037282">
            <w:pPr>
              <w:pStyle w:val="Tabletext"/>
              <w:keepNext/>
              <w:keepLines/>
              <w:jc w:val="center"/>
            </w:pPr>
            <w:r w:rsidRPr="0086661E">
              <w:t xml:space="preserve">$10,853.55 </w:t>
            </w:r>
            <w:r w:rsidR="00BA23FD" w:rsidRPr="0086661E">
              <w:br/>
            </w:r>
            <w:r w:rsidRPr="0086661E">
              <w:t>[$</w:t>
            </w:r>
            <w:r w:rsidR="00EB1862" w:rsidRPr="00EB1862">
              <w:rPr>
                <w:sz w:val="2"/>
                <w:highlight w:val="black"/>
              </w:rPr>
              <w:t>redacted content</w:t>
            </w:r>
            <w:r w:rsidRPr="0086661E">
              <w:t xml:space="preserve"> with SPA]</w:t>
            </w:r>
          </w:p>
        </w:tc>
        <w:tc>
          <w:tcPr>
            <w:tcW w:w="983" w:type="pct"/>
          </w:tcPr>
          <w:p w14:paraId="22225641" w14:textId="757F2246" w:rsidR="003B0D06" w:rsidRPr="0086661E" w:rsidRDefault="003B0D06" w:rsidP="00037282">
            <w:pPr>
              <w:pStyle w:val="Tabletext"/>
              <w:keepNext/>
              <w:keepLines/>
              <w:jc w:val="center"/>
              <w:rPr>
                <w:bCs/>
              </w:rPr>
            </w:pPr>
            <w:r w:rsidRPr="0086661E">
              <w:t xml:space="preserve">$11,049.89 </w:t>
            </w:r>
            <w:r w:rsidR="00BA23FD" w:rsidRPr="0086661E">
              <w:br/>
            </w:r>
            <w:r w:rsidRPr="0086661E">
              <w:t>[$</w:t>
            </w:r>
            <w:r w:rsidR="00EB1862" w:rsidRPr="00EB1862">
              <w:rPr>
                <w:sz w:val="2"/>
                <w:highlight w:val="black"/>
              </w:rPr>
              <w:t>redacted content</w:t>
            </w:r>
            <w:r w:rsidRPr="0086661E">
              <w:t xml:space="preserve"> with SPA]</w:t>
            </w:r>
          </w:p>
        </w:tc>
        <w:tc>
          <w:tcPr>
            <w:tcW w:w="707" w:type="pct"/>
            <w:vMerge w:val="restart"/>
            <w:vAlign w:val="center"/>
          </w:tcPr>
          <w:p w14:paraId="1A53B0AA" w14:textId="34D963D3" w:rsidR="003B0D06" w:rsidRPr="0086661E" w:rsidRDefault="003B0D06" w:rsidP="00037282">
            <w:pPr>
              <w:pStyle w:val="Tabletext"/>
              <w:keepNext/>
              <w:keepLines/>
              <w:jc w:val="center"/>
            </w:pPr>
            <w:r w:rsidRPr="0086661E">
              <w:t>1,500</w:t>
            </w:r>
            <w:r w:rsidR="00E3015D" w:rsidRPr="0086661E">
              <w:t xml:space="preserve"> </w:t>
            </w:r>
            <w:r w:rsidRPr="0086661E">
              <w:t>mg</w:t>
            </w:r>
          </w:p>
        </w:tc>
        <w:tc>
          <w:tcPr>
            <w:tcW w:w="602" w:type="pct"/>
            <w:vMerge w:val="restart"/>
            <w:vAlign w:val="center"/>
          </w:tcPr>
          <w:p w14:paraId="17AD3450" w14:textId="77777777" w:rsidR="003B0D06" w:rsidRPr="0086661E" w:rsidRDefault="003B0D06" w:rsidP="00037282">
            <w:pPr>
              <w:pStyle w:val="Tabletext"/>
              <w:keepNext/>
              <w:keepLines/>
              <w:jc w:val="center"/>
            </w:pPr>
            <w:r w:rsidRPr="0086661E">
              <w:t>11</w:t>
            </w:r>
          </w:p>
        </w:tc>
      </w:tr>
      <w:tr w:rsidR="003B0D06" w:rsidRPr="0086661E" w14:paraId="2E4E6D68" w14:textId="77777777" w:rsidTr="00371101">
        <w:trPr>
          <w:cantSplit/>
          <w:trHeight w:val="227"/>
        </w:trPr>
        <w:tc>
          <w:tcPr>
            <w:tcW w:w="1726" w:type="pct"/>
            <w:vAlign w:val="center"/>
          </w:tcPr>
          <w:p w14:paraId="63D1334E" w14:textId="77777777" w:rsidR="003B0D06" w:rsidRPr="0086661E" w:rsidRDefault="003B0D06" w:rsidP="00037282">
            <w:pPr>
              <w:pStyle w:val="Tabletext"/>
              <w:keepNext/>
              <w:keepLines/>
            </w:pPr>
            <w:r w:rsidRPr="0086661E">
              <w:t>Durvalumab 120 mg/2.4 mL; 10 mL vial</w:t>
            </w:r>
          </w:p>
        </w:tc>
        <w:tc>
          <w:tcPr>
            <w:tcW w:w="982" w:type="pct"/>
          </w:tcPr>
          <w:p w14:paraId="6BAA2C39" w14:textId="674D1472" w:rsidR="003B0D06" w:rsidRPr="0086661E" w:rsidRDefault="003B0D06" w:rsidP="00037282">
            <w:pPr>
              <w:pStyle w:val="Tabletext"/>
              <w:keepNext/>
              <w:keepLines/>
              <w:jc w:val="center"/>
            </w:pPr>
            <w:r w:rsidRPr="0086661E">
              <w:t xml:space="preserve">$10,853.55 </w:t>
            </w:r>
            <w:r w:rsidR="00BA23FD" w:rsidRPr="0086661E">
              <w:br/>
            </w:r>
            <w:r w:rsidRPr="0086661E">
              <w:t>[$</w:t>
            </w:r>
            <w:r w:rsidR="00EB1862" w:rsidRPr="00EB1862">
              <w:rPr>
                <w:sz w:val="2"/>
                <w:highlight w:val="black"/>
              </w:rPr>
              <w:t>redacted content</w:t>
            </w:r>
            <w:r w:rsidRPr="0086661E">
              <w:t xml:space="preserve"> with SPA]</w:t>
            </w:r>
          </w:p>
        </w:tc>
        <w:tc>
          <w:tcPr>
            <w:tcW w:w="983" w:type="pct"/>
          </w:tcPr>
          <w:p w14:paraId="7A6F6E54" w14:textId="5856D827" w:rsidR="003B0D06" w:rsidRPr="0086661E" w:rsidRDefault="003B0D06" w:rsidP="00037282">
            <w:pPr>
              <w:pStyle w:val="Tabletext"/>
              <w:keepNext/>
              <w:keepLines/>
              <w:jc w:val="center"/>
            </w:pPr>
            <w:r w:rsidRPr="0086661E">
              <w:t>$11,049.</w:t>
            </w:r>
            <w:r w:rsidRPr="0086661E" w:rsidDel="009566DA">
              <w:t xml:space="preserve">89 </w:t>
            </w:r>
            <w:r w:rsidR="00BA23FD" w:rsidRPr="0086661E">
              <w:br/>
            </w:r>
            <w:r w:rsidRPr="0086661E">
              <w:t>[$</w:t>
            </w:r>
            <w:r w:rsidR="00EB1862" w:rsidRPr="00EB1862">
              <w:rPr>
                <w:sz w:val="2"/>
                <w:highlight w:val="black"/>
              </w:rPr>
              <w:t>redacted content</w:t>
            </w:r>
            <w:r w:rsidRPr="0086661E">
              <w:t xml:space="preserve"> with SPA]</w:t>
            </w:r>
          </w:p>
        </w:tc>
        <w:tc>
          <w:tcPr>
            <w:tcW w:w="707" w:type="pct"/>
            <w:vMerge/>
            <w:vAlign w:val="center"/>
          </w:tcPr>
          <w:p w14:paraId="1FE894D0" w14:textId="77777777" w:rsidR="003B0D06" w:rsidRPr="0086661E" w:rsidRDefault="003B0D06">
            <w:pPr>
              <w:pStyle w:val="TableText0"/>
            </w:pPr>
          </w:p>
        </w:tc>
        <w:tc>
          <w:tcPr>
            <w:tcW w:w="602" w:type="pct"/>
            <w:vMerge/>
            <w:vAlign w:val="center"/>
          </w:tcPr>
          <w:p w14:paraId="38A1B2A0" w14:textId="77777777" w:rsidR="003B0D06" w:rsidRPr="0086661E" w:rsidRDefault="003B0D06">
            <w:pPr>
              <w:pStyle w:val="TableText0"/>
            </w:pPr>
          </w:p>
        </w:tc>
      </w:tr>
      <w:tr w:rsidR="003B0D06" w:rsidRPr="0086661E" w14:paraId="3FF464F9" w14:textId="77777777" w:rsidTr="00371101">
        <w:trPr>
          <w:cantSplit/>
          <w:trHeight w:val="227"/>
        </w:trPr>
        <w:tc>
          <w:tcPr>
            <w:tcW w:w="5000" w:type="pct"/>
            <w:gridSpan w:val="5"/>
            <w:vAlign w:val="center"/>
          </w:tcPr>
          <w:p w14:paraId="11C7FAFD" w14:textId="77777777" w:rsidR="003B0D06" w:rsidRPr="0086661E" w:rsidRDefault="003B0D06" w:rsidP="004F7A8A">
            <w:pPr>
              <w:pStyle w:val="In-tableHeading"/>
              <w:rPr>
                <w:lang w:val="en-AU"/>
              </w:rPr>
            </w:pPr>
            <w:r w:rsidRPr="0086661E">
              <w:rPr>
                <w:lang w:val="en-AU"/>
              </w:rPr>
              <w:t xml:space="preserve">Available brands </w:t>
            </w:r>
          </w:p>
        </w:tc>
      </w:tr>
      <w:tr w:rsidR="003B0D06" w:rsidRPr="0086661E" w14:paraId="2C9D99CE" w14:textId="77777777" w:rsidTr="00371101">
        <w:trPr>
          <w:cantSplit/>
          <w:trHeight w:val="227"/>
        </w:trPr>
        <w:tc>
          <w:tcPr>
            <w:tcW w:w="5000" w:type="pct"/>
            <w:gridSpan w:val="5"/>
            <w:vAlign w:val="center"/>
          </w:tcPr>
          <w:p w14:paraId="1DD26C9E" w14:textId="77777777" w:rsidR="003B0D06" w:rsidRPr="0086661E" w:rsidRDefault="003B0D06" w:rsidP="00037282">
            <w:pPr>
              <w:pStyle w:val="Tabletext"/>
              <w:keepNext/>
              <w:keepLines/>
            </w:pPr>
            <w:r w:rsidRPr="0086661E">
              <w:t>IMFINZI®, durvalumab 500 mg/10 mL, 10 mL vial for IV infusion/durvalumab 120 mg/2.4 mL, 10 mL vial for IV infusion</w:t>
            </w:r>
          </w:p>
        </w:tc>
      </w:tr>
    </w:tbl>
    <w:p w14:paraId="3AECCB0A" w14:textId="56148F27" w:rsidR="00371101" w:rsidRPr="00DE23D6" w:rsidRDefault="00371101" w:rsidP="00C1302F">
      <w:pPr>
        <w:pStyle w:val="TableFigureFooter"/>
        <w:rPr>
          <w:color w:val="0066FF"/>
        </w:rPr>
      </w:pPr>
      <w:r w:rsidRPr="00DE23D6">
        <w:t>Source: Tables 1</w:t>
      </w:r>
      <w:r w:rsidR="00675F55">
        <w:noBreakHyphen/>
      </w:r>
      <w:r w:rsidRPr="00DE23D6">
        <w:t>9 and 1</w:t>
      </w:r>
      <w:r w:rsidR="00675F55">
        <w:noBreakHyphen/>
      </w:r>
      <w:r w:rsidRPr="00DE23D6">
        <w:t>10 of the submission</w:t>
      </w:r>
    </w:p>
    <w:p w14:paraId="024034ED" w14:textId="67824311" w:rsidR="003B0D06" w:rsidRDefault="0039273D" w:rsidP="00C1302F">
      <w:pPr>
        <w:pStyle w:val="TableFigureFooter"/>
      </w:pPr>
      <w:r w:rsidRPr="00DE23D6">
        <w:t xml:space="preserve">DPMA = dispensed price </w:t>
      </w:r>
      <w:r w:rsidR="00762A2B" w:rsidRPr="00DE23D6">
        <w:t xml:space="preserve">for </w:t>
      </w:r>
      <w:r w:rsidRPr="00DE23D6">
        <w:t xml:space="preserve">maximum amount; </w:t>
      </w:r>
      <w:r w:rsidR="00BF004D" w:rsidRPr="00DE23D6">
        <w:t xml:space="preserve">IV = intravenous; </w:t>
      </w:r>
      <w:r w:rsidRPr="00DE23D6">
        <w:t>Rpts = repeats; SPA = special pricing arrangement</w:t>
      </w:r>
      <w:r w:rsidR="00F63DC5" w:rsidRPr="00DE23D6">
        <w:t>.</w:t>
      </w:r>
    </w:p>
    <w:p w14:paraId="045D68F8" w14:textId="77777777" w:rsidR="00E70B6F" w:rsidRPr="00DE23D6" w:rsidRDefault="00E70B6F" w:rsidP="00C1302F">
      <w:pPr>
        <w:pStyle w:val="TableFigureFooter"/>
      </w:pPr>
    </w:p>
    <w:tbl>
      <w:tblPr>
        <w:tblStyle w:val="AZTable"/>
        <w:tblW w:w="8926" w:type="dxa"/>
        <w:tblInd w:w="-1" w:type="dxa"/>
        <w:tblLook w:val="04A0" w:firstRow="1" w:lastRow="0" w:firstColumn="1" w:lastColumn="0" w:noHBand="0" w:noVBand="1"/>
        <w:tblCaption w:val="Requested listing"/>
      </w:tblPr>
      <w:tblGrid>
        <w:gridCol w:w="2122"/>
        <w:gridCol w:w="6804"/>
      </w:tblGrid>
      <w:tr w:rsidR="003B0D06" w:rsidRPr="00B9459B" w14:paraId="0CF850E1" w14:textId="77777777">
        <w:trPr>
          <w:cnfStyle w:val="100000000000" w:firstRow="1" w:lastRow="0" w:firstColumn="0" w:lastColumn="0" w:oddVBand="0" w:evenVBand="0" w:oddHBand="0" w:evenHBand="0" w:firstRowFirstColumn="0" w:firstRowLastColumn="0" w:lastRowFirstColumn="0" w:lastRowLastColumn="0"/>
        </w:trPr>
        <w:tc>
          <w:tcPr>
            <w:tcW w:w="8926" w:type="dxa"/>
            <w:gridSpan w:val="2"/>
          </w:tcPr>
          <w:p w14:paraId="77D3A1EF" w14:textId="77777777" w:rsidR="003B0D06" w:rsidRPr="004F2ED4" w:rsidRDefault="003B0D06" w:rsidP="00CE759D">
            <w:pPr>
              <w:keepNext/>
              <w:rPr>
                <w:rFonts w:ascii="Arial Narrow" w:hAnsi="Arial Narrow"/>
                <w:b/>
                <w:snapToGrid w:val="0"/>
                <w:sz w:val="20"/>
                <w:szCs w:val="20"/>
              </w:rPr>
            </w:pPr>
            <w:r w:rsidRPr="004F2ED4">
              <w:rPr>
                <w:rFonts w:ascii="Arial Narrow" w:hAnsi="Arial Narrow"/>
                <w:b/>
                <w:snapToGrid w:val="0"/>
                <w:sz w:val="20"/>
                <w:szCs w:val="20"/>
              </w:rPr>
              <w:t xml:space="preserve">Category/Program: </w:t>
            </w:r>
            <w:r w:rsidRPr="004F2ED4">
              <w:rPr>
                <w:rFonts w:ascii="Arial Narrow" w:hAnsi="Arial Narrow"/>
                <w:bCs/>
                <w:snapToGrid w:val="0"/>
                <w:sz w:val="20"/>
                <w:szCs w:val="20"/>
              </w:rPr>
              <w:t>Section 100 – Efficient Funding of Chemotherapy Public/Private hospitals</w:t>
            </w:r>
          </w:p>
        </w:tc>
      </w:tr>
      <w:tr w:rsidR="003B0D06" w:rsidRPr="00B9459B" w14:paraId="235B8B56" w14:textId="77777777">
        <w:tc>
          <w:tcPr>
            <w:tcW w:w="2122" w:type="dxa"/>
          </w:tcPr>
          <w:p w14:paraId="2D436F60" w14:textId="77777777" w:rsidR="003B0D06" w:rsidRPr="00132932" w:rsidRDefault="003B0D06" w:rsidP="00CE759D">
            <w:pPr>
              <w:keepNext/>
              <w:rPr>
                <w:rFonts w:ascii="Arial Narrow" w:hAnsi="Arial Narrow"/>
                <w:b/>
                <w:sz w:val="20"/>
                <w:szCs w:val="20"/>
              </w:rPr>
            </w:pPr>
            <w:r w:rsidRPr="00132932">
              <w:rPr>
                <w:rFonts w:ascii="Arial Narrow" w:hAnsi="Arial Narrow"/>
                <w:b/>
                <w:sz w:val="20"/>
                <w:szCs w:val="20"/>
              </w:rPr>
              <w:t xml:space="preserve">Prescriber Type: </w:t>
            </w:r>
          </w:p>
        </w:tc>
        <w:tc>
          <w:tcPr>
            <w:tcW w:w="6804" w:type="dxa"/>
          </w:tcPr>
          <w:p w14:paraId="0F149317" w14:textId="77777777" w:rsidR="003B0D06" w:rsidRPr="00132932" w:rsidRDefault="003B0D06" w:rsidP="00CE759D">
            <w:pPr>
              <w:keepNext/>
              <w:rPr>
                <w:rFonts w:ascii="Arial Narrow" w:hAnsi="Arial Narrow"/>
                <w:sz w:val="20"/>
                <w:szCs w:val="20"/>
              </w:rPr>
            </w:pPr>
            <w:r w:rsidRPr="00132932">
              <w:rPr>
                <w:rFonts w:ascii="Arial Narrow" w:hAnsi="Arial Narrow"/>
                <w:sz w:val="20"/>
                <w:szCs w:val="20"/>
              </w:rPr>
              <w:fldChar w:fldCharType="begin">
                <w:ffData>
                  <w:name w:val="Check1"/>
                  <w:enabled/>
                  <w:calcOnExit w:val="0"/>
                  <w:checkBox>
                    <w:sizeAuto/>
                    <w:default w:val="0"/>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 xml:space="preserve">Dental </w:t>
            </w:r>
            <w:r w:rsidRPr="00132932">
              <w:rPr>
                <w:rFonts w:ascii="Arial Narrow" w:hAnsi="Arial Narrow"/>
                <w:sz w:val="20"/>
                <w:szCs w:val="20"/>
              </w:rPr>
              <w:fldChar w:fldCharType="begin">
                <w:ffData>
                  <w:name w:val=""/>
                  <w:enabled/>
                  <w:calcOnExit w:val="0"/>
                  <w:checkBox>
                    <w:sizeAuto/>
                    <w:default w:val="1"/>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 xml:space="preserve">Medical Practitioners </w:t>
            </w:r>
            <w:r w:rsidRPr="00132932">
              <w:rPr>
                <w:rFonts w:ascii="Arial Narrow" w:hAnsi="Arial Narrow"/>
                <w:sz w:val="20"/>
                <w:szCs w:val="20"/>
              </w:rPr>
              <w:fldChar w:fldCharType="begin">
                <w:ffData>
                  <w:name w:val="Check3"/>
                  <w:enabled/>
                  <w:calcOnExit w:val="0"/>
                  <w:checkBox>
                    <w:sizeAuto/>
                    <w:default w:val="0"/>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 xml:space="preserve">Nurse practitioners </w:t>
            </w:r>
            <w:r w:rsidRPr="00132932">
              <w:rPr>
                <w:rFonts w:ascii="Arial Narrow" w:hAnsi="Arial Narrow"/>
                <w:sz w:val="20"/>
                <w:szCs w:val="20"/>
              </w:rPr>
              <w:fldChar w:fldCharType="begin">
                <w:ffData>
                  <w:name w:val=""/>
                  <w:enabled/>
                  <w:calcOnExit w:val="0"/>
                  <w:checkBox>
                    <w:sizeAuto/>
                    <w:default w:val="0"/>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 xml:space="preserve">Optometrists </w:t>
            </w:r>
            <w:r w:rsidRPr="00132932">
              <w:rPr>
                <w:rFonts w:ascii="Arial Narrow" w:hAnsi="Arial Narrow"/>
                <w:sz w:val="20"/>
                <w:szCs w:val="20"/>
              </w:rPr>
              <w:fldChar w:fldCharType="begin">
                <w:ffData>
                  <w:name w:val="Check5"/>
                  <w:enabled/>
                  <w:calcOnExit w:val="0"/>
                  <w:checkBox>
                    <w:sizeAuto/>
                    <w:default w:val="0"/>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Midwives</w:t>
            </w:r>
          </w:p>
        </w:tc>
      </w:tr>
      <w:tr w:rsidR="003B0D06" w:rsidRPr="00B9459B" w14:paraId="5A961FB4" w14:textId="77777777">
        <w:trPr>
          <w:trHeight w:val="58"/>
        </w:trPr>
        <w:tc>
          <w:tcPr>
            <w:tcW w:w="2122" w:type="dxa"/>
          </w:tcPr>
          <w:p w14:paraId="09FD1BA4" w14:textId="77777777" w:rsidR="003B0D06" w:rsidRPr="00132932" w:rsidRDefault="003B0D06" w:rsidP="00CE759D">
            <w:pPr>
              <w:keepNext/>
              <w:rPr>
                <w:rFonts w:ascii="Arial Narrow" w:hAnsi="Arial Narrow"/>
                <w:b/>
                <w:sz w:val="20"/>
                <w:szCs w:val="20"/>
              </w:rPr>
            </w:pPr>
            <w:r w:rsidRPr="004F2ED4">
              <w:rPr>
                <w:rFonts w:ascii="Arial Narrow" w:hAnsi="Arial Narrow"/>
                <w:b/>
                <w:bCs/>
                <w:sz w:val="20"/>
                <w:szCs w:val="20"/>
              </w:rPr>
              <w:t>Restriction Summary / Treatment of Concept</w:t>
            </w:r>
            <w:r w:rsidRPr="004F2ED4">
              <w:rPr>
                <w:rFonts w:ascii="Arial Narrow" w:hAnsi="Arial Narrow"/>
                <w:sz w:val="20"/>
                <w:szCs w:val="20"/>
              </w:rPr>
              <w:t>:</w:t>
            </w:r>
          </w:p>
        </w:tc>
        <w:tc>
          <w:tcPr>
            <w:tcW w:w="6804" w:type="dxa"/>
          </w:tcPr>
          <w:p w14:paraId="4E1A1B4C" w14:textId="77777777" w:rsidR="003B0D06" w:rsidRPr="00132932" w:rsidRDefault="003B0D06" w:rsidP="00CE759D">
            <w:pPr>
              <w:keepNext/>
              <w:rPr>
                <w:rFonts w:ascii="Arial Narrow" w:hAnsi="Arial Narrow"/>
                <w:sz w:val="20"/>
                <w:szCs w:val="20"/>
              </w:rPr>
            </w:pPr>
            <w:r w:rsidRPr="004F2ED4">
              <w:rPr>
                <w:rFonts w:ascii="Arial Narrow" w:hAnsi="Arial Narrow"/>
                <w:sz w:val="20"/>
                <w:szCs w:val="20"/>
              </w:rPr>
              <w:t>Authority Required (</w:t>
            </w:r>
            <w:r w:rsidRPr="00132932">
              <w:rPr>
                <w:rFonts w:ascii="Arial Narrow" w:hAnsi="Arial Narrow"/>
                <w:sz w:val="20"/>
                <w:szCs w:val="20"/>
              </w:rPr>
              <w:t>telephone/online PBS Authorities system)</w:t>
            </w:r>
          </w:p>
        </w:tc>
      </w:tr>
      <w:tr w:rsidR="003B0D06" w:rsidRPr="00B9459B" w14:paraId="4B3AD5F5" w14:textId="77777777">
        <w:trPr>
          <w:trHeight w:val="58"/>
        </w:trPr>
        <w:tc>
          <w:tcPr>
            <w:tcW w:w="2122" w:type="dxa"/>
          </w:tcPr>
          <w:p w14:paraId="4C4B2836" w14:textId="77777777" w:rsidR="003B0D06" w:rsidRPr="004F2ED4" w:rsidRDefault="003B0D06" w:rsidP="00CE759D">
            <w:pPr>
              <w:keepNext/>
              <w:rPr>
                <w:rFonts w:ascii="Arial Narrow" w:hAnsi="Arial Narrow"/>
                <w:b/>
                <w:bCs/>
                <w:sz w:val="20"/>
                <w:szCs w:val="20"/>
              </w:rPr>
            </w:pPr>
            <w:r w:rsidRPr="004F2ED4">
              <w:rPr>
                <w:rFonts w:ascii="Arial Narrow" w:hAnsi="Arial Narrow"/>
                <w:b/>
                <w:bCs/>
                <w:sz w:val="20"/>
                <w:szCs w:val="20"/>
              </w:rPr>
              <w:t>PBS Indication</w:t>
            </w:r>
            <w:r w:rsidRPr="004F2ED4">
              <w:rPr>
                <w:rFonts w:ascii="Arial Narrow" w:hAnsi="Arial Narrow"/>
                <w:sz w:val="20"/>
                <w:szCs w:val="20"/>
              </w:rPr>
              <w:t xml:space="preserve">: </w:t>
            </w:r>
          </w:p>
        </w:tc>
        <w:tc>
          <w:tcPr>
            <w:tcW w:w="6804" w:type="dxa"/>
          </w:tcPr>
          <w:p w14:paraId="7A528810" w14:textId="77777777" w:rsidR="003B0D06" w:rsidRPr="004F2ED4" w:rsidRDefault="003B0D06" w:rsidP="00CE759D">
            <w:pPr>
              <w:keepNext/>
              <w:rPr>
                <w:rFonts w:ascii="Arial Narrow" w:hAnsi="Arial Narrow"/>
                <w:sz w:val="20"/>
                <w:szCs w:val="20"/>
              </w:rPr>
            </w:pPr>
            <w:r w:rsidRPr="004F2ED4">
              <w:rPr>
                <w:rFonts w:ascii="Arial Narrow" w:hAnsi="Arial Narrow"/>
                <w:sz w:val="20"/>
                <w:szCs w:val="20"/>
              </w:rPr>
              <w:t>Resectable gastric and gastroesophageal junction adenocarcinoma</w:t>
            </w:r>
          </w:p>
        </w:tc>
      </w:tr>
      <w:tr w:rsidR="003B0D06" w:rsidRPr="00B9459B" w14:paraId="08720111" w14:textId="77777777">
        <w:trPr>
          <w:trHeight w:val="58"/>
        </w:trPr>
        <w:tc>
          <w:tcPr>
            <w:tcW w:w="2122" w:type="dxa"/>
          </w:tcPr>
          <w:p w14:paraId="2B2EF37E" w14:textId="77777777" w:rsidR="003B0D06" w:rsidRPr="004F2ED4" w:rsidRDefault="003B0D06" w:rsidP="00CE759D">
            <w:pPr>
              <w:keepNext/>
              <w:rPr>
                <w:rFonts w:ascii="Arial Narrow" w:hAnsi="Arial Narrow"/>
                <w:b/>
                <w:bCs/>
                <w:sz w:val="20"/>
                <w:szCs w:val="20"/>
              </w:rPr>
            </w:pPr>
            <w:r w:rsidRPr="004F2ED4">
              <w:rPr>
                <w:rFonts w:ascii="Arial Narrow" w:hAnsi="Arial Narrow"/>
                <w:b/>
                <w:bCs/>
                <w:sz w:val="20"/>
                <w:szCs w:val="20"/>
              </w:rPr>
              <w:t>Treatment phase</w:t>
            </w:r>
          </w:p>
        </w:tc>
        <w:tc>
          <w:tcPr>
            <w:tcW w:w="6804" w:type="dxa"/>
          </w:tcPr>
          <w:p w14:paraId="433FFA4C" w14:textId="77777777" w:rsidR="003B0D06" w:rsidRPr="004F2ED4" w:rsidRDefault="003B0D06" w:rsidP="00CE759D">
            <w:pPr>
              <w:keepNext/>
              <w:rPr>
                <w:rFonts w:ascii="Arial Narrow" w:hAnsi="Arial Narrow"/>
                <w:sz w:val="20"/>
                <w:szCs w:val="20"/>
              </w:rPr>
            </w:pPr>
            <w:r w:rsidRPr="004F2ED4">
              <w:rPr>
                <w:rFonts w:ascii="Arial Narrow" w:hAnsi="Arial Narrow"/>
                <w:sz w:val="20"/>
                <w:szCs w:val="20"/>
              </w:rPr>
              <w:t>Neo</w:t>
            </w:r>
            <w:r>
              <w:rPr>
                <w:rFonts w:ascii="Arial Narrow" w:hAnsi="Arial Narrow"/>
                <w:sz w:val="20"/>
                <w:szCs w:val="20"/>
              </w:rPr>
              <w:t>adjuvant</w:t>
            </w:r>
            <w:r w:rsidRPr="004F2ED4">
              <w:rPr>
                <w:rFonts w:ascii="Arial Narrow" w:hAnsi="Arial Narrow"/>
                <w:sz w:val="20"/>
                <w:szCs w:val="20"/>
              </w:rPr>
              <w:t xml:space="preserve"> phase</w:t>
            </w:r>
          </w:p>
        </w:tc>
      </w:tr>
      <w:tr w:rsidR="003B0D06" w:rsidRPr="00B9459B" w14:paraId="60E8A9BC" w14:textId="77777777">
        <w:trPr>
          <w:trHeight w:val="58"/>
        </w:trPr>
        <w:tc>
          <w:tcPr>
            <w:tcW w:w="2122" w:type="dxa"/>
            <w:vAlign w:val="center"/>
          </w:tcPr>
          <w:p w14:paraId="189F9948" w14:textId="77777777" w:rsidR="003B0D06" w:rsidRPr="003E49BC" w:rsidRDefault="003B0D06" w:rsidP="00CE759D">
            <w:pPr>
              <w:keepNext/>
              <w:rPr>
                <w:rFonts w:ascii="Arial Narrow" w:hAnsi="Arial Narrow"/>
                <w:b/>
                <w:bCs/>
                <w:sz w:val="20"/>
                <w:szCs w:val="20"/>
              </w:rPr>
            </w:pPr>
            <w:r w:rsidRPr="003E49BC">
              <w:rPr>
                <w:rFonts w:ascii="Arial Narrow" w:hAnsi="Arial Narrow"/>
                <w:b/>
                <w:bCs/>
                <w:sz w:val="20"/>
                <w:szCs w:val="20"/>
              </w:rPr>
              <w:t>Population criteria</w:t>
            </w:r>
          </w:p>
        </w:tc>
        <w:tc>
          <w:tcPr>
            <w:tcW w:w="6804" w:type="dxa"/>
            <w:vAlign w:val="center"/>
          </w:tcPr>
          <w:p w14:paraId="3DC82A29" w14:textId="77777777" w:rsidR="003B0D06" w:rsidRPr="003E49BC" w:rsidRDefault="003B0D06" w:rsidP="00CE759D">
            <w:pPr>
              <w:pStyle w:val="Tabletext"/>
              <w:keepNext/>
              <w:rPr>
                <w:rFonts w:eastAsiaTheme="minorEastAsia"/>
                <w:szCs w:val="20"/>
              </w:rPr>
            </w:pPr>
            <w:r w:rsidRPr="003E49BC">
              <w:rPr>
                <w:rFonts w:eastAsiaTheme="minorEastAsia"/>
                <w:szCs w:val="20"/>
              </w:rPr>
              <w:t>Patient must be initiating treatment with this drug for this condition OR</w:t>
            </w:r>
          </w:p>
          <w:p w14:paraId="430639EA" w14:textId="2C290D55" w:rsidR="003B0D06" w:rsidRPr="003E49BC" w:rsidRDefault="003B0D06" w:rsidP="00CE759D">
            <w:pPr>
              <w:keepNext/>
              <w:rPr>
                <w:rFonts w:ascii="Arial Narrow" w:hAnsi="Arial Narrow"/>
                <w:sz w:val="20"/>
                <w:szCs w:val="20"/>
              </w:rPr>
            </w:pPr>
            <w:r w:rsidRPr="003E49BC">
              <w:rPr>
                <w:rFonts w:ascii="Arial Narrow" w:hAnsi="Arial Narrow"/>
                <w:sz w:val="20"/>
                <w:szCs w:val="20"/>
              </w:rPr>
              <w:t>Patient must be transitioning from existing non</w:t>
            </w:r>
            <w:r w:rsidR="00675F55">
              <w:rPr>
                <w:rFonts w:ascii="Arial Narrow" w:hAnsi="Arial Narrow"/>
                <w:sz w:val="20"/>
                <w:szCs w:val="20"/>
              </w:rPr>
              <w:noBreakHyphen/>
            </w:r>
            <w:r w:rsidRPr="003E49BC">
              <w:rPr>
                <w:rFonts w:ascii="Arial Narrow" w:hAnsi="Arial Narrow"/>
                <w:sz w:val="20"/>
                <w:szCs w:val="20"/>
              </w:rPr>
              <w:t>PBS to PBS subsidised supply of this drug</w:t>
            </w:r>
          </w:p>
        </w:tc>
      </w:tr>
      <w:tr w:rsidR="003B0D06" w:rsidRPr="00B9459B" w14:paraId="44678E1B" w14:textId="77777777">
        <w:trPr>
          <w:trHeight w:val="58"/>
        </w:trPr>
        <w:tc>
          <w:tcPr>
            <w:tcW w:w="2122" w:type="dxa"/>
          </w:tcPr>
          <w:p w14:paraId="58C4886F" w14:textId="77777777" w:rsidR="003B0D06" w:rsidRPr="004F2ED4" w:rsidRDefault="003B0D06" w:rsidP="00CE759D">
            <w:pPr>
              <w:pStyle w:val="Tabletext"/>
              <w:keepNext/>
              <w:rPr>
                <w:rFonts w:cs="Arial"/>
                <w:szCs w:val="20"/>
              </w:rPr>
            </w:pPr>
            <w:r w:rsidRPr="004F2ED4">
              <w:rPr>
                <w:rFonts w:eastAsiaTheme="minorEastAsia"/>
                <w:b/>
                <w:bCs/>
                <w:szCs w:val="20"/>
              </w:rPr>
              <w:t>Clinical</w:t>
            </w:r>
            <w:r w:rsidRPr="004F2ED4">
              <w:rPr>
                <w:rFonts w:eastAsiaTheme="minorEastAsia"/>
                <w:szCs w:val="20"/>
              </w:rPr>
              <w:t xml:space="preserve"> </w:t>
            </w:r>
            <w:r w:rsidRPr="004F2ED4">
              <w:rPr>
                <w:rFonts w:eastAsiaTheme="minorEastAsia"/>
                <w:b/>
                <w:bCs/>
                <w:szCs w:val="20"/>
              </w:rPr>
              <w:t>criteria</w:t>
            </w:r>
            <w:r w:rsidRPr="004F2ED4">
              <w:rPr>
                <w:rFonts w:eastAsiaTheme="minorEastAsia"/>
                <w:szCs w:val="20"/>
              </w:rPr>
              <w:t>:</w:t>
            </w:r>
          </w:p>
          <w:p w14:paraId="06B2DCD3" w14:textId="77777777" w:rsidR="003B0D06" w:rsidRPr="004F2ED4" w:rsidRDefault="003B0D06" w:rsidP="00CE759D">
            <w:pPr>
              <w:keepNext/>
              <w:rPr>
                <w:rFonts w:ascii="Arial Narrow" w:hAnsi="Arial Narrow"/>
                <w:b/>
                <w:bCs/>
                <w:sz w:val="20"/>
                <w:szCs w:val="20"/>
              </w:rPr>
            </w:pPr>
          </w:p>
        </w:tc>
        <w:tc>
          <w:tcPr>
            <w:tcW w:w="6804" w:type="dxa"/>
          </w:tcPr>
          <w:p w14:paraId="16CE3D9B" w14:textId="77777777" w:rsidR="003B0D06" w:rsidRPr="004F2ED4" w:rsidRDefault="003B0D06" w:rsidP="00CE759D">
            <w:pPr>
              <w:pStyle w:val="Tabletext"/>
              <w:keepNext/>
              <w:rPr>
                <w:rFonts w:eastAsiaTheme="minorEastAsia"/>
                <w:szCs w:val="20"/>
              </w:rPr>
            </w:pPr>
            <w:r w:rsidRPr="004F2ED4">
              <w:rPr>
                <w:rFonts w:eastAsiaTheme="minorEastAsia"/>
                <w:szCs w:val="20"/>
              </w:rPr>
              <w:t>The condition must be resectable</w:t>
            </w:r>
          </w:p>
          <w:p w14:paraId="011E2A92" w14:textId="77777777" w:rsidR="003B0D06" w:rsidRPr="004F2ED4" w:rsidRDefault="003B0D06" w:rsidP="00CE759D">
            <w:pPr>
              <w:pStyle w:val="Tabletext"/>
              <w:keepNext/>
              <w:rPr>
                <w:rFonts w:eastAsiaTheme="minorEastAsia"/>
                <w:szCs w:val="20"/>
              </w:rPr>
            </w:pPr>
            <w:r w:rsidRPr="004F2ED4">
              <w:rPr>
                <w:rFonts w:eastAsiaTheme="minorEastAsia"/>
                <w:szCs w:val="20"/>
              </w:rPr>
              <w:t>AND</w:t>
            </w:r>
          </w:p>
          <w:p w14:paraId="7D53CC8C" w14:textId="77777777" w:rsidR="003B0D06" w:rsidRPr="004F2ED4" w:rsidRDefault="003B0D06" w:rsidP="00CE759D">
            <w:pPr>
              <w:pStyle w:val="Tabletext"/>
              <w:keepNext/>
              <w:rPr>
                <w:rFonts w:eastAsiaTheme="minorEastAsia"/>
                <w:szCs w:val="20"/>
              </w:rPr>
            </w:pPr>
            <w:r w:rsidRPr="004F2ED4">
              <w:rPr>
                <w:rFonts w:eastAsiaTheme="minorEastAsia"/>
                <w:szCs w:val="20"/>
              </w:rPr>
              <w:t>The treatment must be for the purpose of neoadjuvant use in a patient preparing for surgery</w:t>
            </w:r>
          </w:p>
          <w:p w14:paraId="12DB08D4" w14:textId="77777777" w:rsidR="003B0D06" w:rsidRPr="004F2ED4" w:rsidRDefault="003B0D06" w:rsidP="00CE759D">
            <w:pPr>
              <w:pStyle w:val="Tabletext"/>
              <w:keepNext/>
              <w:rPr>
                <w:rFonts w:eastAsiaTheme="minorEastAsia"/>
                <w:szCs w:val="20"/>
              </w:rPr>
            </w:pPr>
            <w:r w:rsidRPr="004F2ED4">
              <w:rPr>
                <w:rFonts w:eastAsiaTheme="minorEastAsia"/>
                <w:szCs w:val="20"/>
              </w:rPr>
              <w:t>AND</w:t>
            </w:r>
          </w:p>
          <w:p w14:paraId="77EE76AB" w14:textId="77777777" w:rsidR="003B0D06" w:rsidRPr="004F2ED4" w:rsidRDefault="003B0D06" w:rsidP="00CE759D">
            <w:pPr>
              <w:pStyle w:val="Tabletext"/>
              <w:keepNext/>
              <w:rPr>
                <w:rFonts w:eastAsiaTheme="minorEastAsia"/>
                <w:szCs w:val="20"/>
              </w:rPr>
            </w:pPr>
            <w:r w:rsidRPr="004F2ED4">
              <w:rPr>
                <w:rFonts w:eastAsiaTheme="minorEastAsia"/>
                <w:szCs w:val="20"/>
              </w:rPr>
              <w:t>Patient must have a WHO performance status no greater than 1</w:t>
            </w:r>
          </w:p>
          <w:p w14:paraId="124B6D2B" w14:textId="77777777" w:rsidR="003B0D06" w:rsidRPr="004F2ED4" w:rsidRDefault="003B0D06" w:rsidP="00CE759D">
            <w:pPr>
              <w:pStyle w:val="Tabletext"/>
              <w:keepNext/>
              <w:rPr>
                <w:rFonts w:eastAsiaTheme="minorEastAsia"/>
                <w:szCs w:val="20"/>
              </w:rPr>
            </w:pPr>
            <w:r w:rsidRPr="004F2ED4">
              <w:rPr>
                <w:rFonts w:eastAsiaTheme="minorEastAsia"/>
                <w:szCs w:val="20"/>
              </w:rPr>
              <w:t>AND</w:t>
            </w:r>
          </w:p>
          <w:p w14:paraId="72A7C596" w14:textId="77777777" w:rsidR="003B0D06" w:rsidRPr="004F2ED4" w:rsidRDefault="003B0D06" w:rsidP="00CE759D">
            <w:pPr>
              <w:pStyle w:val="Tabletext"/>
              <w:keepNext/>
              <w:rPr>
                <w:rFonts w:eastAsiaTheme="minorEastAsia"/>
                <w:szCs w:val="20"/>
              </w:rPr>
            </w:pPr>
            <w:r w:rsidRPr="004F2ED4">
              <w:rPr>
                <w:rFonts w:eastAsiaTheme="minorEastAsia"/>
                <w:szCs w:val="20"/>
              </w:rPr>
              <w:t>The treatment must be initiated in combination with neoadjuvant FLOT</w:t>
            </w:r>
          </w:p>
          <w:p w14:paraId="295409D3" w14:textId="77777777" w:rsidR="003B0D06" w:rsidRPr="004F2ED4" w:rsidRDefault="003B0D06" w:rsidP="00CE759D">
            <w:pPr>
              <w:keepNext/>
              <w:rPr>
                <w:rFonts w:ascii="Arial Narrow" w:eastAsiaTheme="minorEastAsia" w:hAnsi="Arial Narrow"/>
                <w:sz w:val="20"/>
                <w:szCs w:val="20"/>
              </w:rPr>
            </w:pPr>
            <w:r w:rsidRPr="004F2ED4">
              <w:rPr>
                <w:rFonts w:ascii="Arial Narrow" w:eastAsiaTheme="minorEastAsia" w:hAnsi="Arial Narrow"/>
                <w:sz w:val="20"/>
                <w:szCs w:val="20"/>
              </w:rPr>
              <w:t>AND</w:t>
            </w:r>
          </w:p>
          <w:p w14:paraId="1809A0B9" w14:textId="77777777" w:rsidR="003B0D06" w:rsidRPr="004F2ED4" w:rsidRDefault="003B0D06" w:rsidP="00CE759D">
            <w:pPr>
              <w:keepNext/>
              <w:rPr>
                <w:rFonts w:ascii="Arial Narrow" w:hAnsi="Arial Narrow"/>
                <w:sz w:val="20"/>
                <w:szCs w:val="20"/>
              </w:rPr>
            </w:pPr>
            <w:r w:rsidRPr="004F2ED4">
              <w:rPr>
                <w:rFonts w:ascii="Arial Narrow" w:hAnsi="Arial Narrow"/>
                <w:sz w:val="20"/>
                <w:szCs w:val="20"/>
              </w:rPr>
              <w:t>The condition must be untreated with systemic therapy</w:t>
            </w:r>
          </w:p>
        </w:tc>
      </w:tr>
      <w:tr w:rsidR="003B0D06" w:rsidRPr="00B9459B" w14:paraId="75C88E94" w14:textId="77777777">
        <w:trPr>
          <w:trHeight w:val="58"/>
        </w:trPr>
        <w:tc>
          <w:tcPr>
            <w:tcW w:w="2122" w:type="dxa"/>
          </w:tcPr>
          <w:p w14:paraId="53C384CA" w14:textId="77777777" w:rsidR="003B0D06" w:rsidRPr="004F2ED4" w:rsidRDefault="003B0D06" w:rsidP="00CE759D">
            <w:pPr>
              <w:pStyle w:val="Tabletext"/>
              <w:keepNext/>
              <w:rPr>
                <w:rFonts w:eastAsiaTheme="minorEastAsia"/>
                <w:b/>
                <w:bCs/>
                <w:szCs w:val="20"/>
              </w:rPr>
            </w:pPr>
            <w:r w:rsidRPr="004F2ED4">
              <w:rPr>
                <w:rFonts w:eastAsiaTheme="minorEastAsia"/>
                <w:b/>
                <w:bCs/>
                <w:szCs w:val="20"/>
              </w:rPr>
              <w:t>Treatment criteria</w:t>
            </w:r>
          </w:p>
        </w:tc>
        <w:tc>
          <w:tcPr>
            <w:tcW w:w="6804" w:type="dxa"/>
          </w:tcPr>
          <w:p w14:paraId="0ECA1134" w14:textId="695EC79F" w:rsidR="003B0D06" w:rsidRPr="00132932" w:rsidRDefault="003B0D06" w:rsidP="00CE759D">
            <w:pPr>
              <w:pStyle w:val="Tabletext"/>
              <w:keepNext/>
              <w:rPr>
                <w:rFonts w:eastAsiaTheme="minorEastAsia"/>
                <w:lang w:val="en-US"/>
              </w:rPr>
            </w:pPr>
            <w:r w:rsidRPr="5391DBCF">
              <w:rPr>
                <w:rFonts w:eastAsiaTheme="minorEastAsia"/>
                <w:lang w:val="en-US"/>
              </w:rPr>
              <w:t>Patient must not be undergoing PBS subsidised treatment where this prescription extends treatment beyond whichever comes first: (i) 2 cycles from treatment initiation, irrespective of whether initial treatment was PBS subsidised/non</w:t>
            </w:r>
            <w:r w:rsidR="00675F55">
              <w:rPr>
                <w:rFonts w:eastAsiaTheme="minorEastAsia"/>
                <w:lang w:val="en-US"/>
              </w:rPr>
              <w:noBreakHyphen/>
            </w:r>
            <w:r w:rsidRPr="5391DBCF">
              <w:rPr>
                <w:rFonts w:eastAsiaTheme="minorEastAsia"/>
                <w:lang w:val="en-US"/>
              </w:rPr>
              <w:t>PBS subsidised, (ii) disease progression/recurrence despite treatment with this drug, (iii) unacceptable toxicity; annotate any remaining repeat prescriptions with the word 'cancelled' where this occurs</w:t>
            </w:r>
          </w:p>
          <w:p w14:paraId="7902A6DE" w14:textId="77777777" w:rsidR="003B0D06" w:rsidRPr="004F2ED4" w:rsidRDefault="003B0D06" w:rsidP="00CE759D">
            <w:pPr>
              <w:pStyle w:val="Tabletext"/>
              <w:keepNext/>
              <w:rPr>
                <w:rFonts w:eastAsiaTheme="minorEastAsia"/>
                <w:lang w:val="en-US"/>
              </w:rPr>
            </w:pPr>
            <w:r w:rsidRPr="5391DBCF">
              <w:rPr>
                <w:rFonts w:eastAsiaTheme="minorEastAsia"/>
                <w:lang w:val="en-US"/>
              </w:rPr>
              <w:t>Patient must be undergoing treatment with a dosing regimen as set out in the drug's Therapeutic Goods Administration (TGA) approved Product Information.</w:t>
            </w:r>
          </w:p>
        </w:tc>
      </w:tr>
      <w:tr w:rsidR="003B0D06" w:rsidRPr="00B9459B" w14:paraId="56CB13E9" w14:textId="77777777">
        <w:trPr>
          <w:trHeight w:val="58"/>
        </w:trPr>
        <w:tc>
          <w:tcPr>
            <w:tcW w:w="2122" w:type="dxa"/>
          </w:tcPr>
          <w:p w14:paraId="2A12AE64" w14:textId="77777777" w:rsidR="003B0D06" w:rsidRPr="004F2ED4" w:rsidRDefault="003B0D06" w:rsidP="00CE759D">
            <w:pPr>
              <w:pStyle w:val="Tabletext"/>
              <w:keepNext/>
              <w:rPr>
                <w:rFonts w:eastAsiaTheme="minorEastAsia"/>
                <w:b/>
                <w:bCs/>
                <w:szCs w:val="20"/>
              </w:rPr>
            </w:pPr>
            <w:r w:rsidRPr="004F2ED4">
              <w:rPr>
                <w:rFonts w:eastAsiaTheme="minorEastAsia"/>
                <w:b/>
                <w:bCs/>
                <w:szCs w:val="20"/>
              </w:rPr>
              <w:t>Administrative advice</w:t>
            </w:r>
          </w:p>
        </w:tc>
        <w:tc>
          <w:tcPr>
            <w:tcW w:w="6804" w:type="dxa"/>
          </w:tcPr>
          <w:p w14:paraId="29B8F817" w14:textId="1FBCA8CD" w:rsidR="003B0D06" w:rsidRPr="004F2ED4" w:rsidRDefault="003B0D06" w:rsidP="00CE759D">
            <w:pPr>
              <w:pStyle w:val="Tabletext"/>
              <w:keepNext/>
              <w:rPr>
                <w:rFonts w:eastAsiaTheme="minorEastAsia"/>
                <w:szCs w:val="20"/>
              </w:rPr>
            </w:pPr>
            <w:r w:rsidRPr="004F2ED4">
              <w:rPr>
                <w:rFonts w:eastAsiaTheme="minorEastAsia"/>
                <w:szCs w:val="20"/>
              </w:rPr>
              <w:t>The prescribing dose of durvalumab is 1</w:t>
            </w:r>
            <w:r w:rsidR="00C97EE4">
              <w:rPr>
                <w:rFonts w:eastAsiaTheme="minorEastAsia"/>
                <w:szCs w:val="20"/>
              </w:rPr>
              <w:t>,</w:t>
            </w:r>
            <w:r w:rsidRPr="004F2ED4">
              <w:rPr>
                <w:rFonts w:eastAsiaTheme="minorEastAsia"/>
                <w:szCs w:val="20"/>
              </w:rPr>
              <w:t>500 mg administered every 4 weeks is equivalent to one cycle.</w:t>
            </w:r>
          </w:p>
          <w:p w14:paraId="381241F4" w14:textId="77777777" w:rsidR="003B0D06" w:rsidRPr="004F2ED4" w:rsidRDefault="003B0D06" w:rsidP="00CE759D">
            <w:pPr>
              <w:pStyle w:val="Tabletext"/>
              <w:keepNext/>
              <w:rPr>
                <w:rFonts w:eastAsiaTheme="minorEastAsia"/>
                <w:szCs w:val="20"/>
              </w:rPr>
            </w:pPr>
            <w:r w:rsidRPr="004F2ED4">
              <w:rPr>
                <w:rFonts w:eastAsiaTheme="minorEastAsia"/>
                <w:szCs w:val="20"/>
              </w:rPr>
              <w:t>No increase in the maximum amount or number of units may be authorised.</w:t>
            </w:r>
          </w:p>
          <w:p w14:paraId="2F78FEF0" w14:textId="77777777" w:rsidR="003B0D06" w:rsidRPr="004F2ED4" w:rsidRDefault="003B0D06" w:rsidP="00CE759D">
            <w:pPr>
              <w:pStyle w:val="Tabletext"/>
              <w:keepNext/>
              <w:rPr>
                <w:rFonts w:eastAsiaTheme="minorEastAsia"/>
                <w:szCs w:val="20"/>
              </w:rPr>
            </w:pPr>
            <w:r w:rsidRPr="004F2ED4">
              <w:rPr>
                <w:rFonts w:eastAsiaTheme="minorEastAsia"/>
                <w:szCs w:val="20"/>
              </w:rPr>
              <w:t>No increase in the maximum number of repeats may be authorised.</w:t>
            </w:r>
          </w:p>
          <w:p w14:paraId="4FD91A19" w14:textId="77777777" w:rsidR="003B0D06" w:rsidRPr="004F2ED4" w:rsidRDefault="003B0D06" w:rsidP="00CE759D">
            <w:pPr>
              <w:pStyle w:val="Tabletext"/>
              <w:keepNext/>
              <w:rPr>
                <w:rFonts w:eastAsiaTheme="minorEastAsia"/>
                <w:szCs w:val="20"/>
              </w:rPr>
            </w:pPr>
            <w:r w:rsidRPr="004F2ED4">
              <w:rPr>
                <w:rFonts w:eastAsiaTheme="minorEastAsia"/>
                <w:szCs w:val="20"/>
              </w:rPr>
              <w:t>Special Pricing Arrangements apply.</w:t>
            </w:r>
          </w:p>
        </w:tc>
      </w:tr>
    </w:tbl>
    <w:p w14:paraId="298E5DEB" w14:textId="1BEEFEC4" w:rsidR="00B06975" w:rsidRPr="0094328D" w:rsidRDefault="00B06975" w:rsidP="00C1302F">
      <w:pPr>
        <w:pStyle w:val="TableFigureFooter"/>
      </w:pPr>
      <w:r w:rsidRPr="0094328D">
        <w:t>Source: Table 1</w:t>
      </w:r>
      <w:r w:rsidR="00675F55">
        <w:noBreakHyphen/>
      </w:r>
      <w:r w:rsidRPr="0094328D">
        <w:t>11 p43 of the submission</w:t>
      </w:r>
    </w:p>
    <w:p w14:paraId="44F66A8B" w14:textId="1EC4A928" w:rsidR="003B0D06" w:rsidRDefault="00D55A46" w:rsidP="00C1302F">
      <w:pPr>
        <w:pStyle w:val="TableFigureFooter"/>
      </w:pPr>
      <w:r w:rsidRPr="0094328D">
        <w:t>FLOT = 5</w:t>
      </w:r>
      <w:r w:rsidR="00675F55">
        <w:noBreakHyphen/>
      </w:r>
      <w:r w:rsidRPr="0094328D">
        <w:t xml:space="preserve">fluorouracil, leucovorin, </w:t>
      </w:r>
      <w:r w:rsidR="009C4AA3" w:rsidRPr="0094328D">
        <w:t xml:space="preserve">oxaliplatin and docetaxel; PBS = Pharmaceutical Benefits Scheme; </w:t>
      </w:r>
      <w:r w:rsidR="006B5AB3" w:rsidRPr="0094328D">
        <w:t xml:space="preserve">TGA = Therapeutic Goods Administration; </w:t>
      </w:r>
      <w:r w:rsidRPr="0094328D">
        <w:t>WHO = World Health Organization</w:t>
      </w:r>
      <w:r w:rsidR="00F63DC5" w:rsidRPr="0094328D">
        <w:t>.</w:t>
      </w:r>
    </w:p>
    <w:p w14:paraId="59A3C6FC" w14:textId="77777777" w:rsidR="00E70B6F" w:rsidRPr="0094328D" w:rsidRDefault="00E70B6F" w:rsidP="00C1302F">
      <w:pPr>
        <w:pStyle w:val="TableFigureFooter"/>
      </w:pPr>
    </w:p>
    <w:tbl>
      <w:tblPr>
        <w:tblStyle w:val="AZTable"/>
        <w:tblW w:w="8926" w:type="dxa"/>
        <w:tblInd w:w="-1" w:type="dxa"/>
        <w:tblLook w:val="04A0" w:firstRow="1" w:lastRow="0" w:firstColumn="1" w:lastColumn="0" w:noHBand="0" w:noVBand="1"/>
      </w:tblPr>
      <w:tblGrid>
        <w:gridCol w:w="2122"/>
        <w:gridCol w:w="6804"/>
      </w:tblGrid>
      <w:tr w:rsidR="003B0D06" w:rsidRPr="00B9459B" w14:paraId="1BB1BE44" w14:textId="77777777">
        <w:trPr>
          <w:cnfStyle w:val="100000000000" w:firstRow="1" w:lastRow="0" w:firstColumn="0" w:lastColumn="0" w:oddVBand="0" w:evenVBand="0" w:oddHBand="0" w:evenHBand="0" w:firstRowFirstColumn="0" w:firstRowLastColumn="0" w:lastRowFirstColumn="0" w:lastRowLastColumn="0"/>
        </w:trPr>
        <w:tc>
          <w:tcPr>
            <w:tcW w:w="8926" w:type="dxa"/>
            <w:gridSpan w:val="2"/>
          </w:tcPr>
          <w:p w14:paraId="3C6221A6" w14:textId="77777777" w:rsidR="003B0D06" w:rsidRPr="004F2ED4" w:rsidRDefault="003B0D06">
            <w:pPr>
              <w:rPr>
                <w:rFonts w:ascii="Arial Narrow" w:hAnsi="Arial Narrow"/>
                <w:b/>
                <w:snapToGrid w:val="0"/>
                <w:sz w:val="20"/>
                <w:szCs w:val="20"/>
              </w:rPr>
            </w:pPr>
            <w:r w:rsidRPr="004F2ED4">
              <w:rPr>
                <w:rFonts w:ascii="Arial Narrow" w:hAnsi="Arial Narrow"/>
                <w:b/>
                <w:snapToGrid w:val="0"/>
                <w:sz w:val="20"/>
                <w:szCs w:val="20"/>
              </w:rPr>
              <w:t xml:space="preserve">Category/Program: </w:t>
            </w:r>
            <w:r w:rsidRPr="004F2ED4">
              <w:rPr>
                <w:rFonts w:ascii="Arial Narrow" w:hAnsi="Arial Narrow"/>
                <w:bCs/>
                <w:snapToGrid w:val="0"/>
                <w:sz w:val="20"/>
                <w:szCs w:val="20"/>
              </w:rPr>
              <w:t>Section 100 – Efficient Funding of Chemotherapy Public/Private hospitals</w:t>
            </w:r>
          </w:p>
        </w:tc>
      </w:tr>
      <w:tr w:rsidR="003B0D06" w:rsidRPr="00B9459B" w14:paraId="208B7A96" w14:textId="77777777">
        <w:tc>
          <w:tcPr>
            <w:tcW w:w="2122" w:type="dxa"/>
          </w:tcPr>
          <w:p w14:paraId="0CDCEBD5" w14:textId="77777777" w:rsidR="003B0D06" w:rsidRPr="00132932" w:rsidRDefault="003B0D06">
            <w:pPr>
              <w:rPr>
                <w:rFonts w:ascii="Arial Narrow" w:hAnsi="Arial Narrow"/>
                <w:b/>
                <w:sz w:val="20"/>
                <w:szCs w:val="20"/>
              </w:rPr>
            </w:pPr>
            <w:r w:rsidRPr="00132932">
              <w:rPr>
                <w:rFonts w:ascii="Arial Narrow" w:hAnsi="Arial Narrow"/>
                <w:b/>
                <w:sz w:val="20"/>
                <w:szCs w:val="20"/>
              </w:rPr>
              <w:t xml:space="preserve">Prescriber Type: </w:t>
            </w:r>
          </w:p>
        </w:tc>
        <w:tc>
          <w:tcPr>
            <w:tcW w:w="6804" w:type="dxa"/>
          </w:tcPr>
          <w:p w14:paraId="124FF58A" w14:textId="77777777" w:rsidR="003B0D06" w:rsidRPr="00132932" w:rsidRDefault="003B0D06">
            <w:pPr>
              <w:rPr>
                <w:rFonts w:ascii="Arial Narrow" w:hAnsi="Arial Narrow"/>
                <w:sz w:val="20"/>
                <w:szCs w:val="20"/>
              </w:rPr>
            </w:pPr>
            <w:r w:rsidRPr="00132932">
              <w:rPr>
                <w:rFonts w:ascii="Arial Narrow" w:hAnsi="Arial Narrow"/>
                <w:sz w:val="20"/>
                <w:szCs w:val="20"/>
              </w:rPr>
              <w:fldChar w:fldCharType="begin">
                <w:ffData>
                  <w:name w:val="Check1"/>
                  <w:enabled/>
                  <w:calcOnExit w:val="0"/>
                  <w:checkBox>
                    <w:sizeAuto/>
                    <w:default w:val="0"/>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 xml:space="preserve">Dental </w:t>
            </w:r>
            <w:r w:rsidRPr="00132932">
              <w:rPr>
                <w:rFonts w:ascii="Arial Narrow" w:hAnsi="Arial Narrow"/>
                <w:sz w:val="20"/>
                <w:szCs w:val="20"/>
              </w:rPr>
              <w:fldChar w:fldCharType="begin">
                <w:ffData>
                  <w:name w:val=""/>
                  <w:enabled/>
                  <w:calcOnExit w:val="0"/>
                  <w:checkBox>
                    <w:sizeAuto/>
                    <w:default w:val="1"/>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 xml:space="preserve">Medical Practitioners </w:t>
            </w:r>
            <w:r w:rsidRPr="00132932">
              <w:rPr>
                <w:rFonts w:ascii="Arial Narrow" w:hAnsi="Arial Narrow"/>
                <w:sz w:val="20"/>
                <w:szCs w:val="20"/>
              </w:rPr>
              <w:fldChar w:fldCharType="begin">
                <w:ffData>
                  <w:name w:val="Check3"/>
                  <w:enabled/>
                  <w:calcOnExit w:val="0"/>
                  <w:checkBox>
                    <w:sizeAuto/>
                    <w:default w:val="0"/>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 xml:space="preserve">Nurse practitioners </w:t>
            </w:r>
            <w:r w:rsidRPr="00132932">
              <w:rPr>
                <w:rFonts w:ascii="Arial Narrow" w:hAnsi="Arial Narrow"/>
                <w:sz w:val="20"/>
                <w:szCs w:val="20"/>
              </w:rPr>
              <w:fldChar w:fldCharType="begin">
                <w:ffData>
                  <w:name w:val=""/>
                  <w:enabled/>
                  <w:calcOnExit w:val="0"/>
                  <w:checkBox>
                    <w:sizeAuto/>
                    <w:default w:val="0"/>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 xml:space="preserve">Optometrists </w:t>
            </w:r>
            <w:r w:rsidRPr="00132932">
              <w:rPr>
                <w:rFonts w:ascii="Arial Narrow" w:hAnsi="Arial Narrow"/>
                <w:sz w:val="20"/>
                <w:szCs w:val="20"/>
              </w:rPr>
              <w:fldChar w:fldCharType="begin">
                <w:ffData>
                  <w:name w:val="Check5"/>
                  <w:enabled/>
                  <w:calcOnExit w:val="0"/>
                  <w:checkBox>
                    <w:sizeAuto/>
                    <w:default w:val="0"/>
                  </w:checkBox>
                </w:ffData>
              </w:fldChar>
            </w:r>
            <w:r w:rsidRPr="00132932">
              <w:rPr>
                <w:rFonts w:ascii="Arial Narrow" w:hAnsi="Arial Narrow"/>
                <w:sz w:val="20"/>
                <w:szCs w:val="20"/>
              </w:rPr>
              <w:instrText xml:space="preserve"> FORMCHECKBOX </w:instrText>
            </w:r>
            <w:r w:rsidRPr="00132932">
              <w:rPr>
                <w:rFonts w:ascii="Arial Narrow" w:hAnsi="Arial Narrow"/>
                <w:sz w:val="20"/>
                <w:szCs w:val="20"/>
              </w:rPr>
            </w:r>
            <w:r w:rsidRPr="00132932">
              <w:rPr>
                <w:rFonts w:ascii="Arial Narrow" w:hAnsi="Arial Narrow"/>
                <w:sz w:val="20"/>
                <w:szCs w:val="20"/>
              </w:rPr>
              <w:fldChar w:fldCharType="separate"/>
            </w:r>
            <w:r w:rsidRPr="00132932">
              <w:rPr>
                <w:rFonts w:ascii="Arial Narrow" w:hAnsi="Arial Narrow"/>
                <w:sz w:val="20"/>
                <w:szCs w:val="20"/>
              </w:rPr>
              <w:fldChar w:fldCharType="end"/>
            </w:r>
            <w:r w:rsidRPr="00132932">
              <w:rPr>
                <w:rFonts w:ascii="Arial Narrow" w:hAnsi="Arial Narrow"/>
                <w:sz w:val="20"/>
                <w:szCs w:val="20"/>
              </w:rPr>
              <w:t>Midwives</w:t>
            </w:r>
          </w:p>
        </w:tc>
      </w:tr>
      <w:tr w:rsidR="003B0D06" w:rsidRPr="00B9459B" w14:paraId="13E84989" w14:textId="77777777">
        <w:trPr>
          <w:trHeight w:val="58"/>
        </w:trPr>
        <w:tc>
          <w:tcPr>
            <w:tcW w:w="2122" w:type="dxa"/>
          </w:tcPr>
          <w:p w14:paraId="21EAA2F6" w14:textId="77777777" w:rsidR="003B0D06" w:rsidRPr="00132932" w:rsidRDefault="003B0D06">
            <w:pPr>
              <w:rPr>
                <w:rFonts w:ascii="Arial Narrow" w:hAnsi="Arial Narrow"/>
                <w:b/>
                <w:sz w:val="20"/>
                <w:szCs w:val="20"/>
              </w:rPr>
            </w:pPr>
            <w:r w:rsidRPr="004F2ED4">
              <w:rPr>
                <w:rFonts w:ascii="Arial Narrow" w:hAnsi="Arial Narrow"/>
                <w:b/>
                <w:bCs/>
                <w:sz w:val="20"/>
                <w:szCs w:val="20"/>
              </w:rPr>
              <w:t>Restriction Summary / Treatment of Concept</w:t>
            </w:r>
            <w:r w:rsidRPr="004F2ED4">
              <w:rPr>
                <w:rFonts w:ascii="Arial Narrow" w:hAnsi="Arial Narrow"/>
                <w:sz w:val="20"/>
                <w:szCs w:val="20"/>
              </w:rPr>
              <w:t>:</w:t>
            </w:r>
          </w:p>
        </w:tc>
        <w:tc>
          <w:tcPr>
            <w:tcW w:w="6804" w:type="dxa"/>
          </w:tcPr>
          <w:p w14:paraId="417A825F" w14:textId="77777777" w:rsidR="003B0D06" w:rsidRPr="00132932" w:rsidRDefault="003B0D06">
            <w:pPr>
              <w:rPr>
                <w:rFonts w:ascii="Arial Narrow" w:hAnsi="Arial Narrow"/>
                <w:sz w:val="20"/>
                <w:szCs w:val="20"/>
              </w:rPr>
            </w:pPr>
            <w:r w:rsidRPr="004F2ED4">
              <w:rPr>
                <w:rFonts w:ascii="Arial Narrow" w:hAnsi="Arial Narrow"/>
                <w:sz w:val="20"/>
                <w:szCs w:val="20"/>
              </w:rPr>
              <w:t>Authority Required (</w:t>
            </w:r>
            <w:r w:rsidRPr="00132932">
              <w:rPr>
                <w:rFonts w:ascii="Arial Narrow" w:hAnsi="Arial Narrow"/>
                <w:sz w:val="20"/>
                <w:szCs w:val="20"/>
              </w:rPr>
              <w:t>telephone/online PBS Authorities system)</w:t>
            </w:r>
          </w:p>
        </w:tc>
      </w:tr>
      <w:tr w:rsidR="003B0D06" w:rsidRPr="00B9459B" w14:paraId="7E8A9AE7" w14:textId="77777777">
        <w:trPr>
          <w:trHeight w:val="58"/>
        </w:trPr>
        <w:tc>
          <w:tcPr>
            <w:tcW w:w="2122" w:type="dxa"/>
          </w:tcPr>
          <w:p w14:paraId="5159CA23" w14:textId="77777777" w:rsidR="003B0D06" w:rsidRPr="004F2ED4" w:rsidRDefault="003B0D06">
            <w:pPr>
              <w:rPr>
                <w:rFonts w:ascii="Arial Narrow" w:hAnsi="Arial Narrow"/>
                <w:b/>
                <w:bCs/>
                <w:sz w:val="20"/>
                <w:szCs w:val="20"/>
              </w:rPr>
            </w:pPr>
            <w:r w:rsidRPr="004F2ED4">
              <w:rPr>
                <w:rFonts w:ascii="Arial Narrow" w:hAnsi="Arial Narrow"/>
                <w:b/>
                <w:bCs/>
                <w:sz w:val="20"/>
                <w:szCs w:val="20"/>
              </w:rPr>
              <w:t>PBS Indication</w:t>
            </w:r>
            <w:r w:rsidRPr="004F2ED4">
              <w:rPr>
                <w:rFonts w:ascii="Arial Narrow" w:hAnsi="Arial Narrow"/>
                <w:sz w:val="20"/>
                <w:szCs w:val="20"/>
              </w:rPr>
              <w:t xml:space="preserve">: </w:t>
            </w:r>
          </w:p>
        </w:tc>
        <w:tc>
          <w:tcPr>
            <w:tcW w:w="6804" w:type="dxa"/>
          </w:tcPr>
          <w:p w14:paraId="7CAC717C" w14:textId="77777777" w:rsidR="003B0D06" w:rsidRPr="004F2ED4" w:rsidRDefault="003B0D06">
            <w:pPr>
              <w:rPr>
                <w:rFonts w:ascii="Arial Narrow" w:hAnsi="Arial Narrow"/>
                <w:sz w:val="20"/>
                <w:szCs w:val="20"/>
              </w:rPr>
            </w:pPr>
            <w:r w:rsidRPr="004F2ED4">
              <w:rPr>
                <w:rFonts w:ascii="Arial Narrow" w:hAnsi="Arial Narrow"/>
                <w:sz w:val="20"/>
                <w:szCs w:val="20"/>
              </w:rPr>
              <w:t>Resectable gastric and gastroesophageal junction adenocarcinoma</w:t>
            </w:r>
          </w:p>
        </w:tc>
      </w:tr>
      <w:tr w:rsidR="003B0D06" w:rsidRPr="00B9459B" w14:paraId="0376FCBF" w14:textId="77777777">
        <w:trPr>
          <w:trHeight w:val="58"/>
        </w:trPr>
        <w:tc>
          <w:tcPr>
            <w:tcW w:w="2122" w:type="dxa"/>
          </w:tcPr>
          <w:p w14:paraId="26658FAC" w14:textId="77777777" w:rsidR="003B0D06" w:rsidRPr="004F2ED4" w:rsidRDefault="003B0D06">
            <w:pPr>
              <w:rPr>
                <w:rFonts w:ascii="Arial Narrow" w:hAnsi="Arial Narrow"/>
                <w:b/>
                <w:bCs/>
                <w:sz w:val="20"/>
                <w:szCs w:val="20"/>
              </w:rPr>
            </w:pPr>
            <w:r w:rsidRPr="004F2ED4">
              <w:rPr>
                <w:rFonts w:ascii="Arial Narrow" w:hAnsi="Arial Narrow"/>
                <w:b/>
                <w:bCs/>
                <w:sz w:val="20"/>
                <w:szCs w:val="20"/>
              </w:rPr>
              <w:t>Treatment phase</w:t>
            </w:r>
          </w:p>
        </w:tc>
        <w:tc>
          <w:tcPr>
            <w:tcW w:w="6804" w:type="dxa"/>
          </w:tcPr>
          <w:p w14:paraId="214587C9" w14:textId="77777777" w:rsidR="003B0D06" w:rsidRPr="004F2ED4" w:rsidRDefault="003B0D06">
            <w:pPr>
              <w:rPr>
                <w:rFonts w:ascii="Arial Narrow" w:hAnsi="Arial Narrow"/>
                <w:sz w:val="20"/>
                <w:szCs w:val="20"/>
              </w:rPr>
            </w:pPr>
            <w:r w:rsidRPr="004F2ED4">
              <w:rPr>
                <w:rFonts w:ascii="Arial Narrow" w:hAnsi="Arial Narrow"/>
                <w:sz w:val="20"/>
                <w:szCs w:val="20"/>
              </w:rPr>
              <w:t>Adjuvant phase</w:t>
            </w:r>
          </w:p>
        </w:tc>
      </w:tr>
      <w:tr w:rsidR="003B0D06" w:rsidRPr="00B9459B" w14:paraId="6ADC0D40" w14:textId="77777777">
        <w:trPr>
          <w:trHeight w:val="58"/>
        </w:trPr>
        <w:tc>
          <w:tcPr>
            <w:tcW w:w="2122" w:type="dxa"/>
            <w:vAlign w:val="center"/>
          </w:tcPr>
          <w:p w14:paraId="06CACCE2" w14:textId="77777777" w:rsidR="003B0D06" w:rsidRPr="004F2ED4" w:rsidRDefault="003B0D06">
            <w:pPr>
              <w:rPr>
                <w:rFonts w:ascii="Arial Narrow" w:hAnsi="Arial Narrow"/>
                <w:b/>
                <w:bCs/>
                <w:sz w:val="20"/>
                <w:szCs w:val="20"/>
              </w:rPr>
            </w:pPr>
            <w:r w:rsidRPr="00ED234E">
              <w:rPr>
                <w:rFonts w:ascii="Arial Narrow" w:hAnsi="Arial Narrow"/>
                <w:b/>
                <w:sz w:val="20"/>
                <w:szCs w:val="20"/>
              </w:rPr>
              <w:t>Population criteria</w:t>
            </w:r>
          </w:p>
        </w:tc>
        <w:tc>
          <w:tcPr>
            <w:tcW w:w="6804" w:type="dxa"/>
            <w:vAlign w:val="center"/>
          </w:tcPr>
          <w:p w14:paraId="2D22B4FF" w14:textId="77777777" w:rsidR="003B0D06" w:rsidRPr="00ED234E" w:rsidRDefault="003B0D06">
            <w:pPr>
              <w:pStyle w:val="Tabletext"/>
              <w:rPr>
                <w:rFonts w:eastAsiaTheme="minorEastAsia"/>
                <w:szCs w:val="20"/>
              </w:rPr>
            </w:pPr>
            <w:r w:rsidRPr="00ED234E">
              <w:rPr>
                <w:rFonts w:eastAsiaTheme="minorEastAsia"/>
                <w:szCs w:val="20"/>
              </w:rPr>
              <w:t>Patient must have previously received PBS subsidised neoadjuvant treatment with this drug for this condition OR</w:t>
            </w:r>
          </w:p>
          <w:p w14:paraId="27866BA3" w14:textId="278E381B" w:rsidR="003B0D06" w:rsidRPr="004F2ED4" w:rsidRDefault="003B0D06">
            <w:pPr>
              <w:rPr>
                <w:rFonts w:ascii="Arial Narrow" w:hAnsi="Arial Narrow"/>
                <w:sz w:val="20"/>
                <w:szCs w:val="20"/>
              </w:rPr>
            </w:pPr>
            <w:r w:rsidRPr="00ED234E">
              <w:rPr>
                <w:rFonts w:ascii="Arial Narrow" w:hAnsi="Arial Narrow"/>
                <w:sz w:val="20"/>
                <w:szCs w:val="20"/>
              </w:rPr>
              <w:t>Patient must be both: (i) transitioning from existing non</w:t>
            </w:r>
            <w:r w:rsidR="00675F55">
              <w:rPr>
                <w:rFonts w:ascii="Arial Narrow" w:hAnsi="Arial Narrow"/>
                <w:sz w:val="20"/>
                <w:szCs w:val="20"/>
              </w:rPr>
              <w:noBreakHyphen/>
            </w:r>
            <w:r w:rsidRPr="00ED234E">
              <w:rPr>
                <w:rFonts w:ascii="Arial Narrow" w:hAnsi="Arial Narrow"/>
                <w:sz w:val="20"/>
                <w:szCs w:val="20"/>
              </w:rPr>
              <w:t>PBS to PBS subsidised supply of this drug, (ii) treated with combined therapy with durvalumab and FLOT as neoadjuvant treatment for this condition</w:t>
            </w:r>
          </w:p>
        </w:tc>
      </w:tr>
      <w:tr w:rsidR="003B0D06" w:rsidRPr="00B9459B" w14:paraId="1BDE868E" w14:textId="77777777">
        <w:trPr>
          <w:trHeight w:val="58"/>
        </w:trPr>
        <w:tc>
          <w:tcPr>
            <w:tcW w:w="2122" w:type="dxa"/>
          </w:tcPr>
          <w:p w14:paraId="16F54391" w14:textId="77777777" w:rsidR="003B0D06" w:rsidRPr="004F2ED4" w:rsidRDefault="003B0D06">
            <w:pPr>
              <w:pStyle w:val="Tabletext"/>
              <w:rPr>
                <w:rFonts w:cs="Arial"/>
                <w:szCs w:val="20"/>
              </w:rPr>
            </w:pPr>
            <w:r w:rsidRPr="004F2ED4">
              <w:rPr>
                <w:rFonts w:eastAsiaTheme="minorEastAsia"/>
                <w:b/>
                <w:bCs/>
                <w:szCs w:val="20"/>
              </w:rPr>
              <w:t>Clinical</w:t>
            </w:r>
            <w:r w:rsidRPr="004F2ED4">
              <w:rPr>
                <w:rFonts w:eastAsiaTheme="minorEastAsia"/>
                <w:szCs w:val="20"/>
              </w:rPr>
              <w:t xml:space="preserve"> </w:t>
            </w:r>
            <w:r w:rsidRPr="004F2ED4">
              <w:rPr>
                <w:rFonts w:eastAsiaTheme="minorEastAsia"/>
                <w:b/>
                <w:bCs/>
                <w:szCs w:val="20"/>
              </w:rPr>
              <w:t>criteria</w:t>
            </w:r>
            <w:r w:rsidRPr="004F2ED4">
              <w:rPr>
                <w:rFonts w:eastAsiaTheme="minorEastAsia"/>
                <w:szCs w:val="20"/>
              </w:rPr>
              <w:t>:</w:t>
            </w:r>
          </w:p>
          <w:p w14:paraId="5A2DDA21" w14:textId="77777777" w:rsidR="003B0D06" w:rsidRPr="004F2ED4" w:rsidRDefault="003B0D06">
            <w:pPr>
              <w:rPr>
                <w:rFonts w:ascii="Arial Narrow" w:hAnsi="Arial Narrow"/>
                <w:b/>
                <w:bCs/>
                <w:sz w:val="20"/>
                <w:szCs w:val="20"/>
              </w:rPr>
            </w:pPr>
          </w:p>
        </w:tc>
        <w:tc>
          <w:tcPr>
            <w:tcW w:w="6804" w:type="dxa"/>
          </w:tcPr>
          <w:p w14:paraId="2C1616A1" w14:textId="77777777" w:rsidR="003B0D06" w:rsidRPr="00132932" w:rsidRDefault="003B0D06">
            <w:pPr>
              <w:pStyle w:val="Tabletext"/>
              <w:rPr>
                <w:rFonts w:eastAsiaTheme="minorEastAsia"/>
                <w:szCs w:val="20"/>
              </w:rPr>
            </w:pPr>
            <w:r w:rsidRPr="00132932">
              <w:rPr>
                <w:rFonts w:eastAsiaTheme="minorEastAsia"/>
                <w:szCs w:val="20"/>
              </w:rPr>
              <w:t>The treatment must be for the purposes of adjuvant use following complete surgical resection</w:t>
            </w:r>
          </w:p>
          <w:p w14:paraId="666EF4E1" w14:textId="77777777" w:rsidR="003B0D06" w:rsidRPr="00132932" w:rsidRDefault="003B0D06">
            <w:pPr>
              <w:pStyle w:val="Tabletext"/>
              <w:rPr>
                <w:rFonts w:eastAsiaTheme="minorEastAsia"/>
                <w:szCs w:val="20"/>
              </w:rPr>
            </w:pPr>
            <w:r w:rsidRPr="00132932">
              <w:rPr>
                <w:rFonts w:eastAsiaTheme="minorEastAsia"/>
                <w:szCs w:val="20"/>
              </w:rPr>
              <w:t>AND</w:t>
            </w:r>
          </w:p>
          <w:p w14:paraId="49B54623" w14:textId="2E723DAC" w:rsidR="003B0D06" w:rsidRPr="00132932" w:rsidRDefault="003B0D06">
            <w:pPr>
              <w:pStyle w:val="Tabletext"/>
              <w:rPr>
                <w:rFonts w:eastAsiaTheme="minorEastAsia"/>
                <w:lang w:val="en-US"/>
              </w:rPr>
            </w:pPr>
            <w:r w:rsidRPr="5391DBCF">
              <w:rPr>
                <w:rFonts w:eastAsiaTheme="minorEastAsia"/>
                <w:lang w:val="en-US"/>
              </w:rPr>
              <w:t xml:space="preserve">The treatment must be initiated in combination with adjuvant FLOT for up to 2 cycles unless intolerant to FLOT requiring permanent </w:t>
            </w:r>
            <w:r w:rsidR="002C343E" w:rsidRPr="5391DBCF">
              <w:rPr>
                <w:rFonts w:eastAsiaTheme="minorEastAsia"/>
                <w:lang w:val="en-US"/>
              </w:rPr>
              <w:t>discontinuation.</w:t>
            </w:r>
          </w:p>
          <w:p w14:paraId="4A5083DB" w14:textId="77777777" w:rsidR="003B0D06" w:rsidRPr="00132932" w:rsidRDefault="003B0D06">
            <w:pPr>
              <w:pStyle w:val="Tabletext"/>
              <w:rPr>
                <w:rFonts w:eastAsiaTheme="minorEastAsia"/>
                <w:szCs w:val="20"/>
              </w:rPr>
            </w:pPr>
            <w:r w:rsidRPr="00132932">
              <w:rPr>
                <w:rFonts w:eastAsiaTheme="minorEastAsia"/>
                <w:szCs w:val="20"/>
              </w:rPr>
              <w:t>AND</w:t>
            </w:r>
          </w:p>
          <w:p w14:paraId="0DDF4BEB" w14:textId="67A50C96" w:rsidR="003B0D06" w:rsidRPr="00132932" w:rsidRDefault="003B0D06">
            <w:pPr>
              <w:pStyle w:val="Tabletext"/>
              <w:rPr>
                <w:rFonts w:eastAsiaTheme="minorEastAsia"/>
                <w:lang w:val="en-US"/>
              </w:rPr>
            </w:pPr>
            <w:r w:rsidRPr="5391DBCF">
              <w:rPr>
                <w:rFonts w:eastAsiaTheme="minorEastAsia"/>
                <w:lang w:val="en-US"/>
              </w:rPr>
              <w:t>The treatment must be as monotherapy for up to an additional 10 cycles</w:t>
            </w:r>
            <w:r w:rsidRPr="5391DBCF">
              <w:rPr>
                <w:rFonts w:eastAsiaTheme="minorEastAsia"/>
                <w:sz w:val="18"/>
                <w:szCs w:val="18"/>
                <w:lang w:val="en-US"/>
              </w:rPr>
              <w:t xml:space="preserve"> </w:t>
            </w:r>
            <w:r w:rsidRPr="5391DBCF">
              <w:rPr>
                <w:rFonts w:eastAsiaTheme="minorEastAsia"/>
                <w:lang w:val="en-US"/>
              </w:rPr>
              <w:t xml:space="preserve">after completing the first 2 </w:t>
            </w:r>
            <w:r w:rsidR="002C343E" w:rsidRPr="5391DBCF">
              <w:rPr>
                <w:rFonts w:eastAsiaTheme="minorEastAsia"/>
                <w:lang w:val="en-US"/>
              </w:rPr>
              <w:t>cycles.</w:t>
            </w:r>
          </w:p>
          <w:p w14:paraId="4A70244D" w14:textId="77777777" w:rsidR="003B0D06" w:rsidRPr="00132932" w:rsidRDefault="003B0D06">
            <w:pPr>
              <w:pStyle w:val="Tabletext"/>
              <w:rPr>
                <w:rFonts w:eastAsiaTheme="minorEastAsia"/>
                <w:szCs w:val="20"/>
              </w:rPr>
            </w:pPr>
            <w:r w:rsidRPr="00132932">
              <w:rPr>
                <w:rFonts w:eastAsiaTheme="minorEastAsia"/>
                <w:szCs w:val="20"/>
              </w:rPr>
              <w:t>AND</w:t>
            </w:r>
          </w:p>
          <w:p w14:paraId="4B2D8513" w14:textId="15450C71" w:rsidR="003B0D06" w:rsidRPr="00132932" w:rsidRDefault="003B0D06">
            <w:pPr>
              <w:pStyle w:val="Tabletext"/>
              <w:rPr>
                <w:rFonts w:eastAsiaTheme="minorEastAsia"/>
                <w:lang w:val="en-US"/>
              </w:rPr>
            </w:pPr>
            <w:r w:rsidRPr="5391DBCF">
              <w:rPr>
                <w:rFonts w:eastAsiaTheme="minorEastAsia"/>
                <w:lang w:val="en-US"/>
              </w:rPr>
              <w:t xml:space="preserve">Patient must have previously received PBS subsidised neoadjuvant treatment with this drug for this </w:t>
            </w:r>
            <w:r w:rsidR="00855394" w:rsidRPr="5391DBCF">
              <w:rPr>
                <w:rFonts w:eastAsiaTheme="minorEastAsia"/>
                <w:lang w:val="en-US"/>
              </w:rPr>
              <w:t>condition.</w:t>
            </w:r>
          </w:p>
          <w:p w14:paraId="2C570158" w14:textId="77777777" w:rsidR="003B0D06" w:rsidRPr="00132932" w:rsidRDefault="003B0D06">
            <w:pPr>
              <w:pStyle w:val="Tabletext"/>
              <w:rPr>
                <w:rFonts w:eastAsiaTheme="minorEastAsia"/>
                <w:szCs w:val="20"/>
              </w:rPr>
            </w:pPr>
            <w:r w:rsidRPr="00132932">
              <w:rPr>
                <w:rFonts w:eastAsiaTheme="minorEastAsia"/>
                <w:szCs w:val="20"/>
              </w:rPr>
              <w:t>AND</w:t>
            </w:r>
          </w:p>
          <w:p w14:paraId="20DB65D6" w14:textId="77777777" w:rsidR="003B0D06" w:rsidRPr="00132932" w:rsidRDefault="003B0D06">
            <w:pPr>
              <w:pStyle w:val="Tabletext"/>
              <w:rPr>
                <w:rFonts w:eastAsiaTheme="minorEastAsia"/>
                <w:szCs w:val="20"/>
              </w:rPr>
            </w:pPr>
            <w:r w:rsidRPr="00132932">
              <w:rPr>
                <w:rFonts w:eastAsiaTheme="minorEastAsia"/>
                <w:szCs w:val="20"/>
              </w:rPr>
              <w:t>Patient must not have developed disease progression while being treated with this drug for this condition</w:t>
            </w:r>
          </w:p>
        </w:tc>
      </w:tr>
      <w:tr w:rsidR="003B0D06" w:rsidRPr="00B9459B" w14:paraId="2A7AC0DC" w14:textId="77777777">
        <w:trPr>
          <w:trHeight w:val="58"/>
        </w:trPr>
        <w:tc>
          <w:tcPr>
            <w:tcW w:w="2122" w:type="dxa"/>
          </w:tcPr>
          <w:p w14:paraId="42DCB7D3" w14:textId="77777777" w:rsidR="003B0D06" w:rsidRPr="004F2ED4" w:rsidRDefault="003B0D06">
            <w:pPr>
              <w:pStyle w:val="Tabletext"/>
              <w:rPr>
                <w:rFonts w:eastAsiaTheme="minorEastAsia"/>
                <w:b/>
                <w:bCs/>
                <w:szCs w:val="20"/>
              </w:rPr>
            </w:pPr>
            <w:r w:rsidRPr="004F2ED4">
              <w:rPr>
                <w:rFonts w:eastAsiaTheme="minorEastAsia"/>
                <w:b/>
                <w:bCs/>
                <w:szCs w:val="20"/>
              </w:rPr>
              <w:t>Treatment criteria</w:t>
            </w:r>
          </w:p>
        </w:tc>
        <w:tc>
          <w:tcPr>
            <w:tcW w:w="6804" w:type="dxa"/>
            <w:vAlign w:val="center"/>
          </w:tcPr>
          <w:p w14:paraId="2884E302" w14:textId="77777777" w:rsidR="003B0D06" w:rsidRPr="00132932" w:rsidRDefault="003B0D06">
            <w:pPr>
              <w:pStyle w:val="Tabletext"/>
              <w:rPr>
                <w:rFonts w:eastAsiaTheme="minorEastAsia"/>
                <w:lang w:val="en-US"/>
              </w:rPr>
            </w:pPr>
            <w:r w:rsidRPr="5391DBCF">
              <w:rPr>
                <w:rFonts w:eastAsiaTheme="minorEastAsia"/>
                <w:lang w:val="en-US"/>
              </w:rPr>
              <w:t>Patient must be undergoing treatment that does not occur beyond the following, whichever comes first: (i) the first instance of disease progression/recurrence, (ii) maximum of 12 cycles for this condition from the first administered dose following surgery, (iii) unacceptable toxicity; annotate any remaining repeat prescriptions with the word 'cancelled' where this occurs</w:t>
            </w:r>
          </w:p>
          <w:p w14:paraId="0D0596E7" w14:textId="77777777" w:rsidR="003B0D06" w:rsidRPr="00132932" w:rsidRDefault="003B0D06">
            <w:pPr>
              <w:pStyle w:val="Tabletext"/>
              <w:rPr>
                <w:rFonts w:eastAsiaTheme="minorEastAsia"/>
                <w:szCs w:val="20"/>
              </w:rPr>
            </w:pPr>
            <w:r w:rsidRPr="00132932">
              <w:rPr>
                <w:rFonts w:eastAsiaTheme="minorEastAsia"/>
                <w:szCs w:val="20"/>
              </w:rPr>
              <w:t>Patient must be undergoing treatment with a dosing regimen as set out in the drug's Therapeutic Goods Administration (TGA) approved Product Information</w:t>
            </w:r>
          </w:p>
        </w:tc>
      </w:tr>
      <w:tr w:rsidR="003B0D06" w:rsidRPr="00B9459B" w14:paraId="6C9F8EEC" w14:textId="77777777">
        <w:trPr>
          <w:trHeight w:val="58"/>
        </w:trPr>
        <w:tc>
          <w:tcPr>
            <w:tcW w:w="2122" w:type="dxa"/>
          </w:tcPr>
          <w:p w14:paraId="42458074" w14:textId="77777777" w:rsidR="003B0D06" w:rsidRPr="004F2ED4" w:rsidRDefault="003B0D06">
            <w:pPr>
              <w:pStyle w:val="Tabletext"/>
              <w:rPr>
                <w:rFonts w:eastAsiaTheme="minorEastAsia"/>
                <w:b/>
                <w:bCs/>
                <w:szCs w:val="20"/>
              </w:rPr>
            </w:pPr>
            <w:r w:rsidRPr="004F2ED4">
              <w:rPr>
                <w:rFonts w:eastAsiaTheme="minorEastAsia"/>
                <w:b/>
                <w:bCs/>
                <w:szCs w:val="20"/>
              </w:rPr>
              <w:t>Administrative advice</w:t>
            </w:r>
          </w:p>
        </w:tc>
        <w:tc>
          <w:tcPr>
            <w:tcW w:w="6804" w:type="dxa"/>
          </w:tcPr>
          <w:p w14:paraId="7F5DB562" w14:textId="229072B9" w:rsidR="003B0D06" w:rsidRPr="00132932" w:rsidRDefault="003B0D06">
            <w:pPr>
              <w:pStyle w:val="Tabletext"/>
              <w:rPr>
                <w:rFonts w:eastAsiaTheme="minorEastAsia"/>
                <w:lang w:val="en-US"/>
              </w:rPr>
            </w:pPr>
            <w:r w:rsidRPr="5391DBCF">
              <w:rPr>
                <w:rFonts w:eastAsiaTheme="minorEastAsia"/>
                <w:lang w:val="en-US"/>
              </w:rPr>
              <w:t>The prescribing dose of durvalumab is 1</w:t>
            </w:r>
            <w:r w:rsidR="001D409E" w:rsidRPr="5391DBCF">
              <w:rPr>
                <w:rFonts w:eastAsiaTheme="minorEastAsia"/>
                <w:lang w:val="en-US"/>
              </w:rPr>
              <w:t>,</w:t>
            </w:r>
            <w:r w:rsidRPr="5391DBCF">
              <w:rPr>
                <w:rFonts w:eastAsiaTheme="minorEastAsia"/>
                <w:lang w:val="en-US"/>
              </w:rPr>
              <w:t>500 mg administered every 4 weeks for up to a maximum of 12 cycles (including 2 cycles of durvalumab + FLOT and 10 additional cycles of durvalumab monotherapy)</w:t>
            </w:r>
          </w:p>
          <w:p w14:paraId="4904693C" w14:textId="77777777" w:rsidR="003B0D06" w:rsidRPr="00132932" w:rsidRDefault="003B0D06">
            <w:pPr>
              <w:pStyle w:val="Tabletext"/>
              <w:rPr>
                <w:rFonts w:eastAsiaTheme="minorEastAsia"/>
                <w:lang w:val="en-US"/>
              </w:rPr>
            </w:pPr>
            <w:r w:rsidRPr="5391DBCF">
              <w:rPr>
                <w:rFonts w:eastAsiaTheme="minorEastAsia"/>
                <w:lang w:val="en-US"/>
              </w:rPr>
              <w:t>No increase in the maximum amount or number of units may be authorised.</w:t>
            </w:r>
          </w:p>
          <w:p w14:paraId="49460DB8" w14:textId="77777777" w:rsidR="003B0D06" w:rsidRPr="00132932" w:rsidRDefault="003B0D06">
            <w:pPr>
              <w:pStyle w:val="Tabletext"/>
              <w:rPr>
                <w:rFonts w:eastAsiaTheme="minorEastAsia"/>
                <w:lang w:val="en-US"/>
              </w:rPr>
            </w:pPr>
            <w:r w:rsidRPr="5391DBCF">
              <w:rPr>
                <w:rFonts w:eastAsiaTheme="minorEastAsia"/>
                <w:lang w:val="en-US"/>
              </w:rPr>
              <w:t>No increase in the maximum number of repeats may be authorised.</w:t>
            </w:r>
          </w:p>
          <w:p w14:paraId="1F892D67" w14:textId="77777777" w:rsidR="003B0D06" w:rsidRPr="00132932" w:rsidRDefault="003B0D06">
            <w:pPr>
              <w:pStyle w:val="Tabletext"/>
              <w:rPr>
                <w:rFonts w:eastAsiaTheme="minorEastAsia"/>
                <w:szCs w:val="20"/>
              </w:rPr>
            </w:pPr>
            <w:r w:rsidRPr="00132932">
              <w:rPr>
                <w:rFonts w:eastAsiaTheme="minorEastAsia"/>
                <w:szCs w:val="20"/>
              </w:rPr>
              <w:t>Special Pricing Arrangements apply.</w:t>
            </w:r>
          </w:p>
        </w:tc>
      </w:tr>
    </w:tbl>
    <w:p w14:paraId="303CF4E8" w14:textId="134356EC" w:rsidR="003B0D06" w:rsidRPr="00E70B6F" w:rsidRDefault="003B0D06" w:rsidP="00C1302F">
      <w:pPr>
        <w:pStyle w:val="TableFigureFooter"/>
      </w:pPr>
      <w:r w:rsidRPr="00E70B6F">
        <w:t>Source: Table 1</w:t>
      </w:r>
      <w:r w:rsidR="00675F55">
        <w:noBreakHyphen/>
      </w:r>
      <w:r w:rsidRPr="00E70B6F">
        <w:t>12 p 43</w:t>
      </w:r>
      <w:r w:rsidR="00675F55">
        <w:noBreakHyphen/>
      </w:r>
      <w:r w:rsidRPr="00E70B6F">
        <w:t>44 of the submission</w:t>
      </w:r>
    </w:p>
    <w:p w14:paraId="40E9A015" w14:textId="224A6FCE" w:rsidR="00320A78" w:rsidRPr="00E70B6F" w:rsidRDefault="00320A78" w:rsidP="00C1302F">
      <w:pPr>
        <w:pStyle w:val="TableFigureFooter"/>
      </w:pPr>
      <w:r w:rsidRPr="00E70B6F">
        <w:t>FLOT = 5</w:t>
      </w:r>
      <w:r w:rsidR="00675F55">
        <w:noBreakHyphen/>
      </w:r>
      <w:r w:rsidRPr="00E70B6F">
        <w:t>fluorouracil, leucovorin, oxaliplatin and docetaxel; PBS = Pharmaceutical Benefits Scheme</w:t>
      </w:r>
      <w:r w:rsidR="006B5AB3" w:rsidRPr="00E70B6F">
        <w:t>; TGA = Therapeutic Goods Administration</w:t>
      </w:r>
      <w:r w:rsidR="00F63DC5" w:rsidRPr="00E70B6F">
        <w:t>.</w:t>
      </w:r>
    </w:p>
    <w:p w14:paraId="70633FC6" w14:textId="58AF031D" w:rsidR="001F5A70" w:rsidRPr="0086661E" w:rsidRDefault="001F5A70" w:rsidP="001F5A70">
      <w:pPr>
        <w:pStyle w:val="3-BodyText"/>
        <w:spacing w:before="160" w:after="160"/>
      </w:pPr>
      <w:r w:rsidRPr="0086661E">
        <w:t>The requested effective price presented in the submission was AEMP $</w:t>
      </w:r>
      <w:r w:rsidR="00EB1862" w:rsidRPr="00EB1862">
        <w:rPr>
          <w:sz w:val="2"/>
          <w:highlight w:val="black"/>
        </w:rPr>
        <w:t>redacted content</w:t>
      </w:r>
      <w:r w:rsidRPr="0086661E">
        <w:t xml:space="preserve"> per 500 mg vial. </w:t>
      </w:r>
    </w:p>
    <w:p w14:paraId="0EB2C434" w14:textId="17676A97" w:rsidR="005F4823" w:rsidRPr="0086661E" w:rsidRDefault="005F4823" w:rsidP="00E70B6F">
      <w:pPr>
        <w:pStyle w:val="3-BodyText"/>
        <w:spacing w:before="160" w:after="160"/>
      </w:pPr>
      <w:r>
        <w:t xml:space="preserve">The proposed restrictions were </w:t>
      </w:r>
      <w:r w:rsidR="00EA52B1" w:rsidRPr="00B557B7">
        <w:t>generally</w:t>
      </w:r>
      <w:r w:rsidR="00EA52B1">
        <w:t xml:space="preserve"> </w:t>
      </w:r>
      <w:r>
        <w:t xml:space="preserve">aligned with the clinical evidence presented in the submission and with the </w:t>
      </w:r>
      <w:r w:rsidR="00865CFF">
        <w:t>Therapeutic Goods Administration (</w:t>
      </w:r>
      <w:r>
        <w:t>TGA</w:t>
      </w:r>
      <w:r w:rsidR="00865CFF">
        <w:t>)</w:t>
      </w:r>
      <w:r>
        <w:t xml:space="preserve"> </w:t>
      </w:r>
      <w:r w:rsidR="001613D1">
        <w:t xml:space="preserve">draft </w:t>
      </w:r>
      <w:r w:rsidR="00865CFF">
        <w:t>product information (</w:t>
      </w:r>
      <w:r>
        <w:t>PI</w:t>
      </w:r>
      <w:r w:rsidR="00865CFF">
        <w:t>)</w:t>
      </w:r>
      <w:r>
        <w:t>.</w:t>
      </w:r>
      <w:r w:rsidR="00EA52B1">
        <w:t xml:space="preserve"> </w:t>
      </w:r>
      <w:r w:rsidR="00EA52B1" w:rsidRPr="0086661E">
        <w:t xml:space="preserve">The ESC noted that </w:t>
      </w:r>
      <w:r w:rsidR="00ED5B32" w:rsidRPr="0086661E">
        <w:t xml:space="preserve">staging classification was not included </w:t>
      </w:r>
      <w:r w:rsidR="00440545" w:rsidRPr="0086661E">
        <w:t xml:space="preserve">in the indication or as a clinical criterion. The </w:t>
      </w:r>
      <w:r w:rsidR="00ED5B32" w:rsidRPr="0086661E">
        <w:t xml:space="preserve">submission </w:t>
      </w:r>
      <w:r w:rsidR="00B84DD7" w:rsidRPr="0086661E">
        <w:t xml:space="preserve">and </w:t>
      </w:r>
      <w:r w:rsidR="00CD667B">
        <w:t>Pre-Sub-Committee Response (</w:t>
      </w:r>
      <w:r w:rsidR="00B84DD7" w:rsidRPr="0086661E">
        <w:t>PSCR</w:t>
      </w:r>
      <w:r w:rsidR="00CD667B">
        <w:t>)</w:t>
      </w:r>
      <w:r w:rsidR="00B84DD7" w:rsidRPr="0086661E">
        <w:t xml:space="preserve"> </w:t>
      </w:r>
      <w:r w:rsidR="00ED5B32" w:rsidRPr="0086661E">
        <w:t>claimed that the</w:t>
      </w:r>
      <w:r w:rsidR="00440545" w:rsidRPr="0086661E">
        <w:t>re is</w:t>
      </w:r>
      <w:r w:rsidR="00ED5B32" w:rsidRPr="0086661E">
        <w:t xml:space="preserve"> variability and uncertainty in staging classification in </w:t>
      </w:r>
      <w:r w:rsidR="00ED5B32" w:rsidRPr="0086661E">
        <w:lastRenderedPageBreak/>
        <w:t>clinical practice</w:t>
      </w:r>
      <w:r w:rsidR="00BB5C2F" w:rsidRPr="0086661E">
        <w:t xml:space="preserve"> and that </w:t>
      </w:r>
      <w:r w:rsidR="001712A5" w:rsidRPr="0086661E">
        <w:t xml:space="preserve">the restrictions capture the intended population as </w:t>
      </w:r>
      <w:r w:rsidR="008639BA" w:rsidRPr="0086661E">
        <w:t>only patients with Stage II or higher resectable disease receive FLOT</w:t>
      </w:r>
      <w:r w:rsidR="00ED5B32" w:rsidRPr="0086661E">
        <w:t xml:space="preserve">. </w:t>
      </w:r>
      <w:r w:rsidR="00926A60" w:rsidRPr="0086661E">
        <w:t>T</w:t>
      </w:r>
      <w:r w:rsidR="00BB178B" w:rsidRPr="0086661E">
        <w:t xml:space="preserve">he ESC noted that </w:t>
      </w:r>
      <w:r w:rsidR="00926A60" w:rsidRPr="0086661E">
        <w:t xml:space="preserve">interpreting scans </w:t>
      </w:r>
      <w:r w:rsidR="003162A7" w:rsidRPr="0086661E">
        <w:t xml:space="preserve">for </w:t>
      </w:r>
      <w:r w:rsidR="00E45A9B" w:rsidRPr="0086661E">
        <w:t xml:space="preserve">staging </w:t>
      </w:r>
      <w:r w:rsidR="00926A60" w:rsidRPr="0086661E">
        <w:t>can be</w:t>
      </w:r>
      <w:r w:rsidR="003162A7" w:rsidRPr="0086661E">
        <w:t xml:space="preserve"> challenging, but considered that it would be reasonable to require</w:t>
      </w:r>
      <w:r w:rsidR="00BD603B" w:rsidRPr="0086661E">
        <w:t xml:space="preserve"> confirmation that the patient has Stage II or higher disease prior to prescribing.</w:t>
      </w:r>
      <w:r w:rsidR="00DF16A7" w:rsidRPr="0086661E">
        <w:t xml:space="preserve"> The</w:t>
      </w:r>
      <w:r w:rsidR="00926A60" w:rsidRPr="0086661E">
        <w:t xml:space="preserve"> </w:t>
      </w:r>
      <w:r w:rsidR="001712A5" w:rsidRPr="0086661E">
        <w:t xml:space="preserve">ESC </w:t>
      </w:r>
      <w:r w:rsidR="00DF16A7" w:rsidRPr="0086661E">
        <w:t xml:space="preserve">also </w:t>
      </w:r>
      <w:r w:rsidR="001712A5" w:rsidRPr="0086661E">
        <w:t>noted that p</w:t>
      </w:r>
      <w:r w:rsidR="00ED5B32" w:rsidRPr="0086661E">
        <w:t>atients included in the MATTERHORN trial had histologically documented G/GOJ adenocarcinoma of Stage II or higher (</w:t>
      </w:r>
      <w:r w:rsidR="00AF583F" w:rsidRPr="0086661E">
        <w:t>T3</w:t>
      </w:r>
      <w:r w:rsidR="00675F55">
        <w:noBreakHyphen/>
      </w:r>
      <w:r w:rsidR="00AF583F" w:rsidRPr="0086661E">
        <w:t>4</w:t>
      </w:r>
      <w:r w:rsidR="00ED5B32" w:rsidRPr="0086661E">
        <w:t xml:space="preserve"> N0–3 M0 or T0–4 N1–3 M0)</w:t>
      </w:r>
      <w:r w:rsidR="001712A5" w:rsidRPr="0086661E">
        <w:t xml:space="preserve"> and</w:t>
      </w:r>
      <w:r w:rsidR="00D65DF3" w:rsidRPr="0086661E">
        <w:t xml:space="preserve"> considered that it would be appropriate to include </w:t>
      </w:r>
      <w:r w:rsidR="005F5F73" w:rsidRPr="0086661E">
        <w:t>stagin</w:t>
      </w:r>
      <w:r w:rsidR="00FD197B" w:rsidRPr="0086661E">
        <w:t>g</w:t>
      </w:r>
      <w:r w:rsidR="005F5F73" w:rsidRPr="0086661E">
        <w:t xml:space="preserve"> criteria </w:t>
      </w:r>
      <w:r w:rsidR="005733DE" w:rsidRPr="0086661E">
        <w:t xml:space="preserve">in the restrictions </w:t>
      </w:r>
      <w:r w:rsidR="00FD197B" w:rsidRPr="0086661E">
        <w:t xml:space="preserve">to ensure </w:t>
      </w:r>
      <w:r w:rsidR="005733DE" w:rsidRPr="0086661E">
        <w:t>consistency with the trial.</w:t>
      </w:r>
      <w:r w:rsidR="00FF7F39">
        <w:t xml:space="preserve"> The </w:t>
      </w:r>
      <w:r w:rsidR="007419C2">
        <w:t>pre</w:t>
      </w:r>
      <w:r w:rsidR="00675F55">
        <w:noBreakHyphen/>
      </w:r>
      <w:r w:rsidR="007419C2">
        <w:t xml:space="preserve">PBAC response maintained </w:t>
      </w:r>
      <w:r w:rsidR="00D04665">
        <w:t>it is not necessary to specify staging in the clinical criteria of the restriction, however the</w:t>
      </w:r>
      <w:r w:rsidR="007419C2">
        <w:t xml:space="preserve"> </w:t>
      </w:r>
      <w:r w:rsidR="00FF7F39">
        <w:t xml:space="preserve">PBAC agreed </w:t>
      </w:r>
      <w:r w:rsidR="00043A0F">
        <w:t xml:space="preserve">with the ESC </w:t>
      </w:r>
      <w:r w:rsidR="00FF7F39">
        <w:t xml:space="preserve">that it would be appropriate for the </w:t>
      </w:r>
      <w:r w:rsidR="00043A0F">
        <w:t>restriction to include staging</w:t>
      </w:r>
      <w:r w:rsidR="008C5D52">
        <w:t xml:space="preserve"> criteria, consistent with the trial</w:t>
      </w:r>
      <w:r w:rsidR="00043A0F">
        <w:t>.</w:t>
      </w:r>
    </w:p>
    <w:p w14:paraId="331B7412" w14:textId="6DE716D1" w:rsidR="009B2CF2" w:rsidRPr="0086661E" w:rsidRDefault="009B2CF2" w:rsidP="00E70B6F">
      <w:pPr>
        <w:pStyle w:val="3-BodyText"/>
        <w:spacing w:before="160" w:after="160"/>
      </w:pPr>
      <w:r w:rsidRPr="0086661E">
        <w:t xml:space="preserve">The </w:t>
      </w:r>
      <w:r w:rsidR="006F43B7">
        <w:t xml:space="preserve">PBAC agreed with the </w:t>
      </w:r>
      <w:r w:rsidRPr="0086661E">
        <w:t xml:space="preserve">ESC </w:t>
      </w:r>
      <w:r w:rsidR="006F43B7">
        <w:t>that</w:t>
      </w:r>
      <w:r w:rsidR="006F43B7" w:rsidRPr="0086661E">
        <w:t xml:space="preserve"> </w:t>
      </w:r>
      <w:r w:rsidRPr="0086661E">
        <w:t>the treatment criteria “</w:t>
      </w:r>
      <w:r w:rsidRPr="0086661E">
        <w:rPr>
          <w:rFonts w:eastAsiaTheme="minorEastAsia"/>
          <w:szCs w:val="20"/>
        </w:rPr>
        <w:t xml:space="preserve">Patient must be undergoing treatment with a dosing regimen as set out in the drug's Therapeutic Goods Administration (TGA) approved Product Information” was unnecessary and </w:t>
      </w:r>
      <w:r w:rsidR="005A48F1" w:rsidRPr="0086661E">
        <w:rPr>
          <w:rFonts w:eastAsiaTheme="minorEastAsia"/>
          <w:szCs w:val="20"/>
        </w:rPr>
        <w:t>could be removed.</w:t>
      </w:r>
    </w:p>
    <w:p w14:paraId="50DF3000" w14:textId="4B5833A0" w:rsidR="00CC35EA" w:rsidRPr="009558C2" w:rsidRDefault="002D7604" w:rsidP="00E70B6F">
      <w:pPr>
        <w:pStyle w:val="3-BodyText"/>
        <w:spacing w:before="160" w:after="160"/>
        <w:rPr>
          <w:color w:val="0066FF"/>
        </w:rPr>
      </w:pPr>
      <w:r>
        <w:t>The submission noted that the sponsor</w:t>
      </w:r>
      <w:r w:rsidR="001613D1" w:rsidRPr="00DE42F9">
        <w:t xml:space="preserve"> anticipate</w:t>
      </w:r>
      <w:r>
        <w:t>s</w:t>
      </w:r>
      <w:r w:rsidR="001613D1" w:rsidRPr="00DE42F9">
        <w:t xml:space="preserve"> that durvalumab will be provided via an</w:t>
      </w:r>
      <w:r w:rsidR="001613D1" w:rsidRPr="00DE42F9" w:rsidDel="00C3510F">
        <w:t xml:space="preserve"> Early </w:t>
      </w:r>
      <w:r w:rsidR="001613D1" w:rsidRPr="00DE42F9">
        <w:t>Access Program for patients with</w:t>
      </w:r>
      <w:r w:rsidR="001613D1">
        <w:t xml:space="preserve"> r</w:t>
      </w:r>
      <w:r w:rsidR="001613D1" w:rsidRPr="009D7130">
        <w:t xml:space="preserve">esectable </w:t>
      </w:r>
      <w:r w:rsidR="00135B29">
        <w:t>G/</w:t>
      </w:r>
      <w:r w:rsidR="001613D1" w:rsidRPr="009D7130">
        <w:t xml:space="preserve">GOJ adenocarcinoma </w:t>
      </w:r>
      <w:r w:rsidR="001613D1" w:rsidRPr="00DE42F9">
        <w:t xml:space="preserve">following registration. The initial and continuing </w:t>
      </w:r>
      <w:r w:rsidR="009E3A1D">
        <w:t xml:space="preserve">treatment </w:t>
      </w:r>
      <w:r w:rsidR="001613D1" w:rsidRPr="00DE42F9">
        <w:t xml:space="preserve">restrictions </w:t>
      </w:r>
      <w:r w:rsidR="000C45F0">
        <w:t>were</w:t>
      </w:r>
      <w:r w:rsidR="001613D1" w:rsidRPr="00DE42F9">
        <w:t xml:space="preserve"> worded to allow grandfathered patients from the planned patient access program to transition to PBS subsidised therapy.</w:t>
      </w:r>
      <w:r w:rsidR="001613D1" w:rsidRPr="00A45E00">
        <w:t xml:space="preserve"> </w:t>
      </w:r>
      <w:r w:rsidR="001F5A70">
        <w:t>The PBAC considered this was appropriate.</w:t>
      </w:r>
    </w:p>
    <w:p w14:paraId="55EE5B14" w14:textId="77777777" w:rsidR="009558C2" w:rsidRPr="00C33D30" w:rsidRDefault="009558C2" w:rsidP="009558C2">
      <w:pPr>
        <w:ind w:firstLine="709"/>
        <w:rPr>
          <w:rFonts w:asciiTheme="minorHAnsi" w:hAnsiTheme="minorHAnsi"/>
          <w:i/>
        </w:rPr>
      </w:pPr>
      <w:bookmarkStart w:id="7" w:name="_Hlk76375324"/>
      <w:r w:rsidRPr="00C33D30">
        <w:rPr>
          <w:rFonts w:asciiTheme="minorHAnsi" w:hAnsiTheme="minorHAnsi"/>
          <w:i/>
        </w:rPr>
        <w:t>For more detail on PBAC’s view, see section 7 PBAC outcome.</w:t>
      </w:r>
    </w:p>
    <w:bookmarkEnd w:id="7"/>
    <w:p w14:paraId="42C490A4" w14:textId="77777777" w:rsidR="009558C2" w:rsidRPr="00F3286D" w:rsidRDefault="009558C2" w:rsidP="009558C2">
      <w:pPr>
        <w:pStyle w:val="3-BodyText"/>
        <w:numPr>
          <w:ilvl w:val="0"/>
          <w:numId w:val="0"/>
        </w:numPr>
        <w:spacing w:before="160" w:after="160"/>
        <w:ind w:left="720"/>
        <w:rPr>
          <w:color w:val="0066FF"/>
        </w:rPr>
      </w:pPr>
    </w:p>
    <w:p w14:paraId="7075B85C" w14:textId="64A1E037" w:rsidR="00B50DB8" w:rsidRPr="0098262F" w:rsidDel="00195452" w:rsidRDefault="00203181" w:rsidP="00E70B6F">
      <w:pPr>
        <w:pStyle w:val="Heading1"/>
        <w:spacing w:before="160" w:after="160"/>
      </w:pPr>
      <w:bookmarkStart w:id="8" w:name="_Toc219379963"/>
      <w:r w:rsidRPr="0098262F" w:rsidDel="00195452">
        <w:t xml:space="preserve">Population and </w:t>
      </w:r>
      <w:r w:rsidR="008E0D3C" w:rsidRPr="0098262F" w:rsidDel="00195452">
        <w:t>d</w:t>
      </w:r>
      <w:r w:rsidRPr="0098262F" w:rsidDel="00195452">
        <w:t>isease</w:t>
      </w:r>
      <w:bookmarkEnd w:id="8"/>
    </w:p>
    <w:p w14:paraId="49029F95" w14:textId="1629BCD1" w:rsidR="002B7CFA" w:rsidRDefault="002B7CFA" w:rsidP="00E70B6F">
      <w:pPr>
        <w:pStyle w:val="3-BodyText"/>
        <w:spacing w:before="160" w:after="160"/>
      </w:pPr>
      <w:r w:rsidRPr="00584A3F">
        <w:t xml:space="preserve">In Australia, the number of diagnosed cases of </w:t>
      </w:r>
      <w:r w:rsidR="00E07706">
        <w:t>GC</w:t>
      </w:r>
      <w:r w:rsidRPr="00584A3F">
        <w:t xml:space="preserve"> and GOJ</w:t>
      </w:r>
      <w:r w:rsidR="00E07706">
        <w:t>C</w:t>
      </w:r>
      <w:r w:rsidRPr="00584A3F">
        <w:t xml:space="preserve"> is estimated to be 2,740 in 2025. Of these, 38.8% were GOJ</w:t>
      </w:r>
      <w:r w:rsidR="00E85C44">
        <w:t xml:space="preserve"> cancer</w:t>
      </w:r>
      <w:r w:rsidRPr="00584A3F">
        <w:t xml:space="preserve"> and 61.2% were </w:t>
      </w:r>
      <w:r w:rsidR="006D28B1">
        <w:t>GC</w:t>
      </w:r>
      <w:r w:rsidRPr="00584A3F">
        <w:t xml:space="preserve">. The incidence of </w:t>
      </w:r>
      <w:r w:rsidR="006D28B1" w:rsidRPr="005F5CD9">
        <w:t xml:space="preserve">GC </w:t>
      </w:r>
      <w:r w:rsidRPr="005F5CD9">
        <w:t>and GOJ</w:t>
      </w:r>
      <w:r w:rsidR="006D28B1">
        <w:t>C</w:t>
      </w:r>
      <w:r w:rsidRPr="00584A3F">
        <w:t xml:space="preserve"> is disproportionately higher in people aged 60 years and older.</w:t>
      </w:r>
      <w:r w:rsidRPr="007A2A19">
        <w:t xml:space="preserve"> </w:t>
      </w:r>
      <w:r w:rsidRPr="00584A3F">
        <w:t>The burden of disease is higher among males (63%) than females (37%).</w:t>
      </w:r>
      <w:r w:rsidR="00BC153E">
        <w:t xml:space="preserve"> </w:t>
      </w:r>
    </w:p>
    <w:p w14:paraId="13C883E1" w14:textId="5C2AB462" w:rsidR="002B7CFA" w:rsidRDefault="008C1F99" w:rsidP="00E70B6F">
      <w:pPr>
        <w:pStyle w:val="3-BodyText"/>
        <w:spacing w:before="160" w:after="160"/>
      </w:pPr>
      <w:r w:rsidRPr="00D81EBD">
        <w:t xml:space="preserve">GC </w:t>
      </w:r>
      <w:r w:rsidR="00FA35A1" w:rsidRPr="00D81EBD">
        <w:t>and GOJ</w:t>
      </w:r>
      <w:r w:rsidRPr="00D81EBD">
        <w:t>C</w:t>
      </w:r>
      <w:r w:rsidR="00FA35A1" w:rsidRPr="00D81EBD">
        <w:t xml:space="preserve"> </w:t>
      </w:r>
      <w:r w:rsidR="00FA35A1">
        <w:t>are</w:t>
      </w:r>
      <w:r w:rsidR="00FA35A1" w:rsidRPr="004E761C">
        <w:t xml:space="preserve"> clinically classified as early or advanced stage to guide </w:t>
      </w:r>
      <w:r w:rsidR="00FA35A1" w:rsidRPr="002D4592">
        <w:t>treatment</w:t>
      </w:r>
      <w:r w:rsidR="00C73D7C">
        <w:t>,</w:t>
      </w:r>
      <w:r w:rsidR="00FA35A1" w:rsidRPr="002D4592">
        <w:t xml:space="preserve"> and are </w:t>
      </w:r>
      <w:r w:rsidR="00FA35A1">
        <w:t>further</w:t>
      </w:r>
      <w:r w:rsidR="00FA35A1" w:rsidRPr="002D4592">
        <w:t xml:space="preserve"> subtyped </w:t>
      </w:r>
      <w:r w:rsidR="00FA35A1" w:rsidRPr="004E761C">
        <w:t>histologically</w:t>
      </w:r>
      <w:r w:rsidR="00FA35A1" w:rsidRPr="002D4592">
        <w:t>.</w:t>
      </w:r>
      <w:r w:rsidR="00FA35A1" w:rsidRPr="004E761C">
        <w:t xml:space="preserve"> </w:t>
      </w:r>
      <w:r w:rsidR="002B7CFA">
        <w:t>Real</w:t>
      </w:r>
      <w:r w:rsidR="00675F55">
        <w:noBreakHyphen/>
      </w:r>
      <w:r w:rsidR="002B7CFA">
        <w:t>world Australian data indicate that a substantial proportion of G/GOJ</w:t>
      </w:r>
      <w:r w:rsidR="00DF0899">
        <w:t xml:space="preserve"> cancer</w:t>
      </w:r>
      <w:r w:rsidR="002B7CFA">
        <w:t xml:space="preserve"> patients are diagnosed with advanced stage disease</w:t>
      </w:r>
      <w:r w:rsidR="002B7CFA" w:rsidRPr="00A56809">
        <w:t xml:space="preserve">, with </w:t>
      </w:r>
      <w:r w:rsidR="002277A3" w:rsidRPr="00A56809">
        <w:t xml:space="preserve">approximately </w:t>
      </w:r>
      <w:r w:rsidR="002B7CFA" w:rsidRPr="00A56809">
        <w:t xml:space="preserve">60% diagnosed at stage III or IV. </w:t>
      </w:r>
      <w:bookmarkStart w:id="9" w:name="_Ref216678648"/>
      <w:r w:rsidR="006474E7" w:rsidRPr="00A56809">
        <w:rPr>
          <w:rStyle w:val="FootnoteReference"/>
        </w:rPr>
        <w:footnoteReference w:id="2"/>
      </w:r>
      <w:bookmarkEnd w:id="9"/>
      <w:r w:rsidR="006474E7" w:rsidRPr="00A56809">
        <w:rPr>
          <w:vertAlign w:val="superscript"/>
        </w:rPr>
        <w:t>,</w:t>
      </w:r>
      <w:bookmarkStart w:id="10" w:name="_Ref216678672"/>
      <w:r w:rsidR="006474E7" w:rsidRPr="00A56809">
        <w:rPr>
          <w:rStyle w:val="FootnoteReference"/>
        </w:rPr>
        <w:footnoteReference w:id="3"/>
      </w:r>
      <w:bookmarkEnd w:id="10"/>
      <w:r w:rsidR="002B7CFA" w:rsidRPr="00C77582">
        <w:t xml:space="preserve"> </w:t>
      </w:r>
      <w:r w:rsidR="002B7CFA" w:rsidRPr="004E761C">
        <w:t>Adenocarcinoma represents 9</w:t>
      </w:r>
      <w:r w:rsidR="002B7CFA">
        <w:t>3.2</w:t>
      </w:r>
      <w:r w:rsidR="002B7CFA" w:rsidRPr="004E761C">
        <w:t xml:space="preserve">% of </w:t>
      </w:r>
      <w:r w:rsidR="00D81EBD" w:rsidRPr="00D81EBD">
        <w:t>GC</w:t>
      </w:r>
      <w:r w:rsidR="002B7CFA" w:rsidRPr="00D81EBD">
        <w:t>. In GOJ</w:t>
      </w:r>
      <w:r w:rsidR="00D81EBD" w:rsidRPr="00D81EBD">
        <w:t>C</w:t>
      </w:r>
      <w:r w:rsidR="002B7CFA" w:rsidRPr="00AC14B7">
        <w:t>, adenocarcinoma is also the predominant histology</w:t>
      </w:r>
      <w:r w:rsidR="002B7CFA" w:rsidRPr="004E761C">
        <w:t>.</w:t>
      </w:r>
      <w:r w:rsidR="001E3D5A">
        <w:t xml:space="preserve"> </w:t>
      </w:r>
    </w:p>
    <w:p w14:paraId="0E7812ED" w14:textId="2326F22C" w:rsidR="002B7CFA" w:rsidRPr="00D23D0A" w:rsidRDefault="002B7CFA" w:rsidP="00781A02">
      <w:pPr>
        <w:pStyle w:val="3-BodyText"/>
        <w:spacing w:before="160" w:after="160"/>
      </w:pPr>
      <w:r w:rsidRPr="5391DBCF">
        <w:rPr>
          <w:lang w:val="en-US"/>
        </w:rPr>
        <w:lastRenderedPageBreak/>
        <w:t xml:space="preserve">Optimal management in resectable disease includes complete resection with adequate lymphadenectomy. Given the high risk of recurrence with surgery alone, chemotherapy should also be administered preoperatively (neoadjuvant), postoperatively (adjuvant), or both (perioperative). Perioperative chemotherapy is the SOC for resectable </w:t>
      </w:r>
      <w:r w:rsidR="005C2212" w:rsidRPr="005C2212">
        <w:rPr>
          <w:lang w:val="en-US"/>
        </w:rPr>
        <w:t xml:space="preserve">GC </w:t>
      </w:r>
      <w:r w:rsidRPr="005C2212">
        <w:rPr>
          <w:lang w:val="en-US"/>
        </w:rPr>
        <w:t>and GOJ</w:t>
      </w:r>
      <w:r w:rsidR="005C2212" w:rsidRPr="005C2212">
        <w:rPr>
          <w:lang w:val="en-US"/>
        </w:rPr>
        <w:t>C</w:t>
      </w:r>
      <w:r w:rsidRPr="5391DBCF">
        <w:rPr>
          <w:lang w:val="en-US"/>
        </w:rPr>
        <w:t xml:space="preserve">. Current guidelines recommend </w:t>
      </w:r>
      <w:r w:rsidR="00E07706" w:rsidRPr="5391DBCF">
        <w:rPr>
          <w:lang w:val="en-US"/>
        </w:rPr>
        <w:t>neoadjuvant</w:t>
      </w:r>
      <w:r w:rsidRPr="5391DBCF">
        <w:rPr>
          <w:lang w:val="en-US"/>
        </w:rPr>
        <w:t xml:space="preserve"> FLOT as the preferred regimen for both </w:t>
      </w:r>
      <w:r w:rsidR="00F13C27" w:rsidRPr="5391DBCF">
        <w:rPr>
          <w:lang w:val="en-US"/>
        </w:rPr>
        <w:t>gastric</w:t>
      </w:r>
      <w:r w:rsidRPr="5391DBCF">
        <w:rPr>
          <w:lang w:val="en-US"/>
        </w:rPr>
        <w:t xml:space="preserve"> and oesophageal cancers</w:t>
      </w:r>
      <w:r w:rsidR="000B7B1F" w:rsidRPr="5391DBCF">
        <w:rPr>
          <w:lang w:val="en-US"/>
        </w:rPr>
        <w:t>,</w:t>
      </w:r>
      <w:r w:rsidRPr="5391DBCF">
        <w:rPr>
          <w:lang w:val="en-US"/>
        </w:rPr>
        <w:t xml:space="preserve"> including </w:t>
      </w:r>
      <w:r w:rsidRPr="005C2212">
        <w:rPr>
          <w:lang w:val="en-US"/>
        </w:rPr>
        <w:t>GOJ</w:t>
      </w:r>
      <w:r w:rsidR="005C2212" w:rsidRPr="005C2212">
        <w:rPr>
          <w:lang w:val="en-US"/>
        </w:rPr>
        <w:t>C</w:t>
      </w:r>
      <w:r w:rsidRPr="5391DBCF">
        <w:rPr>
          <w:lang w:val="en-US"/>
        </w:rPr>
        <w:t>.</w:t>
      </w:r>
    </w:p>
    <w:p w14:paraId="075B2241" w14:textId="59C6FC5D" w:rsidR="00855078" w:rsidRPr="0038179D" w:rsidRDefault="005573A9" w:rsidP="00781A02">
      <w:pPr>
        <w:pStyle w:val="3-BodyText"/>
        <w:spacing w:before="160" w:after="160"/>
      </w:pPr>
      <w:r w:rsidRPr="0038179D">
        <w:t>The most common reasons for FLOT ineligibility are poor performance status/frailty (</w:t>
      </w:r>
      <w:r w:rsidR="001C6761" w:rsidRPr="0038179D">
        <w:t>Eastern Cooperative Oncology Group [</w:t>
      </w:r>
      <w:r w:rsidRPr="0038179D">
        <w:t>ECOG</w:t>
      </w:r>
      <w:r w:rsidR="001C6761" w:rsidRPr="0038179D">
        <w:t>]</w:t>
      </w:r>
      <w:r w:rsidRPr="0038179D">
        <w:t xml:space="preserve"> ≥</w:t>
      </w:r>
      <w:r w:rsidR="00925174" w:rsidRPr="0038179D">
        <w:t xml:space="preserve"> </w:t>
      </w:r>
      <w:r w:rsidRPr="0038179D">
        <w:t>2), serious pre</w:t>
      </w:r>
      <w:r w:rsidR="00675F55">
        <w:noBreakHyphen/>
      </w:r>
      <w:r w:rsidRPr="0038179D">
        <w:t xml:space="preserve">medical conditions and hypersensitivity or grade </w:t>
      </w:r>
      <w:r w:rsidRPr="0038179D">
        <w:rPr>
          <w:rFonts w:cs="Arial"/>
        </w:rPr>
        <w:t>≥</w:t>
      </w:r>
      <w:r w:rsidR="00925174" w:rsidRPr="0038179D">
        <w:rPr>
          <w:rFonts w:cs="Arial"/>
        </w:rPr>
        <w:t xml:space="preserve"> </w:t>
      </w:r>
      <w:r w:rsidRPr="0038179D">
        <w:t xml:space="preserve">3 toxicity to oxaliplatin/docetaxel. </w:t>
      </w:r>
      <w:r w:rsidR="00855078" w:rsidRPr="0038179D">
        <w:t xml:space="preserve">These patients would be </w:t>
      </w:r>
      <w:r w:rsidR="00B4107A" w:rsidRPr="0038179D">
        <w:t xml:space="preserve">eligible for chemoradiation therapy, such as the </w:t>
      </w:r>
      <w:r w:rsidR="005E5D5D" w:rsidRPr="0038179D">
        <w:t>Chemoradiotherapy for Oesophageal Cancer followed by Surgery Study (</w:t>
      </w:r>
      <w:r w:rsidR="00B4107A" w:rsidRPr="0038179D">
        <w:t>CROSS</w:t>
      </w:r>
      <w:r w:rsidR="005E5D5D" w:rsidRPr="0038179D">
        <w:t>)</w:t>
      </w:r>
      <w:r w:rsidR="00B4107A" w:rsidRPr="0038179D">
        <w:t xml:space="preserve"> regimen</w:t>
      </w:r>
      <w:r w:rsidR="00AA330C" w:rsidRPr="0038179D">
        <w:t xml:space="preserve"> and subsequent adjuvant nivolumab</w:t>
      </w:r>
      <w:r w:rsidR="00B4107A" w:rsidRPr="0038179D">
        <w:t>.</w:t>
      </w:r>
      <w:bookmarkStart w:id="11" w:name="_Ref216774440"/>
      <w:r w:rsidR="00DB3E9E" w:rsidRPr="0038179D">
        <w:rPr>
          <w:rStyle w:val="FootnoteReference"/>
        </w:rPr>
        <w:footnoteReference w:id="4"/>
      </w:r>
      <w:bookmarkEnd w:id="11"/>
      <w:r w:rsidR="00B4107A" w:rsidRPr="0038179D">
        <w:t xml:space="preserve"> The proposed PBS population is considered distinct from patients </w:t>
      </w:r>
      <w:r w:rsidR="00D8427D" w:rsidRPr="0038179D">
        <w:t xml:space="preserve">treated with </w:t>
      </w:r>
      <w:r w:rsidR="00B4107A" w:rsidRPr="0038179D">
        <w:t xml:space="preserve">chemoradiation </w:t>
      </w:r>
      <w:r w:rsidR="00EE6A11" w:rsidRPr="0038179D">
        <w:t>followed b</w:t>
      </w:r>
      <w:r w:rsidR="00377DAA" w:rsidRPr="0038179D">
        <w:t>y</w:t>
      </w:r>
      <w:r w:rsidR="00EE6A11" w:rsidRPr="0038179D">
        <w:t xml:space="preserve"> </w:t>
      </w:r>
      <w:r w:rsidR="00B4107A" w:rsidRPr="0038179D">
        <w:t>nivolumab</w:t>
      </w:r>
      <w:r w:rsidR="0087621C" w:rsidRPr="0038179D">
        <w:t>.</w:t>
      </w:r>
      <w:r w:rsidR="00352A58" w:rsidRPr="0038179D">
        <w:t xml:space="preserve"> </w:t>
      </w:r>
      <w:r w:rsidR="0087621C" w:rsidRPr="0038179D">
        <w:t>Nivolum</w:t>
      </w:r>
      <w:r w:rsidR="002138D9" w:rsidRPr="0038179D">
        <w:t>ab</w:t>
      </w:r>
      <w:r w:rsidR="00ED7AA5" w:rsidRPr="0038179D">
        <w:t xml:space="preserve"> is</w:t>
      </w:r>
      <w:r w:rsidR="002138D9" w:rsidRPr="0038179D">
        <w:t xml:space="preserve"> currently </w:t>
      </w:r>
      <w:r w:rsidR="00826C71" w:rsidRPr="0038179D">
        <w:t>PBS</w:t>
      </w:r>
      <w:r w:rsidR="00675F55">
        <w:noBreakHyphen/>
      </w:r>
      <w:r w:rsidR="00826C71" w:rsidRPr="0038179D">
        <w:t>listed</w:t>
      </w:r>
      <w:r w:rsidR="00CC5979" w:rsidRPr="0038179D">
        <w:t xml:space="preserve"> for </w:t>
      </w:r>
      <w:r w:rsidR="00A6043B" w:rsidRPr="0038179D">
        <w:t>use</w:t>
      </w:r>
      <w:r w:rsidR="00CC5979" w:rsidRPr="0038179D">
        <w:t xml:space="preserve"> </w:t>
      </w:r>
      <w:r w:rsidR="001F39BF" w:rsidRPr="0038179D">
        <w:t xml:space="preserve">as an adjuvant treatment </w:t>
      </w:r>
      <w:r w:rsidR="00CC5979" w:rsidRPr="0038179D">
        <w:t>for</w:t>
      </w:r>
      <w:r w:rsidR="00A6043B" w:rsidRPr="0038179D">
        <w:t xml:space="preserve"> </w:t>
      </w:r>
      <w:r w:rsidR="00CC5979" w:rsidRPr="0038179D">
        <w:t xml:space="preserve">patients with stage II or </w:t>
      </w:r>
      <w:r w:rsidR="00DB3E94" w:rsidRPr="0038179D">
        <w:t>III</w:t>
      </w:r>
      <w:r w:rsidR="00CC5979" w:rsidRPr="0038179D">
        <w:t xml:space="preserve"> oes</w:t>
      </w:r>
      <w:r w:rsidR="00E24E6A" w:rsidRPr="0038179D">
        <w:t>o</w:t>
      </w:r>
      <w:r w:rsidR="00CC5979" w:rsidRPr="0038179D">
        <w:t xml:space="preserve">phageal cancer or </w:t>
      </w:r>
      <w:r w:rsidR="005C2212" w:rsidRPr="0038179D">
        <w:t>GOJC</w:t>
      </w:r>
      <w:r w:rsidR="00DD564D" w:rsidRPr="0038179D">
        <w:t xml:space="preserve"> </w:t>
      </w:r>
      <w:r w:rsidR="004B3C99" w:rsidRPr="0038179D">
        <w:t>who receive</w:t>
      </w:r>
      <w:r w:rsidR="00DD564D" w:rsidRPr="0038179D">
        <w:t xml:space="preserve"> neoadjuvant chemoradiation</w:t>
      </w:r>
      <w:r w:rsidR="00B4107A" w:rsidRPr="0038179D">
        <w:t>.</w:t>
      </w:r>
    </w:p>
    <w:p w14:paraId="4EA8A38F" w14:textId="5A1CC8D8" w:rsidR="00A841A8" w:rsidRPr="0038179D" w:rsidRDefault="00B97D85" w:rsidP="00781A02">
      <w:pPr>
        <w:pStyle w:val="3-BodyText"/>
        <w:spacing w:before="160" w:after="160"/>
      </w:pPr>
      <w:r w:rsidRPr="0038179D">
        <w:t>PBS</w:t>
      </w:r>
      <w:r w:rsidR="00675F55">
        <w:noBreakHyphen/>
      </w:r>
      <w:r w:rsidRPr="0038179D">
        <w:t>listed</w:t>
      </w:r>
      <w:r w:rsidR="00A841A8" w:rsidRPr="0038179D">
        <w:t xml:space="preserve"> </w:t>
      </w:r>
      <w:r w:rsidR="007D59BE">
        <w:t>treatments for</w:t>
      </w:r>
      <w:r w:rsidR="00A841A8" w:rsidRPr="0038179D">
        <w:t xml:space="preserve"> </w:t>
      </w:r>
      <w:r w:rsidRPr="0038179D">
        <w:t xml:space="preserve">metastatic </w:t>
      </w:r>
      <w:r w:rsidR="00A841A8" w:rsidRPr="0038179D">
        <w:t>G/GOJ cancers</w:t>
      </w:r>
      <w:r w:rsidRPr="0038179D">
        <w:t xml:space="preserve"> are: </w:t>
      </w:r>
      <w:r w:rsidR="00BF6F47" w:rsidRPr="0038179D">
        <w:t>nivolumab, tiselizumab, trifluridine + tipiracil</w:t>
      </w:r>
      <w:r w:rsidR="004C405E" w:rsidRPr="0038179D">
        <w:t xml:space="preserve">, and trastuzumab (HER2 positive only). </w:t>
      </w:r>
    </w:p>
    <w:p w14:paraId="6879FC78" w14:textId="184B2FF8" w:rsidR="002B7CFA" w:rsidRPr="009558C2" w:rsidRDefault="002B7CFA" w:rsidP="00781A02">
      <w:pPr>
        <w:pStyle w:val="3-BodyText"/>
        <w:spacing w:before="160" w:after="160"/>
        <w:rPr>
          <w:color w:val="0066FF"/>
          <w:lang w:val="en-US"/>
        </w:rPr>
      </w:pPr>
      <w:r w:rsidRPr="0038179D">
        <w:rPr>
          <w:lang w:val="en-US"/>
        </w:rPr>
        <w:t>Durvalumab is a</w:t>
      </w:r>
      <w:r w:rsidR="006D4EE8" w:rsidRPr="0038179D">
        <w:rPr>
          <w:lang w:val="en-US"/>
        </w:rPr>
        <w:t>n</w:t>
      </w:r>
      <w:r w:rsidRPr="0038179D">
        <w:rPr>
          <w:lang w:val="en-US"/>
        </w:rPr>
        <w:t xml:space="preserve"> anti</w:t>
      </w:r>
      <w:r w:rsidR="00675F55">
        <w:rPr>
          <w:lang w:val="en-US"/>
        </w:rPr>
        <w:noBreakHyphen/>
      </w:r>
      <w:r w:rsidR="002D1401" w:rsidRPr="0038179D">
        <w:rPr>
          <w:lang w:val="en-US"/>
        </w:rPr>
        <w:t>programmed cell death ligand</w:t>
      </w:r>
      <w:r w:rsidR="00675F55">
        <w:rPr>
          <w:lang w:val="en-US"/>
        </w:rPr>
        <w:noBreakHyphen/>
      </w:r>
      <w:r w:rsidR="002D1401" w:rsidRPr="0038179D">
        <w:rPr>
          <w:lang w:val="en-US"/>
        </w:rPr>
        <w:t>1 (</w:t>
      </w:r>
      <w:r w:rsidRPr="0038179D">
        <w:rPr>
          <w:lang w:val="en-US"/>
        </w:rPr>
        <w:t>PD</w:t>
      </w:r>
      <w:r w:rsidR="00675F55">
        <w:rPr>
          <w:lang w:val="en-US"/>
        </w:rPr>
        <w:noBreakHyphen/>
      </w:r>
      <w:r w:rsidRPr="0038179D">
        <w:rPr>
          <w:lang w:val="en-US"/>
        </w:rPr>
        <w:t>L1</w:t>
      </w:r>
      <w:r w:rsidR="002D1401" w:rsidRPr="0038179D">
        <w:rPr>
          <w:lang w:val="en-US"/>
        </w:rPr>
        <w:t>)</w:t>
      </w:r>
      <w:r w:rsidRPr="0038179D">
        <w:rPr>
          <w:lang w:val="en-US"/>
        </w:rPr>
        <w:t xml:space="preserve"> human monoclonal </w:t>
      </w:r>
      <w:r w:rsidR="00781A02" w:rsidRPr="0038179D">
        <w:rPr>
          <w:lang w:val="en-US"/>
        </w:rPr>
        <w:t>antibody and</w:t>
      </w:r>
      <w:r w:rsidRPr="0038179D">
        <w:rPr>
          <w:lang w:val="en-US"/>
        </w:rPr>
        <w:t xml:space="preserve"> is indicated as add</w:t>
      </w:r>
      <w:r w:rsidR="00675F55">
        <w:rPr>
          <w:lang w:val="en-US"/>
        </w:rPr>
        <w:noBreakHyphen/>
      </w:r>
      <w:r w:rsidRPr="0038179D">
        <w:rPr>
          <w:lang w:val="en-US"/>
        </w:rPr>
        <w:t xml:space="preserve">on to FLOT therapy for the neoadjuvant and adjuvant </w:t>
      </w:r>
      <w:r w:rsidR="006D4EE8" w:rsidRPr="0038179D">
        <w:rPr>
          <w:lang w:val="en-US"/>
        </w:rPr>
        <w:t>treatment</w:t>
      </w:r>
      <w:r w:rsidRPr="0038179D">
        <w:rPr>
          <w:lang w:val="en-US"/>
        </w:rPr>
        <w:t xml:space="preserve"> of G/GOJ adenocarcinoma. </w:t>
      </w:r>
    </w:p>
    <w:p w14:paraId="2840495F" w14:textId="72347B35" w:rsidR="009558C2" w:rsidRPr="00CE759D" w:rsidRDefault="009558C2" w:rsidP="00CE759D">
      <w:pPr>
        <w:ind w:firstLine="709"/>
        <w:rPr>
          <w:rFonts w:asciiTheme="minorHAnsi" w:hAnsiTheme="minorHAnsi"/>
          <w:i/>
        </w:rPr>
      </w:pPr>
      <w:r w:rsidRPr="00C33D30">
        <w:rPr>
          <w:rFonts w:asciiTheme="minorHAnsi" w:hAnsiTheme="minorHAnsi"/>
          <w:i/>
        </w:rPr>
        <w:t>For more detail on PBAC’s view, see section 7 PBAC outcome.</w:t>
      </w:r>
    </w:p>
    <w:p w14:paraId="51E5AE96" w14:textId="7AB86776" w:rsidR="00B50DB8" w:rsidRPr="0038179D" w:rsidRDefault="00B50DB8" w:rsidP="00781A02">
      <w:pPr>
        <w:pStyle w:val="Heading1"/>
        <w:spacing w:before="160" w:after="160"/>
      </w:pPr>
      <w:bookmarkStart w:id="12" w:name="_Toc219379964"/>
      <w:r w:rsidRPr="0038179D">
        <w:t>Comparator</w:t>
      </w:r>
      <w:bookmarkEnd w:id="12"/>
    </w:p>
    <w:p w14:paraId="12BB17B6" w14:textId="648CFDC5" w:rsidR="00C57902" w:rsidRPr="0038179D" w:rsidRDefault="00C57902" w:rsidP="00781A02">
      <w:pPr>
        <w:pStyle w:val="3-BodyText"/>
        <w:spacing w:before="160" w:after="160"/>
      </w:pPr>
      <w:r w:rsidRPr="0038179D">
        <w:t xml:space="preserve">The submission nominated </w:t>
      </w:r>
      <w:r w:rsidR="00D14B7D" w:rsidRPr="0038179D">
        <w:t>perioperative FLOT alone</w:t>
      </w:r>
      <w:r w:rsidR="000D113E" w:rsidRPr="0038179D">
        <w:t>,</w:t>
      </w:r>
      <w:r w:rsidRPr="0038179D">
        <w:t xml:space="preserve"> </w:t>
      </w:r>
      <w:r w:rsidR="00543EE0" w:rsidRPr="0038179D">
        <w:t xml:space="preserve">the </w:t>
      </w:r>
      <w:r w:rsidR="00925174" w:rsidRPr="0038179D">
        <w:t xml:space="preserve">current </w:t>
      </w:r>
      <w:r w:rsidR="00543EE0" w:rsidRPr="0038179D">
        <w:t xml:space="preserve">SOC, </w:t>
      </w:r>
      <w:r w:rsidRPr="0038179D">
        <w:t xml:space="preserve">as the comparator. </w:t>
      </w:r>
      <w:r w:rsidR="001A4297" w:rsidRPr="0038179D">
        <w:t>FLOT consists of fluorouracil, leucovorin, oxaliplatin</w:t>
      </w:r>
      <w:r w:rsidR="003307FA" w:rsidRPr="0038179D">
        <w:t xml:space="preserve"> and</w:t>
      </w:r>
      <w:r w:rsidR="001A4297" w:rsidRPr="0038179D">
        <w:t xml:space="preserve"> docetaxel. </w:t>
      </w:r>
      <w:r w:rsidRPr="0038179D">
        <w:t>The choice of comparator is appropriate.</w:t>
      </w:r>
    </w:p>
    <w:p w14:paraId="1E5CA968" w14:textId="5A438013" w:rsidR="002E1071" w:rsidRDefault="00C57344" w:rsidP="00781A02">
      <w:pPr>
        <w:pStyle w:val="3-BodyText"/>
        <w:spacing w:before="160" w:after="160"/>
      </w:pPr>
      <w:r w:rsidRPr="0038179D">
        <w:t>A</w:t>
      </w:r>
      <w:r w:rsidR="002855B3">
        <w:t xml:space="preserve">t the time of </w:t>
      </w:r>
      <w:r w:rsidR="00276377">
        <w:t>ESC advice the</w:t>
      </w:r>
      <w:r w:rsidRPr="0038179D">
        <w:t xml:space="preserve"> current PBS listed immunotherapies ha</w:t>
      </w:r>
      <w:r w:rsidR="00276377">
        <w:t>d</w:t>
      </w:r>
      <w:r w:rsidRPr="0038179D">
        <w:t xml:space="preserve"> a ‘once in a lifetime’ restriction, </w:t>
      </w:r>
      <w:r w:rsidR="000B3C9D">
        <w:t xml:space="preserve">and </w:t>
      </w:r>
      <w:r w:rsidR="005319DC" w:rsidRPr="0038179D">
        <w:t xml:space="preserve">patients </w:t>
      </w:r>
      <w:r w:rsidR="000B3C9D">
        <w:t>with</w:t>
      </w:r>
      <w:r w:rsidR="005319DC" w:rsidRPr="0038179D">
        <w:t xml:space="preserve"> </w:t>
      </w:r>
      <w:r w:rsidRPr="0038179D">
        <w:t xml:space="preserve">disease progression or recurrence </w:t>
      </w:r>
      <w:r w:rsidR="00AF318F" w:rsidRPr="0038179D">
        <w:t>after</w:t>
      </w:r>
      <w:r w:rsidRPr="0038179D">
        <w:t xml:space="preserve"> perioperative durvalumab would not be eligible for subsequent </w:t>
      </w:r>
      <w:r w:rsidR="00C07950" w:rsidRPr="0038179D">
        <w:t>IO</w:t>
      </w:r>
      <w:r w:rsidR="00675F55">
        <w:noBreakHyphen/>
      </w:r>
      <w:r w:rsidR="00AF318F" w:rsidRPr="0038179D">
        <w:t xml:space="preserve">based </w:t>
      </w:r>
      <w:r w:rsidRPr="0038179D">
        <w:t xml:space="preserve">treatment. This was considered in the economic analysis and financial estimates. </w:t>
      </w:r>
      <w:r w:rsidR="00826EB8">
        <w:t xml:space="preserve">At the time of PBAC consideration the </w:t>
      </w:r>
      <w:r w:rsidR="00686DD9">
        <w:t xml:space="preserve">PBS </w:t>
      </w:r>
      <w:r w:rsidR="00C77F7E">
        <w:t xml:space="preserve">listing for nivolumab and ipilimumab </w:t>
      </w:r>
      <w:r w:rsidR="00686DD9">
        <w:t xml:space="preserve">had been broadened to </w:t>
      </w:r>
      <w:r w:rsidR="00770021">
        <w:t xml:space="preserve">expand access </w:t>
      </w:r>
      <w:r w:rsidR="003E6EB6">
        <w:t>to include</w:t>
      </w:r>
      <w:r w:rsidR="00770021">
        <w:t xml:space="preserve"> the treatment of advanced and metastatic cancers</w:t>
      </w:r>
      <w:r w:rsidR="0094214C">
        <w:t>, without exclusion of re</w:t>
      </w:r>
      <w:r w:rsidR="00675F55">
        <w:noBreakHyphen/>
      </w:r>
      <w:r w:rsidR="0094214C">
        <w:t xml:space="preserve">treatment. The PBAC noted that patients would be able to </w:t>
      </w:r>
      <w:r w:rsidR="0094214C">
        <w:lastRenderedPageBreak/>
        <w:t xml:space="preserve">access nivolumab </w:t>
      </w:r>
      <w:r w:rsidR="00086E86">
        <w:t>following treatment with durvalumab</w:t>
      </w:r>
      <w:r w:rsidR="00802D68">
        <w:t xml:space="preserve"> or as an alternative </w:t>
      </w:r>
      <w:r w:rsidR="005343EA">
        <w:t xml:space="preserve">to </w:t>
      </w:r>
      <w:r w:rsidR="00801A2C">
        <w:t xml:space="preserve">perioperative </w:t>
      </w:r>
      <w:r w:rsidR="005343EA">
        <w:t>durvalumab</w:t>
      </w:r>
      <w:r w:rsidR="00802D68">
        <w:t xml:space="preserve"> in the advanced</w:t>
      </w:r>
      <w:r w:rsidR="00C77F7E">
        <w:t xml:space="preserve"> </w:t>
      </w:r>
      <w:r w:rsidR="00802D68">
        <w:t>setting</w:t>
      </w:r>
      <w:r w:rsidR="00EA73CA">
        <w:t>.</w:t>
      </w:r>
    </w:p>
    <w:p w14:paraId="5778ED90" w14:textId="09A6127F" w:rsidR="009558C2" w:rsidRPr="00CE759D" w:rsidRDefault="009558C2" w:rsidP="00CE759D">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98262F" w:rsidRDefault="00223D5A" w:rsidP="009A7C7E">
      <w:pPr>
        <w:pStyle w:val="Heading1"/>
        <w:spacing w:before="160" w:after="160"/>
      </w:pPr>
      <w:bookmarkStart w:id="13" w:name="_Toc219379965"/>
      <w:bookmarkStart w:id="14" w:name="_Toc22897640"/>
      <w:r w:rsidRPr="0098262F">
        <w:t>Consideration of the evidence</w:t>
      </w:r>
      <w:bookmarkEnd w:id="13"/>
    </w:p>
    <w:p w14:paraId="157303C4" w14:textId="77777777" w:rsidR="006172EC" w:rsidRPr="006E1229" w:rsidRDefault="006172EC" w:rsidP="00B022C8">
      <w:pPr>
        <w:pStyle w:val="4-SubsectionHeading"/>
        <w:spacing w:before="160" w:after="160"/>
      </w:pPr>
      <w:bookmarkStart w:id="15" w:name="_Hlk76375935"/>
      <w:bookmarkStart w:id="16" w:name="_Toc219379966"/>
      <w:r w:rsidRPr="006E1229">
        <w:t>Sponsor hearing</w:t>
      </w:r>
    </w:p>
    <w:p w14:paraId="35A8697F" w14:textId="1336F16C" w:rsidR="006172EC" w:rsidRPr="00F91542" w:rsidRDefault="006172EC" w:rsidP="006172EC">
      <w:pPr>
        <w:widowControl w:val="0"/>
        <w:numPr>
          <w:ilvl w:val="1"/>
          <w:numId w:val="1"/>
        </w:numPr>
        <w:spacing w:after="120"/>
        <w:rPr>
          <w:rFonts w:cs="Calibri"/>
          <w:bCs/>
          <w:snapToGrid w:val="0"/>
        </w:rPr>
      </w:pPr>
      <w:r w:rsidRPr="00F91542">
        <w:rPr>
          <w:rFonts w:cs="Calibri"/>
          <w:bCs/>
          <w:snapToGrid w:val="0"/>
        </w:rPr>
        <w:t>There was no hearing for this item.</w:t>
      </w:r>
    </w:p>
    <w:p w14:paraId="7D03CC79" w14:textId="77777777" w:rsidR="006172EC" w:rsidRPr="006E1229" w:rsidRDefault="006172EC" w:rsidP="00B022C8">
      <w:pPr>
        <w:pStyle w:val="4-SubsectionHeading"/>
        <w:spacing w:before="160" w:after="160"/>
      </w:pPr>
      <w:r w:rsidRPr="006E1229">
        <w:t xml:space="preserve">Consumer </w:t>
      </w:r>
      <w:r>
        <w:t>input</w:t>
      </w:r>
      <w:r w:rsidRPr="006E1229">
        <w:t>s</w:t>
      </w:r>
    </w:p>
    <w:p w14:paraId="15C847C1" w14:textId="003DDC9F" w:rsidR="006172EC" w:rsidRPr="00836F75" w:rsidRDefault="006172EC" w:rsidP="006172EC">
      <w:pPr>
        <w:widowControl w:val="0"/>
        <w:numPr>
          <w:ilvl w:val="1"/>
          <w:numId w:val="1"/>
        </w:numPr>
        <w:spacing w:after="120"/>
        <w:rPr>
          <w:rFonts w:asciiTheme="minorHAnsi" w:hAnsiTheme="minorHAnsi"/>
          <w:bCs/>
          <w:snapToGrid w:val="0"/>
        </w:rPr>
      </w:pPr>
      <w:bookmarkStart w:id="17" w:name="_Hlk76382618"/>
      <w:r w:rsidRPr="00836F75">
        <w:rPr>
          <w:rFonts w:asciiTheme="minorHAnsi" w:hAnsiTheme="minorHAnsi"/>
          <w:bCs/>
          <w:snapToGrid w:val="0"/>
        </w:rPr>
        <w:t xml:space="preserve">The PBAC noted and welcomed the input from </w:t>
      </w:r>
      <w:r w:rsidR="00D7693E">
        <w:rPr>
          <w:rFonts w:asciiTheme="minorHAnsi" w:hAnsiTheme="minorHAnsi"/>
          <w:bCs/>
          <w:snapToGrid w:val="0"/>
        </w:rPr>
        <w:t>Rare Cancers Australia</w:t>
      </w:r>
      <w:r w:rsidR="0096295A">
        <w:rPr>
          <w:rFonts w:asciiTheme="minorHAnsi" w:hAnsiTheme="minorHAnsi"/>
          <w:bCs/>
          <w:snapToGrid w:val="0"/>
        </w:rPr>
        <w:t xml:space="preserve">, which included </w:t>
      </w:r>
      <w:r w:rsidR="00096FC6">
        <w:rPr>
          <w:rFonts w:asciiTheme="minorHAnsi" w:hAnsiTheme="minorHAnsi"/>
          <w:bCs/>
          <w:snapToGrid w:val="0"/>
        </w:rPr>
        <w:t>statements from patients</w:t>
      </w:r>
      <w:r w:rsidR="00D7693E">
        <w:rPr>
          <w:rFonts w:asciiTheme="minorHAnsi" w:hAnsiTheme="minorHAnsi"/>
          <w:bCs/>
          <w:snapToGrid w:val="0"/>
        </w:rPr>
        <w:t xml:space="preserve">. </w:t>
      </w:r>
      <w:r w:rsidRPr="00836F75">
        <w:rPr>
          <w:rFonts w:asciiTheme="minorHAnsi" w:hAnsiTheme="minorHAnsi"/>
          <w:bCs/>
          <w:snapToGrid w:val="0"/>
        </w:rPr>
        <w:t xml:space="preserve">The </w:t>
      </w:r>
      <w:r>
        <w:rPr>
          <w:rFonts w:asciiTheme="minorHAnsi" w:hAnsiTheme="minorHAnsi"/>
          <w:bCs/>
          <w:snapToGrid w:val="0"/>
        </w:rPr>
        <w:t>input</w:t>
      </w:r>
      <w:r w:rsidRPr="00836F75">
        <w:rPr>
          <w:rFonts w:asciiTheme="minorHAnsi" w:hAnsiTheme="minorHAnsi"/>
          <w:bCs/>
          <w:snapToGrid w:val="0"/>
        </w:rPr>
        <w:t xml:space="preserve"> described </w:t>
      </w:r>
      <w:r w:rsidR="00AA2A4E">
        <w:rPr>
          <w:rFonts w:asciiTheme="minorHAnsi" w:hAnsiTheme="minorHAnsi"/>
          <w:bCs/>
          <w:snapToGrid w:val="0"/>
        </w:rPr>
        <w:t xml:space="preserve">the </w:t>
      </w:r>
      <w:r w:rsidR="003B506C">
        <w:rPr>
          <w:rFonts w:asciiTheme="minorHAnsi" w:hAnsiTheme="minorHAnsi"/>
          <w:bCs/>
          <w:snapToGrid w:val="0"/>
        </w:rPr>
        <w:t xml:space="preserve">impact of GC/GOJC on </w:t>
      </w:r>
      <w:r w:rsidR="00BE6E54">
        <w:rPr>
          <w:rFonts w:asciiTheme="minorHAnsi" w:hAnsiTheme="minorHAnsi"/>
          <w:bCs/>
          <w:snapToGrid w:val="0"/>
        </w:rPr>
        <w:t xml:space="preserve">eating and appetite, </w:t>
      </w:r>
      <w:r w:rsidR="009F0693">
        <w:rPr>
          <w:rFonts w:asciiTheme="minorHAnsi" w:hAnsiTheme="minorHAnsi"/>
          <w:bCs/>
          <w:snapToGrid w:val="0"/>
        </w:rPr>
        <w:t xml:space="preserve">the burden of </w:t>
      </w:r>
      <w:r w:rsidR="00AF3104">
        <w:rPr>
          <w:rFonts w:asciiTheme="minorHAnsi" w:hAnsiTheme="minorHAnsi"/>
          <w:bCs/>
          <w:snapToGrid w:val="0"/>
        </w:rPr>
        <w:t xml:space="preserve">surgical treatments and </w:t>
      </w:r>
      <w:r w:rsidR="00ED1B5E">
        <w:rPr>
          <w:rFonts w:asciiTheme="minorHAnsi" w:hAnsiTheme="minorHAnsi"/>
          <w:bCs/>
          <w:snapToGrid w:val="0"/>
        </w:rPr>
        <w:t xml:space="preserve">ongoing monitoring, </w:t>
      </w:r>
      <w:r w:rsidR="00BE6E54">
        <w:rPr>
          <w:rFonts w:asciiTheme="minorHAnsi" w:hAnsiTheme="minorHAnsi"/>
          <w:bCs/>
          <w:snapToGrid w:val="0"/>
        </w:rPr>
        <w:t xml:space="preserve">the </w:t>
      </w:r>
      <w:r w:rsidR="00AA2A4E">
        <w:rPr>
          <w:rFonts w:asciiTheme="minorHAnsi" w:hAnsiTheme="minorHAnsi"/>
          <w:bCs/>
          <w:snapToGrid w:val="0"/>
        </w:rPr>
        <w:t xml:space="preserve">significant cost barrier to </w:t>
      </w:r>
      <w:r w:rsidR="00143530">
        <w:rPr>
          <w:rFonts w:asciiTheme="minorHAnsi" w:hAnsiTheme="minorHAnsi"/>
          <w:bCs/>
          <w:snapToGrid w:val="0"/>
        </w:rPr>
        <w:t>accessin</w:t>
      </w:r>
      <w:r w:rsidR="003B506C">
        <w:rPr>
          <w:rFonts w:asciiTheme="minorHAnsi" w:hAnsiTheme="minorHAnsi"/>
          <w:bCs/>
          <w:snapToGrid w:val="0"/>
        </w:rPr>
        <w:t>g</w:t>
      </w:r>
      <w:r w:rsidR="00143530">
        <w:rPr>
          <w:rFonts w:asciiTheme="minorHAnsi" w:hAnsiTheme="minorHAnsi"/>
          <w:bCs/>
          <w:snapToGrid w:val="0"/>
        </w:rPr>
        <w:t xml:space="preserve"> durvalumab, the benefit of </w:t>
      </w:r>
      <w:r w:rsidR="000E1493">
        <w:rPr>
          <w:rFonts w:asciiTheme="minorHAnsi" w:hAnsiTheme="minorHAnsi"/>
          <w:bCs/>
          <w:snapToGrid w:val="0"/>
        </w:rPr>
        <w:t>infusion (reducing the need for daily medication management), the potential for reduced pain and enhancement of surgical outcomes</w:t>
      </w:r>
      <w:r w:rsidR="003B506C">
        <w:rPr>
          <w:rFonts w:asciiTheme="minorHAnsi" w:hAnsiTheme="minorHAnsi"/>
          <w:bCs/>
          <w:snapToGrid w:val="0"/>
        </w:rPr>
        <w:t xml:space="preserve">. </w:t>
      </w:r>
    </w:p>
    <w:bookmarkEnd w:id="15"/>
    <w:bookmarkEnd w:id="17"/>
    <w:p w14:paraId="609C0765" w14:textId="378FC2B4" w:rsidR="00B60939" w:rsidRPr="0098262F" w:rsidRDefault="00B60939" w:rsidP="009A7C7E">
      <w:pPr>
        <w:pStyle w:val="4-SubsectionHeading"/>
        <w:spacing w:before="160" w:after="160"/>
      </w:pPr>
      <w:r w:rsidRPr="0098262F">
        <w:t>Clinical trials</w:t>
      </w:r>
      <w:bookmarkEnd w:id="14"/>
      <w:bookmarkEnd w:id="16"/>
    </w:p>
    <w:p w14:paraId="17DE34DC" w14:textId="09D55ED9" w:rsidR="007F1017" w:rsidRPr="0098262F" w:rsidRDefault="00A73134" w:rsidP="009A7C7E">
      <w:pPr>
        <w:pStyle w:val="3-BodyText"/>
        <w:spacing w:before="160" w:after="160"/>
        <w:rPr>
          <w:color w:val="0066FF"/>
        </w:rPr>
      </w:pPr>
      <w:r w:rsidRPr="0098262F">
        <w:t xml:space="preserve">The submission </w:t>
      </w:r>
      <w:r w:rsidR="00D5243B" w:rsidRPr="0098262F">
        <w:t>wa</w:t>
      </w:r>
      <w:r w:rsidRPr="0098262F">
        <w:t xml:space="preserve">s based on </w:t>
      </w:r>
      <w:r w:rsidR="00755D95">
        <w:t>one head</w:t>
      </w:r>
      <w:r w:rsidR="00675F55">
        <w:noBreakHyphen/>
      </w:r>
      <w:r w:rsidR="00755D95">
        <w:t>to</w:t>
      </w:r>
      <w:r w:rsidR="00675F55">
        <w:noBreakHyphen/>
      </w:r>
      <w:r w:rsidR="00755D95">
        <w:t xml:space="preserve">head trial </w:t>
      </w:r>
      <w:r w:rsidRPr="0098262F">
        <w:t xml:space="preserve">comparing </w:t>
      </w:r>
      <w:r w:rsidR="00292013">
        <w:t xml:space="preserve">D + FLOT </w:t>
      </w:r>
      <w:r w:rsidRPr="0098262F">
        <w:t xml:space="preserve">to </w:t>
      </w:r>
      <w:r w:rsidR="00513A98">
        <w:t>placebo (</w:t>
      </w:r>
      <w:r w:rsidR="00292013">
        <w:t>Pbo</w:t>
      </w:r>
      <w:r w:rsidR="00513A98">
        <w:t>)</w:t>
      </w:r>
      <w:r w:rsidR="00292013">
        <w:t xml:space="preserve"> + FLOT </w:t>
      </w:r>
      <w:r w:rsidRPr="0098262F">
        <w:t>(n</w:t>
      </w:r>
      <w:r w:rsidR="00925174">
        <w:t xml:space="preserve"> </w:t>
      </w:r>
      <w:r w:rsidRPr="0098262F">
        <w:t>=</w:t>
      </w:r>
      <w:r w:rsidR="00925174">
        <w:t xml:space="preserve"> </w:t>
      </w:r>
      <w:r w:rsidR="00292013">
        <w:t>948</w:t>
      </w:r>
      <w:r w:rsidRPr="0098262F">
        <w:t xml:space="preserve">) </w:t>
      </w:r>
      <w:r w:rsidR="00292013">
        <w:t>(MATTERHORN)</w:t>
      </w:r>
      <w:r w:rsidRPr="0098262F">
        <w:t xml:space="preserve">. </w:t>
      </w:r>
    </w:p>
    <w:p w14:paraId="2B59ABAC" w14:textId="3F043643" w:rsidR="00862502" w:rsidRPr="0098262F" w:rsidRDefault="00A73134" w:rsidP="009A7C7E">
      <w:pPr>
        <w:pStyle w:val="3-BodyText"/>
        <w:spacing w:before="160" w:after="160"/>
      </w:pPr>
      <w:r w:rsidRPr="0098262F">
        <w:t xml:space="preserve">Details of the </w:t>
      </w:r>
      <w:r w:rsidR="008F4654">
        <w:t xml:space="preserve">MATTERHORN trial </w:t>
      </w:r>
      <w:r w:rsidRPr="0098262F">
        <w:t xml:space="preserve">presented in the submission are provided in </w:t>
      </w:r>
      <w:r w:rsidR="00640C39">
        <w:fldChar w:fldCharType="begin"/>
      </w:r>
      <w:r w:rsidR="00640C39">
        <w:instrText xml:space="preserve"> REF _Ref216701584 \h </w:instrText>
      </w:r>
      <w:r w:rsidR="00640C39">
        <w:fldChar w:fldCharType="separate"/>
      </w:r>
      <w:r w:rsidR="00E71342" w:rsidRPr="0098262F">
        <w:t>Table</w:t>
      </w:r>
      <w:r w:rsidR="00E71342">
        <w:t xml:space="preserve"> </w:t>
      </w:r>
      <w:r w:rsidR="00E71342">
        <w:rPr>
          <w:noProof/>
        </w:rPr>
        <w:t>2</w:t>
      </w:r>
      <w:r w:rsidR="00640C39">
        <w:fldChar w:fldCharType="end"/>
      </w:r>
      <w:r w:rsidRPr="0098262F">
        <w:t>.</w:t>
      </w:r>
      <w:r w:rsidR="00BC591F" w:rsidRPr="0098262F">
        <w:t xml:space="preserve"> </w:t>
      </w:r>
    </w:p>
    <w:p w14:paraId="7DE3A286" w14:textId="049CE57C" w:rsidR="008E0D3C" w:rsidRPr="0098262F" w:rsidRDefault="00696EF9" w:rsidP="009A7C7E">
      <w:pPr>
        <w:pStyle w:val="Caption"/>
        <w:keepLines w:val="0"/>
        <w:rPr>
          <w:rStyle w:val="CommentReference"/>
          <w:b/>
          <w:szCs w:val="24"/>
        </w:rPr>
      </w:pPr>
      <w:bookmarkStart w:id="18" w:name="_Ref216701584"/>
      <w:bookmarkStart w:id="19" w:name="_Ref216681399"/>
      <w:r w:rsidRPr="0098262F">
        <w:t>Table</w:t>
      </w:r>
      <w:r w:rsidR="00803AB3">
        <w:t xml:space="preserve"> </w:t>
      </w:r>
      <w:fldSimple w:instr=" SEQ Table_ \* ARABIC ">
        <w:r w:rsidR="00E71342">
          <w:rPr>
            <w:noProof/>
          </w:rPr>
          <w:t>2</w:t>
        </w:r>
      </w:fldSimple>
      <w:bookmarkEnd w:id="18"/>
      <w:r w:rsidR="00247A71">
        <w:t>:</w:t>
      </w:r>
      <w:r w:rsidR="00BC591F">
        <w:t xml:space="preserve"> </w:t>
      </w:r>
      <w:r w:rsidR="008F4654">
        <w:rPr>
          <w:rStyle w:val="CommentReference"/>
          <w:b/>
          <w:szCs w:val="24"/>
        </w:rPr>
        <w:t>MATTERHORN trial</w:t>
      </w:r>
      <w:r w:rsidR="008E0D3C" w:rsidRPr="0098262F">
        <w:rPr>
          <w:rStyle w:val="CommentReference"/>
          <w:b/>
          <w:szCs w:val="24"/>
        </w:rPr>
        <w:t xml:space="preserve"> and associated reports presented in the submission</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MATTERHORN trial and associated reports presented in the submission"/>
      </w:tblPr>
      <w:tblGrid>
        <w:gridCol w:w="1271"/>
        <w:gridCol w:w="2835"/>
        <w:gridCol w:w="4911"/>
      </w:tblGrid>
      <w:tr w:rsidR="008E0D3C" w:rsidRPr="0086661E" w14:paraId="6ACD35C4" w14:textId="77777777" w:rsidTr="008A4659">
        <w:trPr>
          <w:cantSplit/>
          <w:tblHeader/>
        </w:trPr>
        <w:tc>
          <w:tcPr>
            <w:tcW w:w="705" w:type="pct"/>
            <w:tcBorders>
              <w:bottom w:val="single" w:sz="4" w:space="0" w:color="auto"/>
            </w:tcBorders>
            <w:vAlign w:val="center"/>
          </w:tcPr>
          <w:p w14:paraId="20DEEB23" w14:textId="77777777" w:rsidR="008E0D3C" w:rsidRPr="0086661E" w:rsidRDefault="008E0D3C" w:rsidP="009A7C7E">
            <w:pPr>
              <w:pStyle w:val="TableFigureHeading"/>
            </w:pPr>
            <w:r w:rsidRPr="0086661E">
              <w:t>Trial ID</w:t>
            </w:r>
          </w:p>
        </w:tc>
        <w:tc>
          <w:tcPr>
            <w:tcW w:w="1572" w:type="pct"/>
            <w:vAlign w:val="center"/>
          </w:tcPr>
          <w:p w14:paraId="22EF6C51" w14:textId="77777777" w:rsidR="008E0D3C" w:rsidRPr="0086661E" w:rsidRDefault="008E0D3C" w:rsidP="009A7C7E">
            <w:pPr>
              <w:pStyle w:val="TableFigureHeading"/>
            </w:pPr>
            <w:r w:rsidRPr="0086661E">
              <w:t>Protocol title/ Publication title</w:t>
            </w:r>
          </w:p>
        </w:tc>
        <w:tc>
          <w:tcPr>
            <w:tcW w:w="2723" w:type="pct"/>
            <w:vAlign w:val="center"/>
          </w:tcPr>
          <w:p w14:paraId="561B27A8" w14:textId="77777777" w:rsidR="008E0D3C" w:rsidRPr="0086661E" w:rsidRDefault="008E0D3C" w:rsidP="009A7C7E">
            <w:pPr>
              <w:pStyle w:val="TableFigureHeading"/>
            </w:pPr>
            <w:r w:rsidRPr="0086661E">
              <w:t>Publication citation</w:t>
            </w:r>
          </w:p>
        </w:tc>
      </w:tr>
      <w:tr w:rsidR="00B724EE" w:rsidRPr="0086661E" w14:paraId="298351BA" w14:textId="77777777" w:rsidTr="008A4659">
        <w:trPr>
          <w:cantSplit/>
        </w:trPr>
        <w:tc>
          <w:tcPr>
            <w:tcW w:w="705" w:type="pct"/>
            <w:vMerge w:val="restart"/>
          </w:tcPr>
          <w:p w14:paraId="5D9482F5" w14:textId="0E06F545" w:rsidR="00B724EE" w:rsidRPr="0086661E" w:rsidRDefault="00B724EE" w:rsidP="00B275F0">
            <w:pPr>
              <w:pStyle w:val="Tabletext"/>
              <w:keepNext/>
              <w:rPr>
                <w:szCs w:val="20"/>
              </w:rPr>
            </w:pPr>
            <w:r w:rsidRPr="0086661E">
              <w:t xml:space="preserve">MATTERHORN </w:t>
            </w:r>
            <w:r w:rsidRPr="0086661E">
              <w:br/>
              <w:t>NCT04592913</w:t>
            </w:r>
          </w:p>
        </w:tc>
        <w:tc>
          <w:tcPr>
            <w:tcW w:w="1572" w:type="pct"/>
          </w:tcPr>
          <w:p w14:paraId="2570DA6E" w14:textId="0F6449A9" w:rsidR="00B724EE" w:rsidRPr="0086661E" w:rsidRDefault="00B724EE" w:rsidP="00B275F0">
            <w:pPr>
              <w:pStyle w:val="Tabletext"/>
              <w:keepNext/>
            </w:pPr>
            <w:r w:rsidRPr="0086661E">
              <w:t xml:space="preserve">MATTERHORN CSR </w:t>
            </w:r>
            <w:r w:rsidR="00675F55">
              <w:noBreakHyphen/>
            </w:r>
            <w:r w:rsidRPr="0086661E">
              <w:t xml:space="preserve"> DCO2: 20 December 2024</w:t>
            </w:r>
          </w:p>
        </w:tc>
        <w:tc>
          <w:tcPr>
            <w:tcW w:w="2723" w:type="pct"/>
          </w:tcPr>
          <w:p w14:paraId="7578773D" w14:textId="791E4F41" w:rsidR="00B724EE" w:rsidRPr="0086661E" w:rsidRDefault="00B724EE" w:rsidP="00B275F0">
            <w:pPr>
              <w:pStyle w:val="Tabletext"/>
              <w:keepNext/>
              <w:rPr>
                <w:rFonts w:ascii="Times" w:hAnsi="Times"/>
              </w:rPr>
            </w:pPr>
            <w:r w:rsidRPr="0086661E">
              <w:t>MATTERHORN second interim analysis Clinical Study Report (CSR)</w:t>
            </w:r>
          </w:p>
        </w:tc>
      </w:tr>
      <w:tr w:rsidR="00B724EE" w:rsidRPr="0086661E" w14:paraId="7F06C7BE" w14:textId="77777777" w:rsidTr="008A4659">
        <w:trPr>
          <w:cantSplit/>
        </w:trPr>
        <w:tc>
          <w:tcPr>
            <w:tcW w:w="705" w:type="pct"/>
            <w:vMerge/>
          </w:tcPr>
          <w:p w14:paraId="2DE31C12" w14:textId="7BFA1DAD" w:rsidR="00B724EE" w:rsidRPr="0086661E" w:rsidRDefault="00B724EE" w:rsidP="00B275F0">
            <w:pPr>
              <w:pStyle w:val="Tabletext"/>
              <w:keepNext/>
            </w:pPr>
          </w:p>
        </w:tc>
        <w:tc>
          <w:tcPr>
            <w:tcW w:w="1572" w:type="pct"/>
          </w:tcPr>
          <w:p w14:paraId="7CB8ADA9" w14:textId="3AA7AA2D" w:rsidR="00B724EE" w:rsidRPr="0086661E" w:rsidRDefault="00B724EE" w:rsidP="00B275F0">
            <w:pPr>
              <w:pStyle w:val="Tabletext"/>
              <w:keepNext/>
            </w:pPr>
            <w:r w:rsidRPr="0086661E">
              <w:t>Clinical Study Protocol (CSP) v3: March 2024</w:t>
            </w:r>
          </w:p>
        </w:tc>
        <w:tc>
          <w:tcPr>
            <w:tcW w:w="2723" w:type="pct"/>
          </w:tcPr>
          <w:p w14:paraId="53EB2567" w14:textId="051C9E4C" w:rsidR="00B724EE" w:rsidRPr="0086661E" w:rsidRDefault="00B724EE" w:rsidP="00B275F0">
            <w:pPr>
              <w:pStyle w:val="Tabletext"/>
              <w:keepNext/>
            </w:pPr>
            <w:r w:rsidRPr="0086661E">
              <w:t>MATTERHORN clinical study protocol (CSP)</w:t>
            </w:r>
          </w:p>
        </w:tc>
      </w:tr>
      <w:tr w:rsidR="00EF1986" w:rsidRPr="0086661E" w14:paraId="638A56A0" w14:textId="77777777" w:rsidTr="008A4659">
        <w:trPr>
          <w:cantSplit/>
        </w:trPr>
        <w:tc>
          <w:tcPr>
            <w:tcW w:w="705" w:type="pct"/>
            <w:vMerge/>
          </w:tcPr>
          <w:p w14:paraId="37579F40" w14:textId="77777777" w:rsidR="00EF1986" w:rsidRPr="0086661E" w:rsidRDefault="00EF1986" w:rsidP="00B275F0">
            <w:pPr>
              <w:pStyle w:val="Tabletext"/>
              <w:keepNext/>
            </w:pPr>
          </w:p>
        </w:tc>
        <w:tc>
          <w:tcPr>
            <w:tcW w:w="1572" w:type="pct"/>
          </w:tcPr>
          <w:p w14:paraId="37853E94" w14:textId="48B06985" w:rsidR="00EF1986" w:rsidRPr="0086661E" w:rsidRDefault="00EF1986" w:rsidP="00784D59">
            <w:pPr>
              <w:pStyle w:val="Tabletext"/>
              <w:rPr>
                <w:szCs w:val="20"/>
              </w:rPr>
            </w:pPr>
            <w:r w:rsidRPr="0086661E">
              <w:rPr>
                <w:szCs w:val="20"/>
              </w:rPr>
              <w:t>Publication</w:t>
            </w:r>
          </w:p>
        </w:tc>
        <w:tc>
          <w:tcPr>
            <w:tcW w:w="2723" w:type="pct"/>
          </w:tcPr>
          <w:p w14:paraId="0DBE95ED" w14:textId="3747B05C" w:rsidR="00EF1986" w:rsidRPr="0086661E" w:rsidRDefault="00784D59" w:rsidP="00784D59">
            <w:pPr>
              <w:pStyle w:val="Tabletext"/>
              <w:rPr>
                <w:color w:val="4D4D4D"/>
                <w:spacing w:val="5"/>
                <w:szCs w:val="20"/>
              </w:rPr>
            </w:pPr>
            <w:r w:rsidRPr="0086661E">
              <w:rPr>
                <w:rStyle w:val="authors"/>
                <w:rFonts w:cs="Arial"/>
                <w:color w:val="666666"/>
                <w:szCs w:val="20"/>
              </w:rPr>
              <w:t>Yelena Y</w:t>
            </w:r>
            <w:r w:rsidR="00C910E1" w:rsidRPr="0086661E">
              <w:rPr>
                <w:rStyle w:val="authors"/>
                <w:rFonts w:cs="Arial"/>
                <w:color w:val="666666"/>
                <w:szCs w:val="20"/>
              </w:rPr>
              <w:t xml:space="preserve"> et al (2025) </w:t>
            </w:r>
            <w:r w:rsidR="00C910E1" w:rsidRPr="0086661E">
              <w:rPr>
                <w:color w:val="1A1A1A"/>
                <w:spacing w:val="5"/>
                <w:szCs w:val="20"/>
              </w:rPr>
              <w:t>Perioperative Durvalumab in Gastric and Gastroesophageal Junction Cancer</w:t>
            </w:r>
            <w:r w:rsidR="007C54BB" w:rsidRPr="0086661E">
              <w:rPr>
                <w:color w:val="1A1A1A"/>
                <w:spacing w:val="5"/>
                <w:szCs w:val="20"/>
              </w:rPr>
              <w:t xml:space="preserve"> </w:t>
            </w:r>
            <w:r w:rsidRPr="0086661E">
              <w:rPr>
                <w:color w:val="4D4D4D"/>
                <w:spacing w:val="5"/>
                <w:szCs w:val="20"/>
              </w:rPr>
              <w:t>N Engl J</w:t>
            </w:r>
            <w:r w:rsidR="007C54BB" w:rsidRPr="0086661E">
              <w:rPr>
                <w:color w:val="4D4D4D"/>
                <w:spacing w:val="5"/>
                <w:szCs w:val="20"/>
              </w:rPr>
              <w:t xml:space="preserve"> M</w:t>
            </w:r>
            <w:r w:rsidRPr="0086661E">
              <w:rPr>
                <w:color w:val="4D4D4D"/>
                <w:spacing w:val="5"/>
                <w:szCs w:val="20"/>
              </w:rPr>
              <w:t>ed 2025;393:217</w:t>
            </w:r>
            <w:r w:rsidR="00675F55">
              <w:rPr>
                <w:color w:val="4D4D4D"/>
                <w:spacing w:val="5"/>
                <w:szCs w:val="20"/>
              </w:rPr>
              <w:noBreakHyphen/>
            </w:r>
            <w:r w:rsidRPr="0086661E">
              <w:rPr>
                <w:color w:val="4D4D4D"/>
                <w:spacing w:val="5"/>
                <w:szCs w:val="20"/>
              </w:rPr>
              <w:t>230</w:t>
            </w:r>
          </w:p>
        </w:tc>
      </w:tr>
      <w:tr w:rsidR="00B724EE" w:rsidRPr="0086661E" w14:paraId="28A72EC8" w14:textId="77777777" w:rsidTr="00B275F0">
        <w:trPr>
          <w:cantSplit/>
          <w:trHeight w:val="1581"/>
        </w:trPr>
        <w:tc>
          <w:tcPr>
            <w:tcW w:w="705" w:type="pct"/>
            <w:vMerge/>
          </w:tcPr>
          <w:p w14:paraId="4229B05F" w14:textId="77777777" w:rsidR="00B724EE" w:rsidRPr="0086661E" w:rsidRDefault="00B724EE" w:rsidP="00B275F0">
            <w:pPr>
              <w:pStyle w:val="Tabletext"/>
              <w:keepNext/>
            </w:pPr>
          </w:p>
        </w:tc>
        <w:tc>
          <w:tcPr>
            <w:tcW w:w="1572" w:type="pct"/>
          </w:tcPr>
          <w:p w14:paraId="545FF92A" w14:textId="104A8076" w:rsidR="00212334" w:rsidRPr="0086661E" w:rsidRDefault="00B724EE" w:rsidP="00B275F0">
            <w:pPr>
              <w:pStyle w:val="Tabletext"/>
              <w:keepNext/>
            </w:pPr>
            <w:r w:rsidRPr="0086661E">
              <w:t>Final OS analysis abstract</w:t>
            </w:r>
          </w:p>
        </w:tc>
        <w:tc>
          <w:tcPr>
            <w:tcW w:w="2723" w:type="pct"/>
          </w:tcPr>
          <w:p w14:paraId="2871DD63" w14:textId="77777777" w:rsidR="00B724EE" w:rsidRPr="0086661E" w:rsidRDefault="00B724EE" w:rsidP="00B275F0">
            <w:pPr>
              <w:pStyle w:val="Tabletext"/>
              <w:keepNext/>
            </w:pPr>
            <w:r w:rsidRPr="0086661E">
              <w:t>MATTERHORN Final OS analysis</w:t>
            </w:r>
          </w:p>
          <w:p w14:paraId="00E69322" w14:textId="5CDDA0CF" w:rsidR="00B724EE" w:rsidRPr="0086661E" w:rsidRDefault="00454E21" w:rsidP="00B275F0">
            <w:pPr>
              <w:pStyle w:val="Tabletext"/>
              <w:keepNext/>
            </w:pPr>
            <w:r w:rsidRPr="0086661E">
              <w:t>Tabernero et al. (2025). Final overall survival and the association of pathological outcomes with event</w:t>
            </w:r>
            <w:r w:rsidR="00675F55">
              <w:noBreakHyphen/>
            </w:r>
            <w:r w:rsidRPr="0086661E">
              <w:t>free survival in MATTERHORN: a randomised, Phase 3 study of durvalumab plus 5</w:t>
            </w:r>
            <w:r w:rsidR="00675F55">
              <w:noBreakHyphen/>
            </w:r>
            <w:r w:rsidRPr="0086661E">
              <w:t>fluorouracil, leucovorin, oxaliplatin and docetaxel in resectable gastric/gastroesophageal junction adenocarcinoma</w:t>
            </w:r>
            <w:r w:rsidR="00DF0217" w:rsidRPr="0086661E">
              <w:t>. ESMO Congress</w:t>
            </w:r>
            <w:r w:rsidR="00C1682A" w:rsidRPr="0086661E">
              <w:t>, Berlin, 17</w:t>
            </w:r>
            <w:r w:rsidR="00675F55">
              <w:noBreakHyphen/>
            </w:r>
            <w:r w:rsidR="00C1682A" w:rsidRPr="0086661E">
              <w:t>21 October</w:t>
            </w:r>
            <w:r w:rsidR="00DF0217" w:rsidRPr="0086661E">
              <w:t xml:space="preserve"> 2025</w:t>
            </w:r>
            <w:r w:rsidR="00C1682A" w:rsidRPr="0086661E">
              <w:t>.</w:t>
            </w:r>
          </w:p>
        </w:tc>
      </w:tr>
    </w:tbl>
    <w:p w14:paraId="3DD565FF" w14:textId="66F2EC07" w:rsidR="004F7A8A" w:rsidRPr="00781A02" w:rsidRDefault="004F7A8A" w:rsidP="00C1302F">
      <w:pPr>
        <w:pStyle w:val="TableFigureFooter"/>
      </w:pPr>
      <w:r w:rsidRPr="00781A02">
        <w:t>Source: Table 2</w:t>
      </w:r>
      <w:r w:rsidR="00675F55">
        <w:noBreakHyphen/>
      </w:r>
      <w:r w:rsidRPr="00781A02">
        <w:t>3, p51 of the submission.</w:t>
      </w:r>
    </w:p>
    <w:p w14:paraId="1BAB1AA3" w14:textId="40EA13C6" w:rsidR="008F4654" w:rsidRPr="00781A02" w:rsidRDefault="000C40F3" w:rsidP="00C1302F">
      <w:pPr>
        <w:pStyle w:val="TableFigureFooter"/>
      </w:pPr>
      <w:r w:rsidRPr="00781A02">
        <w:t xml:space="preserve">CSP = clinical study protocol; CSR = clinical study report; </w:t>
      </w:r>
      <w:r w:rsidR="00130FAF" w:rsidRPr="00781A02">
        <w:t>DCO = data cut</w:t>
      </w:r>
      <w:r w:rsidR="00675F55">
        <w:noBreakHyphen/>
      </w:r>
      <w:r w:rsidR="00130FAF" w:rsidRPr="00781A02">
        <w:t>off</w:t>
      </w:r>
      <w:r w:rsidRPr="00781A02">
        <w:t>; OS = overall survival</w:t>
      </w:r>
      <w:r w:rsidR="00F63DC5" w:rsidRPr="00781A02">
        <w:t>.</w:t>
      </w:r>
    </w:p>
    <w:p w14:paraId="1DD06D7D" w14:textId="6A03311E" w:rsidR="007F1017" w:rsidRPr="0098262F" w:rsidRDefault="008F120A" w:rsidP="007F2346">
      <w:pPr>
        <w:pStyle w:val="3-BodyText"/>
        <w:spacing w:before="160" w:after="160"/>
        <w:rPr>
          <w:color w:val="0066FF"/>
        </w:rPr>
      </w:pPr>
      <w:r w:rsidRPr="0098262F">
        <w:t xml:space="preserve">The key features of the </w:t>
      </w:r>
      <w:r w:rsidR="00E30D2A">
        <w:t xml:space="preserve">MATTERHORN direct </w:t>
      </w:r>
      <w:r w:rsidR="007B25F7">
        <w:t>randomised controlled trial (</w:t>
      </w:r>
      <w:r w:rsidR="00E30D2A">
        <w:t>RCT</w:t>
      </w:r>
      <w:r w:rsidR="007B25F7">
        <w:t>)</w:t>
      </w:r>
      <w:r w:rsidR="00E30D2A">
        <w:t xml:space="preserve"> </w:t>
      </w:r>
      <w:r w:rsidRPr="0098262F">
        <w:t>are summarised in</w:t>
      </w:r>
      <w:r w:rsidR="00D6076E" w:rsidRPr="0098262F">
        <w:t xml:space="preserve"> </w:t>
      </w:r>
      <w:r w:rsidR="005045D2">
        <w:fldChar w:fldCharType="begin"/>
      </w:r>
      <w:r w:rsidR="005045D2">
        <w:instrText xml:space="preserve"> REF _Ref216701679 \h </w:instrText>
      </w:r>
      <w:r w:rsidR="005045D2">
        <w:fldChar w:fldCharType="separate"/>
      </w:r>
      <w:r w:rsidR="00E71342">
        <w:rPr>
          <w:rFonts w:eastAsiaTheme="majorEastAsia"/>
        </w:rPr>
        <w:t xml:space="preserve">Table </w:t>
      </w:r>
      <w:r w:rsidR="00E71342">
        <w:rPr>
          <w:noProof/>
        </w:rPr>
        <w:t>3</w:t>
      </w:r>
      <w:r w:rsidR="005045D2">
        <w:fldChar w:fldCharType="end"/>
      </w:r>
      <w:r w:rsidRPr="0098262F">
        <w:t>.</w:t>
      </w:r>
      <w:r w:rsidR="00BC591F" w:rsidRPr="0098262F">
        <w:t xml:space="preserve"> </w:t>
      </w:r>
    </w:p>
    <w:p w14:paraId="355E2F15" w14:textId="2726D2DF" w:rsidR="007F1017" w:rsidRPr="0098262F" w:rsidRDefault="00696EF9" w:rsidP="00630F46">
      <w:pPr>
        <w:pStyle w:val="Caption"/>
        <w:rPr>
          <w:rStyle w:val="CommentReference"/>
          <w:rFonts w:eastAsiaTheme="majorEastAsia" w:cstheme="majorBidi"/>
          <w:b/>
          <w:szCs w:val="24"/>
        </w:rPr>
      </w:pPr>
      <w:bookmarkStart w:id="20" w:name="_Ref216701679"/>
      <w:r>
        <w:rPr>
          <w:rFonts w:eastAsiaTheme="majorEastAsia"/>
        </w:rPr>
        <w:lastRenderedPageBreak/>
        <w:t>Table</w:t>
      </w:r>
      <w:r w:rsidR="00803AB3">
        <w:rPr>
          <w:rFonts w:eastAsiaTheme="majorEastAsia"/>
        </w:rPr>
        <w:t xml:space="preserve"> </w:t>
      </w:r>
      <w:fldSimple w:instr=" SEQ Table_ \* ARABIC ">
        <w:r w:rsidR="00E71342">
          <w:rPr>
            <w:noProof/>
          </w:rPr>
          <w:t>3</w:t>
        </w:r>
      </w:fldSimple>
      <w:bookmarkEnd w:id="20"/>
      <w:r w:rsidR="0039456E">
        <w:t>:</w:t>
      </w:r>
      <w:r w:rsidR="00D6076E">
        <w:rPr>
          <w:rFonts w:eastAsiaTheme="majorEastAsia"/>
        </w:rPr>
        <w:t xml:space="preserve"> </w:t>
      </w:r>
      <w:r w:rsidR="007F1017" w:rsidRPr="0098262F">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5"/>
        <w:gridCol w:w="552"/>
        <w:gridCol w:w="1558"/>
        <w:gridCol w:w="1259"/>
        <w:gridCol w:w="1546"/>
        <w:gridCol w:w="1448"/>
        <w:gridCol w:w="1369"/>
      </w:tblGrid>
      <w:tr w:rsidR="00B41614" w:rsidRPr="0098262F" w14:paraId="53DD7CC6" w14:textId="77777777" w:rsidTr="000311DF">
        <w:trPr>
          <w:cantSplit/>
          <w:tblHeader/>
        </w:trPr>
        <w:tc>
          <w:tcPr>
            <w:tcW w:w="713" w:type="pct"/>
            <w:vAlign w:val="center"/>
          </w:tcPr>
          <w:p w14:paraId="794116BC" w14:textId="77777777" w:rsidR="007F1017" w:rsidRPr="004F7A8A" w:rsidRDefault="007F1017" w:rsidP="00630F46">
            <w:pPr>
              <w:pStyle w:val="TableFigureHeading"/>
            </w:pPr>
            <w:r w:rsidRPr="004F7A8A">
              <w:t>Trial</w:t>
            </w:r>
          </w:p>
        </w:tc>
        <w:tc>
          <w:tcPr>
            <w:tcW w:w="306" w:type="pct"/>
            <w:vAlign w:val="center"/>
          </w:tcPr>
          <w:p w14:paraId="51122FE5" w14:textId="77777777" w:rsidR="007F1017" w:rsidRPr="004F7A8A" w:rsidRDefault="007F1017" w:rsidP="00630F46">
            <w:pPr>
              <w:pStyle w:val="TableFigureHeading"/>
            </w:pPr>
            <w:r w:rsidRPr="004F7A8A">
              <w:t>N</w:t>
            </w:r>
          </w:p>
        </w:tc>
        <w:tc>
          <w:tcPr>
            <w:tcW w:w="864" w:type="pct"/>
            <w:vAlign w:val="center"/>
          </w:tcPr>
          <w:p w14:paraId="41C438EF" w14:textId="77777777" w:rsidR="007F1017" w:rsidRPr="004F7A8A" w:rsidRDefault="007F1017" w:rsidP="00630F46">
            <w:pPr>
              <w:pStyle w:val="TableFigureHeading"/>
            </w:pPr>
            <w:r w:rsidRPr="004F7A8A">
              <w:t>Design/ duration</w:t>
            </w:r>
          </w:p>
        </w:tc>
        <w:tc>
          <w:tcPr>
            <w:tcW w:w="698" w:type="pct"/>
            <w:vAlign w:val="center"/>
          </w:tcPr>
          <w:p w14:paraId="1FC91360" w14:textId="77777777" w:rsidR="007F1017" w:rsidRPr="004F7A8A" w:rsidRDefault="007F1017" w:rsidP="00630F46">
            <w:pPr>
              <w:pStyle w:val="TableFigureHeading"/>
            </w:pPr>
            <w:r w:rsidRPr="004F7A8A">
              <w:t>Risk of bias</w:t>
            </w:r>
          </w:p>
        </w:tc>
        <w:tc>
          <w:tcPr>
            <w:tcW w:w="857" w:type="pct"/>
            <w:vAlign w:val="center"/>
          </w:tcPr>
          <w:p w14:paraId="7FF90896" w14:textId="77777777" w:rsidR="007F1017" w:rsidRPr="004F7A8A" w:rsidRDefault="007F1017" w:rsidP="00630F46">
            <w:pPr>
              <w:pStyle w:val="TableFigureHeading"/>
            </w:pPr>
            <w:r w:rsidRPr="004F7A8A">
              <w:t>Patient population</w:t>
            </w:r>
          </w:p>
        </w:tc>
        <w:tc>
          <w:tcPr>
            <w:tcW w:w="803" w:type="pct"/>
            <w:vAlign w:val="center"/>
          </w:tcPr>
          <w:p w14:paraId="0FCB63F9" w14:textId="77777777" w:rsidR="007F1017" w:rsidRPr="004F7A8A" w:rsidRDefault="007F1017" w:rsidP="00630F46">
            <w:pPr>
              <w:pStyle w:val="TableFigureHeading"/>
            </w:pPr>
            <w:r w:rsidRPr="004F7A8A">
              <w:t>Outcome(s)</w:t>
            </w:r>
          </w:p>
        </w:tc>
        <w:tc>
          <w:tcPr>
            <w:tcW w:w="758" w:type="pct"/>
            <w:vAlign w:val="center"/>
          </w:tcPr>
          <w:p w14:paraId="08C6F624" w14:textId="7EFAC661" w:rsidR="007F1017" w:rsidRPr="004F7A8A" w:rsidRDefault="007F1017" w:rsidP="00630F46">
            <w:pPr>
              <w:pStyle w:val="TableFigureHeading"/>
            </w:pPr>
            <w:r w:rsidRPr="004F7A8A">
              <w:t>Use in modelled evaluation</w:t>
            </w:r>
          </w:p>
        </w:tc>
      </w:tr>
      <w:tr w:rsidR="007F1017" w:rsidRPr="0098262F" w14:paraId="2A03CD4B" w14:textId="77777777" w:rsidTr="00682BA6">
        <w:trPr>
          <w:cantSplit/>
        </w:trPr>
        <w:tc>
          <w:tcPr>
            <w:tcW w:w="5000" w:type="pct"/>
            <w:gridSpan w:val="7"/>
            <w:vAlign w:val="center"/>
          </w:tcPr>
          <w:p w14:paraId="73088C85" w14:textId="7DD0140F" w:rsidR="007F1017" w:rsidRPr="004F7A8A" w:rsidRDefault="004A37A4" w:rsidP="000311DF">
            <w:pPr>
              <w:pStyle w:val="TableFigureHeading"/>
            </w:pPr>
            <w:r w:rsidRPr="004F7A8A">
              <w:t>D + FLOT vs Pbo + FLOT</w:t>
            </w:r>
          </w:p>
        </w:tc>
      </w:tr>
      <w:tr w:rsidR="007B4CAA" w:rsidRPr="0098262F" w14:paraId="4EE88DCB" w14:textId="77777777" w:rsidTr="000311DF">
        <w:trPr>
          <w:cantSplit/>
        </w:trPr>
        <w:tc>
          <w:tcPr>
            <w:tcW w:w="713" w:type="pct"/>
            <w:vAlign w:val="center"/>
          </w:tcPr>
          <w:p w14:paraId="6EE77D33" w14:textId="67F7A35B" w:rsidR="007B4CAA" w:rsidRPr="00563B09" w:rsidRDefault="007B4CAA" w:rsidP="000A25A3">
            <w:pPr>
              <w:pStyle w:val="Tabletext"/>
              <w:keepNext/>
            </w:pPr>
            <w:r w:rsidRPr="00563B09">
              <w:t>MATTERHORN</w:t>
            </w:r>
          </w:p>
        </w:tc>
        <w:tc>
          <w:tcPr>
            <w:tcW w:w="306" w:type="pct"/>
            <w:vAlign w:val="center"/>
          </w:tcPr>
          <w:p w14:paraId="41BB0E41" w14:textId="0AA6A3D5" w:rsidR="007B4CAA" w:rsidRPr="00563B09" w:rsidRDefault="007B4CAA" w:rsidP="000A25A3">
            <w:pPr>
              <w:pStyle w:val="Tabletext"/>
              <w:keepNext/>
            </w:pPr>
            <w:r w:rsidRPr="00563B09">
              <w:t>948</w:t>
            </w:r>
          </w:p>
        </w:tc>
        <w:tc>
          <w:tcPr>
            <w:tcW w:w="864" w:type="pct"/>
            <w:vAlign w:val="center"/>
          </w:tcPr>
          <w:p w14:paraId="401EAFDA" w14:textId="6DAEE634" w:rsidR="007B4CAA" w:rsidRPr="00563B09" w:rsidRDefault="007B4CAA" w:rsidP="000A25A3">
            <w:pPr>
              <w:pStyle w:val="Tabletext"/>
              <w:keepNext/>
            </w:pPr>
            <w:r w:rsidRPr="00563B09">
              <w:t>R, DB, MC</w:t>
            </w:r>
          </w:p>
          <w:p w14:paraId="744D08AC" w14:textId="3CC62346" w:rsidR="007B4CAA" w:rsidRPr="00563B09" w:rsidRDefault="007B4CAA" w:rsidP="000A25A3">
            <w:pPr>
              <w:pStyle w:val="Tabletext"/>
              <w:keepNext/>
            </w:pPr>
            <w:r w:rsidRPr="00563B09">
              <w:t>Median f/u: for OS: 38.6</w:t>
            </w:r>
            <w:r w:rsidR="00675F55">
              <w:noBreakHyphen/>
            </w:r>
            <w:r w:rsidRPr="00563B09">
              <w:t>39.6 months</w:t>
            </w:r>
          </w:p>
        </w:tc>
        <w:tc>
          <w:tcPr>
            <w:tcW w:w="698" w:type="pct"/>
            <w:vAlign w:val="center"/>
          </w:tcPr>
          <w:p w14:paraId="146EC281" w14:textId="46C3BCF0" w:rsidR="007B4CAA" w:rsidRPr="00563B09" w:rsidRDefault="007B4CAA" w:rsidP="000A25A3">
            <w:pPr>
              <w:pStyle w:val="Tabletext"/>
              <w:keepNext/>
            </w:pPr>
            <w:r w:rsidRPr="00563B09">
              <w:t xml:space="preserve">Some concern </w:t>
            </w:r>
            <w:r w:rsidR="000311DF" w:rsidRPr="00563B09">
              <w:rPr>
                <w:vertAlign w:val="superscript"/>
              </w:rPr>
              <w:t>a</w:t>
            </w:r>
          </w:p>
          <w:p w14:paraId="4A529D74" w14:textId="0AE73EC2" w:rsidR="007B4CAA" w:rsidRPr="00563B09" w:rsidRDefault="007B4CAA" w:rsidP="000A25A3">
            <w:pPr>
              <w:pStyle w:val="Tabletext"/>
              <w:keepNext/>
            </w:pPr>
          </w:p>
        </w:tc>
        <w:tc>
          <w:tcPr>
            <w:tcW w:w="857" w:type="pct"/>
            <w:vAlign w:val="center"/>
          </w:tcPr>
          <w:p w14:paraId="5E6F456D" w14:textId="43104A70" w:rsidR="007B4CAA" w:rsidRPr="00563B09" w:rsidRDefault="007B4CAA" w:rsidP="000A25A3">
            <w:pPr>
              <w:pStyle w:val="Tabletext"/>
              <w:keepNext/>
            </w:pPr>
            <w:r w:rsidRPr="00563B09">
              <w:t>Patients with resectable G/GOJ adenocarcinoma that is eligible for neoadjuvant FLOT therapy</w:t>
            </w:r>
          </w:p>
        </w:tc>
        <w:tc>
          <w:tcPr>
            <w:tcW w:w="803" w:type="pct"/>
            <w:vAlign w:val="center"/>
          </w:tcPr>
          <w:p w14:paraId="3E9C6961" w14:textId="77777777" w:rsidR="007B4CAA" w:rsidRPr="00563B09" w:rsidRDefault="007B4CAA" w:rsidP="000A25A3">
            <w:pPr>
              <w:pStyle w:val="Tabletext"/>
              <w:keepNext/>
            </w:pPr>
            <w:r w:rsidRPr="00563B09">
              <w:t>Primary: EFS</w:t>
            </w:r>
          </w:p>
          <w:p w14:paraId="11838F33" w14:textId="77777777" w:rsidR="007B4CAA" w:rsidRPr="00563B09" w:rsidRDefault="007B4CAA" w:rsidP="000A25A3">
            <w:pPr>
              <w:pStyle w:val="Tabletext"/>
              <w:keepNext/>
            </w:pPr>
            <w:r w:rsidRPr="00563B09">
              <w:t>Key secondary: OS, pCR</w:t>
            </w:r>
          </w:p>
          <w:p w14:paraId="6DC76214" w14:textId="7F194CA6" w:rsidR="007B4CAA" w:rsidRPr="00563B09" w:rsidRDefault="007B4CAA" w:rsidP="000A25A3">
            <w:pPr>
              <w:pStyle w:val="Tabletext"/>
              <w:keepNext/>
            </w:pPr>
            <w:r w:rsidRPr="00563B09">
              <w:t>Other secondary: MFS, DFS, HRQoL</w:t>
            </w:r>
          </w:p>
        </w:tc>
        <w:tc>
          <w:tcPr>
            <w:tcW w:w="758" w:type="pct"/>
            <w:vAlign w:val="center"/>
          </w:tcPr>
          <w:p w14:paraId="150A804C" w14:textId="1ED64CCB" w:rsidR="007B4CAA" w:rsidRPr="00563B09" w:rsidRDefault="00626E5B" w:rsidP="000A25A3">
            <w:pPr>
              <w:pStyle w:val="Tabletext"/>
              <w:keepNext/>
            </w:pPr>
            <w:r w:rsidRPr="00563B09">
              <w:t>Yes</w:t>
            </w:r>
          </w:p>
        </w:tc>
      </w:tr>
    </w:tbl>
    <w:p w14:paraId="394C9B93" w14:textId="09388B65" w:rsidR="008F4B47" w:rsidRPr="006828C0" w:rsidRDefault="008F4B47" w:rsidP="00C1302F">
      <w:pPr>
        <w:pStyle w:val="TableFigureFooter"/>
      </w:pPr>
      <w:r w:rsidRPr="006828C0">
        <w:t>Source: p53, Table 2</w:t>
      </w:r>
      <w:r w:rsidR="00675F55">
        <w:noBreakHyphen/>
      </w:r>
      <w:r w:rsidRPr="006828C0">
        <w:t>7 p59, Table 2</w:t>
      </w:r>
      <w:r w:rsidR="00675F55">
        <w:noBreakHyphen/>
      </w:r>
      <w:r w:rsidRPr="006828C0">
        <w:t>15 p73 of the submission.</w:t>
      </w:r>
    </w:p>
    <w:p w14:paraId="7AF95532" w14:textId="6CAD7EFC" w:rsidR="007B4CAA" w:rsidRPr="006828C0" w:rsidRDefault="00F462E9" w:rsidP="00C1302F">
      <w:pPr>
        <w:pStyle w:val="TableFigureFooter"/>
      </w:pPr>
      <w:r w:rsidRPr="006828C0">
        <w:t xml:space="preserve">D = durvalumab; </w:t>
      </w:r>
      <w:r w:rsidR="00E65062" w:rsidRPr="006828C0">
        <w:t xml:space="preserve">DB = double blind; </w:t>
      </w:r>
      <w:r w:rsidR="00A518A9" w:rsidRPr="006828C0">
        <w:t>DFS = disease</w:t>
      </w:r>
      <w:r w:rsidR="00675F55">
        <w:noBreakHyphen/>
      </w:r>
      <w:r w:rsidR="00A518A9" w:rsidRPr="006828C0">
        <w:t>free survival; EFS = event</w:t>
      </w:r>
      <w:r w:rsidR="00675F55">
        <w:noBreakHyphen/>
      </w:r>
      <w:r w:rsidR="00A518A9" w:rsidRPr="006828C0">
        <w:t xml:space="preserve">free survival; </w:t>
      </w:r>
      <w:r w:rsidR="00E65062" w:rsidRPr="006828C0">
        <w:t>f/u = follow</w:t>
      </w:r>
      <w:r w:rsidR="00675F55">
        <w:noBreakHyphen/>
      </w:r>
      <w:r w:rsidR="00E65062" w:rsidRPr="006828C0">
        <w:t xml:space="preserve">up; </w:t>
      </w:r>
      <w:r w:rsidR="001001DE" w:rsidRPr="006828C0">
        <w:br/>
      </w:r>
      <w:r w:rsidRPr="006828C0">
        <w:t>FLOT = 5</w:t>
      </w:r>
      <w:r w:rsidR="00675F55">
        <w:noBreakHyphen/>
      </w:r>
      <w:r w:rsidRPr="006828C0">
        <w:t xml:space="preserve">fluorouracil, leucovorin, oxaliplatin and docetaxel; </w:t>
      </w:r>
      <w:r w:rsidR="00883F98" w:rsidRPr="006828C0">
        <w:t xml:space="preserve">G/GOJ = gastric/gastroesophageal junction; </w:t>
      </w:r>
      <w:r w:rsidR="00A518A9" w:rsidRPr="006828C0">
        <w:t>HRQoL = health</w:t>
      </w:r>
      <w:r w:rsidR="00675F55">
        <w:noBreakHyphen/>
      </w:r>
      <w:r w:rsidR="00A518A9" w:rsidRPr="006828C0">
        <w:t xml:space="preserve">related quality of life; </w:t>
      </w:r>
      <w:r w:rsidR="00E65062" w:rsidRPr="006828C0">
        <w:t xml:space="preserve">MC = multicentre; </w:t>
      </w:r>
      <w:r w:rsidR="00A518A9" w:rsidRPr="006828C0">
        <w:t>MFS = metastasis</w:t>
      </w:r>
      <w:r w:rsidR="00675F55">
        <w:noBreakHyphen/>
      </w:r>
      <w:r w:rsidR="00A518A9" w:rsidRPr="006828C0">
        <w:t xml:space="preserve">free survival; </w:t>
      </w:r>
      <w:r w:rsidR="00883F98" w:rsidRPr="006828C0">
        <w:t xml:space="preserve">OS = overall survival; </w:t>
      </w:r>
      <w:r w:rsidR="00A518A9" w:rsidRPr="006828C0">
        <w:t xml:space="preserve">pCR = pathological complete response; </w:t>
      </w:r>
      <w:r w:rsidRPr="006828C0">
        <w:t>R = randomised</w:t>
      </w:r>
    </w:p>
    <w:p w14:paraId="076F93EE" w14:textId="0A191BDA" w:rsidR="004C15D5" w:rsidRPr="006828C0" w:rsidRDefault="002374A4" w:rsidP="00C1302F">
      <w:pPr>
        <w:pStyle w:val="TableFigureFooter"/>
      </w:pPr>
      <w:r w:rsidRPr="006828C0">
        <w:rPr>
          <w:vertAlign w:val="superscript"/>
        </w:rPr>
        <w:t>a</w:t>
      </w:r>
      <w:r w:rsidR="00F462E9" w:rsidRPr="006828C0">
        <w:t xml:space="preserve"> </w:t>
      </w:r>
      <w:r w:rsidR="007B4CAA" w:rsidRPr="006828C0">
        <w:t xml:space="preserve">Risk of bias (RoB) was conducted using ROB2 </w:t>
      </w:r>
      <w:r w:rsidR="00037712" w:rsidRPr="006828C0">
        <w:t xml:space="preserve">during </w:t>
      </w:r>
      <w:r w:rsidR="007B4CAA" w:rsidRPr="006828C0">
        <w:t>the evaluation as no formal assessment was presented in the submission</w:t>
      </w:r>
      <w:r w:rsidRPr="006828C0">
        <w:t>.</w:t>
      </w:r>
      <w:r w:rsidR="00DF344A" w:rsidRPr="006828C0">
        <w:t xml:space="preserve"> </w:t>
      </w:r>
    </w:p>
    <w:p w14:paraId="54013EE9" w14:textId="47A5227B" w:rsidR="007B4CAA" w:rsidRPr="0038179D" w:rsidRDefault="00DF6749" w:rsidP="00DC19A9">
      <w:pPr>
        <w:pStyle w:val="3-BodyText"/>
        <w:spacing w:before="160" w:after="160"/>
      </w:pPr>
      <w:r w:rsidRPr="0038179D">
        <w:t xml:space="preserve">Patient disposition </w:t>
      </w:r>
      <w:r w:rsidR="00701540" w:rsidRPr="0038179D">
        <w:t>indicated</w:t>
      </w:r>
      <w:r w:rsidRPr="0038179D">
        <w:t xml:space="preserve"> that the proportions </w:t>
      </w:r>
      <w:r w:rsidR="007B4CAA" w:rsidRPr="0038179D">
        <w:t xml:space="preserve">entering the neoadjuvant, surgical and adjuvant phases of therapy were balanced across treatment arms. However, approximately 25% of patients in each arm did not </w:t>
      </w:r>
      <w:r w:rsidR="005D6D63" w:rsidRPr="0038179D">
        <w:t>proceed to</w:t>
      </w:r>
      <w:r w:rsidR="007B4CAA" w:rsidRPr="0038179D">
        <w:t xml:space="preserve"> adjuvant therapy, representing </w:t>
      </w:r>
      <w:r w:rsidR="005D6D63" w:rsidRPr="0038179D">
        <w:t>more than</w:t>
      </w:r>
      <w:r w:rsidR="007B4CAA" w:rsidRPr="0038179D">
        <w:t xml:space="preserve"> 100 patients per treatment arm. As demographic</w:t>
      </w:r>
      <w:r w:rsidR="00B06437" w:rsidRPr="0038179D">
        <w:t xml:space="preserve"> and prognostic characteristics </w:t>
      </w:r>
      <w:r w:rsidR="007B4CAA" w:rsidRPr="0038179D">
        <w:t xml:space="preserve">of </w:t>
      </w:r>
      <w:r w:rsidR="00B06437" w:rsidRPr="0038179D">
        <w:t xml:space="preserve">those </w:t>
      </w:r>
      <w:r w:rsidR="007B4CAA" w:rsidRPr="0038179D">
        <w:t xml:space="preserve">who </w:t>
      </w:r>
      <w:r w:rsidR="00B06437" w:rsidRPr="0038179D">
        <w:t xml:space="preserve">did and did not </w:t>
      </w:r>
      <w:r w:rsidR="007B4CAA" w:rsidRPr="0038179D">
        <w:t xml:space="preserve">receive adjuvant therapy </w:t>
      </w:r>
      <w:r w:rsidR="00B06437" w:rsidRPr="0038179D">
        <w:t>were</w:t>
      </w:r>
      <w:r w:rsidR="007B4CAA" w:rsidRPr="0038179D">
        <w:t xml:space="preserve"> not </w:t>
      </w:r>
      <w:r w:rsidR="00B06437" w:rsidRPr="0038179D">
        <w:t>reported</w:t>
      </w:r>
      <w:r w:rsidR="007B4CAA" w:rsidRPr="0038179D">
        <w:t xml:space="preserve">, it is </w:t>
      </w:r>
      <w:r w:rsidR="00B06437" w:rsidRPr="0038179D">
        <w:t xml:space="preserve">uncertain whether </w:t>
      </w:r>
      <w:r w:rsidR="007B4CAA" w:rsidRPr="0038179D">
        <w:t xml:space="preserve">prognostic factors </w:t>
      </w:r>
      <w:r w:rsidR="00E86297" w:rsidRPr="0038179D">
        <w:t xml:space="preserve">were </w:t>
      </w:r>
      <w:r w:rsidR="009C3E66" w:rsidRPr="0038179D">
        <w:t>similar between those who received adjuvant treatment versus those who did not</w:t>
      </w:r>
      <w:r w:rsidR="007B4CAA" w:rsidRPr="0038179D">
        <w:t xml:space="preserve">. </w:t>
      </w:r>
      <w:r w:rsidR="00D70750" w:rsidRPr="0038179D">
        <w:t>Nevertheless, the study was double</w:t>
      </w:r>
      <w:r w:rsidR="00675F55">
        <w:noBreakHyphen/>
      </w:r>
      <w:r w:rsidR="00D70750" w:rsidRPr="0038179D">
        <w:t>blinded</w:t>
      </w:r>
      <w:r w:rsidR="00284975" w:rsidRPr="0038179D">
        <w:t xml:space="preserve"> </w:t>
      </w:r>
      <w:r w:rsidR="0074770B" w:rsidRPr="0038179D">
        <w:t>at the decision</w:t>
      </w:r>
      <w:r w:rsidR="00675F55">
        <w:noBreakHyphen/>
      </w:r>
      <w:r w:rsidR="0074770B" w:rsidRPr="0038179D">
        <w:t>point</w:t>
      </w:r>
      <w:r w:rsidR="004518D3" w:rsidRPr="0038179D">
        <w:t xml:space="preserve">, which may have mitigated </w:t>
      </w:r>
      <w:r w:rsidR="008C0E90" w:rsidRPr="0038179D">
        <w:t>any</w:t>
      </w:r>
      <w:r w:rsidR="00ED13A8" w:rsidRPr="0038179D">
        <w:t xml:space="preserve"> risk of bias</w:t>
      </w:r>
      <w:r w:rsidR="00FA787D" w:rsidRPr="0038179D">
        <w:t>.</w:t>
      </w:r>
      <w:r w:rsidR="00284975" w:rsidRPr="0038179D">
        <w:t xml:space="preserve"> </w:t>
      </w:r>
      <w:r w:rsidR="00447004" w:rsidRPr="0086661E">
        <w:t xml:space="preserve">The ESC noted </w:t>
      </w:r>
      <w:r w:rsidR="001D39BB" w:rsidRPr="0086661E">
        <w:t xml:space="preserve">that </w:t>
      </w:r>
      <w:r w:rsidR="004F1A10" w:rsidRPr="0086661E">
        <w:t>the proportion</w:t>
      </w:r>
      <w:r w:rsidR="001D39BB" w:rsidRPr="0086661E">
        <w:t xml:space="preserve"> of</w:t>
      </w:r>
      <w:r w:rsidR="007B61C1" w:rsidRPr="0086661E">
        <w:t xml:space="preserve"> patients</w:t>
      </w:r>
      <w:r w:rsidR="001D39BB" w:rsidRPr="0086661E">
        <w:t xml:space="preserve"> in each arm</w:t>
      </w:r>
      <w:r w:rsidR="00B90230" w:rsidRPr="0086661E">
        <w:t xml:space="preserve"> </w:t>
      </w:r>
      <w:r w:rsidR="004F1A10" w:rsidRPr="0086661E">
        <w:t xml:space="preserve">that </w:t>
      </w:r>
      <w:r w:rsidR="00B90230" w:rsidRPr="0086661E">
        <w:t xml:space="preserve">did not proceed to </w:t>
      </w:r>
      <w:r w:rsidR="007B61C1" w:rsidRPr="0086661E">
        <w:t xml:space="preserve">adjuvant </w:t>
      </w:r>
      <w:r w:rsidR="004F1A10" w:rsidRPr="0086661E">
        <w:t xml:space="preserve">therapy </w:t>
      </w:r>
      <w:r w:rsidR="00B90230" w:rsidRPr="0086661E">
        <w:t xml:space="preserve">was consistent with clinical experience and was </w:t>
      </w:r>
      <w:r w:rsidR="004C348D" w:rsidRPr="0086661E">
        <w:t xml:space="preserve">also </w:t>
      </w:r>
      <w:r w:rsidR="00B90230" w:rsidRPr="0086661E">
        <w:t xml:space="preserve">substantially less that </w:t>
      </w:r>
      <w:r w:rsidR="00266326" w:rsidRPr="0086661E">
        <w:t>in the FLOT4 trial</w:t>
      </w:r>
      <w:r w:rsidR="002C676B" w:rsidRPr="0086661E">
        <w:t xml:space="preserve">, in which around half of all patients did not </w:t>
      </w:r>
      <w:r w:rsidR="000803EF" w:rsidRPr="0086661E">
        <w:t>continue</w:t>
      </w:r>
      <w:r w:rsidR="002C676B" w:rsidRPr="0086661E">
        <w:t xml:space="preserve"> to </w:t>
      </w:r>
      <w:r w:rsidR="000803EF" w:rsidRPr="0086661E">
        <w:t>adjuvant therapy</w:t>
      </w:r>
      <w:r w:rsidR="00D55DCD" w:rsidRPr="0086661E">
        <w:rPr>
          <w:rStyle w:val="FootnoteReference"/>
        </w:rPr>
        <w:footnoteReference w:id="5"/>
      </w:r>
      <w:r w:rsidR="002C676B" w:rsidRPr="0086661E">
        <w:t xml:space="preserve">. </w:t>
      </w:r>
      <w:r w:rsidR="008A6234" w:rsidRPr="0086661E">
        <w:t xml:space="preserve">As such, the ESC considered that </w:t>
      </w:r>
      <w:r w:rsidR="004D283F" w:rsidRPr="0086661E">
        <w:t>the risk of bias from t</w:t>
      </w:r>
      <w:r w:rsidR="00D2315A" w:rsidRPr="0086661E">
        <w:t>his issue was small.</w:t>
      </w:r>
    </w:p>
    <w:p w14:paraId="4A4FE085" w14:textId="1C5613CC" w:rsidR="00B60939" w:rsidRPr="0098262F" w:rsidRDefault="00B60939" w:rsidP="00DC19A9">
      <w:pPr>
        <w:pStyle w:val="4-SubsectionHeading"/>
        <w:spacing w:before="160" w:after="160"/>
      </w:pPr>
      <w:bookmarkStart w:id="21" w:name="_Toc22897641"/>
      <w:bookmarkStart w:id="22" w:name="_Toc219379967"/>
      <w:r w:rsidRPr="0098262F">
        <w:t>Comparative effectiveness</w:t>
      </w:r>
      <w:bookmarkEnd w:id="21"/>
      <w:bookmarkEnd w:id="22"/>
    </w:p>
    <w:p w14:paraId="02AF7B77" w14:textId="61983CBB" w:rsidR="000236F9" w:rsidRDefault="000236F9" w:rsidP="00DC19A9">
      <w:pPr>
        <w:pStyle w:val="3-BodyText"/>
        <w:spacing w:before="160" w:after="160"/>
      </w:pPr>
      <w:r w:rsidRPr="000236F9">
        <w:t>The MATTERHORN</w:t>
      </w:r>
      <w:r>
        <w:t xml:space="preserve"> trial included 948 patients (D + FLOT: n</w:t>
      </w:r>
      <w:r w:rsidR="00BE696A">
        <w:t xml:space="preserve"> </w:t>
      </w:r>
      <w:r>
        <w:t>=</w:t>
      </w:r>
      <w:r w:rsidR="00BE696A">
        <w:t xml:space="preserve"> </w:t>
      </w:r>
      <w:r>
        <w:t xml:space="preserve">474; Pbo + FLOT: </w:t>
      </w:r>
      <w:r w:rsidR="0051673B">
        <w:br/>
      </w:r>
      <w:r>
        <w:t>n</w:t>
      </w:r>
      <w:r w:rsidR="00BE696A">
        <w:t xml:space="preserve"> </w:t>
      </w:r>
      <w:r>
        <w:t>=</w:t>
      </w:r>
      <w:r w:rsidR="00BE696A">
        <w:t xml:space="preserve"> </w:t>
      </w:r>
      <w:r>
        <w:t xml:space="preserve">474) with stage II or higher </w:t>
      </w:r>
      <w:r w:rsidR="0086095B">
        <w:t xml:space="preserve">resectable </w:t>
      </w:r>
      <w:r>
        <w:t>G/GOJ adenocarcinoma</w:t>
      </w:r>
      <w:r w:rsidR="0086095B">
        <w:t xml:space="preserve"> and an ECOG </w:t>
      </w:r>
      <w:r w:rsidR="00B519C3">
        <w:t>performance status (</w:t>
      </w:r>
      <w:r w:rsidR="0086095B">
        <w:t>PS</w:t>
      </w:r>
      <w:r w:rsidR="00B519C3">
        <w:t>)</w:t>
      </w:r>
      <w:r w:rsidR="0086095B">
        <w:t xml:space="preserve"> of 0 or 1. Patients were to be medically fit for treatment with neoadjuvant FLOT prior to radical </w:t>
      </w:r>
      <w:r w:rsidR="00563B09">
        <w:t>surgery and</w:t>
      </w:r>
      <w:r w:rsidR="00D623A6">
        <w:t xml:space="preserve"> should have known PD</w:t>
      </w:r>
      <w:r w:rsidR="00675F55">
        <w:noBreakHyphen/>
      </w:r>
      <w:r w:rsidR="00D623A6">
        <w:t>L1 status prior to randomisation</w:t>
      </w:r>
      <w:r w:rsidR="0086095B">
        <w:t>.</w:t>
      </w:r>
      <w:r w:rsidR="001C4FB7">
        <w:t xml:space="preserve"> </w:t>
      </w:r>
      <w:proofErr w:type="gramStart"/>
      <w:r w:rsidR="00F65AA1">
        <w:t>The m</w:t>
      </w:r>
      <w:r w:rsidR="001C4FB7">
        <w:t>ajority of</w:t>
      </w:r>
      <w:proofErr w:type="gramEnd"/>
      <w:r w:rsidR="001C4FB7" w:rsidDel="00677D9F">
        <w:t xml:space="preserve"> </w:t>
      </w:r>
      <w:r w:rsidR="001C4FB7">
        <w:t xml:space="preserve">patients had </w:t>
      </w:r>
      <w:r w:rsidR="00D40571">
        <w:t xml:space="preserve">tumour </w:t>
      </w:r>
      <w:r w:rsidR="00AD1479">
        <w:t>area positivity (</w:t>
      </w:r>
      <w:r w:rsidR="001C4FB7">
        <w:t>TAP</w:t>
      </w:r>
      <w:r w:rsidR="00AD1479">
        <w:t>)</w:t>
      </w:r>
      <w:r w:rsidR="001C4FB7">
        <w:t xml:space="preserve"> score </w:t>
      </w:r>
      <w:r w:rsidR="001C4FB7">
        <w:rPr>
          <w:rFonts w:cstheme="minorHAnsi"/>
        </w:rPr>
        <w:t>≥</w:t>
      </w:r>
      <w:r w:rsidR="00BE696A">
        <w:rPr>
          <w:rFonts w:cstheme="minorHAnsi"/>
        </w:rPr>
        <w:t xml:space="preserve"> </w:t>
      </w:r>
      <w:r w:rsidR="001C4FB7">
        <w:t>1% for PD</w:t>
      </w:r>
      <w:r w:rsidR="00675F55">
        <w:noBreakHyphen/>
      </w:r>
      <w:r w:rsidR="001C4FB7">
        <w:t>L1 expression (90.0%)</w:t>
      </w:r>
      <w:r w:rsidR="003C733D">
        <w:t>.</w:t>
      </w:r>
    </w:p>
    <w:p w14:paraId="499B1DE7" w14:textId="0EB7D605" w:rsidR="00591EA5" w:rsidRPr="000236F9" w:rsidRDefault="00591EA5" w:rsidP="00DC19A9">
      <w:pPr>
        <w:pStyle w:val="3-BodyText"/>
        <w:spacing w:before="160" w:after="160"/>
      </w:pPr>
      <w:r>
        <w:rPr>
          <w:lang w:eastAsia="en-US"/>
        </w:rPr>
        <w:t xml:space="preserve">The primary outcome was </w:t>
      </w:r>
      <w:r w:rsidR="005F68CF">
        <w:rPr>
          <w:lang w:eastAsia="en-US"/>
        </w:rPr>
        <w:t>event</w:t>
      </w:r>
      <w:r w:rsidR="00675F55">
        <w:rPr>
          <w:lang w:eastAsia="en-US"/>
        </w:rPr>
        <w:noBreakHyphen/>
      </w:r>
      <w:r w:rsidR="005F68CF">
        <w:rPr>
          <w:lang w:eastAsia="en-US"/>
        </w:rPr>
        <w:t>free survival (</w:t>
      </w:r>
      <w:r>
        <w:rPr>
          <w:lang w:eastAsia="en-US"/>
        </w:rPr>
        <w:t>EFS</w:t>
      </w:r>
      <w:r w:rsidR="005F68CF">
        <w:rPr>
          <w:lang w:eastAsia="en-US"/>
        </w:rPr>
        <w:t>)</w:t>
      </w:r>
      <w:r>
        <w:rPr>
          <w:lang w:eastAsia="en-US"/>
        </w:rPr>
        <w:t xml:space="preserve">, and key secondary outcomes were </w:t>
      </w:r>
      <w:r w:rsidR="00E43316">
        <w:rPr>
          <w:lang w:eastAsia="en-US"/>
        </w:rPr>
        <w:t>overall survival (</w:t>
      </w:r>
      <w:r>
        <w:rPr>
          <w:lang w:eastAsia="en-US"/>
        </w:rPr>
        <w:t>OS</w:t>
      </w:r>
      <w:r w:rsidR="00E43316">
        <w:rPr>
          <w:lang w:eastAsia="en-US"/>
        </w:rPr>
        <w:t>)</w:t>
      </w:r>
      <w:r>
        <w:rPr>
          <w:lang w:eastAsia="en-US"/>
        </w:rPr>
        <w:t xml:space="preserve"> and </w:t>
      </w:r>
      <w:r w:rsidR="00E43316">
        <w:rPr>
          <w:lang w:eastAsia="en-US"/>
        </w:rPr>
        <w:t>pathological complete response (</w:t>
      </w:r>
      <w:r>
        <w:rPr>
          <w:lang w:eastAsia="en-US"/>
        </w:rPr>
        <w:t>pCR</w:t>
      </w:r>
      <w:r w:rsidR="00E43316">
        <w:rPr>
          <w:lang w:eastAsia="en-US"/>
        </w:rPr>
        <w:t>)</w:t>
      </w:r>
      <w:r>
        <w:rPr>
          <w:lang w:eastAsia="en-US"/>
        </w:rPr>
        <w:t>. Other secondary outcomes include</w:t>
      </w:r>
      <w:r w:rsidR="00677D9F">
        <w:rPr>
          <w:lang w:eastAsia="en-US"/>
        </w:rPr>
        <w:t>d</w:t>
      </w:r>
      <w:r>
        <w:rPr>
          <w:lang w:eastAsia="en-US"/>
        </w:rPr>
        <w:t xml:space="preserve"> </w:t>
      </w:r>
      <w:r w:rsidR="00337B05">
        <w:rPr>
          <w:lang w:eastAsia="en-US"/>
        </w:rPr>
        <w:t>disease</w:t>
      </w:r>
      <w:r w:rsidR="00675F55">
        <w:rPr>
          <w:lang w:eastAsia="en-US"/>
        </w:rPr>
        <w:noBreakHyphen/>
      </w:r>
      <w:r w:rsidR="00337B05">
        <w:rPr>
          <w:lang w:eastAsia="en-US"/>
        </w:rPr>
        <w:t>free survival (</w:t>
      </w:r>
      <w:r>
        <w:rPr>
          <w:lang w:eastAsia="en-US"/>
        </w:rPr>
        <w:t>DFS</w:t>
      </w:r>
      <w:r w:rsidR="00337B05">
        <w:rPr>
          <w:lang w:eastAsia="en-US"/>
        </w:rPr>
        <w:t>)</w:t>
      </w:r>
      <w:r>
        <w:rPr>
          <w:lang w:eastAsia="en-US"/>
        </w:rPr>
        <w:t xml:space="preserve">, </w:t>
      </w:r>
      <w:r w:rsidR="00337B05">
        <w:rPr>
          <w:lang w:eastAsia="en-US"/>
        </w:rPr>
        <w:t>metastasis</w:t>
      </w:r>
      <w:r w:rsidR="00675F55">
        <w:rPr>
          <w:lang w:eastAsia="en-US"/>
        </w:rPr>
        <w:noBreakHyphen/>
      </w:r>
      <w:r w:rsidR="00337B05">
        <w:rPr>
          <w:lang w:eastAsia="en-US"/>
        </w:rPr>
        <w:t>free survival (</w:t>
      </w:r>
      <w:r>
        <w:rPr>
          <w:lang w:eastAsia="en-US"/>
        </w:rPr>
        <w:t>MFS</w:t>
      </w:r>
      <w:r w:rsidR="00337B05">
        <w:rPr>
          <w:lang w:eastAsia="en-US"/>
        </w:rPr>
        <w:t>)</w:t>
      </w:r>
      <w:r>
        <w:rPr>
          <w:lang w:eastAsia="en-US"/>
        </w:rPr>
        <w:t xml:space="preserve"> and rate </w:t>
      </w:r>
      <w:r>
        <w:rPr>
          <w:lang w:eastAsia="en-US"/>
        </w:rPr>
        <w:lastRenderedPageBreak/>
        <w:t xml:space="preserve">of surgery. Efficacy outcomes </w:t>
      </w:r>
      <w:r w:rsidR="00AB7DF2">
        <w:rPr>
          <w:lang w:eastAsia="en-US"/>
        </w:rPr>
        <w:t>(</w:t>
      </w:r>
      <w:proofErr w:type="gramStart"/>
      <w:r w:rsidR="00AB3CA1">
        <w:rPr>
          <w:lang w:eastAsia="en-US"/>
        </w:rPr>
        <w:t>with the exception of</w:t>
      </w:r>
      <w:proofErr w:type="gramEnd"/>
      <w:r w:rsidR="00AB3CA1">
        <w:rPr>
          <w:lang w:eastAsia="en-US"/>
        </w:rPr>
        <w:t xml:space="preserve"> DFS</w:t>
      </w:r>
      <w:r w:rsidR="00AB7DF2">
        <w:rPr>
          <w:lang w:eastAsia="en-US"/>
        </w:rPr>
        <w:t>)</w:t>
      </w:r>
      <w:r>
        <w:rPr>
          <w:lang w:eastAsia="en-US"/>
        </w:rPr>
        <w:t xml:space="preserve"> were assessed in the </w:t>
      </w:r>
      <w:r w:rsidR="00500FE8">
        <w:rPr>
          <w:lang w:eastAsia="en-US"/>
        </w:rPr>
        <w:t>full analysis set (</w:t>
      </w:r>
      <w:r>
        <w:rPr>
          <w:lang w:eastAsia="en-US"/>
        </w:rPr>
        <w:t>FAS</w:t>
      </w:r>
      <w:r w:rsidR="00500FE8">
        <w:rPr>
          <w:lang w:eastAsia="en-US"/>
        </w:rPr>
        <w:t>)</w:t>
      </w:r>
      <w:r>
        <w:rPr>
          <w:lang w:eastAsia="en-US"/>
        </w:rPr>
        <w:t xml:space="preserve">, defined as all randomised patients. DFS was assessed in the R0 </w:t>
      </w:r>
      <w:r w:rsidR="00273D4C">
        <w:rPr>
          <w:lang w:eastAsia="en-US"/>
        </w:rPr>
        <w:t xml:space="preserve">resected analysis set </w:t>
      </w:r>
      <w:r w:rsidR="00000A76">
        <w:rPr>
          <w:lang w:eastAsia="en-US"/>
        </w:rPr>
        <w:t>(</w:t>
      </w:r>
      <w:r>
        <w:rPr>
          <w:lang w:eastAsia="en-US"/>
        </w:rPr>
        <w:t xml:space="preserve">the FAS population who had </w:t>
      </w:r>
      <w:r w:rsidR="0078382C" w:rsidRPr="0078382C">
        <w:rPr>
          <w:lang w:eastAsia="en-US"/>
        </w:rPr>
        <w:t>margin</w:t>
      </w:r>
      <w:r w:rsidR="00675F55">
        <w:rPr>
          <w:lang w:eastAsia="en-US"/>
        </w:rPr>
        <w:noBreakHyphen/>
      </w:r>
      <w:r w:rsidR="0078382C" w:rsidRPr="0078382C">
        <w:rPr>
          <w:lang w:eastAsia="en-US"/>
        </w:rPr>
        <w:t xml:space="preserve">negative resection </w:t>
      </w:r>
      <w:r>
        <w:rPr>
          <w:lang w:eastAsia="en-US"/>
        </w:rPr>
        <w:t>based on local pathology assessments</w:t>
      </w:r>
      <w:r w:rsidR="00000A76">
        <w:rPr>
          <w:lang w:eastAsia="en-US"/>
        </w:rPr>
        <w:t>)</w:t>
      </w:r>
      <w:r w:rsidR="00E776FE">
        <w:rPr>
          <w:lang w:eastAsia="en-US"/>
        </w:rPr>
        <w:t xml:space="preserve"> </w:t>
      </w:r>
      <w:r w:rsidR="00000A76">
        <w:rPr>
          <w:lang w:eastAsia="en-US"/>
        </w:rPr>
        <w:t xml:space="preserve">and is defined as </w:t>
      </w:r>
      <w:r w:rsidR="00E776FE">
        <w:rPr>
          <w:lang w:eastAsia="en-US"/>
        </w:rPr>
        <w:t>hav</w:t>
      </w:r>
      <w:r w:rsidR="005855D5">
        <w:rPr>
          <w:lang w:eastAsia="en-US"/>
        </w:rPr>
        <w:t>ing no</w:t>
      </w:r>
      <w:r w:rsidR="00E776FE">
        <w:rPr>
          <w:lang w:eastAsia="en-US"/>
        </w:rPr>
        <w:t xml:space="preserve"> evidence of disease at the post</w:t>
      </w:r>
      <w:r w:rsidR="00675F55">
        <w:rPr>
          <w:lang w:eastAsia="en-US"/>
        </w:rPr>
        <w:noBreakHyphen/>
      </w:r>
      <w:r w:rsidR="00E776FE">
        <w:rPr>
          <w:lang w:eastAsia="en-US"/>
        </w:rPr>
        <w:t>surgery adjuvant baseline scan</w:t>
      </w:r>
      <w:r>
        <w:rPr>
          <w:lang w:eastAsia="en-US"/>
        </w:rPr>
        <w:t xml:space="preserve">. </w:t>
      </w:r>
      <w:r w:rsidR="001E70EC">
        <w:rPr>
          <w:lang w:eastAsia="en-US"/>
        </w:rPr>
        <w:t xml:space="preserve">Safety outcomes were assessed in the </w:t>
      </w:r>
      <w:r w:rsidR="00D4209E">
        <w:rPr>
          <w:lang w:eastAsia="en-US"/>
        </w:rPr>
        <w:t>safety analysis set</w:t>
      </w:r>
      <w:r w:rsidR="001E70EC">
        <w:rPr>
          <w:lang w:eastAsia="en-US"/>
        </w:rPr>
        <w:t xml:space="preserve"> defined as all </w:t>
      </w:r>
      <w:r w:rsidR="00D4209E">
        <w:rPr>
          <w:lang w:eastAsia="en-US"/>
        </w:rPr>
        <w:t xml:space="preserve">randomised </w:t>
      </w:r>
      <w:r w:rsidR="001E70EC">
        <w:rPr>
          <w:lang w:eastAsia="en-US"/>
        </w:rPr>
        <w:t xml:space="preserve">patients who received at least one dose of study drug based on the treatment they received. </w:t>
      </w:r>
    </w:p>
    <w:p w14:paraId="46918CB3" w14:textId="55A01771" w:rsidR="00D07A68" w:rsidRDefault="00C34388" w:rsidP="00DC19A9">
      <w:pPr>
        <w:pStyle w:val="3-BodyText"/>
        <w:spacing w:before="160" w:after="160"/>
        <w:rPr>
          <w:lang w:eastAsia="en-US"/>
        </w:rPr>
      </w:pPr>
      <w:r w:rsidRPr="00814960">
        <w:t xml:space="preserve">The </w:t>
      </w:r>
      <w:r w:rsidR="00230B1B" w:rsidRPr="00814960">
        <w:t xml:space="preserve">survival outcomes </w:t>
      </w:r>
      <w:r w:rsidRPr="00814960">
        <w:t xml:space="preserve">from </w:t>
      </w:r>
      <w:r w:rsidR="007C23AF">
        <w:t xml:space="preserve">the </w:t>
      </w:r>
      <w:r w:rsidRPr="00814960">
        <w:t xml:space="preserve">MATTERHORN </w:t>
      </w:r>
      <w:r w:rsidR="007C23AF">
        <w:t>trial</w:t>
      </w:r>
      <w:r w:rsidRPr="00814960">
        <w:t xml:space="preserve"> indicate that the addition of durvalumab to FLOT therapy resulted in statistically significant improvements in EFS, OS, DFS and MFS (</w:t>
      </w:r>
      <w:r w:rsidR="007846C7">
        <w:fldChar w:fldCharType="begin"/>
      </w:r>
      <w:r w:rsidR="007846C7">
        <w:instrText xml:space="preserve"> REF _Ref216701810 \h </w:instrText>
      </w:r>
      <w:r w:rsidR="007846C7">
        <w:fldChar w:fldCharType="separate"/>
      </w:r>
      <w:r w:rsidR="00E71342" w:rsidRPr="009F5573">
        <w:t>Table</w:t>
      </w:r>
      <w:r w:rsidR="00E71342">
        <w:t xml:space="preserve"> </w:t>
      </w:r>
      <w:r w:rsidR="00E71342">
        <w:rPr>
          <w:noProof/>
        </w:rPr>
        <w:t>4</w:t>
      </w:r>
      <w:r w:rsidR="007846C7">
        <w:fldChar w:fldCharType="end"/>
      </w:r>
      <w:r w:rsidR="00755536">
        <w:t xml:space="preserve">; </w:t>
      </w:r>
      <w:r w:rsidR="002648B1">
        <w:fldChar w:fldCharType="begin"/>
      </w:r>
      <w:r w:rsidR="002648B1">
        <w:instrText xml:space="preserve"> REF _Ref218870347 \h </w:instrText>
      </w:r>
      <w:r w:rsidR="002648B1">
        <w:fldChar w:fldCharType="separate"/>
      </w:r>
      <w:r w:rsidR="00E71342">
        <w:t xml:space="preserve">Figure </w:t>
      </w:r>
      <w:r w:rsidR="00E71342">
        <w:rPr>
          <w:noProof/>
        </w:rPr>
        <w:t>1</w:t>
      </w:r>
      <w:r w:rsidR="002648B1">
        <w:fldChar w:fldCharType="end"/>
      </w:r>
      <w:r w:rsidRPr="00814960">
        <w:t xml:space="preserve">). </w:t>
      </w:r>
      <w:r w:rsidR="00F16BB9" w:rsidRPr="00814960">
        <w:t>For the primary efficacy outcome, the median EFS was not reached for D + FLOT versus 32.82 months for Pbo + FLOT</w:t>
      </w:r>
      <w:r w:rsidR="005C7D0D">
        <w:t xml:space="preserve">. Treatment with D + FLOT </w:t>
      </w:r>
      <w:r w:rsidR="00213D61">
        <w:t xml:space="preserve">demonstrated </w:t>
      </w:r>
      <w:r w:rsidR="00A1262B">
        <w:t xml:space="preserve">improved </w:t>
      </w:r>
      <w:r w:rsidR="00213D61">
        <w:t xml:space="preserve">EFS </w:t>
      </w:r>
      <w:r w:rsidR="00A1262B">
        <w:t>compared with</w:t>
      </w:r>
      <w:r w:rsidR="00213D61">
        <w:t xml:space="preserve"> </w:t>
      </w:r>
      <w:r w:rsidR="006068E9">
        <w:t>Pbo + FLOT</w:t>
      </w:r>
      <w:r w:rsidR="00F16BB9" w:rsidRPr="00814960">
        <w:t xml:space="preserve"> (</w:t>
      </w:r>
      <w:r w:rsidR="00D1706B">
        <w:t>hazard ratio [</w:t>
      </w:r>
      <w:r w:rsidR="00F16BB9" w:rsidRPr="00814960">
        <w:t>HR</w:t>
      </w:r>
      <w:r w:rsidR="00D1706B">
        <w:t>]</w:t>
      </w:r>
      <w:r w:rsidR="00F16BB9" w:rsidRPr="00814960">
        <w:t xml:space="preserve"> </w:t>
      </w:r>
      <w:r w:rsidR="00C7430A" w:rsidRPr="00814960">
        <w:t xml:space="preserve">0.71; 95% </w:t>
      </w:r>
      <w:r w:rsidR="00D1706B">
        <w:t>confidence interval [</w:t>
      </w:r>
      <w:r w:rsidR="00C7430A" w:rsidRPr="00814960">
        <w:t>CI</w:t>
      </w:r>
      <w:r w:rsidR="00D1706B">
        <w:t>]</w:t>
      </w:r>
      <w:r w:rsidR="00C7430A" w:rsidRPr="00814960">
        <w:t>: 0.58</w:t>
      </w:r>
      <w:r w:rsidR="00CD02C2">
        <w:t xml:space="preserve">, </w:t>
      </w:r>
      <w:r w:rsidR="00C7430A" w:rsidRPr="00814960">
        <w:t>0.86; p</w:t>
      </w:r>
      <w:r w:rsidR="007C23AF">
        <w:t xml:space="preserve"> </w:t>
      </w:r>
      <w:r w:rsidR="00C7430A" w:rsidRPr="00814960">
        <w:t>&lt;</w:t>
      </w:r>
      <w:r w:rsidR="007C23AF">
        <w:t xml:space="preserve"> </w:t>
      </w:r>
      <w:r w:rsidR="00C7430A" w:rsidRPr="00814960">
        <w:t>0.001)</w:t>
      </w:r>
      <w:r w:rsidR="00F16BB9" w:rsidRPr="00814960">
        <w:t xml:space="preserve">. </w:t>
      </w:r>
    </w:p>
    <w:p w14:paraId="2EEA657E" w14:textId="67CD2BA9" w:rsidR="00D07A68" w:rsidRDefault="00C62AC5" w:rsidP="00DC19A9">
      <w:pPr>
        <w:pStyle w:val="3-BodyText"/>
        <w:spacing w:before="160" w:after="160"/>
        <w:rPr>
          <w:lang w:eastAsia="en-US"/>
        </w:rPr>
      </w:pPr>
      <w:r w:rsidRPr="00D4422F">
        <w:t xml:space="preserve">EFS by subgroup analysis consistently demonstrated favourable outcomes for </w:t>
      </w:r>
      <w:r w:rsidR="0051673B" w:rsidRPr="00D4422F">
        <w:br/>
      </w:r>
      <w:r w:rsidRPr="00D4422F">
        <w:t>D + FLOT compared with Pbo + FLOT, with hazard ratios between 0.61</w:t>
      </w:r>
      <w:r w:rsidR="00AA7297" w:rsidRPr="00D4422F">
        <w:t xml:space="preserve"> </w:t>
      </w:r>
      <w:r w:rsidRPr="00D4422F">
        <w:t xml:space="preserve">and 0.85. </w:t>
      </w:r>
    </w:p>
    <w:p w14:paraId="29B58CEF" w14:textId="7C33C9A2" w:rsidR="00FB7D66" w:rsidRPr="009F5573" w:rsidRDefault="00FB7D66" w:rsidP="00EB014A">
      <w:pPr>
        <w:pStyle w:val="Caption"/>
        <w:widowControl w:val="0"/>
      </w:pPr>
      <w:bookmarkStart w:id="23" w:name="_Ref216701810"/>
      <w:r w:rsidRPr="009F5573">
        <w:lastRenderedPageBreak/>
        <w:t>Table</w:t>
      </w:r>
      <w:r w:rsidR="001841E9">
        <w:t xml:space="preserve"> </w:t>
      </w:r>
      <w:fldSimple w:instr=" SEQ Table_ \* ARABIC ">
        <w:r w:rsidR="00E71342">
          <w:rPr>
            <w:noProof/>
          </w:rPr>
          <w:t>4</w:t>
        </w:r>
      </w:fldSimple>
      <w:bookmarkEnd w:id="23"/>
      <w:r w:rsidR="006868E4">
        <w:t>:</w:t>
      </w:r>
      <w:r w:rsidRPr="009F5573">
        <w:t xml:space="preserve"> Summary of </w:t>
      </w:r>
      <w:r>
        <w:t xml:space="preserve">survival </w:t>
      </w:r>
      <w:r w:rsidRPr="009F5573">
        <w:t xml:space="preserve">outcomes in the </w:t>
      </w:r>
      <w:r>
        <w:t>MATTERHORN</w:t>
      </w:r>
      <w:r w:rsidRPr="009F5573">
        <w:t xml:space="preserv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y of survival outcomes in the MATTERHORN trial"/>
      </w:tblPr>
      <w:tblGrid>
        <w:gridCol w:w="3174"/>
        <w:gridCol w:w="1753"/>
        <w:gridCol w:w="2218"/>
        <w:gridCol w:w="1872"/>
      </w:tblGrid>
      <w:tr w:rsidR="00FB7D66" w:rsidRPr="00371480" w14:paraId="086FD8B6" w14:textId="77777777" w:rsidTr="00A418FB">
        <w:trPr>
          <w:tblHeader/>
        </w:trPr>
        <w:tc>
          <w:tcPr>
            <w:tcW w:w="1760" w:type="pct"/>
            <w:tcBorders>
              <w:bottom w:val="nil"/>
            </w:tcBorders>
          </w:tcPr>
          <w:p w14:paraId="34EC7D99" w14:textId="30098B98" w:rsidR="00FB7D66" w:rsidRPr="00371480" w:rsidRDefault="00FB7D66" w:rsidP="00EB014A">
            <w:pPr>
              <w:pStyle w:val="TableFigureHeading"/>
              <w:keepLines/>
              <w:widowControl w:val="0"/>
            </w:pPr>
            <w:r w:rsidRPr="00371480">
              <w:t>Outcome</w:t>
            </w:r>
            <w:r w:rsidR="0037646F" w:rsidRPr="00371480">
              <w:t xml:space="preserve"> </w:t>
            </w:r>
            <w:r w:rsidR="0037646F" w:rsidRPr="00371480">
              <w:rPr>
                <w:vertAlign w:val="superscript"/>
              </w:rPr>
              <w:t>a</w:t>
            </w:r>
          </w:p>
        </w:tc>
        <w:tc>
          <w:tcPr>
            <w:tcW w:w="972" w:type="pct"/>
            <w:tcBorders>
              <w:bottom w:val="nil"/>
            </w:tcBorders>
            <w:vAlign w:val="center"/>
          </w:tcPr>
          <w:p w14:paraId="6F9B2913" w14:textId="77777777" w:rsidR="00FB7D66" w:rsidRPr="00371480" w:rsidRDefault="00FB7D66" w:rsidP="00EB014A">
            <w:pPr>
              <w:pStyle w:val="TableFigureHeading"/>
              <w:keepLines/>
              <w:widowControl w:val="0"/>
              <w:jc w:val="center"/>
            </w:pPr>
            <w:r w:rsidRPr="00371480">
              <w:t>D + FLOT</w:t>
            </w:r>
          </w:p>
        </w:tc>
        <w:tc>
          <w:tcPr>
            <w:tcW w:w="1230" w:type="pct"/>
            <w:tcBorders>
              <w:bottom w:val="nil"/>
            </w:tcBorders>
            <w:vAlign w:val="center"/>
          </w:tcPr>
          <w:p w14:paraId="2E83BD95" w14:textId="77777777" w:rsidR="00FB7D66" w:rsidRPr="00371480" w:rsidRDefault="00FB7D66" w:rsidP="00EB014A">
            <w:pPr>
              <w:pStyle w:val="TableFigureHeading"/>
              <w:keepLines/>
              <w:widowControl w:val="0"/>
              <w:jc w:val="center"/>
            </w:pPr>
            <w:r w:rsidRPr="00371480">
              <w:t>Pbo + FLOT</w:t>
            </w:r>
          </w:p>
        </w:tc>
        <w:tc>
          <w:tcPr>
            <w:tcW w:w="1038" w:type="pct"/>
            <w:vMerge w:val="restart"/>
            <w:vAlign w:val="center"/>
          </w:tcPr>
          <w:p w14:paraId="52E1323F" w14:textId="193E29BE" w:rsidR="006C324F" w:rsidRPr="00371480" w:rsidRDefault="00FB7D66" w:rsidP="00EB014A">
            <w:pPr>
              <w:pStyle w:val="TableFigureHeading"/>
              <w:keepLines/>
              <w:widowControl w:val="0"/>
              <w:jc w:val="center"/>
            </w:pPr>
            <w:r w:rsidRPr="00371480">
              <w:t>HR (95% CI),</w:t>
            </w:r>
          </w:p>
          <w:p w14:paraId="77D6D9D6" w14:textId="60BDAC45" w:rsidR="00FB7D66" w:rsidRPr="00371480" w:rsidRDefault="00FB7D66" w:rsidP="00EB014A">
            <w:pPr>
              <w:pStyle w:val="TableFigureHeading"/>
              <w:keepLines/>
              <w:widowControl w:val="0"/>
              <w:jc w:val="center"/>
            </w:pPr>
            <w:r w:rsidRPr="00371480">
              <w:t>p</w:t>
            </w:r>
            <w:r w:rsidR="00675F55">
              <w:noBreakHyphen/>
            </w:r>
            <w:r w:rsidRPr="00371480">
              <w:t>value</w:t>
            </w:r>
          </w:p>
        </w:tc>
      </w:tr>
      <w:tr w:rsidR="00FB7D66" w:rsidRPr="00371480" w14:paraId="2D1EDB70" w14:textId="77777777" w:rsidTr="00A418FB">
        <w:trPr>
          <w:tblHeader/>
        </w:trPr>
        <w:tc>
          <w:tcPr>
            <w:tcW w:w="1760" w:type="pct"/>
            <w:tcBorders>
              <w:top w:val="nil"/>
            </w:tcBorders>
          </w:tcPr>
          <w:p w14:paraId="45D97C3C" w14:textId="77777777" w:rsidR="00FB7D66" w:rsidRPr="00371480" w:rsidRDefault="00FB7D66" w:rsidP="00EB014A">
            <w:pPr>
              <w:pStyle w:val="In-tableHeading"/>
              <w:widowControl w:val="0"/>
              <w:rPr>
                <w:lang w:val="en-AU"/>
              </w:rPr>
            </w:pPr>
          </w:p>
        </w:tc>
        <w:tc>
          <w:tcPr>
            <w:tcW w:w="972" w:type="pct"/>
            <w:tcBorders>
              <w:top w:val="nil"/>
            </w:tcBorders>
            <w:vAlign w:val="center"/>
          </w:tcPr>
          <w:p w14:paraId="437FD387" w14:textId="77777777" w:rsidR="00FB7D66" w:rsidRPr="00371480" w:rsidRDefault="00FB7D66" w:rsidP="00EB014A">
            <w:pPr>
              <w:pStyle w:val="TableFigureHeading"/>
              <w:keepLines/>
              <w:widowControl w:val="0"/>
              <w:jc w:val="center"/>
            </w:pPr>
            <w:r w:rsidRPr="00371480">
              <w:t>n = 474</w:t>
            </w:r>
          </w:p>
        </w:tc>
        <w:tc>
          <w:tcPr>
            <w:tcW w:w="1230" w:type="pct"/>
            <w:tcBorders>
              <w:top w:val="nil"/>
            </w:tcBorders>
            <w:vAlign w:val="center"/>
          </w:tcPr>
          <w:p w14:paraId="19E2B1B2" w14:textId="77777777" w:rsidR="00FB7D66" w:rsidRPr="00371480" w:rsidRDefault="00FB7D66" w:rsidP="00EB014A">
            <w:pPr>
              <w:pStyle w:val="TableFigureHeading"/>
              <w:keepLines/>
              <w:widowControl w:val="0"/>
              <w:jc w:val="center"/>
            </w:pPr>
            <w:r w:rsidRPr="00371480">
              <w:t>n = 474</w:t>
            </w:r>
          </w:p>
        </w:tc>
        <w:tc>
          <w:tcPr>
            <w:tcW w:w="1038" w:type="pct"/>
            <w:vMerge/>
            <w:vAlign w:val="center"/>
          </w:tcPr>
          <w:p w14:paraId="0FC5AA31" w14:textId="77777777" w:rsidR="00FB7D66" w:rsidRPr="00371480" w:rsidRDefault="00FB7D66" w:rsidP="00EB014A">
            <w:pPr>
              <w:pStyle w:val="In-tableHeading"/>
              <w:widowControl w:val="0"/>
              <w:jc w:val="center"/>
              <w:rPr>
                <w:lang w:val="en-AU"/>
              </w:rPr>
            </w:pPr>
          </w:p>
        </w:tc>
      </w:tr>
      <w:tr w:rsidR="00FB7D66" w:rsidRPr="00371480" w14:paraId="758651F4" w14:textId="77777777" w:rsidTr="00A418FB">
        <w:tc>
          <w:tcPr>
            <w:tcW w:w="5000" w:type="pct"/>
            <w:gridSpan w:val="4"/>
            <w:vAlign w:val="center"/>
          </w:tcPr>
          <w:p w14:paraId="13D53606" w14:textId="47C22322" w:rsidR="00FB7D66" w:rsidRPr="00371480" w:rsidRDefault="00FB7D66" w:rsidP="00EB014A">
            <w:pPr>
              <w:pStyle w:val="TableFigureHeading"/>
              <w:keepLines/>
              <w:widowControl w:val="0"/>
            </w:pPr>
            <w:r w:rsidRPr="00371480">
              <w:t>Primary outcome: EFS</w:t>
            </w:r>
          </w:p>
        </w:tc>
      </w:tr>
      <w:tr w:rsidR="00FB7D66" w:rsidRPr="00371480" w14:paraId="4583453C" w14:textId="77777777" w:rsidTr="00A418FB">
        <w:tc>
          <w:tcPr>
            <w:tcW w:w="1760" w:type="pct"/>
          </w:tcPr>
          <w:p w14:paraId="3D02EC4F" w14:textId="77777777" w:rsidR="00FB7D66" w:rsidRPr="00371480" w:rsidRDefault="00FB7D66" w:rsidP="00EB014A">
            <w:pPr>
              <w:pStyle w:val="TableText0"/>
              <w:widowControl w:val="0"/>
            </w:pPr>
            <w:r w:rsidRPr="00371480">
              <w:t>Number of events, n (%)</w:t>
            </w:r>
          </w:p>
        </w:tc>
        <w:tc>
          <w:tcPr>
            <w:tcW w:w="972" w:type="pct"/>
            <w:vAlign w:val="center"/>
          </w:tcPr>
          <w:p w14:paraId="6BB22437" w14:textId="6C05C9A6" w:rsidR="003013A8" w:rsidRPr="00371480" w:rsidRDefault="007834EC" w:rsidP="00EB014A">
            <w:pPr>
              <w:pStyle w:val="TableText0"/>
              <w:widowControl w:val="0"/>
              <w:jc w:val="center"/>
              <w:rPr>
                <w:szCs w:val="20"/>
              </w:rPr>
            </w:pPr>
            <w:r w:rsidRPr="00371480">
              <w:rPr>
                <w:szCs w:val="20"/>
              </w:rPr>
              <w:t>167 (35.2)</w:t>
            </w:r>
          </w:p>
          <w:p w14:paraId="3430777B" w14:textId="6A2411D0" w:rsidR="00FB7D66" w:rsidRPr="00371480" w:rsidRDefault="00FB7D66" w:rsidP="00EB014A">
            <w:pPr>
              <w:pStyle w:val="TableText0"/>
              <w:widowControl w:val="0"/>
              <w:jc w:val="center"/>
            </w:pPr>
          </w:p>
        </w:tc>
        <w:tc>
          <w:tcPr>
            <w:tcW w:w="1230" w:type="pct"/>
            <w:vAlign w:val="center"/>
          </w:tcPr>
          <w:p w14:paraId="6870BA66" w14:textId="35688AAB" w:rsidR="007834EC" w:rsidRPr="00371480" w:rsidRDefault="007834EC" w:rsidP="00EB014A">
            <w:pPr>
              <w:pStyle w:val="TableText0"/>
              <w:widowControl w:val="0"/>
              <w:jc w:val="center"/>
              <w:rPr>
                <w:szCs w:val="20"/>
              </w:rPr>
            </w:pPr>
            <w:r w:rsidRPr="00371480">
              <w:rPr>
                <w:szCs w:val="20"/>
              </w:rPr>
              <w:t>218 (46.0)</w:t>
            </w:r>
          </w:p>
          <w:p w14:paraId="426468EC" w14:textId="29526EC5" w:rsidR="00FB7D66" w:rsidRPr="00371480" w:rsidRDefault="00FB7D66" w:rsidP="00EB014A">
            <w:pPr>
              <w:pStyle w:val="TableText0"/>
              <w:widowControl w:val="0"/>
              <w:jc w:val="center"/>
            </w:pPr>
          </w:p>
        </w:tc>
        <w:tc>
          <w:tcPr>
            <w:tcW w:w="1038" w:type="pct"/>
            <w:vMerge w:val="restart"/>
            <w:vAlign w:val="center"/>
          </w:tcPr>
          <w:p w14:paraId="7F2EE7E5" w14:textId="0806C279" w:rsidR="00FB7D66" w:rsidRPr="00371480" w:rsidRDefault="008E7F09" w:rsidP="00EB014A">
            <w:pPr>
              <w:pStyle w:val="TableText0"/>
              <w:widowControl w:val="0"/>
              <w:jc w:val="center"/>
            </w:pPr>
            <w:r w:rsidRPr="00371480">
              <w:rPr>
                <w:b/>
                <w:bCs w:val="0"/>
              </w:rPr>
              <w:t>0.71 (</w:t>
            </w:r>
            <w:r w:rsidRPr="00371480">
              <w:rPr>
                <w:b/>
                <w:bCs w:val="0"/>
                <w:szCs w:val="20"/>
              </w:rPr>
              <w:t>0.58, 0.86); p&lt;0.001</w:t>
            </w:r>
          </w:p>
        </w:tc>
      </w:tr>
      <w:tr w:rsidR="00FB7D66" w:rsidRPr="00371480" w14:paraId="7725D350" w14:textId="77777777" w:rsidTr="00A418FB">
        <w:tc>
          <w:tcPr>
            <w:tcW w:w="1760" w:type="pct"/>
          </w:tcPr>
          <w:p w14:paraId="5803F12D" w14:textId="77777777" w:rsidR="00FB7D66" w:rsidRPr="00371480" w:rsidRDefault="00FB7D66" w:rsidP="00EB014A">
            <w:pPr>
              <w:pStyle w:val="TableText0"/>
              <w:widowControl w:val="0"/>
              <w:rPr>
                <w:bCs w:val="0"/>
              </w:rPr>
            </w:pPr>
            <w:r w:rsidRPr="00371480">
              <w:t>Median EFS (95% CI), months</w:t>
            </w:r>
          </w:p>
        </w:tc>
        <w:tc>
          <w:tcPr>
            <w:tcW w:w="972" w:type="pct"/>
            <w:vAlign w:val="center"/>
          </w:tcPr>
          <w:p w14:paraId="2A483825" w14:textId="68106439" w:rsidR="00FB7D66" w:rsidRPr="00371480" w:rsidRDefault="00FB7D66" w:rsidP="00EB014A">
            <w:pPr>
              <w:pStyle w:val="TableText0"/>
              <w:widowControl w:val="0"/>
              <w:jc w:val="center"/>
            </w:pPr>
            <w:r w:rsidRPr="00371480">
              <w:rPr>
                <w:szCs w:val="20"/>
              </w:rPr>
              <w:t>NC (40.74</w:t>
            </w:r>
            <w:r w:rsidR="00AF30D3" w:rsidRPr="00371480">
              <w:rPr>
                <w:szCs w:val="20"/>
              </w:rPr>
              <w:t xml:space="preserve">, </w:t>
            </w:r>
            <w:r w:rsidRPr="00371480">
              <w:rPr>
                <w:szCs w:val="20"/>
              </w:rPr>
              <w:t>NC)</w:t>
            </w:r>
          </w:p>
        </w:tc>
        <w:tc>
          <w:tcPr>
            <w:tcW w:w="1230" w:type="pct"/>
            <w:vAlign w:val="center"/>
          </w:tcPr>
          <w:p w14:paraId="2F9EB364" w14:textId="0F008485" w:rsidR="00FB7D66" w:rsidRPr="00371480" w:rsidRDefault="00FB7D66" w:rsidP="00EB014A">
            <w:pPr>
              <w:pStyle w:val="TableText0"/>
              <w:widowControl w:val="0"/>
              <w:jc w:val="center"/>
            </w:pPr>
            <w:r w:rsidRPr="00371480">
              <w:rPr>
                <w:szCs w:val="20"/>
              </w:rPr>
              <w:t>32.82 (27.86</w:t>
            </w:r>
            <w:r w:rsidR="00AF30D3" w:rsidRPr="00371480">
              <w:rPr>
                <w:szCs w:val="20"/>
              </w:rPr>
              <w:t xml:space="preserve">, </w:t>
            </w:r>
            <w:r w:rsidRPr="00371480">
              <w:rPr>
                <w:szCs w:val="20"/>
              </w:rPr>
              <w:t>NC)</w:t>
            </w:r>
          </w:p>
        </w:tc>
        <w:tc>
          <w:tcPr>
            <w:tcW w:w="1038" w:type="pct"/>
            <w:vMerge/>
            <w:vAlign w:val="center"/>
          </w:tcPr>
          <w:p w14:paraId="2F9EB8D7" w14:textId="32673FB7" w:rsidR="00FB7D66" w:rsidRPr="00371480" w:rsidRDefault="00FB7D66" w:rsidP="00EB014A">
            <w:pPr>
              <w:pStyle w:val="TableText0"/>
              <w:widowControl w:val="0"/>
              <w:jc w:val="center"/>
              <w:rPr>
                <w:b/>
              </w:rPr>
            </w:pPr>
          </w:p>
        </w:tc>
      </w:tr>
      <w:tr w:rsidR="00FB7D66" w:rsidRPr="00371480" w14:paraId="0ECDFAE8" w14:textId="77777777" w:rsidTr="00A418FB">
        <w:tc>
          <w:tcPr>
            <w:tcW w:w="5000" w:type="pct"/>
            <w:gridSpan w:val="4"/>
            <w:vAlign w:val="center"/>
          </w:tcPr>
          <w:p w14:paraId="0128A1A5" w14:textId="0795C58B" w:rsidR="00FB7D66" w:rsidRPr="00371480" w:rsidRDefault="00FB7D66" w:rsidP="00EB014A">
            <w:pPr>
              <w:pStyle w:val="TableFigureHeading"/>
              <w:keepLines/>
              <w:widowControl w:val="0"/>
            </w:pPr>
            <w:r w:rsidRPr="00371480">
              <w:t>Key secondary outcome: OS</w:t>
            </w:r>
          </w:p>
        </w:tc>
      </w:tr>
      <w:tr w:rsidR="00FB7D66" w:rsidRPr="00371480" w14:paraId="021FECF3" w14:textId="77777777" w:rsidTr="00A418FB">
        <w:tc>
          <w:tcPr>
            <w:tcW w:w="1760" w:type="pct"/>
          </w:tcPr>
          <w:p w14:paraId="0F1F4019" w14:textId="77777777" w:rsidR="00FB7D66" w:rsidRPr="00371480" w:rsidRDefault="00FB7D66" w:rsidP="00EB014A">
            <w:pPr>
              <w:pStyle w:val="TableText0"/>
              <w:widowControl w:val="0"/>
            </w:pPr>
            <w:r w:rsidRPr="00371480">
              <w:t xml:space="preserve">At DCO2 </w:t>
            </w:r>
          </w:p>
        </w:tc>
        <w:tc>
          <w:tcPr>
            <w:tcW w:w="972" w:type="pct"/>
            <w:vAlign w:val="center"/>
          </w:tcPr>
          <w:p w14:paraId="3CEAA555" w14:textId="77777777" w:rsidR="00FB7D66" w:rsidRPr="00371480" w:rsidRDefault="00FB7D66" w:rsidP="00EB014A">
            <w:pPr>
              <w:pStyle w:val="TableText0"/>
              <w:widowControl w:val="0"/>
              <w:jc w:val="center"/>
            </w:pPr>
          </w:p>
        </w:tc>
        <w:tc>
          <w:tcPr>
            <w:tcW w:w="1230" w:type="pct"/>
            <w:vAlign w:val="center"/>
          </w:tcPr>
          <w:p w14:paraId="10D59073" w14:textId="77777777" w:rsidR="00FB7D66" w:rsidRPr="00371480" w:rsidRDefault="00FB7D66" w:rsidP="00EB014A">
            <w:pPr>
              <w:pStyle w:val="TableText0"/>
              <w:widowControl w:val="0"/>
              <w:jc w:val="center"/>
            </w:pPr>
          </w:p>
        </w:tc>
        <w:tc>
          <w:tcPr>
            <w:tcW w:w="1038" w:type="pct"/>
            <w:vAlign w:val="center"/>
          </w:tcPr>
          <w:p w14:paraId="3C00B4AC" w14:textId="77777777" w:rsidR="00FB7D66" w:rsidRPr="00371480" w:rsidRDefault="00FB7D66" w:rsidP="00EB014A">
            <w:pPr>
              <w:pStyle w:val="TableText0"/>
              <w:widowControl w:val="0"/>
              <w:jc w:val="center"/>
            </w:pPr>
          </w:p>
        </w:tc>
      </w:tr>
      <w:tr w:rsidR="00FB7D66" w:rsidRPr="00371480" w14:paraId="3ACFE269" w14:textId="77777777" w:rsidTr="00A418FB">
        <w:tc>
          <w:tcPr>
            <w:tcW w:w="1760" w:type="pct"/>
          </w:tcPr>
          <w:p w14:paraId="1DD1DE2D" w14:textId="77777777" w:rsidR="00FB7D66" w:rsidRPr="00371480" w:rsidRDefault="00FB7D66" w:rsidP="00EB014A">
            <w:pPr>
              <w:pStyle w:val="TableText0"/>
              <w:widowControl w:val="0"/>
              <w:ind w:left="283"/>
            </w:pPr>
            <w:r w:rsidRPr="00371480">
              <w:t>Number of events, n (%)</w:t>
            </w:r>
          </w:p>
        </w:tc>
        <w:tc>
          <w:tcPr>
            <w:tcW w:w="972" w:type="pct"/>
            <w:vAlign w:val="center"/>
          </w:tcPr>
          <w:p w14:paraId="17452B29" w14:textId="2ECDCE07" w:rsidR="00FB7D66" w:rsidRPr="00371480" w:rsidRDefault="00FB7D66" w:rsidP="00EB014A">
            <w:pPr>
              <w:pStyle w:val="TableText0"/>
              <w:widowControl w:val="0"/>
              <w:jc w:val="center"/>
              <w:rPr>
                <w:szCs w:val="20"/>
              </w:rPr>
            </w:pPr>
            <w:r w:rsidRPr="00371480">
              <w:rPr>
                <w:szCs w:val="20"/>
              </w:rPr>
              <w:t>145 (30.6)</w:t>
            </w:r>
          </w:p>
        </w:tc>
        <w:tc>
          <w:tcPr>
            <w:tcW w:w="1230" w:type="pct"/>
            <w:vAlign w:val="center"/>
          </w:tcPr>
          <w:p w14:paraId="539580F6" w14:textId="4AFC9534" w:rsidR="00FB7D66" w:rsidRPr="00371480" w:rsidRDefault="00FB7D66" w:rsidP="00EB014A">
            <w:pPr>
              <w:pStyle w:val="TableText0"/>
              <w:widowControl w:val="0"/>
              <w:jc w:val="center"/>
              <w:rPr>
                <w:szCs w:val="20"/>
              </w:rPr>
            </w:pPr>
            <w:r w:rsidRPr="00371480">
              <w:rPr>
                <w:szCs w:val="20"/>
              </w:rPr>
              <w:t>176 (37.1)</w:t>
            </w:r>
          </w:p>
        </w:tc>
        <w:tc>
          <w:tcPr>
            <w:tcW w:w="1038" w:type="pct"/>
            <w:vMerge w:val="restart"/>
            <w:vAlign w:val="center"/>
          </w:tcPr>
          <w:p w14:paraId="5D665B78" w14:textId="4510E410" w:rsidR="00FB7D66" w:rsidRPr="00371480" w:rsidRDefault="008E7F09" w:rsidP="00EB014A">
            <w:pPr>
              <w:pStyle w:val="TableText0"/>
              <w:widowControl w:val="0"/>
              <w:jc w:val="center"/>
            </w:pPr>
            <w:r w:rsidRPr="00371480">
              <w:rPr>
                <w:rFonts w:cs="Arial"/>
                <w:color w:val="373A40"/>
                <w:szCs w:val="20"/>
              </w:rPr>
              <w:t>0.78 (0.62</w:t>
            </w:r>
            <w:r w:rsidRPr="00371480">
              <w:rPr>
                <w:color w:val="373A40"/>
                <w:szCs w:val="20"/>
              </w:rPr>
              <w:t xml:space="preserve">, </w:t>
            </w:r>
            <w:r w:rsidRPr="00371480">
              <w:rPr>
                <w:rFonts w:cs="Arial"/>
                <w:color w:val="373A40"/>
                <w:szCs w:val="20"/>
              </w:rPr>
              <w:t xml:space="preserve">0.97); p=0.025 </w:t>
            </w:r>
            <w:r w:rsidR="00CA7034" w:rsidRPr="00371480">
              <w:rPr>
                <w:rFonts w:cs="Arial"/>
                <w:color w:val="373A40"/>
                <w:szCs w:val="20"/>
                <w:vertAlign w:val="superscript"/>
              </w:rPr>
              <w:t>b</w:t>
            </w:r>
          </w:p>
        </w:tc>
      </w:tr>
      <w:tr w:rsidR="00FB7D66" w:rsidRPr="00371480" w14:paraId="687BACCE" w14:textId="77777777" w:rsidTr="00A418FB">
        <w:tc>
          <w:tcPr>
            <w:tcW w:w="1760" w:type="pct"/>
          </w:tcPr>
          <w:p w14:paraId="542DAB7D" w14:textId="77777777" w:rsidR="00FB7D66" w:rsidRPr="00371480" w:rsidRDefault="00FB7D66" w:rsidP="00EB014A">
            <w:pPr>
              <w:pStyle w:val="TableText0"/>
              <w:widowControl w:val="0"/>
              <w:ind w:left="283"/>
            </w:pPr>
            <w:r w:rsidRPr="00371480">
              <w:t>Median OS (95% CI), months</w:t>
            </w:r>
          </w:p>
        </w:tc>
        <w:tc>
          <w:tcPr>
            <w:tcW w:w="972" w:type="pct"/>
            <w:vAlign w:val="center"/>
          </w:tcPr>
          <w:p w14:paraId="7718AFFA" w14:textId="71B64AB4" w:rsidR="00FB7D66" w:rsidRPr="00371480" w:rsidRDefault="00FB7D66" w:rsidP="00EB014A">
            <w:pPr>
              <w:pStyle w:val="TableText0"/>
              <w:widowControl w:val="0"/>
              <w:jc w:val="center"/>
            </w:pPr>
            <w:r w:rsidRPr="00371480">
              <w:t>NC (NC</w:t>
            </w:r>
            <w:r w:rsidR="00AF30D3" w:rsidRPr="00371480">
              <w:rPr>
                <w:szCs w:val="20"/>
              </w:rPr>
              <w:t xml:space="preserve">, </w:t>
            </w:r>
            <w:r w:rsidRPr="00371480">
              <w:t>NC)</w:t>
            </w:r>
          </w:p>
        </w:tc>
        <w:tc>
          <w:tcPr>
            <w:tcW w:w="1230" w:type="pct"/>
            <w:vAlign w:val="center"/>
          </w:tcPr>
          <w:p w14:paraId="0923F44C" w14:textId="75BDFD73" w:rsidR="00FB7D66" w:rsidRPr="00371480" w:rsidRDefault="00FB7D66" w:rsidP="00EB014A">
            <w:pPr>
              <w:pStyle w:val="TableText0"/>
              <w:widowControl w:val="0"/>
              <w:jc w:val="center"/>
            </w:pPr>
            <w:r w:rsidRPr="00371480">
              <w:t>47.21 (45.08</w:t>
            </w:r>
            <w:r w:rsidR="00AF30D3" w:rsidRPr="00371480">
              <w:rPr>
                <w:szCs w:val="20"/>
              </w:rPr>
              <w:t xml:space="preserve">, </w:t>
            </w:r>
            <w:r w:rsidRPr="00371480">
              <w:rPr>
                <w:szCs w:val="20"/>
              </w:rPr>
              <w:t>NC)</w:t>
            </w:r>
          </w:p>
        </w:tc>
        <w:tc>
          <w:tcPr>
            <w:tcW w:w="1038" w:type="pct"/>
            <w:vMerge/>
            <w:vAlign w:val="center"/>
          </w:tcPr>
          <w:p w14:paraId="4B3FC52A" w14:textId="57B2EA54" w:rsidR="00FB7D66" w:rsidRPr="00371480" w:rsidRDefault="00FB7D66" w:rsidP="00EB014A">
            <w:pPr>
              <w:pStyle w:val="TableText0"/>
              <w:widowControl w:val="0"/>
              <w:jc w:val="center"/>
            </w:pPr>
          </w:p>
        </w:tc>
      </w:tr>
      <w:tr w:rsidR="00FB7D66" w:rsidRPr="00371480" w14:paraId="50185DBD" w14:textId="77777777" w:rsidTr="00A418FB">
        <w:tc>
          <w:tcPr>
            <w:tcW w:w="1760" w:type="pct"/>
          </w:tcPr>
          <w:p w14:paraId="6BA13ECA" w14:textId="773E438F" w:rsidR="00FB7D66" w:rsidRPr="00371480" w:rsidRDefault="00FB7D66" w:rsidP="00EB014A">
            <w:pPr>
              <w:pStyle w:val="TableText0"/>
              <w:widowControl w:val="0"/>
            </w:pPr>
            <w:r w:rsidRPr="00371480">
              <w:t>At FA</w:t>
            </w:r>
          </w:p>
        </w:tc>
        <w:tc>
          <w:tcPr>
            <w:tcW w:w="972" w:type="pct"/>
            <w:vAlign w:val="center"/>
          </w:tcPr>
          <w:p w14:paraId="23F2B110" w14:textId="77777777" w:rsidR="00FB7D66" w:rsidRPr="00371480" w:rsidRDefault="00FB7D66" w:rsidP="00EB014A">
            <w:pPr>
              <w:pStyle w:val="TableText0"/>
              <w:widowControl w:val="0"/>
              <w:jc w:val="center"/>
            </w:pPr>
          </w:p>
        </w:tc>
        <w:tc>
          <w:tcPr>
            <w:tcW w:w="1230" w:type="pct"/>
            <w:vAlign w:val="center"/>
          </w:tcPr>
          <w:p w14:paraId="307F7906" w14:textId="77777777" w:rsidR="00FB7D66" w:rsidRPr="00371480" w:rsidRDefault="00FB7D66" w:rsidP="00EB014A">
            <w:pPr>
              <w:pStyle w:val="TableText0"/>
              <w:widowControl w:val="0"/>
              <w:jc w:val="center"/>
            </w:pPr>
          </w:p>
        </w:tc>
        <w:tc>
          <w:tcPr>
            <w:tcW w:w="1038" w:type="pct"/>
            <w:vAlign w:val="center"/>
          </w:tcPr>
          <w:p w14:paraId="6C59E7A4" w14:textId="77777777" w:rsidR="00FB7D66" w:rsidRPr="00371480" w:rsidRDefault="00FB7D66" w:rsidP="00EB014A">
            <w:pPr>
              <w:pStyle w:val="TableText0"/>
              <w:widowControl w:val="0"/>
              <w:jc w:val="center"/>
            </w:pPr>
          </w:p>
        </w:tc>
      </w:tr>
      <w:tr w:rsidR="00FB7D66" w:rsidRPr="00371480" w14:paraId="2D2F6B8D" w14:textId="77777777" w:rsidTr="00A418FB">
        <w:tc>
          <w:tcPr>
            <w:tcW w:w="1760" w:type="pct"/>
          </w:tcPr>
          <w:p w14:paraId="51D0E983" w14:textId="77777777" w:rsidR="00FB7D66" w:rsidRPr="00371480" w:rsidRDefault="00FB7D66" w:rsidP="00EB014A">
            <w:pPr>
              <w:pStyle w:val="TableText0"/>
              <w:widowControl w:val="0"/>
              <w:ind w:left="283"/>
            </w:pPr>
            <w:r w:rsidRPr="00371480">
              <w:t>Number of events, n (%)</w:t>
            </w:r>
          </w:p>
        </w:tc>
        <w:tc>
          <w:tcPr>
            <w:tcW w:w="972" w:type="pct"/>
            <w:vAlign w:val="center"/>
          </w:tcPr>
          <w:p w14:paraId="569B15DD" w14:textId="77777777" w:rsidR="00FB7D66" w:rsidRPr="00371480" w:rsidRDefault="00FB7D66" w:rsidP="00EB014A">
            <w:pPr>
              <w:pStyle w:val="TableText0"/>
              <w:widowControl w:val="0"/>
              <w:jc w:val="center"/>
            </w:pPr>
            <w:r w:rsidRPr="00371480">
              <w:t>NR</w:t>
            </w:r>
          </w:p>
        </w:tc>
        <w:tc>
          <w:tcPr>
            <w:tcW w:w="1230" w:type="pct"/>
            <w:vAlign w:val="center"/>
          </w:tcPr>
          <w:p w14:paraId="16A29FDF" w14:textId="77777777" w:rsidR="00FB7D66" w:rsidRPr="00371480" w:rsidRDefault="00FB7D66" w:rsidP="00EB014A">
            <w:pPr>
              <w:pStyle w:val="TableText0"/>
              <w:widowControl w:val="0"/>
              <w:jc w:val="center"/>
            </w:pPr>
            <w:r w:rsidRPr="00371480">
              <w:t>NR</w:t>
            </w:r>
          </w:p>
        </w:tc>
        <w:tc>
          <w:tcPr>
            <w:tcW w:w="1038" w:type="pct"/>
            <w:vMerge w:val="restart"/>
            <w:vAlign w:val="center"/>
          </w:tcPr>
          <w:p w14:paraId="4A2CA129" w14:textId="2144EF1B" w:rsidR="00FB7D66" w:rsidRPr="00371480" w:rsidRDefault="00FB7D66" w:rsidP="00EB014A">
            <w:pPr>
              <w:pStyle w:val="TableText0"/>
              <w:widowControl w:val="0"/>
              <w:jc w:val="center"/>
            </w:pPr>
            <w:r w:rsidRPr="00371480">
              <w:rPr>
                <w:rFonts w:cs="Arial"/>
                <w:b/>
                <w:bCs w:val="0"/>
              </w:rPr>
              <w:t>0.78 (0.63</w:t>
            </w:r>
            <w:r w:rsidR="00787714" w:rsidRPr="00371480">
              <w:rPr>
                <w:rFonts w:cs="Arial"/>
                <w:b/>
                <w:bCs w:val="0"/>
              </w:rPr>
              <w:t xml:space="preserve">, </w:t>
            </w:r>
            <w:r w:rsidRPr="00371480">
              <w:rPr>
                <w:rFonts w:cs="Arial"/>
                <w:b/>
                <w:bCs w:val="0"/>
              </w:rPr>
              <w:t>0.96); p=0.021</w:t>
            </w:r>
          </w:p>
        </w:tc>
      </w:tr>
      <w:tr w:rsidR="00FB7D66" w:rsidRPr="00371480" w14:paraId="6928BC64" w14:textId="77777777" w:rsidTr="00A418FB">
        <w:tc>
          <w:tcPr>
            <w:tcW w:w="1760" w:type="pct"/>
          </w:tcPr>
          <w:p w14:paraId="0F3DC8E8" w14:textId="77777777" w:rsidR="00FB7D66" w:rsidRPr="00371480" w:rsidRDefault="00FB7D66" w:rsidP="00EB014A">
            <w:pPr>
              <w:pStyle w:val="TableText0"/>
              <w:widowControl w:val="0"/>
              <w:ind w:left="283"/>
            </w:pPr>
            <w:r w:rsidRPr="00371480">
              <w:t>Median OS (95% CI), months</w:t>
            </w:r>
          </w:p>
        </w:tc>
        <w:tc>
          <w:tcPr>
            <w:tcW w:w="972" w:type="pct"/>
            <w:vAlign w:val="center"/>
          </w:tcPr>
          <w:p w14:paraId="50512719" w14:textId="6946958D" w:rsidR="00FB7D66" w:rsidRPr="00371480" w:rsidRDefault="00FB7D66" w:rsidP="00EB014A">
            <w:pPr>
              <w:pStyle w:val="TableText0"/>
              <w:widowControl w:val="0"/>
              <w:jc w:val="center"/>
            </w:pPr>
            <w:r w:rsidRPr="00371480">
              <w:t>NC (NC</w:t>
            </w:r>
            <w:r w:rsidR="00AF30D3" w:rsidRPr="00371480">
              <w:rPr>
                <w:szCs w:val="20"/>
              </w:rPr>
              <w:t xml:space="preserve">, </w:t>
            </w:r>
            <w:r w:rsidRPr="00371480">
              <w:t>NC)</w:t>
            </w:r>
          </w:p>
        </w:tc>
        <w:tc>
          <w:tcPr>
            <w:tcW w:w="1230" w:type="pct"/>
            <w:vAlign w:val="center"/>
          </w:tcPr>
          <w:p w14:paraId="5455DA79" w14:textId="74C15931" w:rsidR="00FB7D66" w:rsidRPr="00371480" w:rsidRDefault="00FB7D66" w:rsidP="00EB014A">
            <w:pPr>
              <w:pStyle w:val="TableText0"/>
              <w:widowControl w:val="0"/>
              <w:jc w:val="center"/>
            </w:pPr>
            <w:r w:rsidRPr="00371480">
              <w:t>NC (NC</w:t>
            </w:r>
            <w:r w:rsidR="00AF30D3" w:rsidRPr="00371480">
              <w:rPr>
                <w:szCs w:val="20"/>
              </w:rPr>
              <w:t xml:space="preserve">, </w:t>
            </w:r>
            <w:r w:rsidRPr="00371480">
              <w:t>NC)</w:t>
            </w:r>
          </w:p>
        </w:tc>
        <w:tc>
          <w:tcPr>
            <w:tcW w:w="1038" w:type="pct"/>
            <w:vMerge/>
            <w:vAlign w:val="center"/>
          </w:tcPr>
          <w:p w14:paraId="50AF1E42" w14:textId="455392F1" w:rsidR="00FB7D66" w:rsidRPr="00371480" w:rsidRDefault="00FB7D66" w:rsidP="00EB014A">
            <w:pPr>
              <w:pStyle w:val="TableText0"/>
              <w:widowControl w:val="0"/>
              <w:jc w:val="center"/>
              <w:rPr>
                <w:b/>
              </w:rPr>
            </w:pPr>
          </w:p>
        </w:tc>
      </w:tr>
      <w:tr w:rsidR="00FB7D66" w:rsidRPr="00371480" w14:paraId="45EC116C" w14:textId="77777777" w:rsidTr="00A418FB">
        <w:tc>
          <w:tcPr>
            <w:tcW w:w="5000" w:type="pct"/>
            <w:gridSpan w:val="4"/>
            <w:vAlign w:val="center"/>
          </w:tcPr>
          <w:p w14:paraId="3548D3A4" w14:textId="170992F6" w:rsidR="00FB7D66" w:rsidRPr="00371480" w:rsidRDefault="00FB7D66" w:rsidP="00EB014A">
            <w:pPr>
              <w:pStyle w:val="TableFigureHeading"/>
              <w:keepLines/>
              <w:widowControl w:val="0"/>
            </w:pPr>
            <w:r w:rsidRPr="00371480">
              <w:t>Secondary outcome: MFS</w:t>
            </w:r>
          </w:p>
        </w:tc>
      </w:tr>
      <w:tr w:rsidR="00FB7D66" w:rsidRPr="00371480" w14:paraId="74D3D076" w14:textId="77777777" w:rsidTr="00A418FB">
        <w:tc>
          <w:tcPr>
            <w:tcW w:w="1760" w:type="pct"/>
          </w:tcPr>
          <w:p w14:paraId="0C6523B8" w14:textId="77777777" w:rsidR="00FB7D66" w:rsidRPr="00371480" w:rsidRDefault="00FB7D66" w:rsidP="00EB014A">
            <w:pPr>
              <w:pStyle w:val="TableText0"/>
              <w:widowControl w:val="0"/>
            </w:pPr>
            <w:r w:rsidRPr="00371480">
              <w:t>Number of events, n (%)</w:t>
            </w:r>
          </w:p>
        </w:tc>
        <w:tc>
          <w:tcPr>
            <w:tcW w:w="972" w:type="pct"/>
            <w:vAlign w:val="center"/>
          </w:tcPr>
          <w:p w14:paraId="1F180843" w14:textId="77777777" w:rsidR="00FB7D66" w:rsidRPr="00371480" w:rsidRDefault="00FB7D66" w:rsidP="00EB014A">
            <w:pPr>
              <w:pStyle w:val="TableText0"/>
              <w:widowControl w:val="0"/>
              <w:jc w:val="center"/>
            </w:pPr>
            <w:r w:rsidRPr="00371480">
              <w:t>171 (36.1)</w:t>
            </w:r>
          </w:p>
        </w:tc>
        <w:tc>
          <w:tcPr>
            <w:tcW w:w="1230" w:type="pct"/>
            <w:vAlign w:val="center"/>
          </w:tcPr>
          <w:p w14:paraId="7801B194" w14:textId="77777777" w:rsidR="00FB7D66" w:rsidRPr="00371480" w:rsidRDefault="00FB7D66" w:rsidP="00EB014A">
            <w:pPr>
              <w:pStyle w:val="TableText0"/>
              <w:widowControl w:val="0"/>
              <w:jc w:val="center"/>
            </w:pPr>
            <w:r w:rsidRPr="00371480">
              <w:t>224 (47.3)</w:t>
            </w:r>
          </w:p>
        </w:tc>
        <w:tc>
          <w:tcPr>
            <w:tcW w:w="1038" w:type="pct"/>
            <w:vMerge w:val="restart"/>
            <w:vAlign w:val="center"/>
          </w:tcPr>
          <w:p w14:paraId="33A8FBE2" w14:textId="1C1D5935" w:rsidR="00FB7D66" w:rsidRPr="00371480" w:rsidRDefault="008E7F09" w:rsidP="00EB014A">
            <w:pPr>
              <w:pStyle w:val="TableText0"/>
              <w:widowControl w:val="0"/>
              <w:jc w:val="center"/>
              <w:rPr>
                <w:b/>
              </w:rPr>
            </w:pPr>
            <w:r w:rsidRPr="00371480">
              <w:rPr>
                <w:b/>
                <w:bCs w:val="0"/>
              </w:rPr>
              <w:t>0.72 (0.59, 0.88)</w:t>
            </w:r>
          </w:p>
        </w:tc>
      </w:tr>
      <w:tr w:rsidR="00FB7D66" w:rsidRPr="00371480" w14:paraId="1B9FF621" w14:textId="77777777" w:rsidTr="00A418FB">
        <w:tc>
          <w:tcPr>
            <w:tcW w:w="1760" w:type="pct"/>
          </w:tcPr>
          <w:p w14:paraId="7CF12404" w14:textId="77777777" w:rsidR="00FB7D66" w:rsidRPr="00371480" w:rsidRDefault="00FB7D66" w:rsidP="00EB014A">
            <w:pPr>
              <w:pStyle w:val="TableText0"/>
              <w:widowControl w:val="0"/>
            </w:pPr>
            <w:r w:rsidRPr="00371480">
              <w:t>Median MFS (95% CI), months</w:t>
            </w:r>
          </w:p>
        </w:tc>
        <w:tc>
          <w:tcPr>
            <w:tcW w:w="972" w:type="pct"/>
            <w:vAlign w:val="center"/>
          </w:tcPr>
          <w:p w14:paraId="49FFB60C" w14:textId="4738BA38" w:rsidR="00FB7D66" w:rsidRPr="00371480" w:rsidRDefault="00FB7D66" w:rsidP="00EB014A">
            <w:pPr>
              <w:pStyle w:val="TableText0"/>
              <w:widowControl w:val="0"/>
              <w:jc w:val="center"/>
            </w:pPr>
            <w:r w:rsidRPr="00371480">
              <w:t>NC (39.46</w:t>
            </w:r>
            <w:r w:rsidR="00AF30D3" w:rsidRPr="00371480">
              <w:t xml:space="preserve">, </w:t>
            </w:r>
            <w:r w:rsidRPr="00371480">
              <w:t>NC)</w:t>
            </w:r>
          </w:p>
        </w:tc>
        <w:tc>
          <w:tcPr>
            <w:tcW w:w="1230" w:type="pct"/>
            <w:vAlign w:val="center"/>
          </w:tcPr>
          <w:p w14:paraId="71F7C94A" w14:textId="29A5263A" w:rsidR="00FB7D66" w:rsidRPr="00371480" w:rsidRDefault="00FB7D66" w:rsidP="00EB014A">
            <w:pPr>
              <w:pStyle w:val="TableText0"/>
              <w:widowControl w:val="0"/>
              <w:jc w:val="center"/>
            </w:pPr>
            <w:r w:rsidRPr="00371480">
              <w:t>32.79 (27.04</w:t>
            </w:r>
            <w:r w:rsidR="00AF30D3" w:rsidRPr="00371480">
              <w:t xml:space="preserve">, </w:t>
            </w:r>
            <w:r w:rsidRPr="00371480">
              <w:t>42.58)</w:t>
            </w:r>
          </w:p>
        </w:tc>
        <w:tc>
          <w:tcPr>
            <w:tcW w:w="1038" w:type="pct"/>
            <w:vMerge/>
            <w:vAlign w:val="center"/>
          </w:tcPr>
          <w:p w14:paraId="68F860A1" w14:textId="2AC8045A" w:rsidR="00FB7D66" w:rsidRPr="00371480" w:rsidRDefault="00FB7D66" w:rsidP="00EB014A">
            <w:pPr>
              <w:pStyle w:val="TableText0"/>
              <w:widowControl w:val="0"/>
              <w:jc w:val="center"/>
            </w:pPr>
          </w:p>
        </w:tc>
      </w:tr>
      <w:tr w:rsidR="000D465F" w:rsidRPr="00371480" w14:paraId="1120F06E" w14:textId="77777777" w:rsidTr="00A418FB">
        <w:tc>
          <w:tcPr>
            <w:tcW w:w="5000" w:type="pct"/>
            <w:gridSpan w:val="4"/>
            <w:vAlign w:val="center"/>
          </w:tcPr>
          <w:p w14:paraId="36D1290F" w14:textId="2A4F3F85" w:rsidR="000D465F" w:rsidRPr="00371480" w:rsidRDefault="000D465F" w:rsidP="00EB014A">
            <w:pPr>
              <w:pStyle w:val="TableFigureHeading"/>
              <w:keepLines/>
              <w:widowControl w:val="0"/>
            </w:pPr>
            <w:r w:rsidRPr="00371480">
              <w:t>Secondary outcome: DFS (in R0 resected analysis set)</w:t>
            </w:r>
          </w:p>
        </w:tc>
      </w:tr>
      <w:tr w:rsidR="000D465F" w:rsidRPr="00371480" w14:paraId="491B20F9" w14:textId="77777777" w:rsidTr="00A418FB">
        <w:tc>
          <w:tcPr>
            <w:tcW w:w="1760" w:type="pct"/>
          </w:tcPr>
          <w:p w14:paraId="37B4667B" w14:textId="77777777" w:rsidR="000D465F" w:rsidRPr="00371480" w:rsidRDefault="000D465F" w:rsidP="00EB014A">
            <w:pPr>
              <w:pStyle w:val="TableText0"/>
              <w:widowControl w:val="0"/>
            </w:pPr>
            <w:r w:rsidRPr="00371480">
              <w:t>Number of events, n (%)</w:t>
            </w:r>
          </w:p>
        </w:tc>
        <w:tc>
          <w:tcPr>
            <w:tcW w:w="972" w:type="pct"/>
            <w:vAlign w:val="center"/>
          </w:tcPr>
          <w:p w14:paraId="1ECC5134" w14:textId="77777777" w:rsidR="000D465F" w:rsidRPr="00371480" w:rsidRDefault="000D465F" w:rsidP="00EB014A">
            <w:pPr>
              <w:pStyle w:val="TableText0"/>
              <w:widowControl w:val="0"/>
              <w:jc w:val="center"/>
            </w:pPr>
            <w:r w:rsidRPr="00371480">
              <w:rPr>
                <w:szCs w:val="20"/>
              </w:rPr>
              <w:t>90/339 (26.5)</w:t>
            </w:r>
          </w:p>
        </w:tc>
        <w:tc>
          <w:tcPr>
            <w:tcW w:w="1230" w:type="pct"/>
            <w:vAlign w:val="center"/>
          </w:tcPr>
          <w:p w14:paraId="1F540D89" w14:textId="77777777" w:rsidR="000D465F" w:rsidRPr="00371480" w:rsidRDefault="000D465F" w:rsidP="00EB014A">
            <w:pPr>
              <w:pStyle w:val="TableText0"/>
              <w:widowControl w:val="0"/>
              <w:jc w:val="center"/>
            </w:pPr>
            <w:r w:rsidRPr="00371480">
              <w:rPr>
                <w:szCs w:val="20"/>
              </w:rPr>
              <w:t>119/323 (36.8)</w:t>
            </w:r>
          </w:p>
        </w:tc>
        <w:tc>
          <w:tcPr>
            <w:tcW w:w="1038" w:type="pct"/>
            <w:vMerge w:val="restart"/>
            <w:vAlign w:val="center"/>
          </w:tcPr>
          <w:p w14:paraId="420B5DD2" w14:textId="54AA48D9" w:rsidR="000D465F" w:rsidRPr="00371480" w:rsidRDefault="008E7F09" w:rsidP="00EB014A">
            <w:pPr>
              <w:pStyle w:val="TableText0"/>
              <w:widowControl w:val="0"/>
              <w:jc w:val="center"/>
              <w:rPr>
                <w:b/>
              </w:rPr>
            </w:pPr>
            <w:r w:rsidRPr="00371480">
              <w:rPr>
                <w:b/>
                <w:bCs w:val="0"/>
                <w:szCs w:val="20"/>
              </w:rPr>
              <w:t>0.70 (0.53</w:t>
            </w:r>
            <w:r w:rsidRPr="00371480">
              <w:rPr>
                <w:b/>
                <w:bCs w:val="0"/>
              </w:rPr>
              <w:t xml:space="preserve">, </w:t>
            </w:r>
            <w:r w:rsidRPr="00371480">
              <w:rPr>
                <w:b/>
                <w:bCs w:val="0"/>
                <w:szCs w:val="20"/>
              </w:rPr>
              <w:t>0.93); p=0.012</w:t>
            </w:r>
          </w:p>
        </w:tc>
      </w:tr>
      <w:tr w:rsidR="000D465F" w:rsidRPr="00371480" w14:paraId="39FB0A84" w14:textId="77777777" w:rsidTr="00A418FB">
        <w:tc>
          <w:tcPr>
            <w:tcW w:w="1760" w:type="pct"/>
          </w:tcPr>
          <w:p w14:paraId="30CCC893" w14:textId="77777777" w:rsidR="000D465F" w:rsidRPr="00371480" w:rsidRDefault="000D465F" w:rsidP="00EB014A">
            <w:pPr>
              <w:pStyle w:val="TableText0"/>
              <w:widowControl w:val="0"/>
              <w:rPr>
                <w:bCs w:val="0"/>
              </w:rPr>
            </w:pPr>
            <w:r w:rsidRPr="00371480">
              <w:t>Median DFS (95% CI), months</w:t>
            </w:r>
          </w:p>
        </w:tc>
        <w:tc>
          <w:tcPr>
            <w:tcW w:w="972" w:type="pct"/>
            <w:vAlign w:val="center"/>
          </w:tcPr>
          <w:p w14:paraId="3B377A42" w14:textId="19554C93" w:rsidR="000D465F" w:rsidRPr="00371480" w:rsidRDefault="000D465F" w:rsidP="00EB014A">
            <w:pPr>
              <w:pStyle w:val="TableText0"/>
              <w:widowControl w:val="0"/>
              <w:jc w:val="center"/>
            </w:pPr>
            <w:r w:rsidRPr="00371480">
              <w:t>NC (NC</w:t>
            </w:r>
            <w:r w:rsidR="00AF30D3" w:rsidRPr="00371480">
              <w:rPr>
                <w:szCs w:val="20"/>
              </w:rPr>
              <w:t xml:space="preserve">, </w:t>
            </w:r>
            <w:r w:rsidRPr="00371480">
              <w:t>NC)</w:t>
            </w:r>
          </w:p>
        </w:tc>
        <w:tc>
          <w:tcPr>
            <w:tcW w:w="1230" w:type="pct"/>
            <w:vAlign w:val="center"/>
          </w:tcPr>
          <w:p w14:paraId="5A59FB0F" w14:textId="339BB7F3" w:rsidR="000D465F" w:rsidRPr="00371480" w:rsidRDefault="000D465F" w:rsidP="00EB014A">
            <w:pPr>
              <w:pStyle w:val="TableText0"/>
              <w:widowControl w:val="0"/>
              <w:jc w:val="center"/>
            </w:pPr>
            <w:r w:rsidRPr="00371480">
              <w:t>39.75 (38.67</w:t>
            </w:r>
            <w:r w:rsidR="00AF30D3" w:rsidRPr="00371480">
              <w:rPr>
                <w:szCs w:val="20"/>
              </w:rPr>
              <w:t xml:space="preserve">, </w:t>
            </w:r>
            <w:r w:rsidRPr="00371480">
              <w:rPr>
                <w:szCs w:val="20"/>
              </w:rPr>
              <w:t>NC)</w:t>
            </w:r>
          </w:p>
        </w:tc>
        <w:tc>
          <w:tcPr>
            <w:tcW w:w="1038" w:type="pct"/>
            <w:vMerge/>
            <w:vAlign w:val="center"/>
          </w:tcPr>
          <w:p w14:paraId="53F6B142" w14:textId="4CEC87ED" w:rsidR="000D465F" w:rsidRPr="00371480" w:rsidRDefault="000D465F" w:rsidP="00EB014A">
            <w:pPr>
              <w:pStyle w:val="TableText0"/>
              <w:widowControl w:val="0"/>
              <w:jc w:val="center"/>
            </w:pPr>
          </w:p>
        </w:tc>
      </w:tr>
    </w:tbl>
    <w:p w14:paraId="4CF21015" w14:textId="0F55E407" w:rsidR="008F4B47" w:rsidRPr="00217257" w:rsidRDefault="008F4B47" w:rsidP="00C1302F">
      <w:pPr>
        <w:pStyle w:val="TableFigureFooter"/>
      </w:pPr>
      <w:r w:rsidRPr="00217257">
        <w:t>Source: Table 2</w:t>
      </w:r>
      <w:r w:rsidR="00675F55">
        <w:noBreakHyphen/>
      </w:r>
      <w:r w:rsidRPr="00217257">
        <w:t>18, p78, Table 2</w:t>
      </w:r>
      <w:r w:rsidR="00675F55">
        <w:noBreakHyphen/>
      </w:r>
      <w:r w:rsidRPr="00217257">
        <w:t>19 p80, Table 2</w:t>
      </w:r>
      <w:r w:rsidR="00675F55">
        <w:noBreakHyphen/>
      </w:r>
      <w:r w:rsidRPr="00217257">
        <w:t>23 p85 and Table 2</w:t>
      </w:r>
      <w:r w:rsidR="00675F55">
        <w:noBreakHyphen/>
      </w:r>
      <w:r w:rsidRPr="00217257">
        <w:t>24 p87 of the submission</w:t>
      </w:r>
      <w:r w:rsidR="00A3244B" w:rsidRPr="00217257">
        <w:t>.</w:t>
      </w:r>
    </w:p>
    <w:p w14:paraId="62B20A35" w14:textId="762D941C" w:rsidR="00FB7D66" w:rsidRPr="00217257" w:rsidRDefault="001315F1" w:rsidP="00C1302F">
      <w:pPr>
        <w:pStyle w:val="TableFigureFooter"/>
      </w:pPr>
      <w:r w:rsidRPr="00217257">
        <w:t xml:space="preserve">CI = confidence interval; D = durvalumab; </w:t>
      </w:r>
      <w:r w:rsidR="00AB71CB" w:rsidRPr="00217257">
        <w:t>DCO = data cut</w:t>
      </w:r>
      <w:r w:rsidR="00675F55">
        <w:noBreakHyphen/>
      </w:r>
      <w:r w:rsidR="00AB71CB" w:rsidRPr="00217257">
        <w:t>off</w:t>
      </w:r>
      <w:r w:rsidRPr="00217257">
        <w:t xml:space="preserve">; </w:t>
      </w:r>
      <w:r w:rsidR="00A56811" w:rsidRPr="00217257">
        <w:t>DFS = disease</w:t>
      </w:r>
      <w:r w:rsidR="00675F55">
        <w:noBreakHyphen/>
      </w:r>
      <w:r w:rsidR="00A56811" w:rsidRPr="00217257">
        <w:t xml:space="preserve">free survival; </w:t>
      </w:r>
      <w:r w:rsidR="004600FD" w:rsidRPr="00217257">
        <w:t>EFS = event</w:t>
      </w:r>
      <w:r w:rsidR="00675F55">
        <w:noBreakHyphen/>
      </w:r>
      <w:r w:rsidR="004600FD" w:rsidRPr="00217257">
        <w:t xml:space="preserve">free survival; </w:t>
      </w:r>
      <w:r w:rsidR="004E1E39" w:rsidRPr="00217257">
        <w:t xml:space="preserve">FA = final analysis; </w:t>
      </w:r>
      <w:r w:rsidRPr="00217257">
        <w:t>FLOT = 5</w:t>
      </w:r>
      <w:r w:rsidR="00675F55">
        <w:noBreakHyphen/>
      </w:r>
      <w:r w:rsidRPr="00217257">
        <w:t xml:space="preserve">fluorouracil, leucovorin, oxaliplatin and docetaxel; HR = hazard ratio; </w:t>
      </w:r>
      <w:r w:rsidR="004C699D" w:rsidRPr="00217257">
        <w:t>MFS = metastasis</w:t>
      </w:r>
      <w:r w:rsidR="00675F55">
        <w:noBreakHyphen/>
      </w:r>
      <w:r w:rsidR="004C699D" w:rsidRPr="00217257">
        <w:t xml:space="preserve">free survival; </w:t>
      </w:r>
      <w:r w:rsidR="00B077D9" w:rsidRPr="00217257">
        <w:t xml:space="preserve">NC = not calculable; NR = not reported; </w:t>
      </w:r>
      <w:r w:rsidR="004600FD" w:rsidRPr="00217257">
        <w:t xml:space="preserve">OS = overall survival; </w:t>
      </w:r>
      <w:r w:rsidRPr="00217257">
        <w:t>Pbo = placebo</w:t>
      </w:r>
      <w:r w:rsidR="001C0F15" w:rsidRPr="00217257">
        <w:t>.</w:t>
      </w:r>
    </w:p>
    <w:p w14:paraId="633E7243" w14:textId="02EAF08F" w:rsidR="00FB7D66" w:rsidRPr="00217257" w:rsidRDefault="0037646F" w:rsidP="00C1302F">
      <w:pPr>
        <w:pStyle w:val="TableFigureFooter"/>
      </w:pPr>
      <w:r w:rsidRPr="00217257">
        <w:rPr>
          <w:vertAlign w:val="superscript"/>
        </w:rPr>
        <w:t>a</w:t>
      </w:r>
      <w:r w:rsidR="00FB7D66" w:rsidRPr="00217257">
        <w:t xml:space="preserve"> Outcomes reported at DCO2 unless otherwise specified</w:t>
      </w:r>
      <w:r w:rsidR="001C0F15" w:rsidRPr="00217257">
        <w:t>.</w:t>
      </w:r>
    </w:p>
    <w:p w14:paraId="59F28435" w14:textId="5680B8E7" w:rsidR="008E7F09" w:rsidRPr="00217257" w:rsidRDefault="00CA7034" w:rsidP="00C1302F">
      <w:pPr>
        <w:pStyle w:val="TableFigureFooter"/>
      </w:pPr>
      <w:r w:rsidRPr="00217257">
        <w:rPr>
          <w:vertAlign w:val="superscript"/>
        </w:rPr>
        <w:t>b</w:t>
      </w:r>
      <w:r w:rsidR="008E7F09" w:rsidRPr="00217257">
        <w:rPr>
          <w:vertAlign w:val="superscript"/>
        </w:rPr>
        <w:t xml:space="preserve"> </w:t>
      </w:r>
      <w:r w:rsidR="008E7F09" w:rsidRPr="00217257">
        <w:t>A p</w:t>
      </w:r>
      <w:r w:rsidR="00675F55">
        <w:noBreakHyphen/>
      </w:r>
      <w:r w:rsidR="008E7F09" w:rsidRPr="00217257">
        <w:t>value &lt; 0.0001 was required to declare statistical significance at DCO2</w:t>
      </w:r>
      <w:r w:rsidR="001C0F15" w:rsidRPr="00217257">
        <w:t>.</w:t>
      </w:r>
    </w:p>
    <w:p w14:paraId="284A6168" w14:textId="02F0F198" w:rsidR="009B377D" w:rsidRPr="00217257" w:rsidRDefault="009B377D" w:rsidP="00C1302F">
      <w:pPr>
        <w:pStyle w:val="TableFigureFooter"/>
      </w:pPr>
      <w:bookmarkStart w:id="24" w:name="_Ref216681584"/>
      <w:bookmarkStart w:id="25" w:name="_Toc213182655"/>
      <w:r w:rsidRPr="00217257">
        <w:t>Bolded results indicate statistically significant differences between treatment arms</w:t>
      </w:r>
      <w:r w:rsidR="001C0F15" w:rsidRPr="00217257">
        <w:t>.</w:t>
      </w:r>
      <w:r w:rsidRPr="00217257">
        <w:t xml:space="preserve"> </w:t>
      </w:r>
    </w:p>
    <w:p w14:paraId="1EFBF318" w14:textId="41C9B959" w:rsidR="00F16BB9" w:rsidRDefault="00F16BB9" w:rsidP="00CE759D">
      <w:pPr>
        <w:pStyle w:val="Caption"/>
        <w:spacing w:before="160" w:after="160"/>
      </w:pPr>
      <w:bookmarkStart w:id="26" w:name="_Ref216845372"/>
      <w:bookmarkStart w:id="27" w:name="_Ref218870347"/>
      <w:r>
        <w:t xml:space="preserve">Figure </w:t>
      </w:r>
      <w:bookmarkEnd w:id="24"/>
      <w:bookmarkEnd w:id="26"/>
      <w:r w:rsidR="00B4629E">
        <w:fldChar w:fldCharType="begin"/>
      </w:r>
      <w:r w:rsidR="00B4629E">
        <w:instrText xml:space="preserve"> SEQ Figure \* ARABIC </w:instrText>
      </w:r>
      <w:r w:rsidR="00B4629E">
        <w:fldChar w:fldCharType="separate"/>
      </w:r>
      <w:r w:rsidR="00E71342">
        <w:rPr>
          <w:noProof/>
        </w:rPr>
        <w:t>1</w:t>
      </w:r>
      <w:r w:rsidR="00B4629E">
        <w:fldChar w:fldCharType="end"/>
      </w:r>
      <w:bookmarkEnd w:id="27"/>
      <w:r>
        <w:t xml:space="preserve"> </w:t>
      </w:r>
      <w:r w:rsidRPr="009D58FC">
        <w:t>Kaplan</w:t>
      </w:r>
      <w:r w:rsidR="00675F55">
        <w:noBreakHyphen/>
      </w:r>
      <w:r w:rsidRPr="009D58FC">
        <w:t>Meier Plot of EFS (FAS, DCO2)</w:t>
      </w:r>
      <w:bookmarkEnd w:id="25"/>
    </w:p>
    <w:p w14:paraId="42A99A03" w14:textId="77777777" w:rsidR="00F16BB9" w:rsidRDefault="00F16BB9" w:rsidP="00CE759D">
      <w:pPr>
        <w:keepNext/>
      </w:pPr>
      <w:r w:rsidRPr="00DD0207">
        <w:rPr>
          <w:noProof/>
        </w:rPr>
        <w:drawing>
          <wp:inline distT="0" distB="0" distL="0" distR="0" wp14:anchorId="74D2AE07" wp14:editId="37FE43E3">
            <wp:extent cx="5731510" cy="2781935"/>
            <wp:effectExtent l="0" t="0" r="2540" b="0"/>
            <wp:docPr id="976293923" name="Picture 1" descr="Figure 1 Kaplan Meier Plot of EFS (FAS, D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93923" name="Picture 1" descr="Figure 1 Kaplan Meier Plot of EFS (FAS, DCO2)"/>
                    <pic:cNvPicPr/>
                  </pic:nvPicPr>
                  <pic:blipFill>
                    <a:blip r:embed="rId11"/>
                    <a:stretch>
                      <a:fillRect/>
                    </a:stretch>
                  </pic:blipFill>
                  <pic:spPr>
                    <a:xfrm>
                      <a:off x="0" y="0"/>
                      <a:ext cx="5731510" cy="2781935"/>
                    </a:xfrm>
                    <a:prstGeom prst="rect">
                      <a:avLst/>
                    </a:prstGeom>
                  </pic:spPr>
                </pic:pic>
              </a:graphicData>
            </a:graphic>
          </wp:inline>
        </w:drawing>
      </w:r>
    </w:p>
    <w:p w14:paraId="6D200E6A" w14:textId="2B055D5C" w:rsidR="004F7A8A" w:rsidRPr="00954CFC" w:rsidRDefault="004F7A8A" w:rsidP="00C1302F">
      <w:pPr>
        <w:pStyle w:val="TableFigureFooter"/>
      </w:pPr>
      <w:r w:rsidRPr="00954CFC">
        <w:t xml:space="preserve">Source: </w:t>
      </w:r>
      <w:r>
        <w:t>Figure 2</w:t>
      </w:r>
      <w:r w:rsidR="00675F55">
        <w:noBreakHyphen/>
      </w:r>
      <w:r>
        <w:t>4 p79 of the submission</w:t>
      </w:r>
      <w:r w:rsidR="009D4A33">
        <w:t>.</w:t>
      </w:r>
    </w:p>
    <w:p w14:paraId="7F864B10" w14:textId="59CE0DBE" w:rsidR="00F16BB9" w:rsidRDefault="00F16BB9" w:rsidP="00C1302F">
      <w:pPr>
        <w:pStyle w:val="TableFigureFooter"/>
      </w:pPr>
      <w:r>
        <w:t>CI</w:t>
      </w:r>
      <w:r w:rsidR="00D405CC">
        <w:t xml:space="preserve"> = confidence interval</w:t>
      </w:r>
      <w:r>
        <w:t>; DCO</w:t>
      </w:r>
      <w:r w:rsidR="00D405CC">
        <w:t xml:space="preserve"> = data cut</w:t>
      </w:r>
      <w:r w:rsidR="00675F55">
        <w:noBreakHyphen/>
      </w:r>
      <w:r w:rsidR="00D405CC">
        <w:t>off</w:t>
      </w:r>
      <w:r>
        <w:t>; EFS</w:t>
      </w:r>
      <w:r w:rsidR="00D405CC">
        <w:t xml:space="preserve"> = event</w:t>
      </w:r>
      <w:r w:rsidR="00675F55">
        <w:noBreakHyphen/>
      </w:r>
      <w:r w:rsidR="00D405CC">
        <w:t>free survival</w:t>
      </w:r>
      <w:r>
        <w:t>; FAS</w:t>
      </w:r>
      <w:r w:rsidR="00D405CC">
        <w:t xml:space="preserve"> = full analysis set</w:t>
      </w:r>
      <w:r>
        <w:t>; FLOT</w:t>
      </w:r>
      <w:r w:rsidR="00D405CC">
        <w:t xml:space="preserve"> = </w:t>
      </w:r>
      <w:r>
        <w:t>5</w:t>
      </w:r>
      <w:r w:rsidR="00675F55">
        <w:noBreakHyphen/>
      </w:r>
      <w:r w:rsidR="00D405CC">
        <w:t xml:space="preserve">fluorouracil, leucovorin, oxaliplatin, </w:t>
      </w:r>
      <w:r>
        <w:t xml:space="preserve">and </w:t>
      </w:r>
      <w:r w:rsidR="00D405CC">
        <w:t>docetaxel</w:t>
      </w:r>
      <w:r>
        <w:t>; HR</w:t>
      </w:r>
      <w:r w:rsidR="00D405CC">
        <w:t xml:space="preserve"> = hazard ratio</w:t>
      </w:r>
      <w:r>
        <w:t>; KM</w:t>
      </w:r>
      <w:r w:rsidR="00D405CC">
        <w:t xml:space="preserve"> = </w:t>
      </w:r>
      <w:r>
        <w:t>Kaplan</w:t>
      </w:r>
      <w:r w:rsidR="00675F55">
        <w:noBreakHyphen/>
      </w:r>
      <w:r>
        <w:t>Meier; NC</w:t>
      </w:r>
      <w:r w:rsidR="00D405CC">
        <w:t xml:space="preserve"> = not calculable</w:t>
      </w:r>
      <w:r>
        <w:t>; Pbo</w:t>
      </w:r>
      <w:r w:rsidR="00D405CC">
        <w:t xml:space="preserve"> = placebo</w:t>
      </w:r>
      <w:r w:rsidR="00F63DC5">
        <w:t>.</w:t>
      </w:r>
    </w:p>
    <w:p w14:paraId="2F64CCE6" w14:textId="417310D9" w:rsidR="00D07A68" w:rsidRDefault="00D07A68" w:rsidP="00217257">
      <w:pPr>
        <w:pStyle w:val="3-BodyText"/>
        <w:spacing w:before="160" w:after="160"/>
        <w:rPr>
          <w:lang w:eastAsia="en-US"/>
        </w:rPr>
      </w:pPr>
      <w:r w:rsidRPr="00B43C99">
        <w:lastRenderedPageBreak/>
        <w:t>At DCO2, the median OS was not reached for D + FLOT and was 47.21 months for Pbo + FLOT</w:t>
      </w:r>
      <w:r>
        <w:t xml:space="preserve">. Treatment with D + FLOT </w:t>
      </w:r>
      <w:r w:rsidR="00D62CFE">
        <w:t>demonstrated improved OS</w:t>
      </w:r>
      <w:r>
        <w:t xml:space="preserve"> over Pbo + FLOT</w:t>
      </w:r>
      <w:r w:rsidRPr="00B43C99">
        <w:t xml:space="preserve"> (HR 0.78; 95% CI: 0.62, 0.97; p</w:t>
      </w:r>
      <w:r w:rsidR="00A568B1">
        <w:t xml:space="preserve"> </w:t>
      </w:r>
      <w:r w:rsidRPr="00B43C99">
        <w:t>=</w:t>
      </w:r>
      <w:r w:rsidR="00A568B1">
        <w:t xml:space="preserve"> </w:t>
      </w:r>
      <w:r w:rsidRPr="00B43C99">
        <w:t>0.025). This did not reach statistical significance based on the prespecified threshold for statistical significance at DCO2 (p</w:t>
      </w:r>
      <w:r w:rsidR="00A568B1">
        <w:t xml:space="preserve"> </w:t>
      </w:r>
      <w:r w:rsidRPr="00B43C99">
        <w:t>&lt;</w:t>
      </w:r>
      <w:r w:rsidR="00A568B1">
        <w:t xml:space="preserve"> </w:t>
      </w:r>
      <w:r w:rsidRPr="00B43C99">
        <w:t>0.0001)</w:t>
      </w:r>
      <w:r w:rsidR="00665ED4">
        <w:t xml:space="preserve"> (</w:t>
      </w:r>
      <w:r w:rsidR="0061244D">
        <w:fldChar w:fldCharType="begin"/>
      </w:r>
      <w:r w:rsidR="0061244D">
        <w:instrText xml:space="preserve"> REF _Ref216701810 \h </w:instrText>
      </w:r>
      <w:r w:rsidR="0061244D">
        <w:fldChar w:fldCharType="separate"/>
      </w:r>
      <w:r w:rsidR="00E71342" w:rsidRPr="009F5573">
        <w:t>Table</w:t>
      </w:r>
      <w:r w:rsidR="00E71342">
        <w:t xml:space="preserve"> </w:t>
      </w:r>
      <w:r w:rsidR="00E71342">
        <w:rPr>
          <w:noProof/>
        </w:rPr>
        <w:t>4</w:t>
      </w:r>
      <w:r w:rsidR="0061244D">
        <w:fldChar w:fldCharType="end"/>
      </w:r>
      <w:r w:rsidR="00665ED4">
        <w:t>;</w:t>
      </w:r>
      <w:r w:rsidR="006C48B7">
        <w:t xml:space="preserve"> </w:t>
      </w:r>
      <w:r w:rsidR="00620320">
        <w:fldChar w:fldCharType="begin"/>
      </w:r>
      <w:r w:rsidR="00620320">
        <w:instrText xml:space="preserve"> REF _Ref219112647 \h </w:instrText>
      </w:r>
      <w:r w:rsidR="00620320">
        <w:fldChar w:fldCharType="separate"/>
      </w:r>
      <w:r w:rsidR="00E71342">
        <w:t xml:space="preserve">Figure </w:t>
      </w:r>
      <w:r w:rsidR="00E71342">
        <w:rPr>
          <w:noProof/>
        </w:rPr>
        <w:t>2</w:t>
      </w:r>
      <w:r w:rsidR="00620320">
        <w:fldChar w:fldCharType="end"/>
      </w:r>
      <w:r w:rsidR="00665ED4">
        <w:t>)</w:t>
      </w:r>
      <w:r w:rsidRPr="00B43C99">
        <w:t xml:space="preserve">. </w:t>
      </w:r>
    </w:p>
    <w:p w14:paraId="49154DA0" w14:textId="41F8DCA3" w:rsidR="00D07A68" w:rsidRDefault="00D07A68" w:rsidP="00217257">
      <w:pPr>
        <w:pStyle w:val="3-BodyText"/>
        <w:spacing w:before="160" w:after="160"/>
      </w:pPr>
      <w:r w:rsidRPr="00B43C99">
        <w:t>At</w:t>
      </w:r>
      <w:r>
        <w:t xml:space="preserve"> the final analysis for OS, the median OS was not reached for both treatment arms. Treatment with D + FLOT </w:t>
      </w:r>
      <w:r w:rsidR="00DC205B">
        <w:t>demonstrated improved OS</w:t>
      </w:r>
      <w:r>
        <w:t xml:space="preserve"> over Pbo + FLOT, demonstrating a statistically significant improvement in OS (HR </w:t>
      </w:r>
      <w:r w:rsidRPr="005474C8">
        <w:t>0.78</w:t>
      </w:r>
      <w:r>
        <w:t xml:space="preserve">; 95% CI: </w:t>
      </w:r>
      <w:r w:rsidRPr="005474C8">
        <w:t>0.63</w:t>
      </w:r>
      <w:r>
        <w:t xml:space="preserve">, </w:t>
      </w:r>
      <w:r w:rsidRPr="005474C8">
        <w:t>0.96; p</w:t>
      </w:r>
      <w:r w:rsidR="00A568B1">
        <w:t xml:space="preserve"> </w:t>
      </w:r>
      <w:r w:rsidRPr="005474C8">
        <w:t>=</w:t>
      </w:r>
      <w:r w:rsidR="00A568B1">
        <w:t xml:space="preserve"> </w:t>
      </w:r>
      <w:r w:rsidRPr="005474C8">
        <w:t>0.021</w:t>
      </w:r>
      <w:r>
        <w:t>)</w:t>
      </w:r>
      <w:r w:rsidR="006942EB">
        <w:t xml:space="preserve"> (</w:t>
      </w:r>
      <w:r w:rsidR="0061244D">
        <w:fldChar w:fldCharType="begin"/>
      </w:r>
      <w:r w:rsidR="0061244D">
        <w:instrText xml:space="preserve"> REF _Ref216701810 \h </w:instrText>
      </w:r>
      <w:r w:rsidR="0061244D">
        <w:fldChar w:fldCharType="separate"/>
      </w:r>
      <w:r w:rsidR="00E71342" w:rsidRPr="009F5573">
        <w:t>Table</w:t>
      </w:r>
      <w:r w:rsidR="00E71342">
        <w:t xml:space="preserve"> </w:t>
      </w:r>
      <w:r w:rsidR="00E71342">
        <w:rPr>
          <w:noProof/>
        </w:rPr>
        <w:t>4</w:t>
      </w:r>
      <w:r w:rsidR="0061244D">
        <w:fldChar w:fldCharType="end"/>
      </w:r>
      <w:r w:rsidR="006942EB">
        <w:t>;</w:t>
      </w:r>
      <w:r w:rsidR="00C21586">
        <w:t xml:space="preserve"> </w:t>
      </w:r>
      <w:r w:rsidR="00C21586">
        <w:fldChar w:fldCharType="begin"/>
      </w:r>
      <w:r w:rsidR="00C21586">
        <w:instrText xml:space="preserve"> REF _Ref219112647 \h </w:instrText>
      </w:r>
      <w:r w:rsidR="00C21586">
        <w:fldChar w:fldCharType="separate"/>
      </w:r>
      <w:r w:rsidR="00E71342">
        <w:t xml:space="preserve">Figure </w:t>
      </w:r>
      <w:r w:rsidR="00E71342">
        <w:rPr>
          <w:noProof/>
        </w:rPr>
        <w:t>2</w:t>
      </w:r>
      <w:r w:rsidR="00C21586">
        <w:fldChar w:fldCharType="end"/>
      </w:r>
      <w:r w:rsidR="006942EB">
        <w:t>)</w:t>
      </w:r>
      <w:r w:rsidR="006942EB" w:rsidRPr="00B43C99">
        <w:t>.</w:t>
      </w:r>
    </w:p>
    <w:p w14:paraId="23872365" w14:textId="12CE0962" w:rsidR="002648B1" w:rsidRPr="00371480" w:rsidRDefault="00063A24" w:rsidP="00217257">
      <w:pPr>
        <w:pStyle w:val="3-BodyText"/>
        <w:spacing w:before="160" w:after="160"/>
      </w:pPr>
      <w:bookmarkStart w:id="28" w:name="_Ref221531378"/>
      <w:r w:rsidRPr="00D4422F">
        <w:rPr>
          <w:lang w:eastAsia="en-US"/>
        </w:rPr>
        <w:t xml:space="preserve">The use of subsequent </w:t>
      </w:r>
      <w:r w:rsidR="00C07950" w:rsidRPr="00D4422F">
        <w:rPr>
          <w:lang w:eastAsia="en-US"/>
        </w:rPr>
        <w:t>IO</w:t>
      </w:r>
      <w:r w:rsidRPr="00D4422F">
        <w:rPr>
          <w:lang w:eastAsia="en-US"/>
        </w:rPr>
        <w:t xml:space="preserve"> </w:t>
      </w:r>
      <w:r w:rsidR="006B5BF7">
        <w:rPr>
          <w:lang w:eastAsia="en-US"/>
        </w:rPr>
        <w:t xml:space="preserve">in MATTERHORN </w:t>
      </w:r>
      <w:r w:rsidRPr="00D4422F">
        <w:rPr>
          <w:lang w:eastAsia="en-US"/>
        </w:rPr>
        <w:t xml:space="preserve">differed from </w:t>
      </w:r>
      <w:r w:rsidR="00875138" w:rsidRPr="00D4422F">
        <w:rPr>
          <w:rFonts w:eastAsia="Calibri"/>
        </w:rPr>
        <w:t>Australian clinical practice</w:t>
      </w:r>
      <w:r w:rsidR="00875138" w:rsidRPr="00371480">
        <w:rPr>
          <w:rFonts w:eastAsia="Calibri"/>
        </w:rPr>
        <w:t xml:space="preserve">. The </w:t>
      </w:r>
      <w:r w:rsidR="00AD592F" w:rsidRPr="00371480">
        <w:rPr>
          <w:rFonts w:eastAsia="Calibri"/>
        </w:rPr>
        <w:t xml:space="preserve">evaluation considered that the </w:t>
      </w:r>
      <w:r w:rsidR="00875138" w:rsidRPr="00371480">
        <w:rPr>
          <w:rFonts w:eastAsia="Calibri"/>
        </w:rPr>
        <w:t>higher proportion of patients on D + FLOT</w:t>
      </w:r>
      <w:r w:rsidR="00536395" w:rsidRPr="00371480">
        <w:rPr>
          <w:rFonts w:eastAsia="Calibri"/>
        </w:rPr>
        <w:t xml:space="preserve"> (</w:t>
      </w:r>
      <w:r w:rsidR="00BA1747" w:rsidRPr="00371480">
        <w:rPr>
          <w:rFonts w:eastAsia="Calibri"/>
        </w:rPr>
        <w:t>3.4%</w:t>
      </w:r>
      <w:r w:rsidR="00A222D2" w:rsidRPr="00371480">
        <w:rPr>
          <w:rFonts w:eastAsia="Calibri"/>
        </w:rPr>
        <w:t xml:space="preserve"> vs 0</w:t>
      </w:r>
      <w:r w:rsidR="00BA1747" w:rsidRPr="00371480">
        <w:rPr>
          <w:rFonts w:eastAsia="Calibri"/>
        </w:rPr>
        <w:t>%)</w:t>
      </w:r>
      <w:r w:rsidR="00875138" w:rsidRPr="00371480">
        <w:rPr>
          <w:rFonts w:eastAsia="Calibri"/>
        </w:rPr>
        <w:t xml:space="preserve">, and the lower proportion of patients on Pbo + FLOT </w:t>
      </w:r>
      <w:r w:rsidR="00BA1747" w:rsidRPr="00371480">
        <w:rPr>
          <w:rFonts w:eastAsia="Calibri"/>
        </w:rPr>
        <w:t>(9.5%</w:t>
      </w:r>
      <w:r w:rsidR="00A222D2" w:rsidRPr="00371480">
        <w:rPr>
          <w:rFonts w:eastAsia="Calibri"/>
        </w:rPr>
        <w:t xml:space="preserve"> vs </w:t>
      </w:r>
      <w:r w:rsidR="000C3510" w:rsidRPr="00371480">
        <w:rPr>
          <w:rFonts w:eastAsia="Calibri"/>
        </w:rPr>
        <w:t xml:space="preserve">estimated </w:t>
      </w:r>
      <w:r w:rsidR="00EB1862" w:rsidRPr="00EB1862">
        <w:rPr>
          <w:rFonts w:eastAsia="Calibri"/>
          <w:sz w:val="2"/>
          <w:highlight w:val="black"/>
        </w:rPr>
        <w:t>redacted content</w:t>
      </w:r>
      <w:r w:rsidR="00BA1747" w:rsidRPr="002D1FCD">
        <w:rPr>
          <w:rFonts w:eastAsia="Calibri"/>
        </w:rPr>
        <w:t xml:space="preserve">%) </w:t>
      </w:r>
      <w:r w:rsidR="00875138" w:rsidRPr="002D1FCD">
        <w:rPr>
          <w:rFonts w:eastAsia="Calibri"/>
        </w:rPr>
        <w:t>who</w:t>
      </w:r>
      <w:r w:rsidR="00875138" w:rsidRPr="00371480">
        <w:rPr>
          <w:rFonts w:eastAsia="Calibri"/>
        </w:rPr>
        <w:t xml:space="preserve"> received subsequent </w:t>
      </w:r>
      <w:r w:rsidR="00C07950" w:rsidRPr="00371480">
        <w:rPr>
          <w:rFonts w:eastAsia="Calibri"/>
        </w:rPr>
        <w:t>IO</w:t>
      </w:r>
      <w:r w:rsidR="00875138" w:rsidRPr="00371480">
        <w:rPr>
          <w:rFonts w:eastAsia="Calibri"/>
        </w:rPr>
        <w:t xml:space="preserve"> compared with Australian clinical practice may affect the magnitude of treatment benefit </w:t>
      </w:r>
      <w:r w:rsidR="00111980" w:rsidRPr="00371480">
        <w:rPr>
          <w:rFonts w:eastAsia="Calibri"/>
        </w:rPr>
        <w:t>for</w:t>
      </w:r>
      <w:r w:rsidR="00875138" w:rsidRPr="00371480">
        <w:rPr>
          <w:rFonts w:eastAsia="Calibri"/>
        </w:rPr>
        <w:t xml:space="preserve"> OS.</w:t>
      </w:r>
      <w:r w:rsidR="002648B1" w:rsidRPr="00371480">
        <w:t xml:space="preserve"> </w:t>
      </w:r>
      <w:bookmarkStart w:id="29" w:name="_Ref216683433"/>
      <w:r w:rsidR="00C41CDD" w:rsidRPr="00371480">
        <w:t>T</w:t>
      </w:r>
      <w:r w:rsidR="00504631" w:rsidRPr="00371480">
        <w:t>he ESC</w:t>
      </w:r>
      <w:r w:rsidR="00432740" w:rsidRPr="00371480">
        <w:t xml:space="preserve"> considered that</w:t>
      </w:r>
      <w:r w:rsidR="00941542" w:rsidRPr="00371480">
        <w:t>,</w:t>
      </w:r>
      <w:r w:rsidR="00432740" w:rsidRPr="00371480">
        <w:t xml:space="preserve"> </w:t>
      </w:r>
      <w:r w:rsidR="00741597" w:rsidRPr="00371480">
        <w:t xml:space="preserve">given the modest efficacy of immunotherapy in </w:t>
      </w:r>
      <w:r w:rsidR="00FF4961" w:rsidRPr="00371480">
        <w:t>metastatic</w:t>
      </w:r>
      <w:r w:rsidR="00741597" w:rsidRPr="00371480">
        <w:t xml:space="preserve"> disease</w:t>
      </w:r>
      <w:r w:rsidR="00FF4961" w:rsidRPr="00371480">
        <w:t>,</w:t>
      </w:r>
      <w:r w:rsidR="00741597" w:rsidRPr="00371480">
        <w:t xml:space="preserve"> the impact on </w:t>
      </w:r>
      <w:r w:rsidR="005A05B5" w:rsidRPr="00371480">
        <w:t xml:space="preserve">OS </w:t>
      </w:r>
      <w:r w:rsidR="004C2A1C" w:rsidRPr="00371480">
        <w:t xml:space="preserve">outcomes </w:t>
      </w:r>
      <w:r w:rsidR="00E80FDE" w:rsidRPr="00371480">
        <w:t xml:space="preserve">for the placebo arm </w:t>
      </w:r>
      <w:r w:rsidR="00D01EC7" w:rsidRPr="00371480">
        <w:t xml:space="preserve">from low use of subsequent immunotherapy </w:t>
      </w:r>
      <w:r w:rsidR="005B7E28" w:rsidRPr="00371480">
        <w:t xml:space="preserve">is likely to </w:t>
      </w:r>
      <w:r w:rsidR="004C2A1C" w:rsidRPr="00371480">
        <w:t>be minimal.</w:t>
      </w:r>
      <w:r w:rsidR="00B66E2C" w:rsidRPr="00371480">
        <w:t xml:space="preserve"> The ESC also considered that </w:t>
      </w:r>
      <w:r w:rsidR="00767265" w:rsidRPr="00371480">
        <w:t xml:space="preserve">use of </w:t>
      </w:r>
      <w:r w:rsidR="006A1A1F" w:rsidRPr="00371480">
        <w:t>immunotherapy</w:t>
      </w:r>
      <w:r w:rsidR="00767265" w:rsidRPr="00371480">
        <w:t xml:space="preserve"> as subsequent therapy in the D + FLOT arm is unlikely to have had any impact o</w:t>
      </w:r>
      <w:r w:rsidR="000D6C0F" w:rsidRPr="00371480">
        <w:t>n survival outcomes as there were very few patients</w:t>
      </w:r>
      <w:r w:rsidR="00023DD1" w:rsidRPr="00371480">
        <w:t xml:space="preserve"> </w:t>
      </w:r>
      <w:r w:rsidR="00E80FDE" w:rsidRPr="00371480">
        <w:t xml:space="preserve">who </w:t>
      </w:r>
      <w:r w:rsidR="00023DD1" w:rsidRPr="00371480">
        <w:t xml:space="preserve">received </w:t>
      </w:r>
      <w:r w:rsidR="00F42C05" w:rsidRPr="00371480">
        <w:t>it</w:t>
      </w:r>
      <w:r w:rsidR="00023DD1" w:rsidRPr="00371480">
        <w:t xml:space="preserve"> and </w:t>
      </w:r>
      <w:r w:rsidR="00F42C05" w:rsidRPr="00371480">
        <w:t>retreatment</w:t>
      </w:r>
      <w:r w:rsidR="00023DD1" w:rsidRPr="00371480">
        <w:t xml:space="preserve"> </w:t>
      </w:r>
      <w:r w:rsidR="003241DD" w:rsidRPr="00371480">
        <w:t>is even less effective where patients have progression on prior</w:t>
      </w:r>
      <w:r w:rsidR="00A7008B" w:rsidRPr="00371480">
        <w:t xml:space="preserve"> immunotherapy</w:t>
      </w:r>
      <w:r w:rsidR="003241DD" w:rsidRPr="00371480">
        <w:t>.</w:t>
      </w:r>
      <w:bookmarkEnd w:id="28"/>
    </w:p>
    <w:p w14:paraId="19CA784B" w14:textId="77777777" w:rsidR="00C65A85" w:rsidRDefault="00C65A85">
      <w:pPr>
        <w:jc w:val="left"/>
        <w:rPr>
          <w:rFonts w:ascii="Arial Narrow" w:hAnsi="Arial Narrow"/>
          <w:b/>
          <w:bCs/>
          <w:sz w:val="20"/>
          <w:szCs w:val="18"/>
        </w:rPr>
      </w:pPr>
      <w:bookmarkStart w:id="30" w:name="_Ref219112647"/>
      <w:r>
        <w:br w:type="page"/>
      </w:r>
    </w:p>
    <w:p w14:paraId="6AD80E76" w14:textId="74EE1EB7" w:rsidR="00F335DF" w:rsidRDefault="002648B1" w:rsidP="00FE322F">
      <w:pPr>
        <w:pStyle w:val="Caption"/>
        <w:widowControl w:val="0"/>
      </w:pPr>
      <w:r>
        <w:lastRenderedPageBreak/>
        <w:t xml:space="preserve">Figure </w:t>
      </w:r>
      <w:fldSimple w:instr=" SEQ Figure \* ARABIC ">
        <w:r w:rsidR="00E71342">
          <w:rPr>
            <w:noProof/>
          </w:rPr>
          <w:t>2</w:t>
        </w:r>
      </w:fldSimple>
      <w:bookmarkEnd w:id="30"/>
      <w:r>
        <w:t xml:space="preserve"> </w:t>
      </w:r>
      <w:bookmarkEnd w:id="29"/>
      <w:r w:rsidR="00F335DF" w:rsidRPr="00E547D2">
        <w:t>Kaplan</w:t>
      </w:r>
      <w:r w:rsidR="00675F55">
        <w:noBreakHyphen/>
      </w:r>
      <w:r w:rsidR="00F335DF" w:rsidRPr="00E547D2">
        <w:t>Meier Plot of OS (FAS</w:t>
      </w:r>
      <w:r w:rsidR="00E747FE">
        <w:t xml:space="preserve">) at DCO2 and </w:t>
      </w:r>
      <w:r w:rsidR="00F335DF">
        <w:t>FA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E747FE" w14:paraId="116B49B0" w14:textId="77777777" w:rsidTr="00D07D21">
        <w:tc>
          <w:tcPr>
            <w:tcW w:w="5000" w:type="pct"/>
          </w:tcPr>
          <w:p w14:paraId="747E71E1" w14:textId="77777777" w:rsidR="00E747FE" w:rsidRDefault="00E747FE" w:rsidP="00FE322F">
            <w:pPr>
              <w:pStyle w:val="TableHeading0"/>
              <w:keepNext/>
              <w:keepLines/>
              <w:widowControl w:val="0"/>
            </w:pPr>
            <w:r>
              <w:t>DCO2</w:t>
            </w:r>
          </w:p>
          <w:p w14:paraId="1253DB19" w14:textId="38765849" w:rsidR="00E747FE" w:rsidRDefault="00D07D21" w:rsidP="00FE322F">
            <w:pPr>
              <w:pStyle w:val="TableHeading0"/>
              <w:keepNext/>
              <w:keepLines/>
              <w:widowControl w:val="0"/>
            </w:pPr>
            <w:r w:rsidRPr="00E547D2">
              <w:rPr>
                <w:noProof/>
              </w:rPr>
              <w:drawing>
                <wp:inline distT="0" distB="0" distL="0" distR="0" wp14:anchorId="2F25B40C" wp14:editId="3C713782">
                  <wp:extent cx="5263763" cy="2676203"/>
                  <wp:effectExtent l="0" t="0" r="0" b="0"/>
                  <wp:docPr id="680747401" name="Picture 1" descr="Figure 2 Kaplan Meier Plot of OS (FAS) at DCO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47401" name="Picture 1" descr="Figure 2 Kaplan Meier Plot of OS (FAS) at DCO2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7992" cy="2713942"/>
                          </a:xfrm>
                          <a:prstGeom prst="rect">
                            <a:avLst/>
                          </a:prstGeom>
                          <a:noFill/>
                          <a:ln>
                            <a:noFill/>
                          </a:ln>
                        </pic:spPr>
                      </pic:pic>
                    </a:graphicData>
                  </a:graphic>
                </wp:inline>
              </w:drawing>
            </w:r>
          </w:p>
        </w:tc>
      </w:tr>
      <w:tr w:rsidR="00D07D21" w14:paraId="70355B3F" w14:textId="77777777" w:rsidTr="00D07D21">
        <w:tc>
          <w:tcPr>
            <w:tcW w:w="5000" w:type="pct"/>
          </w:tcPr>
          <w:p w14:paraId="49FA6437" w14:textId="1EFB46E9" w:rsidR="00D07D21" w:rsidRDefault="00D07D21" w:rsidP="00277D7E">
            <w:pPr>
              <w:pStyle w:val="TableHeading0"/>
              <w:widowControl w:val="0"/>
            </w:pPr>
            <w:r>
              <w:t>FA</w:t>
            </w:r>
          </w:p>
          <w:p w14:paraId="0F7DDF60" w14:textId="25E37437" w:rsidR="00D07D21" w:rsidRDefault="00D07D21" w:rsidP="00277D7E">
            <w:pPr>
              <w:pStyle w:val="TableHeading0"/>
              <w:widowControl w:val="0"/>
            </w:pPr>
            <w:r>
              <w:rPr>
                <w:noProof/>
              </w:rPr>
              <w:drawing>
                <wp:inline distT="0" distB="0" distL="0" distR="0" wp14:anchorId="21EE1A7B" wp14:editId="7D228D20">
                  <wp:extent cx="5422789" cy="2828237"/>
                  <wp:effectExtent l="0" t="0" r="6985" b="0"/>
                  <wp:docPr id="1120036028" name="Picture 1" descr="Figure 2 Kaplan Meier Plot of OS (FAS) at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36028" name="Picture 1" descr="Figure 2 Kaplan Meier Plot of OS (FAS) at FA"/>
                          <pic:cNvPicPr/>
                        </pic:nvPicPr>
                        <pic:blipFill>
                          <a:blip r:embed="rId13"/>
                          <a:stretch>
                            <a:fillRect/>
                          </a:stretch>
                        </pic:blipFill>
                        <pic:spPr>
                          <a:xfrm>
                            <a:off x="0" y="0"/>
                            <a:ext cx="5512750" cy="2875156"/>
                          </a:xfrm>
                          <a:prstGeom prst="rect">
                            <a:avLst/>
                          </a:prstGeom>
                        </pic:spPr>
                      </pic:pic>
                    </a:graphicData>
                  </a:graphic>
                </wp:inline>
              </w:drawing>
            </w:r>
          </w:p>
        </w:tc>
      </w:tr>
    </w:tbl>
    <w:p w14:paraId="752EE7A9" w14:textId="14EC6C6F" w:rsidR="008F4B47" w:rsidRPr="00217257" w:rsidRDefault="008F4B47" w:rsidP="00C1302F">
      <w:pPr>
        <w:pStyle w:val="TableFigureFooter"/>
      </w:pPr>
      <w:r w:rsidRPr="00217257">
        <w:t>Source: Figure 2</w:t>
      </w:r>
      <w:r w:rsidR="00675F55">
        <w:noBreakHyphen/>
      </w:r>
      <w:r w:rsidRPr="00217257">
        <w:t>5 p80, Figure 2</w:t>
      </w:r>
      <w:r w:rsidR="00675F55">
        <w:noBreakHyphen/>
      </w:r>
      <w:r w:rsidRPr="00217257">
        <w:t>6 p 81 of the submission</w:t>
      </w:r>
      <w:r w:rsidR="009D4A33" w:rsidRPr="00217257">
        <w:t>.</w:t>
      </w:r>
    </w:p>
    <w:p w14:paraId="57D53B91" w14:textId="1BF7154F" w:rsidR="00F335DF" w:rsidRPr="00217257" w:rsidRDefault="00197F03" w:rsidP="00C1302F">
      <w:pPr>
        <w:pStyle w:val="TableFigureFooter"/>
      </w:pPr>
      <w:r w:rsidRPr="00217257">
        <w:t>CI = confidence interval; DCO = data cut</w:t>
      </w:r>
      <w:r w:rsidR="00675F55">
        <w:noBreakHyphen/>
      </w:r>
      <w:r w:rsidRPr="00217257">
        <w:t xml:space="preserve">off; </w:t>
      </w:r>
      <w:r w:rsidR="007A5AAE" w:rsidRPr="00217257">
        <w:t xml:space="preserve">Durva = durvalumab; </w:t>
      </w:r>
      <w:r w:rsidR="00092BBA" w:rsidRPr="00217257">
        <w:t>FA = final analysis</w:t>
      </w:r>
      <w:r w:rsidRPr="00217257">
        <w:t>; FAS = full analysis set; FLOT = 5</w:t>
      </w:r>
      <w:r w:rsidR="00675F55">
        <w:noBreakHyphen/>
      </w:r>
      <w:r w:rsidRPr="00217257">
        <w:t>fluorouracil, leucovorin, oxaliplatin, and docetaxel; HR = hazard ratio; KM = Kaplan</w:t>
      </w:r>
      <w:r w:rsidR="00675F55">
        <w:noBreakHyphen/>
      </w:r>
      <w:r w:rsidRPr="00217257">
        <w:t xml:space="preserve">Meier; NC = not calculable; </w:t>
      </w:r>
      <w:r w:rsidR="007A5AAE" w:rsidRPr="00217257">
        <w:t>OS = overall survival</w:t>
      </w:r>
      <w:r w:rsidR="009E19C6" w:rsidRPr="00217257">
        <w:t>.</w:t>
      </w:r>
    </w:p>
    <w:p w14:paraId="219B0A1C" w14:textId="0693DAC1" w:rsidR="00E16269" w:rsidRPr="00217257" w:rsidRDefault="00E16269" w:rsidP="00C1302F">
      <w:pPr>
        <w:pStyle w:val="TableFigureFooter"/>
      </w:pPr>
      <w:r w:rsidRPr="00217257">
        <w:t>Source: ESMO Congress 2025 p7</w:t>
      </w:r>
      <w:r w:rsidR="009D4A33" w:rsidRPr="00217257">
        <w:t>.</w:t>
      </w:r>
    </w:p>
    <w:p w14:paraId="25D3D22D" w14:textId="5A812ED2" w:rsidR="00E16269" w:rsidRPr="00217257" w:rsidRDefault="00E16269" w:rsidP="00C1302F">
      <w:pPr>
        <w:pStyle w:val="TableFigureFooter"/>
      </w:pPr>
      <w:r w:rsidRPr="00217257">
        <w:t>CI = confidence interval; ECOG = Eastern Cooperative Oncology Group; FA = final analysis; FAS = full analysis set; FLOT = 5</w:t>
      </w:r>
      <w:r w:rsidR="00675F55">
        <w:noBreakHyphen/>
      </w:r>
      <w:r w:rsidRPr="00217257">
        <w:t>fluorouracil, leucovorin, oxaliplatin and docetaxel; GEJ = gastroesophageal junction; HR = hazard ratio; OS = overall survival; PD</w:t>
      </w:r>
      <w:r w:rsidR="00675F55">
        <w:noBreakHyphen/>
      </w:r>
      <w:r w:rsidRPr="00217257">
        <w:t>L1 = programmed cell death ligand</w:t>
      </w:r>
      <w:r w:rsidR="00675F55">
        <w:noBreakHyphen/>
      </w:r>
      <w:r w:rsidRPr="00217257">
        <w:t>1; PS = performance status; TAP = tumour area positivity</w:t>
      </w:r>
      <w:r w:rsidR="009E19C6" w:rsidRPr="00217257">
        <w:t>.</w:t>
      </w:r>
    </w:p>
    <w:p w14:paraId="35B93F06" w14:textId="05F579A6" w:rsidR="009B7CDF" w:rsidRDefault="006D6B39" w:rsidP="00217257">
      <w:pPr>
        <w:pStyle w:val="3-BodyText"/>
        <w:spacing w:before="160" w:after="160"/>
        <w:rPr>
          <w:lang w:eastAsia="en-US"/>
        </w:rPr>
      </w:pPr>
      <w:r>
        <w:t>T</w:t>
      </w:r>
      <w:r w:rsidR="008309EC">
        <w:t xml:space="preserve">reatment with D + FLOT led to statistically significant improvements in MFS </w:t>
      </w:r>
      <w:r w:rsidR="008A58E4">
        <w:t xml:space="preserve">(HR 0.72; 95% CI: </w:t>
      </w:r>
      <w:r w:rsidR="005E2780">
        <w:t xml:space="preserve">0.59, 0.88) </w:t>
      </w:r>
      <w:r w:rsidR="008309EC">
        <w:t xml:space="preserve">and DFS </w:t>
      </w:r>
      <w:r w:rsidR="005E2780">
        <w:t>(HR 0.70; 95% CI: 0.53, 0.93)</w:t>
      </w:r>
      <w:r w:rsidR="008309EC">
        <w:t xml:space="preserve"> compared with </w:t>
      </w:r>
      <w:r w:rsidR="009B7CDF">
        <w:t>Pbo + FLOT</w:t>
      </w:r>
      <w:r w:rsidR="008A58E4">
        <w:t xml:space="preserve"> (</w:t>
      </w:r>
      <w:r w:rsidR="0061244D">
        <w:fldChar w:fldCharType="begin"/>
      </w:r>
      <w:r w:rsidR="0061244D">
        <w:instrText xml:space="preserve"> REF _Ref216701843 \h </w:instrText>
      </w:r>
      <w:r w:rsidR="0061244D">
        <w:fldChar w:fldCharType="separate"/>
      </w:r>
      <w:r w:rsidR="00E71342">
        <w:t xml:space="preserve">Table </w:t>
      </w:r>
      <w:r w:rsidR="00E71342">
        <w:rPr>
          <w:noProof/>
        </w:rPr>
        <w:t>5</w:t>
      </w:r>
      <w:r w:rsidR="0061244D">
        <w:fldChar w:fldCharType="end"/>
      </w:r>
      <w:r w:rsidR="008A58E4">
        <w:t>).</w:t>
      </w:r>
      <w:r w:rsidR="009B7CDF">
        <w:rPr>
          <w:szCs w:val="20"/>
        </w:rPr>
        <w:t xml:space="preserve"> </w:t>
      </w:r>
    </w:p>
    <w:p w14:paraId="43723FDD" w14:textId="66B6053F" w:rsidR="00CE2643" w:rsidRDefault="00F80CAD" w:rsidP="00217257">
      <w:pPr>
        <w:pStyle w:val="3-BodyText"/>
        <w:spacing w:before="160" w:after="160"/>
        <w:rPr>
          <w:lang w:eastAsia="en-US"/>
        </w:rPr>
      </w:pPr>
      <w:r>
        <w:rPr>
          <w:lang w:eastAsia="en-US"/>
        </w:rPr>
        <w:lastRenderedPageBreak/>
        <w:t>A statistically significantly higher proportion of patients on D + FLOT (19.2%) achieved pCR by central review compared with Pbo + FLOT (7.2%) (OR 3.08; 95% CI: 2.03</w:t>
      </w:r>
      <w:r w:rsidR="005E2780">
        <w:rPr>
          <w:lang w:eastAsia="en-US"/>
        </w:rPr>
        <w:t xml:space="preserve">, </w:t>
      </w:r>
      <w:r>
        <w:rPr>
          <w:lang w:eastAsia="en-US"/>
        </w:rPr>
        <w:t>4.67; p&lt;0.001) (</w:t>
      </w:r>
      <w:r w:rsidR="0061244D">
        <w:rPr>
          <w:lang w:eastAsia="en-US"/>
        </w:rPr>
        <w:fldChar w:fldCharType="begin"/>
      </w:r>
      <w:r w:rsidR="0061244D">
        <w:rPr>
          <w:lang w:eastAsia="en-US"/>
        </w:rPr>
        <w:instrText xml:space="preserve"> REF _Ref216701843 \h </w:instrText>
      </w:r>
      <w:r w:rsidR="0061244D">
        <w:rPr>
          <w:lang w:eastAsia="en-US"/>
        </w:rPr>
      </w:r>
      <w:r w:rsidR="0061244D">
        <w:rPr>
          <w:lang w:eastAsia="en-US"/>
        </w:rPr>
        <w:fldChar w:fldCharType="separate"/>
      </w:r>
      <w:r w:rsidR="00E71342">
        <w:t xml:space="preserve">Table </w:t>
      </w:r>
      <w:r w:rsidR="00E71342">
        <w:rPr>
          <w:noProof/>
        </w:rPr>
        <w:t>5</w:t>
      </w:r>
      <w:r w:rsidR="0061244D">
        <w:rPr>
          <w:lang w:eastAsia="en-US"/>
        </w:rPr>
        <w:fldChar w:fldCharType="end"/>
      </w:r>
      <w:r>
        <w:rPr>
          <w:lang w:eastAsia="en-US"/>
        </w:rPr>
        <w:t>). pCR by investigator assessments supported those by central review (OR 2.95; 95% CI: 2.00</w:t>
      </w:r>
      <w:r w:rsidR="005E2780">
        <w:rPr>
          <w:lang w:eastAsia="en-US"/>
        </w:rPr>
        <w:t xml:space="preserve">, </w:t>
      </w:r>
      <w:r>
        <w:rPr>
          <w:lang w:eastAsia="en-US"/>
        </w:rPr>
        <w:t xml:space="preserve">4.35; p&lt;0.001). </w:t>
      </w:r>
    </w:p>
    <w:p w14:paraId="7DF6F42C" w14:textId="68906148" w:rsidR="00C34388" w:rsidRDefault="00CE2643" w:rsidP="00217257">
      <w:pPr>
        <w:pStyle w:val="3-BodyText"/>
        <w:spacing w:before="160" w:after="160"/>
        <w:rPr>
          <w:lang w:eastAsia="en-US"/>
        </w:rPr>
      </w:pPr>
      <w:r>
        <w:rPr>
          <w:lang w:eastAsia="en-US"/>
        </w:rPr>
        <w:t>The addition of d</w:t>
      </w:r>
      <w:r w:rsidR="00DC7502">
        <w:rPr>
          <w:lang w:eastAsia="en-US"/>
        </w:rPr>
        <w:t xml:space="preserve">urvalumab </w:t>
      </w:r>
      <w:r>
        <w:rPr>
          <w:lang w:eastAsia="en-US"/>
        </w:rPr>
        <w:t xml:space="preserve">to FLOT therapy </w:t>
      </w:r>
      <w:r w:rsidR="00DC7502">
        <w:rPr>
          <w:lang w:eastAsia="en-US"/>
        </w:rPr>
        <w:t>did not affect the proportion of patients who proceeded to surgery (D + FLOT: 86.9%; Pbo + FLOT: 84.4%) (OR 1.23; 95% CI: 0.85</w:t>
      </w:r>
      <w:r w:rsidR="00E71BEF">
        <w:rPr>
          <w:lang w:eastAsia="en-US"/>
        </w:rPr>
        <w:t xml:space="preserve">, </w:t>
      </w:r>
      <w:r w:rsidR="00DC7502">
        <w:rPr>
          <w:lang w:eastAsia="en-US"/>
        </w:rPr>
        <w:t>1.77)</w:t>
      </w:r>
      <w:r>
        <w:rPr>
          <w:lang w:eastAsia="en-US"/>
        </w:rPr>
        <w:t xml:space="preserve"> (</w:t>
      </w:r>
      <w:r w:rsidR="0061244D">
        <w:rPr>
          <w:lang w:eastAsia="en-US"/>
        </w:rPr>
        <w:fldChar w:fldCharType="begin"/>
      </w:r>
      <w:r w:rsidR="0061244D">
        <w:rPr>
          <w:lang w:eastAsia="en-US"/>
        </w:rPr>
        <w:instrText xml:space="preserve"> REF _Ref216701843 \h </w:instrText>
      </w:r>
      <w:r w:rsidR="0061244D">
        <w:rPr>
          <w:lang w:eastAsia="en-US"/>
        </w:rPr>
      </w:r>
      <w:r w:rsidR="0061244D">
        <w:rPr>
          <w:lang w:eastAsia="en-US"/>
        </w:rPr>
        <w:fldChar w:fldCharType="separate"/>
      </w:r>
      <w:r w:rsidR="00E71342">
        <w:t xml:space="preserve">Table </w:t>
      </w:r>
      <w:r w:rsidR="00E71342">
        <w:rPr>
          <w:noProof/>
        </w:rPr>
        <w:t>5</w:t>
      </w:r>
      <w:r w:rsidR="0061244D">
        <w:rPr>
          <w:lang w:eastAsia="en-US"/>
        </w:rPr>
        <w:fldChar w:fldCharType="end"/>
      </w:r>
      <w:r>
        <w:rPr>
          <w:lang w:eastAsia="en-US"/>
        </w:rPr>
        <w:t>)</w:t>
      </w:r>
      <w:r w:rsidR="00DC7502">
        <w:rPr>
          <w:lang w:eastAsia="en-US"/>
        </w:rPr>
        <w:t>.</w:t>
      </w:r>
    </w:p>
    <w:p w14:paraId="7C8FD391" w14:textId="5AFFB626" w:rsidR="00FB7D66" w:rsidRDefault="00FB7D66" w:rsidP="00217257">
      <w:pPr>
        <w:pStyle w:val="Caption"/>
      </w:pPr>
      <w:bookmarkStart w:id="31" w:name="_Ref216701843"/>
      <w:r>
        <w:t>Table</w:t>
      </w:r>
      <w:r w:rsidR="0077755C">
        <w:t xml:space="preserve"> </w:t>
      </w:r>
      <w:fldSimple w:instr=" SEQ Table_ \* ARABIC ">
        <w:r w:rsidR="00E71342">
          <w:rPr>
            <w:noProof/>
          </w:rPr>
          <w:t>5</w:t>
        </w:r>
      </w:fldSimple>
      <w:bookmarkEnd w:id="31"/>
      <w:r w:rsidR="00270366">
        <w:t>:</w:t>
      </w:r>
      <w:r>
        <w:t xml:space="preserve"> Summary of categorical efficacy outcomes in the MATTERHORN trial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categorical efficacy outcomes in the MATTERHORN trial"/>
      </w:tblPr>
      <w:tblGrid>
        <w:gridCol w:w="2972"/>
        <w:gridCol w:w="1488"/>
        <w:gridCol w:w="1489"/>
        <w:gridCol w:w="1276"/>
        <w:gridCol w:w="1701"/>
      </w:tblGrid>
      <w:tr w:rsidR="00FB7D66" w:rsidRPr="009F5573" w14:paraId="321E0362" w14:textId="77777777" w:rsidTr="00642A87">
        <w:trPr>
          <w:tblHeader/>
        </w:trPr>
        <w:tc>
          <w:tcPr>
            <w:tcW w:w="2972" w:type="dxa"/>
            <w:vMerge w:val="restart"/>
          </w:tcPr>
          <w:p w14:paraId="34B4507F" w14:textId="77777777" w:rsidR="00FB7D66" w:rsidRPr="00132932" w:rsidRDefault="00FB7D66" w:rsidP="00217257">
            <w:pPr>
              <w:pStyle w:val="In-tableHeading"/>
              <w:rPr>
                <w:b w:val="0"/>
                <w:lang w:val="en-AU"/>
              </w:rPr>
            </w:pPr>
            <w:r w:rsidRPr="00132932">
              <w:rPr>
                <w:lang w:val="en-AU"/>
              </w:rPr>
              <w:t>Outcome</w:t>
            </w:r>
          </w:p>
        </w:tc>
        <w:tc>
          <w:tcPr>
            <w:tcW w:w="1488" w:type="dxa"/>
            <w:tcBorders>
              <w:bottom w:val="nil"/>
            </w:tcBorders>
            <w:vAlign w:val="center"/>
          </w:tcPr>
          <w:p w14:paraId="0480E47E" w14:textId="77777777" w:rsidR="00FB7D66" w:rsidRPr="00132932" w:rsidRDefault="00FB7D66" w:rsidP="00217257">
            <w:pPr>
              <w:pStyle w:val="In-tableHeading"/>
              <w:jc w:val="center"/>
              <w:rPr>
                <w:b w:val="0"/>
                <w:lang w:val="en-AU"/>
              </w:rPr>
            </w:pPr>
            <w:r w:rsidRPr="00132932">
              <w:rPr>
                <w:lang w:val="en-AU"/>
              </w:rPr>
              <w:t>D + FLOT</w:t>
            </w:r>
          </w:p>
        </w:tc>
        <w:tc>
          <w:tcPr>
            <w:tcW w:w="1489" w:type="dxa"/>
            <w:tcBorders>
              <w:bottom w:val="nil"/>
            </w:tcBorders>
            <w:vAlign w:val="center"/>
          </w:tcPr>
          <w:p w14:paraId="5FCA6CC5" w14:textId="77777777" w:rsidR="00FB7D66" w:rsidRPr="00132932" w:rsidRDefault="00FB7D66" w:rsidP="00217257">
            <w:pPr>
              <w:pStyle w:val="In-tableHeading"/>
              <w:jc w:val="center"/>
              <w:rPr>
                <w:b w:val="0"/>
              </w:rPr>
            </w:pPr>
            <w:r w:rsidRPr="5391DBCF">
              <w:t>Pbo + FLOT</w:t>
            </w:r>
          </w:p>
        </w:tc>
        <w:tc>
          <w:tcPr>
            <w:tcW w:w="1276" w:type="dxa"/>
            <w:vMerge w:val="restart"/>
            <w:vAlign w:val="center"/>
          </w:tcPr>
          <w:p w14:paraId="73BBA7D7" w14:textId="77777777" w:rsidR="00FB7D66" w:rsidRPr="00132932" w:rsidRDefault="00FB7D66" w:rsidP="00217257">
            <w:pPr>
              <w:pStyle w:val="In-tableHeading"/>
              <w:jc w:val="center"/>
              <w:rPr>
                <w:b w:val="0"/>
                <w:lang w:val="en-AU"/>
              </w:rPr>
            </w:pPr>
            <w:r w:rsidRPr="00132932">
              <w:rPr>
                <w:lang w:val="en-AU"/>
              </w:rPr>
              <w:t>Absolute difference, %</w:t>
            </w:r>
          </w:p>
        </w:tc>
        <w:tc>
          <w:tcPr>
            <w:tcW w:w="1701" w:type="dxa"/>
            <w:vMerge w:val="restart"/>
            <w:vAlign w:val="center"/>
          </w:tcPr>
          <w:p w14:paraId="0122E0FD" w14:textId="77777777" w:rsidR="00FB7D66" w:rsidRPr="00132932" w:rsidRDefault="00FB7D66" w:rsidP="00217257">
            <w:pPr>
              <w:pStyle w:val="In-tableHeading"/>
              <w:jc w:val="center"/>
              <w:rPr>
                <w:b w:val="0"/>
                <w:lang w:val="en-AU"/>
              </w:rPr>
            </w:pPr>
            <w:r w:rsidRPr="00132932">
              <w:rPr>
                <w:lang w:val="en-AU"/>
              </w:rPr>
              <w:t>Odds ratio (95% CI)</w:t>
            </w:r>
          </w:p>
        </w:tc>
      </w:tr>
      <w:tr w:rsidR="00FB7D66" w:rsidRPr="009F5573" w14:paraId="28A38EAA" w14:textId="77777777" w:rsidTr="00642A87">
        <w:trPr>
          <w:tblHeader/>
        </w:trPr>
        <w:tc>
          <w:tcPr>
            <w:tcW w:w="2972" w:type="dxa"/>
            <w:vMerge/>
          </w:tcPr>
          <w:p w14:paraId="4474864B" w14:textId="77777777" w:rsidR="00FB7D66" w:rsidRPr="00132932" w:rsidRDefault="00FB7D66" w:rsidP="004F7A8A">
            <w:pPr>
              <w:pStyle w:val="In-tableHeading"/>
              <w:rPr>
                <w:lang w:val="en-AU"/>
              </w:rPr>
            </w:pPr>
          </w:p>
        </w:tc>
        <w:tc>
          <w:tcPr>
            <w:tcW w:w="1488" w:type="dxa"/>
            <w:tcBorders>
              <w:top w:val="nil"/>
            </w:tcBorders>
            <w:vAlign w:val="center"/>
          </w:tcPr>
          <w:p w14:paraId="4550B95C" w14:textId="77777777" w:rsidR="00FB7D66" w:rsidRPr="00132932" w:rsidRDefault="00FB7D66" w:rsidP="00642A87">
            <w:pPr>
              <w:pStyle w:val="In-tableHeading"/>
              <w:jc w:val="center"/>
              <w:rPr>
                <w:b w:val="0"/>
                <w:lang w:val="en-AU"/>
              </w:rPr>
            </w:pPr>
            <w:r w:rsidRPr="00132932">
              <w:rPr>
                <w:lang w:val="en-AU"/>
              </w:rPr>
              <w:t>n = 474</w:t>
            </w:r>
          </w:p>
        </w:tc>
        <w:tc>
          <w:tcPr>
            <w:tcW w:w="1489" w:type="dxa"/>
            <w:tcBorders>
              <w:top w:val="nil"/>
            </w:tcBorders>
            <w:vAlign w:val="center"/>
          </w:tcPr>
          <w:p w14:paraId="44E3D2F1" w14:textId="77777777" w:rsidR="00FB7D66" w:rsidRPr="00132932" w:rsidRDefault="00FB7D66" w:rsidP="00642A87">
            <w:pPr>
              <w:pStyle w:val="In-tableHeading"/>
              <w:jc w:val="center"/>
              <w:rPr>
                <w:b w:val="0"/>
                <w:lang w:val="en-AU"/>
              </w:rPr>
            </w:pPr>
            <w:r w:rsidRPr="00132932">
              <w:rPr>
                <w:lang w:val="en-AU"/>
              </w:rPr>
              <w:t>n = 474</w:t>
            </w:r>
          </w:p>
        </w:tc>
        <w:tc>
          <w:tcPr>
            <w:tcW w:w="1276" w:type="dxa"/>
            <w:vMerge/>
            <w:vAlign w:val="center"/>
          </w:tcPr>
          <w:p w14:paraId="73203D31" w14:textId="77777777" w:rsidR="00FB7D66" w:rsidRPr="00132932" w:rsidRDefault="00FB7D66" w:rsidP="00642A87">
            <w:pPr>
              <w:pStyle w:val="In-tableHeading"/>
              <w:jc w:val="center"/>
              <w:rPr>
                <w:lang w:val="en-AU"/>
              </w:rPr>
            </w:pPr>
          </w:p>
        </w:tc>
        <w:tc>
          <w:tcPr>
            <w:tcW w:w="1701" w:type="dxa"/>
            <w:vMerge/>
            <w:vAlign w:val="center"/>
          </w:tcPr>
          <w:p w14:paraId="36D8723E" w14:textId="77777777" w:rsidR="00FB7D66" w:rsidRPr="00132932" w:rsidRDefault="00FB7D66" w:rsidP="00642A87">
            <w:pPr>
              <w:pStyle w:val="In-tableHeading"/>
              <w:jc w:val="center"/>
              <w:rPr>
                <w:lang w:val="en-AU"/>
              </w:rPr>
            </w:pPr>
          </w:p>
        </w:tc>
      </w:tr>
      <w:tr w:rsidR="00FB7D66" w:rsidRPr="009F5573" w14:paraId="3FD6A475" w14:textId="77777777" w:rsidTr="007452D6">
        <w:tc>
          <w:tcPr>
            <w:tcW w:w="8926" w:type="dxa"/>
            <w:gridSpan w:val="5"/>
          </w:tcPr>
          <w:p w14:paraId="25A4D6F1" w14:textId="77777777" w:rsidR="00FB7D66" w:rsidRPr="00132932" w:rsidRDefault="00FB7D66" w:rsidP="004F7A8A">
            <w:pPr>
              <w:pStyle w:val="In-tableHeading"/>
              <w:rPr>
                <w:b w:val="0"/>
              </w:rPr>
            </w:pPr>
            <w:r w:rsidRPr="5391DBCF">
              <w:t>Key secondary outcome: pCR</w:t>
            </w:r>
          </w:p>
        </w:tc>
      </w:tr>
      <w:tr w:rsidR="00FB7D66" w:rsidRPr="009F5573" w14:paraId="1FCE5C1B" w14:textId="77777777" w:rsidTr="008922FC">
        <w:tc>
          <w:tcPr>
            <w:tcW w:w="2972" w:type="dxa"/>
          </w:tcPr>
          <w:p w14:paraId="286FEC3B" w14:textId="77777777" w:rsidR="00FB7D66" w:rsidRPr="009F5573" w:rsidRDefault="00FB7D66" w:rsidP="004F7A8A">
            <w:pPr>
              <w:pStyle w:val="TableText0"/>
            </w:pPr>
            <w:r>
              <w:t>Proportion of patients with response (central review), n (%)</w:t>
            </w:r>
          </w:p>
        </w:tc>
        <w:tc>
          <w:tcPr>
            <w:tcW w:w="1488" w:type="dxa"/>
          </w:tcPr>
          <w:p w14:paraId="68C65119" w14:textId="77777777" w:rsidR="00FB7D66" w:rsidRPr="009F5573" w:rsidRDefault="00FB7D66" w:rsidP="00A64773">
            <w:pPr>
              <w:pStyle w:val="TableText0"/>
              <w:jc w:val="center"/>
            </w:pPr>
            <w:r>
              <w:t>91 (19.2)</w:t>
            </w:r>
          </w:p>
        </w:tc>
        <w:tc>
          <w:tcPr>
            <w:tcW w:w="1489" w:type="dxa"/>
          </w:tcPr>
          <w:p w14:paraId="1B2218BB" w14:textId="77777777" w:rsidR="00FB7D66" w:rsidRPr="009F5573" w:rsidRDefault="00FB7D66" w:rsidP="00A64773">
            <w:pPr>
              <w:pStyle w:val="TableText0"/>
              <w:jc w:val="center"/>
            </w:pPr>
            <w:r>
              <w:t>34 (7.2)</w:t>
            </w:r>
          </w:p>
        </w:tc>
        <w:tc>
          <w:tcPr>
            <w:tcW w:w="1276" w:type="dxa"/>
          </w:tcPr>
          <w:p w14:paraId="061B7FF3" w14:textId="77777777" w:rsidR="00FB7D66" w:rsidRPr="009F5573" w:rsidRDefault="00FB7D66" w:rsidP="00A64773">
            <w:pPr>
              <w:pStyle w:val="TableText0"/>
              <w:jc w:val="center"/>
            </w:pPr>
            <w:r>
              <w:t>12</w:t>
            </w:r>
          </w:p>
        </w:tc>
        <w:tc>
          <w:tcPr>
            <w:tcW w:w="1701" w:type="dxa"/>
          </w:tcPr>
          <w:p w14:paraId="680841BA" w14:textId="4DEE9048" w:rsidR="00FB7D66" w:rsidRPr="00007A5B" w:rsidRDefault="00FB7D66" w:rsidP="00A64773">
            <w:pPr>
              <w:pStyle w:val="TableText0"/>
              <w:jc w:val="center"/>
              <w:rPr>
                <w:b/>
              </w:rPr>
            </w:pPr>
            <w:r w:rsidRPr="00007A5B">
              <w:rPr>
                <w:b/>
              </w:rPr>
              <w:t>3.08 (2.03</w:t>
            </w:r>
            <w:r w:rsidR="00AF30D3" w:rsidRPr="00007A5B">
              <w:rPr>
                <w:b/>
                <w:szCs w:val="20"/>
              </w:rPr>
              <w:t xml:space="preserve">, </w:t>
            </w:r>
            <w:r w:rsidRPr="00007A5B">
              <w:rPr>
                <w:b/>
                <w:szCs w:val="20"/>
              </w:rPr>
              <w:t>4.67); p&lt;0.001</w:t>
            </w:r>
          </w:p>
        </w:tc>
      </w:tr>
      <w:tr w:rsidR="00FB7D66" w:rsidRPr="009F5573" w14:paraId="07E4D464" w14:textId="77777777" w:rsidTr="008922FC">
        <w:tc>
          <w:tcPr>
            <w:tcW w:w="2972" w:type="dxa"/>
          </w:tcPr>
          <w:p w14:paraId="4AB041FD" w14:textId="77777777" w:rsidR="00FB7D66" w:rsidRPr="009F5573" w:rsidRDefault="00FB7D66" w:rsidP="004F7A8A">
            <w:pPr>
              <w:pStyle w:val="TableText0"/>
              <w:rPr>
                <w:bCs w:val="0"/>
              </w:rPr>
            </w:pPr>
            <w:r>
              <w:t>Proportion of patients with response (investigator assessment), n (%)</w:t>
            </w:r>
          </w:p>
        </w:tc>
        <w:tc>
          <w:tcPr>
            <w:tcW w:w="1488" w:type="dxa"/>
          </w:tcPr>
          <w:p w14:paraId="66E05A01" w14:textId="77777777" w:rsidR="00FB7D66" w:rsidRPr="009F5573" w:rsidRDefault="00FB7D66" w:rsidP="00A64773">
            <w:pPr>
              <w:pStyle w:val="TableText0"/>
              <w:jc w:val="center"/>
            </w:pPr>
            <w:r>
              <w:t>103 (21.7)</w:t>
            </w:r>
          </w:p>
        </w:tc>
        <w:tc>
          <w:tcPr>
            <w:tcW w:w="1489" w:type="dxa"/>
          </w:tcPr>
          <w:p w14:paraId="47E9C310" w14:textId="77777777" w:rsidR="00FB7D66" w:rsidRPr="009F5573" w:rsidRDefault="00FB7D66" w:rsidP="00A64773">
            <w:pPr>
              <w:pStyle w:val="TableText0"/>
              <w:jc w:val="center"/>
            </w:pPr>
            <w:r>
              <w:t>41 (8.6)</w:t>
            </w:r>
          </w:p>
        </w:tc>
        <w:tc>
          <w:tcPr>
            <w:tcW w:w="1276" w:type="dxa"/>
          </w:tcPr>
          <w:p w14:paraId="6DED0976" w14:textId="77777777" w:rsidR="00FB7D66" w:rsidRPr="009F5573" w:rsidRDefault="00FB7D66" w:rsidP="00A64773">
            <w:pPr>
              <w:pStyle w:val="TableText0"/>
              <w:jc w:val="center"/>
            </w:pPr>
            <w:r>
              <w:t>13</w:t>
            </w:r>
          </w:p>
        </w:tc>
        <w:tc>
          <w:tcPr>
            <w:tcW w:w="1701" w:type="dxa"/>
          </w:tcPr>
          <w:p w14:paraId="3990ED1A" w14:textId="34A8DA2C" w:rsidR="00FB7D66" w:rsidRPr="00007A5B" w:rsidRDefault="00FB7D66" w:rsidP="00A64773">
            <w:pPr>
              <w:pStyle w:val="TableText0"/>
              <w:jc w:val="center"/>
              <w:rPr>
                <w:b/>
              </w:rPr>
            </w:pPr>
            <w:r w:rsidRPr="00007A5B">
              <w:rPr>
                <w:b/>
              </w:rPr>
              <w:t>2.95 (2.00</w:t>
            </w:r>
            <w:r w:rsidR="00AF30D3" w:rsidRPr="00007A5B">
              <w:rPr>
                <w:b/>
                <w:szCs w:val="20"/>
              </w:rPr>
              <w:t xml:space="preserve">, </w:t>
            </w:r>
            <w:r w:rsidRPr="00007A5B">
              <w:rPr>
                <w:b/>
                <w:szCs w:val="20"/>
              </w:rPr>
              <w:t>4.35); p&lt;0.001</w:t>
            </w:r>
          </w:p>
        </w:tc>
      </w:tr>
      <w:tr w:rsidR="00FB7D66" w:rsidRPr="009F5573" w14:paraId="6159C0E0" w14:textId="77777777" w:rsidTr="007452D6">
        <w:tc>
          <w:tcPr>
            <w:tcW w:w="8926" w:type="dxa"/>
            <w:gridSpan w:val="5"/>
          </w:tcPr>
          <w:p w14:paraId="70B4C0EA" w14:textId="77777777" w:rsidR="00FB7D66" w:rsidRPr="00132932" w:rsidRDefault="00FB7D66" w:rsidP="004F7A8A">
            <w:pPr>
              <w:pStyle w:val="In-tableHeading"/>
              <w:rPr>
                <w:lang w:val="en-AU"/>
              </w:rPr>
            </w:pPr>
            <w:r w:rsidRPr="00132932">
              <w:rPr>
                <w:lang w:val="en-AU"/>
              </w:rPr>
              <w:t>Secondary outcome: Surgery rate</w:t>
            </w:r>
          </w:p>
        </w:tc>
      </w:tr>
      <w:tr w:rsidR="00FB7D66" w:rsidRPr="009F5573" w14:paraId="5962B792" w14:textId="77777777" w:rsidTr="008922FC">
        <w:tc>
          <w:tcPr>
            <w:tcW w:w="2972" w:type="dxa"/>
          </w:tcPr>
          <w:p w14:paraId="4B49328E" w14:textId="77777777" w:rsidR="00FB7D66" w:rsidRPr="009F5573" w:rsidRDefault="00FB7D66" w:rsidP="004F7A8A">
            <w:pPr>
              <w:pStyle w:val="TableText0"/>
            </w:pPr>
            <w:r>
              <w:t>Proportion of patients who completed surgery, n (%)</w:t>
            </w:r>
          </w:p>
        </w:tc>
        <w:tc>
          <w:tcPr>
            <w:tcW w:w="1488" w:type="dxa"/>
          </w:tcPr>
          <w:p w14:paraId="522561FA" w14:textId="77777777" w:rsidR="00FB7D66" w:rsidRPr="009F5573" w:rsidRDefault="00FB7D66" w:rsidP="00A64773">
            <w:pPr>
              <w:pStyle w:val="TableText0"/>
              <w:jc w:val="center"/>
            </w:pPr>
            <w:r w:rsidRPr="000C4ABD">
              <w:rPr>
                <w:szCs w:val="20"/>
              </w:rPr>
              <w:t>412 (86.9)</w:t>
            </w:r>
          </w:p>
        </w:tc>
        <w:tc>
          <w:tcPr>
            <w:tcW w:w="1489" w:type="dxa"/>
          </w:tcPr>
          <w:p w14:paraId="7F2C9F57" w14:textId="77777777" w:rsidR="00FB7D66" w:rsidRPr="009F5573" w:rsidRDefault="00FB7D66" w:rsidP="00A64773">
            <w:pPr>
              <w:pStyle w:val="TableText0"/>
              <w:jc w:val="center"/>
            </w:pPr>
            <w:r w:rsidRPr="000C4ABD">
              <w:rPr>
                <w:szCs w:val="20"/>
              </w:rPr>
              <w:t>400 (84.4)</w:t>
            </w:r>
          </w:p>
        </w:tc>
        <w:tc>
          <w:tcPr>
            <w:tcW w:w="1276" w:type="dxa"/>
          </w:tcPr>
          <w:p w14:paraId="6DE9BF8B" w14:textId="77777777" w:rsidR="00FB7D66" w:rsidRPr="009F5573" w:rsidRDefault="00FB7D66" w:rsidP="00A64773">
            <w:pPr>
              <w:pStyle w:val="TableText0"/>
              <w:jc w:val="center"/>
            </w:pPr>
            <w:r>
              <w:t>3</w:t>
            </w:r>
          </w:p>
        </w:tc>
        <w:tc>
          <w:tcPr>
            <w:tcW w:w="1701" w:type="dxa"/>
          </w:tcPr>
          <w:p w14:paraId="3B6629EA" w14:textId="70251FCD" w:rsidR="00FB7D66" w:rsidRPr="009F5573" w:rsidRDefault="00FB7D66" w:rsidP="00A64773">
            <w:pPr>
              <w:pStyle w:val="TableText0"/>
              <w:jc w:val="center"/>
            </w:pPr>
            <w:r w:rsidRPr="00BE6893">
              <w:t>1.23 (0.85</w:t>
            </w:r>
            <w:r w:rsidR="00AF30D3">
              <w:t>,</w:t>
            </w:r>
            <w:r w:rsidRPr="00BE6893">
              <w:t xml:space="preserve"> 1.77)</w:t>
            </w:r>
          </w:p>
        </w:tc>
      </w:tr>
    </w:tbl>
    <w:p w14:paraId="42799506" w14:textId="43835057" w:rsidR="008F4B47" w:rsidRPr="00432FA6" w:rsidRDefault="008F4B47" w:rsidP="00C1302F">
      <w:pPr>
        <w:pStyle w:val="TableFigureFooter"/>
      </w:pPr>
      <w:r w:rsidRPr="00432FA6">
        <w:t>Source: Table 2</w:t>
      </w:r>
      <w:r w:rsidR="00675F55">
        <w:noBreakHyphen/>
      </w:r>
      <w:r w:rsidRPr="00432FA6">
        <w:t>20 p82, Table 2</w:t>
      </w:r>
      <w:r w:rsidR="00675F55">
        <w:noBreakHyphen/>
      </w:r>
      <w:r w:rsidRPr="00432FA6">
        <w:t>21 p83, Table 2</w:t>
      </w:r>
      <w:r w:rsidR="00675F55">
        <w:noBreakHyphen/>
      </w:r>
      <w:r w:rsidRPr="00432FA6">
        <w:t>22 p84 and Table 2</w:t>
      </w:r>
      <w:r w:rsidR="00675F55">
        <w:noBreakHyphen/>
      </w:r>
      <w:r w:rsidRPr="00432FA6">
        <w:t xml:space="preserve">24 p87 of the submission. </w:t>
      </w:r>
    </w:p>
    <w:p w14:paraId="551C487C" w14:textId="71CB3247" w:rsidR="00FB7D66" w:rsidRPr="00432FA6" w:rsidRDefault="00F228AF" w:rsidP="00C1302F">
      <w:pPr>
        <w:pStyle w:val="TableFigureFooter"/>
      </w:pPr>
      <w:r w:rsidRPr="00432FA6">
        <w:t xml:space="preserve">CI = confidence interval; </w:t>
      </w:r>
      <w:r w:rsidR="004B3551" w:rsidRPr="00432FA6">
        <w:t>D = durvalumab; FLOT = 5</w:t>
      </w:r>
      <w:r w:rsidR="00675F55">
        <w:noBreakHyphen/>
      </w:r>
      <w:r w:rsidR="004B3551" w:rsidRPr="00432FA6">
        <w:t>fluorouracil, leucovorin, oxaliplatin and docetaxel</w:t>
      </w:r>
      <w:r w:rsidRPr="00432FA6">
        <w:t>; pCR = pathological complete response</w:t>
      </w:r>
      <w:r w:rsidR="00D14DFF" w:rsidRPr="00432FA6">
        <w:t>.</w:t>
      </w:r>
    </w:p>
    <w:p w14:paraId="047FE31C" w14:textId="11629EB1" w:rsidR="00476DDC" w:rsidRPr="00432FA6" w:rsidRDefault="00476DDC" w:rsidP="00C1302F">
      <w:pPr>
        <w:pStyle w:val="TableFigureFooter"/>
      </w:pPr>
      <w:r w:rsidRPr="00432FA6">
        <w:t>Bolded results indicate statistically significant differences between treatment arms</w:t>
      </w:r>
      <w:r w:rsidR="00D14DFF" w:rsidRPr="00432FA6">
        <w:t>.</w:t>
      </w:r>
    </w:p>
    <w:p w14:paraId="599F4E17" w14:textId="52DD3DA0" w:rsidR="0085207B" w:rsidRPr="00432FA6" w:rsidRDefault="00DA73E3" w:rsidP="00432FA6">
      <w:pPr>
        <w:pStyle w:val="3-BodyText"/>
        <w:spacing w:before="160" w:after="160"/>
        <w:rPr>
          <w:rFonts w:cstheme="minorHAnsi"/>
        </w:rPr>
      </w:pPr>
      <w:r w:rsidRPr="00432FA6">
        <w:rPr>
          <w:rFonts w:cstheme="minorHAnsi"/>
        </w:rPr>
        <w:t xml:space="preserve">Patient reported outcomes were </w:t>
      </w:r>
      <w:r w:rsidR="000F30F2" w:rsidRPr="00432FA6">
        <w:rPr>
          <w:rFonts w:cstheme="minorHAnsi"/>
        </w:rPr>
        <w:t xml:space="preserve">assessed using the </w:t>
      </w:r>
      <w:r w:rsidR="00FC6707" w:rsidRPr="00432FA6">
        <w:rPr>
          <w:rFonts w:cstheme="minorHAnsi"/>
        </w:rPr>
        <w:t xml:space="preserve">European Organisation for Research and Treatment of Cancer </w:t>
      </w:r>
      <w:r w:rsidR="00674735" w:rsidRPr="00432FA6">
        <w:rPr>
          <w:rFonts w:cstheme="minorHAnsi"/>
        </w:rPr>
        <w:t>Quality of Life Questionnaire, Core 30 items (</w:t>
      </w:r>
      <w:r w:rsidR="000F30F2" w:rsidRPr="00432FA6">
        <w:rPr>
          <w:rFonts w:cstheme="minorHAnsi"/>
        </w:rPr>
        <w:t>EORTC QLQ</w:t>
      </w:r>
      <w:r w:rsidR="00675F55">
        <w:rPr>
          <w:rFonts w:cstheme="minorHAnsi"/>
        </w:rPr>
        <w:noBreakHyphen/>
      </w:r>
      <w:r w:rsidR="000F30F2" w:rsidRPr="00432FA6">
        <w:rPr>
          <w:rFonts w:cstheme="minorHAnsi"/>
        </w:rPr>
        <w:t>C30</w:t>
      </w:r>
      <w:r w:rsidR="00674735" w:rsidRPr="00432FA6">
        <w:rPr>
          <w:rFonts w:cstheme="minorHAnsi"/>
        </w:rPr>
        <w:t>)</w:t>
      </w:r>
      <w:r w:rsidR="000F30F2" w:rsidRPr="00432FA6">
        <w:rPr>
          <w:rFonts w:cstheme="minorHAnsi"/>
        </w:rPr>
        <w:t xml:space="preserve">, </w:t>
      </w:r>
      <w:r w:rsidR="00936D86" w:rsidRPr="00432FA6">
        <w:rPr>
          <w:rFonts w:cstheme="minorHAnsi"/>
        </w:rPr>
        <w:t>Quality of Life Questionnaire</w:t>
      </w:r>
      <w:r w:rsidR="00675F55">
        <w:rPr>
          <w:rFonts w:cstheme="minorHAnsi"/>
        </w:rPr>
        <w:noBreakHyphen/>
      </w:r>
      <w:r w:rsidR="00936D86" w:rsidRPr="00432FA6">
        <w:rPr>
          <w:rFonts w:cstheme="minorHAnsi"/>
        </w:rPr>
        <w:t>Stomach 22</w:t>
      </w:r>
      <w:r w:rsidR="00675F55">
        <w:rPr>
          <w:rFonts w:cstheme="minorHAnsi"/>
        </w:rPr>
        <w:noBreakHyphen/>
      </w:r>
      <w:r w:rsidR="00936D86" w:rsidRPr="00432FA6">
        <w:rPr>
          <w:rFonts w:cstheme="minorHAnsi"/>
        </w:rPr>
        <w:t>item module (</w:t>
      </w:r>
      <w:r w:rsidR="000F30F2" w:rsidRPr="00432FA6">
        <w:rPr>
          <w:rFonts w:cstheme="minorHAnsi"/>
        </w:rPr>
        <w:t>QLQ</w:t>
      </w:r>
      <w:r w:rsidR="00675F55">
        <w:rPr>
          <w:rFonts w:cstheme="minorHAnsi"/>
        </w:rPr>
        <w:noBreakHyphen/>
      </w:r>
      <w:r w:rsidR="000F30F2" w:rsidRPr="00432FA6">
        <w:rPr>
          <w:rFonts w:cstheme="minorHAnsi"/>
        </w:rPr>
        <w:t>STO22</w:t>
      </w:r>
      <w:r w:rsidR="00936D86" w:rsidRPr="00432FA6">
        <w:rPr>
          <w:rFonts w:cstheme="minorHAnsi"/>
        </w:rPr>
        <w:t>)</w:t>
      </w:r>
      <w:r w:rsidR="000F30F2" w:rsidRPr="00432FA6">
        <w:rPr>
          <w:rFonts w:cstheme="minorHAnsi"/>
        </w:rPr>
        <w:t xml:space="preserve"> + </w:t>
      </w:r>
      <w:r w:rsidR="002031CE" w:rsidRPr="00432FA6">
        <w:rPr>
          <w:rFonts w:cstheme="minorHAnsi"/>
        </w:rPr>
        <w:t>Item Library 38, 2</w:t>
      </w:r>
      <w:r w:rsidR="00675F55">
        <w:rPr>
          <w:rFonts w:cstheme="minorHAnsi"/>
        </w:rPr>
        <w:noBreakHyphen/>
      </w:r>
      <w:r w:rsidR="002031CE" w:rsidRPr="00432FA6">
        <w:rPr>
          <w:rFonts w:cstheme="minorHAnsi"/>
        </w:rPr>
        <w:t>item disease</w:t>
      </w:r>
      <w:r w:rsidR="00675F55">
        <w:rPr>
          <w:rFonts w:cstheme="minorHAnsi"/>
        </w:rPr>
        <w:noBreakHyphen/>
      </w:r>
      <w:r w:rsidR="002031CE" w:rsidRPr="00432FA6">
        <w:rPr>
          <w:rFonts w:cstheme="minorHAnsi"/>
        </w:rPr>
        <w:t>specific measure (</w:t>
      </w:r>
      <w:r w:rsidR="000F30F2" w:rsidRPr="00432FA6">
        <w:rPr>
          <w:rFonts w:cstheme="minorHAnsi"/>
        </w:rPr>
        <w:t>IL38</w:t>
      </w:r>
      <w:r w:rsidR="002031CE" w:rsidRPr="00432FA6">
        <w:rPr>
          <w:rFonts w:cstheme="minorHAnsi"/>
        </w:rPr>
        <w:t>)</w:t>
      </w:r>
      <w:r w:rsidR="000F30F2" w:rsidRPr="00432FA6">
        <w:rPr>
          <w:rFonts w:cstheme="minorHAnsi"/>
        </w:rPr>
        <w:t xml:space="preserve"> questionnaires. A 10</w:t>
      </w:r>
      <w:r w:rsidR="000F30F2" w:rsidRPr="00432FA6">
        <w:rPr>
          <w:rFonts w:ascii="Cambria Math" w:hAnsi="Cambria Math" w:cs="Cambria Math"/>
        </w:rPr>
        <w:t>‑</w:t>
      </w:r>
      <w:r w:rsidR="000F30F2" w:rsidRPr="00432FA6">
        <w:rPr>
          <w:rFonts w:cstheme="minorHAnsi"/>
        </w:rPr>
        <w:t xml:space="preserve">point change from baseline was prespecified as clinically meaningful. </w:t>
      </w:r>
    </w:p>
    <w:p w14:paraId="14040707" w14:textId="00BA867E" w:rsidR="00DB5220" w:rsidRPr="00432FA6" w:rsidRDefault="000F30F2" w:rsidP="00432FA6">
      <w:pPr>
        <w:pStyle w:val="3-BodyText"/>
        <w:spacing w:before="160" w:after="160"/>
        <w:rPr>
          <w:rFonts w:cstheme="minorHAnsi"/>
        </w:rPr>
      </w:pPr>
      <w:r w:rsidRPr="00432FA6">
        <w:rPr>
          <w:rFonts w:cstheme="minorHAnsi"/>
        </w:rPr>
        <w:t>No clinically meaningful differences were detected between D + FLOT and Pbo + FLOT for any EORTC QLQ</w:t>
      </w:r>
      <w:r w:rsidRPr="00432FA6">
        <w:rPr>
          <w:rFonts w:ascii="Cambria Math" w:hAnsi="Cambria Math" w:cs="Cambria Math"/>
        </w:rPr>
        <w:t>‑</w:t>
      </w:r>
      <w:r w:rsidRPr="00432FA6">
        <w:rPr>
          <w:rFonts w:cstheme="minorHAnsi"/>
        </w:rPr>
        <w:t>C30 or QLQ</w:t>
      </w:r>
      <w:r w:rsidRPr="00432FA6">
        <w:rPr>
          <w:rFonts w:ascii="Cambria Math" w:hAnsi="Cambria Math" w:cs="Cambria Math"/>
        </w:rPr>
        <w:t>‑</w:t>
      </w:r>
      <w:r w:rsidRPr="00432FA6">
        <w:rPr>
          <w:rFonts w:cstheme="minorHAnsi"/>
        </w:rPr>
        <w:t>STO22 symptom or functional scale at any timepoint during treatment or follow</w:t>
      </w:r>
      <w:r w:rsidRPr="00432FA6">
        <w:rPr>
          <w:rFonts w:ascii="Cambria Math" w:hAnsi="Cambria Math" w:cs="Cambria Math"/>
        </w:rPr>
        <w:t>‑</w:t>
      </w:r>
      <w:r w:rsidRPr="00432FA6">
        <w:rPr>
          <w:rFonts w:cstheme="minorHAnsi"/>
        </w:rPr>
        <w:t xml:space="preserve">up. </w:t>
      </w:r>
    </w:p>
    <w:p w14:paraId="50FE5C59" w14:textId="5AAA7E7C" w:rsidR="000F30F2" w:rsidRPr="00432FA6" w:rsidRDefault="000F30F2" w:rsidP="00432FA6">
      <w:pPr>
        <w:pStyle w:val="3-BodyText"/>
        <w:spacing w:before="160" w:after="160"/>
        <w:rPr>
          <w:rFonts w:cstheme="minorHAnsi"/>
        </w:rPr>
      </w:pPr>
      <w:r w:rsidRPr="00432FA6">
        <w:rPr>
          <w:rFonts w:cstheme="minorHAnsi"/>
        </w:rPr>
        <w:t>For global health status/quality of life (EORTC QLQ</w:t>
      </w:r>
      <w:r w:rsidR="00675F55">
        <w:rPr>
          <w:rFonts w:cstheme="minorHAnsi"/>
        </w:rPr>
        <w:noBreakHyphen/>
      </w:r>
      <w:r w:rsidRPr="00432FA6">
        <w:rPr>
          <w:rFonts w:cstheme="minorHAnsi"/>
        </w:rPr>
        <w:t>C30), both arms experienced meaningful deterioration (≥</w:t>
      </w:r>
      <w:r w:rsidR="00961E4F" w:rsidRPr="00432FA6">
        <w:rPr>
          <w:rFonts w:cstheme="minorHAnsi"/>
        </w:rPr>
        <w:t xml:space="preserve"> </w:t>
      </w:r>
      <w:r w:rsidRPr="00432FA6">
        <w:rPr>
          <w:rFonts w:cstheme="minorHAnsi"/>
        </w:rPr>
        <w:t>10 points) at times, especially around treatment cycles 4 and 5, which coincided with surgery and chemotherapy. Physical functioning, role functioning, fatigue, and appetite loss showed similar temporary declines. There was improvement after treatment, with no ongoing deterioration and no differences between arms.</w:t>
      </w:r>
    </w:p>
    <w:p w14:paraId="3559701B" w14:textId="39051A6A" w:rsidR="00107A98" w:rsidRPr="00432FA6" w:rsidRDefault="00107A98" w:rsidP="00432FA6">
      <w:pPr>
        <w:pStyle w:val="3-BodyText"/>
        <w:spacing w:before="160" w:after="160"/>
        <w:rPr>
          <w:rFonts w:cstheme="minorHAnsi"/>
        </w:rPr>
      </w:pPr>
      <w:r w:rsidRPr="00432FA6">
        <w:rPr>
          <w:rFonts w:cstheme="minorHAnsi"/>
        </w:rPr>
        <w:t>The EORTC QLQ</w:t>
      </w:r>
      <w:r w:rsidR="00675F55">
        <w:rPr>
          <w:rFonts w:cstheme="minorHAnsi"/>
        </w:rPr>
        <w:noBreakHyphen/>
      </w:r>
      <w:r w:rsidRPr="00432FA6">
        <w:rPr>
          <w:rFonts w:cstheme="minorHAnsi"/>
        </w:rPr>
        <w:t>STO22 + IL38 instruments showed similar patterns. Eating restrictions, dry mouth, taste changes, hair loss, body image, and weight loss worsened during chemotherapy cycles but improved after stopping. Taste and hair loss were the only symptoms with sustained deterioration during treatment, but levels returned toward baseline in follow</w:t>
      </w:r>
      <w:r w:rsidR="00675F55">
        <w:rPr>
          <w:rFonts w:cstheme="minorHAnsi"/>
        </w:rPr>
        <w:noBreakHyphen/>
      </w:r>
      <w:r w:rsidRPr="00432FA6">
        <w:rPr>
          <w:rFonts w:cstheme="minorHAnsi"/>
        </w:rPr>
        <w:t xml:space="preserve">up. Anxiety, which was the most impaired </w:t>
      </w:r>
      <w:r w:rsidRPr="00432FA6">
        <w:rPr>
          <w:rFonts w:cstheme="minorHAnsi"/>
        </w:rPr>
        <w:lastRenderedPageBreak/>
        <w:t>symptom at baseline, improved from Cycle 10 onwards in both treatment arms, with no apparent differences between treatment arms.</w:t>
      </w:r>
    </w:p>
    <w:p w14:paraId="39BE07BC" w14:textId="540CE082" w:rsidR="00295B03" w:rsidRPr="00432FA6" w:rsidRDefault="00570603" w:rsidP="00432FA6">
      <w:pPr>
        <w:pStyle w:val="3-BodyText"/>
        <w:spacing w:before="160" w:after="160"/>
        <w:rPr>
          <w:rFonts w:cstheme="minorHAnsi"/>
        </w:rPr>
      </w:pPr>
      <w:r w:rsidRPr="00432FA6">
        <w:rPr>
          <w:rFonts w:cstheme="minorHAnsi"/>
        </w:rPr>
        <w:t>Overall, there were no significant differences in the time to deterioration between the D + FLOT and Pbo + FLOT arms in patient reported outcomes. The exception was emotional function (EORTC QLQ</w:t>
      </w:r>
      <w:r w:rsidRPr="00432FA6">
        <w:rPr>
          <w:rFonts w:ascii="Cambria Math" w:hAnsi="Cambria Math" w:cs="Cambria Math"/>
        </w:rPr>
        <w:t>‑</w:t>
      </w:r>
      <w:r w:rsidRPr="00432FA6">
        <w:rPr>
          <w:rFonts w:cstheme="minorHAnsi"/>
        </w:rPr>
        <w:t>C30), where patients receiving D + FLOT (29.70 months; 95% CI: 23.36, 36.01) had a longer median time to deterioration than those on Pbo + FLOT (23.89 months; 95% CI: 18.73, 27.93) (HR 0.82; 95% CI: 0.68, 0.99). This corresponds to an approximately 6</w:t>
      </w:r>
      <w:r w:rsidRPr="00432FA6">
        <w:rPr>
          <w:rFonts w:ascii="Cambria Math" w:hAnsi="Cambria Math" w:cs="Cambria Math"/>
        </w:rPr>
        <w:t>‑</w:t>
      </w:r>
      <w:r w:rsidRPr="00432FA6">
        <w:rPr>
          <w:rFonts w:cstheme="minorHAnsi"/>
        </w:rPr>
        <w:t>month median difference and a statistically significant 18% lower hazard of emotional</w:t>
      </w:r>
      <w:r w:rsidRPr="00432FA6">
        <w:rPr>
          <w:rFonts w:ascii="Cambria Math" w:hAnsi="Cambria Math" w:cs="Cambria Math"/>
        </w:rPr>
        <w:t>‑</w:t>
      </w:r>
      <w:r w:rsidRPr="00432FA6">
        <w:rPr>
          <w:rFonts w:cstheme="minorHAnsi"/>
        </w:rPr>
        <w:t>function deterioration with D + FLOT.</w:t>
      </w:r>
      <w:r w:rsidR="00295B03" w:rsidRPr="00432FA6">
        <w:rPr>
          <w:rFonts w:cstheme="minorHAnsi"/>
        </w:rPr>
        <w:t xml:space="preserve"> </w:t>
      </w:r>
    </w:p>
    <w:p w14:paraId="1452C351" w14:textId="0D19F1B0" w:rsidR="00B60939" w:rsidRPr="0098262F" w:rsidRDefault="00B60939" w:rsidP="0079021F">
      <w:pPr>
        <w:pStyle w:val="4-SubsectionHeading"/>
        <w:spacing w:before="160" w:after="160"/>
      </w:pPr>
      <w:bookmarkStart w:id="32" w:name="_Toc22897642"/>
      <w:bookmarkStart w:id="33" w:name="_Toc219379968"/>
      <w:r w:rsidRPr="0098262F">
        <w:t>Comparative harms</w:t>
      </w:r>
      <w:bookmarkEnd w:id="32"/>
      <w:bookmarkEnd w:id="33"/>
    </w:p>
    <w:p w14:paraId="71CDADE3" w14:textId="5DC7BA31" w:rsidR="00982170" w:rsidRDefault="00366D85" w:rsidP="0079021F">
      <w:pPr>
        <w:pStyle w:val="3-BodyText"/>
        <w:spacing w:before="160" w:after="160"/>
      </w:pPr>
      <w:r>
        <w:t xml:space="preserve">A summary of the safety outcomes is presented in </w:t>
      </w:r>
      <w:r w:rsidR="0095164F">
        <w:fldChar w:fldCharType="begin"/>
      </w:r>
      <w:r w:rsidR="0095164F">
        <w:instrText xml:space="preserve"> REF _Ref216760417 \h </w:instrText>
      </w:r>
      <w:r w:rsidR="0095164F">
        <w:fldChar w:fldCharType="separate"/>
      </w:r>
      <w:r w:rsidR="00E71342">
        <w:t xml:space="preserve">Table </w:t>
      </w:r>
      <w:r w:rsidR="00E71342">
        <w:rPr>
          <w:noProof/>
        </w:rPr>
        <w:t>7</w:t>
      </w:r>
      <w:r w:rsidR="0095164F">
        <w:fldChar w:fldCharType="end"/>
      </w:r>
      <w:r w:rsidR="0038486B">
        <w:t xml:space="preserve">. </w:t>
      </w:r>
    </w:p>
    <w:p w14:paraId="5C9F1D9E" w14:textId="684829A4" w:rsidR="00982170" w:rsidRPr="00D4422F" w:rsidRDefault="00982170" w:rsidP="0079021F">
      <w:pPr>
        <w:pStyle w:val="3-BodyText"/>
        <w:spacing w:before="160" w:after="160"/>
      </w:pPr>
      <w:r w:rsidRPr="00D4422F">
        <w:t>At DCO2, the median duration of exposure for the overall study was 12.68 months (range 0.3</w:t>
      </w:r>
      <w:r w:rsidR="00675F55">
        <w:noBreakHyphen/>
      </w:r>
      <w:r w:rsidRPr="00D4422F">
        <w:t>13.4 months) for the D + FLOT arm and 12.48 months (range 0.4</w:t>
      </w:r>
      <w:r w:rsidR="00675F55">
        <w:noBreakHyphen/>
      </w:r>
      <w:r w:rsidRPr="00D4422F">
        <w:t>13.2 months) for Pbo + FLOT (MATTERHORN CSR Table 35</w:t>
      </w:r>
      <w:r w:rsidR="00D554FF" w:rsidRPr="00D4422F">
        <w:t>,</w:t>
      </w:r>
      <w:r w:rsidRPr="00D4422F">
        <w:t xml:space="preserve"> p 174). </w:t>
      </w:r>
    </w:p>
    <w:p w14:paraId="429E54C0" w14:textId="45F88BB6" w:rsidR="00696E54" w:rsidRPr="00D4422F" w:rsidRDefault="00170A73" w:rsidP="0079021F">
      <w:pPr>
        <w:pStyle w:val="3-BodyText"/>
        <w:spacing w:before="160" w:after="160"/>
      </w:pPr>
      <w:r>
        <w:t>Adverse events (</w:t>
      </w:r>
      <w:r w:rsidR="00831942" w:rsidRPr="00D4422F">
        <w:t>AEs</w:t>
      </w:r>
      <w:r>
        <w:t>)</w:t>
      </w:r>
      <w:r w:rsidR="00BF4FCD" w:rsidRPr="00D4422F">
        <w:t xml:space="preserve">, </w:t>
      </w:r>
      <w:r>
        <w:t>Serious adverse events (</w:t>
      </w:r>
      <w:r w:rsidR="00BF4FCD" w:rsidRPr="00D4422F">
        <w:t>SAEs</w:t>
      </w:r>
      <w:r>
        <w:t>)</w:t>
      </w:r>
      <w:r w:rsidR="00BF4FCD" w:rsidRPr="00D4422F">
        <w:t xml:space="preserve"> and discontinuation due to AEs </w:t>
      </w:r>
      <w:r w:rsidR="00C24B3A" w:rsidRPr="00D4422F">
        <w:t>reported in</w:t>
      </w:r>
      <w:r w:rsidR="003B6E26" w:rsidRPr="00D4422F">
        <w:t xml:space="preserve"> the MATTERHORN trial</w:t>
      </w:r>
      <w:r w:rsidR="00982170" w:rsidRPr="00D4422F">
        <w:t xml:space="preserve"> were numerically higher with D + FLOT than Pbo + FLOT </w:t>
      </w:r>
      <w:r w:rsidR="00C24B3A" w:rsidRPr="00D4422F">
        <w:t xml:space="preserve">for the overall </w:t>
      </w:r>
      <w:r w:rsidR="00974D39" w:rsidRPr="00D4422F">
        <w:t>study period</w:t>
      </w:r>
      <w:r w:rsidR="00982170" w:rsidRPr="00D4422F">
        <w:t xml:space="preserve">. Any AEs possibly related to </w:t>
      </w:r>
      <w:r w:rsidR="0051074E">
        <w:t>study drug</w:t>
      </w:r>
      <w:r w:rsidR="00982170" w:rsidRPr="00D4422F">
        <w:t xml:space="preserve"> were higher for durvalumab than placebo (</w:t>
      </w:r>
      <w:r w:rsidR="002842D5" w:rsidRPr="00D4422F">
        <w:t>relative risk [</w:t>
      </w:r>
      <w:r w:rsidR="00982170" w:rsidRPr="00D4422F">
        <w:t>RR</w:t>
      </w:r>
      <w:r w:rsidR="002842D5" w:rsidRPr="00D4422F">
        <w:t>]</w:t>
      </w:r>
      <w:r w:rsidR="00982170" w:rsidRPr="00D4422F">
        <w:t xml:space="preserve"> 1.14; 95% CI: 1.02, 1.28). AEs of grade 3 or 4, treatment</w:t>
      </w:r>
      <w:r w:rsidR="00675F55">
        <w:noBreakHyphen/>
      </w:r>
      <w:r w:rsidR="00982170" w:rsidRPr="00D4422F">
        <w:t xml:space="preserve">emergent AEs leading to death, SAEs and AEs leading to dose modification were not different between the treatment arms. AEs leading to discontinuation of study drug (RR 1.31; 95% CI: 1.06, 1.63) and those related to study drug (RR 1.31; 95% CI: 1.05, 1.70) were higher for D + FLOT than Pbo + FLOT. </w:t>
      </w:r>
    </w:p>
    <w:p w14:paraId="5DA88E3E" w14:textId="133996A0" w:rsidR="00366D85" w:rsidRPr="00D4422F" w:rsidRDefault="003D27CF" w:rsidP="00991D7D">
      <w:pPr>
        <w:pStyle w:val="3-BodyText"/>
        <w:spacing w:before="160" w:after="160"/>
      </w:pPr>
      <w:r w:rsidRPr="00D4422F">
        <w:t>Immune</w:t>
      </w:r>
      <w:r w:rsidR="00675F55">
        <w:noBreakHyphen/>
      </w:r>
      <w:r w:rsidRPr="00D4422F">
        <w:t>mediated AEs (</w:t>
      </w:r>
      <w:r w:rsidR="00982170" w:rsidRPr="00D4422F">
        <w:t>imAEs</w:t>
      </w:r>
      <w:r w:rsidRPr="00D4422F">
        <w:t>)</w:t>
      </w:r>
      <w:r w:rsidR="00982170" w:rsidRPr="00D4422F">
        <w:t xml:space="preserve"> were higher for D + FLOT than Pbo + FLOT (RR 3.19; 95% CI: 2.22, 4.59), as were infusion reactions (RR 1.67; 95% CI: 1.25, 2.25). </w:t>
      </w:r>
      <w:r w:rsidR="0097440B" w:rsidRPr="00D4422F">
        <w:t>The higher incidence in imAEs was mainly driven by endocrine events; hypothyroid events (8.2% vs 1.5%), hyperthyroid events (1.5% vs 0), adrenal insufficiency (1.5% vs 0.2%), and diabetes mellitus (0.8% vs 0)</w:t>
      </w:r>
      <w:r w:rsidR="00F3007C" w:rsidRPr="00D4422F">
        <w:t>.</w:t>
      </w:r>
      <w:r w:rsidR="0097440B" w:rsidRPr="00D4422F">
        <w:t xml:space="preserve"> </w:t>
      </w:r>
    </w:p>
    <w:p w14:paraId="5D564CF6" w14:textId="4ECB772C" w:rsidR="00002E3B" w:rsidRPr="00002E3B" w:rsidRDefault="00002E3B" w:rsidP="00CE759D">
      <w:pPr>
        <w:pStyle w:val="Caption"/>
        <w:keepLines w:val="0"/>
        <w:rPr>
          <w:sz w:val="28"/>
          <w:szCs w:val="28"/>
        </w:rPr>
      </w:pPr>
      <w:bookmarkStart w:id="34" w:name="_Ref216760417"/>
      <w:r>
        <w:lastRenderedPageBreak/>
        <w:t xml:space="preserve">Table </w:t>
      </w:r>
      <w:fldSimple w:instr=" SEQ Table_ \* ARABIC ">
        <w:r w:rsidR="00E71342">
          <w:rPr>
            <w:noProof/>
          </w:rPr>
          <w:t>7</w:t>
        </w:r>
      </w:fldSimple>
      <w:bookmarkEnd w:id="34"/>
      <w:r w:rsidR="00CE0A7E">
        <w:t>:</w:t>
      </w:r>
      <w:r>
        <w:t xml:space="preserve"> Safety outcomes for the overall study</w:t>
      </w:r>
    </w:p>
    <w:tbl>
      <w:tblPr>
        <w:tblStyle w:val="AZTable"/>
        <w:tblW w:w="5000" w:type="pct"/>
        <w:tblLook w:val="04A0" w:firstRow="1" w:lastRow="0" w:firstColumn="1" w:lastColumn="0" w:noHBand="0" w:noVBand="1"/>
        <w:tblCaption w:val="Table 7: Safety outcomes for the overall study"/>
      </w:tblPr>
      <w:tblGrid>
        <w:gridCol w:w="3536"/>
        <w:gridCol w:w="1236"/>
        <w:gridCol w:w="1235"/>
        <w:gridCol w:w="1502"/>
        <w:gridCol w:w="1508"/>
      </w:tblGrid>
      <w:tr w:rsidR="00002E3B" w:rsidRPr="004E14F6" w14:paraId="01931A88" w14:textId="77777777" w:rsidTr="00002E3B">
        <w:trPr>
          <w:cnfStyle w:val="100000000000" w:firstRow="1" w:lastRow="0" w:firstColumn="0" w:lastColumn="0" w:oddVBand="0" w:evenVBand="0" w:oddHBand="0" w:evenHBand="0" w:firstRowFirstColumn="0" w:firstRowLastColumn="0" w:lastRowFirstColumn="0" w:lastRowLastColumn="0"/>
          <w:tblHeader/>
        </w:trPr>
        <w:tc>
          <w:tcPr>
            <w:tcW w:w="1960" w:type="pct"/>
            <w:hideMark/>
          </w:tcPr>
          <w:p w14:paraId="52D3620B" w14:textId="77777777" w:rsidR="00002E3B" w:rsidRPr="004E14F6" w:rsidRDefault="00002E3B" w:rsidP="00CE759D">
            <w:pPr>
              <w:pStyle w:val="TableHeading0"/>
              <w:keepNext/>
            </w:pPr>
            <w:r w:rsidRPr="004E14F6">
              <w:t>Category</w:t>
            </w:r>
          </w:p>
        </w:tc>
        <w:tc>
          <w:tcPr>
            <w:tcW w:w="685" w:type="pct"/>
            <w:hideMark/>
          </w:tcPr>
          <w:p w14:paraId="12651053" w14:textId="77777777" w:rsidR="00002E3B" w:rsidRPr="004E14F6" w:rsidRDefault="00002E3B" w:rsidP="00CE759D">
            <w:pPr>
              <w:pStyle w:val="TableHeading0"/>
              <w:keepNext/>
            </w:pPr>
            <w:r w:rsidRPr="004E14F6">
              <w:t>D + FLOT</w:t>
            </w:r>
          </w:p>
          <w:p w14:paraId="4A2FE8D7" w14:textId="77777777" w:rsidR="00002E3B" w:rsidRPr="004E14F6" w:rsidRDefault="00002E3B" w:rsidP="00CE759D">
            <w:pPr>
              <w:pStyle w:val="TableHeading0"/>
              <w:keepNext/>
            </w:pPr>
            <w:r w:rsidRPr="004E14F6">
              <w:t>(N = 475)</w:t>
            </w:r>
          </w:p>
        </w:tc>
        <w:tc>
          <w:tcPr>
            <w:tcW w:w="685" w:type="pct"/>
            <w:hideMark/>
          </w:tcPr>
          <w:p w14:paraId="2B044BC9" w14:textId="77777777" w:rsidR="00002E3B" w:rsidRPr="004E14F6" w:rsidRDefault="00002E3B" w:rsidP="00CE759D">
            <w:pPr>
              <w:pStyle w:val="TableHeading0"/>
              <w:keepNext/>
            </w:pPr>
            <w:r w:rsidRPr="004E14F6">
              <w:t>Pbo + FLOT</w:t>
            </w:r>
          </w:p>
          <w:p w14:paraId="5EDC2307" w14:textId="48A3F1F0" w:rsidR="00002E3B" w:rsidRPr="004E14F6" w:rsidRDefault="00002E3B" w:rsidP="00CE759D">
            <w:pPr>
              <w:pStyle w:val="TableHeading0"/>
              <w:keepNext/>
            </w:pPr>
            <w:r w:rsidRPr="004E14F6">
              <w:t>(N = 469)</w:t>
            </w:r>
          </w:p>
        </w:tc>
        <w:tc>
          <w:tcPr>
            <w:tcW w:w="833" w:type="pct"/>
          </w:tcPr>
          <w:p w14:paraId="3E38A88C" w14:textId="3C4B643C" w:rsidR="00002E3B" w:rsidRPr="004E14F6" w:rsidRDefault="00002E3B" w:rsidP="00CE759D">
            <w:pPr>
              <w:pStyle w:val="TableHeading0"/>
              <w:keepNext/>
            </w:pPr>
            <w:r w:rsidRPr="004E14F6">
              <w:t>RD (95% CI)</w:t>
            </w:r>
            <w:r w:rsidR="001C3A18" w:rsidRPr="004E14F6">
              <w:t xml:space="preserve"> </w:t>
            </w:r>
            <w:r w:rsidRPr="004E14F6">
              <w:t>a</w:t>
            </w:r>
          </w:p>
        </w:tc>
        <w:tc>
          <w:tcPr>
            <w:tcW w:w="836" w:type="pct"/>
          </w:tcPr>
          <w:p w14:paraId="1EA6D702" w14:textId="3BEE90B0" w:rsidR="00002E3B" w:rsidRPr="004E14F6" w:rsidRDefault="00002E3B" w:rsidP="00CE759D">
            <w:pPr>
              <w:pStyle w:val="TableHeading0"/>
              <w:keepNext/>
            </w:pPr>
            <w:r w:rsidRPr="004E14F6">
              <w:t>RR (95% CI)</w:t>
            </w:r>
            <w:r w:rsidR="001C3A18" w:rsidRPr="004E14F6">
              <w:t xml:space="preserve"> </w:t>
            </w:r>
            <w:r w:rsidRPr="004E14F6">
              <w:t>a</w:t>
            </w:r>
          </w:p>
        </w:tc>
      </w:tr>
      <w:tr w:rsidR="00002E3B" w:rsidRPr="00E56D26" w14:paraId="54F44D3A" w14:textId="77777777" w:rsidTr="00002E3B">
        <w:tc>
          <w:tcPr>
            <w:tcW w:w="1960" w:type="pct"/>
            <w:hideMark/>
          </w:tcPr>
          <w:p w14:paraId="036D8CBB" w14:textId="77777777" w:rsidR="00002E3B" w:rsidRPr="000C4ABD" w:rsidRDefault="00002E3B" w:rsidP="00CE759D">
            <w:pPr>
              <w:pStyle w:val="Tabletext"/>
              <w:keepNext/>
            </w:pPr>
            <w:r w:rsidRPr="000C4ABD">
              <w:t>Any AE</w:t>
            </w:r>
          </w:p>
        </w:tc>
        <w:tc>
          <w:tcPr>
            <w:tcW w:w="685" w:type="pct"/>
            <w:hideMark/>
          </w:tcPr>
          <w:p w14:paraId="1CBC93B1" w14:textId="77777777" w:rsidR="00002E3B" w:rsidRPr="000C4ABD" w:rsidRDefault="00002E3B" w:rsidP="00CE759D">
            <w:pPr>
              <w:pStyle w:val="Tabletext"/>
              <w:keepNext/>
              <w:jc w:val="center"/>
            </w:pPr>
            <w:r w:rsidRPr="000C4ABD">
              <w:t>471 (99.2%)</w:t>
            </w:r>
          </w:p>
        </w:tc>
        <w:tc>
          <w:tcPr>
            <w:tcW w:w="685" w:type="pct"/>
            <w:hideMark/>
          </w:tcPr>
          <w:p w14:paraId="097A9D4B" w14:textId="77777777" w:rsidR="00002E3B" w:rsidRPr="000C4ABD" w:rsidRDefault="00002E3B" w:rsidP="00CE759D">
            <w:pPr>
              <w:pStyle w:val="Tabletext"/>
              <w:keepNext/>
              <w:jc w:val="center"/>
            </w:pPr>
            <w:r w:rsidRPr="000C4ABD">
              <w:t>463 (98.7%)</w:t>
            </w:r>
          </w:p>
        </w:tc>
        <w:tc>
          <w:tcPr>
            <w:tcW w:w="833" w:type="pct"/>
          </w:tcPr>
          <w:p w14:paraId="3FF0EBF9" w14:textId="6F250419" w:rsidR="00002E3B" w:rsidRPr="00791794" w:rsidRDefault="00002E3B" w:rsidP="00CE759D">
            <w:pPr>
              <w:pStyle w:val="Tabletext"/>
              <w:keepNext/>
              <w:jc w:val="center"/>
            </w:pPr>
            <w:r w:rsidRPr="00791794">
              <w:t>0.00 (</w:t>
            </w:r>
            <w:r w:rsidR="00675F55">
              <w:noBreakHyphen/>
            </w:r>
            <w:r w:rsidRPr="00791794">
              <w:t>0.01, 0.02)</w:t>
            </w:r>
          </w:p>
        </w:tc>
        <w:tc>
          <w:tcPr>
            <w:tcW w:w="836" w:type="pct"/>
          </w:tcPr>
          <w:p w14:paraId="1899879D" w14:textId="77777777" w:rsidR="00002E3B" w:rsidRPr="00791794" w:rsidRDefault="00002E3B" w:rsidP="00CE759D">
            <w:pPr>
              <w:pStyle w:val="Tabletext"/>
              <w:keepNext/>
              <w:jc w:val="center"/>
            </w:pPr>
            <w:r w:rsidRPr="00791794">
              <w:t>1.00 (0.99, 1.02)</w:t>
            </w:r>
          </w:p>
        </w:tc>
      </w:tr>
      <w:tr w:rsidR="00002E3B" w:rsidRPr="00E56D26" w14:paraId="769091F2" w14:textId="77777777" w:rsidTr="00002E3B">
        <w:tc>
          <w:tcPr>
            <w:tcW w:w="1960" w:type="pct"/>
            <w:hideMark/>
          </w:tcPr>
          <w:p w14:paraId="3B4396F1" w14:textId="77777777" w:rsidR="00002E3B" w:rsidRPr="000C4ABD" w:rsidRDefault="00002E3B" w:rsidP="00CE759D">
            <w:pPr>
              <w:pStyle w:val="Tabletext"/>
              <w:keepNext/>
              <w:ind w:left="283"/>
            </w:pPr>
            <w:r w:rsidRPr="000C4ABD">
              <w:t>possibly related to durvalumab/</w:t>
            </w:r>
            <w:r>
              <w:t>pbo</w:t>
            </w:r>
          </w:p>
        </w:tc>
        <w:tc>
          <w:tcPr>
            <w:tcW w:w="685" w:type="pct"/>
            <w:hideMark/>
          </w:tcPr>
          <w:p w14:paraId="2B027278" w14:textId="77777777" w:rsidR="00002E3B" w:rsidRPr="000C4ABD" w:rsidRDefault="00002E3B" w:rsidP="00CE759D">
            <w:pPr>
              <w:pStyle w:val="Tabletext"/>
              <w:keepNext/>
              <w:jc w:val="center"/>
            </w:pPr>
            <w:r w:rsidRPr="000C4ABD">
              <w:t>282 (59.4%)</w:t>
            </w:r>
          </w:p>
        </w:tc>
        <w:tc>
          <w:tcPr>
            <w:tcW w:w="685" w:type="pct"/>
            <w:hideMark/>
          </w:tcPr>
          <w:p w14:paraId="17EE340C" w14:textId="77777777" w:rsidR="00002E3B" w:rsidRPr="000C4ABD" w:rsidRDefault="00002E3B" w:rsidP="00CE759D">
            <w:pPr>
              <w:pStyle w:val="Tabletext"/>
              <w:keepNext/>
              <w:jc w:val="center"/>
            </w:pPr>
            <w:r w:rsidRPr="000C4ABD">
              <w:t>244 (52.0%)</w:t>
            </w:r>
          </w:p>
        </w:tc>
        <w:tc>
          <w:tcPr>
            <w:tcW w:w="833" w:type="pct"/>
          </w:tcPr>
          <w:p w14:paraId="284F6AA8" w14:textId="77777777" w:rsidR="00002E3B" w:rsidRPr="00791794" w:rsidRDefault="00002E3B" w:rsidP="00CE759D">
            <w:pPr>
              <w:pStyle w:val="Tabletext"/>
              <w:keepNext/>
              <w:jc w:val="center"/>
              <w:rPr>
                <w:bCs/>
              </w:rPr>
            </w:pPr>
            <w:r w:rsidRPr="00791794">
              <w:rPr>
                <w:bCs/>
              </w:rPr>
              <w:t>0.07 (0.01, 0.14)</w:t>
            </w:r>
          </w:p>
        </w:tc>
        <w:tc>
          <w:tcPr>
            <w:tcW w:w="836" w:type="pct"/>
          </w:tcPr>
          <w:p w14:paraId="09BB6EA6" w14:textId="77777777" w:rsidR="00002E3B" w:rsidRPr="00791794" w:rsidRDefault="00002E3B" w:rsidP="00CE759D">
            <w:pPr>
              <w:pStyle w:val="Tabletext"/>
              <w:keepNext/>
              <w:jc w:val="center"/>
              <w:rPr>
                <w:bCs/>
              </w:rPr>
            </w:pPr>
            <w:r w:rsidRPr="00791794">
              <w:rPr>
                <w:bCs/>
              </w:rPr>
              <w:t>1.14 (1.02, 1.28)</w:t>
            </w:r>
          </w:p>
        </w:tc>
      </w:tr>
      <w:tr w:rsidR="00002E3B" w:rsidRPr="00E56D26" w14:paraId="1341A4FC" w14:textId="77777777" w:rsidTr="00002E3B">
        <w:tc>
          <w:tcPr>
            <w:tcW w:w="1960" w:type="pct"/>
            <w:hideMark/>
          </w:tcPr>
          <w:p w14:paraId="233BE13C" w14:textId="6B74409A" w:rsidR="00002E3B" w:rsidRPr="000C4ABD" w:rsidRDefault="00002E3B" w:rsidP="00CE759D">
            <w:pPr>
              <w:pStyle w:val="Tabletext"/>
              <w:keepNext/>
              <w:ind w:left="283"/>
            </w:pPr>
            <w:r w:rsidRPr="000C4ABD">
              <w:t xml:space="preserve">possibly related to any FLOT (at least </w:t>
            </w:r>
            <w:r w:rsidR="0049319D">
              <w:br/>
            </w:r>
            <w:r w:rsidRPr="000C4ABD">
              <w:t>1 drug)</w:t>
            </w:r>
          </w:p>
        </w:tc>
        <w:tc>
          <w:tcPr>
            <w:tcW w:w="685" w:type="pct"/>
            <w:hideMark/>
          </w:tcPr>
          <w:p w14:paraId="4B3C7910" w14:textId="77777777" w:rsidR="00002E3B" w:rsidRPr="000C4ABD" w:rsidRDefault="00002E3B" w:rsidP="00CE759D">
            <w:pPr>
              <w:pStyle w:val="Tabletext"/>
              <w:keepNext/>
              <w:jc w:val="center"/>
            </w:pPr>
            <w:r w:rsidRPr="000C4ABD">
              <w:t>450 (94.7%)</w:t>
            </w:r>
          </w:p>
        </w:tc>
        <w:tc>
          <w:tcPr>
            <w:tcW w:w="685" w:type="pct"/>
            <w:hideMark/>
          </w:tcPr>
          <w:p w14:paraId="69FD327A" w14:textId="77777777" w:rsidR="00002E3B" w:rsidRPr="000C4ABD" w:rsidRDefault="00002E3B" w:rsidP="00CE759D">
            <w:pPr>
              <w:pStyle w:val="Tabletext"/>
              <w:keepNext/>
              <w:jc w:val="center"/>
            </w:pPr>
            <w:r w:rsidRPr="000C4ABD">
              <w:t>438 (93.4%)</w:t>
            </w:r>
          </w:p>
        </w:tc>
        <w:tc>
          <w:tcPr>
            <w:tcW w:w="833" w:type="pct"/>
          </w:tcPr>
          <w:p w14:paraId="31866017" w14:textId="7E01A67E" w:rsidR="00002E3B" w:rsidRPr="00791794" w:rsidRDefault="00002E3B" w:rsidP="00CE759D">
            <w:pPr>
              <w:pStyle w:val="Tabletext"/>
              <w:keepNext/>
              <w:jc w:val="center"/>
            </w:pPr>
            <w:r w:rsidRPr="00791794">
              <w:t>0.01 (</w:t>
            </w:r>
            <w:r w:rsidR="00675F55">
              <w:noBreakHyphen/>
            </w:r>
            <w:r w:rsidRPr="00791794">
              <w:t>0.02, 0.04)</w:t>
            </w:r>
          </w:p>
        </w:tc>
        <w:tc>
          <w:tcPr>
            <w:tcW w:w="836" w:type="pct"/>
          </w:tcPr>
          <w:p w14:paraId="0B21302B" w14:textId="77777777" w:rsidR="00002E3B" w:rsidRPr="00791794" w:rsidRDefault="00002E3B" w:rsidP="00CE759D">
            <w:pPr>
              <w:pStyle w:val="Tabletext"/>
              <w:keepNext/>
              <w:jc w:val="center"/>
            </w:pPr>
            <w:r w:rsidRPr="00791794">
              <w:t>1.01 (0.98, 1.05)</w:t>
            </w:r>
          </w:p>
        </w:tc>
      </w:tr>
      <w:tr w:rsidR="00002E3B" w:rsidRPr="00E56D26" w14:paraId="258B086F" w14:textId="77777777" w:rsidTr="00002E3B">
        <w:tc>
          <w:tcPr>
            <w:tcW w:w="1960" w:type="pct"/>
          </w:tcPr>
          <w:p w14:paraId="58631656" w14:textId="77777777" w:rsidR="00002E3B" w:rsidRPr="000C4ABD" w:rsidRDefault="00002E3B" w:rsidP="00CE759D">
            <w:pPr>
              <w:pStyle w:val="Tabletext"/>
              <w:keepNext/>
            </w:pPr>
            <w:r w:rsidRPr="000C4ABD">
              <w:t>Any AE of maximum CTCAE Grade 3 or 4</w:t>
            </w:r>
          </w:p>
        </w:tc>
        <w:tc>
          <w:tcPr>
            <w:tcW w:w="685" w:type="pct"/>
          </w:tcPr>
          <w:p w14:paraId="6C5CC352" w14:textId="77777777" w:rsidR="00002E3B" w:rsidRPr="000C4ABD" w:rsidRDefault="00002E3B" w:rsidP="00CE759D">
            <w:pPr>
              <w:pStyle w:val="Tabletext"/>
              <w:keepNext/>
              <w:jc w:val="center"/>
            </w:pPr>
            <w:r w:rsidRPr="000C4ABD">
              <w:t>340 (71.6%)</w:t>
            </w:r>
          </w:p>
        </w:tc>
        <w:tc>
          <w:tcPr>
            <w:tcW w:w="685" w:type="pct"/>
          </w:tcPr>
          <w:p w14:paraId="3DBE1813" w14:textId="77777777" w:rsidR="00002E3B" w:rsidRPr="000C4ABD" w:rsidRDefault="00002E3B" w:rsidP="00CE759D">
            <w:pPr>
              <w:pStyle w:val="Tabletext"/>
              <w:keepNext/>
              <w:jc w:val="center"/>
            </w:pPr>
            <w:r w:rsidRPr="000C4ABD">
              <w:t>334 (71.2%)</w:t>
            </w:r>
          </w:p>
        </w:tc>
        <w:tc>
          <w:tcPr>
            <w:tcW w:w="833" w:type="pct"/>
          </w:tcPr>
          <w:p w14:paraId="40AE7156" w14:textId="2EDBC00A" w:rsidR="00002E3B" w:rsidRPr="00791794" w:rsidRDefault="00002E3B" w:rsidP="00CE759D">
            <w:pPr>
              <w:pStyle w:val="Tabletext"/>
              <w:keepNext/>
              <w:jc w:val="center"/>
            </w:pPr>
            <w:r w:rsidRPr="00791794">
              <w:t>0.00 (</w:t>
            </w:r>
            <w:r w:rsidR="00675F55">
              <w:noBreakHyphen/>
            </w:r>
            <w:r w:rsidRPr="00791794">
              <w:t>0.05, 0.06)</w:t>
            </w:r>
          </w:p>
        </w:tc>
        <w:tc>
          <w:tcPr>
            <w:tcW w:w="836" w:type="pct"/>
          </w:tcPr>
          <w:p w14:paraId="7F3EC150" w14:textId="77777777" w:rsidR="00002E3B" w:rsidRPr="00791794" w:rsidRDefault="00002E3B" w:rsidP="00CE759D">
            <w:pPr>
              <w:pStyle w:val="Tabletext"/>
              <w:keepNext/>
              <w:jc w:val="center"/>
            </w:pPr>
            <w:r w:rsidRPr="00791794">
              <w:t>1.01 (0.93, 1.09)</w:t>
            </w:r>
          </w:p>
        </w:tc>
      </w:tr>
      <w:tr w:rsidR="00002E3B" w:rsidRPr="00F260A2" w14:paraId="0C3536C7" w14:textId="77777777" w:rsidTr="00002E3B">
        <w:tc>
          <w:tcPr>
            <w:tcW w:w="1960" w:type="pct"/>
            <w:hideMark/>
          </w:tcPr>
          <w:p w14:paraId="61CF533A" w14:textId="77777777" w:rsidR="00002E3B" w:rsidRPr="000C4ABD" w:rsidRDefault="00002E3B" w:rsidP="00CE759D">
            <w:pPr>
              <w:pStyle w:val="Tabletext"/>
              <w:keepNext/>
              <w:ind w:left="283"/>
            </w:pPr>
            <w:r w:rsidRPr="000C4ABD">
              <w:t>possibly related to durvalumab/</w:t>
            </w:r>
            <w:r>
              <w:t>pbo</w:t>
            </w:r>
            <w:r w:rsidRPr="000C4ABD">
              <w:t xml:space="preserve"> </w:t>
            </w:r>
            <w:r w:rsidRPr="000C4ABD">
              <w:rPr>
                <w:vertAlign w:val="superscript"/>
              </w:rPr>
              <w:t>b</w:t>
            </w:r>
          </w:p>
        </w:tc>
        <w:tc>
          <w:tcPr>
            <w:tcW w:w="685" w:type="pct"/>
            <w:hideMark/>
          </w:tcPr>
          <w:p w14:paraId="69B8CE28" w14:textId="77777777" w:rsidR="00002E3B" w:rsidRPr="000C4ABD" w:rsidRDefault="00002E3B" w:rsidP="00CE759D">
            <w:pPr>
              <w:pStyle w:val="Tabletext"/>
              <w:keepNext/>
              <w:jc w:val="center"/>
            </w:pPr>
            <w:r w:rsidRPr="000C4ABD">
              <w:t>67 (14.1%)</w:t>
            </w:r>
          </w:p>
        </w:tc>
        <w:tc>
          <w:tcPr>
            <w:tcW w:w="685" w:type="pct"/>
            <w:hideMark/>
          </w:tcPr>
          <w:p w14:paraId="71C9B88F" w14:textId="77777777" w:rsidR="00002E3B" w:rsidRPr="000C4ABD" w:rsidRDefault="00002E3B" w:rsidP="00CE759D">
            <w:pPr>
              <w:pStyle w:val="Tabletext"/>
              <w:keepNext/>
              <w:jc w:val="center"/>
            </w:pPr>
            <w:r w:rsidRPr="000C4ABD">
              <w:t>58 (12.4%)</w:t>
            </w:r>
          </w:p>
        </w:tc>
        <w:tc>
          <w:tcPr>
            <w:tcW w:w="833" w:type="pct"/>
          </w:tcPr>
          <w:p w14:paraId="62BA3298" w14:textId="54BE8C31" w:rsidR="00002E3B" w:rsidRPr="00791794" w:rsidRDefault="00002E3B" w:rsidP="00CE759D">
            <w:pPr>
              <w:pStyle w:val="Tabletext"/>
              <w:keepNext/>
              <w:jc w:val="center"/>
            </w:pPr>
            <w:r w:rsidRPr="00791794">
              <w:t>0.02 (</w:t>
            </w:r>
            <w:r w:rsidR="00675F55">
              <w:noBreakHyphen/>
            </w:r>
            <w:r w:rsidRPr="00791794">
              <w:t>0.03, 0.06)</w:t>
            </w:r>
          </w:p>
        </w:tc>
        <w:tc>
          <w:tcPr>
            <w:tcW w:w="836" w:type="pct"/>
          </w:tcPr>
          <w:p w14:paraId="1C33D9BF" w14:textId="77777777" w:rsidR="00002E3B" w:rsidRPr="00791794" w:rsidRDefault="00002E3B" w:rsidP="00CE759D">
            <w:pPr>
              <w:pStyle w:val="Tabletext"/>
              <w:keepNext/>
              <w:jc w:val="center"/>
            </w:pPr>
            <w:r w:rsidRPr="00791794">
              <w:t>1.14 (0.82, 1.58)</w:t>
            </w:r>
          </w:p>
        </w:tc>
      </w:tr>
      <w:tr w:rsidR="00002E3B" w:rsidRPr="00F260A2" w14:paraId="7AA04574" w14:textId="77777777" w:rsidTr="00002E3B">
        <w:tc>
          <w:tcPr>
            <w:tcW w:w="1960" w:type="pct"/>
            <w:hideMark/>
          </w:tcPr>
          <w:p w14:paraId="70832138" w14:textId="793E9225" w:rsidR="00002E3B" w:rsidRPr="000C4ABD" w:rsidRDefault="00002E3B" w:rsidP="00CE759D">
            <w:pPr>
              <w:pStyle w:val="Tabletext"/>
              <w:keepNext/>
              <w:ind w:left="283"/>
            </w:pPr>
            <w:r w:rsidRPr="000C4ABD">
              <w:t xml:space="preserve">possibly related to any FLOT (at least </w:t>
            </w:r>
            <w:r w:rsidR="0049319D">
              <w:br/>
            </w:r>
            <w:r w:rsidRPr="000C4ABD">
              <w:t xml:space="preserve">1 drug) </w:t>
            </w:r>
            <w:r w:rsidRPr="000C4ABD">
              <w:rPr>
                <w:vertAlign w:val="superscript"/>
              </w:rPr>
              <w:t>b</w:t>
            </w:r>
          </w:p>
        </w:tc>
        <w:tc>
          <w:tcPr>
            <w:tcW w:w="685" w:type="pct"/>
            <w:hideMark/>
          </w:tcPr>
          <w:p w14:paraId="719E52A2" w14:textId="77777777" w:rsidR="00002E3B" w:rsidRPr="000C4ABD" w:rsidRDefault="00002E3B" w:rsidP="00CE759D">
            <w:pPr>
              <w:pStyle w:val="Tabletext"/>
              <w:keepNext/>
              <w:jc w:val="center"/>
            </w:pPr>
            <w:r w:rsidRPr="000C4ABD">
              <w:t>272 (57.3%)</w:t>
            </w:r>
          </w:p>
        </w:tc>
        <w:tc>
          <w:tcPr>
            <w:tcW w:w="685" w:type="pct"/>
            <w:hideMark/>
          </w:tcPr>
          <w:p w14:paraId="61D50344" w14:textId="77777777" w:rsidR="00002E3B" w:rsidRPr="000C4ABD" w:rsidRDefault="00002E3B" w:rsidP="00CE759D">
            <w:pPr>
              <w:pStyle w:val="Tabletext"/>
              <w:keepNext/>
              <w:jc w:val="center"/>
            </w:pPr>
            <w:r w:rsidRPr="000C4ABD">
              <w:t>268 (57.1%)</w:t>
            </w:r>
          </w:p>
        </w:tc>
        <w:tc>
          <w:tcPr>
            <w:tcW w:w="833" w:type="pct"/>
          </w:tcPr>
          <w:p w14:paraId="43EB2FA1" w14:textId="1EC41B34" w:rsidR="00002E3B" w:rsidRPr="00791794" w:rsidRDefault="00002E3B" w:rsidP="00CE759D">
            <w:pPr>
              <w:pStyle w:val="Tabletext"/>
              <w:keepNext/>
              <w:jc w:val="center"/>
            </w:pPr>
            <w:r w:rsidRPr="00791794">
              <w:t>0.00 (</w:t>
            </w:r>
            <w:r w:rsidR="00675F55">
              <w:noBreakHyphen/>
            </w:r>
            <w:r w:rsidRPr="00791794">
              <w:t>0.06, 0.06)</w:t>
            </w:r>
          </w:p>
        </w:tc>
        <w:tc>
          <w:tcPr>
            <w:tcW w:w="836" w:type="pct"/>
          </w:tcPr>
          <w:p w14:paraId="308F0ADB" w14:textId="77777777" w:rsidR="00002E3B" w:rsidRPr="00791794" w:rsidRDefault="00002E3B" w:rsidP="00CE759D">
            <w:pPr>
              <w:pStyle w:val="Tabletext"/>
              <w:keepNext/>
              <w:jc w:val="center"/>
            </w:pPr>
            <w:r w:rsidRPr="00791794">
              <w:t>1.00 (0.90, 1.12)</w:t>
            </w:r>
          </w:p>
        </w:tc>
      </w:tr>
      <w:tr w:rsidR="00002E3B" w:rsidRPr="00F260A2" w14:paraId="6F10371C" w14:textId="77777777" w:rsidTr="00002E3B">
        <w:tc>
          <w:tcPr>
            <w:tcW w:w="1960" w:type="pct"/>
          </w:tcPr>
          <w:p w14:paraId="7195616F" w14:textId="163386C1" w:rsidR="00002E3B" w:rsidRPr="000C4ABD" w:rsidRDefault="00002E3B" w:rsidP="00CE759D">
            <w:pPr>
              <w:pStyle w:val="Tabletext"/>
              <w:keepNext/>
            </w:pPr>
            <w:r w:rsidRPr="000C4ABD">
              <w:t>Treatment</w:t>
            </w:r>
            <w:r w:rsidR="00675F55">
              <w:noBreakHyphen/>
            </w:r>
            <w:r w:rsidRPr="000C4ABD">
              <w:t>emergent AEs with an outcome of death</w:t>
            </w:r>
          </w:p>
        </w:tc>
        <w:tc>
          <w:tcPr>
            <w:tcW w:w="685" w:type="pct"/>
          </w:tcPr>
          <w:p w14:paraId="0AC7C78E" w14:textId="77777777" w:rsidR="00002E3B" w:rsidRPr="000C4ABD" w:rsidRDefault="00002E3B" w:rsidP="00CE759D">
            <w:pPr>
              <w:pStyle w:val="Tabletext"/>
              <w:keepNext/>
              <w:jc w:val="center"/>
            </w:pPr>
            <w:r w:rsidRPr="000C4ABD">
              <w:t>23 (4.8%)</w:t>
            </w:r>
          </w:p>
        </w:tc>
        <w:tc>
          <w:tcPr>
            <w:tcW w:w="685" w:type="pct"/>
          </w:tcPr>
          <w:p w14:paraId="2D3F392D" w14:textId="77777777" w:rsidR="00002E3B" w:rsidRPr="000C4ABD" w:rsidRDefault="00002E3B" w:rsidP="00CE759D">
            <w:pPr>
              <w:pStyle w:val="Tabletext"/>
              <w:keepNext/>
              <w:jc w:val="center"/>
            </w:pPr>
            <w:r w:rsidRPr="000C4ABD">
              <w:t>20 (4.3%)</w:t>
            </w:r>
          </w:p>
        </w:tc>
        <w:tc>
          <w:tcPr>
            <w:tcW w:w="833" w:type="pct"/>
          </w:tcPr>
          <w:p w14:paraId="6D813BBA" w14:textId="1D96D97B" w:rsidR="00002E3B" w:rsidRPr="00791794" w:rsidRDefault="00002E3B" w:rsidP="00CE759D">
            <w:pPr>
              <w:pStyle w:val="Tabletext"/>
              <w:keepNext/>
              <w:jc w:val="center"/>
            </w:pPr>
            <w:r w:rsidRPr="00791794">
              <w:t>0.01 (</w:t>
            </w:r>
            <w:r w:rsidR="00675F55">
              <w:noBreakHyphen/>
            </w:r>
            <w:r w:rsidRPr="00791794">
              <w:t>0.02, 0.03)</w:t>
            </w:r>
          </w:p>
        </w:tc>
        <w:tc>
          <w:tcPr>
            <w:tcW w:w="836" w:type="pct"/>
          </w:tcPr>
          <w:p w14:paraId="11DD3A3F" w14:textId="77777777" w:rsidR="00002E3B" w:rsidRPr="00791794" w:rsidRDefault="00002E3B" w:rsidP="00CE759D">
            <w:pPr>
              <w:pStyle w:val="Tabletext"/>
              <w:keepNext/>
              <w:jc w:val="center"/>
            </w:pPr>
            <w:r w:rsidRPr="00791794">
              <w:t>1.14 (0.63, 2.04)</w:t>
            </w:r>
          </w:p>
        </w:tc>
      </w:tr>
      <w:tr w:rsidR="00002E3B" w:rsidRPr="00F260A2" w14:paraId="59B748BE" w14:textId="77777777" w:rsidTr="00002E3B">
        <w:tc>
          <w:tcPr>
            <w:tcW w:w="1960" w:type="pct"/>
          </w:tcPr>
          <w:p w14:paraId="5C1F1E2A" w14:textId="77777777" w:rsidR="00002E3B" w:rsidRPr="000C4ABD" w:rsidRDefault="00002E3B" w:rsidP="00CE759D">
            <w:pPr>
              <w:pStyle w:val="Tabletext"/>
              <w:keepNext/>
            </w:pPr>
            <w:r w:rsidRPr="000C4ABD">
              <w:t xml:space="preserve">SAEs </w:t>
            </w:r>
          </w:p>
        </w:tc>
        <w:tc>
          <w:tcPr>
            <w:tcW w:w="685" w:type="pct"/>
          </w:tcPr>
          <w:p w14:paraId="30D507CD" w14:textId="77777777" w:rsidR="00002E3B" w:rsidRPr="000C4ABD" w:rsidRDefault="00002E3B" w:rsidP="00CE759D">
            <w:pPr>
              <w:pStyle w:val="Tabletext"/>
              <w:keepNext/>
              <w:jc w:val="center"/>
            </w:pPr>
            <w:r w:rsidRPr="000C4ABD">
              <w:t>229 (48.2%)</w:t>
            </w:r>
          </w:p>
        </w:tc>
        <w:tc>
          <w:tcPr>
            <w:tcW w:w="685" w:type="pct"/>
          </w:tcPr>
          <w:p w14:paraId="77991571" w14:textId="77777777" w:rsidR="00002E3B" w:rsidRPr="000C4ABD" w:rsidRDefault="00002E3B" w:rsidP="00CE759D">
            <w:pPr>
              <w:pStyle w:val="Tabletext"/>
              <w:keepNext/>
              <w:jc w:val="center"/>
            </w:pPr>
            <w:r w:rsidRPr="000C4ABD">
              <w:t>207 (44.1%)</w:t>
            </w:r>
          </w:p>
        </w:tc>
        <w:tc>
          <w:tcPr>
            <w:tcW w:w="833" w:type="pct"/>
          </w:tcPr>
          <w:p w14:paraId="46D88550" w14:textId="1777F606" w:rsidR="00002E3B" w:rsidRPr="00791794" w:rsidRDefault="00002E3B" w:rsidP="00CE759D">
            <w:pPr>
              <w:pStyle w:val="Tabletext"/>
              <w:keepNext/>
              <w:jc w:val="center"/>
            </w:pPr>
            <w:r w:rsidRPr="00791794">
              <w:t>0.04 (</w:t>
            </w:r>
            <w:r w:rsidR="00675F55">
              <w:noBreakHyphen/>
            </w:r>
            <w:r w:rsidRPr="00791794">
              <w:t>0.02, 0.10)</w:t>
            </w:r>
          </w:p>
        </w:tc>
        <w:tc>
          <w:tcPr>
            <w:tcW w:w="836" w:type="pct"/>
          </w:tcPr>
          <w:p w14:paraId="7B7F323D" w14:textId="77777777" w:rsidR="00002E3B" w:rsidRPr="00791794" w:rsidRDefault="00002E3B" w:rsidP="00CE759D">
            <w:pPr>
              <w:pStyle w:val="Tabletext"/>
              <w:keepNext/>
              <w:jc w:val="center"/>
            </w:pPr>
            <w:r w:rsidRPr="00791794">
              <w:t>1.09 (0.95, 1.25)</w:t>
            </w:r>
          </w:p>
        </w:tc>
      </w:tr>
      <w:tr w:rsidR="00002E3B" w:rsidRPr="00F260A2" w14:paraId="21A1F3BF" w14:textId="77777777" w:rsidTr="00002E3B">
        <w:tc>
          <w:tcPr>
            <w:tcW w:w="1960" w:type="pct"/>
          </w:tcPr>
          <w:p w14:paraId="676E8128" w14:textId="77777777" w:rsidR="00002E3B" w:rsidRPr="00422F4D" w:rsidRDefault="00002E3B" w:rsidP="00CE759D">
            <w:pPr>
              <w:pStyle w:val="Tabletext"/>
              <w:keepNext/>
              <w:ind w:left="283"/>
            </w:pPr>
            <w:r w:rsidRPr="00422F4D">
              <w:t>possibly related to durvalumab/</w:t>
            </w:r>
            <w:r>
              <w:t>pbo</w:t>
            </w:r>
            <w:r w:rsidRPr="00422F4D">
              <w:t xml:space="preserve"> </w:t>
            </w:r>
          </w:p>
        </w:tc>
        <w:tc>
          <w:tcPr>
            <w:tcW w:w="685" w:type="pct"/>
          </w:tcPr>
          <w:p w14:paraId="155DB719" w14:textId="77777777" w:rsidR="00002E3B" w:rsidRPr="00422F4D" w:rsidRDefault="00002E3B" w:rsidP="00CE759D">
            <w:pPr>
              <w:pStyle w:val="Tabletext"/>
              <w:keepNext/>
              <w:jc w:val="center"/>
            </w:pPr>
            <w:r w:rsidRPr="00422F4D">
              <w:t>40 (8.4%)</w:t>
            </w:r>
          </w:p>
        </w:tc>
        <w:tc>
          <w:tcPr>
            <w:tcW w:w="685" w:type="pct"/>
          </w:tcPr>
          <w:p w14:paraId="4745EC35" w14:textId="77777777" w:rsidR="00002E3B" w:rsidRPr="00422F4D" w:rsidRDefault="00002E3B" w:rsidP="00CE759D">
            <w:pPr>
              <w:pStyle w:val="Tabletext"/>
              <w:keepNext/>
              <w:jc w:val="center"/>
            </w:pPr>
            <w:r w:rsidRPr="00422F4D">
              <w:t>25 (5.3%)</w:t>
            </w:r>
          </w:p>
        </w:tc>
        <w:tc>
          <w:tcPr>
            <w:tcW w:w="833" w:type="pct"/>
          </w:tcPr>
          <w:p w14:paraId="60839AF2" w14:textId="7C38D296" w:rsidR="00002E3B" w:rsidRPr="00791794" w:rsidRDefault="00002E3B" w:rsidP="00CE759D">
            <w:pPr>
              <w:pStyle w:val="Tabletext"/>
              <w:keepNext/>
              <w:jc w:val="center"/>
            </w:pPr>
            <w:r w:rsidRPr="00791794">
              <w:t>0.03 (</w:t>
            </w:r>
            <w:r w:rsidR="00675F55">
              <w:noBreakHyphen/>
            </w:r>
            <w:r w:rsidRPr="00791794">
              <w:t>0.00, 0.06)</w:t>
            </w:r>
          </w:p>
        </w:tc>
        <w:tc>
          <w:tcPr>
            <w:tcW w:w="836" w:type="pct"/>
          </w:tcPr>
          <w:p w14:paraId="33DC331F" w14:textId="77777777" w:rsidR="00002E3B" w:rsidRPr="00791794" w:rsidRDefault="00002E3B" w:rsidP="00CE759D">
            <w:pPr>
              <w:pStyle w:val="Tabletext"/>
              <w:keepNext/>
              <w:jc w:val="center"/>
            </w:pPr>
            <w:r w:rsidRPr="00791794">
              <w:t>1.58 (0.97, 2.56)</w:t>
            </w:r>
          </w:p>
        </w:tc>
      </w:tr>
      <w:tr w:rsidR="00002E3B" w:rsidRPr="00F260A2" w14:paraId="3240DAF2" w14:textId="77777777" w:rsidTr="00002E3B">
        <w:tc>
          <w:tcPr>
            <w:tcW w:w="1960" w:type="pct"/>
          </w:tcPr>
          <w:p w14:paraId="5D10A4CD" w14:textId="79A18995" w:rsidR="00002E3B" w:rsidRPr="00422F4D" w:rsidRDefault="00002E3B" w:rsidP="00CE759D">
            <w:pPr>
              <w:pStyle w:val="Tabletext"/>
              <w:keepNext/>
              <w:ind w:left="283"/>
            </w:pPr>
            <w:r w:rsidRPr="00422F4D">
              <w:t xml:space="preserve">possibly related to any FLOT (at least </w:t>
            </w:r>
            <w:r w:rsidR="0049319D">
              <w:br/>
            </w:r>
            <w:r w:rsidRPr="00422F4D">
              <w:t>1 drug)</w:t>
            </w:r>
          </w:p>
        </w:tc>
        <w:tc>
          <w:tcPr>
            <w:tcW w:w="685" w:type="pct"/>
          </w:tcPr>
          <w:p w14:paraId="628F3213" w14:textId="77777777" w:rsidR="00002E3B" w:rsidRPr="00422F4D" w:rsidRDefault="00002E3B" w:rsidP="00CE759D">
            <w:pPr>
              <w:pStyle w:val="Tabletext"/>
              <w:keepNext/>
              <w:jc w:val="center"/>
            </w:pPr>
            <w:r w:rsidRPr="00422F4D">
              <w:t>81 (17.1%)</w:t>
            </w:r>
          </w:p>
        </w:tc>
        <w:tc>
          <w:tcPr>
            <w:tcW w:w="685" w:type="pct"/>
          </w:tcPr>
          <w:p w14:paraId="2A80E86F" w14:textId="77777777" w:rsidR="00002E3B" w:rsidRPr="00422F4D" w:rsidRDefault="00002E3B" w:rsidP="00CE759D">
            <w:pPr>
              <w:pStyle w:val="Tabletext"/>
              <w:keepNext/>
              <w:jc w:val="center"/>
            </w:pPr>
            <w:r w:rsidRPr="00422F4D">
              <w:t>72 (15.4%)</w:t>
            </w:r>
          </w:p>
        </w:tc>
        <w:tc>
          <w:tcPr>
            <w:tcW w:w="833" w:type="pct"/>
          </w:tcPr>
          <w:p w14:paraId="2E61A286" w14:textId="65466CFA" w:rsidR="00002E3B" w:rsidRPr="00791794" w:rsidRDefault="00002E3B" w:rsidP="00CE759D">
            <w:pPr>
              <w:pStyle w:val="Tabletext"/>
              <w:keepNext/>
              <w:jc w:val="center"/>
            </w:pPr>
            <w:r w:rsidRPr="00791794">
              <w:t>0.02 (</w:t>
            </w:r>
            <w:r w:rsidR="00675F55">
              <w:noBreakHyphen/>
            </w:r>
            <w:r w:rsidRPr="00791794">
              <w:t>0.03, 0.06)</w:t>
            </w:r>
          </w:p>
        </w:tc>
        <w:tc>
          <w:tcPr>
            <w:tcW w:w="836" w:type="pct"/>
          </w:tcPr>
          <w:p w14:paraId="72A4AAFF" w14:textId="77777777" w:rsidR="00002E3B" w:rsidRPr="00791794" w:rsidRDefault="00002E3B" w:rsidP="00CE759D">
            <w:pPr>
              <w:pStyle w:val="Tabletext"/>
              <w:keepNext/>
              <w:jc w:val="center"/>
            </w:pPr>
            <w:r w:rsidRPr="00791794">
              <w:t>1.11 (0.83, 1.49)</w:t>
            </w:r>
          </w:p>
        </w:tc>
      </w:tr>
      <w:tr w:rsidR="00002E3B" w:rsidRPr="00F260A2" w14:paraId="2B4E2805" w14:textId="77777777" w:rsidTr="00002E3B">
        <w:trPr>
          <w:trHeight w:val="206"/>
        </w:trPr>
        <w:tc>
          <w:tcPr>
            <w:tcW w:w="1960" w:type="pct"/>
          </w:tcPr>
          <w:p w14:paraId="7D1C3560" w14:textId="77777777" w:rsidR="00002E3B" w:rsidRPr="000C4ABD" w:rsidRDefault="00002E3B" w:rsidP="00CE759D">
            <w:pPr>
              <w:pStyle w:val="Tabletext"/>
              <w:keepNext/>
            </w:pPr>
            <w:r w:rsidRPr="000C4ABD">
              <w:t xml:space="preserve">AEs leading to discontinuation of study drug </w:t>
            </w:r>
          </w:p>
        </w:tc>
        <w:tc>
          <w:tcPr>
            <w:tcW w:w="685" w:type="pct"/>
          </w:tcPr>
          <w:p w14:paraId="3E389E4F" w14:textId="77777777" w:rsidR="00002E3B" w:rsidRPr="000C4ABD" w:rsidRDefault="00002E3B" w:rsidP="00CE759D">
            <w:pPr>
              <w:pStyle w:val="Tabletext"/>
              <w:keepNext/>
              <w:jc w:val="center"/>
            </w:pPr>
            <w:r w:rsidRPr="000C4ABD">
              <w:t>142 (29.9%)</w:t>
            </w:r>
          </w:p>
        </w:tc>
        <w:tc>
          <w:tcPr>
            <w:tcW w:w="685" w:type="pct"/>
          </w:tcPr>
          <w:p w14:paraId="1D1E0F0C" w14:textId="77777777" w:rsidR="00002E3B" w:rsidRPr="000C4ABD" w:rsidRDefault="00002E3B" w:rsidP="00CE759D">
            <w:pPr>
              <w:pStyle w:val="Tabletext"/>
              <w:keepNext/>
              <w:jc w:val="center"/>
            </w:pPr>
            <w:r w:rsidRPr="000C4ABD">
              <w:t>107 (22.8%)</w:t>
            </w:r>
          </w:p>
        </w:tc>
        <w:tc>
          <w:tcPr>
            <w:tcW w:w="833" w:type="pct"/>
          </w:tcPr>
          <w:p w14:paraId="25340ABD" w14:textId="77777777" w:rsidR="00002E3B" w:rsidRPr="00791794" w:rsidRDefault="00002E3B" w:rsidP="00CE759D">
            <w:pPr>
              <w:pStyle w:val="Tabletext"/>
              <w:keepNext/>
              <w:jc w:val="center"/>
              <w:rPr>
                <w:bCs/>
              </w:rPr>
            </w:pPr>
            <w:r w:rsidRPr="00791794">
              <w:rPr>
                <w:bCs/>
              </w:rPr>
              <w:t>0.07 (0.01, 0.13)</w:t>
            </w:r>
          </w:p>
        </w:tc>
        <w:tc>
          <w:tcPr>
            <w:tcW w:w="836" w:type="pct"/>
          </w:tcPr>
          <w:p w14:paraId="588CC428" w14:textId="77777777" w:rsidR="00002E3B" w:rsidRPr="00791794" w:rsidRDefault="00002E3B" w:rsidP="00CE759D">
            <w:pPr>
              <w:pStyle w:val="Tabletext"/>
              <w:keepNext/>
              <w:jc w:val="center"/>
              <w:rPr>
                <w:bCs/>
              </w:rPr>
            </w:pPr>
            <w:r w:rsidRPr="00791794">
              <w:rPr>
                <w:bCs/>
              </w:rPr>
              <w:t>1.31 (1.06, 1.63)</w:t>
            </w:r>
          </w:p>
        </w:tc>
      </w:tr>
      <w:tr w:rsidR="00002E3B" w:rsidRPr="00F260A2" w14:paraId="4FA270D0" w14:textId="77777777" w:rsidTr="00002E3B">
        <w:tc>
          <w:tcPr>
            <w:tcW w:w="1960" w:type="pct"/>
            <w:hideMark/>
          </w:tcPr>
          <w:p w14:paraId="70621A76" w14:textId="77777777" w:rsidR="00002E3B" w:rsidRPr="000C4ABD" w:rsidRDefault="00002E3B" w:rsidP="00CE759D">
            <w:pPr>
              <w:pStyle w:val="Tabletext"/>
              <w:keepNext/>
            </w:pPr>
            <w:r w:rsidRPr="000C4ABD">
              <w:t>AEs leading to discontinuation of any study drug, possibly related to any study drug</w:t>
            </w:r>
          </w:p>
        </w:tc>
        <w:tc>
          <w:tcPr>
            <w:tcW w:w="685" w:type="pct"/>
            <w:hideMark/>
          </w:tcPr>
          <w:p w14:paraId="7E9E081D" w14:textId="77777777" w:rsidR="00002E3B" w:rsidRPr="000C4ABD" w:rsidRDefault="00002E3B" w:rsidP="00CE759D">
            <w:pPr>
              <w:pStyle w:val="Tabletext"/>
              <w:keepNext/>
              <w:jc w:val="center"/>
            </w:pPr>
            <w:r w:rsidRPr="000C4ABD">
              <w:t>122 (25.7%)</w:t>
            </w:r>
          </w:p>
        </w:tc>
        <w:tc>
          <w:tcPr>
            <w:tcW w:w="685" w:type="pct"/>
            <w:hideMark/>
          </w:tcPr>
          <w:p w14:paraId="0FAA4C6E" w14:textId="77777777" w:rsidR="00002E3B" w:rsidRPr="000C4ABD" w:rsidRDefault="00002E3B" w:rsidP="00CE759D">
            <w:pPr>
              <w:pStyle w:val="Tabletext"/>
              <w:keepNext/>
              <w:jc w:val="center"/>
            </w:pPr>
            <w:r w:rsidRPr="000C4ABD">
              <w:t>90 (19.2%)</w:t>
            </w:r>
          </w:p>
        </w:tc>
        <w:tc>
          <w:tcPr>
            <w:tcW w:w="833" w:type="pct"/>
          </w:tcPr>
          <w:p w14:paraId="1342D03C" w14:textId="77777777" w:rsidR="00002E3B" w:rsidRPr="00791794" w:rsidRDefault="00002E3B" w:rsidP="00CE759D">
            <w:pPr>
              <w:pStyle w:val="Tabletext"/>
              <w:keepNext/>
              <w:jc w:val="center"/>
              <w:rPr>
                <w:bCs/>
              </w:rPr>
            </w:pPr>
            <w:r w:rsidRPr="00791794">
              <w:rPr>
                <w:bCs/>
              </w:rPr>
              <w:t>0.06 (0.01, 0.12)</w:t>
            </w:r>
          </w:p>
        </w:tc>
        <w:tc>
          <w:tcPr>
            <w:tcW w:w="836" w:type="pct"/>
          </w:tcPr>
          <w:p w14:paraId="053B5116" w14:textId="77777777" w:rsidR="00002E3B" w:rsidRPr="00791794" w:rsidRDefault="00002E3B" w:rsidP="00CE759D">
            <w:pPr>
              <w:pStyle w:val="Tabletext"/>
              <w:keepNext/>
              <w:jc w:val="center"/>
              <w:rPr>
                <w:bCs/>
              </w:rPr>
            </w:pPr>
            <w:r w:rsidRPr="00791794">
              <w:rPr>
                <w:bCs/>
              </w:rPr>
              <w:t>1.34 (1.05, 1.70)</w:t>
            </w:r>
          </w:p>
        </w:tc>
      </w:tr>
      <w:tr w:rsidR="00002E3B" w:rsidRPr="00F260A2" w14:paraId="47DCA8EC" w14:textId="77777777" w:rsidTr="00002E3B">
        <w:tc>
          <w:tcPr>
            <w:tcW w:w="1960" w:type="pct"/>
          </w:tcPr>
          <w:p w14:paraId="25CEC1C4" w14:textId="77777777" w:rsidR="00002E3B" w:rsidRPr="00CF71D9" w:rsidRDefault="00002E3B" w:rsidP="00CE759D">
            <w:pPr>
              <w:pStyle w:val="Tabletext"/>
              <w:keepNext/>
            </w:pPr>
            <w:r w:rsidRPr="00CF71D9">
              <w:t>imAEs and infusion reaction AEs</w:t>
            </w:r>
          </w:p>
        </w:tc>
        <w:tc>
          <w:tcPr>
            <w:tcW w:w="685" w:type="pct"/>
          </w:tcPr>
          <w:p w14:paraId="07EC4CC1" w14:textId="77777777" w:rsidR="00002E3B" w:rsidRPr="00CF71D9" w:rsidRDefault="00002E3B" w:rsidP="00CE759D">
            <w:pPr>
              <w:pStyle w:val="Tabletext"/>
              <w:keepNext/>
            </w:pPr>
          </w:p>
        </w:tc>
        <w:tc>
          <w:tcPr>
            <w:tcW w:w="685" w:type="pct"/>
          </w:tcPr>
          <w:p w14:paraId="0F4945B5" w14:textId="77777777" w:rsidR="00002E3B" w:rsidRPr="00CF71D9" w:rsidRDefault="00002E3B" w:rsidP="00CE759D">
            <w:pPr>
              <w:pStyle w:val="Tabletext"/>
              <w:keepNext/>
            </w:pPr>
          </w:p>
        </w:tc>
        <w:tc>
          <w:tcPr>
            <w:tcW w:w="833" w:type="pct"/>
          </w:tcPr>
          <w:p w14:paraId="0903F012" w14:textId="77777777" w:rsidR="00002E3B" w:rsidRPr="00791794" w:rsidRDefault="00002E3B" w:rsidP="00CE759D">
            <w:pPr>
              <w:pStyle w:val="Tabletext"/>
              <w:keepNext/>
              <w:rPr>
                <w:bCs/>
              </w:rPr>
            </w:pPr>
          </w:p>
        </w:tc>
        <w:tc>
          <w:tcPr>
            <w:tcW w:w="836" w:type="pct"/>
          </w:tcPr>
          <w:p w14:paraId="771DA8AB" w14:textId="77777777" w:rsidR="00002E3B" w:rsidRPr="00791794" w:rsidRDefault="00002E3B" w:rsidP="00CE759D">
            <w:pPr>
              <w:pStyle w:val="Tabletext"/>
              <w:keepNext/>
              <w:rPr>
                <w:bCs/>
              </w:rPr>
            </w:pPr>
          </w:p>
        </w:tc>
      </w:tr>
      <w:tr w:rsidR="00002E3B" w:rsidRPr="00F260A2" w14:paraId="37E6CCE6" w14:textId="77777777" w:rsidTr="00002E3B">
        <w:tc>
          <w:tcPr>
            <w:tcW w:w="1960" w:type="pct"/>
            <w:hideMark/>
          </w:tcPr>
          <w:p w14:paraId="774948DD" w14:textId="77777777" w:rsidR="00002E3B" w:rsidRPr="000C4ABD" w:rsidRDefault="00002E3B" w:rsidP="00CE759D">
            <w:pPr>
              <w:pStyle w:val="Tabletext"/>
              <w:keepNext/>
              <w:ind w:left="283"/>
            </w:pPr>
            <w:r w:rsidRPr="000C4ABD">
              <w:t>imAEs</w:t>
            </w:r>
          </w:p>
        </w:tc>
        <w:tc>
          <w:tcPr>
            <w:tcW w:w="685" w:type="pct"/>
            <w:hideMark/>
          </w:tcPr>
          <w:p w14:paraId="517D2C09" w14:textId="77777777" w:rsidR="00002E3B" w:rsidRPr="000C4ABD" w:rsidRDefault="00002E3B" w:rsidP="00CE759D">
            <w:pPr>
              <w:pStyle w:val="Tabletext"/>
              <w:keepNext/>
              <w:jc w:val="center"/>
            </w:pPr>
            <w:r w:rsidRPr="000C4ABD">
              <w:t>110 (23.2%)</w:t>
            </w:r>
          </w:p>
        </w:tc>
        <w:tc>
          <w:tcPr>
            <w:tcW w:w="685" w:type="pct"/>
            <w:hideMark/>
          </w:tcPr>
          <w:p w14:paraId="4A0F48E2" w14:textId="77777777" w:rsidR="00002E3B" w:rsidRPr="000C4ABD" w:rsidRDefault="00002E3B" w:rsidP="00CE759D">
            <w:pPr>
              <w:pStyle w:val="Tabletext"/>
              <w:keepNext/>
              <w:jc w:val="center"/>
            </w:pPr>
            <w:r w:rsidRPr="000C4ABD">
              <w:t>34 (7.2%)</w:t>
            </w:r>
          </w:p>
        </w:tc>
        <w:tc>
          <w:tcPr>
            <w:tcW w:w="833" w:type="pct"/>
          </w:tcPr>
          <w:p w14:paraId="476BEA5B" w14:textId="77777777" w:rsidR="00002E3B" w:rsidRPr="00791794" w:rsidRDefault="00002E3B" w:rsidP="00CE759D">
            <w:pPr>
              <w:pStyle w:val="Tabletext"/>
              <w:keepNext/>
              <w:jc w:val="center"/>
              <w:rPr>
                <w:bCs/>
              </w:rPr>
            </w:pPr>
            <w:r w:rsidRPr="00791794">
              <w:rPr>
                <w:bCs/>
              </w:rPr>
              <w:t>0.16 (0.11, 0.20)</w:t>
            </w:r>
          </w:p>
        </w:tc>
        <w:tc>
          <w:tcPr>
            <w:tcW w:w="836" w:type="pct"/>
          </w:tcPr>
          <w:p w14:paraId="120A8040" w14:textId="77777777" w:rsidR="00002E3B" w:rsidRPr="00791794" w:rsidRDefault="00002E3B" w:rsidP="00CE759D">
            <w:pPr>
              <w:pStyle w:val="Tabletext"/>
              <w:keepNext/>
              <w:jc w:val="center"/>
              <w:rPr>
                <w:bCs/>
              </w:rPr>
            </w:pPr>
            <w:r w:rsidRPr="00791794">
              <w:rPr>
                <w:bCs/>
              </w:rPr>
              <w:t>3.19 (2.22, 4.59)</w:t>
            </w:r>
          </w:p>
        </w:tc>
      </w:tr>
      <w:tr w:rsidR="00002E3B" w:rsidRPr="00F260A2" w14:paraId="105902A7" w14:textId="77777777" w:rsidTr="00002E3B">
        <w:tc>
          <w:tcPr>
            <w:tcW w:w="1960" w:type="pct"/>
            <w:hideMark/>
          </w:tcPr>
          <w:p w14:paraId="2C4F6F7E" w14:textId="18346C3B" w:rsidR="00002E3B" w:rsidRPr="000C4ABD" w:rsidRDefault="001D7F05" w:rsidP="00CE759D">
            <w:pPr>
              <w:pStyle w:val="Tabletext"/>
              <w:keepNext/>
              <w:ind w:left="283"/>
            </w:pPr>
            <w:r>
              <w:t>i</w:t>
            </w:r>
            <w:r w:rsidR="00002E3B" w:rsidRPr="000C4ABD">
              <w:t xml:space="preserve">nfusion reaction AEs </w:t>
            </w:r>
          </w:p>
        </w:tc>
        <w:tc>
          <w:tcPr>
            <w:tcW w:w="685" w:type="pct"/>
            <w:hideMark/>
          </w:tcPr>
          <w:p w14:paraId="7E7509BD" w14:textId="77777777" w:rsidR="00002E3B" w:rsidRPr="000C4ABD" w:rsidRDefault="00002E3B" w:rsidP="00CE759D">
            <w:pPr>
              <w:pStyle w:val="Tabletext"/>
              <w:keepNext/>
              <w:jc w:val="center"/>
            </w:pPr>
            <w:r w:rsidRPr="000C4ABD">
              <w:t>100 (21.1%)</w:t>
            </w:r>
          </w:p>
        </w:tc>
        <w:tc>
          <w:tcPr>
            <w:tcW w:w="685" w:type="pct"/>
            <w:hideMark/>
          </w:tcPr>
          <w:p w14:paraId="6B03971C" w14:textId="77777777" w:rsidR="00002E3B" w:rsidRPr="000C4ABD" w:rsidRDefault="00002E3B" w:rsidP="00CE759D">
            <w:pPr>
              <w:pStyle w:val="Tabletext"/>
              <w:keepNext/>
              <w:jc w:val="center"/>
            </w:pPr>
            <w:r w:rsidRPr="000C4ABD">
              <w:t>59 (12.6%)</w:t>
            </w:r>
          </w:p>
        </w:tc>
        <w:tc>
          <w:tcPr>
            <w:tcW w:w="833" w:type="pct"/>
          </w:tcPr>
          <w:p w14:paraId="03C90C54" w14:textId="77777777" w:rsidR="00002E3B" w:rsidRPr="00791794" w:rsidRDefault="00002E3B" w:rsidP="00CE759D">
            <w:pPr>
              <w:pStyle w:val="Tabletext"/>
              <w:keepNext/>
              <w:jc w:val="center"/>
              <w:rPr>
                <w:bCs/>
              </w:rPr>
            </w:pPr>
            <w:r w:rsidRPr="00791794">
              <w:rPr>
                <w:bCs/>
              </w:rPr>
              <w:t>0.08 (0.04, 0.13)</w:t>
            </w:r>
          </w:p>
        </w:tc>
        <w:tc>
          <w:tcPr>
            <w:tcW w:w="836" w:type="pct"/>
          </w:tcPr>
          <w:p w14:paraId="52EAAF6E" w14:textId="77777777" w:rsidR="00002E3B" w:rsidRPr="00791794" w:rsidRDefault="00002E3B" w:rsidP="00CE759D">
            <w:pPr>
              <w:pStyle w:val="Tabletext"/>
              <w:keepNext/>
              <w:jc w:val="center"/>
              <w:rPr>
                <w:bCs/>
              </w:rPr>
            </w:pPr>
            <w:r w:rsidRPr="00791794">
              <w:rPr>
                <w:bCs/>
              </w:rPr>
              <w:t>1.67 (1.25, 2.25)</w:t>
            </w:r>
          </w:p>
        </w:tc>
      </w:tr>
    </w:tbl>
    <w:p w14:paraId="41C78587" w14:textId="6FDF973B" w:rsidR="00002E3B" w:rsidRPr="00991D7D" w:rsidRDefault="00002E3B" w:rsidP="00C1302F">
      <w:pPr>
        <w:pStyle w:val="TableFigureFooter"/>
      </w:pPr>
      <w:r w:rsidRPr="00991D7D">
        <w:t>Source: Table 2</w:t>
      </w:r>
      <w:r w:rsidR="00675F55">
        <w:noBreakHyphen/>
      </w:r>
      <w:r w:rsidRPr="00991D7D">
        <w:t>27 pp91</w:t>
      </w:r>
      <w:r w:rsidR="00675F55">
        <w:noBreakHyphen/>
      </w:r>
      <w:r w:rsidRPr="00991D7D">
        <w:t>92 of the submission</w:t>
      </w:r>
      <w:r w:rsidR="004E005F" w:rsidRPr="00991D7D">
        <w:t>.</w:t>
      </w:r>
    </w:p>
    <w:p w14:paraId="1E5A631D" w14:textId="6B171B51" w:rsidR="00002E3B" w:rsidRPr="00991D7D" w:rsidRDefault="00002E3B" w:rsidP="00C1302F">
      <w:pPr>
        <w:pStyle w:val="TableFigureFooter"/>
      </w:pPr>
      <w:r w:rsidRPr="00991D7D">
        <w:t xml:space="preserve">AE = adverse event; CI = confidence interval; CTCAE = common terminology criteria for adverse event; D = durvalumab; </w:t>
      </w:r>
      <w:r w:rsidR="009D4A33" w:rsidRPr="00991D7D">
        <w:br/>
      </w:r>
      <w:r w:rsidRPr="00991D7D">
        <w:t>FLOT = 5</w:t>
      </w:r>
      <w:r w:rsidR="00675F55">
        <w:noBreakHyphen/>
      </w:r>
      <w:r w:rsidRPr="00991D7D">
        <w:t>fluorouracil, leucovorin, oxaliplatin and docetaxel; imAE = immune</w:t>
      </w:r>
      <w:r w:rsidR="00675F55">
        <w:noBreakHyphen/>
      </w:r>
      <w:r w:rsidRPr="00991D7D">
        <w:t>mediated adverse event; Pbo = placebo; RD = risk difference; RR = relative risk; SAE = serious adverse event</w:t>
      </w:r>
      <w:r w:rsidR="00FC2AFC" w:rsidRPr="00991D7D">
        <w:t>.</w:t>
      </w:r>
    </w:p>
    <w:p w14:paraId="6577175D" w14:textId="1E1603D6" w:rsidR="00002E3B" w:rsidRPr="00991D7D" w:rsidRDefault="00002E3B" w:rsidP="00C1302F">
      <w:pPr>
        <w:pStyle w:val="TableFigureFooter"/>
      </w:pPr>
      <w:r w:rsidRPr="00991D7D">
        <w:rPr>
          <w:vertAlign w:val="superscript"/>
        </w:rPr>
        <w:t>a</w:t>
      </w:r>
      <w:r w:rsidRPr="00991D7D">
        <w:t xml:space="preserve"> Calculated using RevMan for the purpose of this Commentary</w:t>
      </w:r>
      <w:r w:rsidR="00FC2AFC" w:rsidRPr="00991D7D">
        <w:t>.</w:t>
      </w:r>
    </w:p>
    <w:p w14:paraId="24C83184" w14:textId="123A0318" w:rsidR="00002E3B" w:rsidRPr="00991D7D" w:rsidRDefault="00002E3B" w:rsidP="00C1302F">
      <w:pPr>
        <w:pStyle w:val="TableFigureFooter"/>
      </w:pPr>
      <w:r w:rsidRPr="00991D7D">
        <w:rPr>
          <w:vertAlign w:val="superscript"/>
        </w:rPr>
        <w:t>b</w:t>
      </w:r>
      <w:r w:rsidRPr="00991D7D">
        <w:t> Patients with any Grade 5 AE are not included</w:t>
      </w:r>
      <w:r w:rsidR="00FC2AFC" w:rsidRPr="00991D7D">
        <w:t>.</w:t>
      </w:r>
    </w:p>
    <w:p w14:paraId="04908C7F" w14:textId="415B9B7D" w:rsidR="007F1017" w:rsidRPr="0098262F" w:rsidRDefault="007F1017" w:rsidP="00307952">
      <w:pPr>
        <w:pStyle w:val="4-SubsectionHeading"/>
        <w:spacing w:before="160" w:after="160"/>
      </w:pPr>
      <w:bookmarkStart w:id="35" w:name="_Toc22897643"/>
      <w:bookmarkStart w:id="36" w:name="_Toc219379969"/>
      <w:r w:rsidRPr="0098262F">
        <w:t>Benefits/harms</w:t>
      </w:r>
      <w:bookmarkEnd w:id="35"/>
      <w:bookmarkEnd w:id="36"/>
    </w:p>
    <w:p w14:paraId="1CB772FF" w14:textId="5DAAE41C" w:rsidR="00E723BA" w:rsidRPr="0098262F" w:rsidRDefault="00EC00C9" w:rsidP="00307952">
      <w:pPr>
        <w:pStyle w:val="3-BodyText"/>
        <w:spacing w:before="160" w:after="160"/>
        <w:rPr>
          <w:rStyle w:val="CommentReference"/>
          <w:color w:val="0066FF"/>
        </w:rPr>
      </w:pPr>
      <w:r w:rsidRPr="0098262F">
        <w:t xml:space="preserve">A summary of the comparative benefits and harms for </w:t>
      </w:r>
      <w:r w:rsidR="00076B88">
        <w:t>D + FLOT</w:t>
      </w:r>
      <w:r w:rsidRPr="0098262F">
        <w:t xml:space="preserve"> versus </w:t>
      </w:r>
      <w:r w:rsidR="00076B88">
        <w:t>Pbo + FLOT</w:t>
      </w:r>
      <w:r w:rsidRPr="0098262F">
        <w:t xml:space="preserve"> is presented in</w:t>
      </w:r>
      <w:r w:rsidR="00E16AD8" w:rsidRPr="0098262F">
        <w:t xml:space="preserve"> </w:t>
      </w:r>
      <w:r w:rsidR="0061244D">
        <w:fldChar w:fldCharType="begin"/>
      </w:r>
      <w:r w:rsidR="0061244D">
        <w:instrText xml:space="preserve"> REF _Ref216701898 \h </w:instrText>
      </w:r>
      <w:r w:rsidR="0061244D">
        <w:fldChar w:fldCharType="separate"/>
      </w:r>
      <w:r w:rsidR="00E71342" w:rsidRPr="0098262F">
        <w:t>Table</w:t>
      </w:r>
      <w:r w:rsidR="00E71342">
        <w:t xml:space="preserve"> </w:t>
      </w:r>
      <w:r w:rsidR="00E71342">
        <w:rPr>
          <w:noProof/>
        </w:rPr>
        <w:t>8</w:t>
      </w:r>
      <w:r w:rsidR="0061244D">
        <w:fldChar w:fldCharType="end"/>
      </w:r>
      <w:r w:rsidRPr="0098262F">
        <w:t>.</w:t>
      </w:r>
    </w:p>
    <w:p w14:paraId="04AC1B54" w14:textId="15C04EAB" w:rsidR="00B62715" w:rsidRDefault="00D6076E" w:rsidP="008A5036">
      <w:pPr>
        <w:pStyle w:val="Caption"/>
        <w:rPr>
          <w:rStyle w:val="CommentReference"/>
          <w:b/>
          <w:szCs w:val="24"/>
        </w:rPr>
      </w:pPr>
      <w:bookmarkStart w:id="37" w:name="_Ref216701898"/>
      <w:bookmarkStart w:id="38" w:name="_Ref216693687"/>
      <w:r w:rsidRPr="0098262F">
        <w:t>Table</w:t>
      </w:r>
      <w:r w:rsidR="004274DC">
        <w:t xml:space="preserve"> </w:t>
      </w:r>
      <w:fldSimple w:instr=" SEQ Table_ \* ARABIC ">
        <w:r w:rsidR="00E71342">
          <w:rPr>
            <w:noProof/>
          </w:rPr>
          <w:t>8</w:t>
        </w:r>
      </w:fldSimple>
      <w:bookmarkEnd w:id="37"/>
      <w:r w:rsidR="00CE0A7E">
        <w:t>:</w:t>
      </w:r>
      <w:r w:rsidRPr="0098262F">
        <w:t xml:space="preserve"> </w:t>
      </w:r>
      <w:r w:rsidR="00B62715" w:rsidRPr="0098262F">
        <w:rPr>
          <w:rStyle w:val="CommentReference"/>
          <w:b/>
          <w:szCs w:val="24"/>
        </w:rPr>
        <w:t xml:space="preserve">Summary of comparative benefits and harms for </w:t>
      </w:r>
      <w:r w:rsidR="004274DC">
        <w:rPr>
          <w:rStyle w:val="CommentReference"/>
          <w:b/>
          <w:szCs w:val="24"/>
        </w:rPr>
        <w:t>D + FLOT</w:t>
      </w:r>
      <w:r w:rsidR="00B62715" w:rsidRPr="0098262F">
        <w:rPr>
          <w:rStyle w:val="CommentReference"/>
          <w:b/>
          <w:szCs w:val="24"/>
        </w:rPr>
        <w:t xml:space="preserve"> and </w:t>
      </w:r>
      <w:r w:rsidR="004274DC">
        <w:rPr>
          <w:rStyle w:val="CommentReference"/>
          <w:b/>
          <w:szCs w:val="24"/>
        </w:rPr>
        <w:t>Pbo + FLOT</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Caption w:val="Table 8: Summary of comparative benefits and harms for D + FLOT and Pbo + FLOT"/>
      </w:tblPr>
      <w:tblGrid>
        <w:gridCol w:w="1581"/>
        <w:gridCol w:w="1120"/>
        <w:gridCol w:w="413"/>
        <w:gridCol w:w="671"/>
        <w:gridCol w:w="747"/>
        <w:gridCol w:w="595"/>
        <w:gridCol w:w="967"/>
        <w:gridCol w:w="420"/>
        <w:gridCol w:w="997"/>
        <w:gridCol w:w="280"/>
        <w:gridCol w:w="1226"/>
      </w:tblGrid>
      <w:tr w:rsidR="00674DA5" w:rsidRPr="00CA1512" w14:paraId="5A051CE5" w14:textId="77777777" w:rsidTr="00177DDB">
        <w:trPr>
          <w:cantSplit/>
          <w:trHeight w:val="227"/>
        </w:trPr>
        <w:tc>
          <w:tcPr>
            <w:tcW w:w="5000" w:type="pct"/>
            <w:gridSpan w:val="11"/>
            <w:tcMar>
              <w:top w:w="0" w:type="dxa"/>
              <w:left w:w="108" w:type="dxa"/>
              <w:bottom w:w="0" w:type="dxa"/>
              <w:right w:w="108" w:type="dxa"/>
            </w:tcMar>
            <w:vAlign w:val="center"/>
          </w:tcPr>
          <w:p w14:paraId="4C28F328" w14:textId="64B8B082" w:rsidR="00674DA5" w:rsidRPr="00CA1512" w:rsidRDefault="00674DA5" w:rsidP="00817C3B">
            <w:pPr>
              <w:pStyle w:val="TableFigureHeading"/>
              <w:keepNext w:val="0"/>
              <w:keepLines/>
              <w:rPr>
                <w:szCs w:val="20"/>
              </w:rPr>
            </w:pPr>
            <w:r w:rsidRPr="00CA1512">
              <w:rPr>
                <w:szCs w:val="20"/>
              </w:rPr>
              <w:t>Benefits</w:t>
            </w:r>
          </w:p>
        </w:tc>
      </w:tr>
      <w:tr w:rsidR="00F7745D" w:rsidRPr="00CA1512" w14:paraId="71377A07" w14:textId="77777777" w:rsidTr="000E6892">
        <w:trPr>
          <w:cantSplit/>
          <w:trHeight w:val="227"/>
        </w:trPr>
        <w:tc>
          <w:tcPr>
            <w:tcW w:w="1727" w:type="pct"/>
            <w:gridSpan w:val="3"/>
            <w:tcMar>
              <w:top w:w="0" w:type="dxa"/>
              <w:left w:w="108" w:type="dxa"/>
              <w:bottom w:w="0" w:type="dxa"/>
              <w:right w:w="108" w:type="dxa"/>
            </w:tcMar>
            <w:vAlign w:val="center"/>
          </w:tcPr>
          <w:p w14:paraId="4487218E" w14:textId="0EC6DF12" w:rsidR="000B1BF6" w:rsidRPr="00CA1512" w:rsidRDefault="000B1BF6" w:rsidP="00817C3B">
            <w:pPr>
              <w:pStyle w:val="TableFigureHeading"/>
              <w:keepNext w:val="0"/>
              <w:keepLines/>
              <w:rPr>
                <w:szCs w:val="20"/>
              </w:rPr>
            </w:pPr>
          </w:p>
        </w:tc>
        <w:tc>
          <w:tcPr>
            <w:tcW w:w="786" w:type="pct"/>
            <w:gridSpan w:val="2"/>
            <w:tcMar>
              <w:top w:w="0" w:type="dxa"/>
              <w:left w:w="108" w:type="dxa"/>
              <w:bottom w:w="0" w:type="dxa"/>
              <w:right w:w="108" w:type="dxa"/>
            </w:tcMar>
            <w:vAlign w:val="center"/>
          </w:tcPr>
          <w:p w14:paraId="0F1F1357" w14:textId="4F9CB943" w:rsidR="000B1BF6" w:rsidRPr="00CA1512" w:rsidRDefault="000B1BF6" w:rsidP="00817C3B">
            <w:pPr>
              <w:pStyle w:val="TableFigureHeading"/>
              <w:keepNext w:val="0"/>
              <w:keepLines/>
              <w:jc w:val="center"/>
              <w:rPr>
                <w:szCs w:val="20"/>
              </w:rPr>
            </w:pPr>
            <w:r w:rsidRPr="00CA1512">
              <w:rPr>
                <w:szCs w:val="20"/>
              </w:rPr>
              <w:t>D + FLOT</w:t>
            </w:r>
          </w:p>
          <w:p w14:paraId="3635A069" w14:textId="77777777" w:rsidR="000B1BF6" w:rsidRPr="00CA1512" w:rsidRDefault="000B1BF6" w:rsidP="00817C3B">
            <w:pPr>
              <w:pStyle w:val="TableFigureHeading"/>
              <w:keepNext w:val="0"/>
              <w:keepLines/>
              <w:jc w:val="center"/>
              <w:rPr>
                <w:szCs w:val="20"/>
              </w:rPr>
            </w:pPr>
            <w:r w:rsidRPr="00CA1512">
              <w:rPr>
                <w:szCs w:val="20"/>
              </w:rPr>
              <w:t>(N = 474)</w:t>
            </w:r>
          </w:p>
        </w:tc>
        <w:tc>
          <w:tcPr>
            <w:tcW w:w="866" w:type="pct"/>
            <w:gridSpan w:val="2"/>
            <w:tcMar>
              <w:top w:w="0" w:type="dxa"/>
              <w:left w:w="108" w:type="dxa"/>
              <w:bottom w:w="0" w:type="dxa"/>
              <w:right w:w="108" w:type="dxa"/>
            </w:tcMar>
            <w:vAlign w:val="center"/>
          </w:tcPr>
          <w:p w14:paraId="4257B1A3" w14:textId="77777777" w:rsidR="000B1BF6" w:rsidRPr="00CA1512" w:rsidRDefault="000B1BF6" w:rsidP="00817C3B">
            <w:pPr>
              <w:pStyle w:val="TableFigureHeading"/>
              <w:keepNext w:val="0"/>
              <w:keepLines/>
              <w:jc w:val="center"/>
              <w:rPr>
                <w:rStyle w:val="CommentReference"/>
                <w:b/>
                <w:szCs w:val="20"/>
              </w:rPr>
            </w:pPr>
            <w:r w:rsidRPr="00CA1512">
              <w:rPr>
                <w:rStyle w:val="CommentReference"/>
                <w:b/>
                <w:szCs w:val="20"/>
              </w:rPr>
              <w:t>Pbo + FLOT</w:t>
            </w:r>
          </w:p>
          <w:p w14:paraId="39469DB8" w14:textId="77777777" w:rsidR="000B1BF6" w:rsidRPr="00CA1512" w:rsidRDefault="000B1BF6" w:rsidP="00817C3B">
            <w:pPr>
              <w:pStyle w:val="TableFigureHeading"/>
              <w:keepNext w:val="0"/>
              <w:keepLines/>
              <w:jc w:val="center"/>
              <w:rPr>
                <w:szCs w:val="20"/>
              </w:rPr>
            </w:pPr>
            <w:r w:rsidRPr="00CA1512">
              <w:rPr>
                <w:szCs w:val="20"/>
              </w:rPr>
              <w:t>(N = 474)</w:t>
            </w:r>
          </w:p>
        </w:tc>
        <w:tc>
          <w:tcPr>
            <w:tcW w:w="786" w:type="pct"/>
            <w:gridSpan w:val="2"/>
            <w:tcMar>
              <w:top w:w="0" w:type="dxa"/>
              <w:left w:w="108" w:type="dxa"/>
              <w:bottom w:w="0" w:type="dxa"/>
              <w:right w:w="108" w:type="dxa"/>
            </w:tcMar>
            <w:vAlign w:val="center"/>
          </w:tcPr>
          <w:p w14:paraId="651D7E13" w14:textId="3151F1EC" w:rsidR="000B1BF6" w:rsidRPr="00CA1512" w:rsidRDefault="000B1BF6" w:rsidP="00817C3B">
            <w:pPr>
              <w:pStyle w:val="TableFigureHeading"/>
              <w:keepNext w:val="0"/>
              <w:keepLines/>
              <w:jc w:val="center"/>
              <w:rPr>
                <w:szCs w:val="20"/>
              </w:rPr>
            </w:pPr>
            <w:r w:rsidRPr="00CA1512">
              <w:rPr>
                <w:szCs w:val="20"/>
              </w:rPr>
              <w:t>Absolute difference</w:t>
            </w:r>
            <w:r w:rsidR="0026672D" w:rsidRPr="00CA1512">
              <w:rPr>
                <w:szCs w:val="20"/>
              </w:rPr>
              <w:t>, %</w:t>
            </w:r>
            <w:r w:rsidR="00844422" w:rsidRPr="00CA1512">
              <w:rPr>
                <w:szCs w:val="20"/>
              </w:rPr>
              <w:t xml:space="preserve"> </w:t>
            </w:r>
            <w:r w:rsidR="00844422" w:rsidRPr="00CA1512">
              <w:rPr>
                <w:szCs w:val="20"/>
                <w:vertAlign w:val="superscript"/>
              </w:rPr>
              <w:t>a</w:t>
            </w:r>
          </w:p>
        </w:tc>
        <w:tc>
          <w:tcPr>
            <w:tcW w:w="835" w:type="pct"/>
            <w:gridSpan w:val="2"/>
            <w:tcMar>
              <w:top w:w="0" w:type="dxa"/>
              <w:left w:w="108" w:type="dxa"/>
              <w:bottom w:w="0" w:type="dxa"/>
              <w:right w:w="108" w:type="dxa"/>
            </w:tcMar>
            <w:vAlign w:val="center"/>
          </w:tcPr>
          <w:p w14:paraId="377A7DC3" w14:textId="77777777" w:rsidR="000B1BF6" w:rsidRPr="00CA1512" w:rsidRDefault="000B1BF6" w:rsidP="00817C3B">
            <w:pPr>
              <w:pStyle w:val="TableFigureHeading"/>
              <w:keepNext w:val="0"/>
              <w:keepLines/>
              <w:jc w:val="center"/>
              <w:rPr>
                <w:szCs w:val="20"/>
              </w:rPr>
            </w:pPr>
            <w:r w:rsidRPr="00CA1512">
              <w:rPr>
                <w:szCs w:val="20"/>
              </w:rPr>
              <w:t>HR (95% CI)</w:t>
            </w:r>
          </w:p>
        </w:tc>
      </w:tr>
      <w:tr w:rsidR="00674DA5" w:rsidRPr="00CA1512" w14:paraId="57D0AB12" w14:textId="77777777" w:rsidTr="00177DDB">
        <w:trPr>
          <w:cantSplit/>
          <w:trHeight w:val="227"/>
        </w:trPr>
        <w:tc>
          <w:tcPr>
            <w:tcW w:w="5000" w:type="pct"/>
            <w:gridSpan w:val="11"/>
            <w:tcMar>
              <w:top w:w="0" w:type="dxa"/>
              <w:left w:w="108" w:type="dxa"/>
              <w:bottom w:w="0" w:type="dxa"/>
              <w:right w:w="108" w:type="dxa"/>
            </w:tcMar>
            <w:vAlign w:val="center"/>
          </w:tcPr>
          <w:p w14:paraId="11327574" w14:textId="49226884" w:rsidR="00674DA5" w:rsidRPr="00CA1512" w:rsidRDefault="00674DA5" w:rsidP="00817C3B">
            <w:pPr>
              <w:pStyle w:val="TableFigureHeading"/>
              <w:keepNext w:val="0"/>
              <w:keepLines/>
              <w:rPr>
                <w:szCs w:val="20"/>
              </w:rPr>
            </w:pPr>
            <w:r w:rsidRPr="00CA1512">
              <w:rPr>
                <w:szCs w:val="20"/>
              </w:rPr>
              <w:t>EFS (</w:t>
            </w:r>
            <w:r w:rsidR="00506378" w:rsidRPr="00CA1512">
              <w:rPr>
                <w:szCs w:val="20"/>
              </w:rPr>
              <w:t xml:space="preserve">DCO2: </w:t>
            </w:r>
            <w:r w:rsidRPr="00CA1512">
              <w:rPr>
                <w:szCs w:val="20"/>
              </w:rPr>
              <w:t>median duration follow</w:t>
            </w:r>
            <w:r w:rsidR="00675F55">
              <w:rPr>
                <w:szCs w:val="20"/>
              </w:rPr>
              <w:noBreakHyphen/>
            </w:r>
            <w:r w:rsidRPr="00CA1512">
              <w:rPr>
                <w:szCs w:val="20"/>
              </w:rPr>
              <w:t xml:space="preserve">up </w:t>
            </w:r>
            <w:r w:rsidR="00C974ED" w:rsidRPr="00CA1512">
              <w:rPr>
                <w:szCs w:val="20"/>
              </w:rPr>
              <w:t>25.82</w:t>
            </w:r>
            <w:r w:rsidR="00675F55">
              <w:rPr>
                <w:szCs w:val="20"/>
              </w:rPr>
              <w:noBreakHyphen/>
            </w:r>
            <w:r w:rsidR="00C974ED" w:rsidRPr="00CA1512">
              <w:rPr>
                <w:szCs w:val="20"/>
              </w:rPr>
              <w:t>26.79</w:t>
            </w:r>
            <w:r w:rsidRPr="00CA1512">
              <w:rPr>
                <w:szCs w:val="20"/>
              </w:rPr>
              <w:t xml:space="preserve"> months)</w:t>
            </w:r>
          </w:p>
        </w:tc>
      </w:tr>
      <w:tr w:rsidR="00F7745D" w:rsidRPr="00CA1512" w14:paraId="4C07513C" w14:textId="77777777" w:rsidTr="000E6892">
        <w:trPr>
          <w:cantSplit/>
          <w:trHeight w:val="227"/>
        </w:trPr>
        <w:tc>
          <w:tcPr>
            <w:tcW w:w="1727" w:type="pct"/>
            <w:gridSpan w:val="3"/>
            <w:tcMar>
              <w:top w:w="0" w:type="dxa"/>
              <w:left w:w="108" w:type="dxa"/>
              <w:bottom w:w="0" w:type="dxa"/>
              <w:right w:w="108" w:type="dxa"/>
            </w:tcMar>
            <w:vAlign w:val="center"/>
          </w:tcPr>
          <w:p w14:paraId="2280611D" w14:textId="7794E41E" w:rsidR="00C76EFD" w:rsidRPr="00CA1512" w:rsidRDefault="00C76EFD" w:rsidP="00817C3B">
            <w:pPr>
              <w:pStyle w:val="Tabletext"/>
              <w:keepLines/>
              <w:rPr>
                <w:szCs w:val="20"/>
              </w:rPr>
            </w:pPr>
            <w:r w:rsidRPr="00CA1512">
              <w:rPr>
                <w:szCs w:val="20"/>
              </w:rPr>
              <w:t xml:space="preserve">Number of events, </w:t>
            </w:r>
            <w:r w:rsidR="003C1893" w:rsidRPr="00CA1512">
              <w:rPr>
                <w:szCs w:val="20"/>
              </w:rPr>
              <w:br/>
            </w:r>
            <w:r w:rsidRPr="00CA1512">
              <w:rPr>
                <w:szCs w:val="20"/>
              </w:rPr>
              <w:t>n (%)</w:t>
            </w:r>
          </w:p>
        </w:tc>
        <w:tc>
          <w:tcPr>
            <w:tcW w:w="786" w:type="pct"/>
            <w:gridSpan w:val="2"/>
            <w:tcMar>
              <w:top w:w="0" w:type="dxa"/>
              <w:left w:w="108" w:type="dxa"/>
              <w:bottom w:w="0" w:type="dxa"/>
              <w:right w:w="108" w:type="dxa"/>
            </w:tcMar>
            <w:vAlign w:val="center"/>
          </w:tcPr>
          <w:p w14:paraId="321A626A" w14:textId="0EA23B1A" w:rsidR="00C76EFD" w:rsidRPr="00CA1512" w:rsidRDefault="00C76EFD" w:rsidP="00817C3B">
            <w:pPr>
              <w:pStyle w:val="Tabletext"/>
              <w:keepLines/>
              <w:jc w:val="center"/>
              <w:rPr>
                <w:szCs w:val="20"/>
              </w:rPr>
            </w:pPr>
            <w:r w:rsidRPr="00CA1512">
              <w:rPr>
                <w:szCs w:val="20"/>
              </w:rPr>
              <w:t>167 (35.2)</w:t>
            </w:r>
          </w:p>
        </w:tc>
        <w:tc>
          <w:tcPr>
            <w:tcW w:w="866" w:type="pct"/>
            <w:gridSpan w:val="2"/>
            <w:tcMar>
              <w:top w:w="0" w:type="dxa"/>
              <w:left w:w="108" w:type="dxa"/>
              <w:bottom w:w="0" w:type="dxa"/>
              <w:right w:w="108" w:type="dxa"/>
            </w:tcMar>
            <w:vAlign w:val="center"/>
          </w:tcPr>
          <w:p w14:paraId="393E3DEC" w14:textId="00C20D05" w:rsidR="00C76EFD" w:rsidRPr="00CA1512" w:rsidRDefault="00C76EFD" w:rsidP="00817C3B">
            <w:pPr>
              <w:pStyle w:val="Tabletext"/>
              <w:keepLines/>
              <w:jc w:val="center"/>
              <w:rPr>
                <w:szCs w:val="20"/>
              </w:rPr>
            </w:pPr>
            <w:r w:rsidRPr="00CA1512">
              <w:rPr>
                <w:szCs w:val="20"/>
              </w:rPr>
              <w:t>218 (46.0)</w:t>
            </w:r>
          </w:p>
        </w:tc>
        <w:tc>
          <w:tcPr>
            <w:tcW w:w="786" w:type="pct"/>
            <w:gridSpan w:val="2"/>
            <w:vMerge w:val="restart"/>
            <w:tcMar>
              <w:top w:w="0" w:type="dxa"/>
              <w:left w:w="108" w:type="dxa"/>
              <w:bottom w:w="0" w:type="dxa"/>
              <w:right w:w="108" w:type="dxa"/>
            </w:tcMar>
            <w:vAlign w:val="center"/>
          </w:tcPr>
          <w:p w14:paraId="23DA502B" w14:textId="41E19B5E" w:rsidR="00C76EFD" w:rsidRPr="00CA1512" w:rsidDel="00727289" w:rsidRDefault="00C76EFD" w:rsidP="00817C3B">
            <w:pPr>
              <w:pStyle w:val="Tabletext"/>
              <w:keepLines/>
              <w:jc w:val="center"/>
              <w:rPr>
                <w:b/>
                <w:szCs w:val="20"/>
              </w:rPr>
            </w:pPr>
          </w:p>
        </w:tc>
        <w:tc>
          <w:tcPr>
            <w:tcW w:w="835" w:type="pct"/>
            <w:gridSpan w:val="2"/>
            <w:vMerge w:val="restart"/>
            <w:tcMar>
              <w:top w:w="0" w:type="dxa"/>
              <w:left w:w="108" w:type="dxa"/>
              <w:bottom w:w="0" w:type="dxa"/>
              <w:right w:w="108" w:type="dxa"/>
            </w:tcMar>
            <w:vAlign w:val="center"/>
          </w:tcPr>
          <w:p w14:paraId="09423566" w14:textId="5EB3FB16" w:rsidR="00C76EFD" w:rsidRPr="00CA1512" w:rsidRDefault="000059EC" w:rsidP="00817C3B">
            <w:pPr>
              <w:pStyle w:val="Tabletext"/>
              <w:keepLines/>
              <w:jc w:val="center"/>
              <w:rPr>
                <w:b/>
                <w:szCs w:val="20"/>
              </w:rPr>
            </w:pPr>
            <w:r w:rsidRPr="00CA1512">
              <w:rPr>
                <w:b/>
                <w:szCs w:val="20"/>
              </w:rPr>
              <w:t>0.71 (</w:t>
            </w:r>
            <w:r w:rsidR="00346A31" w:rsidRPr="00CA1512">
              <w:rPr>
                <w:b/>
                <w:szCs w:val="20"/>
              </w:rPr>
              <w:t>0.58, 0.86); p&lt;0.001</w:t>
            </w:r>
          </w:p>
        </w:tc>
      </w:tr>
      <w:tr w:rsidR="00F7745D" w:rsidRPr="00CA1512" w14:paraId="4485B2E4" w14:textId="77777777" w:rsidTr="000E6892">
        <w:trPr>
          <w:cantSplit/>
          <w:trHeight w:val="227"/>
        </w:trPr>
        <w:tc>
          <w:tcPr>
            <w:tcW w:w="1727" w:type="pct"/>
            <w:gridSpan w:val="3"/>
            <w:tcMar>
              <w:top w:w="0" w:type="dxa"/>
              <w:left w:w="108" w:type="dxa"/>
              <w:bottom w:w="0" w:type="dxa"/>
              <w:right w:w="108" w:type="dxa"/>
            </w:tcMar>
            <w:vAlign w:val="center"/>
          </w:tcPr>
          <w:p w14:paraId="4FC45A11" w14:textId="624FC2FD" w:rsidR="00C76EFD" w:rsidRPr="00CA1512" w:rsidRDefault="00C76EFD" w:rsidP="00817C3B">
            <w:pPr>
              <w:pStyle w:val="Tabletext"/>
              <w:keepLines/>
              <w:rPr>
                <w:b/>
                <w:bCs/>
                <w:szCs w:val="20"/>
              </w:rPr>
            </w:pPr>
            <w:r w:rsidRPr="00CA1512">
              <w:rPr>
                <w:szCs w:val="20"/>
              </w:rPr>
              <w:t>Median EFS, months (95% CI)</w:t>
            </w:r>
          </w:p>
        </w:tc>
        <w:tc>
          <w:tcPr>
            <w:tcW w:w="786" w:type="pct"/>
            <w:gridSpan w:val="2"/>
            <w:tcMar>
              <w:top w:w="0" w:type="dxa"/>
              <w:left w:w="108" w:type="dxa"/>
              <w:bottom w:w="0" w:type="dxa"/>
              <w:right w:w="108" w:type="dxa"/>
            </w:tcMar>
            <w:vAlign w:val="center"/>
          </w:tcPr>
          <w:p w14:paraId="3AC00DE6" w14:textId="2069A9AF" w:rsidR="00C76EFD" w:rsidRPr="00CA1512" w:rsidRDefault="00720AD9" w:rsidP="00817C3B">
            <w:pPr>
              <w:pStyle w:val="Tabletext"/>
              <w:keepLines/>
              <w:jc w:val="center"/>
              <w:rPr>
                <w:b/>
                <w:bCs/>
                <w:szCs w:val="20"/>
              </w:rPr>
            </w:pPr>
            <w:r w:rsidRPr="00CA1512">
              <w:rPr>
                <w:szCs w:val="20"/>
              </w:rPr>
              <w:t>NC (40.74, NC)</w:t>
            </w:r>
          </w:p>
        </w:tc>
        <w:tc>
          <w:tcPr>
            <w:tcW w:w="866" w:type="pct"/>
            <w:gridSpan w:val="2"/>
            <w:tcMar>
              <w:top w:w="0" w:type="dxa"/>
              <w:left w:w="108" w:type="dxa"/>
              <w:bottom w:w="0" w:type="dxa"/>
              <w:right w:w="108" w:type="dxa"/>
            </w:tcMar>
            <w:vAlign w:val="center"/>
          </w:tcPr>
          <w:p w14:paraId="74E21495" w14:textId="7E35FB85" w:rsidR="00C76EFD" w:rsidRPr="00CA1512" w:rsidRDefault="00720AD9" w:rsidP="00817C3B">
            <w:pPr>
              <w:pStyle w:val="Tabletext"/>
              <w:keepLines/>
              <w:jc w:val="center"/>
              <w:rPr>
                <w:rStyle w:val="CommentReference"/>
                <w:bCs/>
                <w:szCs w:val="20"/>
              </w:rPr>
            </w:pPr>
            <w:r w:rsidRPr="00CA1512">
              <w:rPr>
                <w:szCs w:val="20"/>
              </w:rPr>
              <w:t>32.82 (27.86, NC)</w:t>
            </w:r>
          </w:p>
        </w:tc>
        <w:tc>
          <w:tcPr>
            <w:tcW w:w="786" w:type="pct"/>
            <w:gridSpan w:val="2"/>
            <w:vMerge/>
            <w:tcMar>
              <w:top w:w="0" w:type="dxa"/>
              <w:left w:w="108" w:type="dxa"/>
              <w:bottom w:w="0" w:type="dxa"/>
              <w:right w:w="108" w:type="dxa"/>
            </w:tcMar>
            <w:vAlign w:val="center"/>
          </w:tcPr>
          <w:p w14:paraId="203C84C7" w14:textId="3FE6EBA7" w:rsidR="00C76EFD" w:rsidRPr="00CA1512" w:rsidRDefault="00C76EFD" w:rsidP="00817C3B">
            <w:pPr>
              <w:pStyle w:val="Tabletext"/>
              <w:keepLines/>
              <w:jc w:val="center"/>
              <w:rPr>
                <w:b/>
                <w:bCs/>
                <w:szCs w:val="20"/>
              </w:rPr>
            </w:pPr>
          </w:p>
        </w:tc>
        <w:tc>
          <w:tcPr>
            <w:tcW w:w="835" w:type="pct"/>
            <w:gridSpan w:val="2"/>
            <w:vMerge/>
            <w:tcMar>
              <w:top w:w="0" w:type="dxa"/>
              <w:left w:w="108" w:type="dxa"/>
              <w:bottom w:w="0" w:type="dxa"/>
              <w:right w:w="108" w:type="dxa"/>
            </w:tcMar>
            <w:vAlign w:val="center"/>
          </w:tcPr>
          <w:p w14:paraId="4CBE8874" w14:textId="77777777" w:rsidR="00C76EFD" w:rsidRPr="00CA1512" w:rsidRDefault="00C76EFD" w:rsidP="00817C3B">
            <w:pPr>
              <w:pStyle w:val="Tabletext"/>
              <w:keepLines/>
              <w:jc w:val="center"/>
              <w:rPr>
                <w:b/>
                <w:bCs/>
                <w:szCs w:val="20"/>
              </w:rPr>
            </w:pPr>
          </w:p>
        </w:tc>
      </w:tr>
      <w:tr w:rsidR="00F7745D" w:rsidRPr="00CA1512" w14:paraId="4E56AEF4" w14:textId="77777777" w:rsidTr="000E6892">
        <w:trPr>
          <w:cantSplit/>
          <w:trHeight w:val="227"/>
        </w:trPr>
        <w:tc>
          <w:tcPr>
            <w:tcW w:w="1727" w:type="pct"/>
            <w:gridSpan w:val="3"/>
            <w:tcMar>
              <w:top w:w="0" w:type="dxa"/>
              <w:left w:w="108" w:type="dxa"/>
              <w:bottom w:w="0" w:type="dxa"/>
              <w:right w:w="108" w:type="dxa"/>
            </w:tcMar>
            <w:vAlign w:val="center"/>
          </w:tcPr>
          <w:p w14:paraId="3D7DC4ED" w14:textId="552E26DE" w:rsidR="00F92443" w:rsidRPr="00CA1512" w:rsidRDefault="00F92443" w:rsidP="00817C3B">
            <w:pPr>
              <w:pStyle w:val="Tabletext"/>
              <w:keepLines/>
              <w:ind w:left="283"/>
              <w:rPr>
                <w:szCs w:val="20"/>
              </w:rPr>
            </w:pPr>
            <w:r w:rsidRPr="00CA1512">
              <w:rPr>
                <w:szCs w:val="20"/>
              </w:rPr>
              <w:t>EFS rate at 12 months, % (95%</w:t>
            </w:r>
            <w:r w:rsidR="00037C3C" w:rsidRPr="00CA1512">
              <w:rPr>
                <w:szCs w:val="20"/>
              </w:rPr>
              <w:t xml:space="preserve"> CI</w:t>
            </w:r>
            <w:r w:rsidRPr="00CA1512">
              <w:rPr>
                <w:szCs w:val="20"/>
              </w:rPr>
              <w:t>)</w:t>
            </w:r>
          </w:p>
        </w:tc>
        <w:tc>
          <w:tcPr>
            <w:tcW w:w="786" w:type="pct"/>
            <w:gridSpan w:val="2"/>
            <w:tcMar>
              <w:top w:w="0" w:type="dxa"/>
              <w:left w:w="108" w:type="dxa"/>
              <w:bottom w:w="0" w:type="dxa"/>
              <w:right w:w="108" w:type="dxa"/>
            </w:tcMar>
          </w:tcPr>
          <w:p w14:paraId="5A3388A7" w14:textId="77777777" w:rsidR="00CA1BBA" w:rsidRPr="00CA1512" w:rsidRDefault="00F92443" w:rsidP="00817C3B">
            <w:pPr>
              <w:pStyle w:val="Tabletext"/>
              <w:keepLines/>
              <w:jc w:val="center"/>
              <w:rPr>
                <w:szCs w:val="20"/>
              </w:rPr>
            </w:pPr>
            <w:r w:rsidRPr="00CA1512">
              <w:rPr>
                <w:szCs w:val="20"/>
              </w:rPr>
              <w:t>78.18</w:t>
            </w:r>
          </w:p>
          <w:p w14:paraId="1CF89CF4" w14:textId="060E430B" w:rsidR="00F92443" w:rsidRPr="00CA1512" w:rsidRDefault="00CA1BBA" w:rsidP="00817C3B">
            <w:pPr>
              <w:pStyle w:val="Tabletext"/>
              <w:keepLines/>
              <w:jc w:val="center"/>
              <w:rPr>
                <w:szCs w:val="20"/>
              </w:rPr>
            </w:pPr>
            <w:r w:rsidRPr="00CA1512">
              <w:rPr>
                <w:szCs w:val="20"/>
              </w:rPr>
              <w:t>(</w:t>
            </w:r>
            <w:r w:rsidR="00F92443" w:rsidRPr="00CA1512">
              <w:rPr>
                <w:szCs w:val="20"/>
              </w:rPr>
              <w:t>74.11</w:t>
            </w:r>
            <w:r w:rsidR="00B13116" w:rsidRPr="00CA1512">
              <w:rPr>
                <w:szCs w:val="20"/>
              </w:rPr>
              <w:t xml:space="preserve">, </w:t>
            </w:r>
            <w:r w:rsidR="00F92443" w:rsidRPr="00CA1512">
              <w:rPr>
                <w:szCs w:val="20"/>
              </w:rPr>
              <w:t>81.70)</w:t>
            </w:r>
          </w:p>
        </w:tc>
        <w:tc>
          <w:tcPr>
            <w:tcW w:w="866" w:type="pct"/>
            <w:gridSpan w:val="2"/>
            <w:tcMar>
              <w:top w:w="0" w:type="dxa"/>
              <w:left w:w="108" w:type="dxa"/>
              <w:bottom w:w="0" w:type="dxa"/>
              <w:right w:w="108" w:type="dxa"/>
            </w:tcMar>
          </w:tcPr>
          <w:p w14:paraId="537D42ED" w14:textId="77777777" w:rsidR="00CA1BBA" w:rsidRPr="00CA1512" w:rsidRDefault="00F92443" w:rsidP="00817C3B">
            <w:pPr>
              <w:pStyle w:val="Tabletext"/>
              <w:keepLines/>
              <w:jc w:val="center"/>
              <w:rPr>
                <w:szCs w:val="20"/>
              </w:rPr>
            </w:pPr>
            <w:r w:rsidRPr="00CA1512">
              <w:rPr>
                <w:szCs w:val="20"/>
              </w:rPr>
              <w:t>74.01</w:t>
            </w:r>
          </w:p>
          <w:p w14:paraId="08AA02DA" w14:textId="077D5757" w:rsidR="00F92443" w:rsidRPr="00CA1512" w:rsidRDefault="00CA1BBA" w:rsidP="00817C3B">
            <w:pPr>
              <w:pStyle w:val="Tabletext"/>
              <w:keepLines/>
              <w:jc w:val="center"/>
              <w:rPr>
                <w:szCs w:val="20"/>
              </w:rPr>
            </w:pPr>
            <w:r w:rsidRPr="00CA1512">
              <w:rPr>
                <w:szCs w:val="20"/>
              </w:rPr>
              <w:t>(</w:t>
            </w:r>
            <w:r w:rsidR="00F92443" w:rsidRPr="00CA1512">
              <w:rPr>
                <w:szCs w:val="20"/>
              </w:rPr>
              <w:t>69.71</w:t>
            </w:r>
            <w:r w:rsidR="00B13116" w:rsidRPr="00CA1512">
              <w:rPr>
                <w:szCs w:val="20"/>
              </w:rPr>
              <w:t xml:space="preserve">, </w:t>
            </w:r>
            <w:r w:rsidR="00F92443" w:rsidRPr="00CA1512">
              <w:rPr>
                <w:szCs w:val="20"/>
              </w:rPr>
              <w:t>77.70)</w:t>
            </w:r>
          </w:p>
        </w:tc>
        <w:tc>
          <w:tcPr>
            <w:tcW w:w="786" w:type="pct"/>
            <w:gridSpan w:val="2"/>
            <w:tcMar>
              <w:top w:w="0" w:type="dxa"/>
              <w:left w:w="108" w:type="dxa"/>
              <w:bottom w:w="0" w:type="dxa"/>
              <w:right w:w="108" w:type="dxa"/>
            </w:tcMar>
            <w:vAlign w:val="center"/>
          </w:tcPr>
          <w:p w14:paraId="7D3C203C" w14:textId="30235B20" w:rsidR="00F92443" w:rsidRPr="00403CC9" w:rsidRDefault="00B11777" w:rsidP="00817C3B">
            <w:pPr>
              <w:pStyle w:val="Tabletext"/>
              <w:keepLines/>
              <w:jc w:val="center"/>
              <w:rPr>
                <w:szCs w:val="20"/>
              </w:rPr>
            </w:pPr>
            <w:r w:rsidRPr="00403CC9">
              <w:rPr>
                <w:szCs w:val="20"/>
              </w:rPr>
              <w:t>4.2</w:t>
            </w:r>
          </w:p>
        </w:tc>
        <w:tc>
          <w:tcPr>
            <w:tcW w:w="835" w:type="pct"/>
            <w:gridSpan w:val="2"/>
            <w:tcMar>
              <w:top w:w="0" w:type="dxa"/>
              <w:left w:w="108" w:type="dxa"/>
              <w:bottom w:w="0" w:type="dxa"/>
              <w:right w:w="108" w:type="dxa"/>
            </w:tcMar>
            <w:vAlign w:val="center"/>
          </w:tcPr>
          <w:p w14:paraId="06ADA319" w14:textId="3986591B" w:rsidR="00F92443" w:rsidRPr="00CA1512" w:rsidRDefault="00675F55" w:rsidP="00817C3B">
            <w:pPr>
              <w:pStyle w:val="Tabletext"/>
              <w:keepLines/>
              <w:jc w:val="center"/>
              <w:rPr>
                <w:szCs w:val="20"/>
              </w:rPr>
            </w:pPr>
            <w:r>
              <w:rPr>
                <w:szCs w:val="20"/>
              </w:rPr>
              <w:noBreakHyphen/>
            </w:r>
          </w:p>
        </w:tc>
      </w:tr>
      <w:tr w:rsidR="00F7745D" w:rsidRPr="00CA1512" w14:paraId="6B8586A5" w14:textId="77777777" w:rsidTr="000E6892">
        <w:trPr>
          <w:cantSplit/>
          <w:trHeight w:val="227"/>
        </w:trPr>
        <w:tc>
          <w:tcPr>
            <w:tcW w:w="1727" w:type="pct"/>
            <w:gridSpan w:val="3"/>
            <w:tcMar>
              <w:top w:w="0" w:type="dxa"/>
              <w:left w:w="108" w:type="dxa"/>
              <w:bottom w:w="0" w:type="dxa"/>
              <w:right w:w="108" w:type="dxa"/>
            </w:tcMar>
            <w:vAlign w:val="center"/>
          </w:tcPr>
          <w:p w14:paraId="68E0E44A" w14:textId="2ADD6635" w:rsidR="006176D7" w:rsidRPr="00CA1512" w:rsidRDefault="006176D7" w:rsidP="00817C3B">
            <w:pPr>
              <w:pStyle w:val="Tabletext"/>
              <w:keepLines/>
              <w:ind w:left="283"/>
              <w:rPr>
                <w:szCs w:val="20"/>
              </w:rPr>
            </w:pPr>
            <w:r w:rsidRPr="00CA1512">
              <w:rPr>
                <w:szCs w:val="20"/>
              </w:rPr>
              <w:t>EFS rate at 24 months, % (95%</w:t>
            </w:r>
            <w:r w:rsidR="00037C3C" w:rsidRPr="00CA1512">
              <w:rPr>
                <w:szCs w:val="20"/>
              </w:rPr>
              <w:t xml:space="preserve"> CI</w:t>
            </w:r>
            <w:r w:rsidRPr="00CA1512">
              <w:rPr>
                <w:szCs w:val="20"/>
              </w:rPr>
              <w:t>)</w:t>
            </w:r>
          </w:p>
        </w:tc>
        <w:tc>
          <w:tcPr>
            <w:tcW w:w="786" w:type="pct"/>
            <w:gridSpan w:val="2"/>
            <w:tcMar>
              <w:top w:w="0" w:type="dxa"/>
              <w:left w:w="108" w:type="dxa"/>
              <w:bottom w:w="0" w:type="dxa"/>
              <w:right w:w="108" w:type="dxa"/>
            </w:tcMar>
          </w:tcPr>
          <w:p w14:paraId="1B077930" w14:textId="77777777" w:rsidR="00CA1BBA" w:rsidRPr="00CA1512" w:rsidRDefault="006176D7" w:rsidP="00817C3B">
            <w:pPr>
              <w:pStyle w:val="Tabletext"/>
              <w:keepLines/>
              <w:jc w:val="center"/>
              <w:rPr>
                <w:szCs w:val="20"/>
              </w:rPr>
            </w:pPr>
            <w:r w:rsidRPr="00CA1512">
              <w:rPr>
                <w:szCs w:val="20"/>
              </w:rPr>
              <w:t>67.44</w:t>
            </w:r>
          </w:p>
          <w:p w14:paraId="16A2CD7E" w14:textId="08C0F1BE" w:rsidR="006176D7" w:rsidRPr="00CA1512" w:rsidRDefault="00CA1BBA" w:rsidP="00817C3B">
            <w:pPr>
              <w:pStyle w:val="Tabletext"/>
              <w:keepLines/>
              <w:jc w:val="center"/>
              <w:rPr>
                <w:szCs w:val="20"/>
              </w:rPr>
            </w:pPr>
            <w:r w:rsidRPr="00CA1512">
              <w:rPr>
                <w:szCs w:val="20"/>
              </w:rPr>
              <w:t>(</w:t>
            </w:r>
            <w:r w:rsidR="006176D7" w:rsidRPr="00CA1512">
              <w:rPr>
                <w:szCs w:val="20"/>
              </w:rPr>
              <w:t>62.71</w:t>
            </w:r>
            <w:r w:rsidR="00B13116" w:rsidRPr="00CA1512">
              <w:rPr>
                <w:szCs w:val="20"/>
              </w:rPr>
              <w:t xml:space="preserve">, </w:t>
            </w:r>
            <w:r w:rsidR="006176D7" w:rsidRPr="00CA1512">
              <w:rPr>
                <w:szCs w:val="20"/>
              </w:rPr>
              <w:t>71.77)</w:t>
            </w:r>
          </w:p>
        </w:tc>
        <w:tc>
          <w:tcPr>
            <w:tcW w:w="866" w:type="pct"/>
            <w:gridSpan w:val="2"/>
            <w:tcMar>
              <w:top w:w="0" w:type="dxa"/>
              <w:left w:w="108" w:type="dxa"/>
              <w:bottom w:w="0" w:type="dxa"/>
              <w:right w:w="108" w:type="dxa"/>
            </w:tcMar>
          </w:tcPr>
          <w:p w14:paraId="392EF0D5" w14:textId="77777777" w:rsidR="00CA1BBA" w:rsidRPr="00CA1512" w:rsidRDefault="006176D7" w:rsidP="00817C3B">
            <w:pPr>
              <w:pStyle w:val="Tabletext"/>
              <w:keepLines/>
              <w:jc w:val="center"/>
              <w:rPr>
                <w:szCs w:val="20"/>
              </w:rPr>
            </w:pPr>
            <w:r w:rsidRPr="00CA1512">
              <w:rPr>
                <w:szCs w:val="20"/>
              </w:rPr>
              <w:t>58.54</w:t>
            </w:r>
          </w:p>
          <w:p w14:paraId="7EB20FBF" w14:textId="58D9EDB9" w:rsidR="006176D7" w:rsidRPr="00CA1512" w:rsidRDefault="00CA1BBA" w:rsidP="00817C3B">
            <w:pPr>
              <w:pStyle w:val="Tabletext"/>
              <w:keepLines/>
              <w:jc w:val="center"/>
              <w:rPr>
                <w:szCs w:val="20"/>
              </w:rPr>
            </w:pPr>
            <w:r w:rsidRPr="00CA1512">
              <w:rPr>
                <w:szCs w:val="20"/>
              </w:rPr>
              <w:t>(</w:t>
            </w:r>
            <w:r w:rsidR="006176D7" w:rsidRPr="00CA1512">
              <w:rPr>
                <w:szCs w:val="20"/>
              </w:rPr>
              <w:t>53.03</w:t>
            </w:r>
            <w:r w:rsidR="00B13116" w:rsidRPr="00CA1512">
              <w:rPr>
                <w:szCs w:val="20"/>
              </w:rPr>
              <w:t xml:space="preserve">, </w:t>
            </w:r>
            <w:r w:rsidR="006176D7" w:rsidRPr="00CA1512">
              <w:rPr>
                <w:szCs w:val="20"/>
              </w:rPr>
              <w:t>63.64)</w:t>
            </w:r>
          </w:p>
        </w:tc>
        <w:tc>
          <w:tcPr>
            <w:tcW w:w="786" w:type="pct"/>
            <w:gridSpan w:val="2"/>
            <w:tcMar>
              <w:top w:w="0" w:type="dxa"/>
              <w:left w:w="108" w:type="dxa"/>
              <w:bottom w:w="0" w:type="dxa"/>
              <w:right w:w="108" w:type="dxa"/>
            </w:tcMar>
            <w:vAlign w:val="center"/>
          </w:tcPr>
          <w:p w14:paraId="1012FC57" w14:textId="52B28A10" w:rsidR="006176D7" w:rsidRPr="00403CC9" w:rsidRDefault="00B11777" w:rsidP="00817C3B">
            <w:pPr>
              <w:pStyle w:val="Tabletext"/>
              <w:keepLines/>
              <w:jc w:val="center"/>
              <w:rPr>
                <w:szCs w:val="20"/>
              </w:rPr>
            </w:pPr>
            <w:r w:rsidRPr="00403CC9">
              <w:rPr>
                <w:szCs w:val="20"/>
              </w:rPr>
              <w:t>8.9</w:t>
            </w:r>
          </w:p>
        </w:tc>
        <w:tc>
          <w:tcPr>
            <w:tcW w:w="835" w:type="pct"/>
            <w:gridSpan w:val="2"/>
            <w:tcMar>
              <w:top w:w="0" w:type="dxa"/>
              <w:left w:w="108" w:type="dxa"/>
              <w:bottom w:w="0" w:type="dxa"/>
              <w:right w:w="108" w:type="dxa"/>
            </w:tcMar>
            <w:vAlign w:val="center"/>
          </w:tcPr>
          <w:p w14:paraId="43674316" w14:textId="34ED732A" w:rsidR="006176D7" w:rsidRPr="00CA1512" w:rsidRDefault="00675F55" w:rsidP="00817C3B">
            <w:pPr>
              <w:pStyle w:val="Tabletext"/>
              <w:keepLines/>
              <w:jc w:val="center"/>
              <w:rPr>
                <w:szCs w:val="20"/>
              </w:rPr>
            </w:pPr>
            <w:r>
              <w:rPr>
                <w:szCs w:val="20"/>
              </w:rPr>
              <w:noBreakHyphen/>
            </w:r>
          </w:p>
        </w:tc>
      </w:tr>
      <w:tr w:rsidR="00F7745D" w:rsidRPr="00CA1512" w14:paraId="6F5A6C8D" w14:textId="77777777" w:rsidTr="000E6892">
        <w:trPr>
          <w:cantSplit/>
          <w:trHeight w:val="227"/>
        </w:trPr>
        <w:tc>
          <w:tcPr>
            <w:tcW w:w="1727" w:type="pct"/>
            <w:gridSpan w:val="3"/>
            <w:tcMar>
              <w:top w:w="0" w:type="dxa"/>
              <w:left w:w="108" w:type="dxa"/>
              <w:bottom w:w="0" w:type="dxa"/>
              <w:right w:w="108" w:type="dxa"/>
            </w:tcMar>
            <w:vAlign w:val="center"/>
          </w:tcPr>
          <w:p w14:paraId="165E8D61" w14:textId="327D71BC" w:rsidR="00491E4D" w:rsidRPr="00CA1512" w:rsidRDefault="00491E4D" w:rsidP="00817C3B">
            <w:pPr>
              <w:pStyle w:val="Tabletext"/>
              <w:keepLines/>
              <w:ind w:left="283"/>
              <w:rPr>
                <w:szCs w:val="20"/>
              </w:rPr>
            </w:pPr>
            <w:r w:rsidRPr="00CA1512">
              <w:rPr>
                <w:szCs w:val="20"/>
              </w:rPr>
              <w:t>EFS rate at 36 months, % (95%</w:t>
            </w:r>
            <w:r w:rsidR="00037C3C" w:rsidRPr="00CA1512">
              <w:rPr>
                <w:szCs w:val="20"/>
              </w:rPr>
              <w:t xml:space="preserve"> CI</w:t>
            </w:r>
            <w:r w:rsidRPr="00CA1512">
              <w:rPr>
                <w:szCs w:val="20"/>
              </w:rPr>
              <w:t>)</w:t>
            </w:r>
          </w:p>
        </w:tc>
        <w:tc>
          <w:tcPr>
            <w:tcW w:w="786" w:type="pct"/>
            <w:gridSpan w:val="2"/>
            <w:tcMar>
              <w:top w:w="0" w:type="dxa"/>
              <w:left w:w="108" w:type="dxa"/>
              <w:bottom w:w="0" w:type="dxa"/>
              <w:right w:w="108" w:type="dxa"/>
            </w:tcMar>
          </w:tcPr>
          <w:p w14:paraId="7C4710C6" w14:textId="77777777" w:rsidR="00CA1BBA" w:rsidRPr="00CA1512" w:rsidRDefault="00491E4D" w:rsidP="00817C3B">
            <w:pPr>
              <w:pStyle w:val="Tabletext"/>
              <w:keepLines/>
              <w:jc w:val="center"/>
              <w:rPr>
                <w:szCs w:val="20"/>
              </w:rPr>
            </w:pPr>
            <w:r w:rsidRPr="00CA1512">
              <w:rPr>
                <w:szCs w:val="20"/>
              </w:rPr>
              <w:t>61.99</w:t>
            </w:r>
          </w:p>
          <w:p w14:paraId="44628779" w14:textId="4D5B716B" w:rsidR="00491E4D" w:rsidRPr="00CA1512" w:rsidRDefault="00CA1BBA" w:rsidP="00817C3B">
            <w:pPr>
              <w:pStyle w:val="Tabletext"/>
              <w:keepLines/>
              <w:jc w:val="center"/>
              <w:rPr>
                <w:szCs w:val="20"/>
              </w:rPr>
            </w:pPr>
            <w:r w:rsidRPr="00CA1512">
              <w:rPr>
                <w:szCs w:val="20"/>
              </w:rPr>
              <w:t>(</w:t>
            </w:r>
            <w:r w:rsidR="00491E4D" w:rsidRPr="00CA1512">
              <w:rPr>
                <w:szCs w:val="20"/>
              </w:rPr>
              <w:t>56.95</w:t>
            </w:r>
            <w:r w:rsidR="00B13116" w:rsidRPr="00CA1512">
              <w:rPr>
                <w:szCs w:val="20"/>
              </w:rPr>
              <w:t xml:space="preserve">, </w:t>
            </w:r>
            <w:r w:rsidR="00491E4D" w:rsidRPr="00CA1512">
              <w:rPr>
                <w:szCs w:val="20"/>
              </w:rPr>
              <w:t>66.61)</w:t>
            </w:r>
          </w:p>
        </w:tc>
        <w:tc>
          <w:tcPr>
            <w:tcW w:w="866" w:type="pct"/>
            <w:gridSpan w:val="2"/>
            <w:tcMar>
              <w:top w:w="0" w:type="dxa"/>
              <w:left w:w="108" w:type="dxa"/>
              <w:bottom w:w="0" w:type="dxa"/>
              <w:right w:w="108" w:type="dxa"/>
            </w:tcMar>
          </w:tcPr>
          <w:p w14:paraId="4B56F734" w14:textId="77777777" w:rsidR="00CA1BBA" w:rsidRPr="00CA1512" w:rsidRDefault="00491E4D" w:rsidP="00817C3B">
            <w:pPr>
              <w:pStyle w:val="Tabletext"/>
              <w:keepLines/>
              <w:jc w:val="center"/>
              <w:rPr>
                <w:szCs w:val="20"/>
              </w:rPr>
            </w:pPr>
            <w:r w:rsidRPr="00CA1512">
              <w:rPr>
                <w:szCs w:val="20"/>
              </w:rPr>
              <w:t>46.61</w:t>
            </w:r>
          </w:p>
          <w:p w14:paraId="12F40081" w14:textId="62566B44" w:rsidR="00491E4D" w:rsidRPr="00CA1512" w:rsidRDefault="00CA1BBA" w:rsidP="00817C3B">
            <w:pPr>
              <w:pStyle w:val="Tabletext"/>
              <w:keepLines/>
              <w:jc w:val="center"/>
              <w:rPr>
                <w:szCs w:val="20"/>
              </w:rPr>
            </w:pPr>
            <w:r w:rsidRPr="00CA1512">
              <w:rPr>
                <w:szCs w:val="20"/>
              </w:rPr>
              <w:t>(</w:t>
            </w:r>
            <w:r w:rsidR="00491E4D" w:rsidRPr="00CA1512">
              <w:rPr>
                <w:szCs w:val="20"/>
              </w:rPr>
              <w:t>41.20</w:t>
            </w:r>
            <w:r w:rsidR="00B13116" w:rsidRPr="00CA1512">
              <w:rPr>
                <w:szCs w:val="20"/>
              </w:rPr>
              <w:t xml:space="preserve">, </w:t>
            </w:r>
            <w:r w:rsidR="00491E4D" w:rsidRPr="00CA1512">
              <w:rPr>
                <w:szCs w:val="20"/>
              </w:rPr>
              <w:t>52.49)</w:t>
            </w:r>
          </w:p>
        </w:tc>
        <w:tc>
          <w:tcPr>
            <w:tcW w:w="786" w:type="pct"/>
            <w:gridSpan w:val="2"/>
            <w:tcMar>
              <w:top w:w="0" w:type="dxa"/>
              <w:left w:w="108" w:type="dxa"/>
              <w:bottom w:w="0" w:type="dxa"/>
              <w:right w:w="108" w:type="dxa"/>
            </w:tcMar>
            <w:vAlign w:val="center"/>
          </w:tcPr>
          <w:p w14:paraId="35C41CA5" w14:textId="68B1A90A" w:rsidR="00491E4D" w:rsidRPr="00403CC9" w:rsidRDefault="00D2159B" w:rsidP="00817C3B">
            <w:pPr>
              <w:pStyle w:val="Tabletext"/>
              <w:keepLines/>
              <w:jc w:val="center"/>
              <w:rPr>
                <w:szCs w:val="20"/>
              </w:rPr>
            </w:pPr>
            <w:r w:rsidRPr="00403CC9">
              <w:rPr>
                <w:szCs w:val="20"/>
              </w:rPr>
              <w:t>15.4</w:t>
            </w:r>
          </w:p>
        </w:tc>
        <w:tc>
          <w:tcPr>
            <w:tcW w:w="835" w:type="pct"/>
            <w:gridSpan w:val="2"/>
            <w:tcMar>
              <w:top w:w="0" w:type="dxa"/>
              <w:left w:w="108" w:type="dxa"/>
              <w:bottom w:w="0" w:type="dxa"/>
              <w:right w:w="108" w:type="dxa"/>
            </w:tcMar>
            <w:vAlign w:val="center"/>
          </w:tcPr>
          <w:p w14:paraId="3F8BC03B" w14:textId="71FBCB33" w:rsidR="00491E4D" w:rsidRPr="00CA1512" w:rsidRDefault="00675F55" w:rsidP="00817C3B">
            <w:pPr>
              <w:pStyle w:val="Tabletext"/>
              <w:keepLines/>
              <w:jc w:val="center"/>
              <w:rPr>
                <w:szCs w:val="20"/>
              </w:rPr>
            </w:pPr>
            <w:r>
              <w:rPr>
                <w:szCs w:val="20"/>
              </w:rPr>
              <w:noBreakHyphen/>
            </w:r>
          </w:p>
        </w:tc>
      </w:tr>
      <w:tr w:rsidR="00C76EFD" w:rsidRPr="00CA1512" w14:paraId="1B720512" w14:textId="77777777" w:rsidTr="00177DDB">
        <w:trPr>
          <w:cantSplit/>
          <w:trHeight w:val="227"/>
        </w:trPr>
        <w:tc>
          <w:tcPr>
            <w:tcW w:w="5000" w:type="pct"/>
            <w:gridSpan w:val="11"/>
            <w:tcMar>
              <w:top w:w="0" w:type="dxa"/>
              <w:left w:w="108" w:type="dxa"/>
              <w:bottom w:w="0" w:type="dxa"/>
              <w:right w:w="108" w:type="dxa"/>
            </w:tcMar>
            <w:vAlign w:val="center"/>
          </w:tcPr>
          <w:p w14:paraId="4BC9E564" w14:textId="380370EB" w:rsidR="00C76EFD" w:rsidRPr="00CA1512" w:rsidRDefault="00C76EFD" w:rsidP="00817C3B">
            <w:pPr>
              <w:pStyle w:val="TableFigureHeading"/>
              <w:keepNext w:val="0"/>
              <w:keepLines/>
              <w:rPr>
                <w:szCs w:val="20"/>
              </w:rPr>
            </w:pPr>
            <w:r w:rsidRPr="00CA1512">
              <w:rPr>
                <w:szCs w:val="20"/>
              </w:rPr>
              <w:t>OS (</w:t>
            </w:r>
            <w:r w:rsidR="00506378" w:rsidRPr="00CA1512">
              <w:rPr>
                <w:szCs w:val="20"/>
              </w:rPr>
              <w:t xml:space="preserve">FA: </w:t>
            </w:r>
            <w:r w:rsidRPr="00CA1512">
              <w:rPr>
                <w:szCs w:val="20"/>
              </w:rPr>
              <w:t>median duration follow</w:t>
            </w:r>
            <w:r w:rsidR="00675F55">
              <w:rPr>
                <w:szCs w:val="20"/>
              </w:rPr>
              <w:noBreakHyphen/>
            </w:r>
            <w:r w:rsidRPr="00CA1512">
              <w:rPr>
                <w:szCs w:val="20"/>
              </w:rPr>
              <w:t xml:space="preserve">up </w:t>
            </w:r>
            <w:r w:rsidR="00AA64F9" w:rsidRPr="00CA1512">
              <w:rPr>
                <w:szCs w:val="20"/>
              </w:rPr>
              <w:t>42.9</w:t>
            </w:r>
            <w:r w:rsidR="00675F55">
              <w:rPr>
                <w:szCs w:val="20"/>
              </w:rPr>
              <w:noBreakHyphen/>
            </w:r>
            <w:r w:rsidR="00AA64F9" w:rsidRPr="00CA1512">
              <w:rPr>
                <w:szCs w:val="20"/>
              </w:rPr>
              <w:t>43.0</w:t>
            </w:r>
            <w:r w:rsidRPr="00CA1512">
              <w:rPr>
                <w:szCs w:val="20"/>
              </w:rPr>
              <w:t xml:space="preserve"> months)</w:t>
            </w:r>
          </w:p>
        </w:tc>
      </w:tr>
      <w:tr w:rsidR="0012717D" w:rsidRPr="00CA1512" w14:paraId="3BAA1221" w14:textId="77777777" w:rsidTr="000E6892">
        <w:trPr>
          <w:cantSplit/>
          <w:trHeight w:val="227"/>
        </w:trPr>
        <w:tc>
          <w:tcPr>
            <w:tcW w:w="1727" w:type="pct"/>
            <w:gridSpan w:val="3"/>
            <w:tcBorders>
              <w:bottom w:val="single" w:sz="4" w:space="0" w:color="auto"/>
            </w:tcBorders>
            <w:tcMar>
              <w:top w:w="0" w:type="dxa"/>
              <w:left w:w="108" w:type="dxa"/>
              <w:bottom w:w="0" w:type="dxa"/>
              <w:right w:w="108" w:type="dxa"/>
            </w:tcMar>
            <w:vAlign w:val="center"/>
          </w:tcPr>
          <w:p w14:paraId="003951EB" w14:textId="217302CC" w:rsidR="00E30C74" w:rsidRPr="00CA1512" w:rsidRDefault="00E30C74" w:rsidP="00817C3B">
            <w:pPr>
              <w:pStyle w:val="Tabletext"/>
              <w:keepLines/>
              <w:rPr>
                <w:szCs w:val="20"/>
              </w:rPr>
            </w:pPr>
            <w:r w:rsidRPr="00CA1512">
              <w:rPr>
                <w:szCs w:val="20"/>
              </w:rPr>
              <w:t xml:space="preserve">Number of events, </w:t>
            </w:r>
            <w:r w:rsidR="003C1893" w:rsidRPr="00CA1512">
              <w:rPr>
                <w:szCs w:val="20"/>
              </w:rPr>
              <w:br/>
            </w:r>
            <w:r w:rsidRPr="00CA1512">
              <w:rPr>
                <w:szCs w:val="20"/>
              </w:rPr>
              <w:t>n (%)</w:t>
            </w:r>
          </w:p>
        </w:tc>
        <w:tc>
          <w:tcPr>
            <w:tcW w:w="786" w:type="pct"/>
            <w:gridSpan w:val="2"/>
            <w:tcBorders>
              <w:bottom w:val="single" w:sz="4" w:space="0" w:color="auto"/>
            </w:tcBorders>
            <w:tcMar>
              <w:top w:w="0" w:type="dxa"/>
              <w:left w:w="108" w:type="dxa"/>
              <w:bottom w:w="0" w:type="dxa"/>
              <w:right w:w="108" w:type="dxa"/>
            </w:tcMar>
            <w:vAlign w:val="center"/>
          </w:tcPr>
          <w:p w14:paraId="320857B3" w14:textId="37360555" w:rsidR="00E30C74" w:rsidRPr="00CA1512" w:rsidRDefault="00E30C74" w:rsidP="00817C3B">
            <w:pPr>
              <w:pStyle w:val="Tabletext"/>
              <w:keepLines/>
              <w:jc w:val="center"/>
              <w:rPr>
                <w:szCs w:val="20"/>
              </w:rPr>
            </w:pPr>
            <w:r w:rsidRPr="00CA1512">
              <w:rPr>
                <w:szCs w:val="20"/>
              </w:rPr>
              <w:t>160 (33.8)</w:t>
            </w:r>
          </w:p>
        </w:tc>
        <w:tc>
          <w:tcPr>
            <w:tcW w:w="866" w:type="pct"/>
            <w:gridSpan w:val="2"/>
            <w:tcBorders>
              <w:bottom w:val="single" w:sz="4" w:space="0" w:color="auto"/>
            </w:tcBorders>
            <w:tcMar>
              <w:top w:w="0" w:type="dxa"/>
              <w:left w:w="108" w:type="dxa"/>
              <w:bottom w:w="0" w:type="dxa"/>
              <w:right w:w="108" w:type="dxa"/>
            </w:tcMar>
            <w:vAlign w:val="center"/>
          </w:tcPr>
          <w:p w14:paraId="051931C5" w14:textId="2E7763F9" w:rsidR="00E30C74" w:rsidRPr="00CA1512" w:rsidRDefault="00E30C74" w:rsidP="00817C3B">
            <w:pPr>
              <w:pStyle w:val="Tabletext"/>
              <w:keepLines/>
              <w:jc w:val="center"/>
              <w:rPr>
                <w:szCs w:val="20"/>
              </w:rPr>
            </w:pPr>
            <w:r w:rsidRPr="00CA1512">
              <w:rPr>
                <w:szCs w:val="20"/>
              </w:rPr>
              <w:t>192 (40.5)</w:t>
            </w:r>
          </w:p>
        </w:tc>
        <w:tc>
          <w:tcPr>
            <w:tcW w:w="786" w:type="pct"/>
            <w:gridSpan w:val="2"/>
            <w:vMerge w:val="restart"/>
            <w:tcMar>
              <w:top w:w="0" w:type="dxa"/>
              <w:left w:w="108" w:type="dxa"/>
              <w:bottom w:w="0" w:type="dxa"/>
              <w:right w:w="108" w:type="dxa"/>
            </w:tcMar>
            <w:vAlign w:val="center"/>
          </w:tcPr>
          <w:p w14:paraId="3296F5DC" w14:textId="4D5E47B8" w:rsidR="00E30C74" w:rsidRPr="00CA1512" w:rsidDel="00727289" w:rsidRDefault="00E30C74" w:rsidP="00817C3B">
            <w:pPr>
              <w:pStyle w:val="Tabletext"/>
              <w:keepLines/>
              <w:jc w:val="center"/>
              <w:rPr>
                <w:b/>
                <w:szCs w:val="20"/>
              </w:rPr>
            </w:pPr>
          </w:p>
        </w:tc>
        <w:tc>
          <w:tcPr>
            <w:tcW w:w="835" w:type="pct"/>
            <w:gridSpan w:val="2"/>
            <w:vMerge w:val="restart"/>
            <w:tcMar>
              <w:top w:w="0" w:type="dxa"/>
              <w:left w:w="108" w:type="dxa"/>
              <w:bottom w:w="0" w:type="dxa"/>
              <w:right w:w="108" w:type="dxa"/>
            </w:tcMar>
            <w:vAlign w:val="center"/>
          </w:tcPr>
          <w:p w14:paraId="6462C19A" w14:textId="62EF068C" w:rsidR="00E30C74" w:rsidRPr="00CA1512" w:rsidRDefault="00E30C74" w:rsidP="00817C3B">
            <w:pPr>
              <w:pStyle w:val="Tabletext"/>
              <w:keepLines/>
              <w:jc w:val="center"/>
              <w:rPr>
                <w:b/>
                <w:szCs w:val="20"/>
              </w:rPr>
            </w:pPr>
            <w:r w:rsidRPr="00CA1512">
              <w:rPr>
                <w:b/>
                <w:szCs w:val="20"/>
              </w:rPr>
              <w:t>0.78 (0.63</w:t>
            </w:r>
            <w:r w:rsidR="009E227E" w:rsidRPr="00CA1512">
              <w:rPr>
                <w:b/>
                <w:szCs w:val="20"/>
              </w:rPr>
              <w:t xml:space="preserve">, </w:t>
            </w:r>
            <w:r w:rsidRPr="00CA1512">
              <w:rPr>
                <w:b/>
                <w:szCs w:val="20"/>
              </w:rPr>
              <w:t>0.96); p=0.021</w:t>
            </w:r>
          </w:p>
        </w:tc>
      </w:tr>
      <w:tr w:rsidR="0012717D" w:rsidRPr="00CA1512" w14:paraId="0C92D4E3" w14:textId="77777777" w:rsidTr="000E6892">
        <w:trPr>
          <w:cantSplit/>
          <w:trHeight w:val="227"/>
        </w:trPr>
        <w:tc>
          <w:tcPr>
            <w:tcW w:w="1727" w:type="pct"/>
            <w:gridSpan w:val="3"/>
            <w:tcBorders>
              <w:bottom w:val="single" w:sz="4" w:space="0" w:color="auto"/>
            </w:tcBorders>
            <w:tcMar>
              <w:top w:w="0" w:type="dxa"/>
              <w:left w:w="108" w:type="dxa"/>
              <w:bottom w:w="0" w:type="dxa"/>
              <w:right w:w="108" w:type="dxa"/>
            </w:tcMar>
            <w:vAlign w:val="center"/>
          </w:tcPr>
          <w:p w14:paraId="06864605" w14:textId="77777777" w:rsidR="00E30C74" w:rsidRPr="00CA1512" w:rsidRDefault="00E30C74" w:rsidP="00817C3B">
            <w:pPr>
              <w:pStyle w:val="Tabletext"/>
              <w:keepLines/>
              <w:rPr>
                <w:b/>
                <w:bCs/>
                <w:szCs w:val="20"/>
              </w:rPr>
            </w:pPr>
            <w:r w:rsidRPr="00CA1512">
              <w:rPr>
                <w:szCs w:val="20"/>
              </w:rPr>
              <w:lastRenderedPageBreak/>
              <w:t>Median OS, months (95% CI)</w:t>
            </w:r>
          </w:p>
        </w:tc>
        <w:tc>
          <w:tcPr>
            <w:tcW w:w="786" w:type="pct"/>
            <w:gridSpan w:val="2"/>
            <w:tcBorders>
              <w:bottom w:val="single" w:sz="4" w:space="0" w:color="auto"/>
            </w:tcBorders>
            <w:tcMar>
              <w:top w:w="0" w:type="dxa"/>
              <w:left w:w="108" w:type="dxa"/>
              <w:bottom w:w="0" w:type="dxa"/>
              <w:right w:w="108" w:type="dxa"/>
            </w:tcMar>
            <w:vAlign w:val="center"/>
          </w:tcPr>
          <w:p w14:paraId="6838F2F9" w14:textId="7F7EFFAD" w:rsidR="00E30C74" w:rsidRPr="00CA1512" w:rsidRDefault="00E30C74" w:rsidP="00817C3B">
            <w:pPr>
              <w:pStyle w:val="Tabletext"/>
              <w:keepLines/>
              <w:jc w:val="center"/>
              <w:rPr>
                <w:b/>
                <w:bCs/>
                <w:szCs w:val="20"/>
              </w:rPr>
            </w:pPr>
            <w:r w:rsidRPr="00CA1512">
              <w:rPr>
                <w:szCs w:val="20"/>
              </w:rPr>
              <w:t>NC (NC</w:t>
            </w:r>
            <w:r w:rsidR="009342E0" w:rsidRPr="00CA1512">
              <w:rPr>
                <w:szCs w:val="20"/>
              </w:rPr>
              <w:t xml:space="preserve">, </w:t>
            </w:r>
            <w:r w:rsidRPr="00CA1512">
              <w:rPr>
                <w:szCs w:val="20"/>
              </w:rPr>
              <w:t>NC)</w:t>
            </w:r>
          </w:p>
        </w:tc>
        <w:tc>
          <w:tcPr>
            <w:tcW w:w="866" w:type="pct"/>
            <w:gridSpan w:val="2"/>
            <w:tcBorders>
              <w:bottom w:val="single" w:sz="4" w:space="0" w:color="auto"/>
            </w:tcBorders>
            <w:tcMar>
              <w:top w:w="0" w:type="dxa"/>
              <w:left w:w="108" w:type="dxa"/>
              <w:bottom w:w="0" w:type="dxa"/>
              <w:right w:w="108" w:type="dxa"/>
            </w:tcMar>
            <w:vAlign w:val="center"/>
          </w:tcPr>
          <w:p w14:paraId="6BCE2D65" w14:textId="61AB01AC" w:rsidR="00E30C74" w:rsidRPr="00CA1512" w:rsidRDefault="00E30C74" w:rsidP="00817C3B">
            <w:pPr>
              <w:pStyle w:val="Tabletext"/>
              <w:keepLines/>
              <w:jc w:val="center"/>
              <w:rPr>
                <w:rStyle w:val="CommentReference"/>
                <w:bCs/>
                <w:szCs w:val="20"/>
              </w:rPr>
            </w:pPr>
            <w:r w:rsidRPr="00CA1512">
              <w:rPr>
                <w:szCs w:val="20"/>
              </w:rPr>
              <w:t>NC (NC</w:t>
            </w:r>
            <w:r w:rsidR="009342E0" w:rsidRPr="00CA1512">
              <w:rPr>
                <w:szCs w:val="20"/>
              </w:rPr>
              <w:t xml:space="preserve">, </w:t>
            </w:r>
            <w:r w:rsidRPr="00CA1512">
              <w:rPr>
                <w:szCs w:val="20"/>
              </w:rPr>
              <w:t>NC)</w:t>
            </w:r>
          </w:p>
        </w:tc>
        <w:tc>
          <w:tcPr>
            <w:tcW w:w="786" w:type="pct"/>
            <w:gridSpan w:val="2"/>
            <w:vMerge/>
            <w:tcBorders>
              <w:bottom w:val="single" w:sz="4" w:space="0" w:color="auto"/>
            </w:tcBorders>
            <w:tcMar>
              <w:top w:w="0" w:type="dxa"/>
              <w:left w:w="108" w:type="dxa"/>
              <w:bottom w:w="0" w:type="dxa"/>
              <w:right w:w="108" w:type="dxa"/>
            </w:tcMar>
            <w:vAlign w:val="center"/>
          </w:tcPr>
          <w:p w14:paraId="5FB06DF5" w14:textId="5F635113" w:rsidR="00E30C74" w:rsidRPr="00CA1512" w:rsidRDefault="00E30C74" w:rsidP="00817C3B">
            <w:pPr>
              <w:pStyle w:val="Tabletext"/>
              <w:keepLines/>
              <w:jc w:val="center"/>
              <w:rPr>
                <w:b/>
                <w:bCs/>
                <w:szCs w:val="20"/>
              </w:rPr>
            </w:pPr>
          </w:p>
        </w:tc>
        <w:tc>
          <w:tcPr>
            <w:tcW w:w="835" w:type="pct"/>
            <w:gridSpan w:val="2"/>
            <w:vMerge/>
            <w:tcBorders>
              <w:bottom w:val="single" w:sz="4" w:space="0" w:color="auto"/>
            </w:tcBorders>
            <w:tcMar>
              <w:top w:w="0" w:type="dxa"/>
              <w:left w:w="108" w:type="dxa"/>
              <w:bottom w:w="0" w:type="dxa"/>
              <w:right w:w="108" w:type="dxa"/>
            </w:tcMar>
            <w:vAlign w:val="center"/>
          </w:tcPr>
          <w:p w14:paraId="0E7729FF" w14:textId="77777777" w:rsidR="00E30C74" w:rsidRPr="00CA1512" w:rsidRDefault="00E30C74" w:rsidP="00817C3B">
            <w:pPr>
              <w:pStyle w:val="Tabletext"/>
              <w:keepLines/>
              <w:jc w:val="center"/>
              <w:rPr>
                <w:b/>
                <w:bCs/>
                <w:szCs w:val="20"/>
              </w:rPr>
            </w:pPr>
          </w:p>
        </w:tc>
      </w:tr>
      <w:tr w:rsidR="000C3190" w:rsidRPr="00CA1512" w14:paraId="3A4E41F5" w14:textId="77777777" w:rsidTr="000E6892">
        <w:trPr>
          <w:cantSplit/>
          <w:trHeight w:val="227"/>
        </w:trPr>
        <w:tc>
          <w:tcPr>
            <w:tcW w:w="1727" w:type="pct"/>
            <w:gridSpan w:val="3"/>
            <w:tcBorders>
              <w:bottom w:val="single" w:sz="4" w:space="0" w:color="auto"/>
            </w:tcBorders>
            <w:tcMar>
              <w:top w:w="0" w:type="dxa"/>
              <w:left w:w="108" w:type="dxa"/>
              <w:bottom w:w="0" w:type="dxa"/>
              <w:right w:w="108" w:type="dxa"/>
            </w:tcMar>
            <w:vAlign w:val="center"/>
          </w:tcPr>
          <w:p w14:paraId="46762062" w14:textId="68AC365C" w:rsidR="000C3190" w:rsidRPr="00F007E7" w:rsidRDefault="00F23785" w:rsidP="00817C3B">
            <w:pPr>
              <w:pStyle w:val="Tabletext"/>
              <w:keepLines/>
              <w:ind w:left="283"/>
              <w:rPr>
                <w:iCs/>
                <w:szCs w:val="20"/>
              </w:rPr>
            </w:pPr>
            <w:r w:rsidRPr="00F007E7">
              <w:rPr>
                <w:iCs/>
                <w:szCs w:val="20"/>
              </w:rPr>
              <w:t>OS rate at 18 months, %</w:t>
            </w:r>
          </w:p>
        </w:tc>
        <w:tc>
          <w:tcPr>
            <w:tcW w:w="786" w:type="pct"/>
            <w:gridSpan w:val="2"/>
            <w:tcBorders>
              <w:bottom w:val="single" w:sz="4" w:space="0" w:color="auto"/>
            </w:tcBorders>
            <w:tcMar>
              <w:top w:w="0" w:type="dxa"/>
              <w:left w:w="108" w:type="dxa"/>
              <w:bottom w:w="0" w:type="dxa"/>
              <w:right w:w="108" w:type="dxa"/>
            </w:tcMar>
            <w:vAlign w:val="center"/>
          </w:tcPr>
          <w:p w14:paraId="3CC53129" w14:textId="76C8EA10" w:rsidR="000C3190" w:rsidRPr="00403CC9" w:rsidRDefault="006E438B" w:rsidP="00817C3B">
            <w:pPr>
              <w:pStyle w:val="Tabletext"/>
              <w:keepLines/>
              <w:jc w:val="center"/>
              <w:rPr>
                <w:iCs/>
                <w:szCs w:val="20"/>
              </w:rPr>
            </w:pPr>
            <w:r w:rsidRPr="00403CC9">
              <w:rPr>
                <w:iCs/>
                <w:szCs w:val="20"/>
              </w:rPr>
              <w:t>81.1</w:t>
            </w:r>
          </w:p>
        </w:tc>
        <w:tc>
          <w:tcPr>
            <w:tcW w:w="866" w:type="pct"/>
            <w:gridSpan w:val="2"/>
            <w:tcBorders>
              <w:bottom w:val="single" w:sz="4" w:space="0" w:color="auto"/>
            </w:tcBorders>
            <w:tcMar>
              <w:top w:w="0" w:type="dxa"/>
              <w:left w:w="108" w:type="dxa"/>
              <w:bottom w:w="0" w:type="dxa"/>
              <w:right w:w="108" w:type="dxa"/>
            </w:tcMar>
            <w:vAlign w:val="center"/>
          </w:tcPr>
          <w:p w14:paraId="73FBB866" w14:textId="4774F54D" w:rsidR="000C3190" w:rsidRPr="00403CC9" w:rsidRDefault="00992870" w:rsidP="00817C3B">
            <w:pPr>
              <w:pStyle w:val="Tabletext"/>
              <w:keepLines/>
              <w:jc w:val="center"/>
              <w:rPr>
                <w:iCs/>
                <w:szCs w:val="20"/>
              </w:rPr>
            </w:pPr>
            <w:r w:rsidRPr="00403CC9">
              <w:rPr>
                <w:iCs/>
                <w:szCs w:val="20"/>
              </w:rPr>
              <w:t>77.1</w:t>
            </w:r>
          </w:p>
        </w:tc>
        <w:tc>
          <w:tcPr>
            <w:tcW w:w="786" w:type="pct"/>
            <w:gridSpan w:val="2"/>
            <w:tcBorders>
              <w:bottom w:val="single" w:sz="4" w:space="0" w:color="auto"/>
            </w:tcBorders>
            <w:tcMar>
              <w:top w:w="0" w:type="dxa"/>
              <w:left w:w="108" w:type="dxa"/>
              <w:bottom w:w="0" w:type="dxa"/>
              <w:right w:w="108" w:type="dxa"/>
            </w:tcMar>
            <w:vAlign w:val="center"/>
          </w:tcPr>
          <w:p w14:paraId="1ADE1E56" w14:textId="2FAEBF72" w:rsidR="000C3190" w:rsidRPr="00403CC9" w:rsidRDefault="00992870" w:rsidP="00817C3B">
            <w:pPr>
              <w:pStyle w:val="Tabletext"/>
              <w:keepLines/>
              <w:jc w:val="center"/>
              <w:rPr>
                <w:iCs/>
                <w:szCs w:val="20"/>
              </w:rPr>
            </w:pPr>
            <w:r w:rsidRPr="00403CC9">
              <w:rPr>
                <w:iCs/>
                <w:szCs w:val="20"/>
              </w:rPr>
              <w:t>4.0</w:t>
            </w:r>
          </w:p>
        </w:tc>
        <w:tc>
          <w:tcPr>
            <w:tcW w:w="835" w:type="pct"/>
            <w:gridSpan w:val="2"/>
            <w:tcBorders>
              <w:bottom w:val="single" w:sz="4" w:space="0" w:color="auto"/>
            </w:tcBorders>
            <w:tcMar>
              <w:top w:w="0" w:type="dxa"/>
              <w:left w:w="108" w:type="dxa"/>
              <w:bottom w:w="0" w:type="dxa"/>
              <w:right w:w="108" w:type="dxa"/>
            </w:tcMar>
            <w:vAlign w:val="center"/>
          </w:tcPr>
          <w:p w14:paraId="563E97B1" w14:textId="312F34E7" w:rsidR="000C3190" w:rsidRPr="00CA1512" w:rsidRDefault="00675F55" w:rsidP="00817C3B">
            <w:pPr>
              <w:pStyle w:val="Tabletext"/>
              <w:keepLines/>
              <w:jc w:val="center"/>
              <w:rPr>
                <w:i/>
                <w:szCs w:val="20"/>
              </w:rPr>
            </w:pPr>
            <w:r>
              <w:rPr>
                <w:i/>
                <w:iCs/>
                <w:szCs w:val="20"/>
              </w:rPr>
              <w:noBreakHyphen/>
            </w:r>
          </w:p>
        </w:tc>
      </w:tr>
      <w:tr w:rsidR="000C3190" w:rsidRPr="00CA1512" w14:paraId="68608794" w14:textId="77777777" w:rsidTr="000E6892">
        <w:trPr>
          <w:cantSplit/>
          <w:trHeight w:val="227"/>
        </w:trPr>
        <w:tc>
          <w:tcPr>
            <w:tcW w:w="1727" w:type="pct"/>
            <w:gridSpan w:val="3"/>
            <w:tcBorders>
              <w:bottom w:val="single" w:sz="4" w:space="0" w:color="auto"/>
            </w:tcBorders>
            <w:tcMar>
              <w:top w:w="0" w:type="dxa"/>
              <w:left w:w="108" w:type="dxa"/>
              <w:bottom w:w="0" w:type="dxa"/>
              <w:right w:w="108" w:type="dxa"/>
            </w:tcMar>
            <w:vAlign w:val="center"/>
          </w:tcPr>
          <w:p w14:paraId="19669018" w14:textId="14D64BAB" w:rsidR="000C3190" w:rsidRPr="00F007E7" w:rsidRDefault="006E438B" w:rsidP="00817C3B">
            <w:pPr>
              <w:pStyle w:val="Tabletext"/>
              <w:keepLines/>
              <w:ind w:left="283"/>
              <w:rPr>
                <w:iCs/>
                <w:szCs w:val="20"/>
              </w:rPr>
            </w:pPr>
            <w:r w:rsidRPr="00F007E7">
              <w:rPr>
                <w:iCs/>
                <w:szCs w:val="20"/>
              </w:rPr>
              <w:t>OS rate at 24 months, %</w:t>
            </w:r>
          </w:p>
        </w:tc>
        <w:tc>
          <w:tcPr>
            <w:tcW w:w="786" w:type="pct"/>
            <w:gridSpan w:val="2"/>
            <w:tcBorders>
              <w:bottom w:val="single" w:sz="4" w:space="0" w:color="auto"/>
            </w:tcBorders>
            <w:tcMar>
              <w:top w:w="0" w:type="dxa"/>
              <w:left w:w="108" w:type="dxa"/>
              <w:bottom w:w="0" w:type="dxa"/>
              <w:right w:w="108" w:type="dxa"/>
            </w:tcMar>
            <w:vAlign w:val="center"/>
          </w:tcPr>
          <w:p w14:paraId="0EB296BA" w14:textId="3051137D" w:rsidR="000C3190" w:rsidRPr="00403CC9" w:rsidRDefault="00992870" w:rsidP="00817C3B">
            <w:pPr>
              <w:pStyle w:val="Tabletext"/>
              <w:keepLines/>
              <w:jc w:val="center"/>
              <w:rPr>
                <w:iCs/>
                <w:szCs w:val="20"/>
              </w:rPr>
            </w:pPr>
            <w:r w:rsidRPr="00403CC9">
              <w:rPr>
                <w:iCs/>
                <w:szCs w:val="20"/>
              </w:rPr>
              <w:t>75.5</w:t>
            </w:r>
          </w:p>
        </w:tc>
        <w:tc>
          <w:tcPr>
            <w:tcW w:w="866" w:type="pct"/>
            <w:gridSpan w:val="2"/>
            <w:tcBorders>
              <w:bottom w:val="single" w:sz="4" w:space="0" w:color="auto"/>
            </w:tcBorders>
            <w:tcMar>
              <w:top w:w="0" w:type="dxa"/>
              <w:left w:w="108" w:type="dxa"/>
              <w:bottom w:w="0" w:type="dxa"/>
              <w:right w:w="108" w:type="dxa"/>
            </w:tcMar>
            <w:vAlign w:val="center"/>
          </w:tcPr>
          <w:p w14:paraId="744D2546" w14:textId="52B9E928" w:rsidR="000C3190" w:rsidRPr="00403CC9" w:rsidRDefault="00992870" w:rsidP="00817C3B">
            <w:pPr>
              <w:pStyle w:val="Tabletext"/>
              <w:keepLines/>
              <w:jc w:val="center"/>
              <w:rPr>
                <w:iCs/>
                <w:szCs w:val="20"/>
              </w:rPr>
            </w:pPr>
            <w:r w:rsidRPr="00403CC9">
              <w:rPr>
                <w:iCs/>
                <w:szCs w:val="20"/>
              </w:rPr>
              <w:t>70.4</w:t>
            </w:r>
          </w:p>
        </w:tc>
        <w:tc>
          <w:tcPr>
            <w:tcW w:w="786" w:type="pct"/>
            <w:gridSpan w:val="2"/>
            <w:tcBorders>
              <w:bottom w:val="single" w:sz="4" w:space="0" w:color="auto"/>
            </w:tcBorders>
            <w:tcMar>
              <w:top w:w="0" w:type="dxa"/>
              <w:left w:w="108" w:type="dxa"/>
              <w:bottom w:w="0" w:type="dxa"/>
              <w:right w:w="108" w:type="dxa"/>
            </w:tcMar>
            <w:vAlign w:val="center"/>
          </w:tcPr>
          <w:p w14:paraId="4E9BE81D" w14:textId="35F34052" w:rsidR="000C3190" w:rsidRPr="00403CC9" w:rsidRDefault="00992870" w:rsidP="00817C3B">
            <w:pPr>
              <w:pStyle w:val="Tabletext"/>
              <w:keepLines/>
              <w:jc w:val="center"/>
              <w:rPr>
                <w:iCs/>
                <w:szCs w:val="20"/>
              </w:rPr>
            </w:pPr>
            <w:r w:rsidRPr="00403CC9">
              <w:rPr>
                <w:iCs/>
                <w:szCs w:val="20"/>
              </w:rPr>
              <w:t>5.1</w:t>
            </w:r>
          </w:p>
        </w:tc>
        <w:tc>
          <w:tcPr>
            <w:tcW w:w="835" w:type="pct"/>
            <w:gridSpan w:val="2"/>
            <w:tcBorders>
              <w:bottom w:val="single" w:sz="4" w:space="0" w:color="auto"/>
            </w:tcBorders>
            <w:tcMar>
              <w:top w:w="0" w:type="dxa"/>
              <w:left w:w="108" w:type="dxa"/>
              <w:bottom w:w="0" w:type="dxa"/>
              <w:right w:w="108" w:type="dxa"/>
            </w:tcMar>
            <w:vAlign w:val="center"/>
          </w:tcPr>
          <w:p w14:paraId="4E2479C6" w14:textId="4B43AA9D" w:rsidR="000C3190" w:rsidRPr="00CA1512" w:rsidRDefault="00675F55" w:rsidP="00817C3B">
            <w:pPr>
              <w:pStyle w:val="Tabletext"/>
              <w:keepLines/>
              <w:jc w:val="center"/>
              <w:rPr>
                <w:i/>
                <w:szCs w:val="20"/>
              </w:rPr>
            </w:pPr>
            <w:r>
              <w:rPr>
                <w:i/>
                <w:iCs/>
                <w:szCs w:val="20"/>
              </w:rPr>
              <w:noBreakHyphen/>
            </w:r>
          </w:p>
        </w:tc>
      </w:tr>
      <w:tr w:rsidR="000C3190" w:rsidRPr="00CA1512" w14:paraId="428F5420" w14:textId="77777777" w:rsidTr="000E6892">
        <w:trPr>
          <w:cantSplit/>
          <w:trHeight w:val="227"/>
        </w:trPr>
        <w:tc>
          <w:tcPr>
            <w:tcW w:w="1727" w:type="pct"/>
            <w:gridSpan w:val="3"/>
            <w:tcBorders>
              <w:bottom w:val="single" w:sz="4" w:space="0" w:color="auto"/>
            </w:tcBorders>
            <w:tcMar>
              <w:top w:w="0" w:type="dxa"/>
              <w:left w:w="108" w:type="dxa"/>
              <w:bottom w:w="0" w:type="dxa"/>
              <w:right w:w="108" w:type="dxa"/>
            </w:tcMar>
            <w:vAlign w:val="center"/>
          </w:tcPr>
          <w:p w14:paraId="18966FBE" w14:textId="794A862C" w:rsidR="000C3190" w:rsidRPr="00F007E7" w:rsidRDefault="006E438B" w:rsidP="00817C3B">
            <w:pPr>
              <w:pStyle w:val="Tabletext"/>
              <w:keepLines/>
              <w:ind w:left="283"/>
              <w:rPr>
                <w:iCs/>
                <w:szCs w:val="20"/>
              </w:rPr>
            </w:pPr>
            <w:r w:rsidRPr="00F007E7">
              <w:rPr>
                <w:iCs/>
                <w:szCs w:val="20"/>
              </w:rPr>
              <w:t>OS rate at 36 months, %</w:t>
            </w:r>
          </w:p>
        </w:tc>
        <w:tc>
          <w:tcPr>
            <w:tcW w:w="786" w:type="pct"/>
            <w:gridSpan w:val="2"/>
            <w:tcBorders>
              <w:bottom w:val="single" w:sz="4" w:space="0" w:color="auto"/>
            </w:tcBorders>
            <w:tcMar>
              <w:top w:w="0" w:type="dxa"/>
              <w:left w:w="108" w:type="dxa"/>
              <w:bottom w:w="0" w:type="dxa"/>
              <w:right w:w="108" w:type="dxa"/>
            </w:tcMar>
            <w:vAlign w:val="center"/>
          </w:tcPr>
          <w:p w14:paraId="5E49838B" w14:textId="3A584C80" w:rsidR="000C3190" w:rsidRPr="00403CC9" w:rsidRDefault="00992870" w:rsidP="00817C3B">
            <w:pPr>
              <w:pStyle w:val="Tabletext"/>
              <w:keepLines/>
              <w:jc w:val="center"/>
              <w:rPr>
                <w:iCs/>
                <w:szCs w:val="20"/>
              </w:rPr>
            </w:pPr>
            <w:r w:rsidRPr="00403CC9">
              <w:rPr>
                <w:iCs/>
                <w:szCs w:val="20"/>
              </w:rPr>
              <w:t>68.6</w:t>
            </w:r>
          </w:p>
        </w:tc>
        <w:tc>
          <w:tcPr>
            <w:tcW w:w="866" w:type="pct"/>
            <w:gridSpan w:val="2"/>
            <w:tcBorders>
              <w:bottom w:val="single" w:sz="4" w:space="0" w:color="auto"/>
            </w:tcBorders>
            <w:tcMar>
              <w:top w:w="0" w:type="dxa"/>
              <w:left w:w="108" w:type="dxa"/>
              <w:bottom w:w="0" w:type="dxa"/>
              <w:right w:w="108" w:type="dxa"/>
            </w:tcMar>
            <w:vAlign w:val="center"/>
          </w:tcPr>
          <w:p w14:paraId="45485C30" w14:textId="3B968D3E" w:rsidR="000C3190" w:rsidRPr="00403CC9" w:rsidRDefault="00992870" w:rsidP="00817C3B">
            <w:pPr>
              <w:pStyle w:val="Tabletext"/>
              <w:keepLines/>
              <w:jc w:val="center"/>
              <w:rPr>
                <w:iCs/>
                <w:szCs w:val="20"/>
              </w:rPr>
            </w:pPr>
            <w:r w:rsidRPr="00403CC9">
              <w:rPr>
                <w:iCs/>
                <w:szCs w:val="20"/>
              </w:rPr>
              <w:t>61.9</w:t>
            </w:r>
          </w:p>
        </w:tc>
        <w:tc>
          <w:tcPr>
            <w:tcW w:w="786" w:type="pct"/>
            <w:gridSpan w:val="2"/>
            <w:tcBorders>
              <w:bottom w:val="single" w:sz="4" w:space="0" w:color="auto"/>
            </w:tcBorders>
            <w:tcMar>
              <w:top w:w="0" w:type="dxa"/>
              <w:left w:w="108" w:type="dxa"/>
              <w:bottom w:w="0" w:type="dxa"/>
              <w:right w:w="108" w:type="dxa"/>
            </w:tcMar>
            <w:vAlign w:val="center"/>
          </w:tcPr>
          <w:p w14:paraId="04057E79" w14:textId="2326C2AB" w:rsidR="000C3190" w:rsidRPr="00403CC9" w:rsidRDefault="006D1A5F" w:rsidP="00817C3B">
            <w:pPr>
              <w:pStyle w:val="Tabletext"/>
              <w:keepLines/>
              <w:jc w:val="center"/>
              <w:rPr>
                <w:iCs/>
                <w:szCs w:val="20"/>
              </w:rPr>
            </w:pPr>
            <w:r w:rsidRPr="00403CC9">
              <w:rPr>
                <w:iCs/>
                <w:szCs w:val="20"/>
              </w:rPr>
              <w:t>6.7</w:t>
            </w:r>
          </w:p>
        </w:tc>
        <w:tc>
          <w:tcPr>
            <w:tcW w:w="835" w:type="pct"/>
            <w:gridSpan w:val="2"/>
            <w:tcBorders>
              <w:bottom w:val="single" w:sz="4" w:space="0" w:color="auto"/>
            </w:tcBorders>
            <w:tcMar>
              <w:top w:w="0" w:type="dxa"/>
              <w:left w:w="108" w:type="dxa"/>
              <w:bottom w:w="0" w:type="dxa"/>
              <w:right w:w="108" w:type="dxa"/>
            </w:tcMar>
            <w:vAlign w:val="center"/>
          </w:tcPr>
          <w:p w14:paraId="61D1A40C" w14:textId="3FB243C6" w:rsidR="000C3190" w:rsidRPr="00CA1512" w:rsidRDefault="00675F55" w:rsidP="00817C3B">
            <w:pPr>
              <w:pStyle w:val="Tabletext"/>
              <w:keepLines/>
              <w:jc w:val="center"/>
              <w:rPr>
                <w:i/>
                <w:szCs w:val="20"/>
              </w:rPr>
            </w:pPr>
            <w:r>
              <w:rPr>
                <w:i/>
                <w:iCs/>
                <w:szCs w:val="20"/>
              </w:rPr>
              <w:noBreakHyphen/>
            </w:r>
          </w:p>
        </w:tc>
      </w:tr>
      <w:tr w:rsidR="00E30C74" w:rsidRPr="00CA1512" w14:paraId="3C20DE8D" w14:textId="77777777" w:rsidTr="00177DDB">
        <w:trPr>
          <w:cantSplit/>
          <w:trHeight w:val="227"/>
        </w:trPr>
        <w:tc>
          <w:tcPr>
            <w:tcW w:w="5000" w:type="pct"/>
            <w:gridSpan w:val="11"/>
            <w:tcBorders>
              <w:top w:val="double" w:sz="4" w:space="0" w:color="auto"/>
            </w:tcBorders>
            <w:tcMar>
              <w:top w:w="0" w:type="dxa"/>
              <w:left w:w="108" w:type="dxa"/>
              <w:bottom w:w="0" w:type="dxa"/>
              <w:right w:w="108" w:type="dxa"/>
            </w:tcMar>
            <w:vAlign w:val="center"/>
          </w:tcPr>
          <w:p w14:paraId="2CE0837B" w14:textId="6A2A9221" w:rsidR="00E30C74" w:rsidRPr="00CA1512" w:rsidRDefault="00E30C74" w:rsidP="00817C3B">
            <w:pPr>
              <w:pStyle w:val="TableFigureHeading"/>
              <w:keepNext w:val="0"/>
              <w:keepLines/>
              <w:rPr>
                <w:szCs w:val="20"/>
              </w:rPr>
            </w:pPr>
            <w:r w:rsidRPr="00CA1512">
              <w:rPr>
                <w:szCs w:val="20"/>
              </w:rPr>
              <w:t>pCR</w:t>
            </w:r>
            <w:r w:rsidR="000D3EC2" w:rsidRPr="00CA1512">
              <w:rPr>
                <w:szCs w:val="20"/>
              </w:rPr>
              <w:t xml:space="preserve"> (DCO2)</w:t>
            </w:r>
          </w:p>
        </w:tc>
      </w:tr>
      <w:tr w:rsidR="00E30C74" w:rsidRPr="00CA1512" w14:paraId="2AC55298" w14:textId="77777777" w:rsidTr="000E6892">
        <w:trPr>
          <w:cantSplit/>
          <w:trHeight w:val="230"/>
        </w:trPr>
        <w:tc>
          <w:tcPr>
            <w:tcW w:w="1727" w:type="pct"/>
            <w:gridSpan w:val="3"/>
            <w:vMerge w:val="restart"/>
            <w:tcMar>
              <w:top w:w="0" w:type="dxa"/>
              <w:left w:w="108" w:type="dxa"/>
              <w:bottom w:w="0" w:type="dxa"/>
              <w:right w:w="108" w:type="dxa"/>
            </w:tcMar>
            <w:vAlign w:val="center"/>
          </w:tcPr>
          <w:p w14:paraId="54068B08" w14:textId="77777777" w:rsidR="00E30C74" w:rsidRPr="00CA1512" w:rsidRDefault="00E30C74" w:rsidP="00817C3B">
            <w:pPr>
              <w:pStyle w:val="TableFigureHeading"/>
              <w:keepNext w:val="0"/>
              <w:keepLines/>
              <w:rPr>
                <w:szCs w:val="20"/>
              </w:rPr>
            </w:pPr>
          </w:p>
        </w:tc>
        <w:tc>
          <w:tcPr>
            <w:tcW w:w="786" w:type="pct"/>
            <w:gridSpan w:val="2"/>
            <w:vMerge w:val="restart"/>
            <w:tcMar>
              <w:top w:w="0" w:type="dxa"/>
              <w:left w:w="108" w:type="dxa"/>
              <w:bottom w:w="0" w:type="dxa"/>
              <w:right w:w="108" w:type="dxa"/>
            </w:tcMar>
            <w:vAlign w:val="center"/>
          </w:tcPr>
          <w:p w14:paraId="47BC2EB9" w14:textId="4A7C2671" w:rsidR="00E30C74" w:rsidRPr="00CA1512" w:rsidRDefault="00E30C74" w:rsidP="00817C3B">
            <w:pPr>
              <w:pStyle w:val="TableFigureHeading"/>
              <w:keepNext w:val="0"/>
              <w:keepLines/>
              <w:jc w:val="center"/>
              <w:rPr>
                <w:szCs w:val="20"/>
              </w:rPr>
            </w:pPr>
            <w:r w:rsidRPr="00CA1512">
              <w:rPr>
                <w:szCs w:val="20"/>
              </w:rPr>
              <w:t>D + FLOT</w:t>
            </w:r>
          </w:p>
          <w:p w14:paraId="0A043696" w14:textId="6DE88322" w:rsidR="00390A77" w:rsidRPr="00CA1512" w:rsidRDefault="00390A77" w:rsidP="00817C3B">
            <w:pPr>
              <w:pStyle w:val="TableFigureHeading"/>
              <w:keepNext w:val="0"/>
              <w:keepLines/>
              <w:jc w:val="center"/>
              <w:rPr>
                <w:szCs w:val="20"/>
              </w:rPr>
            </w:pPr>
            <w:r w:rsidRPr="00CA1512">
              <w:rPr>
                <w:szCs w:val="20"/>
              </w:rPr>
              <w:t>(N = 474)</w:t>
            </w:r>
          </w:p>
        </w:tc>
        <w:tc>
          <w:tcPr>
            <w:tcW w:w="866" w:type="pct"/>
            <w:gridSpan w:val="2"/>
            <w:vMerge w:val="restart"/>
            <w:tcMar>
              <w:top w:w="0" w:type="dxa"/>
              <w:left w:w="108" w:type="dxa"/>
              <w:bottom w:w="0" w:type="dxa"/>
              <w:right w:w="108" w:type="dxa"/>
            </w:tcMar>
            <w:vAlign w:val="center"/>
          </w:tcPr>
          <w:p w14:paraId="4F8B035A" w14:textId="77777777" w:rsidR="00E30C74" w:rsidRPr="00CA1512" w:rsidRDefault="00E30C74" w:rsidP="00817C3B">
            <w:pPr>
              <w:pStyle w:val="TableFigureHeading"/>
              <w:keepNext w:val="0"/>
              <w:keepLines/>
              <w:jc w:val="center"/>
              <w:rPr>
                <w:rStyle w:val="CommentReference"/>
                <w:b/>
                <w:szCs w:val="20"/>
              </w:rPr>
            </w:pPr>
            <w:r w:rsidRPr="00CA1512">
              <w:rPr>
                <w:rStyle w:val="CommentReference"/>
                <w:b/>
                <w:szCs w:val="20"/>
              </w:rPr>
              <w:t>Pbo + FLOT</w:t>
            </w:r>
          </w:p>
          <w:p w14:paraId="71D3E646" w14:textId="4EF9FF76" w:rsidR="00390A77" w:rsidRPr="00CA1512" w:rsidRDefault="00390A77" w:rsidP="00817C3B">
            <w:pPr>
              <w:pStyle w:val="TableFigureHeading"/>
              <w:keepNext w:val="0"/>
              <w:keepLines/>
              <w:jc w:val="center"/>
              <w:rPr>
                <w:szCs w:val="20"/>
              </w:rPr>
            </w:pPr>
            <w:r w:rsidRPr="00CA1512">
              <w:rPr>
                <w:rStyle w:val="CommentReference"/>
                <w:b/>
                <w:szCs w:val="20"/>
              </w:rPr>
              <w:t>(N = 474)</w:t>
            </w:r>
          </w:p>
        </w:tc>
        <w:tc>
          <w:tcPr>
            <w:tcW w:w="786" w:type="pct"/>
            <w:gridSpan w:val="2"/>
            <w:vMerge w:val="restart"/>
            <w:tcMar>
              <w:top w:w="0" w:type="dxa"/>
              <w:left w:w="108" w:type="dxa"/>
              <w:bottom w:w="0" w:type="dxa"/>
              <w:right w:w="108" w:type="dxa"/>
            </w:tcMar>
            <w:vAlign w:val="center"/>
          </w:tcPr>
          <w:p w14:paraId="56D11566" w14:textId="43812239" w:rsidR="00E30C74" w:rsidRPr="00CA1512" w:rsidRDefault="00E66FFC" w:rsidP="00817C3B">
            <w:pPr>
              <w:pStyle w:val="TableFigureHeading"/>
              <w:keepNext w:val="0"/>
              <w:keepLines/>
              <w:jc w:val="center"/>
              <w:rPr>
                <w:szCs w:val="20"/>
              </w:rPr>
            </w:pPr>
            <w:r w:rsidRPr="00CA1512">
              <w:rPr>
                <w:szCs w:val="20"/>
              </w:rPr>
              <w:t>Absolute difference</w:t>
            </w:r>
            <w:r w:rsidR="0026672D" w:rsidRPr="00CA1512">
              <w:rPr>
                <w:szCs w:val="20"/>
              </w:rPr>
              <w:t>, %</w:t>
            </w:r>
            <w:r w:rsidRPr="00CA1512">
              <w:rPr>
                <w:szCs w:val="20"/>
              </w:rPr>
              <w:t xml:space="preserve"> (95% CI) </w:t>
            </w:r>
            <w:r w:rsidRPr="00CA1512">
              <w:rPr>
                <w:szCs w:val="20"/>
                <w:vertAlign w:val="superscript"/>
              </w:rPr>
              <w:t>a</w:t>
            </w:r>
          </w:p>
        </w:tc>
        <w:tc>
          <w:tcPr>
            <w:tcW w:w="835" w:type="pct"/>
            <w:gridSpan w:val="2"/>
            <w:vMerge w:val="restart"/>
            <w:tcMar>
              <w:top w:w="0" w:type="dxa"/>
              <w:left w:w="108" w:type="dxa"/>
              <w:bottom w:w="0" w:type="dxa"/>
              <w:right w:w="108" w:type="dxa"/>
            </w:tcMar>
            <w:vAlign w:val="center"/>
          </w:tcPr>
          <w:p w14:paraId="3E3FA5B8" w14:textId="5480A016" w:rsidR="00E30C74" w:rsidRPr="00CA1512" w:rsidRDefault="00E66FFC" w:rsidP="00817C3B">
            <w:pPr>
              <w:pStyle w:val="TableFigureHeading"/>
              <w:keepNext w:val="0"/>
              <w:keepLines/>
              <w:jc w:val="center"/>
              <w:rPr>
                <w:szCs w:val="20"/>
              </w:rPr>
            </w:pPr>
            <w:r w:rsidRPr="00CA1512">
              <w:rPr>
                <w:szCs w:val="20"/>
              </w:rPr>
              <w:t>OR</w:t>
            </w:r>
            <w:r w:rsidR="00124AB2" w:rsidRPr="00CA1512">
              <w:rPr>
                <w:szCs w:val="20"/>
              </w:rPr>
              <w:t xml:space="preserve"> </w:t>
            </w:r>
            <w:r w:rsidR="00E30C74" w:rsidRPr="00CA1512">
              <w:rPr>
                <w:szCs w:val="20"/>
              </w:rPr>
              <w:t>(95% CI)</w:t>
            </w:r>
          </w:p>
        </w:tc>
      </w:tr>
      <w:tr w:rsidR="00E30C74" w:rsidRPr="00CA1512" w14:paraId="50BEC04F" w14:textId="77777777" w:rsidTr="000E6892">
        <w:trPr>
          <w:cantSplit/>
          <w:trHeight w:val="230"/>
        </w:trPr>
        <w:tc>
          <w:tcPr>
            <w:tcW w:w="1727" w:type="pct"/>
            <w:gridSpan w:val="3"/>
            <w:vMerge/>
            <w:tcBorders>
              <w:bottom w:val="single" w:sz="4" w:space="0" w:color="auto"/>
            </w:tcBorders>
            <w:tcMar>
              <w:top w:w="0" w:type="dxa"/>
              <w:left w:w="108" w:type="dxa"/>
              <w:bottom w:w="0" w:type="dxa"/>
              <w:right w:w="108" w:type="dxa"/>
            </w:tcMar>
            <w:vAlign w:val="center"/>
          </w:tcPr>
          <w:p w14:paraId="6EFE6762" w14:textId="77777777" w:rsidR="00E30C74" w:rsidRPr="00CA1512" w:rsidRDefault="00E30C74" w:rsidP="00817C3B">
            <w:pPr>
              <w:pStyle w:val="TableFigureHeading"/>
              <w:keepNext w:val="0"/>
              <w:keepLines/>
              <w:rPr>
                <w:szCs w:val="20"/>
              </w:rPr>
            </w:pPr>
          </w:p>
        </w:tc>
        <w:tc>
          <w:tcPr>
            <w:tcW w:w="786" w:type="pct"/>
            <w:gridSpan w:val="2"/>
            <w:vMerge/>
            <w:tcBorders>
              <w:bottom w:val="single" w:sz="4" w:space="0" w:color="auto"/>
            </w:tcBorders>
            <w:tcMar>
              <w:top w:w="0" w:type="dxa"/>
              <w:left w:w="108" w:type="dxa"/>
              <w:bottom w:w="0" w:type="dxa"/>
              <w:right w:w="108" w:type="dxa"/>
            </w:tcMar>
            <w:vAlign w:val="center"/>
          </w:tcPr>
          <w:p w14:paraId="30D11676" w14:textId="77777777" w:rsidR="00E30C74" w:rsidRPr="00CA1512" w:rsidRDefault="00E30C74" w:rsidP="00817C3B">
            <w:pPr>
              <w:pStyle w:val="TableFigureHeading"/>
              <w:keepNext w:val="0"/>
              <w:keepLines/>
              <w:jc w:val="center"/>
              <w:rPr>
                <w:szCs w:val="20"/>
              </w:rPr>
            </w:pPr>
          </w:p>
        </w:tc>
        <w:tc>
          <w:tcPr>
            <w:tcW w:w="866" w:type="pct"/>
            <w:gridSpan w:val="2"/>
            <w:vMerge/>
            <w:tcBorders>
              <w:bottom w:val="single" w:sz="4" w:space="0" w:color="auto"/>
            </w:tcBorders>
            <w:tcMar>
              <w:top w:w="0" w:type="dxa"/>
              <w:left w:w="108" w:type="dxa"/>
              <w:bottom w:w="0" w:type="dxa"/>
              <w:right w:w="108" w:type="dxa"/>
            </w:tcMar>
            <w:vAlign w:val="center"/>
          </w:tcPr>
          <w:p w14:paraId="60576A15" w14:textId="77777777" w:rsidR="00E30C74" w:rsidRPr="00CA1512" w:rsidRDefault="00E30C74" w:rsidP="00817C3B">
            <w:pPr>
              <w:pStyle w:val="TableFigureHeading"/>
              <w:keepNext w:val="0"/>
              <w:keepLines/>
              <w:jc w:val="center"/>
              <w:rPr>
                <w:szCs w:val="20"/>
              </w:rPr>
            </w:pPr>
          </w:p>
        </w:tc>
        <w:tc>
          <w:tcPr>
            <w:tcW w:w="786" w:type="pct"/>
            <w:gridSpan w:val="2"/>
            <w:vMerge/>
            <w:tcBorders>
              <w:bottom w:val="single" w:sz="4" w:space="0" w:color="auto"/>
            </w:tcBorders>
            <w:tcMar>
              <w:top w:w="0" w:type="dxa"/>
              <w:left w:w="108" w:type="dxa"/>
              <w:bottom w:w="0" w:type="dxa"/>
              <w:right w:w="108" w:type="dxa"/>
            </w:tcMar>
            <w:vAlign w:val="center"/>
          </w:tcPr>
          <w:p w14:paraId="148D90D5" w14:textId="77777777" w:rsidR="00E30C74" w:rsidRPr="00CA1512" w:rsidRDefault="00E30C74" w:rsidP="00817C3B">
            <w:pPr>
              <w:pStyle w:val="TableFigureHeading"/>
              <w:keepNext w:val="0"/>
              <w:keepLines/>
              <w:jc w:val="center"/>
              <w:rPr>
                <w:szCs w:val="20"/>
              </w:rPr>
            </w:pPr>
          </w:p>
        </w:tc>
        <w:tc>
          <w:tcPr>
            <w:tcW w:w="835" w:type="pct"/>
            <w:gridSpan w:val="2"/>
            <w:vMerge/>
            <w:tcBorders>
              <w:bottom w:val="single" w:sz="4" w:space="0" w:color="auto"/>
            </w:tcBorders>
            <w:tcMar>
              <w:top w:w="0" w:type="dxa"/>
              <w:left w:w="108" w:type="dxa"/>
              <w:bottom w:w="0" w:type="dxa"/>
              <w:right w:w="108" w:type="dxa"/>
            </w:tcMar>
            <w:vAlign w:val="center"/>
          </w:tcPr>
          <w:p w14:paraId="441ABC83" w14:textId="77777777" w:rsidR="00E30C74" w:rsidRPr="00CA1512" w:rsidRDefault="00E30C74" w:rsidP="00817C3B">
            <w:pPr>
              <w:pStyle w:val="TableFigureHeading"/>
              <w:keepNext w:val="0"/>
              <w:keepLines/>
              <w:jc w:val="center"/>
              <w:rPr>
                <w:szCs w:val="20"/>
              </w:rPr>
            </w:pPr>
          </w:p>
        </w:tc>
      </w:tr>
      <w:tr w:rsidR="0012717D" w:rsidRPr="00CA1512" w14:paraId="35582439" w14:textId="77777777" w:rsidTr="000E6892">
        <w:trPr>
          <w:cantSplit/>
          <w:trHeight w:val="227"/>
        </w:trPr>
        <w:tc>
          <w:tcPr>
            <w:tcW w:w="1727" w:type="pct"/>
            <w:gridSpan w:val="3"/>
            <w:tcBorders>
              <w:bottom w:val="double" w:sz="4" w:space="0" w:color="auto"/>
            </w:tcBorders>
            <w:tcMar>
              <w:top w:w="0" w:type="dxa"/>
              <w:left w:w="108" w:type="dxa"/>
              <w:bottom w:w="0" w:type="dxa"/>
              <w:right w:w="108" w:type="dxa"/>
            </w:tcMar>
            <w:vAlign w:val="center"/>
          </w:tcPr>
          <w:p w14:paraId="40E484EB" w14:textId="6D516EB3" w:rsidR="0047479D" w:rsidRPr="00CA1512" w:rsidRDefault="0047479D" w:rsidP="00817C3B">
            <w:pPr>
              <w:pStyle w:val="Tabletext"/>
              <w:keepLines/>
              <w:rPr>
                <w:szCs w:val="20"/>
              </w:rPr>
            </w:pPr>
            <w:r w:rsidRPr="00CA1512">
              <w:rPr>
                <w:szCs w:val="20"/>
              </w:rPr>
              <w:t>Number of events, n (%)</w:t>
            </w:r>
          </w:p>
        </w:tc>
        <w:tc>
          <w:tcPr>
            <w:tcW w:w="786" w:type="pct"/>
            <w:gridSpan w:val="2"/>
            <w:tcBorders>
              <w:bottom w:val="double" w:sz="4" w:space="0" w:color="auto"/>
            </w:tcBorders>
            <w:tcMar>
              <w:top w:w="0" w:type="dxa"/>
              <w:left w:w="108" w:type="dxa"/>
              <w:bottom w:w="0" w:type="dxa"/>
              <w:right w:w="108" w:type="dxa"/>
            </w:tcMar>
            <w:vAlign w:val="center"/>
          </w:tcPr>
          <w:p w14:paraId="19CC0CA1" w14:textId="19553469" w:rsidR="0047479D" w:rsidRPr="00CA1512" w:rsidRDefault="0047479D" w:rsidP="00817C3B">
            <w:pPr>
              <w:pStyle w:val="Tabletext"/>
              <w:keepLines/>
              <w:jc w:val="center"/>
              <w:rPr>
                <w:szCs w:val="20"/>
              </w:rPr>
            </w:pPr>
            <w:r w:rsidRPr="00CA1512">
              <w:rPr>
                <w:szCs w:val="20"/>
              </w:rPr>
              <w:t>103 (21.7)</w:t>
            </w:r>
          </w:p>
        </w:tc>
        <w:tc>
          <w:tcPr>
            <w:tcW w:w="866" w:type="pct"/>
            <w:gridSpan w:val="2"/>
            <w:tcBorders>
              <w:bottom w:val="double" w:sz="4" w:space="0" w:color="auto"/>
            </w:tcBorders>
            <w:tcMar>
              <w:top w:w="0" w:type="dxa"/>
              <w:left w:w="108" w:type="dxa"/>
              <w:bottom w:w="0" w:type="dxa"/>
              <w:right w:w="108" w:type="dxa"/>
            </w:tcMar>
            <w:vAlign w:val="center"/>
          </w:tcPr>
          <w:p w14:paraId="440D4D7C" w14:textId="597A50BB" w:rsidR="0047479D" w:rsidRPr="00CA1512" w:rsidRDefault="0047479D" w:rsidP="00817C3B">
            <w:pPr>
              <w:pStyle w:val="Tabletext"/>
              <w:keepLines/>
              <w:jc w:val="center"/>
              <w:rPr>
                <w:szCs w:val="20"/>
              </w:rPr>
            </w:pPr>
            <w:r w:rsidRPr="00CA1512">
              <w:rPr>
                <w:szCs w:val="20"/>
              </w:rPr>
              <w:t>41 (8.6)</w:t>
            </w:r>
          </w:p>
        </w:tc>
        <w:tc>
          <w:tcPr>
            <w:tcW w:w="786" w:type="pct"/>
            <w:gridSpan w:val="2"/>
            <w:tcBorders>
              <w:bottom w:val="double" w:sz="4" w:space="0" w:color="auto"/>
            </w:tcBorders>
            <w:tcMar>
              <w:top w:w="0" w:type="dxa"/>
              <w:left w:w="108" w:type="dxa"/>
              <w:bottom w:w="0" w:type="dxa"/>
              <w:right w:w="108" w:type="dxa"/>
            </w:tcMar>
            <w:vAlign w:val="center"/>
          </w:tcPr>
          <w:p w14:paraId="4D627573" w14:textId="7FFB4165" w:rsidR="0047479D" w:rsidRPr="004A3677" w:rsidRDefault="0026672D" w:rsidP="00817C3B">
            <w:pPr>
              <w:pStyle w:val="Tabletext"/>
              <w:keepLines/>
              <w:jc w:val="center"/>
              <w:rPr>
                <w:bCs/>
                <w:szCs w:val="20"/>
              </w:rPr>
            </w:pPr>
            <w:r w:rsidRPr="004A3677">
              <w:rPr>
                <w:bCs/>
                <w:szCs w:val="20"/>
              </w:rPr>
              <w:t>13 (</w:t>
            </w:r>
            <w:r w:rsidR="006D6B45" w:rsidRPr="004A3677">
              <w:rPr>
                <w:bCs/>
                <w:szCs w:val="20"/>
              </w:rPr>
              <w:t>7, 21)</w:t>
            </w:r>
          </w:p>
        </w:tc>
        <w:tc>
          <w:tcPr>
            <w:tcW w:w="835" w:type="pct"/>
            <w:gridSpan w:val="2"/>
            <w:tcBorders>
              <w:bottom w:val="double" w:sz="4" w:space="0" w:color="auto"/>
            </w:tcBorders>
            <w:tcMar>
              <w:top w:w="0" w:type="dxa"/>
              <w:left w:w="108" w:type="dxa"/>
              <w:bottom w:w="0" w:type="dxa"/>
              <w:right w:w="108" w:type="dxa"/>
            </w:tcMar>
            <w:vAlign w:val="center"/>
          </w:tcPr>
          <w:p w14:paraId="4B0FB9CF" w14:textId="787A47F9" w:rsidR="0047479D" w:rsidRPr="00CA1512" w:rsidRDefault="00E66FFC" w:rsidP="00817C3B">
            <w:pPr>
              <w:pStyle w:val="Tabletext"/>
              <w:keepLines/>
              <w:jc w:val="center"/>
              <w:rPr>
                <w:b/>
                <w:szCs w:val="20"/>
              </w:rPr>
            </w:pPr>
            <w:r w:rsidRPr="00CA1512">
              <w:rPr>
                <w:b/>
                <w:szCs w:val="20"/>
              </w:rPr>
              <w:t>2.95 (2.00, 4.35); p&lt;0.001</w:t>
            </w:r>
          </w:p>
        </w:tc>
      </w:tr>
      <w:tr w:rsidR="0047479D" w:rsidRPr="00CA1512" w14:paraId="651FD70E" w14:textId="77777777" w:rsidTr="00177DDB">
        <w:trPr>
          <w:cantSplit/>
          <w:trHeight w:val="227"/>
        </w:trPr>
        <w:tc>
          <w:tcPr>
            <w:tcW w:w="5000" w:type="pct"/>
            <w:gridSpan w:val="11"/>
            <w:tcBorders>
              <w:top w:val="double" w:sz="4" w:space="0" w:color="auto"/>
            </w:tcBorders>
            <w:tcMar>
              <w:top w:w="0" w:type="dxa"/>
              <w:left w:w="108" w:type="dxa"/>
              <w:bottom w:w="0" w:type="dxa"/>
              <w:right w:w="108" w:type="dxa"/>
            </w:tcMar>
            <w:vAlign w:val="center"/>
          </w:tcPr>
          <w:p w14:paraId="676692EF" w14:textId="2E40107A" w:rsidR="0047479D" w:rsidRPr="00CA1512" w:rsidRDefault="00E66FFC" w:rsidP="00817C3B">
            <w:pPr>
              <w:pStyle w:val="TableFigureHeading"/>
              <w:keepNext w:val="0"/>
              <w:keepLines/>
              <w:rPr>
                <w:szCs w:val="20"/>
              </w:rPr>
            </w:pPr>
            <w:r w:rsidRPr="00CA1512">
              <w:rPr>
                <w:szCs w:val="20"/>
              </w:rPr>
              <w:t>Harms (</w:t>
            </w:r>
            <w:r w:rsidR="00E23E88" w:rsidRPr="00CA1512">
              <w:rPr>
                <w:szCs w:val="20"/>
              </w:rPr>
              <w:t>DCO2)</w:t>
            </w:r>
          </w:p>
        </w:tc>
      </w:tr>
      <w:tr w:rsidR="00D92BDD" w:rsidRPr="00CA1512" w14:paraId="163636AD" w14:textId="77777777" w:rsidTr="0025304C">
        <w:trPr>
          <w:cantSplit/>
          <w:trHeight w:val="288"/>
        </w:trPr>
        <w:tc>
          <w:tcPr>
            <w:tcW w:w="877" w:type="pct"/>
            <w:vMerge w:val="restart"/>
            <w:tcMar>
              <w:top w:w="0" w:type="dxa"/>
              <w:left w:w="108" w:type="dxa"/>
              <w:bottom w:w="0" w:type="dxa"/>
              <w:right w:w="108" w:type="dxa"/>
            </w:tcMar>
            <w:vAlign w:val="center"/>
          </w:tcPr>
          <w:p w14:paraId="118A2B13" w14:textId="77777777" w:rsidR="00D92BDD" w:rsidRPr="00CA1512" w:rsidRDefault="00D92BDD" w:rsidP="00817C3B">
            <w:pPr>
              <w:pStyle w:val="TableFigureHeading"/>
              <w:keepNext w:val="0"/>
              <w:keepLines/>
              <w:rPr>
                <w:szCs w:val="20"/>
              </w:rPr>
            </w:pPr>
          </w:p>
        </w:tc>
        <w:tc>
          <w:tcPr>
            <w:tcW w:w="621" w:type="pct"/>
            <w:vMerge w:val="restart"/>
            <w:tcMar>
              <w:top w:w="0" w:type="dxa"/>
              <w:left w:w="108" w:type="dxa"/>
              <w:bottom w:w="0" w:type="dxa"/>
              <w:right w:w="108" w:type="dxa"/>
            </w:tcMar>
            <w:vAlign w:val="center"/>
          </w:tcPr>
          <w:p w14:paraId="209C739A" w14:textId="77777777" w:rsidR="00D92BDD" w:rsidRPr="00CA1512" w:rsidRDefault="00D92BDD" w:rsidP="00817C3B">
            <w:pPr>
              <w:pStyle w:val="TableFigureHeading"/>
              <w:keepNext w:val="0"/>
              <w:keepLines/>
              <w:jc w:val="center"/>
              <w:rPr>
                <w:szCs w:val="20"/>
              </w:rPr>
            </w:pPr>
            <w:r w:rsidRPr="00CA1512">
              <w:rPr>
                <w:szCs w:val="20"/>
              </w:rPr>
              <w:t>D + F LOT</w:t>
            </w:r>
          </w:p>
          <w:p w14:paraId="1D535C6D" w14:textId="7CCD45C9" w:rsidR="00D92BDD" w:rsidRPr="00CA1512" w:rsidRDefault="00D92BDD" w:rsidP="00817C3B">
            <w:pPr>
              <w:pStyle w:val="TableFigureHeading"/>
              <w:keepNext w:val="0"/>
              <w:keepLines/>
              <w:jc w:val="center"/>
              <w:rPr>
                <w:szCs w:val="20"/>
              </w:rPr>
            </w:pPr>
            <w:r w:rsidRPr="00CA1512">
              <w:rPr>
                <w:szCs w:val="20"/>
              </w:rPr>
              <w:t>(N = 475)</w:t>
            </w:r>
          </w:p>
        </w:tc>
        <w:tc>
          <w:tcPr>
            <w:tcW w:w="601" w:type="pct"/>
            <w:gridSpan w:val="2"/>
            <w:vMerge w:val="restart"/>
            <w:tcMar>
              <w:top w:w="0" w:type="dxa"/>
              <w:left w:w="108" w:type="dxa"/>
              <w:bottom w:w="0" w:type="dxa"/>
              <w:right w:w="108" w:type="dxa"/>
            </w:tcMar>
            <w:vAlign w:val="center"/>
          </w:tcPr>
          <w:p w14:paraId="70793828" w14:textId="77777777" w:rsidR="00D92BDD" w:rsidRPr="00CA1512" w:rsidRDefault="00D92BDD" w:rsidP="00817C3B">
            <w:pPr>
              <w:pStyle w:val="TableFigureHeading"/>
              <w:keepNext w:val="0"/>
              <w:keepLines/>
              <w:jc w:val="center"/>
              <w:rPr>
                <w:rStyle w:val="CommentReference"/>
                <w:b/>
                <w:szCs w:val="20"/>
              </w:rPr>
            </w:pPr>
            <w:r w:rsidRPr="00CA1512">
              <w:rPr>
                <w:rStyle w:val="CommentReference"/>
                <w:b/>
                <w:szCs w:val="20"/>
              </w:rPr>
              <w:t>Pbo + FLOT</w:t>
            </w:r>
          </w:p>
          <w:p w14:paraId="7C310A77" w14:textId="7D5B9C3F" w:rsidR="00D92BDD" w:rsidRPr="00CA1512" w:rsidRDefault="00D92BDD" w:rsidP="00817C3B">
            <w:pPr>
              <w:pStyle w:val="TableFigureHeading"/>
              <w:keepNext w:val="0"/>
              <w:keepLines/>
              <w:jc w:val="center"/>
              <w:rPr>
                <w:szCs w:val="20"/>
              </w:rPr>
            </w:pPr>
            <w:r w:rsidRPr="00CA1512">
              <w:rPr>
                <w:rStyle w:val="CommentReference"/>
                <w:b/>
                <w:szCs w:val="20"/>
              </w:rPr>
              <w:t>(N = 469)</w:t>
            </w:r>
          </w:p>
        </w:tc>
        <w:tc>
          <w:tcPr>
            <w:tcW w:w="744" w:type="pct"/>
            <w:gridSpan w:val="2"/>
            <w:vMerge w:val="restart"/>
          </w:tcPr>
          <w:p w14:paraId="4986393D" w14:textId="77777777" w:rsidR="001E5A8F" w:rsidRDefault="00D92BDD" w:rsidP="00817C3B">
            <w:pPr>
              <w:pStyle w:val="TableFigureHeading"/>
              <w:keepNext w:val="0"/>
              <w:keepLines/>
              <w:jc w:val="center"/>
              <w:rPr>
                <w:szCs w:val="20"/>
              </w:rPr>
            </w:pPr>
            <w:r w:rsidRPr="00CA1512">
              <w:rPr>
                <w:szCs w:val="20"/>
              </w:rPr>
              <w:t xml:space="preserve">RR </w:t>
            </w:r>
          </w:p>
          <w:p w14:paraId="46DD1913" w14:textId="19CF874C" w:rsidR="00D92BDD" w:rsidRPr="00CA1512" w:rsidRDefault="00D92BDD" w:rsidP="00817C3B">
            <w:pPr>
              <w:pStyle w:val="TableFigureHeading"/>
              <w:keepNext w:val="0"/>
              <w:keepLines/>
              <w:jc w:val="center"/>
              <w:rPr>
                <w:szCs w:val="20"/>
              </w:rPr>
            </w:pPr>
            <w:r w:rsidRPr="00CA1512">
              <w:rPr>
                <w:szCs w:val="20"/>
              </w:rPr>
              <w:t>(95% CI)</w:t>
            </w:r>
            <w:r w:rsidRPr="00CA1512">
              <w:rPr>
                <w:szCs w:val="20"/>
                <w:vertAlign w:val="superscript"/>
              </w:rPr>
              <w:t xml:space="preserve"> a</w:t>
            </w:r>
          </w:p>
        </w:tc>
        <w:tc>
          <w:tcPr>
            <w:tcW w:w="1477" w:type="pct"/>
            <w:gridSpan w:val="4"/>
            <w:tcMar>
              <w:top w:w="0" w:type="dxa"/>
              <w:left w:w="108" w:type="dxa"/>
              <w:bottom w:w="0" w:type="dxa"/>
              <w:right w:w="108" w:type="dxa"/>
            </w:tcMar>
            <w:vAlign w:val="center"/>
          </w:tcPr>
          <w:p w14:paraId="32E090F5" w14:textId="051BADCE" w:rsidR="00D92BDD" w:rsidRPr="00CA1512" w:rsidRDefault="001E5A8F" w:rsidP="00817C3B">
            <w:pPr>
              <w:pStyle w:val="TableFigureHeading"/>
              <w:keepNext w:val="0"/>
              <w:keepLines/>
              <w:jc w:val="center"/>
              <w:rPr>
                <w:szCs w:val="20"/>
              </w:rPr>
            </w:pPr>
            <w:r>
              <w:rPr>
                <w:szCs w:val="20"/>
              </w:rPr>
              <w:t>Event rate/100 patients</w:t>
            </w:r>
          </w:p>
        </w:tc>
        <w:tc>
          <w:tcPr>
            <w:tcW w:w="680" w:type="pct"/>
            <w:vMerge w:val="restart"/>
            <w:tcMar>
              <w:top w:w="0" w:type="dxa"/>
              <w:left w:w="108" w:type="dxa"/>
              <w:bottom w:w="0" w:type="dxa"/>
              <w:right w:w="108" w:type="dxa"/>
            </w:tcMar>
            <w:vAlign w:val="center"/>
          </w:tcPr>
          <w:p w14:paraId="7EE79B1A" w14:textId="1B2A77B2" w:rsidR="00D92BDD" w:rsidRPr="00CA1512" w:rsidRDefault="00D92BDD" w:rsidP="00817C3B">
            <w:pPr>
              <w:pStyle w:val="TableFigureHeading"/>
              <w:keepNext w:val="0"/>
              <w:keepLines/>
              <w:jc w:val="center"/>
              <w:rPr>
                <w:szCs w:val="20"/>
              </w:rPr>
            </w:pPr>
            <w:r w:rsidRPr="00CA1512">
              <w:rPr>
                <w:szCs w:val="20"/>
              </w:rPr>
              <w:t xml:space="preserve">Absolute difference, % (95% CI) </w:t>
            </w:r>
            <w:r w:rsidRPr="00CA1512">
              <w:rPr>
                <w:szCs w:val="20"/>
                <w:vertAlign w:val="superscript"/>
              </w:rPr>
              <w:t>a</w:t>
            </w:r>
          </w:p>
        </w:tc>
      </w:tr>
      <w:tr w:rsidR="001E5A8F" w:rsidRPr="00CA1512" w14:paraId="366654DB" w14:textId="77777777" w:rsidTr="0025304C">
        <w:trPr>
          <w:cantSplit/>
          <w:trHeight w:val="288"/>
        </w:trPr>
        <w:tc>
          <w:tcPr>
            <w:tcW w:w="877" w:type="pct"/>
            <w:vMerge/>
            <w:tcMar>
              <w:top w:w="0" w:type="dxa"/>
              <w:left w:w="108" w:type="dxa"/>
              <w:bottom w:w="0" w:type="dxa"/>
              <w:right w:w="108" w:type="dxa"/>
            </w:tcMar>
            <w:vAlign w:val="center"/>
          </w:tcPr>
          <w:p w14:paraId="3C4C6A80" w14:textId="77777777" w:rsidR="001E5A8F" w:rsidRPr="00CA1512" w:rsidRDefault="001E5A8F" w:rsidP="00817C3B">
            <w:pPr>
              <w:pStyle w:val="TableFigureHeading"/>
              <w:keepNext w:val="0"/>
              <w:keepLines/>
              <w:rPr>
                <w:szCs w:val="20"/>
              </w:rPr>
            </w:pPr>
          </w:p>
        </w:tc>
        <w:tc>
          <w:tcPr>
            <w:tcW w:w="621" w:type="pct"/>
            <w:vMerge/>
            <w:tcMar>
              <w:top w:w="0" w:type="dxa"/>
              <w:left w:w="108" w:type="dxa"/>
              <w:bottom w:w="0" w:type="dxa"/>
              <w:right w:w="108" w:type="dxa"/>
            </w:tcMar>
            <w:vAlign w:val="center"/>
          </w:tcPr>
          <w:p w14:paraId="5A9E786E" w14:textId="77777777" w:rsidR="001E5A8F" w:rsidRPr="00CA1512" w:rsidRDefault="001E5A8F" w:rsidP="00817C3B">
            <w:pPr>
              <w:pStyle w:val="TableFigureHeading"/>
              <w:keepNext w:val="0"/>
              <w:keepLines/>
              <w:jc w:val="center"/>
              <w:rPr>
                <w:szCs w:val="20"/>
              </w:rPr>
            </w:pPr>
          </w:p>
        </w:tc>
        <w:tc>
          <w:tcPr>
            <w:tcW w:w="601" w:type="pct"/>
            <w:gridSpan w:val="2"/>
            <w:vMerge/>
            <w:tcMar>
              <w:top w:w="0" w:type="dxa"/>
              <w:left w:w="108" w:type="dxa"/>
              <w:bottom w:w="0" w:type="dxa"/>
              <w:right w:w="108" w:type="dxa"/>
            </w:tcMar>
            <w:vAlign w:val="center"/>
          </w:tcPr>
          <w:p w14:paraId="0C7EFC31" w14:textId="77777777" w:rsidR="001E5A8F" w:rsidRPr="00CA1512" w:rsidRDefault="001E5A8F" w:rsidP="00817C3B">
            <w:pPr>
              <w:pStyle w:val="TableFigureHeading"/>
              <w:keepNext w:val="0"/>
              <w:keepLines/>
              <w:jc w:val="center"/>
              <w:rPr>
                <w:rStyle w:val="CommentReference"/>
                <w:b/>
                <w:szCs w:val="20"/>
              </w:rPr>
            </w:pPr>
          </w:p>
        </w:tc>
        <w:tc>
          <w:tcPr>
            <w:tcW w:w="744" w:type="pct"/>
            <w:gridSpan w:val="2"/>
            <w:vMerge/>
          </w:tcPr>
          <w:p w14:paraId="7E9D8A4F" w14:textId="77777777" w:rsidR="001E5A8F" w:rsidRPr="00CA1512" w:rsidRDefault="001E5A8F" w:rsidP="00817C3B">
            <w:pPr>
              <w:pStyle w:val="TableFigureHeading"/>
              <w:keepNext w:val="0"/>
              <w:keepLines/>
              <w:jc w:val="center"/>
              <w:rPr>
                <w:szCs w:val="20"/>
              </w:rPr>
            </w:pPr>
          </w:p>
        </w:tc>
        <w:tc>
          <w:tcPr>
            <w:tcW w:w="769" w:type="pct"/>
            <w:gridSpan w:val="2"/>
            <w:tcMar>
              <w:top w:w="0" w:type="dxa"/>
              <w:left w:w="108" w:type="dxa"/>
              <w:bottom w:w="0" w:type="dxa"/>
              <w:right w:w="108" w:type="dxa"/>
            </w:tcMar>
            <w:vAlign w:val="center"/>
          </w:tcPr>
          <w:p w14:paraId="1C02950D" w14:textId="5B8414E6" w:rsidR="001E5A8F" w:rsidRPr="00CA1512" w:rsidRDefault="006C299D" w:rsidP="00817C3B">
            <w:pPr>
              <w:pStyle w:val="TableFigureHeading"/>
              <w:keepNext w:val="0"/>
              <w:keepLines/>
              <w:jc w:val="center"/>
              <w:rPr>
                <w:szCs w:val="20"/>
              </w:rPr>
            </w:pPr>
            <w:r w:rsidRPr="00CA1512">
              <w:rPr>
                <w:szCs w:val="20"/>
              </w:rPr>
              <w:t>D + FLOT</w:t>
            </w:r>
          </w:p>
        </w:tc>
        <w:tc>
          <w:tcPr>
            <w:tcW w:w="708" w:type="pct"/>
            <w:gridSpan w:val="2"/>
            <w:vAlign w:val="center"/>
          </w:tcPr>
          <w:p w14:paraId="7CD006D6" w14:textId="0FFAB0B6" w:rsidR="001E5A8F" w:rsidRPr="00CA1512" w:rsidRDefault="006C299D" w:rsidP="00817C3B">
            <w:pPr>
              <w:pStyle w:val="TableFigureHeading"/>
              <w:keepNext w:val="0"/>
              <w:keepLines/>
              <w:jc w:val="center"/>
              <w:rPr>
                <w:szCs w:val="20"/>
              </w:rPr>
            </w:pPr>
            <w:r w:rsidRPr="00CA1512">
              <w:rPr>
                <w:rStyle w:val="CommentReference"/>
                <w:b/>
                <w:szCs w:val="20"/>
              </w:rPr>
              <w:t>Pbo + FLOT</w:t>
            </w:r>
          </w:p>
        </w:tc>
        <w:tc>
          <w:tcPr>
            <w:tcW w:w="680" w:type="pct"/>
            <w:vMerge/>
            <w:tcMar>
              <w:top w:w="0" w:type="dxa"/>
              <w:left w:w="108" w:type="dxa"/>
              <w:bottom w:w="0" w:type="dxa"/>
              <w:right w:w="108" w:type="dxa"/>
            </w:tcMar>
            <w:vAlign w:val="center"/>
          </w:tcPr>
          <w:p w14:paraId="53A32F9C" w14:textId="77777777" w:rsidR="001E5A8F" w:rsidRPr="00CA1512" w:rsidRDefault="001E5A8F" w:rsidP="00817C3B">
            <w:pPr>
              <w:pStyle w:val="TableFigureHeading"/>
              <w:keepNext w:val="0"/>
              <w:keepLines/>
              <w:jc w:val="center"/>
              <w:rPr>
                <w:szCs w:val="20"/>
              </w:rPr>
            </w:pPr>
          </w:p>
        </w:tc>
      </w:tr>
      <w:tr w:rsidR="001E5A8F" w:rsidRPr="00CA1512" w14:paraId="5020AFD2" w14:textId="77777777" w:rsidTr="0025304C">
        <w:trPr>
          <w:cantSplit/>
          <w:trHeight w:val="227"/>
        </w:trPr>
        <w:tc>
          <w:tcPr>
            <w:tcW w:w="877" w:type="pct"/>
            <w:tcMar>
              <w:top w:w="0" w:type="dxa"/>
              <w:left w:w="108" w:type="dxa"/>
              <w:bottom w:w="0" w:type="dxa"/>
              <w:right w:w="108" w:type="dxa"/>
            </w:tcMar>
            <w:vAlign w:val="center"/>
          </w:tcPr>
          <w:p w14:paraId="41BBC6A8" w14:textId="581662F5" w:rsidR="001E5A8F" w:rsidRPr="00CA1512" w:rsidRDefault="001E5A8F" w:rsidP="00817C3B">
            <w:pPr>
              <w:pStyle w:val="Tabletext"/>
              <w:keepLines/>
              <w:rPr>
                <w:szCs w:val="20"/>
              </w:rPr>
            </w:pPr>
            <w:r w:rsidRPr="00CA1512">
              <w:rPr>
                <w:szCs w:val="20"/>
              </w:rPr>
              <w:t>Any AE, n</w:t>
            </w:r>
          </w:p>
        </w:tc>
        <w:tc>
          <w:tcPr>
            <w:tcW w:w="621" w:type="pct"/>
            <w:tcMar>
              <w:top w:w="0" w:type="dxa"/>
              <w:left w:w="108" w:type="dxa"/>
              <w:bottom w:w="0" w:type="dxa"/>
              <w:right w:w="108" w:type="dxa"/>
            </w:tcMar>
            <w:vAlign w:val="center"/>
          </w:tcPr>
          <w:p w14:paraId="5BC0F3AC" w14:textId="2B874F67" w:rsidR="001E5A8F" w:rsidRPr="00CA1512" w:rsidRDefault="001E5A8F" w:rsidP="00817C3B">
            <w:pPr>
              <w:pStyle w:val="Tabletext"/>
              <w:keepLines/>
              <w:jc w:val="center"/>
              <w:rPr>
                <w:szCs w:val="20"/>
              </w:rPr>
            </w:pPr>
            <w:r w:rsidRPr="00CA1512">
              <w:rPr>
                <w:szCs w:val="20"/>
              </w:rPr>
              <w:t>471</w:t>
            </w:r>
          </w:p>
        </w:tc>
        <w:tc>
          <w:tcPr>
            <w:tcW w:w="601" w:type="pct"/>
            <w:gridSpan w:val="2"/>
            <w:tcMar>
              <w:top w:w="0" w:type="dxa"/>
              <w:left w:w="108" w:type="dxa"/>
              <w:bottom w:w="0" w:type="dxa"/>
              <w:right w:w="108" w:type="dxa"/>
            </w:tcMar>
            <w:vAlign w:val="center"/>
          </w:tcPr>
          <w:p w14:paraId="1450E2C1" w14:textId="27ADD0E3" w:rsidR="001E5A8F" w:rsidRPr="00CA1512" w:rsidRDefault="001E5A8F" w:rsidP="00817C3B">
            <w:pPr>
              <w:pStyle w:val="Tabletext"/>
              <w:keepLines/>
              <w:jc w:val="center"/>
              <w:rPr>
                <w:szCs w:val="20"/>
              </w:rPr>
            </w:pPr>
            <w:r w:rsidRPr="00CA1512">
              <w:rPr>
                <w:szCs w:val="20"/>
              </w:rPr>
              <w:t>463</w:t>
            </w:r>
          </w:p>
        </w:tc>
        <w:tc>
          <w:tcPr>
            <w:tcW w:w="744" w:type="pct"/>
            <w:gridSpan w:val="2"/>
            <w:vAlign w:val="center"/>
          </w:tcPr>
          <w:p w14:paraId="6F2A0277" w14:textId="09557076" w:rsidR="001E5A8F" w:rsidRPr="000D75BB" w:rsidRDefault="001E5A8F" w:rsidP="00817C3B">
            <w:pPr>
              <w:pStyle w:val="Tabletext"/>
              <w:keepLines/>
              <w:jc w:val="center"/>
              <w:rPr>
                <w:szCs w:val="20"/>
              </w:rPr>
            </w:pPr>
            <w:r w:rsidRPr="000D75BB">
              <w:rPr>
                <w:szCs w:val="20"/>
              </w:rPr>
              <w:t>1.00 (0.99, 1.02)</w:t>
            </w:r>
          </w:p>
        </w:tc>
        <w:tc>
          <w:tcPr>
            <w:tcW w:w="769" w:type="pct"/>
            <w:gridSpan w:val="2"/>
            <w:tcMar>
              <w:top w:w="0" w:type="dxa"/>
              <w:left w:w="108" w:type="dxa"/>
              <w:bottom w:w="0" w:type="dxa"/>
              <w:right w:w="108" w:type="dxa"/>
            </w:tcMar>
            <w:vAlign w:val="center"/>
          </w:tcPr>
          <w:p w14:paraId="0778246F" w14:textId="7FB26CDB" w:rsidR="001E5A8F" w:rsidRPr="000D75BB" w:rsidRDefault="006C299D" w:rsidP="00817C3B">
            <w:pPr>
              <w:pStyle w:val="Tabletext"/>
              <w:keepLines/>
              <w:jc w:val="center"/>
              <w:rPr>
                <w:szCs w:val="20"/>
              </w:rPr>
            </w:pPr>
            <w:r>
              <w:rPr>
                <w:szCs w:val="20"/>
              </w:rPr>
              <w:t>9</w:t>
            </w:r>
            <w:r>
              <w:t>9.2</w:t>
            </w:r>
          </w:p>
        </w:tc>
        <w:tc>
          <w:tcPr>
            <w:tcW w:w="708" w:type="pct"/>
            <w:gridSpan w:val="2"/>
            <w:vAlign w:val="center"/>
          </w:tcPr>
          <w:p w14:paraId="7E17D4B6" w14:textId="276709E1" w:rsidR="001E5A8F" w:rsidRPr="000D75BB" w:rsidRDefault="006C299D" w:rsidP="00817C3B">
            <w:pPr>
              <w:pStyle w:val="Tabletext"/>
              <w:keepLines/>
              <w:jc w:val="center"/>
              <w:rPr>
                <w:szCs w:val="20"/>
              </w:rPr>
            </w:pPr>
            <w:r>
              <w:rPr>
                <w:szCs w:val="20"/>
              </w:rPr>
              <w:t>9</w:t>
            </w:r>
            <w:r>
              <w:t>8.7</w:t>
            </w:r>
          </w:p>
        </w:tc>
        <w:tc>
          <w:tcPr>
            <w:tcW w:w="680" w:type="pct"/>
            <w:tcMar>
              <w:top w:w="0" w:type="dxa"/>
              <w:left w:w="108" w:type="dxa"/>
              <w:bottom w:w="0" w:type="dxa"/>
              <w:right w:w="108" w:type="dxa"/>
            </w:tcMar>
            <w:vAlign w:val="center"/>
          </w:tcPr>
          <w:p w14:paraId="2331FF6D" w14:textId="625B5F2C" w:rsidR="001E5A8F" w:rsidRPr="000D75BB" w:rsidRDefault="001E5A8F" w:rsidP="00817C3B">
            <w:pPr>
              <w:pStyle w:val="Tabletext"/>
              <w:keepLines/>
              <w:jc w:val="center"/>
              <w:rPr>
                <w:szCs w:val="20"/>
              </w:rPr>
            </w:pPr>
            <w:r w:rsidRPr="000D75BB">
              <w:rPr>
                <w:szCs w:val="20"/>
              </w:rPr>
              <w:t>0 (</w:t>
            </w:r>
            <w:r w:rsidR="00675F55">
              <w:rPr>
                <w:szCs w:val="20"/>
              </w:rPr>
              <w:noBreakHyphen/>
            </w:r>
            <w:r w:rsidRPr="000D75BB">
              <w:rPr>
                <w:szCs w:val="20"/>
              </w:rPr>
              <w:t>1, 2)</w:t>
            </w:r>
          </w:p>
        </w:tc>
      </w:tr>
      <w:tr w:rsidR="001E5A8F" w:rsidRPr="00CA1512" w14:paraId="372F0700" w14:textId="77777777" w:rsidTr="0025304C">
        <w:trPr>
          <w:cantSplit/>
          <w:trHeight w:val="227"/>
        </w:trPr>
        <w:tc>
          <w:tcPr>
            <w:tcW w:w="877" w:type="pct"/>
            <w:tcMar>
              <w:top w:w="0" w:type="dxa"/>
              <w:left w:w="108" w:type="dxa"/>
              <w:bottom w:w="0" w:type="dxa"/>
              <w:right w:w="108" w:type="dxa"/>
            </w:tcMar>
            <w:vAlign w:val="center"/>
          </w:tcPr>
          <w:p w14:paraId="10EF279F" w14:textId="26C087D4" w:rsidR="001E5A8F" w:rsidRPr="00CA1512" w:rsidRDefault="001E5A8F" w:rsidP="00817C3B">
            <w:pPr>
              <w:pStyle w:val="Tabletext"/>
              <w:keepLines/>
              <w:rPr>
                <w:szCs w:val="20"/>
              </w:rPr>
            </w:pPr>
            <w:r w:rsidRPr="00CA1512">
              <w:rPr>
                <w:szCs w:val="20"/>
              </w:rPr>
              <w:t>Any grade 3 or 4 AE, n</w:t>
            </w:r>
          </w:p>
        </w:tc>
        <w:tc>
          <w:tcPr>
            <w:tcW w:w="621" w:type="pct"/>
            <w:tcMar>
              <w:top w:w="0" w:type="dxa"/>
              <w:left w:w="108" w:type="dxa"/>
              <w:bottom w:w="0" w:type="dxa"/>
              <w:right w:w="108" w:type="dxa"/>
            </w:tcMar>
            <w:vAlign w:val="center"/>
          </w:tcPr>
          <w:p w14:paraId="41CFB589" w14:textId="021DFE7E" w:rsidR="001E5A8F" w:rsidRPr="00CA1512" w:rsidRDefault="001E5A8F" w:rsidP="00817C3B">
            <w:pPr>
              <w:pStyle w:val="Tabletext"/>
              <w:keepLines/>
              <w:jc w:val="center"/>
              <w:rPr>
                <w:szCs w:val="20"/>
              </w:rPr>
            </w:pPr>
            <w:r w:rsidRPr="00CA1512">
              <w:rPr>
                <w:szCs w:val="20"/>
              </w:rPr>
              <w:t>340</w:t>
            </w:r>
          </w:p>
        </w:tc>
        <w:tc>
          <w:tcPr>
            <w:tcW w:w="601" w:type="pct"/>
            <w:gridSpan w:val="2"/>
            <w:tcMar>
              <w:top w:w="0" w:type="dxa"/>
              <w:left w:w="108" w:type="dxa"/>
              <w:bottom w:w="0" w:type="dxa"/>
              <w:right w:w="108" w:type="dxa"/>
            </w:tcMar>
            <w:vAlign w:val="center"/>
          </w:tcPr>
          <w:p w14:paraId="58741A24" w14:textId="6AAD4889" w:rsidR="001E5A8F" w:rsidRPr="00CA1512" w:rsidRDefault="001E5A8F" w:rsidP="00817C3B">
            <w:pPr>
              <w:pStyle w:val="Tabletext"/>
              <w:keepLines/>
              <w:jc w:val="center"/>
              <w:rPr>
                <w:szCs w:val="20"/>
              </w:rPr>
            </w:pPr>
            <w:r w:rsidRPr="00CA1512">
              <w:rPr>
                <w:szCs w:val="20"/>
              </w:rPr>
              <w:t>334</w:t>
            </w:r>
          </w:p>
        </w:tc>
        <w:tc>
          <w:tcPr>
            <w:tcW w:w="744" w:type="pct"/>
            <w:gridSpan w:val="2"/>
            <w:vAlign w:val="center"/>
          </w:tcPr>
          <w:p w14:paraId="0B9A51C9" w14:textId="2DC8114C" w:rsidR="001E5A8F" w:rsidRPr="000D75BB" w:rsidRDefault="001E5A8F" w:rsidP="00817C3B">
            <w:pPr>
              <w:pStyle w:val="Tabletext"/>
              <w:keepLines/>
              <w:jc w:val="center"/>
              <w:rPr>
                <w:szCs w:val="20"/>
              </w:rPr>
            </w:pPr>
            <w:r w:rsidRPr="000D75BB">
              <w:rPr>
                <w:szCs w:val="20"/>
              </w:rPr>
              <w:t>1.01 (0.93, 1.09)</w:t>
            </w:r>
          </w:p>
        </w:tc>
        <w:tc>
          <w:tcPr>
            <w:tcW w:w="769" w:type="pct"/>
            <w:gridSpan w:val="2"/>
            <w:tcMar>
              <w:top w:w="0" w:type="dxa"/>
              <w:left w:w="108" w:type="dxa"/>
              <w:bottom w:w="0" w:type="dxa"/>
              <w:right w:w="108" w:type="dxa"/>
            </w:tcMar>
            <w:vAlign w:val="center"/>
          </w:tcPr>
          <w:p w14:paraId="09DBD001" w14:textId="2312298B" w:rsidR="001E5A8F" w:rsidRPr="000D75BB" w:rsidRDefault="006C299D" w:rsidP="00817C3B">
            <w:pPr>
              <w:pStyle w:val="Tabletext"/>
              <w:keepLines/>
              <w:jc w:val="center"/>
              <w:rPr>
                <w:szCs w:val="20"/>
              </w:rPr>
            </w:pPr>
            <w:r>
              <w:rPr>
                <w:szCs w:val="20"/>
              </w:rPr>
              <w:t>7</w:t>
            </w:r>
            <w:r>
              <w:t>1.6</w:t>
            </w:r>
          </w:p>
        </w:tc>
        <w:tc>
          <w:tcPr>
            <w:tcW w:w="708" w:type="pct"/>
            <w:gridSpan w:val="2"/>
            <w:vAlign w:val="center"/>
          </w:tcPr>
          <w:p w14:paraId="791BBAF4" w14:textId="3431D126" w:rsidR="001E5A8F" w:rsidRPr="000D75BB" w:rsidRDefault="006C299D" w:rsidP="00817C3B">
            <w:pPr>
              <w:pStyle w:val="Tabletext"/>
              <w:keepLines/>
              <w:jc w:val="center"/>
              <w:rPr>
                <w:szCs w:val="20"/>
              </w:rPr>
            </w:pPr>
            <w:r>
              <w:rPr>
                <w:szCs w:val="20"/>
              </w:rPr>
              <w:t>7</w:t>
            </w:r>
            <w:r>
              <w:t>1.2</w:t>
            </w:r>
          </w:p>
        </w:tc>
        <w:tc>
          <w:tcPr>
            <w:tcW w:w="680" w:type="pct"/>
            <w:tcMar>
              <w:top w:w="0" w:type="dxa"/>
              <w:left w:w="108" w:type="dxa"/>
              <w:bottom w:w="0" w:type="dxa"/>
              <w:right w:w="108" w:type="dxa"/>
            </w:tcMar>
            <w:vAlign w:val="center"/>
          </w:tcPr>
          <w:p w14:paraId="6592435C" w14:textId="64FCC7A6" w:rsidR="001E5A8F" w:rsidRPr="000D75BB" w:rsidRDefault="001E5A8F" w:rsidP="00817C3B">
            <w:pPr>
              <w:pStyle w:val="Tabletext"/>
              <w:keepLines/>
              <w:jc w:val="center"/>
              <w:rPr>
                <w:szCs w:val="20"/>
              </w:rPr>
            </w:pPr>
            <w:r w:rsidRPr="000D75BB">
              <w:rPr>
                <w:szCs w:val="20"/>
              </w:rPr>
              <w:t>0 (</w:t>
            </w:r>
            <w:r w:rsidR="00675F55">
              <w:rPr>
                <w:szCs w:val="20"/>
              </w:rPr>
              <w:noBreakHyphen/>
            </w:r>
            <w:r w:rsidRPr="000D75BB">
              <w:rPr>
                <w:szCs w:val="20"/>
              </w:rPr>
              <w:t>5, 6)</w:t>
            </w:r>
          </w:p>
        </w:tc>
      </w:tr>
      <w:tr w:rsidR="001E5A8F" w:rsidRPr="00CA1512" w14:paraId="5182FB9D" w14:textId="77777777" w:rsidTr="0025304C">
        <w:trPr>
          <w:cantSplit/>
          <w:trHeight w:val="227"/>
        </w:trPr>
        <w:tc>
          <w:tcPr>
            <w:tcW w:w="877" w:type="pct"/>
            <w:tcMar>
              <w:top w:w="0" w:type="dxa"/>
              <w:left w:w="108" w:type="dxa"/>
              <w:bottom w:w="0" w:type="dxa"/>
              <w:right w:w="108" w:type="dxa"/>
            </w:tcMar>
            <w:vAlign w:val="center"/>
          </w:tcPr>
          <w:p w14:paraId="1105E01C" w14:textId="3D5372A1" w:rsidR="001E5A8F" w:rsidRPr="00CA1512" w:rsidRDefault="001E5A8F" w:rsidP="00817C3B">
            <w:pPr>
              <w:pStyle w:val="Tabletext"/>
              <w:keepLines/>
              <w:rPr>
                <w:szCs w:val="20"/>
              </w:rPr>
            </w:pPr>
            <w:r w:rsidRPr="00CA1512">
              <w:rPr>
                <w:rStyle w:val="label"/>
                <w:szCs w:val="20"/>
              </w:rPr>
              <w:t>SAE, n</w:t>
            </w:r>
          </w:p>
        </w:tc>
        <w:tc>
          <w:tcPr>
            <w:tcW w:w="621" w:type="pct"/>
            <w:tcMar>
              <w:top w:w="0" w:type="dxa"/>
              <w:left w:w="108" w:type="dxa"/>
              <w:bottom w:w="0" w:type="dxa"/>
              <w:right w:w="108" w:type="dxa"/>
            </w:tcMar>
            <w:vAlign w:val="center"/>
          </w:tcPr>
          <w:p w14:paraId="29735D54" w14:textId="78A2D794" w:rsidR="001E5A8F" w:rsidRPr="00CA1512" w:rsidRDefault="001E5A8F" w:rsidP="00817C3B">
            <w:pPr>
              <w:pStyle w:val="Tabletext"/>
              <w:keepLines/>
              <w:jc w:val="center"/>
              <w:rPr>
                <w:szCs w:val="20"/>
              </w:rPr>
            </w:pPr>
            <w:r w:rsidRPr="00CA1512">
              <w:rPr>
                <w:szCs w:val="20"/>
              </w:rPr>
              <w:t>229</w:t>
            </w:r>
          </w:p>
        </w:tc>
        <w:tc>
          <w:tcPr>
            <w:tcW w:w="601" w:type="pct"/>
            <w:gridSpan w:val="2"/>
            <w:tcMar>
              <w:top w:w="0" w:type="dxa"/>
              <w:left w:w="108" w:type="dxa"/>
              <w:bottom w:w="0" w:type="dxa"/>
              <w:right w:w="108" w:type="dxa"/>
            </w:tcMar>
            <w:vAlign w:val="center"/>
          </w:tcPr>
          <w:p w14:paraId="49D01A1C" w14:textId="70DDDCDF" w:rsidR="001E5A8F" w:rsidRPr="00CA1512" w:rsidRDefault="001E5A8F" w:rsidP="00817C3B">
            <w:pPr>
              <w:pStyle w:val="Tabletext"/>
              <w:keepLines/>
              <w:jc w:val="center"/>
              <w:rPr>
                <w:szCs w:val="20"/>
              </w:rPr>
            </w:pPr>
            <w:r w:rsidRPr="00CA1512">
              <w:rPr>
                <w:szCs w:val="20"/>
              </w:rPr>
              <w:t>207</w:t>
            </w:r>
          </w:p>
        </w:tc>
        <w:tc>
          <w:tcPr>
            <w:tcW w:w="744" w:type="pct"/>
            <w:gridSpan w:val="2"/>
            <w:vAlign w:val="center"/>
          </w:tcPr>
          <w:p w14:paraId="1A3E9321" w14:textId="6F4C4D73" w:rsidR="001E5A8F" w:rsidRPr="000D75BB" w:rsidRDefault="001E5A8F" w:rsidP="00817C3B">
            <w:pPr>
              <w:pStyle w:val="Tabletext"/>
              <w:keepLines/>
              <w:jc w:val="center"/>
              <w:rPr>
                <w:szCs w:val="20"/>
              </w:rPr>
            </w:pPr>
            <w:r w:rsidRPr="000D75BB">
              <w:rPr>
                <w:szCs w:val="20"/>
              </w:rPr>
              <w:t>1.09 (0.95, 1.25)</w:t>
            </w:r>
          </w:p>
        </w:tc>
        <w:tc>
          <w:tcPr>
            <w:tcW w:w="769" w:type="pct"/>
            <w:gridSpan w:val="2"/>
            <w:tcMar>
              <w:top w:w="0" w:type="dxa"/>
              <w:left w:w="108" w:type="dxa"/>
              <w:bottom w:w="0" w:type="dxa"/>
              <w:right w:w="108" w:type="dxa"/>
            </w:tcMar>
            <w:vAlign w:val="center"/>
          </w:tcPr>
          <w:p w14:paraId="528944D9" w14:textId="74464727" w:rsidR="001E5A8F" w:rsidRPr="000D75BB" w:rsidRDefault="006C299D" w:rsidP="00817C3B">
            <w:pPr>
              <w:pStyle w:val="Tabletext"/>
              <w:keepLines/>
              <w:jc w:val="center"/>
              <w:rPr>
                <w:szCs w:val="20"/>
              </w:rPr>
            </w:pPr>
            <w:r>
              <w:rPr>
                <w:szCs w:val="20"/>
              </w:rPr>
              <w:t>4</w:t>
            </w:r>
            <w:r>
              <w:t>8.2</w:t>
            </w:r>
          </w:p>
        </w:tc>
        <w:tc>
          <w:tcPr>
            <w:tcW w:w="708" w:type="pct"/>
            <w:gridSpan w:val="2"/>
            <w:vAlign w:val="center"/>
          </w:tcPr>
          <w:p w14:paraId="75DC47EA" w14:textId="1975F2BC" w:rsidR="001E5A8F" w:rsidRPr="000D75BB" w:rsidRDefault="006C299D" w:rsidP="00817C3B">
            <w:pPr>
              <w:pStyle w:val="Tabletext"/>
              <w:keepLines/>
              <w:jc w:val="center"/>
              <w:rPr>
                <w:szCs w:val="20"/>
              </w:rPr>
            </w:pPr>
            <w:r>
              <w:rPr>
                <w:szCs w:val="20"/>
              </w:rPr>
              <w:t>4</w:t>
            </w:r>
            <w:r>
              <w:t>4.1</w:t>
            </w:r>
          </w:p>
        </w:tc>
        <w:tc>
          <w:tcPr>
            <w:tcW w:w="680" w:type="pct"/>
            <w:tcMar>
              <w:top w:w="0" w:type="dxa"/>
              <w:left w:w="108" w:type="dxa"/>
              <w:bottom w:w="0" w:type="dxa"/>
              <w:right w:w="108" w:type="dxa"/>
            </w:tcMar>
            <w:vAlign w:val="center"/>
          </w:tcPr>
          <w:p w14:paraId="4589C623" w14:textId="766C8F97" w:rsidR="001E5A8F" w:rsidRPr="000D75BB" w:rsidRDefault="001E5A8F" w:rsidP="00817C3B">
            <w:pPr>
              <w:pStyle w:val="Tabletext"/>
              <w:keepLines/>
              <w:jc w:val="center"/>
              <w:rPr>
                <w:szCs w:val="20"/>
              </w:rPr>
            </w:pPr>
            <w:r w:rsidRPr="000D75BB">
              <w:rPr>
                <w:szCs w:val="20"/>
              </w:rPr>
              <w:t>4 (</w:t>
            </w:r>
            <w:r w:rsidR="00675F55">
              <w:rPr>
                <w:szCs w:val="20"/>
              </w:rPr>
              <w:noBreakHyphen/>
            </w:r>
            <w:r w:rsidRPr="000D75BB">
              <w:rPr>
                <w:szCs w:val="20"/>
              </w:rPr>
              <w:t>2, 10)</w:t>
            </w:r>
          </w:p>
        </w:tc>
      </w:tr>
      <w:tr w:rsidR="001E5A8F" w:rsidRPr="00CA1512" w14:paraId="6C4DAEFA" w14:textId="77777777" w:rsidTr="0025304C">
        <w:trPr>
          <w:cantSplit/>
          <w:trHeight w:val="227"/>
        </w:trPr>
        <w:tc>
          <w:tcPr>
            <w:tcW w:w="877" w:type="pct"/>
            <w:tcMar>
              <w:top w:w="0" w:type="dxa"/>
              <w:left w:w="108" w:type="dxa"/>
              <w:bottom w:w="0" w:type="dxa"/>
              <w:right w:w="108" w:type="dxa"/>
            </w:tcMar>
            <w:vAlign w:val="center"/>
          </w:tcPr>
          <w:p w14:paraId="28FB9A24" w14:textId="5CB09EEA" w:rsidR="001E5A8F" w:rsidRPr="00CA1512" w:rsidRDefault="001E5A8F" w:rsidP="00817C3B">
            <w:pPr>
              <w:pStyle w:val="Tabletext"/>
              <w:keepLines/>
              <w:rPr>
                <w:rStyle w:val="label"/>
                <w:b/>
                <w:bCs/>
                <w:szCs w:val="20"/>
              </w:rPr>
            </w:pPr>
            <w:r w:rsidRPr="00CA1512">
              <w:rPr>
                <w:rStyle w:val="normaltextrun"/>
                <w:rFonts w:eastAsiaTheme="majorEastAsia" w:cs="Segoe UI"/>
                <w:szCs w:val="20"/>
              </w:rPr>
              <w:t>AEs leading to drug discontinuation, n</w:t>
            </w:r>
          </w:p>
        </w:tc>
        <w:tc>
          <w:tcPr>
            <w:tcW w:w="621" w:type="pct"/>
            <w:tcMar>
              <w:top w:w="0" w:type="dxa"/>
              <w:left w:w="108" w:type="dxa"/>
              <w:bottom w:w="0" w:type="dxa"/>
              <w:right w:w="108" w:type="dxa"/>
            </w:tcMar>
            <w:vAlign w:val="center"/>
          </w:tcPr>
          <w:p w14:paraId="57552454" w14:textId="119E50FE" w:rsidR="001E5A8F" w:rsidRPr="00CA1512" w:rsidRDefault="001E5A8F" w:rsidP="00817C3B">
            <w:pPr>
              <w:pStyle w:val="Tabletext"/>
              <w:keepLines/>
              <w:jc w:val="center"/>
              <w:rPr>
                <w:szCs w:val="20"/>
              </w:rPr>
            </w:pPr>
            <w:r w:rsidRPr="00CA1512">
              <w:rPr>
                <w:szCs w:val="20"/>
              </w:rPr>
              <w:t>142</w:t>
            </w:r>
          </w:p>
        </w:tc>
        <w:tc>
          <w:tcPr>
            <w:tcW w:w="601" w:type="pct"/>
            <w:gridSpan w:val="2"/>
            <w:tcMar>
              <w:top w:w="0" w:type="dxa"/>
              <w:left w:w="108" w:type="dxa"/>
              <w:bottom w:w="0" w:type="dxa"/>
              <w:right w:w="108" w:type="dxa"/>
            </w:tcMar>
            <w:vAlign w:val="center"/>
          </w:tcPr>
          <w:p w14:paraId="785F8EC4" w14:textId="2EF76944" w:rsidR="001E5A8F" w:rsidRPr="00CA1512" w:rsidRDefault="001E5A8F" w:rsidP="00817C3B">
            <w:pPr>
              <w:pStyle w:val="Tabletext"/>
              <w:keepLines/>
              <w:jc w:val="center"/>
              <w:rPr>
                <w:szCs w:val="20"/>
              </w:rPr>
            </w:pPr>
            <w:r w:rsidRPr="00CA1512">
              <w:rPr>
                <w:szCs w:val="20"/>
              </w:rPr>
              <w:t>107</w:t>
            </w:r>
          </w:p>
        </w:tc>
        <w:tc>
          <w:tcPr>
            <w:tcW w:w="744" w:type="pct"/>
            <w:gridSpan w:val="2"/>
            <w:vAlign w:val="center"/>
          </w:tcPr>
          <w:p w14:paraId="23C391DA" w14:textId="5D44217F" w:rsidR="001E5A8F" w:rsidRPr="000D75BB" w:rsidRDefault="001E5A8F" w:rsidP="00817C3B">
            <w:pPr>
              <w:pStyle w:val="Tabletext"/>
              <w:keepLines/>
              <w:jc w:val="center"/>
              <w:rPr>
                <w:bCs/>
                <w:szCs w:val="20"/>
              </w:rPr>
            </w:pPr>
            <w:r w:rsidRPr="000D75BB">
              <w:rPr>
                <w:szCs w:val="20"/>
              </w:rPr>
              <w:t>1.31 (1.06, 1.63)</w:t>
            </w:r>
          </w:p>
        </w:tc>
        <w:tc>
          <w:tcPr>
            <w:tcW w:w="769" w:type="pct"/>
            <w:gridSpan w:val="2"/>
            <w:tcMar>
              <w:top w:w="0" w:type="dxa"/>
              <w:left w:w="108" w:type="dxa"/>
              <w:bottom w:w="0" w:type="dxa"/>
              <w:right w:w="108" w:type="dxa"/>
            </w:tcMar>
            <w:vAlign w:val="center"/>
          </w:tcPr>
          <w:p w14:paraId="13869C46" w14:textId="6CC43C9A" w:rsidR="001E5A8F" w:rsidRPr="000D75BB" w:rsidRDefault="00196585" w:rsidP="00817C3B">
            <w:pPr>
              <w:pStyle w:val="Tabletext"/>
              <w:keepLines/>
              <w:jc w:val="center"/>
              <w:rPr>
                <w:bCs/>
                <w:szCs w:val="20"/>
              </w:rPr>
            </w:pPr>
            <w:r>
              <w:rPr>
                <w:bCs/>
                <w:szCs w:val="20"/>
              </w:rPr>
              <w:t>2</w:t>
            </w:r>
            <w:r>
              <w:rPr>
                <w:bCs/>
              </w:rPr>
              <w:t>9.9</w:t>
            </w:r>
          </w:p>
        </w:tc>
        <w:tc>
          <w:tcPr>
            <w:tcW w:w="708" w:type="pct"/>
            <w:gridSpan w:val="2"/>
            <w:vAlign w:val="center"/>
          </w:tcPr>
          <w:p w14:paraId="44AB2633" w14:textId="2D18685F" w:rsidR="001E5A8F" w:rsidRPr="000D75BB" w:rsidRDefault="00196585" w:rsidP="00817C3B">
            <w:pPr>
              <w:pStyle w:val="Tabletext"/>
              <w:keepLines/>
              <w:jc w:val="center"/>
              <w:rPr>
                <w:bCs/>
                <w:szCs w:val="20"/>
              </w:rPr>
            </w:pPr>
            <w:r>
              <w:rPr>
                <w:bCs/>
                <w:szCs w:val="20"/>
              </w:rPr>
              <w:t>2</w:t>
            </w:r>
            <w:r>
              <w:rPr>
                <w:bCs/>
              </w:rPr>
              <w:t>2.8</w:t>
            </w:r>
          </w:p>
        </w:tc>
        <w:tc>
          <w:tcPr>
            <w:tcW w:w="680" w:type="pct"/>
            <w:tcMar>
              <w:top w:w="0" w:type="dxa"/>
              <w:left w:w="108" w:type="dxa"/>
              <w:bottom w:w="0" w:type="dxa"/>
              <w:right w:w="108" w:type="dxa"/>
            </w:tcMar>
            <w:vAlign w:val="center"/>
          </w:tcPr>
          <w:p w14:paraId="2ADFF1D8" w14:textId="4B3D3C72" w:rsidR="001E5A8F" w:rsidRPr="000D75BB" w:rsidRDefault="001E5A8F" w:rsidP="00817C3B">
            <w:pPr>
              <w:pStyle w:val="Tabletext"/>
              <w:keepLines/>
              <w:jc w:val="center"/>
              <w:rPr>
                <w:szCs w:val="20"/>
              </w:rPr>
            </w:pPr>
            <w:r w:rsidRPr="000D75BB">
              <w:rPr>
                <w:bCs/>
                <w:szCs w:val="20"/>
              </w:rPr>
              <w:t>7 (1, 13)</w:t>
            </w:r>
          </w:p>
        </w:tc>
      </w:tr>
      <w:tr w:rsidR="001E5A8F" w:rsidRPr="00CA1512" w14:paraId="4220052B" w14:textId="77777777" w:rsidTr="0025304C">
        <w:trPr>
          <w:cantSplit/>
          <w:trHeight w:val="227"/>
        </w:trPr>
        <w:tc>
          <w:tcPr>
            <w:tcW w:w="877" w:type="pct"/>
            <w:tcMar>
              <w:top w:w="0" w:type="dxa"/>
              <w:left w:w="108" w:type="dxa"/>
              <w:bottom w:w="0" w:type="dxa"/>
              <w:right w:w="108" w:type="dxa"/>
            </w:tcMar>
            <w:vAlign w:val="center"/>
          </w:tcPr>
          <w:p w14:paraId="0B08F6BE" w14:textId="7CF07CCA" w:rsidR="001E5A8F" w:rsidRPr="00CA1512" w:rsidRDefault="001E5A8F" w:rsidP="00817C3B">
            <w:pPr>
              <w:pStyle w:val="Tabletext"/>
              <w:keepLines/>
              <w:rPr>
                <w:rStyle w:val="normaltextrun"/>
                <w:rFonts w:eastAsiaTheme="majorEastAsia" w:cs="Segoe UI"/>
                <w:szCs w:val="20"/>
              </w:rPr>
            </w:pPr>
            <w:r w:rsidRPr="00CA1512">
              <w:rPr>
                <w:rStyle w:val="normaltextrun"/>
                <w:rFonts w:eastAsiaTheme="majorEastAsia" w:cs="Segoe UI"/>
                <w:szCs w:val="20"/>
              </w:rPr>
              <w:t xml:space="preserve">imAEs, </w:t>
            </w:r>
            <w:r w:rsidR="00E83092">
              <w:rPr>
                <w:rStyle w:val="normaltextrun"/>
                <w:rFonts w:eastAsiaTheme="majorEastAsia" w:cs="Segoe UI"/>
                <w:szCs w:val="20"/>
              </w:rPr>
              <w:t>n</w:t>
            </w:r>
          </w:p>
        </w:tc>
        <w:tc>
          <w:tcPr>
            <w:tcW w:w="621" w:type="pct"/>
            <w:tcMar>
              <w:top w:w="0" w:type="dxa"/>
              <w:left w:w="108" w:type="dxa"/>
              <w:bottom w:w="0" w:type="dxa"/>
              <w:right w:w="108" w:type="dxa"/>
            </w:tcMar>
            <w:vAlign w:val="center"/>
          </w:tcPr>
          <w:p w14:paraId="71EE85DA" w14:textId="4E1B3337" w:rsidR="001E5A8F" w:rsidRPr="00CA1512" w:rsidRDefault="001E5A8F" w:rsidP="00817C3B">
            <w:pPr>
              <w:pStyle w:val="Tabletext"/>
              <w:keepLines/>
              <w:jc w:val="center"/>
              <w:rPr>
                <w:szCs w:val="20"/>
              </w:rPr>
            </w:pPr>
            <w:r w:rsidRPr="00CA1512">
              <w:rPr>
                <w:szCs w:val="20"/>
              </w:rPr>
              <w:t>110</w:t>
            </w:r>
          </w:p>
        </w:tc>
        <w:tc>
          <w:tcPr>
            <w:tcW w:w="601" w:type="pct"/>
            <w:gridSpan w:val="2"/>
            <w:tcMar>
              <w:top w:w="0" w:type="dxa"/>
              <w:left w:w="108" w:type="dxa"/>
              <w:bottom w:w="0" w:type="dxa"/>
              <w:right w:w="108" w:type="dxa"/>
            </w:tcMar>
            <w:vAlign w:val="center"/>
          </w:tcPr>
          <w:p w14:paraId="6691EA30" w14:textId="5099A582" w:rsidR="001E5A8F" w:rsidRPr="00CA1512" w:rsidRDefault="001E5A8F" w:rsidP="00817C3B">
            <w:pPr>
              <w:pStyle w:val="Tabletext"/>
              <w:keepLines/>
              <w:jc w:val="center"/>
              <w:rPr>
                <w:szCs w:val="20"/>
              </w:rPr>
            </w:pPr>
            <w:r w:rsidRPr="00CA1512">
              <w:rPr>
                <w:szCs w:val="20"/>
              </w:rPr>
              <w:t>34</w:t>
            </w:r>
          </w:p>
        </w:tc>
        <w:tc>
          <w:tcPr>
            <w:tcW w:w="744" w:type="pct"/>
            <w:gridSpan w:val="2"/>
            <w:vAlign w:val="center"/>
          </w:tcPr>
          <w:p w14:paraId="7D3E45D9" w14:textId="19C5F48F" w:rsidR="001E5A8F" w:rsidRPr="000D75BB" w:rsidRDefault="001E5A8F" w:rsidP="00817C3B">
            <w:pPr>
              <w:pStyle w:val="Tabletext"/>
              <w:keepLines/>
              <w:jc w:val="center"/>
              <w:rPr>
                <w:bCs/>
                <w:szCs w:val="20"/>
              </w:rPr>
            </w:pPr>
            <w:r w:rsidRPr="000D75BB">
              <w:rPr>
                <w:szCs w:val="20"/>
              </w:rPr>
              <w:t>3.19 (2.22, 4.59)</w:t>
            </w:r>
          </w:p>
        </w:tc>
        <w:tc>
          <w:tcPr>
            <w:tcW w:w="769" w:type="pct"/>
            <w:gridSpan w:val="2"/>
            <w:tcMar>
              <w:top w:w="0" w:type="dxa"/>
              <w:left w:w="108" w:type="dxa"/>
              <w:bottom w:w="0" w:type="dxa"/>
              <w:right w:w="108" w:type="dxa"/>
            </w:tcMar>
            <w:vAlign w:val="center"/>
          </w:tcPr>
          <w:p w14:paraId="712B942A" w14:textId="18B8A85C" w:rsidR="001E5A8F" w:rsidRPr="000D75BB" w:rsidRDefault="00196585" w:rsidP="00817C3B">
            <w:pPr>
              <w:pStyle w:val="Tabletext"/>
              <w:keepLines/>
              <w:jc w:val="center"/>
              <w:rPr>
                <w:bCs/>
                <w:szCs w:val="20"/>
              </w:rPr>
            </w:pPr>
            <w:r>
              <w:rPr>
                <w:bCs/>
                <w:szCs w:val="20"/>
              </w:rPr>
              <w:t>2</w:t>
            </w:r>
            <w:r>
              <w:rPr>
                <w:bCs/>
              </w:rPr>
              <w:t>3.2</w:t>
            </w:r>
          </w:p>
        </w:tc>
        <w:tc>
          <w:tcPr>
            <w:tcW w:w="708" w:type="pct"/>
            <w:gridSpan w:val="2"/>
            <w:vAlign w:val="center"/>
          </w:tcPr>
          <w:p w14:paraId="06D22628" w14:textId="789F3704" w:rsidR="001E5A8F" w:rsidRPr="000D75BB" w:rsidRDefault="00196585" w:rsidP="00817C3B">
            <w:pPr>
              <w:pStyle w:val="Tabletext"/>
              <w:keepLines/>
              <w:jc w:val="center"/>
              <w:rPr>
                <w:bCs/>
                <w:szCs w:val="20"/>
              </w:rPr>
            </w:pPr>
            <w:r>
              <w:rPr>
                <w:bCs/>
                <w:szCs w:val="20"/>
              </w:rPr>
              <w:t>7</w:t>
            </w:r>
            <w:r>
              <w:rPr>
                <w:bCs/>
              </w:rPr>
              <w:t>.2</w:t>
            </w:r>
          </w:p>
        </w:tc>
        <w:tc>
          <w:tcPr>
            <w:tcW w:w="680" w:type="pct"/>
            <w:tcMar>
              <w:top w:w="0" w:type="dxa"/>
              <w:left w:w="108" w:type="dxa"/>
              <w:bottom w:w="0" w:type="dxa"/>
              <w:right w:w="108" w:type="dxa"/>
            </w:tcMar>
            <w:vAlign w:val="center"/>
          </w:tcPr>
          <w:p w14:paraId="1F23F94F" w14:textId="0744C4D9" w:rsidR="001E5A8F" w:rsidRPr="000D75BB" w:rsidRDefault="001E5A8F" w:rsidP="00817C3B">
            <w:pPr>
              <w:pStyle w:val="Tabletext"/>
              <w:keepLines/>
              <w:jc w:val="center"/>
              <w:rPr>
                <w:szCs w:val="20"/>
              </w:rPr>
            </w:pPr>
            <w:r w:rsidRPr="000D75BB">
              <w:rPr>
                <w:bCs/>
                <w:szCs w:val="20"/>
              </w:rPr>
              <w:t>16 (11, 20)</w:t>
            </w:r>
          </w:p>
        </w:tc>
      </w:tr>
      <w:tr w:rsidR="001E5A8F" w:rsidRPr="00CA1512" w14:paraId="4BF26A09" w14:textId="77777777" w:rsidTr="0025304C">
        <w:trPr>
          <w:cantSplit/>
          <w:trHeight w:val="227"/>
        </w:trPr>
        <w:tc>
          <w:tcPr>
            <w:tcW w:w="877" w:type="pct"/>
            <w:tcMar>
              <w:top w:w="0" w:type="dxa"/>
              <w:left w:w="108" w:type="dxa"/>
              <w:bottom w:w="0" w:type="dxa"/>
              <w:right w:w="108" w:type="dxa"/>
            </w:tcMar>
            <w:vAlign w:val="center"/>
          </w:tcPr>
          <w:p w14:paraId="34A9F4E4" w14:textId="3D038DCA" w:rsidR="001E5A8F" w:rsidRPr="00CA1512" w:rsidRDefault="001E5A8F" w:rsidP="00817C3B">
            <w:pPr>
              <w:pStyle w:val="Tabletext"/>
              <w:keepLines/>
              <w:rPr>
                <w:rStyle w:val="normaltextrun"/>
                <w:rFonts w:eastAsiaTheme="majorEastAsia" w:cs="Segoe UI"/>
                <w:szCs w:val="20"/>
              </w:rPr>
            </w:pPr>
            <w:r w:rsidRPr="00CA1512">
              <w:rPr>
                <w:rStyle w:val="normaltextrun"/>
                <w:rFonts w:eastAsiaTheme="majorEastAsia" w:cs="Segoe UI"/>
                <w:szCs w:val="20"/>
              </w:rPr>
              <w:t>Infusion reaction AEs, n</w:t>
            </w:r>
          </w:p>
        </w:tc>
        <w:tc>
          <w:tcPr>
            <w:tcW w:w="621" w:type="pct"/>
            <w:tcMar>
              <w:top w:w="0" w:type="dxa"/>
              <w:left w:w="108" w:type="dxa"/>
              <w:bottom w:w="0" w:type="dxa"/>
              <w:right w:w="108" w:type="dxa"/>
            </w:tcMar>
            <w:vAlign w:val="center"/>
          </w:tcPr>
          <w:p w14:paraId="772499E7" w14:textId="0280925A" w:rsidR="001E5A8F" w:rsidRPr="00CA1512" w:rsidRDefault="001E5A8F" w:rsidP="00817C3B">
            <w:pPr>
              <w:pStyle w:val="Tabletext"/>
              <w:keepLines/>
              <w:jc w:val="center"/>
              <w:rPr>
                <w:szCs w:val="20"/>
              </w:rPr>
            </w:pPr>
            <w:r w:rsidRPr="00CA1512">
              <w:rPr>
                <w:szCs w:val="20"/>
              </w:rPr>
              <w:t>100</w:t>
            </w:r>
          </w:p>
        </w:tc>
        <w:tc>
          <w:tcPr>
            <w:tcW w:w="601" w:type="pct"/>
            <w:gridSpan w:val="2"/>
            <w:tcMar>
              <w:top w:w="0" w:type="dxa"/>
              <w:left w:w="108" w:type="dxa"/>
              <w:bottom w:w="0" w:type="dxa"/>
              <w:right w:w="108" w:type="dxa"/>
            </w:tcMar>
            <w:vAlign w:val="center"/>
          </w:tcPr>
          <w:p w14:paraId="52313345" w14:textId="43335365" w:rsidR="001E5A8F" w:rsidRPr="00CA1512" w:rsidRDefault="001E5A8F" w:rsidP="00817C3B">
            <w:pPr>
              <w:pStyle w:val="Tabletext"/>
              <w:keepLines/>
              <w:jc w:val="center"/>
              <w:rPr>
                <w:szCs w:val="20"/>
              </w:rPr>
            </w:pPr>
            <w:r w:rsidRPr="00CA1512">
              <w:rPr>
                <w:szCs w:val="20"/>
              </w:rPr>
              <w:t>59</w:t>
            </w:r>
          </w:p>
        </w:tc>
        <w:tc>
          <w:tcPr>
            <w:tcW w:w="744" w:type="pct"/>
            <w:gridSpan w:val="2"/>
            <w:vAlign w:val="center"/>
          </w:tcPr>
          <w:p w14:paraId="549CC41C" w14:textId="5A43C93F" w:rsidR="001E5A8F" w:rsidRPr="000D75BB" w:rsidRDefault="001E5A8F" w:rsidP="00817C3B">
            <w:pPr>
              <w:pStyle w:val="Tabletext"/>
              <w:keepLines/>
              <w:jc w:val="center"/>
              <w:rPr>
                <w:bCs/>
                <w:szCs w:val="20"/>
              </w:rPr>
            </w:pPr>
            <w:r w:rsidRPr="000D75BB">
              <w:rPr>
                <w:szCs w:val="20"/>
              </w:rPr>
              <w:t>1.67 (1.25, 2.25)</w:t>
            </w:r>
          </w:p>
        </w:tc>
        <w:tc>
          <w:tcPr>
            <w:tcW w:w="769" w:type="pct"/>
            <w:gridSpan w:val="2"/>
            <w:tcMar>
              <w:top w:w="0" w:type="dxa"/>
              <w:left w:w="108" w:type="dxa"/>
              <w:bottom w:w="0" w:type="dxa"/>
              <w:right w:w="108" w:type="dxa"/>
            </w:tcMar>
            <w:vAlign w:val="center"/>
          </w:tcPr>
          <w:p w14:paraId="4014BBAD" w14:textId="0C70B7BA" w:rsidR="001E5A8F" w:rsidRPr="000D75BB" w:rsidRDefault="00196585" w:rsidP="00817C3B">
            <w:pPr>
              <w:pStyle w:val="Tabletext"/>
              <w:keepLines/>
              <w:jc w:val="center"/>
              <w:rPr>
                <w:bCs/>
                <w:szCs w:val="20"/>
              </w:rPr>
            </w:pPr>
            <w:r>
              <w:rPr>
                <w:bCs/>
                <w:szCs w:val="20"/>
              </w:rPr>
              <w:t>2</w:t>
            </w:r>
            <w:r>
              <w:rPr>
                <w:bCs/>
              </w:rPr>
              <w:t>1.1</w:t>
            </w:r>
          </w:p>
        </w:tc>
        <w:tc>
          <w:tcPr>
            <w:tcW w:w="708" w:type="pct"/>
            <w:gridSpan w:val="2"/>
            <w:vAlign w:val="center"/>
          </w:tcPr>
          <w:p w14:paraId="4488BDC0" w14:textId="22657131" w:rsidR="001E5A8F" w:rsidRPr="000D75BB" w:rsidRDefault="00196585" w:rsidP="00817C3B">
            <w:pPr>
              <w:pStyle w:val="Tabletext"/>
              <w:keepLines/>
              <w:jc w:val="center"/>
              <w:rPr>
                <w:bCs/>
                <w:szCs w:val="20"/>
              </w:rPr>
            </w:pPr>
            <w:r>
              <w:rPr>
                <w:bCs/>
                <w:szCs w:val="20"/>
              </w:rPr>
              <w:t>1</w:t>
            </w:r>
            <w:r>
              <w:rPr>
                <w:bCs/>
              </w:rPr>
              <w:t>2.6</w:t>
            </w:r>
          </w:p>
        </w:tc>
        <w:tc>
          <w:tcPr>
            <w:tcW w:w="680" w:type="pct"/>
            <w:tcMar>
              <w:top w:w="0" w:type="dxa"/>
              <w:left w:w="108" w:type="dxa"/>
              <w:bottom w:w="0" w:type="dxa"/>
              <w:right w:w="108" w:type="dxa"/>
            </w:tcMar>
            <w:vAlign w:val="center"/>
          </w:tcPr>
          <w:p w14:paraId="71FE82F2" w14:textId="74406DBB" w:rsidR="001E5A8F" w:rsidRPr="000D75BB" w:rsidRDefault="001E5A8F" w:rsidP="00817C3B">
            <w:pPr>
              <w:pStyle w:val="Tabletext"/>
              <w:keepLines/>
              <w:jc w:val="center"/>
              <w:rPr>
                <w:szCs w:val="20"/>
              </w:rPr>
            </w:pPr>
            <w:r w:rsidRPr="000D75BB">
              <w:rPr>
                <w:bCs/>
                <w:szCs w:val="20"/>
              </w:rPr>
              <w:t>8 (4, 13)</w:t>
            </w:r>
          </w:p>
        </w:tc>
      </w:tr>
    </w:tbl>
    <w:p w14:paraId="5AE08918" w14:textId="6C0DFC11" w:rsidR="00CE2F79" w:rsidRPr="00FD4170" w:rsidRDefault="00CE2F79" w:rsidP="00C1302F">
      <w:pPr>
        <w:pStyle w:val="TableFigureFooter"/>
      </w:pPr>
      <w:r w:rsidRPr="00FD4170">
        <w:t>Source: Table 2</w:t>
      </w:r>
      <w:r w:rsidR="00675F55">
        <w:noBreakHyphen/>
      </w:r>
      <w:r w:rsidRPr="00FD4170">
        <w:t>27 pp91</w:t>
      </w:r>
      <w:r w:rsidR="00675F55">
        <w:noBreakHyphen/>
      </w:r>
      <w:r w:rsidRPr="00FD4170">
        <w:t>92 of the submission</w:t>
      </w:r>
      <w:r w:rsidR="00644061" w:rsidRPr="00FD4170">
        <w:t>; ESMO Congress 2025</w:t>
      </w:r>
      <w:r w:rsidR="00AA7ED5" w:rsidRPr="00FD4170">
        <w:t xml:space="preserve"> p</w:t>
      </w:r>
      <w:r w:rsidR="00FB02FB" w:rsidRPr="00FD4170">
        <w:t>6</w:t>
      </w:r>
      <w:r w:rsidR="004E005F" w:rsidRPr="00FD4170">
        <w:t>.</w:t>
      </w:r>
    </w:p>
    <w:p w14:paraId="41F87149" w14:textId="3A10154D" w:rsidR="004274DC" w:rsidRPr="00FD4170" w:rsidRDefault="002A1EBB" w:rsidP="00C1302F">
      <w:pPr>
        <w:pStyle w:val="TableFigureFooter"/>
      </w:pPr>
      <w:r w:rsidRPr="00FD4170">
        <w:t>AE</w:t>
      </w:r>
      <w:r w:rsidR="00FA071B" w:rsidRPr="00FD4170">
        <w:t xml:space="preserve"> = adverse event; </w:t>
      </w:r>
      <w:r w:rsidR="009342E0" w:rsidRPr="00FD4170">
        <w:t xml:space="preserve">CI = confidence interval; </w:t>
      </w:r>
      <w:r w:rsidR="008257A0" w:rsidRPr="00FD4170">
        <w:t xml:space="preserve">D = </w:t>
      </w:r>
      <w:r w:rsidR="009342E0" w:rsidRPr="00FD4170">
        <w:t xml:space="preserve">durvalumab; </w:t>
      </w:r>
      <w:r w:rsidR="008C5326" w:rsidRPr="00FD4170">
        <w:t>DCO = data cut</w:t>
      </w:r>
      <w:r w:rsidR="00675F55">
        <w:noBreakHyphen/>
      </w:r>
      <w:r w:rsidR="008C5326" w:rsidRPr="00FD4170">
        <w:t>off; EFS = event</w:t>
      </w:r>
      <w:r w:rsidR="00675F55">
        <w:noBreakHyphen/>
      </w:r>
      <w:r w:rsidR="008C5326" w:rsidRPr="00FD4170">
        <w:t xml:space="preserve">free survival; </w:t>
      </w:r>
      <w:r w:rsidR="00FC5033" w:rsidRPr="00FD4170">
        <w:t xml:space="preserve">FA = final analysis; </w:t>
      </w:r>
      <w:r w:rsidR="009342E0" w:rsidRPr="00FD4170">
        <w:t>FLOT = 5</w:t>
      </w:r>
      <w:r w:rsidR="00675F55">
        <w:noBreakHyphen/>
      </w:r>
      <w:r w:rsidR="009342E0" w:rsidRPr="00FD4170">
        <w:t xml:space="preserve">fluorouracil, leucovorin, oxaliplatin and docetaxel; HR = hazard ratio; </w:t>
      </w:r>
      <w:r w:rsidR="00F00913" w:rsidRPr="00FD4170">
        <w:t>imAE = immune</w:t>
      </w:r>
      <w:r w:rsidR="00675F55">
        <w:noBreakHyphen/>
      </w:r>
      <w:r w:rsidR="00F00913" w:rsidRPr="00FD4170">
        <w:t xml:space="preserve">mediated adverse event; </w:t>
      </w:r>
      <w:r w:rsidR="008C5326" w:rsidRPr="00FD4170">
        <w:t xml:space="preserve">NC = not calculable; </w:t>
      </w:r>
      <w:r w:rsidR="00FC5033" w:rsidRPr="00FD4170">
        <w:t xml:space="preserve">OS = overall survival; </w:t>
      </w:r>
      <w:r w:rsidR="009342E0" w:rsidRPr="00FD4170">
        <w:t>Pbo = placebo</w:t>
      </w:r>
      <w:r w:rsidRPr="00FD4170">
        <w:t>; pCR = pathological complete response</w:t>
      </w:r>
      <w:r w:rsidR="00F00913" w:rsidRPr="00FD4170">
        <w:t>; SAE = serious adverse event</w:t>
      </w:r>
      <w:r w:rsidR="00051D36">
        <w:t>; RR = relative risk</w:t>
      </w:r>
      <w:r w:rsidR="00BE636C">
        <w:t>; OR = odds ratio</w:t>
      </w:r>
      <w:r w:rsidR="00AE1597" w:rsidRPr="00FD4170">
        <w:t>.</w:t>
      </w:r>
    </w:p>
    <w:p w14:paraId="405051AC" w14:textId="2D4D616D" w:rsidR="008C32EE" w:rsidRPr="00FD4170" w:rsidRDefault="008C32EE" w:rsidP="00C1302F">
      <w:pPr>
        <w:pStyle w:val="TableFigureFooter"/>
      </w:pPr>
      <w:r w:rsidRPr="00FD4170">
        <w:rPr>
          <w:vertAlign w:val="superscript"/>
        </w:rPr>
        <w:t>a</w:t>
      </w:r>
      <w:r w:rsidRPr="00FD4170">
        <w:t xml:space="preserve"> Values calculated during evaluation</w:t>
      </w:r>
      <w:r w:rsidR="00AE1597" w:rsidRPr="00FD4170">
        <w:t>.</w:t>
      </w:r>
    </w:p>
    <w:p w14:paraId="43490C7A" w14:textId="1C8F175B" w:rsidR="006A67DF" w:rsidRPr="00FD4170" w:rsidRDefault="00A43097" w:rsidP="00C1302F">
      <w:pPr>
        <w:pStyle w:val="TableFigureFooter"/>
      </w:pPr>
      <w:r w:rsidRPr="00FD4170">
        <w:t>Bolded results indicate statistically significant differences between treatment arms</w:t>
      </w:r>
      <w:r w:rsidR="00AE1597" w:rsidRPr="00FD4170">
        <w:t>.</w:t>
      </w:r>
    </w:p>
    <w:p w14:paraId="32FD6A62" w14:textId="31B07EAF" w:rsidR="00E241DE" w:rsidRPr="00D4422F" w:rsidRDefault="00E241DE" w:rsidP="00FD4170">
      <w:pPr>
        <w:pStyle w:val="3-BodyText"/>
        <w:spacing w:before="160" w:after="160"/>
        <w:rPr>
          <w:iCs/>
        </w:rPr>
      </w:pPr>
      <w:proofErr w:type="gramStart"/>
      <w:r w:rsidRPr="00D4422F">
        <w:rPr>
          <w:iCs/>
        </w:rPr>
        <w:t>On the basis of</w:t>
      </w:r>
      <w:proofErr w:type="gramEnd"/>
      <w:r w:rsidRPr="00D4422F">
        <w:rPr>
          <w:iCs/>
        </w:rPr>
        <w:t xml:space="preserve"> direct evidence presented by the submission, for every 100 patients treated with </w:t>
      </w:r>
      <w:r w:rsidR="00182587" w:rsidRPr="00D4422F">
        <w:rPr>
          <w:iCs/>
        </w:rPr>
        <w:t xml:space="preserve">D + FLOT </w:t>
      </w:r>
      <w:r w:rsidRPr="00D4422F">
        <w:rPr>
          <w:iCs/>
        </w:rPr>
        <w:t xml:space="preserve">in comparison with </w:t>
      </w:r>
      <w:r w:rsidR="00182587" w:rsidRPr="00D4422F">
        <w:rPr>
          <w:iCs/>
        </w:rPr>
        <w:t>Pbo + FLOT</w:t>
      </w:r>
      <w:r w:rsidR="00557E9F" w:rsidRPr="00D4422F">
        <w:rPr>
          <w:iCs/>
        </w:rPr>
        <w:t xml:space="preserve"> over a median follow</w:t>
      </w:r>
      <w:r w:rsidR="00675F55">
        <w:rPr>
          <w:iCs/>
        </w:rPr>
        <w:noBreakHyphen/>
      </w:r>
      <w:r w:rsidR="00557E9F" w:rsidRPr="00D4422F">
        <w:rPr>
          <w:iCs/>
        </w:rPr>
        <w:t>up of approximately 26 months</w:t>
      </w:r>
      <w:r w:rsidRPr="00D4422F">
        <w:rPr>
          <w:iCs/>
        </w:rPr>
        <w:t>:</w:t>
      </w:r>
    </w:p>
    <w:p w14:paraId="5DCFD389" w14:textId="19C2296E" w:rsidR="00E04433" w:rsidRPr="00D4422F" w:rsidRDefault="00107B29" w:rsidP="00FD4170">
      <w:pPr>
        <w:pStyle w:val="ListParagraph"/>
        <w:spacing w:before="160" w:after="160"/>
        <w:ind w:left="1134"/>
        <w:rPr>
          <w:iCs/>
        </w:rPr>
      </w:pPr>
      <w:r w:rsidRPr="00D4422F">
        <w:rPr>
          <w:iCs/>
        </w:rPr>
        <w:t xml:space="preserve">Approximately 9 additional patients will remain </w:t>
      </w:r>
      <w:r w:rsidR="00905819" w:rsidRPr="00D4422F">
        <w:rPr>
          <w:iCs/>
        </w:rPr>
        <w:t>free of progression</w:t>
      </w:r>
      <w:r w:rsidR="00A9012F" w:rsidRPr="00D4422F">
        <w:rPr>
          <w:iCs/>
        </w:rPr>
        <w:t>,</w:t>
      </w:r>
      <w:r w:rsidR="00905819" w:rsidRPr="00D4422F">
        <w:rPr>
          <w:iCs/>
        </w:rPr>
        <w:t xml:space="preserve"> recurrence </w:t>
      </w:r>
      <w:r w:rsidR="00A9012F" w:rsidRPr="00D4422F">
        <w:rPr>
          <w:iCs/>
        </w:rPr>
        <w:t>or</w:t>
      </w:r>
      <w:r w:rsidR="00905819" w:rsidRPr="00D4422F">
        <w:rPr>
          <w:iCs/>
        </w:rPr>
        <w:t xml:space="preserve"> death at 24 months. </w:t>
      </w:r>
    </w:p>
    <w:p w14:paraId="6A55AE87" w14:textId="48BC2C30" w:rsidR="00557E9F" w:rsidRPr="00D4422F" w:rsidRDefault="00557E9F" w:rsidP="00FD4170">
      <w:pPr>
        <w:pStyle w:val="ListParagraph"/>
        <w:spacing w:before="160" w:after="160"/>
        <w:ind w:left="1134"/>
        <w:rPr>
          <w:iCs/>
        </w:rPr>
      </w:pPr>
      <w:r w:rsidRPr="00D4422F">
        <w:rPr>
          <w:iCs/>
        </w:rPr>
        <w:t xml:space="preserve">Approximately 13 additional patients will </w:t>
      </w:r>
      <w:r w:rsidR="009C2348" w:rsidRPr="00D4422F">
        <w:rPr>
          <w:iCs/>
        </w:rPr>
        <w:t xml:space="preserve">demonstrate no remaining cancer cells </w:t>
      </w:r>
      <w:r w:rsidR="009D0318" w:rsidRPr="00D4422F">
        <w:rPr>
          <w:iCs/>
        </w:rPr>
        <w:t>in tissue samples removed during surgery or biopsy</w:t>
      </w:r>
      <w:r w:rsidR="0025225D" w:rsidRPr="00D4422F">
        <w:rPr>
          <w:iCs/>
        </w:rPr>
        <w:t xml:space="preserve"> (</w:t>
      </w:r>
      <w:r w:rsidRPr="00D4422F">
        <w:rPr>
          <w:iCs/>
        </w:rPr>
        <w:t>pathological complete response</w:t>
      </w:r>
      <w:r w:rsidR="0025225D" w:rsidRPr="00D4422F">
        <w:rPr>
          <w:iCs/>
        </w:rPr>
        <w:t>)</w:t>
      </w:r>
      <w:r w:rsidRPr="00D4422F">
        <w:rPr>
          <w:iCs/>
        </w:rPr>
        <w:t xml:space="preserve">. </w:t>
      </w:r>
    </w:p>
    <w:p w14:paraId="72F43142" w14:textId="19FD03A3" w:rsidR="006442BA" w:rsidRPr="00D4422F" w:rsidRDefault="00484F4F" w:rsidP="00FD4170">
      <w:pPr>
        <w:pStyle w:val="ListParagraph"/>
        <w:spacing w:before="160" w:after="160"/>
        <w:ind w:left="1134"/>
        <w:rPr>
          <w:iCs/>
        </w:rPr>
      </w:pPr>
      <w:r w:rsidRPr="00D4422F">
        <w:rPr>
          <w:iCs/>
        </w:rPr>
        <w:t xml:space="preserve">Approximately 4 additional patients </w:t>
      </w:r>
      <w:r w:rsidR="000B73A9" w:rsidRPr="00D4422F">
        <w:rPr>
          <w:iCs/>
        </w:rPr>
        <w:t xml:space="preserve">will </w:t>
      </w:r>
      <w:r w:rsidRPr="00D4422F">
        <w:rPr>
          <w:iCs/>
        </w:rPr>
        <w:t>experience an SAE</w:t>
      </w:r>
      <w:r w:rsidR="008F61DF" w:rsidRPr="00D4422F">
        <w:rPr>
          <w:iCs/>
        </w:rPr>
        <w:t>,</w:t>
      </w:r>
      <w:r w:rsidRPr="00D4422F">
        <w:rPr>
          <w:iCs/>
        </w:rPr>
        <w:t xml:space="preserve"> 7 additional patients </w:t>
      </w:r>
      <w:r w:rsidR="000B73A9" w:rsidRPr="00D4422F">
        <w:rPr>
          <w:iCs/>
        </w:rPr>
        <w:t xml:space="preserve">will </w:t>
      </w:r>
      <w:r w:rsidRPr="00D4422F">
        <w:rPr>
          <w:iCs/>
        </w:rPr>
        <w:t xml:space="preserve">discontinue </w:t>
      </w:r>
      <w:r w:rsidR="006442BA" w:rsidRPr="00D4422F">
        <w:rPr>
          <w:iCs/>
        </w:rPr>
        <w:t>treatment due to AEs</w:t>
      </w:r>
      <w:r w:rsidR="008F61DF" w:rsidRPr="00D4422F">
        <w:rPr>
          <w:iCs/>
        </w:rPr>
        <w:t>,</w:t>
      </w:r>
      <w:r w:rsidR="006442BA" w:rsidRPr="00D4422F">
        <w:rPr>
          <w:iCs/>
        </w:rPr>
        <w:t xml:space="preserve"> 16 additional patients </w:t>
      </w:r>
      <w:r w:rsidR="000B73A9" w:rsidRPr="00D4422F">
        <w:rPr>
          <w:iCs/>
        </w:rPr>
        <w:t xml:space="preserve">will </w:t>
      </w:r>
      <w:r w:rsidR="006442BA" w:rsidRPr="00D4422F">
        <w:rPr>
          <w:iCs/>
        </w:rPr>
        <w:t xml:space="preserve">experience </w:t>
      </w:r>
      <w:r w:rsidR="00B777B5" w:rsidRPr="00D4422F">
        <w:rPr>
          <w:iCs/>
        </w:rPr>
        <w:t xml:space="preserve">side effects </w:t>
      </w:r>
      <w:r w:rsidR="006128A1" w:rsidRPr="00D4422F">
        <w:rPr>
          <w:iCs/>
        </w:rPr>
        <w:t>caused by the immune system</w:t>
      </w:r>
      <w:r w:rsidR="000050DE" w:rsidRPr="00D4422F">
        <w:rPr>
          <w:iCs/>
        </w:rPr>
        <w:t>’s response to treatment</w:t>
      </w:r>
      <w:r w:rsidR="006128A1" w:rsidRPr="00D4422F">
        <w:rPr>
          <w:iCs/>
        </w:rPr>
        <w:t xml:space="preserve"> (</w:t>
      </w:r>
      <w:r w:rsidR="006442BA" w:rsidRPr="00D4422F">
        <w:rPr>
          <w:iCs/>
        </w:rPr>
        <w:t>imAEs</w:t>
      </w:r>
      <w:r w:rsidR="006128A1" w:rsidRPr="00D4422F">
        <w:rPr>
          <w:iCs/>
        </w:rPr>
        <w:t>)</w:t>
      </w:r>
      <w:r w:rsidR="008F61DF" w:rsidRPr="00D4422F">
        <w:rPr>
          <w:iCs/>
        </w:rPr>
        <w:t>, and</w:t>
      </w:r>
      <w:r w:rsidR="006442BA" w:rsidRPr="00D4422F">
        <w:rPr>
          <w:iCs/>
        </w:rPr>
        <w:t xml:space="preserve"> 8 additional patients </w:t>
      </w:r>
      <w:r w:rsidR="000B73A9" w:rsidRPr="00D4422F">
        <w:rPr>
          <w:iCs/>
        </w:rPr>
        <w:t xml:space="preserve">will </w:t>
      </w:r>
      <w:r w:rsidR="006442BA" w:rsidRPr="00D4422F">
        <w:rPr>
          <w:iCs/>
        </w:rPr>
        <w:t xml:space="preserve">experience infusion </w:t>
      </w:r>
      <w:r w:rsidR="00CC5040" w:rsidRPr="00D4422F">
        <w:rPr>
          <w:iCs/>
        </w:rPr>
        <w:t>reaction</w:t>
      </w:r>
      <w:r w:rsidR="006442BA" w:rsidRPr="00D4422F">
        <w:rPr>
          <w:iCs/>
        </w:rPr>
        <w:t xml:space="preserve"> AEs. </w:t>
      </w:r>
    </w:p>
    <w:p w14:paraId="0514C3D3" w14:textId="18A53E94" w:rsidR="00557E9F" w:rsidRPr="00D4422F" w:rsidRDefault="00557E9F" w:rsidP="00FD4170">
      <w:pPr>
        <w:pStyle w:val="3-BodyText"/>
        <w:spacing w:before="160" w:after="160"/>
        <w:rPr>
          <w:iCs/>
        </w:rPr>
      </w:pPr>
      <w:proofErr w:type="gramStart"/>
      <w:r w:rsidRPr="00D4422F">
        <w:rPr>
          <w:iCs/>
        </w:rPr>
        <w:lastRenderedPageBreak/>
        <w:t>On the basis of</w:t>
      </w:r>
      <w:proofErr w:type="gramEnd"/>
      <w:r w:rsidRPr="00D4422F">
        <w:rPr>
          <w:iCs/>
        </w:rPr>
        <w:t xml:space="preserve"> direct evidence presented by the submission, for every 100 patients treated with D + FLOT in comparison with Pbo + FLOT over a median follow</w:t>
      </w:r>
      <w:r w:rsidR="00675F55">
        <w:rPr>
          <w:iCs/>
        </w:rPr>
        <w:noBreakHyphen/>
      </w:r>
      <w:r w:rsidRPr="00D4422F">
        <w:rPr>
          <w:iCs/>
        </w:rPr>
        <w:t>up of approximately 43 months:</w:t>
      </w:r>
    </w:p>
    <w:p w14:paraId="7BB2F286" w14:textId="2910F35A" w:rsidR="00484C59" w:rsidRPr="00D4422F" w:rsidDel="00D64D4C" w:rsidRDefault="00E04433" w:rsidP="00FD4170">
      <w:pPr>
        <w:pStyle w:val="ListParagraph"/>
        <w:spacing w:before="160" w:after="160"/>
        <w:ind w:left="1134"/>
        <w:rPr>
          <w:iCs/>
        </w:rPr>
      </w:pPr>
      <w:r w:rsidRPr="00D4422F" w:rsidDel="00D64D4C">
        <w:rPr>
          <w:iCs/>
        </w:rPr>
        <w:t xml:space="preserve">Approximately 7 additional patients will </w:t>
      </w:r>
      <w:r w:rsidR="00484C59" w:rsidRPr="00D4422F" w:rsidDel="00D64D4C">
        <w:rPr>
          <w:iCs/>
        </w:rPr>
        <w:t>remain alive</w:t>
      </w:r>
      <w:r w:rsidR="006D1A5F" w:rsidRPr="00D4422F">
        <w:rPr>
          <w:iCs/>
        </w:rPr>
        <w:t xml:space="preserve"> at 36 months</w:t>
      </w:r>
      <w:r w:rsidR="00484C59" w:rsidRPr="00D4422F">
        <w:rPr>
          <w:iCs/>
        </w:rPr>
        <w:t xml:space="preserve">. </w:t>
      </w:r>
    </w:p>
    <w:p w14:paraId="7A1772B6" w14:textId="23BB3145" w:rsidR="00B60939" w:rsidRPr="0098262F" w:rsidRDefault="00B60939" w:rsidP="00FD4170">
      <w:pPr>
        <w:pStyle w:val="4-SubsectionHeading"/>
        <w:spacing w:before="160" w:after="160"/>
      </w:pPr>
      <w:bookmarkStart w:id="39" w:name="_Toc22897644"/>
      <w:bookmarkStart w:id="40" w:name="_Toc219379970"/>
      <w:r w:rsidRPr="0098262F">
        <w:t>Clinical claim</w:t>
      </w:r>
      <w:bookmarkEnd w:id="39"/>
      <w:bookmarkEnd w:id="40"/>
    </w:p>
    <w:p w14:paraId="4E36F85B" w14:textId="5997EE42" w:rsidR="00A843AC" w:rsidRPr="00DC127E" w:rsidRDefault="005F7588" w:rsidP="00FD4170">
      <w:pPr>
        <w:pStyle w:val="3-BodyText"/>
        <w:spacing w:before="160" w:after="160"/>
        <w:rPr>
          <w:rFonts w:eastAsia="Calibri"/>
        </w:rPr>
      </w:pPr>
      <w:r w:rsidRPr="00D4422F">
        <w:rPr>
          <w:rFonts w:eastAsia="Calibri"/>
        </w:rPr>
        <w:t xml:space="preserve">The submission described </w:t>
      </w:r>
      <w:r w:rsidR="008F5863" w:rsidRPr="00D4422F">
        <w:rPr>
          <w:rFonts w:eastAsia="Calibri"/>
        </w:rPr>
        <w:t>D + FLOT</w:t>
      </w:r>
      <w:r w:rsidRPr="00D4422F">
        <w:rPr>
          <w:rFonts w:eastAsia="Calibri"/>
        </w:rPr>
        <w:t xml:space="preserve"> as superior in terms of effectiveness compared to </w:t>
      </w:r>
      <w:r w:rsidR="008F5863" w:rsidRPr="00D4422F">
        <w:rPr>
          <w:rFonts w:eastAsia="Calibri"/>
        </w:rPr>
        <w:t>Pbo + FLOT</w:t>
      </w:r>
      <w:r w:rsidRPr="00D4422F">
        <w:rPr>
          <w:rFonts w:eastAsia="Calibri"/>
        </w:rPr>
        <w:t xml:space="preserve">. </w:t>
      </w:r>
      <w:r w:rsidRPr="00DC127E">
        <w:rPr>
          <w:rFonts w:eastAsia="Calibri"/>
        </w:rPr>
        <w:t>Th</w:t>
      </w:r>
      <w:r w:rsidR="001248F9" w:rsidRPr="00DC127E">
        <w:rPr>
          <w:rFonts w:eastAsia="Calibri"/>
        </w:rPr>
        <w:t>e evaluation considered th</w:t>
      </w:r>
      <w:r w:rsidRPr="00DC127E">
        <w:rPr>
          <w:rFonts w:eastAsia="Calibri"/>
        </w:rPr>
        <w:t xml:space="preserve">is claim was </w:t>
      </w:r>
      <w:r w:rsidR="007C70FF" w:rsidRPr="00DC127E">
        <w:rPr>
          <w:rFonts w:eastAsia="Calibri"/>
        </w:rPr>
        <w:t xml:space="preserve">adequately supported but the magnitude of the effect </w:t>
      </w:r>
      <w:r w:rsidR="00402659" w:rsidRPr="00DC127E">
        <w:rPr>
          <w:rFonts w:eastAsia="Calibri"/>
        </w:rPr>
        <w:t>is unclear</w:t>
      </w:r>
      <w:r w:rsidR="001248F9" w:rsidRPr="00DC127E">
        <w:rPr>
          <w:rFonts w:eastAsia="Calibri"/>
        </w:rPr>
        <w:t xml:space="preserve">, the </w:t>
      </w:r>
      <w:r w:rsidR="007C70FF" w:rsidRPr="00DC127E">
        <w:rPr>
          <w:rFonts w:eastAsia="Calibri"/>
        </w:rPr>
        <w:t xml:space="preserve">key issue </w:t>
      </w:r>
      <w:r w:rsidR="001248F9" w:rsidRPr="00DC127E">
        <w:rPr>
          <w:rFonts w:eastAsia="Calibri"/>
        </w:rPr>
        <w:t xml:space="preserve">being </w:t>
      </w:r>
      <w:r w:rsidR="00FE16E1" w:rsidRPr="00DC127E">
        <w:rPr>
          <w:rFonts w:eastAsia="Calibri"/>
        </w:rPr>
        <w:t xml:space="preserve">the </w:t>
      </w:r>
      <w:r w:rsidR="00A843AC" w:rsidRPr="00DC127E">
        <w:rPr>
          <w:rFonts w:eastAsia="Calibri"/>
        </w:rPr>
        <w:t xml:space="preserve">difference </w:t>
      </w:r>
      <w:r w:rsidR="007F7A75" w:rsidRPr="00DC127E">
        <w:rPr>
          <w:rFonts w:eastAsia="Calibri"/>
        </w:rPr>
        <w:t xml:space="preserve">in the use of subsequent </w:t>
      </w:r>
      <w:r w:rsidR="00C07950" w:rsidRPr="00DC127E">
        <w:rPr>
          <w:rFonts w:eastAsia="Calibri"/>
        </w:rPr>
        <w:t>IO</w:t>
      </w:r>
      <w:r w:rsidR="007F7A75" w:rsidRPr="00DC127E">
        <w:rPr>
          <w:rFonts w:eastAsia="Calibri"/>
        </w:rPr>
        <w:t xml:space="preserve"> compared with Australian clinical practice. </w:t>
      </w:r>
      <w:r w:rsidR="001248F9" w:rsidRPr="00DC127E">
        <w:rPr>
          <w:rFonts w:eastAsia="Calibri"/>
        </w:rPr>
        <w:t xml:space="preserve">The ESC agreed with the evaluation that the </w:t>
      </w:r>
      <w:r w:rsidR="00214CD2" w:rsidRPr="00DC127E">
        <w:rPr>
          <w:rFonts w:eastAsia="Calibri"/>
        </w:rPr>
        <w:t>claim of superior effectiveness compared to Pbo + FLOT was adequately supported</w:t>
      </w:r>
      <w:r w:rsidR="0080378B" w:rsidRPr="00DC127E">
        <w:rPr>
          <w:rFonts w:eastAsia="Calibri"/>
        </w:rPr>
        <w:t xml:space="preserve"> </w:t>
      </w:r>
      <w:r w:rsidR="00EC5A70" w:rsidRPr="00DC127E">
        <w:rPr>
          <w:rFonts w:eastAsia="Calibri"/>
        </w:rPr>
        <w:t>but</w:t>
      </w:r>
      <w:r w:rsidR="0080378B" w:rsidRPr="00DC127E">
        <w:rPr>
          <w:rFonts w:eastAsia="Calibri"/>
        </w:rPr>
        <w:t xml:space="preserve"> considered that the </w:t>
      </w:r>
      <w:r w:rsidR="00121EB4" w:rsidRPr="00DC127E">
        <w:rPr>
          <w:rFonts w:eastAsia="Calibri"/>
        </w:rPr>
        <w:t>difference in subsequent immunotherapies compared with Australian clinical practice is unlikely to have a substantial impact on OS outcomes</w:t>
      </w:r>
      <w:r w:rsidR="00977CF3" w:rsidRPr="00DC127E">
        <w:rPr>
          <w:rFonts w:eastAsia="Calibri"/>
        </w:rPr>
        <w:t xml:space="preserve"> (see also paragraph </w:t>
      </w:r>
      <w:r w:rsidR="00E30B3C" w:rsidRPr="00DC127E">
        <w:rPr>
          <w:rFonts w:eastAsia="Calibri"/>
        </w:rPr>
        <w:fldChar w:fldCharType="begin"/>
      </w:r>
      <w:r w:rsidR="00E30B3C" w:rsidRPr="00DC127E">
        <w:rPr>
          <w:rFonts w:eastAsia="Calibri"/>
        </w:rPr>
        <w:instrText xml:space="preserve"> REF _Ref221531378 \r \h </w:instrText>
      </w:r>
      <w:r w:rsidR="00DC127E" w:rsidRPr="00DC127E">
        <w:rPr>
          <w:rFonts w:eastAsia="Calibri"/>
        </w:rPr>
        <w:instrText xml:space="preserve"> \* MERGEFORMAT </w:instrText>
      </w:r>
      <w:r w:rsidR="00E30B3C" w:rsidRPr="00DC127E">
        <w:rPr>
          <w:rFonts w:eastAsia="Calibri"/>
        </w:rPr>
      </w:r>
      <w:r w:rsidR="00E30B3C" w:rsidRPr="00DC127E">
        <w:rPr>
          <w:rFonts w:eastAsia="Calibri"/>
        </w:rPr>
        <w:fldChar w:fldCharType="separate"/>
      </w:r>
      <w:r w:rsidR="00F9169E">
        <w:rPr>
          <w:rFonts w:eastAsia="Calibri"/>
        </w:rPr>
        <w:t>6.13</w:t>
      </w:r>
      <w:r w:rsidR="00E30B3C" w:rsidRPr="00DC127E">
        <w:rPr>
          <w:rFonts w:eastAsia="Calibri"/>
        </w:rPr>
        <w:fldChar w:fldCharType="end"/>
      </w:r>
      <w:r w:rsidR="00E30B3C" w:rsidRPr="00DC127E">
        <w:rPr>
          <w:rFonts w:eastAsia="Calibri"/>
        </w:rPr>
        <w:t>)</w:t>
      </w:r>
      <w:r w:rsidR="00214CD2" w:rsidRPr="00DC127E">
        <w:rPr>
          <w:rFonts w:eastAsia="Calibri"/>
        </w:rPr>
        <w:t xml:space="preserve">. The ESC noted that the </w:t>
      </w:r>
      <w:r w:rsidR="00B832A3" w:rsidRPr="00DC127E">
        <w:rPr>
          <w:rFonts w:eastAsia="Calibri"/>
        </w:rPr>
        <w:t>E</w:t>
      </w:r>
      <w:r w:rsidR="00324982" w:rsidRPr="00DC127E">
        <w:rPr>
          <w:rFonts w:eastAsia="Calibri"/>
        </w:rPr>
        <w:t xml:space="preserve">FS </w:t>
      </w:r>
      <w:r w:rsidR="00BA3049" w:rsidRPr="00DC127E">
        <w:rPr>
          <w:rFonts w:eastAsia="Calibri"/>
        </w:rPr>
        <w:t xml:space="preserve">benefit was </w:t>
      </w:r>
      <w:r w:rsidR="001F46CA" w:rsidRPr="00DC127E">
        <w:rPr>
          <w:rFonts w:eastAsia="Calibri"/>
        </w:rPr>
        <w:t>small, but clinically significant and resulted in a statistically significant OS benefit</w:t>
      </w:r>
      <w:r w:rsidR="00613824" w:rsidRPr="00DC127E">
        <w:rPr>
          <w:rFonts w:eastAsia="Calibri"/>
        </w:rPr>
        <w:t xml:space="preserve"> based on relatively mature OS data</w:t>
      </w:r>
      <w:r w:rsidR="00625383" w:rsidRPr="00DC127E">
        <w:rPr>
          <w:rFonts w:eastAsia="Calibri"/>
        </w:rPr>
        <w:t xml:space="preserve"> (</w:t>
      </w:r>
      <w:r w:rsidR="00327A8E" w:rsidRPr="00DC127E">
        <w:rPr>
          <w:rFonts w:eastAsia="Calibri"/>
        </w:rPr>
        <w:t xml:space="preserve">in </w:t>
      </w:r>
      <w:r w:rsidR="00625383" w:rsidRPr="00DC127E">
        <w:rPr>
          <w:rFonts w:eastAsia="Calibri"/>
        </w:rPr>
        <w:t>an early disease setting)</w:t>
      </w:r>
      <w:r w:rsidR="001F46CA" w:rsidRPr="00DC127E">
        <w:rPr>
          <w:rFonts w:eastAsia="Calibri"/>
        </w:rPr>
        <w:t xml:space="preserve">. </w:t>
      </w:r>
    </w:p>
    <w:p w14:paraId="7F613CD1" w14:textId="3C8DEE8F" w:rsidR="005F7588" w:rsidRDefault="005F7588" w:rsidP="00FD4170">
      <w:pPr>
        <w:pStyle w:val="3-BodyText"/>
        <w:spacing w:before="160" w:after="160"/>
        <w:rPr>
          <w:rFonts w:eastAsia="Calibri"/>
        </w:rPr>
      </w:pPr>
      <w:r w:rsidRPr="00DC127E">
        <w:rPr>
          <w:rFonts w:eastAsia="Calibri"/>
        </w:rPr>
        <w:t xml:space="preserve">The submission described </w:t>
      </w:r>
      <w:r w:rsidR="00C458B5" w:rsidRPr="00DC127E">
        <w:rPr>
          <w:rFonts w:eastAsia="Calibri"/>
        </w:rPr>
        <w:t>D + FLOT</w:t>
      </w:r>
      <w:r w:rsidRPr="00DC127E">
        <w:rPr>
          <w:rFonts w:eastAsia="Calibri"/>
        </w:rPr>
        <w:t xml:space="preserve"> as inferior in term</w:t>
      </w:r>
      <w:r w:rsidR="00156F8F" w:rsidRPr="00DC127E">
        <w:rPr>
          <w:rFonts w:eastAsia="Calibri"/>
        </w:rPr>
        <w:t>s</w:t>
      </w:r>
      <w:r w:rsidRPr="00DC127E">
        <w:rPr>
          <w:rFonts w:eastAsia="Calibri"/>
        </w:rPr>
        <w:t xml:space="preserve"> of safety compared to </w:t>
      </w:r>
      <w:r w:rsidR="00A1018D" w:rsidRPr="00DC127E">
        <w:rPr>
          <w:rFonts w:eastAsia="Calibri"/>
        </w:rPr>
        <w:br/>
      </w:r>
      <w:r w:rsidR="00C458B5" w:rsidRPr="00DC127E">
        <w:rPr>
          <w:rFonts w:eastAsia="Calibri"/>
        </w:rPr>
        <w:t>Pbo + FLOT</w:t>
      </w:r>
      <w:r w:rsidRPr="00DC127E">
        <w:rPr>
          <w:rFonts w:eastAsia="Calibri"/>
        </w:rPr>
        <w:t>. Th</w:t>
      </w:r>
      <w:r w:rsidR="00613824" w:rsidRPr="00DC127E">
        <w:rPr>
          <w:rFonts w:eastAsia="Calibri"/>
        </w:rPr>
        <w:t>e ESC agreed with the evaluation that th</w:t>
      </w:r>
      <w:r w:rsidRPr="00DC127E">
        <w:rPr>
          <w:rFonts w:eastAsia="Calibri"/>
        </w:rPr>
        <w:t>is claim was adequately supported</w:t>
      </w:r>
      <w:r w:rsidR="007C70FF" w:rsidRPr="00DC127E">
        <w:rPr>
          <w:rFonts w:eastAsia="Calibri"/>
        </w:rPr>
        <w:t>.</w:t>
      </w:r>
    </w:p>
    <w:p w14:paraId="56ADE9DC" w14:textId="3188DF67" w:rsidR="003B3F92" w:rsidRPr="0069250D" w:rsidRDefault="003B3F92" w:rsidP="003B3F92">
      <w:pPr>
        <w:widowControl w:val="0"/>
        <w:numPr>
          <w:ilvl w:val="1"/>
          <w:numId w:val="1"/>
        </w:numPr>
        <w:spacing w:after="120"/>
        <w:rPr>
          <w:rFonts w:asciiTheme="minorHAnsi" w:hAnsiTheme="minorHAnsi"/>
          <w:snapToGrid w:val="0"/>
          <w:szCs w:val="20"/>
        </w:rPr>
      </w:pPr>
      <w:bookmarkStart w:id="41" w:name="_Hlk76376200"/>
      <w:r w:rsidRPr="0069250D">
        <w:rPr>
          <w:rFonts w:asciiTheme="minorHAnsi" w:hAnsiTheme="minorHAnsi"/>
          <w:iCs/>
          <w:snapToGrid w:val="0"/>
        </w:rPr>
        <w:t>The</w:t>
      </w:r>
      <w:r w:rsidRPr="0069250D">
        <w:rPr>
          <w:rFonts w:asciiTheme="minorHAnsi" w:hAnsiTheme="minorHAnsi"/>
          <w:snapToGrid w:val="0"/>
          <w:szCs w:val="20"/>
        </w:rPr>
        <w:t xml:space="preserve"> PBAC considered that the claim of superior comparative effectiveness was reasonable.</w:t>
      </w:r>
    </w:p>
    <w:p w14:paraId="68F180B9" w14:textId="7A36272B" w:rsidR="003B3F92" w:rsidRPr="0069250D" w:rsidRDefault="003B3F92" w:rsidP="003B3F92">
      <w:pPr>
        <w:widowControl w:val="0"/>
        <w:numPr>
          <w:ilvl w:val="1"/>
          <w:numId w:val="1"/>
        </w:numPr>
        <w:spacing w:after="120"/>
        <w:rPr>
          <w:rFonts w:asciiTheme="minorHAnsi" w:hAnsiTheme="minorHAnsi"/>
          <w:snapToGrid w:val="0"/>
          <w:szCs w:val="20"/>
        </w:rPr>
      </w:pPr>
      <w:r w:rsidRPr="0069250D">
        <w:rPr>
          <w:rFonts w:asciiTheme="minorHAnsi" w:hAnsiTheme="minorHAnsi"/>
          <w:snapToGrid w:val="0"/>
          <w:szCs w:val="20"/>
        </w:rPr>
        <w:t>The PBAC considered that the claim of inferior comparative safety was reasonable.</w:t>
      </w:r>
    </w:p>
    <w:p w14:paraId="74A1172E" w14:textId="128C170E" w:rsidR="00B60939" w:rsidRPr="0098262F" w:rsidRDefault="00B60939" w:rsidP="00FD4170">
      <w:pPr>
        <w:pStyle w:val="4-SubsectionHeading"/>
        <w:spacing w:before="160" w:after="160"/>
      </w:pPr>
      <w:bookmarkStart w:id="42" w:name="_Toc22897645"/>
      <w:bookmarkStart w:id="43" w:name="_Toc219379971"/>
      <w:bookmarkEnd w:id="41"/>
      <w:r w:rsidRPr="0098262F">
        <w:t>Economic analysis</w:t>
      </w:r>
      <w:bookmarkEnd w:id="42"/>
      <w:bookmarkEnd w:id="43"/>
      <w:r w:rsidR="00491B3A" w:rsidRPr="0098262F">
        <w:t xml:space="preserve"> </w:t>
      </w:r>
    </w:p>
    <w:p w14:paraId="3FB654AF" w14:textId="36AB09B0" w:rsidR="00A50BB8" w:rsidRPr="00D4422F" w:rsidRDefault="00A50BB8" w:rsidP="00FD4170">
      <w:pPr>
        <w:pStyle w:val="3-BodyText"/>
        <w:spacing w:before="160" w:after="160"/>
        <w:rPr>
          <w:b/>
          <w:bCs/>
        </w:rPr>
      </w:pPr>
      <w:r w:rsidRPr="00D4422F">
        <w:t>The submission presented a stepped economic evaluation of</w:t>
      </w:r>
      <w:r w:rsidR="007434EA" w:rsidRPr="00D4422F">
        <w:t xml:space="preserve"> perioperative</w:t>
      </w:r>
      <w:r w:rsidRPr="00D4422F">
        <w:t xml:space="preserve"> D + FLOT compared with FLOT only for the treatment of resectable stage II</w:t>
      </w:r>
      <w:r w:rsidR="00675F55">
        <w:noBreakHyphen/>
      </w:r>
      <w:r w:rsidRPr="00D4422F">
        <w:t xml:space="preserve">IVA GC/GOJC, over </w:t>
      </w:r>
      <w:r w:rsidR="007434EA" w:rsidRPr="00D4422F">
        <w:t xml:space="preserve">a </w:t>
      </w:r>
      <w:r w:rsidRPr="00D4422F">
        <w:t>25</w:t>
      </w:r>
      <w:r w:rsidR="00675F55">
        <w:noBreakHyphen/>
      </w:r>
      <w:r w:rsidRPr="00D4422F">
        <w:t>year time horizon. The modelled evaluation presented a cost</w:t>
      </w:r>
      <w:r w:rsidR="00675F55">
        <w:noBreakHyphen/>
      </w:r>
      <w:r w:rsidRPr="00D4422F">
        <w:t>utility approach, consistent with the clinical claims that D</w:t>
      </w:r>
      <w:r w:rsidR="00985F8E" w:rsidRPr="00D4422F">
        <w:t xml:space="preserve"> </w:t>
      </w:r>
      <w:r w:rsidRPr="00D4422F">
        <w:t>+</w:t>
      </w:r>
      <w:r w:rsidR="00985F8E" w:rsidRPr="00D4422F">
        <w:t xml:space="preserve"> </w:t>
      </w:r>
      <w:r w:rsidRPr="00D4422F">
        <w:t>FLOT is superior to FLOT only in terms of both OS and EFS</w:t>
      </w:r>
      <w:r w:rsidR="00BF7F6B" w:rsidRPr="00D4422F">
        <w:t>, with inferior safety</w:t>
      </w:r>
      <w:r w:rsidRPr="00D4422F">
        <w:t>. A semi</w:t>
      </w:r>
      <w:r w:rsidR="00675F55">
        <w:noBreakHyphen/>
      </w:r>
      <w:r w:rsidRPr="00D4422F">
        <w:t>Markov model was utilised to estimate the incremental cost per</w:t>
      </w:r>
      <w:r w:rsidR="00F960F2" w:rsidRPr="00D4422F">
        <w:t xml:space="preserve"> quality</w:t>
      </w:r>
      <w:r w:rsidR="00675F55">
        <w:noBreakHyphen/>
      </w:r>
      <w:r w:rsidR="00F960F2" w:rsidRPr="00D4422F">
        <w:t>adjusted life year</w:t>
      </w:r>
      <w:r w:rsidRPr="00D4422F">
        <w:t xml:space="preserve"> </w:t>
      </w:r>
      <w:r w:rsidR="00F960F2" w:rsidRPr="00D4422F">
        <w:t>(</w:t>
      </w:r>
      <w:r w:rsidRPr="00D4422F">
        <w:t>QALY</w:t>
      </w:r>
      <w:r w:rsidR="00F960F2" w:rsidRPr="00D4422F">
        <w:t>)</w:t>
      </w:r>
      <w:r w:rsidRPr="00D4422F">
        <w:t xml:space="preserve"> gained.</w:t>
      </w:r>
    </w:p>
    <w:p w14:paraId="3966B685" w14:textId="67BD3E25" w:rsidR="00793DBE" w:rsidRPr="00D4422F" w:rsidRDefault="002F0501" w:rsidP="00FD4170">
      <w:pPr>
        <w:pStyle w:val="3-BodyText"/>
        <w:spacing w:before="160" w:after="160"/>
      </w:pPr>
      <w:r w:rsidRPr="00D4422F">
        <w:fldChar w:fldCharType="begin"/>
      </w:r>
      <w:r w:rsidRPr="00D4422F">
        <w:instrText xml:space="preserve"> REF _Ref216846646 \h </w:instrText>
      </w:r>
      <w:r w:rsidR="00D4422F" w:rsidRPr="00D4422F">
        <w:instrText xml:space="preserve"> \* MERGEFORMAT </w:instrText>
      </w:r>
      <w:r w:rsidRPr="00D4422F">
        <w:fldChar w:fldCharType="separate"/>
      </w:r>
      <w:r w:rsidR="00E71342" w:rsidRPr="00D4422F">
        <w:t xml:space="preserve">Table </w:t>
      </w:r>
      <w:r w:rsidR="00E71342" w:rsidRPr="00D4422F">
        <w:rPr>
          <w:noProof/>
        </w:rPr>
        <w:t>9</w:t>
      </w:r>
      <w:r w:rsidRPr="00D4422F">
        <w:fldChar w:fldCharType="end"/>
      </w:r>
      <w:r w:rsidR="00A50BB8" w:rsidRPr="00D4422F">
        <w:t xml:space="preserve"> summarise</w:t>
      </w:r>
      <w:r w:rsidR="00127302">
        <w:t>s</w:t>
      </w:r>
      <w:r w:rsidR="00A50BB8" w:rsidRPr="00D4422F">
        <w:t xml:space="preserve"> the key components of economic evaluation.</w:t>
      </w:r>
    </w:p>
    <w:p w14:paraId="128BF7D9" w14:textId="07B47B55" w:rsidR="00A50BB8" w:rsidRPr="0098262F" w:rsidRDefault="00A50BB8" w:rsidP="00CE759D">
      <w:pPr>
        <w:pStyle w:val="Caption"/>
        <w:keepLines w:val="0"/>
        <w:rPr>
          <w:rStyle w:val="CommentReference"/>
          <w:b/>
          <w:szCs w:val="24"/>
        </w:rPr>
      </w:pPr>
      <w:bookmarkStart w:id="44" w:name="_Ref216846646"/>
      <w:r w:rsidRPr="0098262F">
        <w:lastRenderedPageBreak/>
        <w:t>Table</w:t>
      </w:r>
      <w:r w:rsidR="002F0501">
        <w:t xml:space="preserve"> </w:t>
      </w:r>
      <w:fldSimple w:instr=" SEQ Table_ \* ARABIC ">
        <w:r w:rsidR="00E71342">
          <w:rPr>
            <w:noProof/>
          </w:rPr>
          <w:t>9</w:t>
        </w:r>
      </w:fldSimple>
      <w:bookmarkEnd w:id="44"/>
      <w:r w:rsidR="00CE0A7E">
        <w:t>:</w:t>
      </w:r>
      <w:r>
        <w:t xml:space="preserve"> </w:t>
      </w:r>
      <w:r w:rsidRPr="0098262F">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2518"/>
        <w:gridCol w:w="6499"/>
      </w:tblGrid>
      <w:tr w:rsidR="00A50BB8" w:rsidRPr="0098262F" w14:paraId="53AE3483" w14:textId="77777777" w:rsidTr="00FD51B6">
        <w:trPr>
          <w:cantSplit/>
          <w:tblHeader/>
        </w:trPr>
        <w:tc>
          <w:tcPr>
            <w:tcW w:w="1396" w:type="pct"/>
            <w:vAlign w:val="center"/>
          </w:tcPr>
          <w:p w14:paraId="1EAFFA6E" w14:textId="77777777" w:rsidR="00A50BB8" w:rsidRPr="0098262F" w:rsidRDefault="00A50BB8" w:rsidP="00CE759D">
            <w:pPr>
              <w:pStyle w:val="TableFigureHeading"/>
            </w:pPr>
            <w:r w:rsidRPr="0098262F">
              <w:t>Component</w:t>
            </w:r>
          </w:p>
        </w:tc>
        <w:tc>
          <w:tcPr>
            <w:tcW w:w="3604" w:type="pct"/>
            <w:vAlign w:val="center"/>
          </w:tcPr>
          <w:p w14:paraId="60270315" w14:textId="77777777" w:rsidR="00A50BB8" w:rsidRPr="0098262F" w:rsidRDefault="00A50BB8" w:rsidP="00CE759D">
            <w:pPr>
              <w:pStyle w:val="TableFigureHeading"/>
            </w:pPr>
            <w:r w:rsidRPr="0098262F">
              <w:t>Summary</w:t>
            </w:r>
          </w:p>
        </w:tc>
      </w:tr>
      <w:tr w:rsidR="00A50BB8" w:rsidRPr="00025DDC" w14:paraId="49930D41" w14:textId="77777777" w:rsidTr="00FD51B6">
        <w:trPr>
          <w:cantSplit/>
        </w:trPr>
        <w:tc>
          <w:tcPr>
            <w:tcW w:w="1396" w:type="pct"/>
            <w:vAlign w:val="center"/>
          </w:tcPr>
          <w:p w14:paraId="5D217768" w14:textId="77777777" w:rsidR="00A50BB8" w:rsidRPr="0098262F" w:rsidRDefault="00A50BB8" w:rsidP="00CE759D">
            <w:pPr>
              <w:pStyle w:val="TableText0"/>
              <w:keepLines w:val="0"/>
            </w:pPr>
            <w:r w:rsidRPr="0098262F">
              <w:t>Treatments</w:t>
            </w:r>
          </w:p>
        </w:tc>
        <w:tc>
          <w:tcPr>
            <w:tcW w:w="3604" w:type="pct"/>
            <w:vAlign w:val="center"/>
          </w:tcPr>
          <w:p w14:paraId="67EEA73F" w14:textId="6A1F76F1" w:rsidR="00A50BB8" w:rsidRPr="00132932" w:rsidRDefault="00090A34" w:rsidP="00CE759D">
            <w:pPr>
              <w:pStyle w:val="TableText0"/>
              <w:keepLines w:val="0"/>
            </w:pPr>
            <w:r>
              <w:t xml:space="preserve">Perioperative </w:t>
            </w:r>
            <w:r w:rsidR="00A50BB8" w:rsidRPr="003C4B92">
              <w:t>D</w:t>
            </w:r>
            <w:r w:rsidR="00985F8E">
              <w:t xml:space="preserve"> </w:t>
            </w:r>
            <w:r w:rsidR="00A50BB8" w:rsidRPr="003C4B92">
              <w:t>+</w:t>
            </w:r>
            <w:r w:rsidR="00985F8E">
              <w:t xml:space="preserve"> </w:t>
            </w:r>
            <w:r w:rsidR="00A50BB8" w:rsidRPr="003C4B92">
              <w:t>FLOT vs FLOT</w:t>
            </w:r>
          </w:p>
        </w:tc>
      </w:tr>
      <w:tr w:rsidR="00A50BB8" w:rsidRPr="0098262F" w14:paraId="61EDB7E6" w14:textId="77777777" w:rsidTr="00FD51B6">
        <w:trPr>
          <w:cantSplit/>
        </w:trPr>
        <w:tc>
          <w:tcPr>
            <w:tcW w:w="1396" w:type="pct"/>
            <w:vAlign w:val="center"/>
          </w:tcPr>
          <w:p w14:paraId="297049A3" w14:textId="77777777" w:rsidR="00A50BB8" w:rsidRPr="0098262F" w:rsidRDefault="00A50BB8" w:rsidP="00CE759D">
            <w:pPr>
              <w:pStyle w:val="TableText0"/>
              <w:keepLines w:val="0"/>
            </w:pPr>
            <w:r w:rsidRPr="0098262F">
              <w:t>Time horizon</w:t>
            </w:r>
          </w:p>
        </w:tc>
        <w:tc>
          <w:tcPr>
            <w:tcW w:w="3604" w:type="pct"/>
            <w:vAlign w:val="center"/>
          </w:tcPr>
          <w:p w14:paraId="53C5AF95" w14:textId="154C0184" w:rsidR="00A50BB8" w:rsidRPr="0098262F" w:rsidRDefault="00A50BB8" w:rsidP="00CE759D">
            <w:pPr>
              <w:pStyle w:val="TableText0"/>
              <w:keepLines w:val="0"/>
            </w:pPr>
            <w:r>
              <w:t>25</w:t>
            </w:r>
            <w:r w:rsidRPr="0098262F">
              <w:t xml:space="preserve"> years in the model base case versus </w:t>
            </w:r>
            <w:r>
              <w:t>48</w:t>
            </w:r>
            <w:r w:rsidRPr="0098262F">
              <w:t xml:space="preserve"> </w:t>
            </w:r>
            <w:r>
              <w:t>months</w:t>
            </w:r>
            <w:r w:rsidRPr="0098262F">
              <w:t xml:space="preserve"> </w:t>
            </w:r>
            <w:r w:rsidR="00341FE4">
              <w:t xml:space="preserve">median follow up </w:t>
            </w:r>
            <w:r w:rsidRPr="0098262F">
              <w:t xml:space="preserve">in </w:t>
            </w:r>
            <w:r>
              <w:t xml:space="preserve">MATTERHORN </w:t>
            </w:r>
            <w:r w:rsidRPr="0098262F">
              <w:t>trial</w:t>
            </w:r>
          </w:p>
        </w:tc>
      </w:tr>
      <w:tr w:rsidR="00A50BB8" w:rsidRPr="0098262F" w14:paraId="1BE9D7E9" w14:textId="77777777" w:rsidTr="00FD51B6">
        <w:trPr>
          <w:cantSplit/>
        </w:trPr>
        <w:tc>
          <w:tcPr>
            <w:tcW w:w="1396" w:type="pct"/>
            <w:vAlign w:val="center"/>
          </w:tcPr>
          <w:p w14:paraId="77B4EB69" w14:textId="77777777" w:rsidR="00A50BB8" w:rsidRPr="0098262F" w:rsidRDefault="00A50BB8" w:rsidP="00CE759D">
            <w:pPr>
              <w:pStyle w:val="TableText0"/>
              <w:keepLines w:val="0"/>
            </w:pPr>
            <w:r w:rsidRPr="0098262F">
              <w:t>Outcomes</w:t>
            </w:r>
          </w:p>
        </w:tc>
        <w:tc>
          <w:tcPr>
            <w:tcW w:w="3604" w:type="pct"/>
            <w:vAlign w:val="center"/>
          </w:tcPr>
          <w:p w14:paraId="72B81AD2" w14:textId="5D74F496" w:rsidR="00A50BB8" w:rsidRPr="0098262F" w:rsidRDefault="003D77CC" w:rsidP="00CE759D">
            <w:pPr>
              <w:pStyle w:val="TableText0"/>
              <w:keepLines w:val="0"/>
            </w:pPr>
            <w:r>
              <w:t>EF</w:t>
            </w:r>
            <w:r w:rsidR="00A50BB8">
              <w:t xml:space="preserve"> years gained</w:t>
            </w:r>
            <w:r w:rsidR="00A50BB8" w:rsidRPr="0098262F">
              <w:t xml:space="preserve">, </w:t>
            </w:r>
            <w:r>
              <w:t>LYs</w:t>
            </w:r>
            <w:r w:rsidR="00A50BB8" w:rsidRPr="0098262F">
              <w:t xml:space="preserve"> gained, </w:t>
            </w:r>
            <w:r w:rsidR="00842B6A">
              <w:t>QALYs</w:t>
            </w:r>
            <w:r w:rsidR="00A50BB8">
              <w:t xml:space="preserve"> gained</w:t>
            </w:r>
            <w:r w:rsidR="00A50BB8" w:rsidRPr="0098262F" w:rsidDel="003C4B92">
              <w:t xml:space="preserve"> </w:t>
            </w:r>
          </w:p>
        </w:tc>
      </w:tr>
      <w:tr w:rsidR="00A50BB8" w:rsidRPr="0098262F" w14:paraId="0B23F7D2" w14:textId="77777777" w:rsidTr="00FD51B6">
        <w:trPr>
          <w:cantSplit/>
        </w:trPr>
        <w:tc>
          <w:tcPr>
            <w:tcW w:w="1396" w:type="pct"/>
            <w:vAlign w:val="center"/>
          </w:tcPr>
          <w:p w14:paraId="750CD597" w14:textId="77777777" w:rsidR="00A50BB8" w:rsidRPr="0098262F" w:rsidRDefault="00A50BB8" w:rsidP="00CE759D">
            <w:pPr>
              <w:pStyle w:val="TableText0"/>
              <w:keepLines w:val="0"/>
            </w:pPr>
            <w:r w:rsidRPr="0098262F">
              <w:t>Methods used to generate results</w:t>
            </w:r>
          </w:p>
        </w:tc>
        <w:tc>
          <w:tcPr>
            <w:tcW w:w="3604" w:type="pct"/>
            <w:vAlign w:val="center"/>
          </w:tcPr>
          <w:p w14:paraId="086AFACB" w14:textId="3311B280" w:rsidR="00A50BB8" w:rsidRPr="0098262F" w:rsidRDefault="00A50BB8" w:rsidP="00CE759D">
            <w:pPr>
              <w:pStyle w:val="TableText0"/>
              <w:keepLines w:val="0"/>
            </w:pPr>
            <w:r>
              <w:t>Semi</w:t>
            </w:r>
            <w:r w:rsidR="00675F55">
              <w:noBreakHyphen/>
            </w:r>
            <w:r>
              <w:t>Markov model</w:t>
            </w:r>
          </w:p>
        </w:tc>
      </w:tr>
      <w:tr w:rsidR="00A50BB8" w:rsidRPr="0098262F" w14:paraId="428C0BA2" w14:textId="77777777" w:rsidTr="00FD51B6">
        <w:trPr>
          <w:cantSplit/>
        </w:trPr>
        <w:tc>
          <w:tcPr>
            <w:tcW w:w="1396" w:type="pct"/>
            <w:vAlign w:val="center"/>
          </w:tcPr>
          <w:p w14:paraId="7DE6DDFF" w14:textId="77777777" w:rsidR="00A50BB8" w:rsidRPr="0098262F" w:rsidRDefault="00A50BB8" w:rsidP="00CE759D">
            <w:pPr>
              <w:pStyle w:val="TableText0"/>
              <w:keepLines w:val="0"/>
            </w:pPr>
            <w:r w:rsidRPr="0098262F">
              <w:t>Health states</w:t>
            </w:r>
          </w:p>
        </w:tc>
        <w:tc>
          <w:tcPr>
            <w:tcW w:w="3604" w:type="pct"/>
            <w:vAlign w:val="center"/>
          </w:tcPr>
          <w:p w14:paraId="1CDF6E02" w14:textId="2015E152" w:rsidR="00A50BB8" w:rsidRPr="0098262F" w:rsidRDefault="00A50BB8" w:rsidP="00CE759D">
            <w:pPr>
              <w:pStyle w:val="TableText0"/>
              <w:keepLines w:val="0"/>
            </w:pPr>
            <w:r>
              <w:t>EF, RD, death</w:t>
            </w:r>
          </w:p>
        </w:tc>
      </w:tr>
      <w:tr w:rsidR="00A50BB8" w:rsidRPr="0098262F" w14:paraId="075F449C" w14:textId="77777777" w:rsidTr="00FD51B6">
        <w:trPr>
          <w:cantSplit/>
        </w:trPr>
        <w:tc>
          <w:tcPr>
            <w:tcW w:w="1396" w:type="pct"/>
            <w:vAlign w:val="center"/>
          </w:tcPr>
          <w:p w14:paraId="11A71594" w14:textId="77777777" w:rsidR="00A50BB8" w:rsidRPr="0098262F" w:rsidRDefault="00A50BB8" w:rsidP="00CE759D">
            <w:pPr>
              <w:pStyle w:val="TableText0"/>
              <w:keepLines w:val="0"/>
            </w:pPr>
            <w:r w:rsidRPr="0098262F">
              <w:t>Cycle length</w:t>
            </w:r>
          </w:p>
        </w:tc>
        <w:tc>
          <w:tcPr>
            <w:tcW w:w="3604" w:type="pct"/>
            <w:vAlign w:val="center"/>
          </w:tcPr>
          <w:p w14:paraId="51F38C6E" w14:textId="77777777" w:rsidR="00A50BB8" w:rsidRPr="0098262F" w:rsidRDefault="00A50BB8" w:rsidP="00CE759D">
            <w:pPr>
              <w:pStyle w:val="TableText0"/>
              <w:keepLines w:val="0"/>
            </w:pPr>
            <w:r>
              <w:t>Monthly</w:t>
            </w:r>
          </w:p>
        </w:tc>
      </w:tr>
      <w:tr w:rsidR="00A50BB8" w:rsidRPr="0098262F" w14:paraId="3DBAFF80" w14:textId="77777777" w:rsidTr="00FD51B6">
        <w:trPr>
          <w:cantSplit/>
        </w:trPr>
        <w:tc>
          <w:tcPr>
            <w:tcW w:w="1396" w:type="pct"/>
            <w:vAlign w:val="center"/>
          </w:tcPr>
          <w:p w14:paraId="6CD7D6AE" w14:textId="77777777" w:rsidR="00A50BB8" w:rsidRPr="0098262F" w:rsidRDefault="00A50BB8" w:rsidP="00CE759D">
            <w:pPr>
              <w:pStyle w:val="TableText0"/>
              <w:keepLines w:val="0"/>
            </w:pPr>
            <w:r w:rsidRPr="0098262F">
              <w:t>Allocation to health states</w:t>
            </w:r>
          </w:p>
        </w:tc>
        <w:tc>
          <w:tcPr>
            <w:tcW w:w="3604" w:type="pct"/>
            <w:vAlign w:val="center"/>
          </w:tcPr>
          <w:p w14:paraId="2F53D263" w14:textId="2EAE801B" w:rsidR="00A50BB8" w:rsidRPr="0098262F" w:rsidRDefault="00A50BB8" w:rsidP="00CE759D">
            <w:pPr>
              <w:pStyle w:val="TableText0"/>
              <w:keepLines w:val="0"/>
            </w:pPr>
            <w:r>
              <w:t xml:space="preserve">Derived </w:t>
            </w:r>
            <w:r w:rsidR="00A24C3F">
              <w:t>from</w:t>
            </w:r>
            <w:r w:rsidR="005D79BE">
              <w:t xml:space="preserve"> the</w:t>
            </w:r>
            <w:r w:rsidR="00A24C3F" w:rsidRPr="00997E65">
              <w:t xml:space="preserve"> </w:t>
            </w:r>
            <w:r w:rsidRPr="00997E65">
              <w:t>primary analys</w:t>
            </w:r>
            <w:r w:rsidR="005D79BE">
              <w:t>i</w:t>
            </w:r>
            <w:r w:rsidRPr="00997E65">
              <w:t>s of patient</w:t>
            </w:r>
            <w:r w:rsidR="00675F55">
              <w:noBreakHyphen/>
            </w:r>
            <w:r w:rsidRPr="00997E65">
              <w:t>level data</w:t>
            </w:r>
            <w:r>
              <w:t xml:space="preserve"> from the MATTERHORN trial</w:t>
            </w:r>
          </w:p>
        </w:tc>
      </w:tr>
      <w:tr w:rsidR="00A50BB8" w:rsidRPr="0098262F" w14:paraId="28FC11EC" w14:textId="77777777" w:rsidTr="00FD51B6">
        <w:trPr>
          <w:cantSplit/>
        </w:trPr>
        <w:tc>
          <w:tcPr>
            <w:tcW w:w="1396" w:type="pct"/>
            <w:vAlign w:val="center"/>
          </w:tcPr>
          <w:p w14:paraId="49E89BAE" w14:textId="77777777" w:rsidR="00A50BB8" w:rsidRPr="0098262F" w:rsidRDefault="00A50BB8" w:rsidP="00CE759D">
            <w:pPr>
              <w:pStyle w:val="TableText0"/>
              <w:keepLines w:val="0"/>
            </w:pPr>
            <w:r w:rsidRPr="0098262F">
              <w:t>Extrapolation method</w:t>
            </w:r>
          </w:p>
        </w:tc>
        <w:tc>
          <w:tcPr>
            <w:tcW w:w="3604" w:type="pct"/>
            <w:vAlign w:val="center"/>
          </w:tcPr>
          <w:p w14:paraId="3D449B28" w14:textId="77777777" w:rsidR="00665CEB" w:rsidRDefault="00A50BB8" w:rsidP="00CE759D">
            <w:pPr>
              <w:pStyle w:val="TableText0"/>
              <w:keepLines w:val="0"/>
            </w:pPr>
            <w:r>
              <w:t>P</w:t>
            </w:r>
            <w:r w:rsidRPr="0098262F">
              <w:t>arametric model</w:t>
            </w:r>
            <w:r w:rsidR="00A24C3F">
              <w:t>s</w:t>
            </w:r>
            <w:r w:rsidRPr="0098262F">
              <w:t xml:space="preserve"> </w:t>
            </w:r>
            <w:r w:rsidR="005D79BE">
              <w:t xml:space="preserve">independently </w:t>
            </w:r>
            <w:r w:rsidRPr="0098262F">
              <w:t xml:space="preserve">fitted </w:t>
            </w:r>
            <w:r>
              <w:t>to</w:t>
            </w:r>
            <w:r w:rsidR="003F5E5E">
              <w:t xml:space="preserve"> TFR, time to death as first event and </w:t>
            </w:r>
            <w:r w:rsidR="00E94555">
              <w:t xml:space="preserve">time from first recurrence or progression to death </w:t>
            </w:r>
            <w:r w:rsidR="00EC1F63">
              <w:t>data</w:t>
            </w:r>
            <w:r w:rsidR="00E85F45">
              <w:t xml:space="preserve"> for each treatment arm</w:t>
            </w:r>
            <w:r w:rsidR="00EC1F63">
              <w:t>.</w:t>
            </w:r>
          </w:p>
          <w:p w14:paraId="51246EA9" w14:textId="6C033768" w:rsidR="006C1DD4" w:rsidRDefault="00665CEB" w:rsidP="00CE759D">
            <w:pPr>
              <w:pStyle w:val="TableText0"/>
              <w:keepLines w:val="0"/>
            </w:pPr>
            <w:r>
              <w:t>Generalised gamma, log</w:t>
            </w:r>
            <w:r w:rsidR="004208F4">
              <w:t>normal</w:t>
            </w:r>
            <w:r>
              <w:t xml:space="preserve"> and exponential</w:t>
            </w:r>
            <w:r w:rsidR="00EC1F63">
              <w:t xml:space="preserve"> </w:t>
            </w:r>
            <w:r w:rsidR="004208F4">
              <w:t xml:space="preserve">models were selected </w:t>
            </w:r>
            <w:r w:rsidR="00A73B9E">
              <w:t>in the base case for TFR, time to death as first event and post</w:t>
            </w:r>
            <w:r w:rsidR="00675F55">
              <w:noBreakHyphen/>
            </w:r>
            <w:r w:rsidR="00A73B9E">
              <w:t>recurrence survival</w:t>
            </w:r>
            <w:r w:rsidR="00F0466D">
              <w:t xml:space="preserve">, respectively. The same parametric models were selected for each arm. </w:t>
            </w:r>
            <w:r w:rsidR="00847451">
              <w:t xml:space="preserve">Selection primarily based on </w:t>
            </w:r>
            <w:r w:rsidR="00EB7203">
              <w:t>goodness of fit (AIC)</w:t>
            </w:r>
            <w:r w:rsidR="009E09AC">
              <w:t>.</w:t>
            </w:r>
            <w:r w:rsidR="00EB7203">
              <w:t xml:space="preserve"> </w:t>
            </w:r>
          </w:p>
          <w:p w14:paraId="526C4432" w14:textId="699A67E1" w:rsidR="006C1DD4" w:rsidRDefault="008A7D21" w:rsidP="00CE759D">
            <w:pPr>
              <w:pStyle w:val="TableText0"/>
              <w:keepLines w:val="0"/>
            </w:pPr>
            <w:r>
              <w:t>The fitted models we</w:t>
            </w:r>
            <w:r w:rsidR="00F02CFA">
              <w:t>re us</w:t>
            </w:r>
            <w:r>
              <w:t>ed to predict outcomes both during the trial follow</w:t>
            </w:r>
            <w:r w:rsidR="00675F55">
              <w:noBreakHyphen/>
            </w:r>
            <w:r>
              <w:t xml:space="preserve">up period and to extrapolate outcomes beyond 48 months. </w:t>
            </w:r>
          </w:p>
          <w:p w14:paraId="256EDC09" w14:textId="7FC403CD" w:rsidR="00A50BB8" w:rsidRPr="0098262F" w:rsidRDefault="00C879B2" w:rsidP="00CE759D">
            <w:pPr>
              <w:pStyle w:val="TableText0"/>
              <w:keepLines w:val="0"/>
            </w:pPr>
            <w:r>
              <w:t>Patients remaining EF beyond 10 years were assumed to be “cured”.</w:t>
            </w:r>
          </w:p>
        </w:tc>
      </w:tr>
      <w:tr w:rsidR="00A50BB8" w:rsidRPr="0098262F" w14:paraId="70575264" w14:textId="77777777" w:rsidTr="00FD51B6">
        <w:trPr>
          <w:cantSplit/>
        </w:trPr>
        <w:tc>
          <w:tcPr>
            <w:tcW w:w="1396" w:type="pct"/>
            <w:vAlign w:val="center"/>
          </w:tcPr>
          <w:p w14:paraId="69485D9A" w14:textId="77777777" w:rsidR="00A50BB8" w:rsidRPr="0098262F" w:rsidRDefault="00A50BB8" w:rsidP="00CE759D">
            <w:pPr>
              <w:pStyle w:val="TableText0"/>
              <w:keepLines w:val="0"/>
            </w:pPr>
            <w:r w:rsidRPr="0098262F">
              <w:t>Health related quality of life</w:t>
            </w:r>
          </w:p>
        </w:tc>
        <w:tc>
          <w:tcPr>
            <w:tcW w:w="3604" w:type="pct"/>
            <w:vAlign w:val="center"/>
          </w:tcPr>
          <w:p w14:paraId="183BD91B" w14:textId="27AE165C" w:rsidR="00A50BB8" w:rsidRDefault="00A50BB8" w:rsidP="00CE759D">
            <w:pPr>
              <w:pStyle w:val="In-tableHeading"/>
              <w:keepLines w:val="0"/>
              <w:rPr>
                <w:b w:val="0"/>
                <w:bCs/>
                <w:lang w:val="en-AU"/>
              </w:rPr>
            </w:pPr>
            <w:r>
              <w:rPr>
                <w:b w:val="0"/>
                <w:bCs/>
                <w:lang w:val="en-AU"/>
              </w:rPr>
              <w:t>MATTERHORN trial</w:t>
            </w:r>
            <w:r w:rsidR="00675F55">
              <w:rPr>
                <w:b w:val="0"/>
                <w:bCs/>
                <w:lang w:val="en-AU"/>
              </w:rPr>
              <w:noBreakHyphen/>
            </w:r>
            <w:r>
              <w:rPr>
                <w:b w:val="0"/>
                <w:bCs/>
                <w:lang w:val="en-AU"/>
              </w:rPr>
              <w:t>based</w:t>
            </w:r>
          </w:p>
          <w:p w14:paraId="4B049376" w14:textId="77777777" w:rsidR="00A50BB8" w:rsidRPr="00CA2495" w:rsidRDefault="00A50BB8" w:rsidP="00CE759D">
            <w:pPr>
              <w:pStyle w:val="In-tableHeading"/>
              <w:keepLines w:val="0"/>
              <w:rPr>
                <w:b w:val="0"/>
                <w:bCs/>
                <w:lang w:val="en-AU"/>
              </w:rPr>
            </w:pPr>
            <w:r w:rsidRPr="00CA2495">
              <w:rPr>
                <w:b w:val="0"/>
                <w:bCs/>
                <w:lang w:val="en-AU"/>
              </w:rPr>
              <w:t>EF: 0.840</w:t>
            </w:r>
          </w:p>
          <w:p w14:paraId="0999E79E" w14:textId="77777777" w:rsidR="00A50BB8" w:rsidRPr="0098262F" w:rsidRDefault="00A50BB8" w:rsidP="00CE759D">
            <w:pPr>
              <w:pStyle w:val="TableText0"/>
              <w:keepLines w:val="0"/>
            </w:pPr>
            <w:r w:rsidRPr="00CA2495">
              <w:t>RD: 0.785</w:t>
            </w:r>
          </w:p>
        </w:tc>
      </w:tr>
    </w:tbl>
    <w:p w14:paraId="6100B6CB" w14:textId="7CE3DB8A" w:rsidR="00A50BB8" w:rsidRPr="009537F0" w:rsidRDefault="00A50BB8" w:rsidP="00C1302F">
      <w:pPr>
        <w:pStyle w:val="TableFigureFooter"/>
      </w:pPr>
      <w:r w:rsidRPr="009537F0">
        <w:t>Source: Table 3</w:t>
      </w:r>
      <w:r w:rsidR="00675F55">
        <w:noBreakHyphen/>
      </w:r>
      <w:r w:rsidRPr="009537F0">
        <w:t>1, p113 of the submission</w:t>
      </w:r>
      <w:r w:rsidR="004E005F" w:rsidRPr="009537F0">
        <w:t>.</w:t>
      </w:r>
    </w:p>
    <w:p w14:paraId="63BAD87C" w14:textId="416517C4" w:rsidR="00A50BB8" w:rsidRPr="0056144D" w:rsidRDefault="00EB7203" w:rsidP="00C1302F">
      <w:pPr>
        <w:pStyle w:val="TableFigureFooter"/>
      </w:pPr>
      <w:r w:rsidRPr="009537F0">
        <w:t>AIC =</w:t>
      </w:r>
      <w:r w:rsidR="000E4312" w:rsidRPr="009537F0">
        <w:t xml:space="preserve"> Akaike Information Criterion;</w:t>
      </w:r>
      <w:r w:rsidRPr="009537F0">
        <w:t xml:space="preserve"> </w:t>
      </w:r>
      <w:r w:rsidR="00A50BB8" w:rsidRPr="009537F0">
        <w:t>D = durvalumab; EF = event</w:t>
      </w:r>
      <w:r w:rsidR="00675F55">
        <w:noBreakHyphen/>
      </w:r>
      <w:r w:rsidR="00A50BB8" w:rsidRPr="009537F0">
        <w:t>free; EFS = event</w:t>
      </w:r>
      <w:r w:rsidR="00675F55">
        <w:noBreakHyphen/>
      </w:r>
      <w:r w:rsidR="00A50BB8" w:rsidRPr="009537F0">
        <w:t xml:space="preserve">free survival; FLOT = </w:t>
      </w:r>
      <w:r w:rsidR="001F4BD1" w:rsidRPr="009537F0">
        <w:t>5</w:t>
      </w:r>
      <w:r w:rsidR="00675F55">
        <w:noBreakHyphen/>
      </w:r>
      <w:r w:rsidR="00A50BB8" w:rsidRPr="009537F0">
        <w:t>fluorouracil</w:t>
      </w:r>
      <w:r w:rsidR="001F4BD1" w:rsidRPr="009537F0">
        <w:t xml:space="preserve">, </w:t>
      </w:r>
      <w:r w:rsidR="00A50BB8" w:rsidRPr="009537F0">
        <w:t>leucovorin</w:t>
      </w:r>
      <w:r w:rsidR="001F4BD1" w:rsidRPr="009537F0">
        <w:t xml:space="preserve">, </w:t>
      </w:r>
      <w:r w:rsidR="00A50BB8" w:rsidRPr="009537F0">
        <w:t>oxaliplatin</w:t>
      </w:r>
      <w:r w:rsidR="001F4BD1" w:rsidRPr="009537F0">
        <w:t xml:space="preserve"> and </w:t>
      </w:r>
      <w:r w:rsidR="00A50BB8" w:rsidRPr="009537F0">
        <w:t xml:space="preserve">docetaxel; </w:t>
      </w:r>
      <w:r w:rsidR="003D77CC" w:rsidRPr="009537F0">
        <w:t xml:space="preserve">LY = life year; </w:t>
      </w:r>
      <w:r w:rsidR="00A50BB8" w:rsidRPr="009537F0">
        <w:t xml:space="preserve">OS = overall survival; </w:t>
      </w:r>
      <w:r w:rsidR="00842B6A" w:rsidRPr="009537F0">
        <w:t>QALY = quality</w:t>
      </w:r>
      <w:r w:rsidR="00675F55">
        <w:noBreakHyphen/>
      </w:r>
      <w:r w:rsidR="00842B6A" w:rsidRPr="009537F0">
        <w:t xml:space="preserve">adjusted life year; </w:t>
      </w:r>
      <w:r w:rsidR="00A50BB8" w:rsidRPr="009537F0">
        <w:t>RD = recurred disease</w:t>
      </w:r>
      <w:r w:rsidR="003F5E5E" w:rsidRPr="009537F0">
        <w:t>; TFR = time to first recurrence</w:t>
      </w:r>
      <w:r w:rsidR="00B93833" w:rsidRPr="009537F0">
        <w:t>.</w:t>
      </w:r>
    </w:p>
    <w:p w14:paraId="0864BC4B" w14:textId="6B7E49B7" w:rsidR="00994D3B" w:rsidRPr="00E522ED" w:rsidRDefault="0056356F" w:rsidP="0056144D">
      <w:pPr>
        <w:pStyle w:val="3-BodyText"/>
        <w:spacing w:before="160" w:after="160"/>
      </w:pPr>
      <w:r w:rsidRPr="00D4422F">
        <w:t>Parametric models were fitted to patient</w:t>
      </w:r>
      <w:r w:rsidR="00675F55">
        <w:noBreakHyphen/>
      </w:r>
      <w:r w:rsidRPr="00D4422F">
        <w:t>level time to event data from the MATTERHORN trial. These survival models were used to predict outcomes both during the trial follow</w:t>
      </w:r>
      <w:r w:rsidR="00675F55">
        <w:noBreakHyphen/>
      </w:r>
      <w:r w:rsidRPr="00D4422F">
        <w:t>up period and to extrapolate outcomes up to a 25</w:t>
      </w:r>
      <w:r w:rsidR="00675F55">
        <w:noBreakHyphen/>
      </w:r>
      <w:r w:rsidRPr="00D4422F">
        <w:t>year time horizon. Data from DCO2 were utilised in the model fitting, which included data up to 48 months follow</w:t>
      </w:r>
      <w:r w:rsidR="00675F55">
        <w:noBreakHyphen/>
      </w:r>
      <w:r w:rsidRPr="00D4422F">
        <w:t>up</w:t>
      </w:r>
      <w:r w:rsidR="00D14245" w:rsidRPr="00D4422F">
        <w:t xml:space="preserve">. </w:t>
      </w:r>
      <w:r w:rsidR="009720F3" w:rsidRPr="00D4422F">
        <w:t>The submission’s use of modelled data</w:t>
      </w:r>
      <w:r w:rsidR="00674F0D" w:rsidRPr="00D4422F">
        <w:t>,</w:t>
      </w:r>
      <w:r w:rsidR="009720F3" w:rsidRPr="00D4422F">
        <w:t xml:space="preserve"> both during the trial follow</w:t>
      </w:r>
      <w:r w:rsidR="00675F55">
        <w:noBreakHyphen/>
      </w:r>
      <w:r w:rsidR="009720F3" w:rsidRPr="00D4422F">
        <w:t>up and extrapolation periods</w:t>
      </w:r>
      <w:r w:rsidR="00674F0D" w:rsidRPr="00D4422F">
        <w:t>,</w:t>
      </w:r>
      <w:r w:rsidR="009720F3" w:rsidRPr="00D4422F">
        <w:t xml:space="preserve"> does not align with the PBAC Guideline </w:t>
      </w:r>
      <w:r w:rsidR="000B4AEC" w:rsidRPr="00D4422F">
        <w:t xml:space="preserve">(Subsection 3A.4.3) </w:t>
      </w:r>
      <w:r w:rsidR="009720F3" w:rsidRPr="00D4422F">
        <w:t>recommendation to use time</w:t>
      </w:r>
      <w:r w:rsidR="00675F55">
        <w:noBreakHyphen/>
      </w:r>
      <w:r w:rsidR="009720F3" w:rsidRPr="00D4422F">
        <w:t>to</w:t>
      </w:r>
      <w:r w:rsidR="00675F55">
        <w:noBreakHyphen/>
      </w:r>
      <w:r w:rsidR="009720F3" w:rsidRPr="00D4422F">
        <w:t>event data in preference to be modelled data up to the point at which the observed data become unreliable</w:t>
      </w:r>
      <w:r w:rsidR="000B4AEC" w:rsidRPr="00D4422F">
        <w:t xml:space="preserve">. </w:t>
      </w:r>
      <w:r w:rsidR="0060131E" w:rsidRPr="00E522ED">
        <w:t xml:space="preserve">The ESC agreed with the evaluation that </w:t>
      </w:r>
      <w:r w:rsidR="004E4D59" w:rsidRPr="00E522ED">
        <w:t>it would be preferable to</w:t>
      </w:r>
      <w:r w:rsidR="00EF61F5" w:rsidRPr="00E522ED">
        <w:t xml:space="preserve"> use KM data for the model</w:t>
      </w:r>
      <w:r w:rsidR="00A2329F" w:rsidRPr="00E522ED">
        <w:t xml:space="preserve"> as per the PBAC guidelines</w:t>
      </w:r>
      <w:r w:rsidR="00A72BCE" w:rsidRPr="00E522ED">
        <w:t xml:space="preserve">, but noted that </w:t>
      </w:r>
      <w:r w:rsidR="00126A0C" w:rsidRPr="00E522ED">
        <w:t xml:space="preserve">it was unlikely to have a </w:t>
      </w:r>
      <w:r w:rsidR="003435D2" w:rsidRPr="00E522ED">
        <w:t>substantial impact on the ICER</w:t>
      </w:r>
      <w:r w:rsidR="002355AB" w:rsidRPr="00E522ED">
        <w:t>.</w:t>
      </w:r>
      <w:r w:rsidR="00BF41F5" w:rsidRPr="00E522ED">
        <w:t xml:space="preserve"> </w:t>
      </w:r>
    </w:p>
    <w:p w14:paraId="006A0370" w14:textId="7A10BF14" w:rsidR="00F15AE8" w:rsidRPr="00D4422F" w:rsidRDefault="00902CBB" w:rsidP="0056144D">
      <w:pPr>
        <w:pStyle w:val="3-BodyText"/>
        <w:spacing w:before="160" w:after="160"/>
      </w:pPr>
      <w:r w:rsidRPr="00D4422F">
        <w:t>There</w:t>
      </w:r>
      <w:r w:rsidR="0047475F" w:rsidRPr="00D4422F">
        <w:t xml:space="preserve"> was no strong </w:t>
      </w:r>
      <w:r w:rsidR="00B62659" w:rsidRPr="00D4422F">
        <w:t xml:space="preserve">evidence </w:t>
      </w:r>
      <w:r w:rsidR="0047475F" w:rsidRPr="00D4422F">
        <w:t>against the proportional hazards</w:t>
      </w:r>
      <w:r w:rsidR="008F5474" w:rsidRPr="00D4422F">
        <w:t xml:space="preserve"> </w:t>
      </w:r>
      <w:r w:rsidR="0047475F" w:rsidRPr="00D4422F">
        <w:t>assumption</w:t>
      </w:r>
      <w:r w:rsidR="001B156F" w:rsidRPr="00D4422F">
        <w:t>, suggesting sensitivity analyses using dependently modelled survival curves could have been presented.</w:t>
      </w:r>
      <w:r w:rsidR="005E64E2" w:rsidRPr="00D4422F">
        <w:t xml:space="preserve"> </w:t>
      </w:r>
    </w:p>
    <w:p w14:paraId="6CAD1870" w14:textId="7C801E61" w:rsidR="00A85C81" w:rsidRPr="00D4422F" w:rsidRDefault="009772F2" w:rsidP="0056144D">
      <w:pPr>
        <w:pStyle w:val="3-BodyText"/>
        <w:spacing w:before="160" w:after="160"/>
      </w:pPr>
      <w:r w:rsidRPr="00D4422F">
        <w:t>Parametric models were fitted to time</w:t>
      </w:r>
      <w:r w:rsidR="00675F55">
        <w:noBreakHyphen/>
      </w:r>
      <w:r w:rsidRPr="00D4422F">
        <w:t>to</w:t>
      </w:r>
      <w:r w:rsidR="00675F55">
        <w:noBreakHyphen/>
      </w:r>
      <w:r w:rsidRPr="00D4422F">
        <w:t xml:space="preserve">first recurrence (TFR), time to death as first </w:t>
      </w:r>
      <w:r w:rsidR="004D6AA3" w:rsidRPr="00D4422F">
        <w:t>event and post</w:t>
      </w:r>
      <w:r w:rsidR="00675F55">
        <w:noBreakHyphen/>
      </w:r>
      <w:r w:rsidR="004D6AA3" w:rsidRPr="00D4422F">
        <w:t>recurrence survival (PRS) data</w:t>
      </w:r>
      <w:r w:rsidR="00874794" w:rsidRPr="00D4422F">
        <w:t xml:space="preserve">. </w:t>
      </w:r>
      <w:r w:rsidR="00E75834" w:rsidRPr="00D4422F">
        <w:t xml:space="preserve">Generalised gamma, lognormal and exponential models were selected in the base case for TFR, time to death as first event and </w:t>
      </w:r>
      <w:r w:rsidR="00FF7B8C" w:rsidRPr="00D4422F">
        <w:t>PRS</w:t>
      </w:r>
      <w:r w:rsidR="00E75834" w:rsidRPr="00D4422F">
        <w:t>, respectively</w:t>
      </w:r>
      <w:r w:rsidR="00805EBC" w:rsidRPr="00D4422F">
        <w:t>, with selection primarily based on goodness of fit (Akaike Information Criterion [AIC])</w:t>
      </w:r>
      <w:r w:rsidR="00E75834" w:rsidRPr="00D4422F">
        <w:t xml:space="preserve">. </w:t>
      </w:r>
      <w:r w:rsidR="00874794" w:rsidRPr="00D4422F">
        <w:t xml:space="preserve">The TFR and time to death as first event </w:t>
      </w:r>
      <w:r w:rsidR="00E536D2" w:rsidRPr="00D4422F">
        <w:t xml:space="preserve">transition </w:t>
      </w:r>
      <w:r w:rsidR="00E536D2" w:rsidRPr="00D4422F">
        <w:lastRenderedPageBreak/>
        <w:t>probabilities</w:t>
      </w:r>
      <w:r w:rsidR="00B85413" w:rsidRPr="00D4422F">
        <w:t xml:space="preserve"> combined</w:t>
      </w:r>
      <w:r w:rsidR="00E536D2" w:rsidRPr="00D4422F">
        <w:t xml:space="preserve"> provided the EFS curve</w:t>
      </w:r>
      <w:r w:rsidR="007E5972" w:rsidRPr="00D4422F">
        <w:t xml:space="preserve"> (</w:t>
      </w:r>
      <w:r w:rsidR="007E5972" w:rsidRPr="00D4422F">
        <w:fldChar w:fldCharType="begin"/>
      </w:r>
      <w:r w:rsidR="007E5972" w:rsidRPr="00D4422F">
        <w:instrText xml:space="preserve"> REF _Ref218844807 \h </w:instrText>
      </w:r>
      <w:r w:rsidR="00D4422F" w:rsidRPr="00D4422F">
        <w:instrText xml:space="preserve"> \* MERGEFORMAT </w:instrText>
      </w:r>
      <w:r w:rsidR="007E5972" w:rsidRPr="00D4422F">
        <w:fldChar w:fldCharType="separate"/>
      </w:r>
      <w:r w:rsidR="00E71342" w:rsidRPr="00D4422F">
        <w:t xml:space="preserve">Figure </w:t>
      </w:r>
      <w:r w:rsidR="00E71342" w:rsidRPr="00D4422F">
        <w:rPr>
          <w:noProof/>
        </w:rPr>
        <w:t>4</w:t>
      </w:r>
      <w:r w:rsidR="007E5972" w:rsidRPr="00D4422F">
        <w:fldChar w:fldCharType="end"/>
      </w:r>
      <w:r w:rsidR="007E5972" w:rsidRPr="00D4422F">
        <w:t>)</w:t>
      </w:r>
      <w:r w:rsidR="00D437A0" w:rsidRPr="00D4422F">
        <w:t xml:space="preserve">. </w:t>
      </w:r>
      <w:r w:rsidR="00C83CA5" w:rsidRPr="00D4422F">
        <w:t>Modelled OS</w:t>
      </w:r>
      <w:r w:rsidR="009700C6" w:rsidRPr="00D4422F">
        <w:t xml:space="preserve"> is shown in </w:t>
      </w:r>
      <w:r w:rsidR="008159F5" w:rsidRPr="00D4422F">
        <w:fldChar w:fldCharType="begin"/>
      </w:r>
      <w:r w:rsidR="008159F5" w:rsidRPr="00D4422F">
        <w:instrText xml:space="preserve"> REF _Ref218845033 \h </w:instrText>
      </w:r>
      <w:r w:rsidR="00D4422F" w:rsidRPr="00D4422F">
        <w:instrText xml:space="preserve"> \* MERGEFORMAT </w:instrText>
      </w:r>
      <w:r w:rsidR="008159F5" w:rsidRPr="00D4422F">
        <w:fldChar w:fldCharType="separate"/>
      </w:r>
      <w:r w:rsidR="00E71342" w:rsidRPr="00D4422F">
        <w:t xml:space="preserve">Figure </w:t>
      </w:r>
      <w:r w:rsidR="00E71342" w:rsidRPr="00D4422F">
        <w:rPr>
          <w:noProof/>
        </w:rPr>
        <w:t>5</w:t>
      </w:r>
      <w:r w:rsidR="008159F5" w:rsidRPr="00D4422F">
        <w:fldChar w:fldCharType="end"/>
      </w:r>
      <w:r w:rsidR="008159F5" w:rsidRPr="00D4422F">
        <w:t>.</w:t>
      </w:r>
    </w:p>
    <w:p w14:paraId="71F23B9F" w14:textId="43A22ED4" w:rsidR="00C35317" w:rsidRDefault="00C35317" w:rsidP="003B1DC4">
      <w:pPr>
        <w:pStyle w:val="Caption"/>
      </w:pPr>
      <w:bookmarkStart w:id="45" w:name="_Ref218844807"/>
      <w:r>
        <w:t xml:space="preserve">Figure </w:t>
      </w:r>
      <w:fldSimple w:instr=" SEQ Figure \* ARABIC ">
        <w:r w:rsidR="00E71342">
          <w:rPr>
            <w:noProof/>
          </w:rPr>
          <w:t>4</w:t>
        </w:r>
      </w:fldSimple>
      <w:bookmarkEnd w:id="45"/>
      <w:r>
        <w:t xml:space="preserve"> Extra</w:t>
      </w:r>
      <w:r w:rsidR="006031AA">
        <w:t xml:space="preserve">polated </w:t>
      </w:r>
      <w:r w:rsidR="00AA7376">
        <w:t>event</w:t>
      </w:r>
      <w:r w:rsidR="00675F55">
        <w:noBreakHyphen/>
      </w:r>
      <w:r w:rsidR="00AA7376">
        <w:t>free</w:t>
      </w:r>
      <w:r w:rsidR="006031AA">
        <w:t xml:space="preserve"> </w:t>
      </w:r>
      <w:r w:rsidR="00AA7376">
        <w:t>survival incorporating cure at 10 years</w:t>
      </w:r>
    </w:p>
    <w:p w14:paraId="5C83551D" w14:textId="6DE1FE8A" w:rsidR="009E1092" w:rsidRDefault="00C35317" w:rsidP="00C35317">
      <w:pPr>
        <w:ind w:left="1440" w:hanging="720"/>
      </w:pPr>
      <w:r>
        <w:rPr>
          <w:noProof/>
        </w:rPr>
        <w:drawing>
          <wp:inline distT="0" distB="0" distL="0" distR="0" wp14:anchorId="1C762125" wp14:editId="4113D6CD">
            <wp:extent cx="5220586" cy="2962483"/>
            <wp:effectExtent l="0" t="0" r="0" b="9525"/>
            <wp:docPr id="1688625708" name="Picture 1" descr="Figure 4 Extrapolated event free survival incorporating cure a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25708" name="Picture 1" descr="Figure 4 Extrapolated event free survival incorporating cure at 10 yea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0804" cy="2968281"/>
                    </a:xfrm>
                    <a:prstGeom prst="rect">
                      <a:avLst/>
                    </a:prstGeom>
                    <a:noFill/>
                  </pic:spPr>
                </pic:pic>
              </a:graphicData>
            </a:graphic>
          </wp:inline>
        </w:drawing>
      </w:r>
    </w:p>
    <w:p w14:paraId="179E1DAB" w14:textId="4311BC7F" w:rsidR="00AA7376" w:rsidRDefault="00AA7376" w:rsidP="00AA7376">
      <w:pPr>
        <w:pStyle w:val="TabFigNotes"/>
        <w:ind w:left="720"/>
      </w:pPr>
      <w:r>
        <w:rPr>
          <w:rFonts w:ascii="Arial" w:eastAsia="Times New Roman" w:hAnsi="Arial" w:cs="Arial"/>
          <w:snapToGrid w:val="0"/>
          <w:szCs w:val="20"/>
          <w:lang w:eastAsia="en-AU"/>
          <w14:ligatures w14:val="none"/>
        </w:rPr>
        <w:t xml:space="preserve">Source: </w:t>
      </w:r>
      <w:r>
        <w:t>Figure 3</w:t>
      </w:r>
      <w:r w:rsidR="00675F55">
        <w:noBreakHyphen/>
      </w:r>
      <w:r>
        <w:t>6</w:t>
      </w:r>
      <w:r w:rsidRPr="0098262F">
        <w:t xml:space="preserve">, </w:t>
      </w:r>
      <w:r>
        <w:t>p128</w:t>
      </w:r>
      <w:r w:rsidRPr="0098262F">
        <w:t xml:space="preserve"> of the submission</w:t>
      </w:r>
      <w:r>
        <w:t>.</w:t>
      </w:r>
    </w:p>
    <w:p w14:paraId="3C40A474" w14:textId="1D8C08FD" w:rsidR="00D1444A" w:rsidRDefault="009455CF" w:rsidP="0056144D">
      <w:pPr>
        <w:pStyle w:val="TabFigNotes"/>
        <w:ind w:left="720"/>
      </w:pPr>
      <w:r w:rsidRPr="009455CF">
        <w:t>D = durvalumab; FLOT = 5</w:t>
      </w:r>
      <w:r w:rsidR="00675F55">
        <w:noBreakHyphen/>
      </w:r>
      <w:r w:rsidRPr="009455CF">
        <w:t>fluorouracil, leucovorin, oxaliplatin and docetaxel;</w:t>
      </w:r>
      <w:r>
        <w:t xml:space="preserve"> KM = Kaplan</w:t>
      </w:r>
      <w:r w:rsidR="00675F55">
        <w:noBreakHyphen/>
      </w:r>
      <w:r>
        <w:t>Meier</w:t>
      </w:r>
      <w:r w:rsidR="00FF3EE5">
        <w:t>.</w:t>
      </w:r>
    </w:p>
    <w:p w14:paraId="58A9995B" w14:textId="473BF194" w:rsidR="00D1444A" w:rsidRDefault="00D1444A" w:rsidP="00E21A92">
      <w:pPr>
        <w:pStyle w:val="In-tableHeading"/>
      </w:pPr>
      <w:bookmarkStart w:id="46" w:name="_Ref218845033"/>
      <w:r>
        <w:t xml:space="preserve">Figure </w:t>
      </w:r>
      <w:r>
        <w:fldChar w:fldCharType="begin"/>
      </w:r>
      <w:r>
        <w:instrText xml:space="preserve"> SEQ Figure \* ARABIC </w:instrText>
      </w:r>
      <w:r>
        <w:fldChar w:fldCharType="separate"/>
      </w:r>
      <w:r w:rsidR="00E71342">
        <w:rPr>
          <w:noProof/>
        </w:rPr>
        <w:t>5</w:t>
      </w:r>
      <w:r>
        <w:fldChar w:fldCharType="end"/>
      </w:r>
      <w:bookmarkEnd w:id="46"/>
      <w:r>
        <w:t xml:space="preserve"> Extrapolated overall survival incorporating cure at 10 years</w:t>
      </w:r>
    </w:p>
    <w:p w14:paraId="59CA7CA7" w14:textId="0163F3AE" w:rsidR="00D1444A" w:rsidRPr="0058321D" w:rsidRDefault="00D1444A" w:rsidP="00AA7376">
      <w:pPr>
        <w:pStyle w:val="TabFigNotes"/>
        <w:ind w:left="720"/>
      </w:pPr>
      <w:r>
        <w:rPr>
          <w:noProof/>
        </w:rPr>
        <w:drawing>
          <wp:inline distT="0" distB="0" distL="0" distR="0" wp14:anchorId="1FFF7652" wp14:editId="4787DCC2">
            <wp:extent cx="5220000" cy="3149647"/>
            <wp:effectExtent l="0" t="0" r="0" b="0"/>
            <wp:docPr id="268220626" name="Picture 2" descr="Figure 5 Extrapolated overall survival incorporating cure a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20626" name="Picture 2" descr="Figure 5 Extrapolated overall survival incorporating cure at 10 yea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0000" cy="3149647"/>
                    </a:xfrm>
                    <a:prstGeom prst="rect">
                      <a:avLst/>
                    </a:prstGeom>
                    <a:noFill/>
                  </pic:spPr>
                </pic:pic>
              </a:graphicData>
            </a:graphic>
          </wp:inline>
        </w:drawing>
      </w:r>
    </w:p>
    <w:p w14:paraId="19E81D3E" w14:textId="0E02C8FE" w:rsidR="00D1444A" w:rsidRPr="0056144D" w:rsidRDefault="00D1444A" w:rsidP="00D1444A">
      <w:pPr>
        <w:pStyle w:val="TabFigNotes"/>
        <w:ind w:left="720"/>
        <w:rPr>
          <w:rFonts w:ascii="Arial Narrow" w:hAnsi="Arial Narrow"/>
          <w:sz w:val="18"/>
          <w:szCs w:val="18"/>
        </w:rPr>
      </w:pPr>
      <w:r w:rsidRPr="0056144D">
        <w:rPr>
          <w:rFonts w:ascii="Arial Narrow" w:eastAsia="Times New Roman" w:hAnsi="Arial Narrow" w:cs="Arial"/>
          <w:snapToGrid w:val="0"/>
          <w:sz w:val="18"/>
          <w:szCs w:val="18"/>
          <w:lang w:eastAsia="en-AU"/>
          <w14:ligatures w14:val="none"/>
        </w:rPr>
        <w:t xml:space="preserve">Source: </w:t>
      </w:r>
      <w:r w:rsidRPr="0056144D">
        <w:rPr>
          <w:rFonts w:ascii="Arial Narrow" w:hAnsi="Arial Narrow"/>
          <w:sz w:val="18"/>
          <w:szCs w:val="18"/>
        </w:rPr>
        <w:t>Figure 3</w:t>
      </w:r>
      <w:r w:rsidR="00675F55">
        <w:rPr>
          <w:rFonts w:ascii="Arial Narrow" w:hAnsi="Arial Narrow"/>
          <w:sz w:val="18"/>
          <w:szCs w:val="18"/>
        </w:rPr>
        <w:noBreakHyphen/>
      </w:r>
      <w:r w:rsidRPr="0056144D">
        <w:rPr>
          <w:rFonts w:ascii="Arial Narrow" w:hAnsi="Arial Narrow"/>
          <w:sz w:val="18"/>
          <w:szCs w:val="18"/>
        </w:rPr>
        <w:t>9, p1</w:t>
      </w:r>
      <w:r w:rsidR="002C4BDC" w:rsidRPr="0056144D">
        <w:rPr>
          <w:rFonts w:ascii="Arial Narrow" w:hAnsi="Arial Narrow"/>
          <w:sz w:val="18"/>
          <w:szCs w:val="18"/>
        </w:rPr>
        <w:t>33</w:t>
      </w:r>
      <w:r w:rsidRPr="0056144D">
        <w:rPr>
          <w:rFonts w:ascii="Arial Narrow" w:hAnsi="Arial Narrow"/>
          <w:sz w:val="18"/>
          <w:szCs w:val="18"/>
        </w:rPr>
        <w:t xml:space="preserve"> of the submission.</w:t>
      </w:r>
    </w:p>
    <w:p w14:paraId="78B6929C" w14:textId="5C98C556" w:rsidR="00D1444A" w:rsidRPr="0056144D" w:rsidRDefault="00D1444A" w:rsidP="00D1444A">
      <w:pPr>
        <w:pStyle w:val="TabFigNotes"/>
        <w:ind w:left="720"/>
        <w:rPr>
          <w:rFonts w:ascii="Arial Narrow" w:hAnsi="Arial Narrow"/>
          <w:sz w:val="18"/>
          <w:szCs w:val="18"/>
        </w:rPr>
      </w:pPr>
      <w:r w:rsidRPr="0056144D">
        <w:rPr>
          <w:rFonts w:ascii="Arial Narrow" w:hAnsi="Arial Narrow"/>
          <w:sz w:val="18"/>
          <w:szCs w:val="18"/>
        </w:rPr>
        <w:t>D = durvalumab; FLOT = 5</w:t>
      </w:r>
      <w:r w:rsidR="00675F55">
        <w:rPr>
          <w:rFonts w:ascii="Arial Narrow" w:hAnsi="Arial Narrow"/>
          <w:sz w:val="18"/>
          <w:szCs w:val="18"/>
        </w:rPr>
        <w:noBreakHyphen/>
      </w:r>
      <w:r w:rsidRPr="0056144D">
        <w:rPr>
          <w:rFonts w:ascii="Arial Narrow" w:hAnsi="Arial Narrow"/>
          <w:sz w:val="18"/>
          <w:szCs w:val="18"/>
        </w:rPr>
        <w:t>fluorouracil, leucovorin, oxaliplatin and docetaxel; KM = Kaplan</w:t>
      </w:r>
      <w:r w:rsidR="00675F55">
        <w:rPr>
          <w:rFonts w:ascii="Arial Narrow" w:hAnsi="Arial Narrow"/>
          <w:sz w:val="18"/>
          <w:szCs w:val="18"/>
        </w:rPr>
        <w:noBreakHyphen/>
      </w:r>
      <w:r w:rsidRPr="0056144D">
        <w:rPr>
          <w:rFonts w:ascii="Arial Narrow" w:hAnsi="Arial Narrow"/>
          <w:sz w:val="18"/>
          <w:szCs w:val="18"/>
        </w:rPr>
        <w:t>Meier.</w:t>
      </w:r>
    </w:p>
    <w:p w14:paraId="360C15DF" w14:textId="77777777" w:rsidR="00112E10" w:rsidRPr="004F4FEF" w:rsidRDefault="00112E10" w:rsidP="00D1444A">
      <w:pPr>
        <w:pStyle w:val="TabFigNotes"/>
        <w:rPr>
          <w:b/>
          <w:bCs/>
        </w:rPr>
      </w:pPr>
    </w:p>
    <w:p w14:paraId="1D194568" w14:textId="6EFC0E2F" w:rsidR="00AA3051" w:rsidRPr="00874BE1" w:rsidRDefault="00AA3051" w:rsidP="0056144D">
      <w:pPr>
        <w:pStyle w:val="3-BodyText"/>
        <w:spacing w:before="160" w:after="160"/>
      </w:pPr>
      <w:r w:rsidRPr="00874BE1">
        <w:lastRenderedPageBreak/>
        <w:t>The ICER was generally not sensitive to the choice of various extrapolation function</w:t>
      </w:r>
      <w:r w:rsidR="00CE6A9A" w:rsidRPr="00874BE1">
        <w:t>s</w:t>
      </w:r>
      <w:r w:rsidRPr="00874BE1">
        <w:t xml:space="preserve">. However, selection of </w:t>
      </w:r>
      <w:r w:rsidR="009C407E" w:rsidRPr="00874BE1">
        <w:t xml:space="preserve">the </w:t>
      </w:r>
      <w:r w:rsidRPr="00874BE1">
        <w:t>Generalised Gamma function</w:t>
      </w:r>
      <w:r w:rsidR="00C307BE" w:rsidRPr="00874BE1">
        <w:t xml:space="preserve"> </w:t>
      </w:r>
      <w:r w:rsidRPr="00874BE1">
        <w:t>for time to death as the first event in both arms</w:t>
      </w:r>
      <w:r w:rsidR="00E0566B" w:rsidRPr="00874BE1">
        <w:t xml:space="preserve"> </w:t>
      </w:r>
      <w:r w:rsidR="000376C6" w:rsidRPr="00874BE1">
        <w:t xml:space="preserve">(which provided the second best fit for the D + FLOT arm according to AIC) </w:t>
      </w:r>
      <w:r w:rsidRPr="00874BE1">
        <w:t xml:space="preserve">reduced the ICER by </w:t>
      </w:r>
      <w:r w:rsidR="00EB1862" w:rsidRPr="00EB1862">
        <w:rPr>
          <w:sz w:val="2"/>
          <w:highlight w:val="black"/>
        </w:rPr>
        <w:t>redacted content</w:t>
      </w:r>
      <w:r w:rsidRPr="00874BE1">
        <w:t>% (</w:t>
      </w:r>
      <w:r w:rsidR="00766F85" w:rsidRPr="00766F85">
        <w:t>$25,000 to &lt; $35,000</w:t>
      </w:r>
      <w:r w:rsidR="00A72507">
        <w:t xml:space="preserve"> </w:t>
      </w:r>
      <w:r w:rsidRPr="00874BE1">
        <w:t>per QALY)</w:t>
      </w:r>
      <w:r w:rsidR="007F27AE" w:rsidRPr="00874BE1">
        <w:t>. U</w:t>
      </w:r>
      <w:r w:rsidR="00C91F0A" w:rsidRPr="00874BE1">
        <w:t xml:space="preserve">se </w:t>
      </w:r>
      <w:r w:rsidR="00B4505F" w:rsidRPr="00874BE1">
        <w:t>of</w:t>
      </w:r>
      <w:r w:rsidRPr="00874BE1">
        <w:t xml:space="preserve"> a Log</w:t>
      </w:r>
      <w:r w:rsidR="00675F55">
        <w:noBreakHyphen/>
      </w:r>
      <w:r w:rsidRPr="00874BE1">
        <w:t xml:space="preserve">logistic function </w:t>
      </w:r>
      <w:r w:rsidR="007F27AE" w:rsidRPr="00874BE1">
        <w:t>to model</w:t>
      </w:r>
      <w:r w:rsidRPr="00874BE1">
        <w:t xml:space="preserve"> </w:t>
      </w:r>
      <w:r w:rsidR="00B4505F" w:rsidRPr="00874BE1">
        <w:t>PRS</w:t>
      </w:r>
      <w:r w:rsidRPr="00874BE1">
        <w:t xml:space="preserve"> in both arms </w:t>
      </w:r>
      <w:r w:rsidR="006F7C54" w:rsidRPr="00874BE1">
        <w:t xml:space="preserve">(which provided the </w:t>
      </w:r>
      <w:r w:rsidR="007C2582" w:rsidRPr="00874BE1">
        <w:t xml:space="preserve">best fit for the FLOT arm according to AIC) </w:t>
      </w:r>
      <w:r w:rsidRPr="00874BE1">
        <w:t xml:space="preserve">increased the ICER by </w:t>
      </w:r>
      <w:r w:rsidR="00EB1862" w:rsidRPr="00EB1862">
        <w:rPr>
          <w:sz w:val="2"/>
          <w:highlight w:val="black"/>
        </w:rPr>
        <w:t>redacted content</w:t>
      </w:r>
      <w:r w:rsidRPr="00874BE1">
        <w:t>% (</w:t>
      </w:r>
      <w:r w:rsidR="002C3AAB" w:rsidRPr="002C3AAB">
        <w:t>$35,000 to &lt; $45,000</w:t>
      </w:r>
      <w:r w:rsidRPr="00874BE1">
        <w:t xml:space="preserve">/QALY). </w:t>
      </w:r>
    </w:p>
    <w:p w14:paraId="6D3E2A00" w14:textId="5EED96F5" w:rsidR="003D5F39" w:rsidRPr="00B7254D" w:rsidRDefault="00734170" w:rsidP="0056144D">
      <w:pPr>
        <w:pStyle w:val="3-BodyText"/>
        <w:spacing w:before="160" w:after="160"/>
      </w:pPr>
      <w:r w:rsidRPr="00874BE1">
        <w:t>The model applied a 25</w:t>
      </w:r>
      <w:r w:rsidR="00675F55">
        <w:noBreakHyphen/>
      </w:r>
      <w:r w:rsidRPr="00874BE1">
        <w:t xml:space="preserve">year time horizon for the base case analysis, with patients entering the model at a mean age of 60.8 years based on MATTERHORN trial. </w:t>
      </w:r>
      <w:r w:rsidR="005237D3" w:rsidRPr="00B7254D">
        <w:t>The PSCR</w:t>
      </w:r>
      <w:r w:rsidR="00252D88">
        <w:t xml:space="preserve"> </w:t>
      </w:r>
      <w:r w:rsidR="00BD3FDF" w:rsidRPr="00B7254D">
        <w:t xml:space="preserve">argued that it was reasonable to apply a 25 year </w:t>
      </w:r>
      <w:r w:rsidR="0054265D" w:rsidRPr="00B7254D">
        <w:t xml:space="preserve">(lifetime) </w:t>
      </w:r>
      <w:r w:rsidR="00BD3FDF" w:rsidRPr="00B7254D">
        <w:t xml:space="preserve">horizon </w:t>
      </w:r>
      <w:r w:rsidR="0073699F" w:rsidRPr="00B7254D">
        <w:t>in this setting</w:t>
      </w:r>
      <w:r w:rsidR="00594898" w:rsidRPr="00B7254D">
        <w:t xml:space="preserve">, </w:t>
      </w:r>
      <w:r w:rsidR="0073699F" w:rsidRPr="00B7254D">
        <w:t xml:space="preserve">where </w:t>
      </w:r>
      <w:r w:rsidR="00CD20B5" w:rsidRPr="00B7254D">
        <w:t xml:space="preserve">a proportion of patients are expected to be cured. </w:t>
      </w:r>
      <w:r w:rsidR="001B6893" w:rsidRPr="00B7254D">
        <w:t xml:space="preserve">The PSCR also noted that the </w:t>
      </w:r>
      <w:r w:rsidR="004A3609" w:rsidRPr="00B7254D">
        <w:t>time horizon is consistent with other perioperative</w:t>
      </w:r>
      <w:r w:rsidR="00FE34FF" w:rsidRPr="00B7254D">
        <w:t>/adjuvant oncology models (olaparib</w:t>
      </w:r>
      <w:r w:rsidR="00E51205" w:rsidRPr="00B7254D">
        <w:t>, pertuzumab</w:t>
      </w:r>
      <w:r w:rsidR="008418EC" w:rsidRPr="00B7254D">
        <w:t xml:space="preserve"> in early breast cancer</w:t>
      </w:r>
      <w:r w:rsidR="00E51205" w:rsidRPr="00B7254D">
        <w:t>)</w:t>
      </w:r>
      <w:r w:rsidR="00472689" w:rsidRPr="00B7254D">
        <w:t xml:space="preserve">. </w:t>
      </w:r>
      <w:r w:rsidR="003D5F39" w:rsidRPr="00B7254D">
        <w:t>The ESC considered that the</w:t>
      </w:r>
      <w:r w:rsidR="00282A3C" w:rsidRPr="00B7254D">
        <w:t xml:space="preserve"> </w:t>
      </w:r>
      <w:r w:rsidR="00B05FA8" w:rsidRPr="00B7254D">
        <w:t xml:space="preserve">time horizons applied in submissions for </w:t>
      </w:r>
      <w:r w:rsidR="00282A3C" w:rsidRPr="00B7254D">
        <w:t>breast cancer</w:t>
      </w:r>
      <w:r w:rsidR="00B05FA8" w:rsidRPr="00B7254D">
        <w:t xml:space="preserve"> treatments were not </w:t>
      </w:r>
      <w:r w:rsidR="00FB52E6" w:rsidRPr="00B7254D">
        <w:t>relevant</w:t>
      </w:r>
      <w:r w:rsidR="00B05FA8" w:rsidRPr="00B7254D">
        <w:t xml:space="preserve"> to the </w:t>
      </w:r>
      <w:r w:rsidR="00FB52E6" w:rsidRPr="00B7254D">
        <w:t xml:space="preserve">GC/GOJC </w:t>
      </w:r>
      <w:r w:rsidR="003D5F39" w:rsidRPr="00B7254D">
        <w:t>population</w:t>
      </w:r>
      <w:r w:rsidR="001E05A8" w:rsidRPr="00B7254D">
        <w:t xml:space="preserve"> as patients</w:t>
      </w:r>
      <w:r w:rsidR="00E35404" w:rsidRPr="00B7254D">
        <w:t xml:space="preserve"> were not comparable</w:t>
      </w:r>
      <w:r w:rsidR="00441620" w:rsidRPr="00B7254D">
        <w:t>.</w:t>
      </w:r>
      <w:r w:rsidR="00FB52E6" w:rsidRPr="00441620">
        <w:rPr>
          <w:i/>
          <w:iCs/>
        </w:rPr>
        <w:t xml:space="preserve"> </w:t>
      </w:r>
      <w:r w:rsidR="00A65C59">
        <w:t xml:space="preserve">The </w:t>
      </w:r>
      <w:r w:rsidR="00A65C59" w:rsidRPr="00874BE1">
        <w:t xml:space="preserve">ESC and PBAC advice on the nivolumab submission </w:t>
      </w:r>
      <w:r w:rsidR="00A65C59">
        <w:t>(</w:t>
      </w:r>
      <w:r w:rsidR="00A65C59" w:rsidRPr="00874BE1">
        <w:t>stage II or III or GOJC patients who have received CRT prior to surgery</w:t>
      </w:r>
      <w:r w:rsidR="00A65C59">
        <w:t>)</w:t>
      </w:r>
      <w:r w:rsidR="00A65C59" w:rsidRPr="00874BE1">
        <w:t xml:space="preserve"> </w:t>
      </w:r>
      <w:r w:rsidR="00A65C59">
        <w:t xml:space="preserve">was that the </w:t>
      </w:r>
      <w:r w:rsidR="00A65C59" w:rsidRPr="00874BE1">
        <w:t>25</w:t>
      </w:r>
      <w:r w:rsidR="00675F55">
        <w:noBreakHyphen/>
      </w:r>
      <w:r w:rsidR="00A65C59" w:rsidRPr="00874BE1">
        <w:t xml:space="preserve">year time horizon be reduced to 15–20 years due to long term surgical and clinical risks for this patient population (paragraphs 6.33 and 7.10, nivolumab </w:t>
      </w:r>
      <w:r w:rsidR="00CD667B">
        <w:t>Public Summary Document [</w:t>
      </w:r>
      <w:r w:rsidR="00A65C59" w:rsidRPr="00874BE1">
        <w:t>PSD</w:t>
      </w:r>
      <w:r w:rsidR="00CD667B">
        <w:t>]</w:t>
      </w:r>
      <w:r w:rsidR="00A65C59" w:rsidRPr="00874BE1">
        <w:t xml:space="preserve">, July 2022 PBAC meeting). </w:t>
      </w:r>
      <w:r w:rsidR="00A65C59" w:rsidRPr="00B7254D">
        <w:t>The PSCR</w:t>
      </w:r>
      <w:r w:rsidR="00252D88">
        <w:t xml:space="preserve"> </w:t>
      </w:r>
      <w:r w:rsidR="0021544C">
        <w:t>and Pre</w:t>
      </w:r>
      <w:r w:rsidR="00675F55">
        <w:noBreakHyphen/>
      </w:r>
      <w:r w:rsidR="0021544C">
        <w:t>PBAC response</w:t>
      </w:r>
      <w:r w:rsidR="00A65C59" w:rsidRPr="00B7254D">
        <w:t xml:space="preserve"> argued that comparison with this population was not appropriate as they have a poorer prognosis than the population proposed for perioperative durvalumab</w:t>
      </w:r>
      <w:r w:rsidR="00871855" w:rsidRPr="00B7254D">
        <w:t xml:space="preserve"> and no OS benefit was demonstrated </w:t>
      </w:r>
      <w:r w:rsidR="0033662B" w:rsidRPr="00B7254D">
        <w:t>for nivolumab in this population</w:t>
      </w:r>
      <w:r w:rsidR="00A65C59" w:rsidRPr="00B7254D">
        <w:t>.</w:t>
      </w:r>
      <w:r w:rsidR="00F0601D" w:rsidRPr="00B7254D">
        <w:t xml:space="preserve"> The ESC considered that </w:t>
      </w:r>
      <w:r w:rsidR="001D7D5E" w:rsidRPr="00B7254D">
        <w:t xml:space="preserve">the time horizon of 25 years was too long given the starting age and </w:t>
      </w:r>
      <w:r w:rsidR="000B78A6" w:rsidRPr="00B7254D">
        <w:t xml:space="preserve">underlying morbidity of the </w:t>
      </w:r>
      <w:r w:rsidR="00E64A34" w:rsidRPr="00B7254D">
        <w:t xml:space="preserve">GC/GOJC </w:t>
      </w:r>
      <w:r w:rsidR="000B78A6" w:rsidRPr="00B7254D">
        <w:t xml:space="preserve">population. The ESC considered that </w:t>
      </w:r>
      <w:r w:rsidR="00112423" w:rsidRPr="00B7254D">
        <w:t xml:space="preserve">a time horizon of </w:t>
      </w:r>
      <w:r w:rsidR="00150B90" w:rsidRPr="00B7254D">
        <w:t xml:space="preserve">15 years would </w:t>
      </w:r>
      <w:r w:rsidR="007D505D" w:rsidRPr="00B7254D">
        <w:t>be reasonable and up to 20 years may also be acceptable in the context of more conservative assumptions for other model inputs.</w:t>
      </w:r>
      <w:r w:rsidR="000E4C4E">
        <w:t xml:space="preserve"> The Pre</w:t>
      </w:r>
      <w:r w:rsidR="00675F55">
        <w:noBreakHyphen/>
      </w:r>
      <w:r w:rsidR="000E4C4E">
        <w:t>PBAC response maintained that the 25</w:t>
      </w:r>
      <w:r w:rsidR="00675F55">
        <w:noBreakHyphen/>
      </w:r>
      <w:r w:rsidR="000E4C4E">
        <w:t xml:space="preserve">year time horizon used in the base case was </w:t>
      </w:r>
      <w:r w:rsidR="00786530">
        <w:t>clinically plausible in a perioperative, curative intent setting</w:t>
      </w:r>
      <w:r w:rsidR="000171F7">
        <w:t>, but also stated that a time horizon no shorter than 20 years was reasonable, representing a conservative approach while still capturing expected long</w:t>
      </w:r>
      <w:r w:rsidR="00675F55">
        <w:noBreakHyphen/>
      </w:r>
      <w:r w:rsidR="000171F7">
        <w:t>term benefits</w:t>
      </w:r>
      <w:r w:rsidR="00786530">
        <w:t>.</w:t>
      </w:r>
    </w:p>
    <w:p w14:paraId="062EFBAE" w14:textId="3767ACD8" w:rsidR="00734170" w:rsidRPr="00874BE1" w:rsidRDefault="00746B45" w:rsidP="0056144D">
      <w:pPr>
        <w:pStyle w:val="3-BodyText"/>
        <w:spacing w:before="160" w:after="160"/>
      </w:pPr>
      <w:r w:rsidRPr="00874BE1">
        <w:t xml:space="preserve">There is a </w:t>
      </w:r>
      <w:r w:rsidR="00D817D4" w:rsidRPr="00874BE1">
        <w:t xml:space="preserve">sustained separation of the modelled EFS and OS curves </w:t>
      </w:r>
      <w:r w:rsidR="00BA7243" w:rsidRPr="00874BE1">
        <w:t>over the full 25</w:t>
      </w:r>
      <w:r w:rsidR="00675F55">
        <w:noBreakHyphen/>
      </w:r>
      <w:r w:rsidR="00BA7243" w:rsidRPr="00874BE1">
        <w:t>year period</w:t>
      </w:r>
      <w:r w:rsidR="00700590" w:rsidRPr="00874BE1">
        <w:t xml:space="preserve">, </w:t>
      </w:r>
      <w:r w:rsidR="003A1FFC" w:rsidRPr="00874BE1">
        <w:t>with</w:t>
      </w:r>
      <w:r w:rsidR="0013699D" w:rsidRPr="00874BE1">
        <w:t xml:space="preserve"> application of a cure assumption at 10 years (equivalent </w:t>
      </w:r>
      <w:r w:rsidR="008B7FCB" w:rsidRPr="00874BE1">
        <w:t xml:space="preserve">transition probabilities </w:t>
      </w:r>
      <w:r w:rsidR="00F512CC" w:rsidRPr="00874BE1">
        <w:t>for</w:t>
      </w:r>
      <w:r w:rsidR="0013699D" w:rsidRPr="00874BE1">
        <w:t xml:space="preserve"> recurrence and death as first event </w:t>
      </w:r>
      <w:r w:rsidR="00F512CC" w:rsidRPr="00874BE1">
        <w:t>applied</w:t>
      </w:r>
      <w:r w:rsidR="0013699D" w:rsidRPr="00874BE1">
        <w:t xml:space="preserve"> beyond this point) and more favourable post</w:t>
      </w:r>
      <w:r w:rsidR="00675F55">
        <w:noBreakHyphen/>
      </w:r>
      <w:r w:rsidR="0013699D" w:rsidRPr="00874BE1">
        <w:t xml:space="preserve">recurrence survival in the </w:t>
      </w:r>
      <w:r w:rsidR="00983A8A" w:rsidRPr="00874BE1">
        <w:t>FLOT</w:t>
      </w:r>
      <w:r w:rsidR="0013699D" w:rsidRPr="00874BE1">
        <w:t xml:space="preserve"> arm</w:t>
      </w:r>
      <w:r w:rsidR="00335C57" w:rsidRPr="00874BE1">
        <w:t>.</w:t>
      </w:r>
      <w:r w:rsidR="00093F71" w:rsidRPr="00874BE1">
        <w:t xml:space="preserve"> </w:t>
      </w:r>
      <w:r w:rsidR="005B6B70" w:rsidRPr="00874BE1">
        <w:t>This implies</w:t>
      </w:r>
      <w:r w:rsidR="00093F71" w:rsidRPr="00874BE1">
        <w:t xml:space="preserve"> long</w:t>
      </w:r>
      <w:r w:rsidR="00675F55">
        <w:noBreakHyphen/>
      </w:r>
      <w:r w:rsidR="00093F71" w:rsidRPr="00874BE1">
        <w:t xml:space="preserve">term gains are driven by </w:t>
      </w:r>
      <w:r w:rsidR="00416E61" w:rsidRPr="00874BE1">
        <w:t xml:space="preserve">the accumulation of benefit </w:t>
      </w:r>
      <w:r w:rsidR="0044734E" w:rsidRPr="00874BE1">
        <w:t>during the first 10 years</w:t>
      </w:r>
      <w:r w:rsidR="00416E61" w:rsidRPr="00874BE1">
        <w:t xml:space="preserve">. </w:t>
      </w:r>
      <w:r w:rsidR="004B04C6" w:rsidRPr="00874BE1">
        <w:t>While observed data</w:t>
      </w:r>
      <w:r w:rsidR="00527B6A" w:rsidRPr="00874BE1">
        <w:t xml:space="preserve"> support</w:t>
      </w:r>
      <w:r w:rsidR="00E923A3" w:rsidRPr="00874BE1">
        <w:t xml:space="preserve"> separation</w:t>
      </w:r>
      <w:r w:rsidR="004B04C6" w:rsidRPr="00874BE1">
        <w:t xml:space="preserve"> up to 4 years,</w:t>
      </w:r>
      <w:r w:rsidR="00DD6D7B" w:rsidRPr="00874BE1">
        <w:t xml:space="preserve"> the continued benefit between 4 and 10 years is assumed</w:t>
      </w:r>
      <w:r w:rsidR="00663D5F" w:rsidRPr="00874BE1">
        <w:t xml:space="preserve">. </w:t>
      </w:r>
    </w:p>
    <w:p w14:paraId="5EDCDCFD" w14:textId="7296A4F8" w:rsidR="00AB06A2" w:rsidRPr="00874BE1" w:rsidRDefault="00AB06A2" w:rsidP="0056144D">
      <w:pPr>
        <w:pStyle w:val="3-BodyText"/>
        <w:spacing w:before="160" w:after="160"/>
      </w:pPr>
      <w:r w:rsidRPr="00874BE1">
        <w:t>The submission assumes that patients remaining in the EF state at 10 years are effectively “cured”, with no further risk of recurrence and mortality equal to general population. The expert advisory board consulted by the sponsor suggested that clinical cure is assumed if a patient remains EF for 5 years. While the submission suggest</w:t>
      </w:r>
      <w:r w:rsidR="003A7401">
        <w:t>ed</w:t>
      </w:r>
      <w:r w:rsidRPr="00874BE1">
        <w:t xml:space="preserve"> </w:t>
      </w:r>
      <w:r w:rsidRPr="00874BE1">
        <w:lastRenderedPageBreak/>
        <w:t>the 10</w:t>
      </w:r>
      <w:r w:rsidR="00675F55">
        <w:noBreakHyphen/>
      </w:r>
      <w:r w:rsidRPr="00874BE1">
        <w:t>year cure point is ‘conservative’ this is not reflected in the sensitivity analysis results, as the ICER increases when the cure point is reduced to 5 years</w:t>
      </w:r>
      <w:r w:rsidR="00AC1CCA" w:rsidRPr="00874BE1">
        <w:t xml:space="preserve"> or increased to 15 years</w:t>
      </w:r>
      <w:r w:rsidRPr="00874BE1">
        <w:t xml:space="preserve">. This </w:t>
      </w:r>
      <w:r w:rsidR="00B5024B" w:rsidRPr="00874BE1">
        <w:t>is because the</w:t>
      </w:r>
      <w:r w:rsidR="00FC536B" w:rsidRPr="00874BE1">
        <w:t xml:space="preserve"> difference in EFS in the</w:t>
      </w:r>
      <w:r w:rsidR="00B5024B" w:rsidRPr="00874BE1">
        <w:t xml:space="preserve"> extrapolated curves </w:t>
      </w:r>
      <w:r w:rsidR="00FC536B" w:rsidRPr="00874BE1">
        <w:t>is greatest at around 10 years</w:t>
      </w:r>
      <w:r w:rsidRPr="00874BE1">
        <w:t>. Expert advice received during the</w:t>
      </w:r>
      <w:r w:rsidR="00980D84">
        <w:t xml:space="preserve"> evaluation</w:t>
      </w:r>
      <w:r w:rsidRPr="00874BE1">
        <w:t xml:space="preserve"> supported the assumption of cure beyond 10</w:t>
      </w:r>
      <w:r w:rsidR="00675F55">
        <w:noBreakHyphen/>
      </w:r>
      <w:r w:rsidRPr="00874BE1">
        <w:t xml:space="preserve">years, </w:t>
      </w:r>
      <w:r w:rsidR="00CF0D80" w:rsidRPr="00874BE1">
        <w:t xml:space="preserve">but </w:t>
      </w:r>
      <w:r w:rsidRPr="00874BE1">
        <w:t>not</w:t>
      </w:r>
      <w:r w:rsidR="00CF0D80" w:rsidRPr="00874BE1">
        <w:t>ed</w:t>
      </w:r>
      <w:r w:rsidRPr="00874BE1">
        <w:t xml:space="preserve"> that recurrences after 5 years are rare, and those beyond 7 years exceedingly unlikely</w:t>
      </w:r>
      <w:r w:rsidR="00CF0D80" w:rsidRPr="00874BE1">
        <w:t>.</w:t>
      </w:r>
      <w:r w:rsidRPr="00874BE1">
        <w:t xml:space="preserve"> </w:t>
      </w:r>
      <w:r w:rsidR="00DA7A1A" w:rsidRPr="00B7254D">
        <w:t xml:space="preserve">The ESC agreed with the evaluation that the inclusion of a cure fraction was reasonable. </w:t>
      </w:r>
      <w:r w:rsidR="007F3D9A" w:rsidRPr="00B7254D">
        <w:t>The ESC also agreed that recurrences after 5 years are rare</w:t>
      </w:r>
      <w:r w:rsidR="0024310F" w:rsidRPr="00B7254D">
        <w:t xml:space="preserve"> and </w:t>
      </w:r>
      <w:r w:rsidR="007B50D3" w:rsidRPr="00B7254D">
        <w:t xml:space="preserve">noted that </w:t>
      </w:r>
      <w:r w:rsidR="000462DA" w:rsidRPr="00B7254D">
        <w:t xml:space="preserve">in clinical practice </w:t>
      </w:r>
      <w:r w:rsidR="0024310F" w:rsidRPr="00B7254D">
        <w:t>patients would typically be considered cured a</w:t>
      </w:r>
      <w:r w:rsidR="007C4788" w:rsidRPr="00B7254D">
        <w:t>fter 5 years of EFS</w:t>
      </w:r>
      <w:r w:rsidR="007B50D3" w:rsidRPr="00B7254D">
        <w:t>. The ESC</w:t>
      </w:r>
      <w:r w:rsidR="007F3D9A" w:rsidRPr="00B7254D">
        <w:t xml:space="preserve"> considered that </w:t>
      </w:r>
      <w:r w:rsidR="0086155C" w:rsidRPr="00B7254D">
        <w:t xml:space="preserve">the most appropriate </w:t>
      </w:r>
      <w:r w:rsidR="005B1D11" w:rsidRPr="00B7254D">
        <w:t>cure point was 5 years</w:t>
      </w:r>
      <w:r w:rsidR="007C4788" w:rsidRPr="00B7254D">
        <w:t xml:space="preserve">. </w:t>
      </w:r>
      <w:r w:rsidR="001266E2">
        <w:t>The pre</w:t>
      </w:r>
      <w:r w:rsidR="00675F55">
        <w:noBreakHyphen/>
      </w:r>
      <w:r w:rsidR="001266E2">
        <w:t xml:space="preserve">PBAC response </w:t>
      </w:r>
      <w:r w:rsidR="008D66D3">
        <w:t>referred to</w:t>
      </w:r>
      <w:r w:rsidR="00BD0681">
        <w:t xml:space="preserve"> longer term</w:t>
      </w:r>
      <w:r w:rsidR="008D66D3">
        <w:t xml:space="preserve"> </w:t>
      </w:r>
      <w:r w:rsidR="001141A4">
        <w:t xml:space="preserve">EFS </w:t>
      </w:r>
      <w:r w:rsidR="008D66D3">
        <w:t xml:space="preserve">data from </w:t>
      </w:r>
      <w:r w:rsidR="00970B9D">
        <w:t xml:space="preserve">Al Batran (2019) and Hoeppner (2025) </w:t>
      </w:r>
      <w:r w:rsidR="002A2A01">
        <w:t xml:space="preserve">demonstrating that a small number of recurrences occur past the </w:t>
      </w:r>
      <w:r w:rsidR="00E047B9">
        <w:t>5</w:t>
      </w:r>
      <w:r w:rsidR="00675F55">
        <w:noBreakHyphen/>
      </w:r>
      <w:r w:rsidR="00E047B9">
        <w:t>year time</w:t>
      </w:r>
      <w:r w:rsidR="0044112F">
        <w:t xml:space="preserve"> </w:t>
      </w:r>
      <w:r w:rsidR="00E047B9">
        <w:t xml:space="preserve">point. </w:t>
      </w:r>
      <w:r w:rsidR="00363959">
        <w:t xml:space="preserve">On this basis the </w:t>
      </w:r>
      <w:r w:rsidR="00363959">
        <w:rPr>
          <w:rFonts w:eastAsia="Aptos"/>
        </w:rPr>
        <w:t>sponsor considered</w:t>
      </w:r>
      <w:r w:rsidR="00363959" w:rsidRPr="00C85CD9">
        <w:rPr>
          <w:rFonts w:eastAsia="Aptos"/>
        </w:rPr>
        <w:t xml:space="preserve"> a 7</w:t>
      </w:r>
      <w:r w:rsidR="00363959" w:rsidRPr="00C85CD9">
        <w:rPr>
          <w:rFonts w:ascii="Cambria Math" w:eastAsia="Aptos" w:hAnsi="Cambria Math" w:cs="Cambria Math"/>
        </w:rPr>
        <w:t>‑</w:t>
      </w:r>
      <w:r w:rsidR="00363959" w:rsidRPr="00C85CD9">
        <w:rPr>
          <w:rFonts w:eastAsia="Aptos"/>
        </w:rPr>
        <w:t>year cure timepoint to better capture the small proportion of later recurrences</w:t>
      </w:r>
      <w:r w:rsidR="00363959">
        <w:rPr>
          <w:rFonts w:eastAsia="Aptos"/>
        </w:rPr>
        <w:t xml:space="preserve">. </w:t>
      </w:r>
      <w:r w:rsidR="0044112F">
        <w:rPr>
          <w:rFonts w:eastAsia="Aptos"/>
        </w:rPr>
        <w:t>The pre</w:t>
      </w:r>
      <w:r w:rsidR="00675F55">
        <w:rPr>
          <w:rFonts w:eastAsia="Aptos"/>
        </w:rPr>
        <w:noBreakHyphen/>
      </w:r>
      <w:r w:rsidR="0044112F">
        <w:rPr>
          <w:rFonts w:eastAsia="Aptos"/>
        </w:rPr>
        <w:t xml:space="preserve">PBAC response also argued that </w:t>
      </w:r>
      <w:r w:rsidR="0044112F" w:rsidRPr="53C7325A">
        <w:rPr>
          <w:rFonts w:eastAsia="Aptos"/>
        </w:rPr>
        <w:t>the time horizon and cure time point should be considered jointly to ensure consistency</w:t>
      </w:r>
      <w:r w:rsidR="0044112F">
        <w:rPr>
          <w:rFonts w:eastAsia="Aptos"/>
        </w:rPr>
        <w:t>.</w:t>
      </w:r>
    </w:p>
    <w:p w14:paraId="6CD4C108" w14:textId="13E631A0" w:rsidR="00FB3883" w:rsidRPr="00874BE1" w:rsidRDefault="00F901D3" w:rsidP="0056144D">
      <w:pPr>
        <w:pStyle w:val="3-BodyText"/>
        <w:spacing w:before="160" w:after="160"/>
      </w:pPr>
      <w:r w:rsidRPr="00874BE1">
        <w:t>The submission identified that use of subsequent IO post FLOT may be higher in the Australian context than in the control arm of the MATTERHORN trial. Post</w:t>
      </w:r>
      <w:r w:rsidR="00675F55">
        <w:noBreakHyphen/>
      </w:r>
      <w:r w:rsidRPr="00874BE1">
        <w:t xml:space="preserve">recurrence </w:t>
      </w:r>
      <w:r w:rsidR="008A4DF9" w:rsidRPr="00874BE1">
        <w:t xml:space="preserve">subsequent </w:t>
      </w:r>
      <w:r w:rsidRPr="00874BE1">
        <w:t xml:space="preserve">IO (nivolumab) use in the model for the FLOT arm was increased from 29.4% (MATTERHORN trial data) </w:t>
      </w:r>
      <w:r w:rsidRPr="002D1FCD">
        <w:t xml:space="preserve">to </w:t>
      </w:r>
      <w:r w:rsidR="00EB1862" w:rsidRPr="00EB1862">
        <w:rPr>
          <w:sz w:val="2"/>
          <w:highlight w:val="black"/>
        </w:rPr>
        <w:t>redacted content</w:t>
      </w:r>
      <w:r w:rsidRPr="002D1FCD">
        <w:t>%</w:t>
      </w:r>
      <w:r w:rsidR="00185B13" w:rsidRPr="002D1FCD">
        <w:t xml:space="preserve"> (</w:t>
      </w:r>
      <w:r w:rsidR="00684406" w:rsidRPr="002D1FCD">
        <w:t>AstraZeneca</w:t>
      </w:r>
      <w:r w:rsidR="00684406" w:rsidRPr="00874BE1">
        <w:t xml:space="preserve"> Australian Gastric Advisory Board</w:t>
      </w:r>
      <w:r w:rsidR="00185B13" w:rsidRPr="00874BE1">
        <w:t xml:space="preserve"> input)</w:t>
      </w:r>
      <w:r w:rsidR="00577AEB">
        <w:t xml:space="preserve"> </w:t>
      </w:r>
      <w:r w:rsidR="00577AEB" w:rsidRPr="00874BE1">
        <w:t>(assuming 90% of patients who progress will receive subsequent therapy)</w:t>
      </w:r>
      <w:r w:rsidR="008D2D28" w:rsidRPr="00874BE1">
        <w:t>.</w:t>
      </w:r>
      <w:r w:rsidR="003370C2" w:rsidRPr="00874BE1">
        <w:t xml:space="preserve"> </w:t>
      </w:r>
      <w:r w:rsidRPr="00874BE1">
        <w:t>This assumption was operationalised through a reduction in the death rate in the RD health state in the FLOT arm, as well as increased subsequent therapy costs in the FLOT arm.</w:t>
      </w:r>
      <w:r w:rsidR="00AA1669" w:rsidRPr="00874BE1">
        <w:t xml:space="preserve"> An HR of 0.87 was applied to the instantaneous hazard of death from the RD heath state in the FLOT arm, derived </w:t>
      </w:r>
      <w:r w:rsidR="009C6BA0" w:rsidRPr="00874BE1">
        <w:t>by applying</w:t>
      </w:r>
      <w:r w:rsidR="00AA1669" w:rsidRPr="00874BE1">
        <w:t xml:space="preserve"> the </w:t>
      </w:r>
      <w:r w:rsidR="003A0AA0" w:rsidRPr="00874BE1">
        <w:t>HR</w:t>
      </w:r>
      <w:r w:rsidR="00AA1669" w:rsidRPr="00874BE1">
        <w:t xml:space="preserve"> for nivolumab + chemotherapy versus chemotherapy in patients with advanced or metastatic GC, GOJC or </w:t>
      </w:r>
      <w:r w:rsidR="004775B2" w:rsidRPr="00874BE1">
        <w:t>oesophageal</w:t>
      </w:r>
      <w:r w:rsidR="004F25BD" w:rsidRPr="00874BE1">
        <w:t xml:space="preserve"> </w:t>
      </w:r>
      <w:r w:rsidR="004775B2" w:rsidRPr="00874BE1">
        <w:t>adenocarcinoma (</w:t>
      </w:r>
      <w:r w:rsidR="00AA1669" w:rsidRPr="00874BE1">
        <w:t>OAC</w:t>
      </w:r>
      <w:r w:rsidR="004775B2" w:rsidRPr="00874BE1">
        <w:t>)</w:t>
      </w:r>
      <w:r w:rsidR="00AA1669" w:rsidRPr="00874BE1">
        <w:t xml:space="preserve"> reported in the Checkmate 649 trial (HR = 0.80; paragraph 6.15, nivolumab, PSD, November 2021 PBAC Meeting</w:t>
      </w:r>
      <w:r w:rsidR="00CB2D74" w:rsidRPr="00874BE1">
        <w:t>) for the proportion of modelled IO</w:t>
      </w:r>
      <w:r w:rsidR="00675F55">
        <w:noBreakHyphen/>
      </w:r>
      <w:r w:rsidR="00CB2D74" w:rsidRPr="00874BE1">
        <w:t>recipients not captured in the MATTERHORN trial estimates</w:t>
      </w:r>
      <w:r w:rsidR="00AA1669" w:rsidRPr="00874BE1">
        <w:t>.</w:t>
      </w:r>
      <w:r w:rsidR="00CE759D">
        <w:t xml:space="preserve"> </w:t>
      </w:r>
      <w:r w:rsidR="002B7CD0" w:rsidRPr="00874BE1">
        <w:t xml:space="preserve">The assumed cost per course </w:t>
      </w:r>
      <w:r w:rsidR="002B7CD0" w:rsidRPr="000258FA">
        <w:t>of subsequent IO was $</w:t>
      </w:r>
      <w:r w:rsidR="00EB1862" w:rsidRPr="00EB1862">
        <w:rPr>
          <w:sz w:val="2"/>
          <w:highlight w:val="black"/>
        </w:rPr>
        <w:t>redacted content</w:t>
      </w:r>
      <w:r w:rsidR="00E16A4A" w:rsidRPr="00E16A4A">
        <w:t xml:space="preserve"> </w:t>
      </w:r>
      <w:r w:rsidR="002B7CD0" w:rsidRPr="000258FA">
        <w:t>per patient</w:t>
      </w:r>
      <w:r w:rsidR="002B7CD0" w:rsidRPr="00874BE1">
        <w:t xml:space="preserve">, based on a treatment course comprising 12.37 doses </w:t>
      </w:r>
      <w:r w:rsidR="002B7CD0" w:rsidRPr="000258FA">
        <w:t xml:space="preserve">and an assumed </w:t>
      </w:r>
      <w:r w:rsidR="00EB1862" w:rsidRPr="00EB1862">
        <w:rPr>
          <w:sz w:val="2"/>
          <w:highlight w:val="black"/>
        </w:rPr>
        <w:t>redacted content</w:t>
      </w:r>
      <w:r w:rsidR="002B7CD0" w:rsidRPr="000258FA">
        <w:t>% rebate</w:t>
      </w:r>
      <w:r w:rsidR="002B7CD0" w:rsidRPr="00874BE1">
        <w:t xml:space="preserve"> on the published price.</w:t>
      </w:r>
    </w:p>
    <w:p w14:paraId="1682DEE7" w14:textId="38365A1F" w:rsidR="00C024CE" w:rsidRPr="00B7254D" w:rsidRDefault="009B4F4A" w:rsidP="0056144D">
      <w:pPr>
        <w:pStyle w:val="3-BodyText"/>
        <w:spacing w:before="160" w:after="160"/>
      </w:pPr>
      <w:r w:rsidRPr="00B7254D">
        <w:t xml:space="preserve">The evaluation and </w:t>
      </w:r>
      <w:r w:rsidR="00F6232D" w:rsidRPr="00B7254D">
        <w:t xml:space="preserve">the </w:t>
      </w:r>
      <w:r w:rsidRPr="00B7254D">
        <w:t>ESC considered</w:t>
      </w:r>
      <w:r w:rsidR="009C7F1B" w:rsidRPr="00B7254D">
        <w:t xml:space="preserve"> i</w:t>
      </w:r>
      <w:r w:rsidR="00A42019" w:rsidRPr="00B7254D">
        <w:t>t</w:t>
      </w:r>
      <w:r w:rsidR="009C7F1B" w:rsidRPr="00B7254D">
        <w:t xml:space="preserve"> reasonable to </w:t>
      </w:r>
      <w:r w:rsidR="00CD1124" w:rsidRPr="00B7254D">
        <w:t xml:space="preserve">expect that in clinical practice </w:t>
      </w:r>
      <w:r w:rsidR="00890734" w:rsidRPr="00B7254D">
        <w:t xml:space="preserve">subsequent nivolumab use </w:t>
      </w:r>
      <w:r w:rsidR="00890734" w:rsidRPr="000258FA">
        <w:t>would be high in the comparator arm</w:t>
      </w:r>
      <w:r w:rsidR="00185B13" w:rsidRPr="000258FA">
        <w:t xml:space="preserve">; expert advice received during the evaluation validated the </w:t>
      </w:r>
      <w:r w:rsidR="00EB1862" w:rsidRPr="00EB1862">
        <w:rPr>
          <w:sz w:val="2"/>
          <w:highlight w:val="black"/>
        </w:rPr>
        <w:t>redacted content</w:t>
      </w:r>
      <w:r w:rsidR="00185B13" w:rsidRPr="000258FA">
        <w:t>% assumption as</w:t>
      </w:r>
      <w:r w:rsidR="00185B13" w:rsidRPr="00B7254D">
        <w:t xml:space="preserve"> appropriate to the Australian context</w:t>
      </w:r>
      <w:r w:rsidR="00C024CE" w:rsidRPr="00B7254D">
        <w:t xml:space="preserve">. </w:t>
      </w:r>
      <w:r w:rsidR="00FA7433" w:rsidRPr="00B7254D">
        <w:t>The ESC noted that</w:t>
      </w:r>
      <w:r w:rsidR="00785C20" w:rsidRPr="00B7254D">
        <w:t>,</w:t>
      </w:r>
      <w:r w:rsidR="00FA7433" w:rsidRPr="00B7254D">
        <w:t xml:space="preserve"> </w:t>
      </w:r>
      <w:r w:rsidR="00BB7B03" w:rsidRPr="00B7254D">
        <w:t>although a substantial impact on OS</w:t>
      </w:r>
      <w:r w:rsidR="00C776C8" w:rsidRPr="00B7254D">
        <w:t xml:space="preserve"> from subsequent immunotherapy </w:t>
      </w:r>
      <w:r w:rsidR="00BB7B03" w:rsidRPr="00B7254D">
        <w:t>is not expected</w:t>
      </w:r>
      <w:r w:rsidR="00C776C8" w:rsidRPr="00B7254D">
        <w:t xml:space="preserve">, </w:t>
      </w:r>
      <w:r w:rsidR="00785C20" w:rsidRPr="00B7254D">
        <w:t>there</w:t>
      </w:r>
      <w:r w:rsidR="00BB7B03" w:rsidRPr="00B7254D">
        <w:t xml:space="preserve"> </w:t>
      </w:r>
      <w:r w:rsidR="00FA7433" w:rsidRPr="00B7254D">
        <w:t>was uncertainty associated with the adjustment</w:t>
      </w:r>
      <w:r w:rsidR="00C776C8" w:rsidRPr="00B7254D">
        <w:t xml:space="preserve"> applied in the model.</w:t>
      </w:r>
      <w:r w:rsidR="00BB7B03" w:rsidRPr="00B7254D">
        <w:t xml:space="preserve"> </w:t>
      </w:r>
      <w:r w:rsidR="008C0B3F" w:rsidRPr="00B7254D">
        <w:t>A</w:t>
      </w:r>
      <w:r w:rsidR="009744D1" w:rsidRPr="00B7254D">
        <w:t xml:space="preserve"> s</w:t>
      </w:r>
      <w:r w:rsidR="00425DDA" w:rsidRPr="00B7254D">
        <w:t>ensi</w:t>
      </w:r>
      <w:r w:rsidR="007F684E" w:rsidRPr="00B7254D">
        <w:t xml:space="preserve">tivity analysis </w:t>
      </w:r>
      <w:r w:rsidR="00FD2397" w:rsidRPr="00B7254D">
        <w:t>removing</w:t>
      </w:r>
      <w:r w:rsidR="008E4AB0" w:rsidRPr="00B7254D">
        <w:t xml:space="preserve"> </w:t>
      </w:r>
      <w:r w:rsidR="00DB4EC7" w:rsidRPr="00B7254D">
        <w:t xml:space="preserve">the adjustment </w:t>
      </w:r>
      <w:r w:rsidR="00B15152" w:rsidRPr="00B7254D">
        <w:t>[</w:t>
      </w:r>
      <w:r w:rsidR="00431DED" w:rsidRPr="00B7254D">
        <w:t xml:space="preserve">i.e. </w:t>
      </w:r>
      <w:r w:rsidR="00FD2397" w:rsidRPr="00B7254D">
        <w:t>using the</w:t>
      </w:r>
      <w:r w:rsidR="00431DED" w:rsidRPr="00B7254D">
        <w:t xml:space="preserve"> trial</w:t>
      </w:r>
      <w:r w:rsidR="00675F55">
        <w:noBreakHyphen/>
      </w:r>
      <w:r w:rsidR="00431DED" w:rsidRPr="00B7254D">
        <w:t xml:space="preserve">informed </w:t>
      </w:r>
      <w:r w:rsidR="00D749D5" w:rsidRPr="00B7254D">
        <w:t>29.4%</w:t>
      </w:r>
      <w:r w:rsidR="00FD2397" w:rsidRPr="00B7254D">
        <w:t xml:space="preserve"> of IO use</w:t>
      </w:r>
      <w:r w:rsidR="00B15152" w:rsidRPr="00B7254D">
        <w:t>]</w:t>
      </w:r>
      <w:r w:rsidR="00BD6489" w:rsidRPr="00B7254D">
        <w:t xml:space="preserve"> </w:t>
      </w:r>
      <w:r w:rsidR="00B15152" w:rsidRPr="00B7254D">
        <w:t>increased the</w:t>
      </w:r>
      <w:r w:rsidR="00AD15EB" w:rsidRPr="00B7254D">
        <w:t xml:space="preserve"> ICER</w:t>
      </w:r>
      <w:r w:rsidR="006E05B3" w:rsidRPr="00B7254D">
        <w:t xml:space="preserve"> by </w:t>
      </w:r>
      <w:r w:rsidR="00EB1862" w:rsidRPr="00EB1862">
        <w:rPr>
          <w:sz w:val="2"/>
          <w:highlight w:val="black"/>
        </w:rPr>
        <w:t>redacted content</w:t>
      </w:r>
      <w:r w:rsidR="006E05B3" w:rsidRPr="00B7254D">
        <w:t>% [</w:t>
      </w:r>
      <w:r w:rsidR="007E2DE0" w:rsidRPr="00B7254D">
        <w:t>$</w:t>
      </w:r>
      <w:r w:rsidR="002F52F8" w:rsidRPr="002F52F8">
        <w:t>$35,000 to &lt; $45,000</w:t>
      </w:r>
      <w:r w:rsidR="007E2DE0" w:rsidRPr="00B7254D">
        <w:t xml:space="preserve"> per QALY])</w:t>
      </w:r>
      <w:r w:rsidR="00EC232B" w:rsidRPr="00B7254D">
        <w:t xml:space="preserve">. </w:t>
      </w:r>
    </w:p>
    <w:p w14:paraId="5099D570" w14:textId="52CC37F1" w:rsidR="00F901D3" w:rsidRPr="00874BE1" w:rsidRDefault="00C024CE" w:rsidP="0056144D">
      <w:pPr>
        <w:pStyle w:val="3-BodyText"/>
        <w:spacing w:before="160" w:after="160"/>
      </w:pPr>
      <w:r w:rsidRPr="00874BE1">
        <w:t xml:space="preserve">In the model, it is assumed that 0% of patients who progress on D + FLOT would receive subsequent </w:t>
      </w:r>
      <w:r w:rsidR="00C07950" w:rsidRPr="00874BE1">
        <w:t>IO</w:t>
      </w:r>
      <w:r w:rsidRPr="00874BE1">
        <w:t>, given the current once</w:t>
      </w:r>
      <w:r w:rsidR="00675F55">
        <w:noBreakHyphen/>
      </w:r>
      <w:r w:rsidRPr="00874BE1">
        <w:t>per</w:t>
      </w:r>
      <w:r w:rsidR="00675F55">
        <w:noBreakHyphen/>
      </w:r>
      <w:r w:rsidRPr="00874BE1">
        <w:t>lifetime restrictions.</w:t>
      </w:r>
      <w:r w:rsidR="00A73599" w:rsidRPr="00874BE1">
        <w:t xml:space="preserve"> However, in </w:t>
      </w:r>
      <w:r w:rsidR="00A73599" w:rsidRPr="00874BE1">
        <w:lastRenderedPageBreak/>
        <w:t xml:space="preserve">the MATTERHORN trial, 14.7% of patients </w:t>
      </w:r>
      <w:r w:rsidR="006C095C" w:rsidRPr="00874BE1">
        <w:t xml:space="preserve">in the D + FLOT arm </w:t>
      </w:r>
      <w:r w:rsidR="0001202B" w:rsidRPr="00874BE1">
        <w:t>who</w:t>
      </w:r>
      <w:r w:rsidR="00A73599" w:rsidRPr="00874BE1">
        <w:t xml:space="preserve"> receiv</w:t>
      </w:r>
      <w:r w:rsidR="0001202B" w:rsidRPr="00874BE1">
        <w:t>ed</w:t>
      </w:r>
      <w:r w:rsidR="00A73599" w:rsidRPr="00874BE1">
        <w:t xml:space="preserve"> subsequent therapy receive</w:t>
      </w:r>
      <w:r w:rsidR="006C095C" w:rsidRPr="00874BE1">
        <w:t>d</w:t>
      </w:r>
      <w:r w:rsidR="00A73599" w:rsidRPr="00874BE1">
        <w:t xml:space="preserve"> </w:t>
      </w:r>
      <w:r w:rsidR="00914FB4" w:rsidRPr="00874BE1">
        <w:t>IO</w:t>
      </w:r>
      <w:r w:rsidR="00A87AD3">
        <w:t xml:space="preserve"> (3.4</w:t>
      </w:r>
      <w:r w:rsidR="00A87AD3" w:rsidRPr="00874BE1">
        <w:t>%</w:t>
      </w:r>
      <w:r w:rsidR="00A87AD3">
        <w:t xml:space="preserve"> of </w:t>
      </w:r>
      <w:r w:rsidR="005302C4">
        <w:t xml:space="preserve">D + FLOT </w:t>
      </w:r>
      <w:r w:rsidR="00A87AD3">
        <w:t>patients overall)</w:t>
      </w:r>
      <w:r w:rsidR="00914FB4" w:rsidRPr="00874BE1">
        <w:t>.</w:t>
      </w:r>
      <w:r w:rsidR="00A73599" w:rsidRPr="00874BE1">
        <w:t xml:space="preserve"> </w:t>
      </w:r>
      <w:r w:rsidR="00914FB4" w:rsidRPr="00874BE1">
        <w:t xml:space="preserve">This suggests survival benefits in the D + FLOT arm may be slightly overestimated relative to the Australian context, although the impact on the ICER </w:t>
      </w:r>
      <w:r w:rsidR="00796EC1" w:rsidRPr="00874BE1">
        <w:t>is</w:t>
      </w:r>
      <w:r w:rsidR="00914FB4" w:rsidRPr="00874BE1">
        <w:t xml:space="preserve"> minimal</w:t>
      </w:r>
      <w:r w:rsidR="00796EC1" w:rsidRPr="00874BE1">
        <w:t xml:space="preserve"> (&lt;1%</w:t>
      </w:r>
      <w:r w:rsidR="00025996" w:rsidRPr="00874BE1">
        <w:t xml:space="preserve"> variation</w:t>
      </w:r>
      <w:r w:rsidR="00796EC1" w:rsidRPr="00874BE1">
        <w:t>)</w:t>
      </w:r>
      <w:r w:rsidR="00914FB4" w:rsidRPr="00874BE1">
        <w:t xml:space="preserve">. </w:t>
      </w:r>
    </w:p>
    <w:p w14:paraId="540CCCF9" w14:textId="0311A1F8" w:rsidR="001575AD" w:rsidRPr="00874BE1" w:rsidRDefault="001575AD" w:rsidP="005901BE">
      <w:pPr>
        <w:pStyle w:val="3-BodyText"/>
        <w:spacing w:before="160" w:after="160"/>
      </w:pPr>
      <w:r w:rsidRPr="00874BE1">
        <w:t xml:space="preserve">Health state utility values were derived from MATTERHORN trial data for the EF and RD health states, pooled across treatment arms. </w:t>
      </w:r>
      <w:r w:rsidR="00397AC5" w:rsidRPr="00874BE1">
        <w:t>No meaningful differences between arms for any symptom or scale of the EORTC QLQ</w:t>
      </w:r>
      <w:r w:rsidR="00675F55">
        <w:noBreakHyphen/>
      </w:r>
      <w:r w:rsidR="00397AC5" w:rsidRPr="00874BE1">
        <w:t>C30 were observed at any timepoint in the MATTERHORN trial, and r</w:t>
      </w:r>
      <w:r w:rsidR="00B23A33" w:rsidRPr="00874BE1">
        <w:t>egression analysis conducted by the sponsor showed no statistically significant difference</w:t>
      </w:r>
      <w:r w:rsidR="00661525" w:rsidRPr="00874BE1">
        <w:t>s</w:t>
      </w:r>
      <w:r w:rsidR="00B23A33" w:rsidRPr="00874BE1">
        <w:t xml:space="preserve"> in </w:t>
      </w:r>
      <w:r w:rsidR="00661525" w:rsidRPr="00874BE1">
        <w:t>pre</w:t>
      </w:r>
      <w:r w:rsidR="00675F55">
        <w:noBreakHyphen/>
      </w:r>
      <w:r w:rsidR="00661525" w:rsidRPr="00874BE1">
        <w:t>progression or post</w:t>
      </w:r>
      <w:r w:rsidR="00675F55">
        <w:noBreakHyphen/>
      </w:r>
      <w:r w:rsidR="00661525" w:rsidRPr="00874BE1">
        <w:t xml:space="preserve">progression utility scores across arms. </w:t>
      </w:r>
      <w:r w:rsidR="00B97401" w:rsidRPr="00874BE1">
        <w:t>Overall, the approach to pool data across treatment arms seems broadly reasonable, especially considering treatment</w:t>
      </w:r>
      <w:r w:rsidR="00675F55">
        <w:noBreakHyphen/>
      </w:r>
      <w:r w:rsidR="00B97401" w:rsidRPr="00874BE1">
        <w:t>related disutility were presumably captured through application of arm</w:t>
      </w:r>
      <w:r w:rsidR="00675F55">
        <w:noBreakHyphen/>
      </w:r>
      <w:r w:rsidR="00B97401" w:rsidRPr="00874BE1">
        <w:t>specific AE disutilities.</w:t>
      </w:r>
      <w:r w:rsidR="00B475F6" w:rsidRPr="00874BE1">
        <w:t xml:space="preserve"> However, </w:t>
      </w:r>
      <w:r w:rsidRPr="00874BE1">
        <w:t>the utility decrement due to AE</w:t>
      </w:r>
      <w:r w:rsidR="00796420" w:rsidRPr="00874BE1">
        <w:t>s</w:t>
      </w:r>
      <w:r w:rsidRPr="00874BE1">
        <w:t xml:space="preserve"> </w:t>
      </w:r>
      <w:r w:rsidR="00B475F6" w:rsidRPr="00874BE1">
        <w:t>is</w:t>
      </w:r>
      <w:r w:rsidRPr="00874BE1">
        <w:t xml:space="preserve"> lower in the D + FLOT arm of the model, which does not align with the inferiority safety claim.</w:t>
      </w:r>
      <w:r w:rsidR="00E501CB" w:rsidRPr="00874BE1">
        <w:t xml:space="preserve"> </w:t>
      </w:r>
      <w:r w:rsidR="005E00A2" w:rsidRPr="00874BE1">
        <w:t>Based on this observation, the</w:t>
      </w:r>
      <w:r w:rsidR="00FF0FA6" w:rsidRPr="00874BE1">
        <w:t xml:space="preserve"> QALY benefits for D + FLOT may be </w:t>
      </w:r>
      <w:r w:rsidR="005E00A2" w:rsidRPr="00874BE1">
        <w:t xml:space="preserve">overstated. </w:t>
      </w:r>
    </w:p>
    <w:p w14:paraId="4EE3D872" w14:textId="696F557B" w:rsidR="00361817" w:rsidRPr="00874BE1" w:rsidRDefault="00F029BE" w:rsidP="005901BE">
      <w:pPr>
        <w:pStyle w:val="3-BodyText"/>
        <w:spacing w:before="160" w:after="160"/>
      </w:pPr>
      <w:r w:rsidRPr="00874BE1">
        <w:t xml:space="preserve">While </w:t>
      </w:r>
      <w:r w:rsidR="007844C8" w:rsidRPr="00874BE1">
        <w:t xml:space="preserve">D + FLOT was associated with higher rates of </w:t>
      </w:r>
      <w:r w:rsidR="00CF7BCC" w:rsidRPr="00874BE1">
        <w:t>imAEs, infusion reactions</w:t>
      </w:r>
      <w:r w:rsidR="00595D85" w:rsidRPr="00874BE1">
        <w:t>, AE</w:t>
      </w:r>
      <w:r w:rsidR="0078753D" w:rsidRPr="00874BE1">
        <w:t>s</w:t>
      </w:r>
      <w:r w:rsidR="0042757C" w:rsidRPr="00874BE1">
        <w:t xml:space="preserve"> possibly related to durvalumab/placebo</w:t>
      </w:r>
      <w:r w:rsidR="003576D4" w:rsidRPr="00874BE1">
        <w:t xml:space="preserve">, </w:t>
      </w:r>
      <w:r w:rsidR="006726FE" w:rsidRPr="00874BE1">
        <w:t>study drug</w:t>
      </w:r>
      <w:r w:rsidR="00675F55">
        <w:noBreakHyphen/>
      </w:r>
      <w:r w:rsidR="006726FE" w:rsidRPr="00874BE1">
        <w:t xml:space="preserve">related </w:t>
      </w:r>
      <w:r w:rsidR="003576D4" w:rsidRPr="00874BE1">
        <w:t xml:space="preserve">AEs and AEs leading to </w:t>
      </w:r>
      <w:r w:rsidR="006A0D58" w:rsidRPr="00874BE1">
        <w:t xml:space="preserve">treatment </w:t>
      </w:r>
      <w:r w:rsidR="00375F50" w:rsidRPr="00874BE1">
        <w:t>discontinuation</w:t>
      </w:r>
      <w:r w:rsidR="003576D4" w:rsidRPr="00874BE1">
        <w:t xml:space="preserve"> </w:t>
      </w:r>
      <w:r w:rsidR="006B3B40" w:rsidRPr="00874BE1">
        <w:t>relative to FLOT</w:t>
      </w:r>
      <w:r w:rsidR="00375F50" w:rsidRPr="00874BE1">
        <w:t xml:space="preserve">, </w:t>
      </w:r>
      <w:r w:rsidR="00B31B32" w:rsidRPr="00874BE1">
        <w:t xml:space="preserve">the </w:t>
      </w:r>
      <w:r w:rsidR="00935E6F" w:rsidRPr="00874BE1">
        <w:t xml:space="preserve">overall </w:t>
      </w:r>
      <w:r w:rsidR="00B31B32" w:rsidRPr="00874BE1">
        <w:t xml:space="preserve">incidence </w:t>
      </w:r>
      <w:r w:rsidR="00D145E8" w:rsidRPr="00874BE1">
        <w:t>AEs of grade 3 or 4</w:t>
      </w:r>
      <w:r w:rsidR="00B31B32" w:rsidRPr="00874BE1">
        <w:t>—</w:t>
      </w:r>
      <w:r w:rsidR="006E6396" w:rsidRPr="00874BE1">
        <w:t>including those possibly related to durvalumab/placebo</w:t>
      </w:r>
      <w:r w:rsidR="00B31B32" w:rsidRPr="00874BE1">
        <w:t>—</w:t>
      </w:r>
      <w:r w:rsidR="006E6396" w:rsidRPr="00874BE1">
        <w:t>did not differ across treatment arms.</w:t>
      </w:r>
      <w:r w:rsidR="006B3B40" w:rsidRPr="00874BE1">
        <w:t xml:space="preserve"> </w:t>
      </w:r>
      <w:r w:rsidR="00130270" w:rsidRPr="00874BE1">
        <w:t>The model only captured</w:t>
      </w:r>
      <w:r w:rsidR="00121D2D" w:rsidRPr="00874BE1">
        <w:t xml:space="preserve"> AEs of grade ≥3 occurring in ≥5% of patients in either treatment arm</w:t>
      </w:r>
      <w:r w:rsidR="00130270" w:rsidRPr="00874BE1">
        <w:t xml:space="preserve"> </w:t>
      </w:r>
      <w:r w:rsidR="00A66770" w:rsidRPr="00874BE1">
        <w:t xml:space="preserve">(neutropenia, neutrophil count decreased, diarrhoea, and white blood </w:t>
      </w:r>
      <w:r w:rsidR="0043137A" w:rsidRPr="00874BE1">
        <w:t xml:space="preserve">cell </w:t>
      </w:r>
      <w:r w:rsidR="00A66770" w:rsidRPr="00874BE1">
        <w:t xml:space="preserve">count </w:t>
      </w:r>
      <w:r w:rsidR="0043137A" w:rsidRPr="00874BE1">
        <w:t>decreased)</w:t>
      </w:r>
      <w:r w:rsidR="00121D2D" w:rsidRPr="00874BE1">
        <w:t xml:space="preserve">. </w:t>
      </w:r>
      <w:r w:rsidR="0033447B" w:rsidRPr="00874BE1">
        <w:t xml:space="preserve">The proportion of patients with imAEs was higher in the D + FLOT arm (23.2%) compared to the Pbo + FLOT arm (7.2%). </w:t>
      </w:r>
      <w:r w:rsidR="00CE524E" w:rsidRPr="00874BE1">
        <w:t>Most imAEs were grade 1–2 events and were therefore not captured in the economic model</w:t>
      </w:r>
      <w:r w:rsidR="00044348" w:rsidRPr="00874BE1">
        <w:t>.</w:t>
      </w:r>
      <w:r w:rsidR="00275E68" w:rsidRPr="00874BE1">
        <w:t xml:space="preserve"> </w:t>
      </w:r>
      <w:r w:rsidR="003D5CE4">
        <w:t>However, t</w:t>
      </w:r>
      <w:r w:rsidR="006A73EE" w:rsidRPr="00A50A80">
        <w:t>he</w:t>
      </w:r>
      <w:r w:rsidR="006A73EE" w:rsidRPr="00AB6D55">
        <w:rPr>
          <w:i/>
          <w:iCs/>
        </w:rPr>
        <w:t xml:space="preserve"> </w:t>
      </w:r>
      <w:r w:rsidR="006A73EE" w:rsidRPr="00B7254D">
        <w:t xml:space="preserve">PSCR noted that the ICER is not sensitive to the QALY decrements </w:t>
      </w:r>
      <w:r w:rsidR="00F014EF" w:rsidRPr="00B7254D">
        <w:t>associated with AEs</w:t>
      </w:r>
      <w:r w:rsidR="00DF1DD8" w:rsidRPr="00B7254D">
        <w:t>.</w:t>
      </w:r>
    </w:p>
    <w:p w14:paraId="0A32C072" w14:textId="51A2E7D0" w:rsidR="00A50BB8" w:rsidRPr="00535654" w:rsidRDefault="00A50BB8" w:rsidP="005901BE">
      <w:pPr>
        <w:pStyle w:val="3-BodyText"/>
        <w:spacing w:before="160" w:after="160"/>
      </w:pPr>
      <w:r w:rsidRPr="00874BE1">
        <w:t xml:space="preserve">Based on the sensitivity analyses conducted in the submission and during the evaluation, the key model drivers were the time horizon, the incorporation of cure </w:t>
      </w:r>
      <w:r w:rsidR="00AB705E" w:rsidRPr="00874BE1">
        <w:t>assumption</w:t>
      </w:r>
      <w:r w:rsidRPr="00874BE1">
        <w:t xml:space="preserve">, </w:t>
      </w:r>
      <w:r w:rsidR="009743C4">
        <w:t xml:space="preserve">and </w:t>
      </w:r>
      <w:r w:rsidR="001D36F0">
        <w:t xml:space="preserve">the </w:t>
      </w:r>
      <w:r w:rsidR="009743C4">
        <w:t xml:space="preserve">adjustment to the </w:t>
      </w:r>
      <w:r w:rsidR="001D36F0">
        <w:t>proportion of IO</w:t>
      </w:r>
      <w:r w:rsidR="009743C4">
        <w:t xml:space="preserve"> use as subsequent therapy</w:t>
      </w:r>
      <w:r w:rsidRPr="00874BE1">
        <w:t xml:space="preserve">. The key drivers of the model are summarised in </w:t>
      </w:r>
      <w:r w:rsidR="002F0501" w:rsidRPr="00874BE1">
        <w:fldChar w:fldCharType="begin"/>
      </w:r>
      <w:r w:rsidR="002F0501" w:rsidRPr="00874BE1">
        <w:instrText xml:space="preserve"> REF _Ref216846661 \h </w:instrText>
      </w:r>
      <w:r w:rsidR="00874BE1">
        <w:instrText xml:space="preserve"> \* MERGEFORMAT </w:instrText>
      </w:r>
      <w:r w:rsidR="002F0501" w:rsidRPr="00874BE1">
        <w:fldChar w:fldCharType="separate"/>
      </w:r>
      <w:r w:rsidR="00E71342" w:rsidRPr="00874BE1">
        <w:t xml:space="preserve">Table </w:t>
      </w:r>
      <w:r w:rsidR="00E71342" w:rsidRPr="00874BE1">
        <w:rPr>
          <w:noProof/>
        </w:rPr>
        <w:t>10</w:t>
      </w:r>
      <w:r w:rsidR="002F0501" w:rsidRPr="00874BE1">
        <w:fldChar w:fldCharType="end"/>
      </w:r>
      <w:r>
        <w:t>.</w:t>
      </w:r>
    </w:p>
    <w:p w14:paraId="580D95ED" w14:textId="3CED4ACE" w:rsidR="00A50BB8" w:rsidRPr="0098262F" w:rsidRDefault="00A50BB8" w:rsidP="00AE4446">
      <w:pPr>
        <w:pStyle w:val="Caption"/>
        <w:keepLines w:val="0"/>
        <w:rPr>
          <w:rStyle w:val="CommentReference"/>
          <w:b/>
          <w:szCs w:val="24"/>
        </w:rPr>
      </w:pPr>
      <w:bookmarkStart w:id="47" w:name="_Ref216846661"/>
      <w:r w:rsidRPr="0098262F">
        <w:lastRenderedPageBreak/>
        <w:t xml:space="preserve">Table </w:t>
      </w:r>
      <w:fldSimple w:instr=" SEQ Table_ \* ARABIC ">
        <w:r w:rsidR="00E71342">
          <w:rPr>
            <w:noProof/>
          </w:rPr>
          <w:t>10</w:t>
        </w:r>
      </w:fldSimple>
      <w:bookmarkEnd w:id="47"/>
      <w:r w:rsidR="00426C31">
        <w:t>:</w:t>
      </w:r>
      <w:r>
        <w:t xml:space="preserve"> </w:t>
      </w:r>
      <w:r w:rsidRPr="0098262F">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129"/>
        <w:gridCol w:w="4112"/>
        <w:gridCol w:w="3776"/>
      </w:tblGrid>
      <w:tr w:rsidR="00BD20FD" w:rsidRPr="00B7254D" w14:paraId="76E4A544" w14:textId="77777777" w:rsidTr="0035324F">
        <w:trPr>
          <w:cantSplit/>
          <w:tblHeader/>
        </w:trPr>
        <w:tc>
          <w:tcPr>
            <w:tcW w:w="626" w:type="pct"/>
            <w:vAlign w:val="center"/>
          </w:tcPr>
          <w:p w14:paraId="1C3D8E00" w14:textId="77777777" w:rsidR="00A50BB8" w:rsidRPr="00B7254D" w:rsidRDefault="00A50BB8" w:rsidP="008E04B8">
            <w:pPr>
              <w:pStyle w:val="TableFigureHeading"/>
              <w:jc w:val="center"/>
            </w:pPr>
            <w:r w:rsidRPr="00B7254D">
              <w:t>Description</w:t>
            </w:r>
          </w:p>
        </w:tc>
        <w:tc>
          <w:tcPr>
            <w:tcW w:w="2280" w:type="pct"/>
            <w:vAlign w:val="center"/>
          </w:tcPr>
          <w:p w14:paraId="007D54DE" w14:textId="77777777" w:rsidR="00A50BB8" w:rsidRPr="00B7254D" w:rsidRDefault="00A50BB8" w:rsidP="008E04B8">
            <w:pPr>
              <w:pStyle w:val="TableFigureHeading"/>
              <w:jc w:val="center"/>
            </w:pPr>
            <w:r w:rsidRPr="00B7254D">
              <w:t>Method/Value</w:t>
            </w:r>
          </w:p>
        </w:tc>
        <w:tc>
          <w:tcPr>
            <w:tcW w:w="2094" w:type="pct"/>
            <w:vAlign w:val="center"/>
          </w:tcPr>
          <w:p w14:paraId="632D8B55" w14:textId="77777777" w:rsidR="00A50BB8" w:rsidRPr="00B7254D" w:rsidRDefault="00A50BB8" w:rsidP="008E04B8">
            <w:pPr>
              <w:pStyle w:val="TableFigureHeading"/>
              <w:jc w:val="center"/>
            </w:pPr>
            <w:r w:rsidRPr="00B7254D">
              <w:t>Impact</w:t>
            </w:r>
          </w:p>
          <w:p w14:paraId="65472F0B" w14:textId="6F1BB9FB" w:rsidR="00A50BB8" w:rsidRPr="00B7254D" w:rsidRDefault="00A50BB8" w:rsidP="008E04B8">
            <w:pPr>
              <w:pStyle w:val="TableFigureHeading"/>
              <w:jc w:val="center"/>
            </w:pPr>
            <w:r w:rsidRPr="00B7254D">
              <w:rPr>
                <w:rFonts w:cs="Arial"/>
                <w:szCs w:val="20"/>
              </w:rPr>
              <w:t>Base case: $</w:t>
            </w:r>
            <w:r w:rsidR="00EB1862" w:rsidRPr="00EB1862">
              <w:rPr>
                <w:rFonts w:cs="Arial"/>
                <w:sz w:val="2"/>
                <w:szCs w:val="20"/>
                <w:highlight w:val="black"/>
              </w:rPr>
              <w:t>redacted content</w:t>
            </w:r>
            <w:r w:rsidR="00860036">
              <w:rPr>
                <w:rFonts w:cs="Arial"/>
                <w:szCs w:val="20"/>
                <w:vertAlign w:val="superscript"/>
              </w:rPr>
              <w:t>1</w:t>
            </w:r>
            <w:r w:rsidRPr="00B7254D">
              <w:rPr>
                <w:rFonts w:cs="Arial"/>
                <w:szCs w:val="20"/>
              </w:rPr>
              <w:t>/QALY gained</w:t>
            </w:r>
          </w:p>
        </w:tc>
      </w:tr>
      <w:tr w:rsidR="00BD20FD" w:rsidRPr="00B7254D" w14:paraId="6456D7EF" w14:textId="77777777" w:rsidTr="00175E95">
        <w:trPr>
          <w:cantSplit/>
        </w:trPr>
        <w:tc>
          <w:tcPr>
            <w:tcW w:w="626" w:type="pct"/>
            <w:vAlign w:val="center"/>
          </w:tcPr>
          <w:p w14:paraId="3CA50D9A" w14:textId="77777777" w:rsidR="00A50BB8" w:rsidRPr="00B7254D" w:rsidRDefault="00A50BB8" w:rsidP="008E04B8">
            <w:pPr>
              <w:pStyle w:val="TableText0"/>
              <w:keepLines w:val="0"/>
            </w:pPr>
            <w:r w:rsidRPr="00B7254D">
              <w:t>Time horizon</w:t>
            </w:r>
          </w:p>
        </w:tc>
        <w:tc>
          <w:tcPr>
            <w:tcW w:w="2280" w:type="pct"/>
          </w:tcPr>
          <w:p w14:paraId="75125BA8" w14:textId="6A75639E" w:rsidR="00A50BB8" w:rsidRPr="00B7254D" w:rsidRDefault="00A50BB8" w:rsidP="00175E95">
            <w:pPr>
              <w:pStyle w:val="TableText0"/>
              <w:keepLines w:val="0"/>
            </w:pPr>
            <w:r w:rsidRPr="00B7254D">
              <w:t>A 25</w:t>
            </w:r>
            <w:r w:rsidR="00675F55">
              <w:noBreakHyphen/>
            </w:r>
            <w:r w:rsidRPr="00B7254D">
              <w:t>year time horizon was used in the base case and alternate time horizons</w:t>
            </w:r>
            <w:r w:rsidR="004963CC" w:rsidRPr="00B7254D">
              <w:t xml:space="preserve"> (</w:t>
            </w:r>
            <w:r w:rsidR="0002242C" w:rsidRPr="00B7254D">
              <w:t xml:space="preserve">5, 10, </w:t>
            </w:r>
            <w:r w:rsidR="004963CC" w:rsidRPr="00B7254D">
              <w:t>15, 20 and 30 years)</w:t>
            </w:r>
            <w:r w:rsidRPr="00B7254D">
              <w:t xml:space="preserve"> tested in the sensitivity analyses.</w:t>
            </w:r>
          </w:p>
        </w:tc>
        <w:tc>
          <w:tcPr>
            <w:tcW w:w="2094" w:type="pct"/>
            <w:vAlign w:val="center"/>
          </w:tcPr>
          <w:p w14:paraId="5C533E2E" w14:textId="05C860BC" w:rsidR="00A50BB8" w:rsidRPr="00B7254D" w:rsidRDefault="00FF4E16" w:rsidP="008E04B8">
            <w:pPr>
              <w:pStyle w:val="TableText0"/>
              <w:keepLines w:val="0"/>
            </w:pPr>
            <w:r w:rsidRPr="00B7254D">
              <w:t>Moderate</w:t>
            </w:r>
            <w:r w:rsidR="00675F55">
              <w:noBreakHyphen/>
            </w:r>
            <w:r w:rsidRPr="00B7254D">
              <w:t>h</w:t>
            </w:r>
            <w:r w:rsidR="00A50BB8" w:rsidRPr="00B7254D">
              <w:t>igh, potential to favour D</w:t>
            </w:r>
            <w:r w:rsidR="00A70733" w:rsidRPr="00B7254D">
              <w:t xml:space="preserve"> </w:t>
            </w:r>
            <w:r w:rsidR="00A50BB8" w:rsidRPr="00B7254D">
              <w:t>+</w:t>
            </w:r>
            <w:r w:rsidR="00A70733" w:rsidRPr="00B7254D">
              <w:t xml:space="preserve"> </w:t>
            </w:r>
            <w:r w:rsidR="00A50BB8" w:rsidRPr="00B7254D">
              <w:t>FLOT.</w:t>
            </w:r>
          </w:p>
          <w:p w14:paraId="1694C504" w14:textId="384612D2" w:rsidR="00A50BB8" w:rsidRPr="00B7254D" w:rsidRDefault="00A50BB8" w:rsidP="008E04B8">
            <w:pPr>
              <w:pStyle w:val="TableText0"/>
              <w:keepLines w:val="0"/>
            </w:pPr>
            <w:r w:rsidRPr="00B7254D">
              <w:t>Use of a 20</w:t>
            </w:r>
            <w:r w:rsidR="00675F55">
              <w:noBreakHyphen/>
            </w:r>
            <w:r w:rsidRPr="00B7254D">
              <w:t>year time horizon increased the ICER to $</w:t>
            </w:r>
            <w:r w:rsidR="00EB1862" w:rsidRPr="00EB1862">
              <w:rPr>
                <w:sz w:val="2"/>
                <w:highlight w:val="black"/>
              </w:rPr>
              <w:t>redacted content</w:t>
            </w:r>
            <w:r w:rsidR="00860036">
              <w:rPr>
                <w:vertAlign w:val="superscript"/>
              </w:rPr>
              <w:t>1</w:t>
            </w:r>
            <w:r w:rsidRPr="00B7254D">
              <w:t>/QALY gained.</w:t>
            </w:r>
          </w:p>
        </w:tc>
      </w:tr>
      <w:tr w:rsidR="002776C1" w:rsidRPr="00B7254D" w14:paraId="60CC8B5A" w14:textId="77777777" w:rsidTr="00175E95">
        <w:trPr>
          <w:cantSplit/>
        </w:trPr>
        <w:tc>
          <w:tcPr>
            <w:tcW w:w="626" w:type="pct"/>
            <w:vAlign w:val="center"/>
          </w:tcPr>
          <w:p w14:paraId="3349CC00" w14:textId="09FB0519" w:rsidR="002776C1" w:rsidRPr="00B7254D" w:rsidRDefault="00D75351" w:rsidP="008E04B8">
            <w:pPr>
              <w:pStyle w:val="TableText0"/>
              <w:keepLines w:val="0"/>
            </w:pPr>
            <w:r w:rsidRPr="00B7254D">
              <w:t>P</w:t>
            </w:r>
            <w:r w:rsidR="007E6980" w:rsidRPr="00B7254D">
              <w:t>roportion IO use in FLOT arm</w:t>
            </w:r>
          </w:p>
        </w:tc>
        <w:tc>
          <w:tcPr>
            <w:tcW w:w="2280" w:type="pct"/>
          </w:tcPr>
          <w:p w14:paraId="3123F611" w14:textId="64BFE584" w:rsidR="002776C1" w:rsidRPr="00B7254D" w:rsidRDefault="00BD2F27" w:rsidP="00175E95">
            <w:pPr>
              <w:pStyle w:val="TableText0"/>
              <w:keepLines w:val="0"/>
            </w:pPr>
            <w:r w:rsidRPr="00B7254D">
              <w:t>Post</w:t>
            </w:r>
            <w:r w:rsidR="00675F55">
              <w:noBreakHyphen/>
            </w:r>
            <w:r w:rsidRPr="00B7254D">
              <w:t xml:space="preserve">recurrence subsequent IO </w:t>
            </w:r>
            <w:r w:rsidR="007E1AF3" w:rsidRPr="00B7254D">
              <w:t xml:space="preserve">(nivolumab) for the FLOT arm was </w:t>
            </w:r>
            <w:r w:rsidR="00C44866" w:rsidRPr="00B7254D">
              <w:t xml:space="preserve">adjusted </w:t>
            </w:r>
            <w:r w:rsidR="004739F3" w:rsidRPr="00B7254D">
              <w:t xml:space="preserve">from </w:t>
            </w:r>
            <w:r w:rsidR="004739F3" w:rsidRPr="000258FA">
              <w:t>29.4%</w:t>
            </w:r>
            <w:r w:rsidR="00D70047" w:rsidRPr="000258FA">
              <w:t xml:space="preserve"> to </w:t>
            </w:r>
            <w:r w:rsidR="00EB1862" w:rsidRPr="00EB1862">
              <w:rPr>
                <w:sz w:val="2"/>
                <w:highlight w:val="black"/>
              </w:rPr>
              <w:t>redacted content</w:t>
            </w:r>
            <w:r w:rsidR="00D70047" w:rsidRPr="000258FA">
              <w:t>%</w:t>
            </w:r>
            <w:r w:rsidR="004739F3" w:rsidRPr="000258FA">
              <w:t xml:space="preserve"> </w:t>
            </w:r>
            <w:r w:rsidR="00D70047" w:rsidRPr="000258FA">
              <w:t>in</w:t>
            </w:r>
            <w:r w:rsidR="00D70047" w:rsidRPr="00B7254D">
              <w:t xml:space="preserve"> the</w:t>
            </w:r>
            <w:r w:rsidR="00C976D7" w:rsidRPr="00B7254D">
              <w:t xml:space="preserve"> base case</w:t>
            </w:r>
            <w:r w:rsidR="00D17E6E" w:rsidRPr="00B7254D">
              <w:t>.</w:t>
            </w:r>
          </w:p>
        </w:tc>
        <w:tc>
          <w:tcPr>
            <w:tcW w:w="2094" w:type="pct"/>
          </w:tcPr>
          <w:p w14:paraId="1B34DD45" w14:textId="29CE5D79" w:rsidR="002776C1" w:rsidRPr="00B7254D" w:rsidRDefault="00FF4E16" w:rsidP="00517EFA">
            <w:pPr>
              <w:pStyle w:val="TableText0"/>
              <w:keepLines w:val="0"/>
            </w:pPr>
            <w:r w:rsidRPr="00B7254D">
              <w:t>Moderate</w:t>
            </w:r>
            <w:r w:rsidR="00675F55">
              <w:noBreakHyphen/>
            </w:r>
            <w:r w:rsidRPr="00B7254D">
              <w:t>h</w:t>
            </w:r>
            <w:r w:rsidR="00637F40" w:rsidRPr="00B7254D">
              <w:t>igh</w:t>
            </w:r>
            <w:r w:rsidR="00FA6938" w:rsidRPr="00B7254D">
              <w:t>, favour D + FLOT</w:t>
            </w:r>
            <w:r w:rsidR="003F5783" w:rsidRPr="00B7254D">
              <w:t xml:space="preserve">. </w:t>
            </w:r>
          </w:p>
          <w:p w14:paraId="4BA3AA64" w14:textId="446420A5" w:rsidR="003F5783" w:rsidRPr="00B7254D" w:rsidRDefault="00234AF6" w:rsidP="00517EFA">
            <w:pPr>
              <w:pStyle w:val="TableText0"/>
              <w:keepLines w:val="0"/>
            </w:pPr>
            <w:r w:rsidRPr="00B7254D">
              <w:t xml:space="preserve">Exclusion of adjustment </w:t>
            </w:r>
            <w:r w:rsidR="001620A9" w:rsidRPr="00B7254D">
              <w:t>(i.e. use of trial</w:t>
            </w:r>
            <w:r w:rsidR="00675F55">
              <w:noBreakHyphen/>
            </w:r>
            <w:r w:rsidR="001620A9" w:rsidRPr="00B7254D">
              <w:t>informed 29.4%</w:t>
            </w:r>
            <w:r w:rsidR="00A63C64" w:rsidRPr="00B7254D">
              <w:t xml:space="preserve"> IO use</w:t>
            </w:r>
            <w:r w:rsidR="001620A9" w:rsidRPr="00B7254D">
              <w:t xml:space="preserve">) </w:t>
            </w:r>
            <w:r w:rsidR="00C7401F" w:rsidRPr="00B7254D">
              <w:t xml:space="preserve">increased the ICER by </w:t>
            </w:r>
            <w:r w:rsidR="00EB1862" w:rsidRPr="00EB1862">
              <w:rPr>
                <w:sz w:val="2"/>
                <w:highlight w:val="black"/>
              </w:rPr>
              <w:t>redacted content</w:t>
            </w:r>
            <w:r w:rsidR="00C7401F" w:rsidRPr="00B7254D">
              <w:t>%</w:t>
            </w:r>
            <w:r w:rsidR="003C12BC" w:rsidRPr="00B7254D">
              <w:t xml:space="preserve"> ($</w:t>
            </w:r>
            <w:r w:rsidR="00EB1862" w:rsidRPr="00EB1862">
              <w:rPr>
                <w:sz w:val="2"/>
                <w:highlight w:val="black"/>
              </w:rPr>
              <w:t>redacted content</w:t>
            </w:r>
            <w:r w:rsidR="00860036">
              <w:rPr>
                <w:vertAlign w:val="superscript"/>
              </w:rPr>
              <w:t>1</w:t>
            </w:r>
            <w:r w:rsidR="007C3041" w:rsidRPr="00B7254D">
              <w:t>/QALY).</w:t>
            </w:r>
          </w:p>
        </w:tc>
      </w:tr>
      <w:tr w:rsidR="00675360" w:rsidRPr="00B7254D" w14:paraId="204F3DCF" w14:textId="77777777" w:rsidTr="00175E95">
        <w:trPr>
          <w:cantSplit/>
        </w:trPr>
        <w:tc>
          <w:tcPr>
            <w:tcW w:w="626" w:type="pct"/>
            <w:vAlign w:val="center"/>
          </w:tcPr>
          <w:p w14:paraId="5A4C0ECD" w14:textId="30D560AE" w:rsidR="00675360" w:rsidRPr="00B7254D" w:rsidRDefault="00675360" w:rsidP="008E04B8">
            <w:pPr>
              <w:pStyle w:val="TableText0"/>
              <w:keepLines w:val="0"/>
            </w:pPr>
            <w:r w:rsidRPr="00B7254D">
              <w:t>Extrapolation</w:t>
            </w:r>
          </w:p>
        </w:tc>
        <w:tc>
          <w:tcPr>
            <w:tcW w:w="2280" w:type="pct"/>
          </w:tcPr>
          <w:p w14:paraId="32E0BB6B" w14:textId="356F403B" w:rsidR="00675360" w:rsidRPr="00B7254D" w:rsidRDefault="00A94530" w:rsidP="00175E95">
            <w:pPr>
              <w:pStyle w:val="TableText0"/>
              <w:keepLines w:val="0"/>
            </w:pPr>
            <w:r w:rsidRPr="00B7254D">
              <w:t xml:space="preserve">The </w:t>
            </w:r>
            <w:r w:rsidR="00620727" w:rsidRPr="00B7254D">
              <w:t>L</w:t>
            </w:r>
            <w:r w:rsidR="007075C7" w:rsidRPr="00B7254D">
              <w:t xml:space="preserve">ognormal </w:t>
            </w:r>
            <w:r w:rsidR="00BA1AB3" w:rsidRPr="00B7254D">
              <w:t>parametric function was</w:t>
            </w:r>
            <w:r w:rsidR="006D7F5F" w:rsidRPr="00B7254D">
              <w:t xml:space="preserve"> </w:t>
            </w:r>
            <w:r w:rsidR="004C18D5" w:rsidRPr="00B7254D">
              <w:t>applied for the time to death as first event</w:t>
            </w:r>
            <w:r w:rsidR="000A6DEF" w:rsidRPr="00B7254D">
              <w:t xml:space="preserve"> </w:t>
            </w:r>
            <w:r w:rsidR="003E0DC4" w:rsidRPr="00B7254D">
              <w:t xml:space="preserve">and </w:t>
            </w:r>
            <w:r w:rsidR="00620727" w:rsidRPr="00B7254D">
              <w:t>E</w:t>
            </w:r>
            <w:r w:rsidR="00B9757E" w:rsidRPr="00B7254D">
              <w:t>xponential function for the post</w:t>
            </w:r>
            <w:r w:rsidR="00675F55">
              <w:noBreakHyphen/>
            </w:r>
            <w:r w:rsidR="00B9757E" w:rsidRPr="00B7254D">
              <w:t xml:space="preserve">recurrence survival </w:t>
            </w:r>
            <w:r w:rsidR="00090882" w:rsidRPr="00B7254D">
              <w:t>for the base case</w:t>
            </w:r>
            <w:r w:rsidR="001A014E" w:rsidRPr="00B7254D">
              <w:t xml:space="preserve"> for both arms</w:t>
            </w:r>
            <w:r w:rsidR="00090882" w:rsidRPr="00B7254D">
              <w:t>.</w:t>
            </w:r>
          </w:p>
        </w:tc>
        <w:tc>
          <w:tcPr>
            <w:tcW w:w="2094" w:type="pct"/>
          </w:tcPr>
          <w:p w14:paraId="6905FD1F" w14:textId="27AFAD38" w:rsidR="00675360" w:rsidRPr="00B7254D" w:rsidRDefault="00B36D3E" w:rsidP="00517EFA">
            <w:pPr>
              <w:pStyle w:val="TableText0"/>
              <w:keepLines w:val="0"/>
            </w:pPr>
            <w:r w:rsidRPr="00B7254D">
              <w:t>D</w:t>
            </w:r>
            <w:r w:rsidR="009B45AB" w:rsidRPr="00B7254D">
              <w:t>irection of impact is unclear.</w:t>
            </w:r>
          </w:p>
          <w:p w14:paraId="376A3C39" w14:textId="2A1AF0BD" w:rsidR="00B8218D" w:rsidRPr="00B7254D" w:rsidRDefault="00C45288" w:rsidP="00517EFA">
            <w:pPr>
              <w:pStyle w:val="TableText0"/>
              <w:keepLines w:val="0"/>
            </w:pPr>
            <w:r w:rsidRPr="00B7254D">
              <w:t xml:space="preserve">Use of Generalised Gamma function for time to event as a first event reduced the ICER by </w:t>
            </w:r>
            <w:r w:rsidR="00EB1862" w:rsidRPr="00EB1862">
              <w:rPr>
                <w:sz w:val="2"/>
                <w:highlight w:val="black"/>
              </w:rPr>
              <w:t>redacted content</w:t>
            </w:r>
            <w:r w:rsidR="00B8218D" w:rsidRPr="00B7254D">
              <w:t>% ($</w:t>
            </w:r>
            <w:r w:rsidR="00EB1862" w:rsidRPr="00EB1862">
              <w:rPr>
                <w:sz w:val="2"/>
                <w:highlight w:val="black"/>
              </w:rPr>
              <w:t>redacted content</w:t>
            </w:r>
            <w:r w:rsidR="00FF5724">
              <w:rPr>
                <w:vertAlign w:val="superscript"/>
              </w:rPr>
              <w:t>2</w:t>
            </w:r>
            <w:r w:rsidR="00B8218D" w:rsidRPr="00B7254D">
              <w:t>/QALY).</w:t>
            </w:r>
          </w:p>
          <w:p w14:paraId="7282D5C1" w14:textId="704492F7" w:rsidR="00675360" w:rsidRPr="00B7254D" w:rsidRDefault="00B8218D" w:rsidP="00517EFA">
            <w:pPr>
              <w:pStyle w:val="TableText0"/>
              <w:keepLines w:val="0"/>
            </w:pPr>
            <w:r w:rsidRPr="00B7254D">
              <w:t>Use of</w:t>
            </w:r>
            <w:r w:rsidR="00C45288" w:rsidRPr="00B7254D">
              <w:t xml:space="preserve"> Log</w:t>
            </w:r>
            <w:r w:rsidR="00675F55">
              <w:noBreakHyphen/>
            </w:r>
            <w:r w:rsidR="00C45288" w:rsidRPr="00B7254D">
              <w:t>logistic function for post</w:t>
            </w:r>
            <w:r w:rsidR="00675F55">
              <w:noBreakHyphen/>
            </w:r>
            <w:r w:rsidR="00C45288" w:rsidRPr="00B7254D">
              <w:t>recurrence survival</w:t>
            </w:r>
            <w:r w:rsidRPr="00B7254D">
              <w:t xml:space="preserve"> increased the </w:t>
            </w:r>
            <w:r w:rsidR="00B13E07" w:rsidRPr="00B7254D">
              <w:t xml:space="preserve">ICER by </w:t>
            </w:r>
            <w:r w:rsidR="00EB1862" w:rsidRPr="00EB1862">
              <w:rPr>
                <w:sz w:val="2"/>
                <w:highlight w:val="black"/>
              </w:rPr>
              <w:t>redacted content</w:t>
            </w:r>
            <w:r w:rsidR="00B13E07" w:rsidRPr="00B7254D">
              <w:t>% ($</w:t>
            </w:r>
            <w:r w:rsidR="00EB1862" w:rsidRPr="00EB1862">
              <w:rPr>
                <w:sz w:val="2"/>
                <w:highlight w:val="black"/>
              </w:rPr>
              <w:t>redacted content</w:t>
            </w:r>
            <w:r w:rsidR="00860036">
              <w:rPr>
                <w:vertAlign w:val="superscript"/>
              </w:rPr>
              <w:t>1</w:t>
            </w:r>
            <w:r w:rsidR="00B13E07" w:rsidRPr="00B7254D">
              <w:t xml:space="preserve">/QALY). </w:t>
            </w:r>
          </w:p>
        </w:tc>
      </w:tr>
      <w:tr w:rsidR="00BD20FD" w:rsidRPr="00B7254D" w14:paraId="378F371D" w14:textId="77777777" w:rsidTr="00175E95">
        <w:trPr>
          <w:cantSplit/>
        </w:trPr>
        <w:tc>
          <w:tcPr>
            <w:tcW w:w="626" w:type="pct"/>
            <w:vAlign w:val="center"/>
          </w:tcPr>
          <w:p w14:paraId="2C67C036" w14:textId="096D7305" w:rsidR="00A50BB8" w:rsidRPr="00B7254D" w:rsidRDefault="00482FE5" w:rsidP="008E04B8">
            <w:pPr>
              <w:pStyle w:val="TableText0"/>
              <w:keepLines w:val="0"/>
            </w:pPr>
            <w:r w:rsidRPr="00B7254D">
              <w:t>Cure assumption</w:t>
            </w:r>
          </w:p>
        </w:tc>
        <w:tc>
          <w:tcPr>
            <w:tcW w:w="2280" w:type="pct"/>
          </w:tcPr>
          <w:p w14:paraId="234590CA" w14:textId="71448E07" w:rsidR="00A50BB8" w:rsidRPr="00B7254D" w:rsidRDefault="00632799" w:rsidP="00175E95">
            <w:pPr>
              <w:pStyle w:val="TableText0"/>
              <w:keepLines w:val="0"/>
            </w:pPr>
            <w:r w:rsidRPr="00B7254D">
              <w:t xml:space="preserve">The </w:t>
            </w:r>
            <w:r w:rsidR="00B06373" w:rsidRPr="00B7254D">
              <w:t>model incorporated a 10</w:t>
            </w:r>
            <w:r w:rsidR="00675F55">
              <w:noBreakHyphen/>
            </w:r>
            <w:r w:rsidR="00B06373" w:rsidRPr="00B7254D">
              <w:t xml:space="preserve">year ‘cure’ timepoint; beyond 10 years patients remaining EF </w:t>
            </w:r>
            <w:r w:rsidR="004743EA" w:rsidRPr="00B7254D">
              <w:t>are assumed to be effectively ‘cured’</w:t>
            </w:r>
            <w:r w:rsidR="005C71AB" w:rsidRPr="00B7254D">
              <w:t xml:space="preserve"> (i.e. no longer at risk of recurrence and with a risk of death equal to that of the general population). </w:t>
            </w:r>
          </w:p>
          <w:p w14:paraId="5AEEEA68" w14:textId="2C756553" w:rsidR="00A50BB8" w:rsidRPr="00B7254D" w:rsidRDefault="00A50BB8" w:rsidP="00175E95">
            <w:pPr>
              <w:pStyle w:val="TableText0"/>
              <w:keepLines w:val="0"/>
            </w:pPr>
          </w:p>
        </w:tc>
        <w:tc>
          <w:tcPr>
            <w:tcW w:w="2094" w:type="pct"/>
          </w:tcPr>
          <w:p w14:paraId="1AA3827B" w14:textId="44E19D04" w:rsidR="00A50BB8" w:rsidRPr="00B7254D" w:rsidRDefault="00B36D3E" w:rsidP="00517EFA">
            <w:pPr>
              <w:pStyle w:val="TableText0"/>
              <w:keepLines w:val="0"/>
            </w:pPr>
            <w:r w:rsidRPr="00B7254D">
              <w:t>Moderate</w:t>
            </w:r>
            <w:r w:rsidR="00A50BB8" w:rsidRPr="00B7254D">
              <w:t>, favour</w:t>
            </w:r>
            <w:r w:rsidR="00DF4319" w:rsidRPr="00B7254D">
              <w:t>s</w:t>
            </w:r>
            <w:r w:rsidR="00A50BB8" w:rsidRPr="00B7254D">
              <w:t xml:space="preserve"> D</w:t>
            </w:r>
            <w:r w:rsidR="00A70733" w:rsidRPr="00B7254D">
              <w:t xml:space="preserve"> </w:t>
            </w:r>
            <w:r w:rsidR="00A50BB8" w:rsidRPr="00B7254D">
              <w:t>+</w:t>
            </w:r>
            <w:r w:rsidR="00A70733" w:rsidRPr="00B7254D">
              <w:t xml:space="preserve"> </w:t>
            </w:r>
            <w:r w:rsidR="00A50BB8" w:rsidRPr="00B7254D">
              <w:t xml:space="preserve">FLOT. </w:t>
            </w:r>
          </w:p>
          <w:p w14:paraId="0DD17557" w14:textId="52C84F41" w:rsidR="00A50BB8" w:rsidRPr="00B7254D" w:rsidRDefault="00A50BB8" w:rsidP="00517EFA">
            <w:pPr>
              <w:pStyle w:val="TableText0"/>
              <w:keepLines w:val="0"/>
            </w:pPr>
            <w:r w:rsidRPr="00B7254D">
              <w:t>Exclusion of the cure assumption increase</w:t>
            </w:r>
            <w:r w:rsidR="004663AF" w:rsidRPr="00B7254D">
              <w:t>d</w:t>
            </w:r>
            <w:r w:rsidRPr="00B7254D">
              <w:t xml:space="preserve"> the ICER by </w:t>
            </w:r>
            <w:r w:rsidR="00EB1862" w:rsidRPr="00EB1862">
              <w:rPr>
                <w:sz w:val="2"/>
                <w:highlight w:val="black"/>
              </w:rPr>
              <w:t>redacted content</w:t>
            </w:r>
            <w:r w:rsidRPr="00B7254D">
              <w:t>% ($</w:t>
            </w:r>
            <w:r w:rsidR="00EB1862" w:rsidRPr="00EB1862">
              <w:rPr>
                <w:sz w:val="2"/>
                <w:highlight w:val="black"/>
              </w:rPr>
              <w:t>redacted content</w:t>
            </w:r>
            <w:r w:rsidR="00860036">
              <w:rPr>
                <w:vertAlign w:val="superscript"/>
              </w:rPr>
              <w:t>1</w:t>
            </w:r>
            <w:r w:rsidRPr="00B7254D">
              <w:t>/QALY) and using earlier cure timepoint</w:t>
            </w:r>
            <w:r w:rsidR="00D834EA" w:rsidRPr="00B7254D">
              <w:t>s</w:t>
            </w:r>
            <w:r w:rsidRPr="00B7254D">
              <w:t xml:space="preserve"> of 5</w:t>
            </w:r>
            <w:r w:rsidR="00D834EA" w:rsidRPr="00B7254D">
              <w:t xml:space="preserve"> and 7</w:t>
            </w:r>
            <w:r w:rsidRPr="00B7254D">
              <w:t xml:space="preserve"> years, increased the ICER by </w:t>
            </w:r>
            <w:r w:rsidR="00EB1862" w:rsidRPr="00EB1862">
              <w:rPr>
                <w:sz w:val="2"/>
                <w:highlight w:val="black"/>
              </w:rPr>
              <w:t>redacted content</w:t>
            </w:r>
            <w:r w:rsidRPr="00B7254D">
              <w:t>% ($</w:t>
            </w:r>
            <w:r w:rsidR="00EB1862" w:rsidRPr="00EB1862">
              <w:rPr>
                <w:sz w:val="2"/>
                <w:highlight w:val="black"/>
              </w:rPr>
              <w:t>redacted content</w:t>
            </w:r>
            <w:r w:rsidR="00860036">
              <w:rPr>
                <w:vertAlign w:val="superscript"/>
              </w:rPr>
              <w:t>1</w:t>
            </w:r>
            <w:r w:rsidRPr="00B7254D">
              <w:t>/QALY)</w:t>
            </w:r>
            <w:r w:rsidR="00D834EA" w:rsidRPr="00B7254D">
              <w:t xml:space="preserve"> and </w:t>
            </w:r>
            <w:r w:rsidR="00EB1862" w:rsidRPr="00EB1862">
              <w:rPr>
                <w:sz w:val="2"/>
                <w:highlight w:val="black"/>
              </w:rPr>
              <w:t>redacted content</w:t>
            </w:r>
            <w:r w:rsidR="00D834EA" w:rsidRPr="00B7254D">
              <w:t>% ($</w:t>
            </w:r>
            <w:r w:rsidR="00EB1862" w:rsidRPr="00EB1862">
              <w:rPr>
                <w:sz w:val="2"/>
                <w:highlight w:val="black"/>
              </w:rPr>
              <w:t>redacted content</w:t>
            </w:r>
            <w:r w:rsidR="00860036">
              <w:rPr>
                <w:vertAlign w:val="superscript"/>
              </w:rPr>
              <w:t>1</w:t>
            </w:r>
            <w:r w:rsidR="00D834EA" w:rsidRPr="00B7254D">
              <w:t>/QALY), respectively</w:t>
            </w:r>
            <w:r w:rsidRPr="00B7254D">
              <w:t>.</w:t>
            </w:r>
          </w:p>
        </w:tc>
      </w:tr>
    </w:tbl>
    <w:p w14:paraId="41A05A02" w14:textId="030E6734" w:rsidR="00A50BB8" w:rsidRPr="005901BE" w:rsidRDefault="00A50BB8" w:rsidP="00C1302F">
      <w:pPr>
        <w:pStyle w:val="TableFigureFooter"/>
      </w:pPr>
      <w:r w:rsidRPr="005901BE">
        <w:t>Source: Table 3</w:t>
      </w:r>
      <w:r w:rsidR="00675F55">
        <w:noBreakHyphen/>
      </w:r>
      <w:r w:rsidRPr="005901BE">
        <w:t>37, p158 of the submission</w:t>
      </w:r>
      <w:r w:rsidR="004E005F" w:rsidRPr="005901BE">
        <w:t>.</w:t>
      </w:r>
    </w:p>
    <w:p w14:paraId="70567652" w14:textId="7B7BEC8A" w:rsidR="00A50BB8" w:rsidRDefault="00A50BB8" w:rsidP="00C1302F">
      <w:pPr>
        <w:pStyle w:val="TableFigureFooter"/>
      </w:pPr>
      <w:r w:rsidRPr="005901BE">
        <w:t xml:space="preserve">D = durvalumab; </w:t>
      </w:r>
      <w:r w:rsidR="00B06373" w:rsidRPr="005901BE">
        <w:t xml:space="preserve">EF = event free; </w:t>
      </w:r>
      <w:r w:rsidRPr="005901BE">
        <w:t xml:space="preserve">ESC = </w:t>
      </w:r>
      <w:r w:rsidR="00432788" w:rsidRPr="005901BE">
        <w:t>Economics</w:t>
      </w:r>
      <w:r w:rsidR="00851DC6" w:rsidRPr="005901BE">
        <w:t xml:space="preserve"> Sub</w:t>
      </w:r>
      <w:r w:rsidR="00675F55">
        <w:noBreakHyphen/>
      </w:r>
      <w:r w:rsidR="00851DC6" w:rsidRPr="005901BE">
        <w:t>Committee</w:t>
      </w:r>
      <w:r w:rsidRPr="005901BE">
        <w:t xml:space="preserve">; FLOT = </w:t>
      </w:r>
      <w:r w:rsidR="001F4BD1" w:rsidRPr="005901BE">
        <w:t>5</w:t>
      </w:r>
      <w:r w:rsidR="00675F55">
        <w:noBreakHyphen/>
      </w:r>
      <w:r w:rsidRPr="005901BE">
        <w:t>fluorouracil</w:t>
      </w:r>
      <w:r w:rsidR="001F4BD1" w:rsidRPr="005901BE">
        <w:t xml:space="preserve">, </w:t>
      </w:r>
      <w:r w:rsidRPr="005901BE">
        <w:t>leucovorin</w:t>
      </w:r>
      <w:r w:rsidR="001F4BD1" w:rsidRPr="005901BE">
        <w:t xml:space="preserve">, </w:t>
      </w:r>
      <w:r w:rsidRPr="005901BE">
        <w:t>oxaliplatin</w:t>
      </w:r>
      <w:r w:rsidR="001F4BD1" w:rsidRPr="005901BE">
        <w:t xml:space="preserve"> and </w:t>
      </w:r>
      <w:r w:rsidRPr="005901BE">
        <w:t xml:space="preserve">docetaxel; </w:t>
      </w:r>
      <w:r w:rsidR="00432788" w:rsidRPr="005901BE">
        <w:t>ICER = incremental cost</w:t>
      </w:r>
      <w:r w:rsidR="00675F55">
        <w:noBreakHyphen/>
      </w:r>
      <w:r w:rsidR="00432788" w:rsidRPr="005901BE">
        <w:t>effectiveness ratio</w:t>
      </w:r>
      <w:r w:rsidRPr="005901BE">
        <w:t xml:space="preserve">; </w:t>
      </w:r>
      <w:r w:rsidR="007E6980" w:rsidRPr="005901BE">
        <w:t xml:space="preserve">IO = immunotherapy; </w:t>
      </w:r>
      <w:r w:rsidRPr="005901BE">
        <w:t xml:space="preserve">PBAC = </w:t>
      </w:r>
      <w:r w:rsidR="00851DC6" w:rsidRPr="005901BE">
        <w:t>Pharmaceutical Benefits Advisory Committee</w:t>
      </w:r>
      <w:r w:rsidRPr="005901BE">
        <w:t>; PSD = public summary document; QALY = quality</w:t>
      </w:r>
      <w:r w:rsidR="00675F55">
        <w:noBreakHyphen/>
      </w:r>
      <w:r w:rsidRPr="005901BE">
        <w:t>adjusted life</w:t>
      </w:r>
      <w:r w:rsidR="00675F55">
        <w:noBreakHyphen/>
      </w:r>
      <w:r w:rsidRPr="005901BE">
        <w:t>years</w:t>
      </w:r>
      <w:r w:rsidR="00A70733" w:rsidRPr="005901BE">
        <w:t>.</w:t>
      </w:r>
    </w:p>
    <w:p w14:paraId="08023841" w14:textId="77777777" w:rsidR="00C1302F" w:rsidRPr="00C1302F" w:rsidRDefault="00C1302F" w:rsidP="00C1302F">
      <w:pPr>
        <w:jc w:val="left"/>
        <w:rPr>
          <w:rFonts w:ascii="Arial Narrow" w:hAnsi="Arial Narrow"/>
          <w:i/>
          <w:sz w:val="18"/>
          <w:szCs w:val="18"/>
        </w:rPr>
      </w:pPr>
      <w:r w:rsidRPr="00C1302F">
        <w:rPr>
          <w:rFonts w:ascii="Arial Narrow" w:hAnsi="Arial Narrow"/>
          <w:i/>
          <w:sz w:val="18"/>
          <w:szCs w:val="18"/>
        </w:rPr>
        <w:t xml:space="preserve">The redacted values correspond to the following ranges: </w:t>
      </w:r>
    </w:p>
    <w:p w14:paraId="5834C69E" w14:textId="2B5661F5" w:rsidR="00C1302F" w:rsidRPr="00C1302F" w:rsidRDefault="00C1302F" w:rsidP="00C1302F">
      <w:pPr>
        <w:jc w:val="left"/>
        <w:rPr>
          <w:rFonts w:ascii="Arial Narrow" w:hAnsi="Arial Narrow"/>
          <w:i/>
          <w:sz w:val="18"/>
          <w:szCs w:val="18"/>
        </w:rPr>
      </w:pPr>
      <w:r w:rsidRPr="00C1302F">
        <w:rPr>
          <w:rFonts w:ascii="Arial Narrow" w:hAnsi="Arial Narrow"/>
          <w:i/>
          <w:sz w:val="18"/>
          <w:szCs w:val="18"/>
          <w:vertAlign w:val="superscript"/>
        </w:rPr>
        <w:t>1</w:t>
      </w:r>
      <w:r w:rsidRPr="00C1302F">
        <w:rPr>
          <w:rFonts w:ascii="Arial Narrow" w:hAnsi="Arial Narrow"/>
          <w:i/>
          <w:sz w:val="18"/>
          <w:szCs w:val="18"/>
        </w:rPr>
        <w:t xml:space="preserve"> </w:t>
      </w:r>
      <w:r w:rsidR="00860036" w:rsidRPr="00860036">
        <w:rPr>
          <w:rFonts w:ascii="Arial Narrow" w:hAnsi="Arial Narrow"/>
          <w:i/>
          <w:sz w:val="18"/>
          <w:szCs w:val="18"/>
        </w:rPr>
        <w:t>$35,000 to &lt; $45,000</w:t>
      </w:r>
    </w:p>
    <w:p w14:paraId="73CFAFA0" w14:textId="63D6F9C1" w:rsidR="00C1302F" w:rsidRPr="005901BE" w:rsidRDefault="00C1302F" w:rsidP="00D35775">
      <w:pPr>
        <w:jc w:val="left"/>
      </w:pPr>
      <w:r w:rsidRPr="00C1302F">
        <w:rPr>
          <w:rFonts w:ascii="Arial Narrow" w:hAnsi="Arial Narrow"/>
          <w:i/>
          <w:sz w:val="18"/>
          <w:szCs w:val="18"/>
          <w:vertAlign w:val="superscript"/>
        </w:rPr>
        <w:t>2</w:t>
      </w:r>
      <w:r w:rsidRPr="00C1302F">
        <w:rPr>
          <w:rFonts w:ascii="Arial Narrow" w:hAnsi="Arial Narrow"/>
          <w:i/>
          <w:sz w:val="18"/>
          <w:szCs w:val="18"/>
        </w:rPr>
        <w:t xml:space="preserve"> </w:t>
      </w:r>
      <w:r w:rsidR="00D35775" w:rsidRPr="00D35775">
        <w:rPr>
          <w:rFonts w:ascii="Arial Narrow" w:hAnsi="Arial Narrow"/>
          <w:i/>
          <w:sz w:val="18"/>
          <w:szCs w:val="18"/>
        </w:rPr>
        <w:t>$25,000 to &lt; $35,000</w:t>
      </w:r>
    </w:p>
    <w:p w14:paraId="400624EB" w14:textId="237051F8" w:rsidR="00A50BB8" w:rsidRDefault="00A50BB8" w:rsidP="005901BE">
      <w:pPr>
        <w:pStyle w:val="3-BodyText"/>
        <w:spacing w:before="160" w:after="160"/>
      </w:pPr>
      <w:r>
        <w:t xml:space="preserve">The results of stepped economic evaluation are summarised in </w:t>
      </w:r>
      <w:r w:rsidR="002F0501">
        <w:fldChar w:fldCharType="begin"/>
      </w:r>
      <w:r w:rsidR="002F0501">
        <w:instrText xml:space="preserve"> REF _Ref216846680 \h </w:instrText>
      </w:r>
      <w:r w:rsidR="002F0501">
        <w:fldChar w:fldCharType="separate"/>
      </w:r>
      <w:r w:rsidR="00E71342" w:rsidRPr="0098262F">
        <w:t>Table</w:t>
      </w:r>
      <w:r w:rsidR="00E71342">
        <w:t xml:space="preserve"> </w:t>
      </w:r>
      <w:r w:rsidR="00E71342">
        <w:rPr>
          <w:noProof/>
        </w:rPr>
        <w:t>11</w:t>
      </w:r>
      <w:r w:rsidR="002F0501">
        <w:fldChar w:fldCharType="end"/>
      </w:r>
      <w:r>
        <w:t xml:space="preserve">. </w:t>
      </w:r>
    </w:p>
    <w:p w14:paraId="46C33266" w14:textId="3C007155" w:rsidR="00A50BB8" w:rsidRPr="0098262F" w:rsidRDefault="00A50BB8" w:rsidP="002F0501">
      <w:pPr>
        <w:pStyle w:val="Caption"/>
      </w:pPr>
      <w:bookmarkStart w:id="48" w:name="_Ref216846680"/>
      <w:r w:rsidRPr="0098262F">
        <w:lastRenderedPageBreak/>
        <w:t>Table</w:t>
      </w:r>
      <w:r w:rsidR="002F0501">
        <w:t xml:space="preserve"> </w:t>
      </w:r>
      <w:fldSimple w:instr=" SEQ Table_ \* ARABIC ">
        <w:r w:rsidR="00E71342">
          <w:rPr>
            <w:noProof/>
          </w:rPr>
          <w:t>11</w:t>
        </w:r>
      </w:fldSimple>
      <w:bookmarkEnd w:id="48"/>
      <w:r w:rsidR="00426C31">
        <w:t>:</w:t>
      </w:r>
      <w:r>
        <w:t xml:space="preserve"> </w:t>
      </w:r>
      <w:r w:rsidRPr="0098262F">
        <w:rPr>
          <w:rStyle w:val="CommentReference"/>
          <w:b/>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1: Results of the stepped economic evaluation"/>
      </w:tblPr>
      <w:tblGrid>
        <w:gridCol w:w="2757"/>
        <w:gridCol w:w="2451"/>
        <w:gridCol w:w="2298"/>
        <w:gridCol w:w="1511"/>
      </w:tblGrid>
      <w:tr w:rsidR="00A50BB8" w:rsidRPr="0098262F" w14:paraId="765B0F87" w14:textId="77777777">
        <w:trPr>
          <w:cantSplit/>
          <w:tblHeader/>
        </w:trPr>
        <w:tc>
          <w:tcPr>
            <w:tcW w:w="1529" w:type="pct"/>
            <w:vAlign w:val="center"/>
          </w:tcPr>
          <w:p w14:paraId="49714387" w14:textId="77777777" w:rsidR="00A50BB8" w:rsidRPr="0098262F" w:rsidRDefault="00A50BB8" w:rsidP="00037282">
            <w:pPr>
              <w:pStyle w:val="In-tableHeading"/>
              <w:keepLines w:val="0"/>
              <w:rPr>
                <w:lang w:val="en-AU"/>
              </w:rPr>
            </w:pPr>
            <w:r w:rsidRPr="0098262F">
              <w:rPr>
                <w:lang w:val="en-AU"/>
              </w:rPr>
              <w:t>Step and component</w:t>
            </w:r>
          </w:p>
        </w:tc>
        <w:tc>
          <w:tcPr>
            <w:tcW w:w="1359" w:type="pct"/>
            <w:vAlign w:val="center"/>
          </w:tcPr>
          <w:p w14:paraId="19386F08" w14:textId="0A1177AA" w:rsidR="00A50BB8" w:rsidRPr="0098262F" w:rsidRDefault="00A50BB8" w:rsidP="00037282">
            <w:pPr>
              <w:pStyle w:val="In-tableHeading"/>
              <w:keepLines w:val="0"/>
              <w:jc w:val="center"/>
              <w:rPr>
                <w:lang w:val="en-AU"/>
              </w:rPr>
            </w:pPr>
            <w:r>
              <w:rPr>
                <w:lang w:val="en-AU"/>
              </w:rPr>
              <w:t>D</w:t>
            </w:r>
            <w:r w:rsidR="00CD3821">
              <w:rPr>
                <w:lang w:val="en-AU"/>
              </w:rPr>
              <w:t xml:space="preserve"> </w:t>
            </w:r>
            <w:r>
              <w:rPr>
                <w:lang w:val="en-AU"/>
              </w:rPr>
              <w:t>+</w:t>
            </w:r>
            <w:r w:rsidR="00CD3821">
              <w:rPr>
                <w:lang w:val="en-AU"/>
              </w:rPr>
              <w:t xml:space="preserve"> </w:t>
            </w:r>
            <w:r>
              <w:rPr>
                <w:lang w:val="en-AU"/>
              </w:rPr>
              <w:t>FLOT</w:t>
            </w:r>
          </w:p>
        </w:tc>
        <w:tc>
          <w:tcPr>
            <w:tcW w:w="1274" w:type="pct"/>
            <w:vAlign w:val="center"/>
          </w:tcPr>
          <w:p w14:paraId="25084958" w14:textId="77777777" w:rsidR="00A50BB8" w:rsidRPr="0098262F" w:rsidRDefault="00A50BB8" w:rsidP="00037282">
            <w:pPr>
              <w:pStyle w:val="In-tableHeading"/>
              <w:keepLines w:val="0"/>
              <w:jc w:val="center"/>
              <w:rPr>
                <w:lang w:val="en-AU"/>
              </w:rPr>
            </w:pPr>
            <w:r>
              <w:rPr>
                <w:lang w:val="en-AU"/>
              </w:rPr>
              <w:t>FLOT</w:t>
            </w:r>
          </w:p>
        </w:tc>
        <w:tc>
          <w:tcPr>
            <w:tcW w:w="838" w:type="pct"/>
            <w:vAlign w:val="center"/>
          </w:tcPr>
          <w:p w14:paraId="49F27ABA" w14:textId="77777777" w:rsidR="00A50BB8" w:rsidRPr="0098262F" w:rsidRDefault="00A50BB8" w:rsidP="00037282">
            <w:pPr>
              <w:pStyle w:val="In-tableHeading"/>
              <w:keepLines w:val="0"/>
              <w:jc w:val="center"/>
              <w:rPr>
                <w:lang w:val="en-AU"/>
              </w:rPr>
            </w:pPr>
            <w:r w:rsidRPr="0098262F">
              <w:rPr>
                <w:lang w:val="en-AU"/>
              </w:rPr>
              <w:t>Increment</w:t>
            </w:r>
          </w:p>
        </w:tc>
      </w:tr>
      <w:tr w:rsidR="00A50BB8" w:rsidRPr="00577AEB" w14:paraId="3C34C761" w14:textId="77777777">
        <w:trPr>
          <w:cantSplit/>
        </w:trPr>
        <w:tc>
          <w:tcPr>
            <w:tcW w:w="5000" w:type="pct"/>
            <w:gridSpan w:val="4"/>
            <w:vAlign w:val="center"/>
          </w:tcPr>
          <w:p w14:paraId="1E6FA5B5" w14:textId="4F37FE38" w:rsidR="00A50BB8" w:rsidRPr="00577AEB" w:rsidRDefault="00A50BB8" w:rsidP="00037282">
            <w:pPr>
              <w:pStyle w:val="In-tableHeading"/>
              <w:keepLines w:val="0"/>
              <w:rPr>
                <w:lang w:val="en-AU"/>
              </w:rPr>
            </w:pPr>
            <w:r w:rsidRPr="00577AEB">
              <w:rPr>
                <w:lang w:val="en-AU"/>
              </w:rPr>
              <w:t>Step 1: trial</w:t>
            </w:r>
            <w:r w:rsidR="00675F55">
              <w:rPr>
                <w:lang w:val="en-AU"/>
              </w:rPr>
              <w:noBreakHyphen/>
            </w:r>
            <w:r w:rsidRPr="00577AEB">
              <w:rPr>
                <w:lang w:val="en-AU"/>
              </w:rPr>
              <w:t xml:space="preserve">based costs and outcomes over 48 months (cost per </w:t>
            </w:r>
            <w:r w:rsidR="00CE7EE6" w:rsidRPr="00577AEB">
              <w:rPr>
                <w:lang w:val="en-AU"/>
              </w:rPr>
              <w:t>event</w:t>
            </w:r>
            <w:r w:rsidR="00675F55">
              <w:rPr>
                <w:lang w:val="en-AU"/>
              </w:rPr>
              <w:noBreakHyphen/>
            </w:r>
            <w:r w:rsidR="00CE7EE6" w:rsidRPr="00577AEB">
              <w:rPr>
                <w:lang w:val="en-AU"/>
              </w:rPr>
              <w:t>free year gained</w:t>
            </w:r>
            <w:r w:rsidRPr="00577AEB">
              <w:rPr>
                <w:lang w:val="en-AU"/>
              </w:rPr>
              <w:t>)</w:t>
            </w:r>
          </w:p>
        </w:tc>
      </w:tr>
      <w:tr w:rsidR="00A50BB8" w:rsidRPr="0098262F" w14:paraId="1631EDB3" w14:textId="77777777">
        <w:trPr>
          <w:cantSplit/>
        </w:trPr>
        <w:tc>
          <w:tcPr>
            <w:tcW w:w="1529" w:type="pct"/>
            <w:vAlign w:val="center"/>
          </w:tcPr>
          <w:p w14:paraId="4FD197AC" w14:textId="77777777" w:rsidR="00A50BB8" w:rsidRPr="0098262F" w:rsidRDefault="00A50BB8" w:rsidP="00037282">
            <w:pPr>
              <w:pStyle w:val="TableText0"/>
              <w:keepLines w:val="0"/>
              <w:rPr>
                <w:rFonts w:ascii="Times" w:hAnsi="Times"/>
              </w:rPr>
            </w:pPr>
            <w:r w:rsidRPr="0098262F">
              <w:t>Costs</w:t>
            </w:r>
          </w:p>
        </w:tc>
        <w:tc>
          <w:tcPr>
            <w:tcW w:w="1359" w:type="pct"/>
          </w:tcPr>
          <w:p w14:paraId="36B48D9B" w14:textId="3A3E073C" w:rsidR="00A50BB8" w:rsidRPr="0098262F" w:rsidRDefault="00A50BB8" w:rsidP="00037282">
            <w:pPr>
              <w:pStyle w:val="TableText0"/>
              <w:keepLines w:val="0"/>
              <w:jc w:val="center"/>
              <w:rPr>
                <w:rFonts w:ascii="Times" w:hAnsi="Times"/>
              </w:rPr>
            </w:pPr>
            <w:r w:rsidRPr="00303A7F">
              <w:rPr>
                <w:szCs w:val="20"/>
              </w:rPr>
              <w:t>$</w:t>
            </w:r>
            <w:r w:rsidR="00EB1862" w:rsidRPr="00EB1862">
              <w:rPr>
                <w:sz w:val="2"/>
                <w:szCs w:val="20"/>
                <w:highlight w:val="black"/>
              </w:rPr>
              <w:t>redacted content</w:t>
            </w:r>
          </w:p>
        </w:tc>
        <w:tc>
          <w:tcPr>
            <w:tcW w:w="1274" w:type="pct"/>
          </w:tcPr>
          <w:p w14:paraId="47A95145" w14:textId="77777777" w:rsidR="00A50BB8" w:rsidRPr="0098262F" w:rsidRDefault="00A50BB8" w:rsidP="00037282">
            <w:pPr>
              <w:pStyle w:val="TableText0"/>
              <w:keepLines w:val="0"/>
              <w:jc w:val="center"/>
              <w:rPr>
                <w:rFonts w:ascii="Times" w:hAnsi="Times"/>
              </w:rPr>
            </w:pPr>
            <w:r w:rsidRPr="00303A7F">
              <w:rPr>
                <w:szCs w:val="20"/>
              </w:rPr>
              <w:t>$7,589</w:t>
            </w:r>
          </w:p>
        </w:tc>
        <w:tc>
          <w:tcPr>
            <w:tcW w:w="838" w:type="pct"/>
          </w:tcPr>
          <w:p w14:paraId="459F955D" w14:textId="6DF1237D" w:rsidR="00A50BB8" w:rsidRPr="0098262F" w:rsidRDefault="00A50BB8" w:rsidP="00037282">
            <w:pPr>
              <w:pStyle w:val="TableText0"/>
              <w:keepLines w:val="0"/>
              <w:jc w:val="center"/>
              <w:rPr>
                <w:rFonts w:ascii="Times" w:hAnsi="Times"/>
              </w:rPr>
            </w:pPr>
            <w:r w:rsidRPr="00303A7F">
              <w:rPr>
                <w:szCs w:val="20"/>
              </w:rPr>
              <w:t>$</w:t>
            </w:r>
            <w:r w:rsidR="00EB1862" w:rsidRPr="00EB1862">
              <w:rPr>
                <w:sz w:val="2"/>
                <w:szCs w:val="20"/>
                <w:highlight w:val="black"/>
              </w:rPr>
              <w:t>redacted content</w:t>
            </w:r>
          </w:p>
        </w:tc>
      </w:tr>
      <w:tr w:rsidR="00A50BB8" w:rsidRPr="001E2A6C" w14:paraId="4303422A" w14:textId="77777777">
        <w:trPr>
          <w:cantSplit/>
        </w:trPr>
        <w:tc>
          <w:tcPr>
            <w:tcW w:w="1529" w:type="pct"/>
            <w:vAlign w:val="center"/>
          </w:tcPr>
          <w:p w14:paraId="1478A87F" w14:textId="27EE490B" w:rsidR="00A50BB8" w:rsidRPr="001E2A6C" w:rsidRDefault="00A54979" w:rsidP="00037282">
            <w:pPr>
              <w:pStyle w:val="TableText0"/>
              <w:keepLines w:val="0"/>
              <w:rPr>
                <w:rFonts w:ascii="Times" w:hAnsi="Times"/>
              </w:rPr>
            </w:pPr>
            <w:r w:rsidRPr="001E2A6C">
              <w:t>Event</w:t>
            </w:r>
            <w:r w:rsidR="00675F55">
              <w:noBreakHyphen/>
            </w:r>
            <w:r w:rsidRPr="001E2A6C">
              <w:t xml:space="preserve">free years </w:t>
            </w:r>
            <w:r w:rsidR="00CE7EE6" w:rsidRPr="001E2A6C">
              <w:t>gained</w:t>
            </w:r>
          </w:p>
        </w:tc>
        <w:tc>
          <w:tcPr>
            <w:tcW w:w="1359" w:type="pct"/>
            <w:vAlign w:val="bottom"/>
          </w:tcPr>
          <w:p w14:paraId="73E4DA03" w14:textId="77777777" w:rsidR="00A50BB8" w:rsidRPr="00B40BDE" w:rsidRDefault="00A50BB8" w:rsidP="00037282">
            <w:pPr>
              <w:pStyle w:val="TableText0"/>
              <w:keepLines w:val="0"/>
              <w:jc w:val="center"/>
              <w:rPr>
                <w:rFonts w:ascii="Times" w:hAnsi="Times"/>
              </w:rPr>
            </w:pPr>
            <w:r w:rsidRPr="00B40BDE">
              <w:rPr>
                <w:szCs w:val="20"/>
              </w:rPr>
              <w:t>2.85</w:t>
            </w:r>
          </w:p>
        </w:tc>
        <w:tc>
          <w:tcPr>
            <w:tcW w:w="1274" w:type="pct"/>
            <w:vAlign w:val="bottom"/>
          </w:tcPr>
          <w:p w14:paraId="2D8CA90A" w14:textId="77777777" w:rsidR="00A50BB8" w:rsidRPr="00B40BDE" w:rsidRDefault="00A50BB8" w:rsidP="00037282">
            <w:pPr>
              <w:pStyle w:val="TableText0"/>
              <w:keepLines w:val="0"/>
              <w:jc w:val="center"/>
              <w:rPr>
                <w:rFonts w:ascii="Times" w:hAnsi="Times"/>
              </w:rPr>
            </w:pPr>
            <w:r w:rsidRPr="00B40BDE">
              <w:rPr>
                <w:szCs w:val="20"/>
              </w:rPr>
              <w:t>2.52</w:t>
            </w:r>
          </w:p>
        </w:tc>
        <w:tc>
          <w:tcPr>
            <w:tcW w:w="838" w:type="pct"/>
            <w:vAlign w:val="bottom"/>
          </w:tcPr>
          <w:p w14:paraId="083DB988" w14:textId="77777777" w:rsidR="00A50BB8" w:rsidRPr="00B40BDE" w:rsidRDefault="00A50BB8" w:rsidP="00037282">
            <w:pPr>
              <w:pStyle w:val="TableText0"/>
              <w:keepLines w:val="0"/>
              <w:jc w:val="center"/>
            </w:pPr>
            <w:r w:rsidRPr="00B40BDE">
              <w:rPr>
                <w:szCs w:val="20"/>
              </w:rPr>
              <w:t>0.33</w:t>
            </w:r>
          </w:p>
        </w:tc>
      </w:tr>
      <w:tr w:rsidR="00A50BB8" w:rsidRPr="001E2A6C" w14:paraId="6087F847" w14:textId="77777777">
        <w:trPr>
          <w:cantSplit/>
        </w:trPr>
        <w:tc>
          <w:tcPr>
            <w:tcW w:w="4162" w:type="pct"/>
            <w:gridSpan w:val="3"/>
            <w:vAlign w:val="center"/>
          </w:tcPr>
          <w:p w14:paraId="6F0E2217" w14:textId="5355B6C4" w:rsidR="00A50BB8" w:rsidRPr="001E2A6C" w:rsidRDefault="00A50BB8" w:rsidP="00037282">
            <w:pPr>
              <w:pStyle w:val="TableText0"/>
              <w:keepLines w:val="0"/>
              <w:rPr>
                <w:rFonts w:ascii="Times" w:hAnsi="Times"/>
              </w:rPr>
            </w:pPr>
            <w:r w:rsidRPr="001E2A6C">
              <w:t xml:space="preserve">Incremental cost/extra </w:t>
            </w:r>
            <w:r w:rsidR="00CE7EE6" w:rsidRPr="001E2A6C">
              <w:t>event</w:t>
            </w:r>
            <w:r w:rsidR="00675F55">
              <w:noBreakHyphen/>
            </w:r>
            <w:r w:rsidR="00CE7EE6" w:rsidRPr="001E2A6C">
              <w:t>free year</w:t>
            </w:r>
            <w:r w:rsidRPr="001E2A6C">
              <w:t xml:space="preserve"> gained</w:t>
            </w:r>
          </w:p>
        </w:tc>
        <w:tc>
          <w:tcPr>
            <w:tcW w:w="838" w:type="pct"/>
            <w:vAlign w:val="center"/>
          </w:tcPr>
          <w:p w14:paraId="0C3ECE96" w14:textId="206DD03C" w:rsidR="00A50BB8" w:rsidRPr="00BC4398" w:rsidRDefault="00A50BB8" w:rsidP="00037282">
            <w:pPr>
              <w:pStyle w:val="TableText0"/>
              <w:keepLines w:val="0"/>
              <w:jc w:val="center"/>
              <w:rPr>
                <w:rFonts w:ascii="Times" w:hAnsi="Times"/>
                <w:vertAlign w:val="superscript"/>
              </w:rPr>
            </w:pPr>
            <w:r w:rsidRPr="001E2A6C">
              <w:rPr>
                <w:szCs w:val="20"/>
              </w:rPr>
              <w:t>$</w:t>
            </w:r>
            <w:r w:rsidR="00EB1862" w:rsidRPr="00EB1862">
              <w:rPr>
                <w:sz w:val="2"/>
                <w:szCs w:val="20"/>
                <w:highlight w:val="black"/>
              </w:rPr>
              <w:t>redacted content</w:t>
            </w:r>
            <w:r w:rsidR="00BC4398">
              <w:rPr>
                <w:szCs w:val="20"/>
                <w:vertAlign w:val="superscript"/>
              </w:rPr>
              <w:t>1</w:t>
            </w:r>
          </w:p>
        </w:tc>
      </w:tr>
      <w:tr w:rsidR="00A50BB8" w:rsidRPr="0098262F" w14:paraId="26AD3BA7" w14:textId="77777777">
        <w:trPr>
          <w:cantSplit/>
        </w:trPr>
        <w:tc>
          <w:tcPr>
            <w:tcW w:w="5000" w:type="pct"/>
            <w:gridSpan w:val="4"/>
            <w:vAlign w:val="center"/>
          </w:tcPr>
          <w:p w14:paraId="5B4CA6F0" w14:textId="1B58365A" w:rsidR="00A50BB8" w:rsidRPr="0098262F" w:rsidRDefault="00A50BB8" w:rsidP="00037282">
            <w:pPr>
              <w:pStyle w:val="In-tableHeading"/>
              <w:keepLines w:val="0"/>
              <w:rPr>
                <w:lang w:val="en-AU"/>
              </w:rPr>
            </w:pPr>
            <w:r w:rsidRPr="008A48BC">
              <w:rPr>
                <w:lang w:val="en-AU"/>
              </w:rPr>
              <w:t>Step 2: time horizon extended to 25 years (</w:t>
            </w:r>
            <w:r w:rsidR="00BD1440">
              <w:rPr>
                <w:lang w:val="en-AU"/>
              </w:rPr>
              <w:t>c</w:t>
            </w:r>
            <w:r w:rsidRPr="008A48BC">
              <w:rPr>
                <w:lang w:val="en-AU"/>
              </w:rPr>
              <w:t>ost per LYG)</w:t>
            </w:r>
          </w:p>
        </w:tc>
      </w:tr>
      <w:tr w:rsidR="00A50BB8" w:rsidRPr="0098262F" w14:paraId="34C4A8BF" w14:textId="77777777">
        <w:trPr>
          <w:cantSplit/>
        </w:trPr>
        <w:tc>
          <w:tcPr>
            <w:tcW w:w="1529" w:type="pct"/>
            <w:vAlign w:val="center"/>
          </w:tcPr>
          <w:p w14:paraId="5ED62FD0" w14:textId="77777777" w:rsidR="00A50BB8" w:rsidRPr="0098262F" w:rsidRDefault="00A50BB8" w:rsidP="00037282">
            <w:pPr>
              <w:pStyle w:val="TableText0"/>
              <w:keepLines w:val="0"/>
              <w:rPr>
                <w:rFonts w:ascii="Times" w:hAnsi="Times"/>
              </w:rPr>
            </w:pPr>
            <w:r w:rsidRPr="0098262F">
              <w:t>Costs</w:t>
            </w:r>
          </w:p>
        </w:tc>
        <w:tc>
          <w:tcPr>
            <w:tcW w:w="1359" w:type="pct"/>
            <w:vAlign w:val="bottom"/>
          </w:tcPr>
          <w:p w14:paraId="59F5169A" w14:textId="64FDF578" w:rsidR="00A50BB8" w:rsidRPr="00B40BDE" w:rsidRDefault="00A50BB8" w:rsidP="00037282">
            <w:pPr>
              <w:pStyle w:val="TableText0"/>
              <w:keepLines w:val="0"/>
              <w:jc w:val="center"/>
              <w:rPr>
                <w:rFonts w:ascii="Times" w:hAnsi="Times"/>
              </w:rPr>
            </w:pPr>
            <w:r w:rsidRPr="00B40BDE">
              <w:rPr>
                <w:rFonts w:eastAsia="Arial Narrow" w:cs="Arial Narrow"/>
                <w:sz w:val="19"/>
                <w:szCs w:val="19"/>
              </w:rPr>
              <w:t>$</w:t>
            </w:r>
            <w:r w:rsidR="00EB1862" w:rsidRPr="00EB1862">
              <w:rPr>
                <w:rFonts w:eastAsia="Arial Narrow" w:cs="Arial Narrow"/>
                <w:sz w:val="2"/>
                <w:szCs w:val="19"/>
                <w:highlight w:val="black"/>
              </w:rPr>
              <w:t>redacted content</w:t>
            </w:r>
          </w:p>
        </w:tc>
        <w:tc>
          <w:tcPr>
            <w:tcW w:w="1274" w:type="pct"/>
            <w:vAlign w:val="bottom"/>
          </w:tcPr>
          <w:p w14:paraId="2A70FC32" w14:textId="77777777" w:rsidR="00A50BB8" w:rsidRPr="00B40BDE" w:rsidRDefault="00A50BB8" w:rsidP="00037282">
            <w:pPr>
              <w:pStyle w:val="TableText0"/>
              <w:keepLines w:val="0"/>
              <w:jc w:val="center"/>
              <w:rPr>
                <w:rFonts w:ascii="Times" w:hAnsi="Times"/>
              </w:rPr>
            </w:pPr>
            <w:r w:rsidRPr="00B40BDE">
              <w:rPr>
                <w:rFonts w:eastAsia="Arial Narrow" w:cs="Arial Narrow"/>
                <w:sz w:val="19"/>
                <w:szCs w:val="19"/>
              </w:rPr>
              <w:t>$53,994</w:t>
            </w:r>
          </w:p>
        </w:tc>
        <w:tc>
          <w:tcPr>
            <w:tcW w:w="838" w:type="pct"/>
            <w:vAlign w:val="bottom"/>
          </w:tcPr>
          <w:p w14:paraId="4B87D35E" w14:textId="1E4C0574" w:rsidR="00A50BB8" w:rsidRPr="00B40BDE" w:rsidRDefault="00A50BB8" w:rsidP="00037282">
            <w:pPr>
              <w:pStyle w:val="TableText0"/>
              <w:keepLines w:val="0"/>
              <w:jc w:val="center"/>
              <w:rPr>
                <w:rFonts w:ascii="Times" w:hAnsi="Times"/>
              </w:rPr>
            </w:pPr>
            <w:r w:rsidRPr="00B40BDE">
              <w:rPr>
                <w:rFonts w:eastAsia="Arial Narrow" w:cs="Arial Narrow"/>
                <w:sz w:val="19"/>
                <w:szCs w:val="19"/>
              </w:rPr>
              <w:t>$</w:t>
            </w:r>
            <w:r w:rsidR="00EB1862" w:rsidRPr="00EB1862">
              <w:rPr>
                <w:rFonts w:eastAsia="Arial Narrow" w:cs="Arial Narrow"/>
                <w:sz w:val="2"/>
                <w:szCs w:val="19"/>
                <w:highlight w:val="black"/>
              </w:rPr>
              <w:t>redacted content</w:t>
            </w:r>
          </w:p>
        </w:tc>
      </w:tr>
      <w:tr w:rsidR="00A50BB8" w:rsidRPr="0098262F" w14:paraId="566C4DD6" w14:textId="77777777">
        <w:trPr>
          <w:cantSplit/>
        </w:trPr>
        <w:tc>
          <w:tcPr>
            <w:tcW w:w="1529" w:type="pct"/>
            <w:vAlign w:val="center"/>
          </w:tcPr>
          <w:p w14:paraId="778A7AEE" w14:textId="77777777" w:rsidR="00A50BB8" w:rsidRPr="0098262F" w:rsidRDefault="00A50BB8" w:rsidP="00037282">
            <w:pPr>
              <w:pStyle w:val="TableText0"/>
              <w:keepLines w:val="0"/>
              <w:rPr>
                <w:rFonts w:ascii="Times" w:hAnsi="Times"/>
              </w:rPr>
            </w:pPr>
            <w:r>
              <w:t>LYG</w:t>
            </w:r>
          </w:p>
        </w:tc>
        <w:tc>
          <w:tcPr>
            <w:tcW w:w="1359" w:type="pct"/>
            <w:vAlign w:val="bottom"/>
          </w:tcPr>
          <w:p w14:paraId="169AEA9C" w14:textId="77777777" w:rsidR="00A50BB8" w:rsidRPr="00B40BDE" w:rsidRDefault="00A50BB8" w:rsidP="00037282">
            <w:pPr>
              <w:pStyle w:val="TableText0"/>
              <w:keepLines w:val="0"/>
              <w:jc w:val="center"/>
              <w:rPr>
                <w:rFonts w:ascii="Times" w:hAnsi="Times"/>
              </w:rPr>
            </w:pPr>
            <w:r w:rsidRPr="00B40BDE">
              <w:rPr>
                <w:szCs w:val="20"/>
              </w:rPr>
              <w:t>7.32</w:t>
            </w:r>
          </w:p>
        </w:tc>
        <w:tc>
          <w:tcPr>
            <w:tcW w:w="1274" w:type="pct"/>
            <w:vAlign w:val="bottom"/>
          </w:tcPr>
          <w:p w14:paraId="502716BF" w14:textId="77777777" w:rsidR="00A50BB8" w:rsidRPr="00B40BDE" w:rsidRDefault="00A50BB8" w:rsidP="00037282">
            <w:pPr>
              <w:pStyle w:val="TableText0"/>
              <w:keepLines w:val="0"/>
              <w:jc w:val="center"/>
              <w:rPr>
                <w:rFonts w:ascii="Times" w:hAnsi="Times"/>
              </w:rPr>
            </w:pPr>
            <w:r w:rsidRPr="00B40BDE">
              <w:rPr>
                <w:szCs w:val="20"/>
              </w:rPr>
              <w:t>5.86</w:t>
            </w:r>
          </w:p>
        </w:tc>
        <w:tc>
          <w:tcPr>
            <w:tcW w:w="838" w:type="pct"/>
            <w:vAlign w:val="bottom"/>
          </w:tcPr>
          <w:p w14:paraId="06A08072" w14:textId="77777777" w:rsidR="00A50BB8" w:rsidRPr="00B40BDE" w:rsidRDefault="00A50BB8" w:rsidP="00037282">
            <w:pPr>
              <w:pStyle w:val="TableText0"/>
              <w:keepLines w:val="0"/>
              <w:jc w:val="center"/>
            </w:pPr>
            <w:r w:rsidRPr="00B40BDE">
              <w:rPr>
                <w:szCs w:val="20"/>
              </w:rPr>
              <w:t>1.46</w:t>
            </w:r>
          </w:p>
        </w:tc>
      </w:tr>
      <w:tr w:rsidR="00A50BB8" w:rsidRPr="0098262F" w14:paraId="3CD57570" w14:textId="77777777">
        <w:trPr>
          <w:cantSplit/>
        </w:trPr>
        <w:tc>
          <w:tcPr>
            <w:tcW w:w="4162" w:type="pct"/>
            <w:gridSpan w:val="3"/>
            <w:vAlign w:val="center"/>
          </w:tcPr>
          <w:p w14:paraId="13F2DBF8" w14:textId="77777777" w:rsidR="00A50BB8" w:rsidRPr="0098262F" w:rsidRDefault="00A50BB8" w:rsidP="00037282">
            <w:pPr>
              <w:pStyle w:val="TableText0"/>
              <w:keepLines w:val="0"/>
              <w:rPr>
                <w:rFonts w:ascii="Times" w:hAnsi="Times"/>
              </w:rPr>
            </w:pPr>
            <w:r w:rsidRPr="008A48BC">
              <w:t>Incremental cost/extra LYG gained</w:t>
            </w:r>
          </w:p>
        </w:tc>
        <w:tc>
          <w:tcPr>
            <w:tcW w:w="838" w:type="pct"/>
            <w:vAlign w:val="center"/>
          </w:tcPr>
          <w:p w14:paraId="66ED68AC" w14:textId="13D8674F" w:rsidR="00A50BB8" w:rsidRPr="00013C38" w:rsidRDefault="00A50BB8" w:rsidP="00037282">
            <w:pPr>
              <w:pStyle w:val="TableText0"/>
              <w:keepLines w:val="0"/>
              <w:jc w:val="center"/>
              <w:rPr>
                <w:rFonts w:ascii="Times" w:hAnsi="Times"/>
                <w:vertAlign w:val="superscript"/>
              </w:rPr>
            </w:pPr>
            <w:r>
              <w:rPr>
                <w:szCs w:val="20"/>
              </w:rPr>
              <w:t>$</w:t>
            </w:r>
            <w:r w:rsidR="00EB1862" w:rsidRPr="00EB1862">
              <w:rPr>
                <w:sz w:val="2"/>
                <w:szCs w:val="20"/>
                <w:highlight w:val="black"/>
              </w:rPr>
              <w:t>redacted content</w:t>
            </w:r>
            <w:r w:rsidR="00013C38">
              <w:rPr>
                <w:szCs w:val="20"/>
                <w:vertAlign w:val="superscript"/>
              </w:rPr>
              <w:t>2</w:t>
            </w:r>
          </w:p>
        </w:tc>
      </w:tr>
      <w:tr w:rsidR="00A50BB8" w:rsidRPr="0098262F" w14:paraId="7E781FE8" w14:textId="77777777">
        <w:trPr>
          <w:cantSplit/>
        </w:trPr>
        <w:tc>
          <w:tcPr>
            <w:tcW w:w="5000" w:type="pct"/>
            <w:gridSpan w:val="4"/>
            <w:vAlign w:val="center"/>
          </w:tcPr>
          <w:p w14:paraId="64071331" w14:textId="401FF4AA" w:rsidR="00A50BB8" w:rsidRPr="0098262F" w:rsidRDefault="00A50BB8" w:rsidP="00037282">
            <w:pPr>
              <w:pStyle w:val="In-tableHeading"/>
              <w:keepLines w:val="0"/>
              <w:rPr>
                <w:lang w:val="en-AU"/>
              </w:rPr>
            </w:pPr>
            <w:r w:rsidRPr="0098262F">
              <w:rPr>
                <w:lang w:val="en-AU"/>
              </w:rPr>
              <w:t xml:space="preserve">Step 4: </w:t>
            </w:r>
            <w:r>
              <w:rPr>
                <w:lang w:val="en-AU"/>
              </w:rPr>
              <w:t xml:space="preserve">Transform LYs into QALYs </w:t>
            </w:r>
            <w:r w:rsidRPr="00132932">
              <w:rPr>
                <w:lang w:val="en-AU"/>
              </w:rPr>
              <w:t>over 25</w:t>
            </w:r>
            <w:r w:rsidR="00675F55">
              <w:rPr>
                <w:lang w:val="en-AU"/>
              </w:rPr>
              <w:noBreakHyphen/>
            </w:r>
            <w:r w:rsidRPr="00132932">
              <w:rPr>
                <w:lang w:val="en-AU"/>
              </w:rPr>
              <w:t>year time horizon</w:t>
            </w:r>
            <w:r w:rsidRPr="00A84537">
              <w:rPr>
                <w:lang w:val="en-AU"/>
              </w:rPr>
              <w:t xml:space="preserve"> </w:t>
            </w:r>
            <w:r>
              <w:rPr>
                <w:lang w:val="en-AU"/>
              </w:rPr>
              <w:t>(cost per QALY)</w:t>
            </w:r>
          </w:p>
        </w:tc>
      </w:tr>
      <w:tr w:rsidR="00A50BB8" w:rsidRPr="0098262F" w14:paraId="7A26DEF5" w14:textId="77777777">
        <w:trPr>
          <w:cantSplit/>
        </w:trPr>
        <w:tc>
          <w:tcPr>
            <w:tcW w:w="1529" w:type="pct"/>
            <w:vAlign w:val="center"/>
          </w:tcPr>
          <w:p w14:paraId="616CF0B4" w14:textId="77777777" w:rsidR="00A50BB8" w:rsidRPr="0098262F" w:rsidRDefault="00A50BB8" w:rsidP="00037282">
            <w:pPr>
              <w:pStyle w:val="TableText0"/>
              <w:keepLines w:val="0"/>
              <w:rPr>
                <w:rFonts w:ascii="Times" w:hAnsi="Times"/>
              </w:rPr>
            </w:pPr>
            <w:r w:rsidRPr="0098262F">
              <w:t>Costs</w:t>
            </w:r>
          </w:p>
        </w:tc>
        <w:tc>
          <w:tcPr>
            <w:tcW w:w="1359" w:type="pct"/>
            <w:vAlign w:val="bottom"/>
          </w:tcPr>
          <w:p w14:paraId="2B5B191C" w14:textId="4CFFA7E5" w:rsidR="00A50BB8" w:rsidRPr="0098262F" w:rsidRDefault="00A50BB8" w:rsidP="00037282">
            <w:pPr>
              <w:pStyle w:val="TableText0"/>
              <w:keepLines w:val="0"/>
              <w:jc w:val="center"/>
              <w:rPr>
                <w:rFonts w:ascii="Times" w:hAnsi="Times"/>
              </w:rPr>
            </w:pPr>
            <w:r>
              <w:rPr>
                <w:rFonts w:eastAsia="Arial Narrow" w:cs="Arial Narrow"/>
                <w:sz w:val="19"/>
                <w:szCs w:val="19"/>
              </w:rPr>
              <w:t>$</w:t>
            </w:r>
            <w:r w:rsidR="00EB1862" w:rsidRPr="00EB1862">
              <w:rPr>
                <w:rFonts w:eastAsia="Arial Narrow" w:cs="Arial Narrow"/>
                <w:sz w:val="2"/>
                <w:szCs w:val="19"/>
                <w:highlight w:val="black"/>
              </w:rPr>
              <w:t>redacted content</w:t>
            </w:r>
          </w:p>
        </w:tc>
        <w:tc>
          <w:tcPr>
            <w:tcW w:w="1274" w:type="pct"/>
            <w:vAlign w:val="bottom"/>
          </w:tcPr>
          <w:p w14:paraId="60DF1A57" w14:textId="77777777" w:rsidR="00A50BB8" w:rsidRPr="0098262F" w:rsidRDefault="00A50BB8" w:rsidP="00037282">
            <w:pPr>
              <w:pStyle w:val="TableText0"/>
              <w:keepLines w:val="0"/>
              <w:jc w:val="center"/>
              <w:rPr>
                <w:rFonts w:ascii="Times" w:hAnsi="Times"/>
              </w:rPr>
            </w:pPr>
            <w:r>
              <w:rPr>
                <w:rFonts w:eastAsia="Arial Narrow" w:cs="Arial Narrow"/>
                <w:sz w:val="19"/>
                <w:szCs w:val="19"/>
              </w:rPr>
              <w:t>$53,994</w:t>
            </w:r>
          </w:p>
        </w:tc>
        <w:tc>
          <w:tcPr>
            <w:tcW w:w="838" w:type="pct"/>
            <w:vAlign w:val="bottom"/>
          </w:tcPr>
          <w:p w14:paraId="6A026D45" w14:textId="469ACDF5" w:rsidR="00A50BB8" w:rsidRPr="0098262F" w:rsidRDefault="00A50BB8" w:rsidP="00037282">
            <w:pPr>
              <w:pStyle w:val="TableText0"/>
              <w:keepLines w:val="0"/>
              <w:jc w:val="center"/>
              <w:rPr>
                <w:rFonts w:ascii="Times" w:hAnsi="Times"/>
              </w:rPr>
            </w:pPr>
            <w:r>
              <w:rPr>
                <w:rFonts w:eastAsia="Arial Narrow" w:cs="Arial Narrow"/>
                <w:sz w:val="19"/>
                <w:szCs w:val="19"/>
              </w:rPr>
              <w:t>$</w:t>
            </w:r>
            <w:r w:rsidR="00EB1862" w:rsidRPr="00EB1862">
              <w:rPr>
                <w:rFonts w:eastAsia="Arial Narrow" w:cs="Arial Narrow"/>
                <w:sz w:val="2"/>
                <w:szCs w:val="19"/>
                <w:highlight w:val="black"/>
              </w:rPr>
              <w:t>redacted content</w:t>
            </w:r>
          </w:p>
        </w:tc>
      </w:tr>
      <w:tr w:rsidR="00A50BB8" w:rsidRPr="0098262F" w14:paraId="0EC701C7" w14:textId="77777777">
        <w:trPr>
          <w:cantSplit/>
        </w:trPr>
        <w:tc>
          <w:tcPr>
            <w:tcW w:w="1529" w:type="pct"/>
            <w:vAlign w:val="center"/>
          </w:tcPr>
          <w:p w14:paraId="4044569D" w14:textId="77777777" w:rsidR="00A50BB8" w:rsidRPr="0098262F" w:rsidRDefault="00A50BB8" w:rsidP="00037282">
            <w:pPr>
              <w:pStyle w:val="TableText0"/>
              <w:keepLines w:val="0"/>
              <w:rPr>
                <w:rFonts w:ascii="Times" w:hAnsi="Times"/>
              </w:rPr>
            </w:pPr>
            <w:r>
              <w:t>QALY</w:t>
            </w:r>
          </w:p>
        </w:tc>
        <w:tc>
          <w:tcPr>
            <w:tcW w:w="1359" w:type="pct"/>
            <w:vAlign w:val="bottom"/>
          </w:tcPr>
          <w:p w14:paraId="18BB9762" w14:textId="77777777" w:rsidR="00A50BB8" w:rsidRPr="00B40BDE" w:rsidRDefault="00A50BB8" w:rsidP="00037282">
            <w:pPr>
              <w:pStyle w:val="TableText0"/>
              <w:keepLines w:val="0"/>
              <w:jc w:val="center"/>
              <w:rPr>
                <w:rFonts w:ascii="Times" w:hAnsi="Times"/>
              </w:rPr>
            </w:pPr>
            <w:r w:rsidRPr="00B40BDE">
              <w:rPr>
                <w:szCs w:val="20"/>
              </w:rPr>
              <w:t>6.14</w:t>
            </w:r>
          </w:p>
        </w:tc>
        <w:tc>
          <w:tcPr>
            <w:tcW w:w="1274" w:type="pct"/>
            <w:vAlign w:val="bottom"/>
          </w:tcPr>
          <w:p w14:paraId="6FAB55FA" w14:textId="77777777" w:rsidR="00A50BB8" w:rsidRPr="00B40BDE" w:rsidRDefault="00A50BB8" w:rsidP="00037282">
            <w:pPr>
              <w:pStyle w:val="TableText0"/>
              <w:keepLines w:val="0"/>
              <w:jc w:val="center"/>
              <w:rPr>
                <w:rFonts w:ascii="Times" w:hAnsi="Times"/>
              </w:rPr>
            </w:pPr>
            <w:r w:rsidRPr="00B40BDE">
              <w:rPr>
                <w:szCs w:val="20"/>
              </w:rPr>
              <w:t>4.89</w:t>
            </w:r>
          </w:p>
        </w:tc>
        <w:tc>
          <w:tcPr>
            <w:tcW w:w="838" w:type="pct"/>
            <w:vAlign w:val="bottom"/>
          </w:tcPr>
          <w:p w14:paraId="1B0E4DAF" w14:textId="77777777" w:rsidR="00A50BB8" w:rsidRPr="00B40BDE" w:rsidRDefault="00A50BB8" w:rsidP="00037282">
            <w:pPr>
              <w:pStyle w:val="TableText0"/>
              <w:keepLines w:val="0"/>
              <w:jc w:val="center"/>
            </w:pPr>
            <w:r w:rsidRPr="00B40BDE">
              <w:rPr>
                <w:szCs w:val="20"/>
              </w:rPr>
              <w:t>1.24</w:t>
            </w:r>
          </w:p>
        </w:tc>
      </w:tr>
      <w:tr w:rsidR="00A50BB8" w:rsidRPr="0098262F" w14:paraId="00CCCCE2" w14:textId="77777777">
        <w:trPr>
          <w:cantSplit/>
        </w:trPr>
        <w:tc>
          <w:tcPr>
            <w:tcW w:w="4162" w:type="pct"/>
            <w:gridSpan w:val="3"/>
            <w:vAlign w:val="center"/>
          </w:tcPr>
          <w:p w14:paraId="039BE28C" w14:textId="593A538D" w:rsidR="00A50BB8" w:rsidRPr="0098262F" w:rsidRDefault="00A50BB8" w:rsidP="00037282">
            <w:pPr>
              <w:pStyle w:val="TableText0"/>
              <w:keepLines w:val="0"/>
              <w:rPr>
                <w:rFonts w:ascii="Times" w:hAnsi="Times"/>
              </w:rPr>
            </w:pPr>
            <w:r w:rsidRPr="0098262F">
              <w:t xml:space="preserve">Incremental cost/extra </w:t>
            </w:r>
            <w:r>
              <w:t>QALY</w:t>
            </w:r>
            <w:r w:rsidRPr="0098262F">
              <w:t xml:space="preserve"> gained</w:t>
            </w:r>
            <w:r>
              <w:t xml:space="preserve"> (</w:t>
            </w:r>
            <w:r w:rsidR="009F5C7A">
              <w:t>b</w:t>
            </w:r>
            <w:r w:rsidRPr="00132932">
              <w:t>ase</w:t>
            </w:r>
            <w:r>
              <w:t xml:space="preserve"> case)</w:t>
            </w:r>
          </w:p>
        </w:tc>
        <w:tc>
          <w:tcPr>
            <w:tcW w:w="838" w:type="pct"/>
            <w:vAlign w:val="center"/>
          </w:tcPr>
          <w:p w14:paraId="0E4ED1A1" w14:textId="05FC17EB" w:rsidR="00A50BB8" w:rsidRPr="000C4A8C" w:rsidRDefault="00A50BB8" w:rsidP="00037282">
            <w:pPr>
              <w:pStyle w:val="TableText0"/>
              <w:keepLines w:val="0"/>
              <w:jc w:val="center"/>
              <w:rPr>
                <w:rFonts w:ascii="Times" w:hAnsi="Times"/>
                <w:vertAlign w:val="superscript"/>
              </w:rPr>
            </w:pPr>
            <w:r>
              <w:rPr>
                <w:rFonts w:eastAsia="Times New Roman" w:cs="Calibri"/>
                <w:szCs w:val="20"/>
              </w:rPr>
              <w:t>$</w:t>
            </w:r>
            <w:r w:rsidR="00EB1862" w:rsidRPr="00EB1862">
              <w:rPr>
                <w:rFonts w:eastAsia="Times New Roman" w:cs="Calibri"/>
                <w:sz w:val="2"/>
                <w:szCs w:val="20"/>
                <w:highlight w:val="black"/>
              </w:rPr>
              <w:t>redacted content</w:t>
            </w:r>
            <w:r w:rsidR="000C4A8C">
              <w:rPr>
                <w:rFonts w:eastAsia="Times New Roman" w:cs="Calibri"/>
                <w:szCs w:val="20"/>
                <w:vertAlign w:val="superscript"/>
              </w:rPr>
              <w:t>3</w:t>
            </w:r>
          </w:p>
        </w:tc>
      </w:tr>
    </w:tbl>
    <w:p w14:paraId="4BDCA0D7" w14:textId="24FE35DC" w:rsidR="00A50BB8" w:rsidRPr="005901BE" w:rsidRDefault="00A50BB8" w:rsidP="00C1302F">
      <w:pPr>
        <w:pStyle w:val="TableFigureFooter"/>
      </w:pPr>
      <w:r w:rsidRPr="005901BE">
        <w:t>Source: Table 3</w:t>
      </w:r>
      <w:r w:rsidR="00675F55">
        <w:noBreakHyphen/>
      </w:r>
      <w:r w:rsidRPr="005901BE">
        <w:t>35, p155 of the submission</w:t>
      </w:r>
      <w:r w:rsidR="004E005F" w:rsidRPr="005901BE">
        <w:t>.</w:t>
      </w:r>
    </w:p>
    <w:p w14:paraId="03E1842F" w14:textId="5FD85BF4" w:rsidR="00C017F0" w:rsidRPr="00C017F0" w:rsidRDefault="00A50BB8" w:rsidP="00C017F0">
      <w:pPr>
        <w:pStyle w:val="TableFigureFooter"/>
        <w:rPr>
          <w:i/>
        </w:rPr>
      </w:pPr>
      <w:r w:rsidRPr="005901BE">
        <w:t xml:space="preserve">D = durvalumab; FLOT = </w:t>
      </w:r>
      <w:r w:rsidR="001F4BD1" w:rsidRPr="005901BE">
        <w:t>5</w:t>
      </w:r>
      <w:r w:rsidR="00675F55">
        <w:noBreakHyphen/>
      </w:r>
      <w:r w:rsidRPr="005901BE">
        <w:t>fluorouracil</w:t>
      </w:r>
      <w:r w:rsidR="001F4BD1" w:rsidRPr="005901BE">
        <w:t xml:space="preserve">, </w:t>
      </w:r>
      <w:r w:rsidRPr="005901BE">
        <w:t>leucovorin</w:t>
      </w:r>
      <w:r w:rsidR="001F4BD1" w:rsidRPr="005901BE">
        <w:t xml:space="preserve">, </w:t>
      </w:r>
      <w:r w:rsidRPr="005901BE">
        <w:t>oxaliplatin</w:t>
      </w:r>
      <w:r w:rsidR="001F4BD1" w:rsidRPr="005901BE">
        <w:t xml:space="preserve"> and </w:t>
      </w:r>
      <w:r w:rsidRPr="005901BE">
        <w:t>docetaxel; LYG = life years gained; QALY = quality</w:t>
      </w:r>
      <w:r w:rsidR="009F5C7A" w:rsidRPr="005901BE">
        <w:t xml:space="preserve"> </w:t>
      </w:r>
      <w:r w:rsidRPr="005901BE">
        <w:t>adjusted life</w:t>
      </w:r>
      <w:r w:rsidR="00675F55">
        <w:noBreakHyphen/>
      </w:r>
      <w:r w:rsidRPr="005901BE">
        <w:t>years</w:t>
      </w:r>
      <w:r w:rsidR="00B27C9B" w:rsidRPr="005901BE">
        <w:t>.</w:t>
      </w:r>
      <w:r w:rsidR="00C017F0" w:rsidRPr="00C017F0">
        <w:rPr>
          <w:i/>
        </w:rPr>
        <w:t xml:space="preserve"> The redacted values correspond to the following ranges: </w:t>
      </w:r>
    </w:p>
    <w:p w14:paraId="7D98BA57" w14:textId="649812E2" w:rsidR="00C017F0" w:rsidRPr="00C017F0" w:rsidRDefault="00C017F0" w:rsidP="00C017F0">
      <w:pPr>
        <w:pStyle w:val="TableFigureFooter"/>
        <w:rPr>
          <w:i/>
        </w:rPr>
      </w:pPr>
      <w:r w:rsidRPr="00C017F0">
        <w:rPr>
          <w:i/>
          <w:vertAlign w:val="superscript"/>
        </w:rPr>
        <w:t>1</w:t>
      </w:r>
      <w:r w:rsidRPr="00C017F0">
        <w:rPr>
          <w:i/>
        </w:rPr>
        <w:t xml:space="preserve"> </w:t>
      </w:r>
      <w:r w:rsidR="00BC4398" w:rsidRPr="00BC4398">
        <w:rPr>
          <w:i/>
        </w:rPr>
        <w:t>$155,000 to &lt; $255,000</w:t>
      </w:r>
    </w:p>
    <w:p w14:paraId="67318F71" w14:textId="7BAF7894" w:rsidR="00C017F0" w:rsidRPr="00C017F0" w:rsidRDefault="00C017F0" w:rsidP="00C017F0">
      <w:pPr>
        <w:pStyle w:val="TableFigureFooter"/>
        <w:rPr>
          <w:i/>
        </w:rPr>
      </w:pPr>
      <w:r w:rsidRPr="00C017F0">
        <w:rPr>
          <w:i/>
          <w:vertAlign w:val="superscript"/>
        </w:rPr>
        <w:t>2</w:t>
      </w:r>
      <w:r w:rsidRPr="00C017F0">
        <w:rPr>
          <w:i/>
        </w:rPr>
        <w:t xml:space="preserve"> </w:t>
      </w:r>
      <w:r w:rsidR="00013C38" w:rsidRPr="00013C38">
        <w:rPr>
          <w:i/>
        </w:rPr>
        <w:t>$25,000 to &lt; $35,000</w:t>
      </w:r>
    </w:p>
    <w:p w14:paraId="32E4352F" w14:textId="7A0DFC0E" w:rsidR="00C017F0" w:rsidRPr="00C017F0" w:rsidRDefault="00C017F0" w:rsidP="00C017F0">
      <w:pPr>
        <w:pStyle w:val="TableFigureFooter"/>
        <w:rPr>
          <w:i/>
        </w:rPr>
      </w:pPr>
      <w:r w:rsidRPr="00C017F0">
        <w:rPr>
          <w:i/>
          <w:vertAlign w:val="superscript"/>
        </w:rPr>
        <w:t>3</w:t>
      </w:r>
      <w:r w:rsidRPr="00C017F0">
        <w:rPr>
          <w:i/>
        </w:rPr>
        <w:t xml:space="preserve"> </w:t>
      </w:r>
      <w:r w:rsidR="000C4A8C" w:rsidRPr="000C4A8C">
        <w:rPr>
          <w:i/>
        </w:rPr>
        <w:t>$35,000 to &lt; $45,000</w:t>
      </w:r>
    </w:p>
    <w:p w14:paraId="6A132E6C" w14:textId="77D9211D" w:rsidR="00A50BB8" w:rsidRPr="005901BE" w:rsidRDefault="00A50BB8" w:rsidP="00C1302F">
      <w:pPr>
        <w:pStyle w:val="TableFigureFooter"/>
      </w:pPr>
    </w:p>
    <w:p w14:paraId="14971FCD" w14:textId="062EA8B1" w:rsidR="00D82160" w:rsidRPr="00874BE1" w:rsidRDefault="002337A5" w:rsidP="00604AAA">
      <w:pPr>
        <w:pStyle w:val="3-BodyText"/>
        <w:spacing w:before="160" w:after="160"/>
      </w:pPr>
      <w:r w:rsidRPr="00874BE1">
        <w:t>Over the 25</w:t>
      </w:r>
      <w:r w:rsidR="00675F55">
        <w:noBreakHyphen/>
      </w:r>
      <w:r w:rsidRPr="00874BE1">
        <w:t xml:space="preserve">year time horizon, </w:t>
      </w:r>
      <w:r w:rsidR="004A2D3E" w:rsidRPr="00874BE1">
        <w:t xml:space="preserve">treatment with D + FLOT was associated </w:t>
      </w:r>
      <w:r w:rsidR="00D83AEB" w:rsidRPr="00874BE1">
        <w:t xml:space="preserve">with </w:t>
      </w:r>
      <w:r w:rsidR="00CD1468" w:rsidRPr="00874BE1">
        <w:t>an</w:t>
      </w:r>
      <w:r w:rsidR="00D83AEB" w:rsidRPr="00874BE1">
        <w:t xml:space="preserve"> </w:t>
      </w:r>
      <w:r w:rsidR="00CC2EA5" w:rsidRPr="00874BE1">
        <w:t xml:space="preserve">undiscounted </w:t>
      </w:r>
      <w:r w:rsidR="00D83AEB" w:rsidRPr="00874BE1">
        <w:t xml:space="preserve">incremental LYG </w:t>
      </w:r>
      <w:r w:rsidR="008B01BD" w:rsidRPr="00874BE1">
        <w:t>of 2.63</w:t>
      </w:r>
      <w:r w:rsidR="00883CFE" w:rsidRPr="00874BE1">
        <w:t xml:space="preserve"> relative to FLOT</w:t>
      </w:r>
      <w:r w:rsidR="00CC2EA5" w:rsidRPr="00874BE1">
        <w:t>.</w:t>
      </w:r>
    </w:p>
    <w:p w14:paraId="7CE8D420" w14:textId="0F90FAA6" w:rsidR="00A50BB8" w:rsidRPr="00874BE1" w:rsidRDefault="00A50BB8" w:rsidP="00604AAA">
      <w:pPr>
        <w:pStyle w:val="3-BodyText"/>
        <w:spacing w:before="160" w:after="160"/>
      </w:pPr>
      <w:r w:rsidRPr="00874BE1">
        <w:t xml:space="preserve">The model </w:t>
      </w:r>
      <w:r w:rsidR="00422F16" w:rsidRPr="00874BE1">
        <w:t>captured costs of subsequent therapies</w:t>
      </w:r>
      <w:r w:rsidR="00CA4B60" w:rsidRPr="00874BE1">
        <w:t xml:space="preserve">, </w:t>
      </w:r>
      <w:r w:rsidR="00F57D64" w:rsidRPr="00874BE1">
        <w:t>applied as a once</w:t>
      </w:r>
      <w:r w:rsidR="00675F55">
        <w:noBreakHyphen/>
      </w:r>
      <w:r w:rsidR="00F57D64" w:rsidRPr="00874BE1">
        <w:t>off cost upon recurrence or progression.</w:t>
      </w:r>
      <w:r w:rsidR="00AD299D" w:rsidRPr="00874BE1">
        <w:t xml:space="preserve"> </w:t>
      </w:r>
      <w:r w:rsidR="002E3E1E" w:rsidRPr="00874BE1">
        <w:t xml:space="preserve">Due to the confidential special pricing arrangements (SPAs) that exist for nivolumab, </w:t>
      </w:r>
      <w:r w:rsidR="00E76C2A" w:rsidRPr="00874BE1">
        <w:t xml:space="preserve">the sponsor </w:t>
      </w:r>
      <w:r w:rsidR="002E3E1E" w:rsidRPr="00874BE1">
        <w:t>estimate</w:t>
      </w:r>
      <w:r w:rsidR="00F02CFA" w:rsidRPr="00874BE1">
        <w:t>d</w:t>
      </w:r>
      <w:r w:rsidR="002E3E1E" w:rsidRPr="00874BE1">
        <w:t xml:space="preserve"> the effective price</w:t>
      </w:r>
      <w:r w:rsidR="00E76C2A" w:rsidRPr="00874BE1">
        <w:t xml:space="preserve"> of nivolumab</w:t>
      </w:r>
      <w:r w:rsidR="002E3E1E" w:rsidRPr="00874BE1">
        <w:t xml:space="preserve"> (</w:t>
      </w:r>
      <w:r w:rsidR="002E3E1E" w:rsidRPr="00F432EA">
        <w:t xml:space="preserve">assumed </w:t>
      </w:r>
      <w:r w:rsidR="00EB1862" w:rsidRPr="00EB1862">
        <w:rPr>
          <w:sz w:val="2"/>
          <w:highlight w:val="black"/>
        </w:rPr>
        <w:t>redacted content</w:t>
      </w:r>
      <w:r w:rsidR="002E3E1E" w:rsidRPr="00F432EA">
        <w:t>% of the published</w:t>
      </w:r>
      <w:r w:rsidR="002E3E1E" w:rsidRPr="00874BE1">
        <w:t xml:space="preserve"> price would be rebated under the SPA)</w:t>
      </w:r>
      <w:r w:rsidRPr="00874BE1">
        <w:t xml:space="preserve">. </w:t>
      </w:r>
    </w:p>
    <w:p w14:paraId="0B1EC93D" w14:textId="516520E9" w:rsidR="00A50BB8" w:rsidRPr="00874BE1" w:rsidRDefault="00A50BB8" w:rsidP="00604AAA">
      <w:pPr>
        <w:pStyle w:val="3-BodyText"/>
        <w:spacing w:before="160" w:after="160"/>
      </w:pPr>
      <w:r w:rsidRPr="00874BE1">
        <w:t xml:space="preserve">The results of key univariate/multivariate sensitivity analyses are summarised in </w:t>
      </w:r>
      <w:r w:rsidR="002F0501" w:rsidRPr="00874BE1">
        <w:fldChar w:fldCharType="begin"/>
      </w:r>
      <w:r w:rsidR="002F0501" w:rsidRPr="00874BE1">
        <w:instrText xml:space="preserve"> REF _Ref216846700 \h </w:instrText>
      </w:r>
      <w:r w:rsidR="00874BE1" w:rsidRPr="00874BE1">
        <w:instrText xml:space="preserve"> \* MERGEFORMAT </w:instrText>
      </w:r>
      <w:r w:rsidR="002F0501" w:rsidRPr="00874BE1">
        <w:fldChar w:fldCharType="separate"/>
      </w:r>
      <w:r w:rsidR="00E71342" w:rsidRPr="00874BE1">
        <w:t xml:space="preserve">Table </w:t>
      </w:r>
      <w:r w:rsidR="00E71342" w:rsidRPr="00874BE1">
        <w:rPr>
          <w:noProof/>
        </w:rPr>
        <w:t>12</w:t>
      </w:r>
      <w:r w:rsidR="002F0501" w:rsidRPr="00874BE1">
        <w:fldChar w:fldCharType="end"/>
      </w:r>
      <w:r w:rsidRPr="00874BE1">
        <w:t xml:space="preserve">. </w:t>
      </w:r>
    </w:p>
    <w:p w14:paraId="371AD525" w14:textId="1C0EB628" w:rsidR="00A50BB8" w:rsidRPr="0098262F" w:rsidRDefault="00A50BB8" w:rsidP="008D0FDA">
      <w:pPr>
        <w:pStyle w:val="Caption"/>
        <w:widowControl w:val="0"/>
        <w:rPr>
          <w:rStyle w:val="CommentReference"/>
          <w:b/>
          <w:szCs w:val="24"/>
        </w:rPr>
      </w:pPr>
      <w:bookmarkStart w:id="49" w:name="_Ref216846700"/>
      <w:r w:rsidRPr="0098262F">
        <w:lastRenderedPageBreak/>
        <w:t xml:space="preserve">Table </w:t>
      </w:r>
      <w:fldSimple w:instr=" SEQ Table_ \* ARABIC ">
        <w:r w:rsidR="00E71342">
          <w:rPr>
            <w:noProof/>
          </w:rPr>
          <w:t>12</w:t>
        </w:r>
      </w:fldSimple>
      <w:bookmarkEnd w:id="49"/>
      <w:r w:rsidR="00426C31">
        <w:t>:</w:t>
      </w:r>
      <w:r>
        <w:t xml:space="preserve"> </w:t>
      </w:r>
      <w:r w:rsidRPr="0098262F">
        <w:rPr>
          <w:rStyle w:val="CommentReference"/>
          <w:b/>
          <w:szCs w:val="24"/>
        </w:rPr>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2: Sensitivity analyses"/>
      </w:tblPr>
      <w:tblGrid>
        <w:gridCol w:w="3864"/>
        <w:gridCol w:w="1351"/>
        <w:gridCol w:w="1261"/>
        <w:gridCol w:w="1461"/>
        <w:gridCol w:w="1080"/>
      </w:tblGrid>
      <w:tr w:rsidR="00A50BB8" w:rsidRPr="0098262F" w14:paraId="514AF4B8" w14:textId="77777777" w:rsidTr="0002242C">
        <w:trPr>
          <w:cantSplit/>
          <w:tblHeader/>
        </w:trPr>
        <w:tc>
          <w:tcPr>
            <w:tcW w:w="2143" w:type="pct"/>
          </w:tcPr>
          <w:p w14:paraId="1B6FB7D2" w14:textId="77777777" w:rsidR="00A50BB8" w:rsidRPr="0098262F" w:rsidRDefault="00A50BB8" w:rsidP="008D0FDA">
            <w:pPr>
              <w:pStyle w:val="In-tableHeading"/>
              <w:widowControl w:val="0"/>
              <w:rPr>
                <w:lang w:val="en-AU"/>
              </w:rPr>
            </w:pPr>
            <w:r w:rsidRPr="0098262F">
              <w:rPr>
                <w:lang w:val="en-AU"/>
              </w:rPr>
              <w:t>Analyses</w:t>
            </w:r>
          </w:p>
        </w:tc>
        <w:tc>
          <w:tcPr>
            <w:tcW w:w="749" w:type="pct"/>
          </w:tcPr>
          <w:p w14:paraId="27EBC2CA" w14:textId="77777777" w:rsidR="00A50BB8" w:rsidRPr="0098262F" w:rsidRDefault="00A50BB8" w:rsidP="008D0FDA">
            <w:pPr>
              <w:pStyle w:val="In-tableHeading"/>
              <w:widowControl w:val="0"/>
              <w:jc w:val="center"/>
              <w:rPr>
                <w:lang w:val="en-AU"/>
              </w:rPr>
            </w:pPr>
            <w:r w:rsidRPr="0098262F">
              <w:rPr>
                <w:lang w:val="en-AU"/>
              </w:rPr>
              <w:t>Incremental cost</w:t>
            </w:r>
          </w:p>
        </w:tc>
        <w:tc>
          <w:tcPr>
            <w:tcW w:w="699" w:type="pct"/>
          </w:tcPr>
          <w:p w14:paraId="1A9C8E82" w14:textId="77777777" w:rsidR="00A50BB8" w:rsidRPr="00B40BDE" w:rsidRDefault="00A50BB8" w:rsidP="008D0FDA">
            <w:pPr>
              <w:pStyle w:val="In-tableHeading"/>
              <w:widowControl w:val="0"/>
              <w:jc w:val="center"/>
              <w:rPr>
                <w:lang w:val="en-AU"/>
              </w:rPr>
            </w:pPr>
            <w:r w:rsidRPr="00B40BDE">
              <w:rPr>
                <w:lang w:val="en-AU"/>
              </w:rPr>
              <w:t>Incremental QALY</w:t>
            </w:r>
          </w:p>
        </w:tc>
        <w:tc>
          <w:tcPr>
            <w:tcW w:w="810" w:type="pct"/>
          </w:tcPr>
          <w:p w14:paraId="0313E3E0" w14:textId="77777777" w:rsidR="00A50BB8" w:rsidRPr="0098262F" w:rsidRDefault="00A50BB8" w:rsidP="008D0FDA">
            <w:pPr>
              <w:pStyle w:val="In-tableHeading"/>
              <w:widowControl w:val="0"/>
              <w:jc w:val="center"/>
              <w:rPr>
                <w:lang w:val="en-AU"/>
              </w:rPr>
            </w:pPr>
            <w:r w:rsidRPr="0098262F">
              <w:rPr>
                <w:lang w:val="en-AU"/>
              </w:rPr>
              <w:t>ICER</w:t>
            </w:r>
          </w:p>
        </w:tc>
        <w:tc>
          <w:tcPr>
            <w:tcW w:w="599" w:type="pct"/>
          </w:tcPr>
          <w:p w14:paraId="2D19C944" w14:textId="77777777" w:rsidR="00A50BB8" w:rsidRPr="0098262F" w:rsidRDefault="00A50BB8" w:rsidP="008D0FDA">
            <w:pPr>
              <w:pStyle w:val="In-tableHeading"/>
              <w:widowControl w:val="0"/>
              <w:jc w:val="center"/>
              <w:rPr>
                <w:lang w:val="en-AU"/>
              </w:rPr>
            </w:pPr>
            <w:r w:rsidRPr="0098262F">
              <w:rPr>
                <w:lang w:val="en-AU"/>
              </w:rPr>
              <w:t>% change to ICER</w:t>
            </w:r>
          </w:p>
        </w:tc>
      </w:tr>
      <w:tr w:rsidR="00A50BB8" w:rsidRPr="0098262F" w14:paraId="239D01CE" w14:textId="77777777" w:rsidTr="0002242C">
        <w:trPr>
          <w:cantSplit/>
        </w:trPr>
        <w:tc>
          <w:tcPr>
            <w:tcW w:w="2143" w:type="pct"/>
          </w:tcPr>
          <w:p w14:paraId="439B1E78" w14:textId="77777777" w:rsidR="00A50BB8" w:rsidRPr="0098262F" w:rsidRDefault="00A50BB8" w:rsidP="008D0FDA">
            <w:pPr>
              <w:pStyle w:val="TableText0"/>
              <w:widowControl w:val="0"/>
              <w:rPr>
                <w:b/>
              </w:rPr>
            </w:pPr>
            <w:r w:rsidRPr="0098262F">
              <w:rPr>
                <w:b/>
              </w:rPr>
              <w:t>Base case</w:t>
            </w:r>
          </w:p>
        </w:tc>
        <w:tc>
          <w:tcPr>
            <w:tcW w:w="749" w:type="pct"/>
          </w:tcPr>
          <w:p w14:paraId="30ECC374" w14:textId="5262C2D4" w:rsidR="00A50BB8" w:rsidRPr="0098262F" w:rsidRDefault="00A50BB8" w:rsidP="008D0FDA">
            <w:pPr>
              <w:pStyle w:val="TableText0"/>
              <w:widowControl w:val="0"/>
              <w:jc w:val="center"/>
              <w:rPr>
                <w:b/>
                <w:highlight w:val="black"/>
              </w:rPr>
            </w:pPr>
            <w:r w:rsidRPr="00460F34">
              <w:rPr>
                <w:rFonts w:eastAsia="Arial Narrow" w:cs="Arial Narrow"/>
                <w:b/>
                <w:bCs w:val="0"/>
                <w:sz w:val="19"/>
                <w:szCs w:val="19"/>
              </w:rPr>
              <w:t>$</w:t>
            </w:r>
            <w:r w:rsidR="00EB1862" w:rsidRPr="00EB1862">
              <w:rPr>
                <w:rFonts w:eastAsia="Arial Narrow" w:cs="Arial Narrow"/>
                <w:b/>
                <w:bCs w:val="0"/>
                <w:sz w:val="2"/>
                <w:szCs w:val="19"/>
                <w:highlight w:val="black"/>
              </w:rPr>
              <w:t>redacted content</w:t>
            </w:r>
          </w:p>
        </w:tc>
        <w:tc>
          <w:tcPr>
            <w:tcW w:w="699" w:type="pct"/>
          </w:tcPr>
          <w:p w14:paraId="0612F529" w14:textId="77777777" w:rsidR="00A50BB8" w:rsidRPr="00B40BDE" w:rsidRDefault="00A50BB8" w:rsidP="008D0FDA">
            <w:pPr>
              <w:pStyle w:val="TableText0"/>
              <w:widowControl w:val="0"/>
              <w:jc w:val="center"/>
              <w:rPr>
                <w:b/>
              </w:rPr>
            </w:pPr>
            <w:r w:rsidRPr="00B40BDE">
              <w:rPr>
                <w:b/>
              </w:rPr>
              <w:t>1.24</w:t>
            </w:r>
          </w:p>
        </w:tc>
        <w:tc>
          <w:tcPr>
            <w:tcW w:w="810" w:type="pct"/>
          </w:tcPr>
          <w:p w14:paraId="2053EC54" w14:textId="71DD4CBE" w:rsidR="00A50BB8" w:rsidRPr="00233D95" w:rsidRDefault="00A50BB8" w:rsidP="008D0FDA">
            <w:pPr>
              <w:pStyle w:val="TableText0"/>
              <w:widowControl w:val="0"/>
              <w:jc w:val="center"/>
              <w:rPr>
                <w:b/>
                <w:highlight w:val="black"/>
                <w:vertAlign w:val="superscript"/>
              </w:rPr>
            </w:pPr>
            <w:r w:rsidRPr="00082338">
              <w:rPr>
                <w:rFonts w:eastAsia="Times New Roman" w:cs="Calibri"/>
                <w:b/>
              </w:rPr>
              <w:t>$</w:t>
            </w:r>
            <w:r w:rsidR="00EB1862" w:rsidRPr="00EB1862">
              <w:rPr>
                <w:rFonts w:eastAsia="Times New Roman" w:cs="Calibri"/>
                <w:b/>
                <w:sz w:val="2"/>
                <w:highlight w:val="black"/>
              </w:rPr>
              <w:t>redacted content</w:t>
            </w:r>
            <w:r w:rsidR="00233D95" w:rsidRPr="002200A0">
              <w:rPr>
                <w:rFonts w:eastAsia="Times New Roman" w:cs="Calibri"/>
                <w:b/>
                <w:vertAlign w:val="superscript"/>
              </w:rPr>
              <w:t>1</w:t>
            </w:r>
          </w:p>
        </w:tc>
        <w:tc>
          <w:tcPr>
            <w:tcW w:w="599" w:type="pct"/>
          </w:tcPr>
          <w:p w14:paraId="4E9E2277" w14:textId="77777777" w:rsidR="00A50BB8" w:rsidRPr="0098262F" w:rsidRDefault="00A50BB8" w:rsidP="008D0FDA">
            <w:pPr>
              <w:pStyle w:val="TableText0"/>
              <w:widowControl w:val="0"/>
              <w:jc w:val="center"/>
              <w:rPr>
                <w:rFonts w:eastAsia="Calibri"/>
                <w:b/>
                <w:szCs w:val="20"/>
              </w:rPr>
            </w:pPr>
            <w:r>
              <w:rPr>
                <w:b/>
              </w:rPr>
              <w:t>NA</w:t>
            </w:r>
          </w:p>
        </w:tc>
      </w:tr>
      <w:tr w:rsidR="00A50BB8" w:rsidRPr="0098262F" w14:paraId="49401548" w14:textId="77777777" w:rsidTr="0002242C">
        <w:trPr>
          <w:cantSplit/>
        </w:trPr>
        <w:tc>
          <w:tcPr>
            <w:tcW w:w="4401" w:type="pct"/>
            <w:gridSpan w:val="4"/>
          </w:tcPr>
          <w:p w14:paraId="595AF5C1" w14:textId="77777777" w:rsidR="00A50BB8" w:rsidRPr="00B40BDE" w:rsidRDefault="00A50BB8" w:rsidP="008D0FDA">
            <w:pPr>
              <w:pStyle w:val="TableText0"/>
              <w:widowControl w:val="0"/>
              <w:rPr>
                <w:b/>
                <w:bCs w:val="0"/>
              </w:rPr>
            </w:pPr>
            <w:r w:rsidRPr="00B40BDE">
              <w:rPr>
                <w:b/>
                <w:bCs w:val="0"/>
              </w:rPr>
              <w:t>Time horizon (base case 25 years)</w:t>
            </w:r>
          </w:p>
        </w:tc>
        <w:tc>
          <w:tcPr>
            <w:tcW w:w="599" w:type="pct"/>
          </w:tcPr>
          <w:p w14:paraId="1192D69E" w14:textId="77777777" w:rsidR="00A50BB8" w:rsidRPr="0098262F" w:rsidRDefault="00A50BB8" w:rsidP="008D0FDA">
            <w:pPr>
              <w:pStyle w:val="TableText0"/>
              <w:widowControl w:val="0"/>
            </w:pPr>
          </w:p>
        </w:tc>
      </w:tr>
      <w:tr w:rsidR="00A50BB8" w:rsidRPr="00666599" w14:paraId="62DE92B4" w14:textId="77777777" w:rsidTr="0002242C">
        <w:trPr>
          <w:cantSplit/>
          <w:trHeight w:val="283"/>
        </w:trPr>
        <w:tc>
          <w:tcPr>
            <w:tcW w:w="2143" w:type="pct"/>
          </w:tcPr>
          <w:p w14:paraId="66FF9F51" w14:textId="77777777" w:rsidR="00A50BB8" w:rsidRPr="00666599" w:rsidRDefault="00A50BB8" w:rsidP="008D0FDA">
            <w:pPr>
              <w:pStyle w:val="TableText0"/>
              <w:widowControl w:val="0"/>
            </w:pPr>
            <w:r w:rsidRPr="00666599">
              <w:t>15 years</w:t>
            </w:r>
          </w:p>
        </w:tc>
        <w:tc>
          <w:tcPr>
            <w:tcW w:w="749" w:type="pct"/>
          </w:tcPr>
          <w:p w14:paraId="778FC9ED" w14:textId="1CB9E6AA" w:rsidR="00A50BB8" w:rsidRPr="00666599" w:rsidRDefault="00A50BB8" w:rsidP="008D0FDA">
            <w:pPr>
              <w:pStyle w:val="TableText0"/>
              <w:widowControl w:val="0"/>
              <w:jc w:val="center"/>
              <w:rPr>
                <w:rFonts w:eastAsia="Calibri"/>
                <w:szCs w:val="20"/>
              </w:rPr>
            </w:pPr>
            <w:r w:rsidRPr="00666599">
              <w:t>$</w:t>
            </w:r>
            <w:r w:rsidR="00EB1862" w:rsidRPr="00EB1862">
              <w:rPr>
                <w:sz w:val="2"/>
                <w:highlight w:val="black"/>
              </w:rPr>
              <w:t>redacted content</w:t>
            </w:r>
          </w:p>
        </w:tc>
        <w:tc>
          <w:tcPr>
            <w:tcW w:w="699" w:type="pct"/>
          </w:tcPr>
          <w:p w14:paraId="624291B1" w14:textId="77777777" w:rsidR="00A50BB8" w:rsidRPr="00B40BDE" w:rsidRDefault="00A50BB8" w:rsidP="008D0FDA">
            <w:pPr>
              <w:pStyle w:val="TableText0"/>
              <w:widowControl w:val="0"/>
              <w:jc w:val="center"/>
              <w:rPr>
                <w:rFonts w:eastAsia="Calibri"/>
                <w:szCs w:val="20"/>
              </w:rPr>
            </w:pPr>
            <w:r w:rsidRPr="00B40BDE">
              <w:t>0.88</w:t>
            </w:r>
          </w:p>
        </w:tc>
        <w:tc>
          <w:tcPr>
            <w:tcW w:w="810" w:type="pct"/>
          </w:tcPr>
          <w:p w14:paraId="2EDC123C" w14:textId="0C767B2B" w:rsidR="00A50BB8" w:rsidRPr="002200A0" w:rsidRDefault="00A50BB8" w:rsidP="008D0FDA">
            <w:pPr>
              <w:pStyle w:val="TableText0"/>
              <w:widowControl w:val="0"/>
              <w:jc w:val="center"/>
              <w:rPr>
                <w:rFonts w:eastAsia="Calibri"/>
                <w:szCs w:val="20"/>
                <w:vertAlign w:val="superscript"/>
              </w:rPr>
            </w:pPr>
            <w:r w:rsidRPr="00666599">
              <w:t>$</w:t>
            </w:r>
            <w:r w:rsidR="00EB1862" w:rsidRPr="00EB1862">
              <w:rPr>
                <w:sz w:val="2"/>
                <w:highlight w:val="black"/>
              </w:rPr>
              <w:t>redacted content</w:t>
            </w:r>
            <w:r w:rsidR="002200A0">
              <w:rPr>
                <w:vertAlign w:val="superscript"/>
              </w:rPr>
              <w:t>2</w:t>
            </w:r>
          </w:p>
        </w:tc>
        <w:tc>
          <w:tcPr>
            <w:tcW w:w="599" w:type="pct"/>
          </w:tcPr>
          <w:p w14:paraId="4BB466F5" w14:textId="4D674B20" w:rsidR="00A50BB8" w:rsidRPr="00666599" w:rsidRDefault="00EB1862" w:rsidP="008D0FDA">
            <w:pPr>
              <w:pStyle w:val="TableText0"/>
              <w:widowControl w:val="0"/>
              <w:jc w:val="center"/>
              <w:rPr>
                <w:rFonts w:eastAsia="Calibri"/>
                <w:szCs w:val="20"/>
              </w:rPr>
            </w:pPr>
            <w:r w:rsidRPr="00EB1862">
              <w:rPr>
                <w:sz w:val="2"/>
                <w:highlight w:val="black"/>
              </w:rPr>
              <w:t>redacted content</w:t>
            </w:r>
            <w:r w:rsidR="00A50BB8" w:rsidRPr="00666599">
              <w:t>%</w:t>
            </w:r>
          </w:p>
        </w:tc>
      </w:tr>
      <w:tr w:rsidR="00A50BB8" w:rsidRPr="00666599" w14:paraId="77B67250" w14:textId="77777777" w:rsidTr="0002242C">
        <w:trPr>
          <w:cantSplit/>
          <w:trHeight w:val="283"/>
        </w:trPr>
        <w:tc>
          <w:tcPr>
            <w:tcW w:w="2143" w:type="pct"/>
          </w:tcPr>
          <w:p w14:paraId="0FAEEB18" w14:textId="77777777" w:rsidR="00A50BB8" w:rsidRPr="00666599" w:rsidRDefault="00A50BB8" w:rsidP="008D0FDA">
            <w:pPr>
              <w:pStyle w:val="TableText0"/>
              <w:widowControl w:val="0"/>
            </w:pPr>
            <w:r w:rsidRPr="00666599">
              <w:t>20 years</w:t>
            </w:r>
          </w:p>
        </w:tc>
        <w:tc>
          <w:tcPr>
            <w:tcW w:w="749" w:type="pct"/>
          </w:tcPr>
          <w:p w14:paraId="447DBA2E" w14:textId="0FC8B503" w:rsidR="00A50BB8" w:rsidRPr="00666599" w:rsidRDefault="00A50BB8" w:rsidP="008D0FDA">
            <w:pPr>
              <w:pStyle w:val="TableText0"/>
              <w:widowControl w:val="0"/>
              <w:jc w:val="center"/>
              <w:rPr>
                <w:rFonts w:eastAsia="Calibri"/>
                <w:szCs w:val="20"/>
              </w:rPr>
            </w:pPr>
            <w:r w:rsidRPr="00666599">
              <w:t>$</w:t>
            </w:r>
            <w:r w:rsidR="00EB1862" w:rsidRPr="00EB1862">
              <w:rPr>
                <w:sz w:val="2"/>
                <w:highlight w:val="black"/>
              </w:rPr>
              <w:t>redacted content</w:t>
            </w:r>
          </w:p>
        </w:tc>
        <w:tc>
          <w:tcPr>
            <w:tcW w:w="699" w:type="pct"/>
          </w:tcPr>
          <w:p w14:paraId="265C54F9" w14:textId="77777777" w:rsidR="00A50BB8" w:rsidRPr="00B40BDE" w:rsidRDefault="00A50BB8" w:rsidP="008D0FDA">
            <w:pPr>
              <w:pStyle w:val="TableText0"/>
              <w:widowControl w:val="0"/>
              <w:jc w:val="center"/>
              <w:rPr>
                <w:rFonts w:eastAsia="Calibri"/>
                <w:szCs w:val="20"/>
              </w:rPr>
            </w:pPr>
            <w:r w:rsidRPr="00B40BDE">
              <w:t>1.10</w:t>
            </w:r>
          </w:p>
        </w:tc>
        <w:tc>
          <w:tcPr>
            <w:tcW w:w="810" w:type="pct"/>
          </w:tcPr>
          <w:p w14:paraId="3F349B44" w14:textId="02B87557" w:rsidR="00A50BB8" w:rsidRPr="00233D95" w:rsidRDefault="00A50BB8" w:rsidP="008D0FDA">
            <w:pPr>
              <w:pStyle w:val="TableText0"/>
              <w:widowControl w:val="0"/>
              <w:jc w:val="center"/>
              <w:rPr>
                <w:rFonts w:eastAsia="Calibri"/>
                <w:szCs w:val="20"/>
                <w:vertAlign w:val="superscript"/>
              </w:rPr>
            </w:pPr>
            <w:r w:rsidRPr="00666599">
              <w:t>$</w:t>
            </w:r>
            <w:r w:rsidR="00EB1862" w:rsidRPr="00EB1862">
              <w:rPr>
                <w:sz w:val="2"/>
                <w:highlight w:val="black"/>
              </w:rPr>
              <w:t>redacted content</w:t>
            </w:r>
            <w:r w:rsidR="00233D95">
              <w:rPr>
                <w:vertAlign w:val="superscript"/>
              </w:rPr>
              <w:t>1</w:t>
            </w:r>
          </w:p>
        </w:tc>
        <w:tc>
          <w:tcPr>
            <w:tcW w:w="599" w:type="pct"/>
          </w:tcPr>
          <w:p w14:paraId="60354C21" w14:textId="60286EC3" w:rsidR="00A50BB8" w:rsidRPr="00666599" w:rsidRDefault="00EB1862" w:rsidP="008D0FDA">
            <w:pPr>
              <w:pStyle w:val="TableText0"/>
              <w:widowControl w:val="0"/>
              <w:jc w:val="center"/>
              <w:rPr>
                <w:rFonts w:eastAsia="Calibri"/>
                <w:szCs w:val="20"/>
              </w:rPr>
            </w:pPr>
            <w:r w:rsidRPr="00EB1862">
              <w:rPr>
                <w:sz w:val="2"/>
                <w:highlight w:val="black"/>
              </w:rPr>
              <w:t>redacted content</w:t>
            </w:r>
            <w:r w:rsidR="00A50BB8" w:rsidRPr="00666599">
              <w:t>%</w:t>
            </w:r>
          </w:p>
        </w:tc>
      </w:tr>
      <w:tr w:rsidR="00A50BB8" w:rsidRPr="0098262F" w14:paraId="320DA926" w14:textId="77777777">
        <w:trPr>
          <w:cantSplit/>
          <w:trHeight w:val="283"/>
        </w:trPr>
        <w:tc>
          <w:tcPr>
            <w:tcW w:w="5000" w:type="pct"/>
            <w:gridSpan w:val="5"/>
          </w:tcPr>
          <w:p w14:paraId="5F96AA3C" w14:textId="77777777" w:rsidR="00A50BB8" w:rsidRPr="00B40BDE" w:rsidRDefault="00A50BB8" w:rsidP="008D0FDA">
            <w:pPr>
              <w:pStyle w:val="TableText0"/>
              <w:widowControl w:val="0"/>
              <w:rPr>
                <w:rFonts w:eastAsia="Calibri"/>
                <w:b/>
                <w:bCs w:val="0"/>
                <w:szCs w:val="20"/>
              </w:rPr>
            </w:pPr>
            <w:r w:rsidRPr="00B40BDE">
              <w:rPr>
                <w:b/>
                <w:bCs w:val="0"/>
              </w:rPr>
              <w:t>Discount rate (base case: 5%)</w:t>
            </w:r>
          </w:p>
        </w:tc>
      </w:tr>
      <w:tr w:rsidR="00A50BB8" w:rsidRPr="0098262F" w14:paraId="5771D923" w14:textId="77777777" w:rsidTr="0002242C">
        <w:trPr>
          <w:cantSplit/>
          <w:trHeight w:val="283"/>
        </w:trPr>
        <w:tc>
          <w:tcPr>
            <w:tcW w:w="2143" w:type="pct"/>
          </w:tcPr>
          <w:p w14:paraId="511ED91E" w14:textId="77777777" w:rsidR="00A50BB8" w:rsidRPr="0098262F" w:rsidRDefault="00A50BB8" w:rsidP="008D0FDA">
            <w:pPr>
              <w:pStyle w:val="TableText0"/>
              <w:widowControl w:val="0"/>
            </w:pPr>
            <w:r w:rsidRPr="00D9021B">
              <w:t>0% costs and outcomes</w:t>
            </w:r>
          </w:p>
        </w:tc>
        <w:tc>
          <w:tcPr>
            <w:tcW w:w="749" w:type="pct"/>
          </w:tcPr>
          <w:p w14:paraId="277C2439" w14:textId="239406F0" w:rsidR="00A50BB8" w:rsidRPr="0098262F" w:rsidRDefault="00A50BB8" w:rsidP="008D0FDA">
            <w:pPr>
              <w:pStyle w:val="TableText0"/>
              <w:widowControl w:val="0"/>
              <w:jc w:val="center"/>
              <w:rPr>
                <w:rFonts w:eastAsia="Calibri"/>
                <w:szCs w:val="20"/>
              </w:rPr>
            </w:pPr>
            <w:r w:rsidRPr="001B4F70">
              <w:t>$</w:t>
            </w:r>
            <w:r w:rsidR="00EB1862" w:rsidRPr="00EB1862">
              <w:rPr>
                <w:sz w:val="2"/>
                <w:highlight w:val="black"/>
              </w:rPr>
              <w:t>redacted content</w:t>
            </w:r>
          </w:p>
        </w:tc>
        <w:tc>
          <w:tcPr>
            <w:tcW w:w="699" w:type="pct"/>
          </w:tcPr>
          <w:p w14:paraId="60866DC1" w14:textId="77777777" w:rsidR="00A50BB8" w:rsidRPr="00B40BDE" w:rsidRDefault="00A50BB8" w:rsidP="008D0FDA">
            <w:pPr>
              <w:pStyle w:val="TableText0"/>
              <w:widowControl w:val="0"/>
              <w:jc w:val="center"/>
              <w:rPr>
                <w:rFonts w:eastAsia="Calibri"/>
                <w:szCs w:val="20"/>
              </w:rPr>
            </w:pPr>
            <w:r w:rsidRPr="00B40BDE">
              <w:t>2.23</w:t>
            </w:r>
          </w:p>
        </w:tc>
        <w:tc>
          <w:tcPr>
            <w:tcW w:w="810" w:type="pct"/>
          </w:tcPr>
          <w:p w14:paraId="202D7728" w14:textId="66FBC053" w:rsidR="00A50BB8" w:rsidRPr="0055523F" w:rsidRDefault="00A50BB8" w:rsidP="008D0FDA">
            <w:pPr>
              <w:pStyle w:val="TableText0"/>
              <w:widowControl w:val="0"/>
              <w:jc w:val="center"/>
              <w:rPr>
                <w:rFonts w:eastAsia="Calibri"/>
                <w:szCs w:val="20"/>
                <w:vertAlign w:val="superscript"/>
              </w:rPr>
            </w:pPr>
            <w:r w:rsidRPr="00E4771F">
              <w:t>$</w:t>
            </w:r>
            <w:r w:rsidR="00EB1862" w:rsidRPr="00EB1862">
              <w:rPr>
                <w:sz w:val="2"/>
                <w:highlight w:val="black"/>
              </w:rPr>
              <w:t>redacted content</w:t>
            </w:r>
            <w:r w:rsidR="0055523F">
              <w:rPr>
                <w:vertAlign w:val="superscript"/>
              </w:rPr>
              <w:t>3</w:t>
            </w:r>
          </w:p>
        </w:tc>
        <w:tc>
          <w:tcPr>
            <w:tcW w:w="599" w:type="pct"/>
          </w:tcPr>
          <w:p w14:paraId="0B40FE8B" w14:textId="2EFDD741" w:rsidR="00A50BB8" w:rsidRPr="00666599" w:rsidRDefault="00A50BB8" w:rsidP="008D0FDA">
            <w:pPr>
              <w:pStyle w:val="TableText0"/>
              <w:widowControl w:val="0"/>
              <w:jc w:val="center"/>
              <w:rPr>
                <w:rFonts w:eastAsia="Calibri"/>
                <w:szCs w:val="20"/>
              </w:rPr>
            </w:pPr>
            <w:r w:rsidRPr="00666599">
              <w:t>−</w:t>
            </w:r>
            <w:r w:rsidR="00EB1862" w:rsidRPr="00EB1862">
              <w:rPr>
                <w:sz w:val="2"/>
                <w:highlight w:val="black"/>
              </w:rPr>
              <w:t>redacted content</w:t>
            </w:r>
            <w:r w:rsidRPr="00666599">
              <w:t>%</w:t>
            </w:r>
          </w:p>
        </w:tc>
      </w:tr>
      <w:tr w:rsidR="00A50BB8" w:rsidRPr="0098262F" w14:paraId="2AE9AEC3" w14:textId="77777777" w:rsidTr="0002242C">
        <w:trPr>
          <w:cantSplit/>
          <w:trHeight w:val="283"/>
        </w:trPr>
        <w:tc>
          <w:tcPr>
            <w:tcW w:w="2143" w:type="pct"/>
          </w:tcPr>
          <w:p w14:paraId="32758F60" w14:textId="77777777" w:rsidR="00A50BB8" w:rsidRPr="0098262F" w:rsidRDefault="00A50BB8" w:rsidP="008D0FDA">
            <w:pPr>
              <w:pStyle w:val="TableText0"/>
              <w:widowControl w:val="0"/>
            </w:pPr>
            <w:r w:rsidRPr="00D9021B">
              <w:t>3.5% costs and outcomes</w:t>
            </w:r>
          </w:p>
        </w:tc>
        <w:tc>
          <w:tcPr>
            <w:tcW w:w="749" w:type="pct"/>
          </w:tcPr>
          <w:p w14:paraId="630A25E6" w14:textId="7E4AF169" w:rsidR="00A50BB8" w:rsidRPr="0098262F" w:rsidRDefault="00A50BB8" w:rsidP="008D0FDA">
            <w:pPr>
              <w:pStyle w:val="TableText0"/>
              <w:widowControl w:val="0"/>
              <w:jc w:val="center"/>
              <w:rPr>
                <w:rFonts w:eastAsia="Calibri"/>
                <w:szCs w:val="20"/>
              </w:rPr>
            </w:pPr>
            <w:r w:rsidRPr="001B4F70">
              <w:t>$</w:t>
            </w:r>
            <w:r w:rsidR="00EB1862" w:rsidRPr="00EB1862">
              <w:rPr>
                <w:sz w:val="2"/>
                <w:highlight w:val="black"/>
              </w:rPr>
              <w:t>redacted content</w:t>
            </w:r>
          </w:p>
        </w:tc>
        <w:tc>
          <w:tcPr>
            <w:tcW w:w="699" w:type="pct"/>
          </w:tcPr>
          <w:p w14:paraId="175CC219" w14:textId="77777777" w:rsidR="00A50BB8" w:rsidRPr="00B40BDE" w:rsidRDefault="00A50BB8" w:rsidP="008D0FDA">
            <w:pPr>
              <w:pStyle w:val="TableText0"/>
              <w:widowControl w:val="0"/>
              <w:jc w:val="center"/>
              <w:rPr>
                <w:rFonts w:eastAsia="Calibri"/>
                <w:szCs w:val="20"/>
              </w:rPr>
            </w:pPr>
            <w:r w:rsidRPr="00B40BDE">
              <w:t>1.46</w:t>
            </w:r>
          </w:p>
        </w:tc>
        <w:tc>
          <w:tcPr>
            <w:tcW w:w="810" w:type="pct"/>
          </w:tcPr>
          <w:p w14:paraId="5C8EEEE1" w14:textId="0359571E" w:rsidR="00A50BB8" w:rsidRPr="006D641D" w:rsidRDefault="00A50BB8" w:rsidP="008D0FDA">
            <w:pPr>
              <w:pStyle w:val="TableText0"/>
              <w:widowControl w:val="0"/>
              <w:jc w:val="center"/>
              <w:rPr>
                <w:rFonts w:eastAsia="Calibri"/>
                <w:szCs w:val="20"/>
                <w:vertAlign w:val="superscript"/>
              </w:rPr>
            </w:pPr>
            <w:r w:rsidRPr="00E4771F">
              <w:t>$</w:t>
            </w:r>
            <w:r w:rsidR="00EB1862" w:rsidRPr="00EB1862">
              <w:rPr>
                <w:sz w:val="2"/>
                <w:highlight w:val="black"/>
              </w:rPr>
              <w:t>redacted content</w:t>
            </w:r>
            <w:r w:rsidR="006D641D">
              <w:rPr>
                <w:vertAlign w:val="superscript"/>
              </w:rPr>
              <w:t>4</w:t>
            </w:r>
          </w:p>
        </w:tc>
        <w:tc>
          <w:tcPr>
            <w:tcW w:w="599" w:type="pct"/>
          </w:tcPr>
          <w:p w14:paraId="726F179C" w14:textId="7AFBE681" w:rsidR="00A50BB8" w:rsidRPr="00666599" w:rsidRDefault="00A50BB8" w:rsidP="008D0FDA">
            <w:pPr>
              <w:pStyle w:val="TableText0"/>
              <w:widowControl w:val="0"/>
              <w:jc w:val="center"/>
              <w:rPr>
                <w:rFonts w:eastAsia="Calibri"/>
                <w:szCs w:val="20"/>
              </w:rPr>
            </w:pPr>
            <w:r w:rsidRPr="00666599">
              <w:t>−</w:t>
            </w:r>
            <w:r w:rsidR="00EB1862" w:rsidRPr="00EB1862">
              <w:rPr>
                <w:sz w:val="2"/>
                <w:highlight w:val="black"/>
              </w:rPr>
              <w:t>redacted content</w:t>
            </w:r>
            <w:r w:rsidRPr="00666599">
              <w:t>%</w:t>
            </w:r>
          </w:p>
        </w:tc>
      </w:tr>
      <w:tr w:rsidR="00A50BB8" w:rsidRPr="0098262F" w14:paraId="410B0CE2" w14:textId="77777777">
        <w:trPr>
          <w:cantSplit/>
          <w:trHeight w:val="283"/>
        </w:trPr>
        <w:tc>
          <w:tcPr>
            <w:tcW w:w="5000" w:type="pct"/>
            <w:gridSpan w:val="5"/>
          </w:tcPr>
          <w:p w14:paraId="61E248AD" w14:textId="77777777" w:rsidR="00A50BB8" w:rsidRPr="00B40BDE" w:rsidRDefault="00A50BB8" w:rsidP="008D0FDA">
            <w:pPr>
              <w:pStyle w:val="TableText0"/>
              <w:widowControl w:val="0"/>
              <w:rPr>
                <w:rFonts w:eastAsia="Calibri"/>
                <w:szCs w:val="20"/>
              </w:rPr>
            </w:pPr>
            <w:r w:rsidRPr="00B40BDE">
              <w:rPr>
                <w:b/>
                <w:bCs w:val="0"/>
              </w:rPr>
              <w:t>Cure assumption (base case applied at 10 years)</w:t>
            </w:r>
          </w:p>
        </w:tc>
      </w:tr>
      <w:tr w:rsidR="00A50BB8" w:rsidRPr="00666599" w14:paraId="027E7E80" w14:textId="77777777" w:rsidTr="0002242C">
        <w:trPr>
          <w:cantSplit/>
          <w:trHeight w:val="283"/>
        </w:trPr>
        <w:tc>
          <w:tcPr>
            <w:tcW w:w="2143" w:type="pct"/>
          </w:tcPr>
          <w:p w14:paraId="412B49DB" w14:textId="77777777" w:rsidR="00A50BB8" w:rsidRPr="00666599" w:rsidRDefault="00A50BB8" w:rsidP="008D0FDA">
            <w:pPr>
              <w:pStyle w:val="TableText0"/>
              <w:widowControl w:val="0"/>
            </w:pPr>
            <w:r w:rsidRPr="00666599">
              <w:t>Applied at 7 years</w:t>
            </w:r>
          </w:p>
        </w:tc>
        <w:tc>
          <w:tcPr>
            <w:tcW w:w="749" w:type="pct"/>
          </w:tcPr>
          <w:p w14:paraId="34BD3019" w14:textId="6366C757" w:rsidR="00A50BB8" w:rsidRPr="00666599" w:rsidRDefault="00A50BB8" w:rsidP="008D0FDA">
            <w:pPr>
              <w:pStyle w:val="TableText0"/>
              <w:widowControl w:val="0"/>
              <w:jc w:val="center"/>
              <w:rPr>
                <w:rFonts w:eastAsia="Calibri"/>
                <w:szCs w:val="20"/>
              </w:rPr>
            </w:pPr>
            <w:r w:rsidRPr="00666599">
              <w:t>$</w:t>
            </w:r>
            <w:r w:rsidR="00EB1862" w:rsidRPr="00EB1862">
              <w:rPr>
                <w:sz w:val="2"/>
                <w:highlight w:val="black"/>
              </w:rPr>
              <w:t>redacted content</w:t>
            </w:r>
          </w:p>
        </w:tc>
        <w:tc>
          <w:tcPr>
            <w:tcW w:w="699" w:type="pct"/>
          </w:tcPr>
          <w:p w14:paraId="58EB0B3E" w14:textId="77777777" w:rsidR="00A50BB8" w:rsidRPr="00B40BDE" w:rsidRDefault="00A50BB8" w:rsidP="008D0FDA">
            <w:pPr>
              <w:pStyle w:val="TableText0"/>
              <w:widowControl w:val="0"/>
              <w:jc w:val="center"/>
              <w:rPr>
                <w:rFonts w:eastAsia="Calibri"/>
                <w:szCs w:val="20"/>
              </w:rPr>
            </w:pPr>
            <w:r w:rsidRPr="00B40BDE">
              <w:t>1.22</w:t>
            </w:r>
          </w:p>
        </w:tc>
        <w:tc>
          <w:tcPr>
            <w:tcW w:w="810" w:type="pct"/>
          </w:tcPr>
          <w:p w14:paraId="4C1B3366" w14:textId="32D725F0" w:rsidR="00A50BB8" w:rsidRPr="00233D95" w:rsidRDefault="00A50BB8" w:rsidP="008D0FDA">
            <w:pPr>
              <w:pStyle w:val="TableText0"/>
              <w:widowControl w:val="0"/>
              <w:jc w:val="center"/>
              <w:rPr>
                <w:rFonts w:eastAsia="Calibri"/>
                <w:szCs w:val="20"/>
                <w:vertAlign w:val="superscript"/>
              </w:rPr>
            </w:pPr>
            <w:r w:rsidRPr="00666599">
              <w:t>$</w:t>
            </w:r>
            <w:r w:rsidR="00EB1862" w:rsidRPr="00EB1862">
              <w:rPr>
                <w:sz w:val="2"/>
                <w:highlight w:val="black"/>
              </w:rPr>
              <w:t>redacted content</w:t>
            </w:r>
            <w:r w:rsidR="00233D95">
              <w:rPr>
                <w:vertAlign w:val="superscript"/>
              </w:rPr>
              <w:t>1</w:t>
            </w:r>
          </w:p>
        </w:tc>
        <w:tc>
          <w:tcPr>
            <w:tcW w:w="599" w:type="pct"/>
          </w:tcPr>
          <w:p w14:paraId="4A8F9CC8" w14:textId="15AE27FF" w:rsidR="00A50BB8" w:rsidRPr="00666599" w:rsidRDefault="00EB1862" w:rsidP="008D0FDA">
            <w:pPr>
              <w:pStyle w:val="TableText0"/>
              <w:widowControl w:val="0"/>
              <w:jc w:val="center"/>
              <w:rPr>
                <w:rFonts w:eastAsia="Calibri"/>
                <w:szCs w:val="20"/>
              </w:rPr>
            </w:pPr>
            <w:r w:rsidRPr="00EB1862">
              <w:rPr>
                <w:sz w:val="2"/>
                <w:highlight w:val="black"/>
              </w:rPr>
              <w:t>redacted content</w:t>
            </w:r>
            <w:r w:rsidR="00A50BB8" w:rsidRPr="00666599">
              <w:t>%</w:t>
            </w:r>
          </w:p>
        </w:tc>
      </w:tr>
      <w:tr w:rsidR="00A50BB8" w:rsidRPr="00666599" w14:paraId="117980A4" w14:textId="77777777" w:rsidTr="0002242C">
        <w:trPr>
          <w:cantSplit/>
          <w:trHeight w:val="283"/>
        </w:trPr>
        <w:tc>
          <w:tcPr>
            <w:tcW w:w="2143" w:type="pct"/>
          </w:tcPr>
          <w:p w14:paraId="49C79FCF" w14:textId="77777777" w:rsidR="00A50BB8" w:rsidRPr="00666599" w:rsidRDefault="00A50BB8" w:rsidP="008D0FDA">
            <w:pPr>
              <w:pStyle w:val="TableText0"/>
              <w:widowControl w:val="0"/>
            </w:pPr>
            <w:r w:rsidRPr="00666599">
              <w:t>Applied at 5 years</w:t>
            </w:r>
          </w:p>
        </w:tc>
        <w:tc>
          <w:tcPr>
            <w:tcW w:w="749" w:type="pct"/>
          </w:tcPr>
          <w:p w14:paraId="0A4AA198" w14:textId="3D5DDC01" w:rsidR="00A50BB8" w:rsidRPr="00666599" w:rsidRDefault="00A50BB8" w:rsidP="008D0FDA">
            <w:pPr>
              <w:pStyle w:val="TableText0"/>
              <w:widowControl w:val="0"/>
              <w:jc w:val="center"/>
              <w:rPr>
                <w:rFonts w:eastAsia="Calibri"/>
                <w:szCs w:val="20"/>
              </w:rPr>
            </w:pPr>
            <w:r w:rsidRPr="00666599">
              <w:t>$</w:t>
            </w:r>
            <w:r w:rsidR="00EB1862" w:rsidRPr="00EB1862">
              <w:rPr>
                <w:sz w:val="2"/>
                <w:highlight w:val="black"/>
              </w:rPr>
              <w:t>redacted content</w:t>
            </w:r>
          </w:p>
        </w:tc>
        <w:tc>
          <w:tcPr>
            <w:tcW w:w="699" w:type="pct"/>
          </w:tcPr>
          <w:p w14:paraId="6C260315" w14:textId="77777777" w:rsidR="00A50BB8" w:rsidRPr="00B40BDE" w:rsidRDefault="00A50BB8" w:rsidP="008D0FDA">
            <w:pPr>
              <w:pStyle w:val="TableText0"/>
              <w:widowControl w:val="0"/>
              <w:jc w:val="center"/>
              <w:rPr>
                <w:rFonts w:eastAsia="Calibri"/>
                <w:szCs w:val="20"/>
              </w:rPr>
            </w:pPr>
            <w:r w:rsidRPr="00B40BDE">
              <w:t>1.17</w:t>
            </w:r>
          </w:p>
        </w:tc>
        <w:tc>
          <w:tcPr>
            <w:tcW w:w="810" w:type="pct"/>
          </w:tcPr>
          <w:p w14:paraId="095125AF" w14:textId="78985354" w:rsidR="00A50BB8" w:rsidRPr="00233D95" w:rsidRDefault="00A50BB8" w:rsidP="008D0FDA">
            <w:pPr>
              <w:pStyle w:val="TableText0"/>
              <w:widowControl w:val="0"/>
              <w:jc w:val="center"/>
              <w:rPr>
                <w:rFonts w:eastAsia="Calibri"/>
                <w:szCs w:val="20"/>
                <w:vertAlign w:val="superscript"/>
              </w:rPr>
            </w:pPr>
            <w:r w:rsidRPr="00666599">
              <w:t>$</w:t>
            </w:r>
            <w:r w:rsidR="00EB1862" w:rsidRPr="00EB1862">
              <w:rPr>
                <w:sz w:val="2"/>
                <w:highlight w:val="black"/>
              </w:rPr>
              <w:t>redacted content</w:t>
            </w:r>
            <w:r w:rsidR="00233D95">
              <w:rPr>
                <w:vertAlign w:val="superscript"/>
              </w:rPr>
              <w:t>1</w:t>
            </w:r>
          </w:p>
        </w:tc>
        <w:tc>
          <w:tcPr>
            <w:tcW w:w="599" w:type="pct"/>
          </w:tcPr>
          <w:p w14:paraId="091F512A" w14:textId="52E29ECB" w:rsidR="00A50BB8" w:rsidRPr="00666599" w:rsidRDefault="00EB1862" w:rsidP="008D0FDA">
            <w:pPr>
              <w:pStyle w:val="TableText0"/>
              <w:widowControl w:val="0"/>
              <w:jc w:val="center"/>
              <w:rPr>
                <w:rFonts w:eastAsia="Calibri"/>
                <w:szCs w:val="20"/>
              </w:rPr>
            </w:pPr>
            <w:r w:rsidRPr="00EB1862">
              <w:rPr>
                <w:sz w:val="2"/>
                <w:highlight w:val="black"/>
              </w:rPr>
              <w:t>redacted content</w:t>
            </w:r>
            <w:r w:rsidR="00A50BB8" w:rsidRPr="00666599">
              <w:t>%</w:t>
            </w:r>
          </w:p>
        </w:tc>
      </w:tr>
      <w:tr w:rsidR="00A50BB8" w:rsidRPr="0098262F" w14:paraId="62C722BD" w14:textId="77777777" w:rsidTr="0002242C">
        <w:trPr>
          <w:cantSplit/>
          <w:trHeight w:val="283"/>
        </w:trPr>
        <w:tc>
          <w:tcPr>
            <w:tcW w:w="2143" w:type="pct"/>
          </w:tcPr>
          <w:p w14:paraId="7D48D8E2" w14:textId="77777777" w:rsidR="00A50BB8" w:rsidRPr="0098262F" w:rsidRDefault="00A50BB8" w:rsidP="008D0FDA">
            <w:pPr>
              <w:pStyle w:val="TableText0"/>
              <w:widowControl w:val="0"/>
            </w:pPr>
            <w:r w:rsidRPr="006109A7">
              <w:t>Not applied</w:t>
            </w:r>
          </w:p>
        </w:tc>
        <w:tc>
          <w:tcPr>
            <w:tcW w:w="749" w:type="pct"/>
          </w:tcPr>
          <w:p w14:paraId="6EB556FA" w14:textId="2AAA8B4C" w:rsidR="00A50BB8" w:rsidRPr="0098262F" w:rsidRDefault="00A50BB8" w:rsidP="008D0FDA">
            <w:pPr>
              <w:pStyle w:val="TableText0"/>
              <w:widowControl w:val="0"/>
              <w:jc w:val="center"/>
              <w:rPr>
                <w:rFonts w:eastAsia="Calibri"/>
                <w:szCs w:val="20"/>
              </w:rPr>
            </w:pPr>
            <w:r w:rsidRPr="003D58C2">
              <w:t>$</w:t>
            </w:r>
            <w:r w:rsidR="00EB1862" w:rsidRPr="00EB1862">
              <w:rPr>
                <w:sz w:val="2"/>
                <w:highlight w:val="black"/>
              </w:rPr>
              <w:t>redacted content</w:t>
            </w:r>
          </w:p>
        </w:tc>
        <w:tc>
          <w:tcPr>
            <w:tcW w:w="699" w:type="pct"/>
          </w:tcPr>
          <w:p w14:paraId="3DD69ED8" w14:textId="77777777" w:rsidR="00A50BB8" w:rsidRPr="00B40BDE" w:rsidRDefault="00A50BB8" w:rsidP="008D0FDA">
            <w:pPr>
              <w:pStyle w:val="TableText0"/>
              <w:widowControl w:val="0"/>
              <w:jc w:val="center"/>
              <w:rPr>
                <w:rFonts w:eastAsia="Calibri"/>
                <w:szCs w:val="20"/>
              </w:rPr>
            </w:pPr>
            <w:r w:rsidRPr="00B40BDE">
              <w:t>1.12</w:t>
            </w:r>
          </w:p>
        </w:tc>
        <w:tc>
          <w:tcPr>
            <w:tcW w:w="810" w:type="pct"/>
          </w:tcPr>
          <w:p w14:paraId="6D989F34" w14:textId="244D7554" w:rsidR="00A50BB8" w:rsidRPr="00233D95" w:rsidRDefault="00A50BB8" w:rsidP="008D0FDA">
            <w:pPr>
              <w:pStyle w:val="TableText0"/>
              <w:widowControl w:val="0"/>
              <w:jc w:val="center"/>
              <w:rPr>
                <w:rFonts w:eastAsia="Calibri"/>
                <w:szCs w:val="20"/>
                <w:vertAlign w:val="superscript"/>
              </w:rPr>
            </w:pPr>
            <w:r w:rsidRPr="00116434">
              <w:t>$</w:t>
            </w:r>
            <w:r w:rsidR="00EB1862" w:rsidRPr="00EB1862">
              <w:rPr>
                <w:sz w:val="2"/>
                <w:highlight w:val="black"/>
              </w:rPr>
              <w:t>redacted content</w:t>
            </w:r>
            <w:r w:rsidR="00233D95">
              <w:rPr>
                <w:vertAlign w:val="superscript"/>
              </w:rPr>
              <w:t>1</w:t>
            </w:r>
          </w:p>
        </w:tc>
        <w:tc>
          <w:tcPr>
            <w:tcW w:w="599" w:type="pct"/>
          </w:tcPr>
          <w:p w14:paraId="13208CD2" w14:textId="339793D6" w:rsidR="00A50BB8" w:rsidRPr="00666599" w:rsidRDefault="00EB1862" w:rsidP="008D0FDA">
            <w:pPr>
              <w:pStyle w:val="TableText0"/>
              <w:widowControl w:val="0"/>
              <w:jc w:val="center"/>
              <w:rPr>
                <w:rFonts w:eastAsia="Calibri"/>
                <w:szCs w:val="20"/>
              </w:rPr>
            </w:pPr>
            <w:r w:rsidRPr="00EB1862">
              <w:rPr>
                <w:sz w:val="2"/>
                <w:highlight w:val="black"/>
              </w:rPr>
              <w:t>redacted content</w:t>
            </w:r>
            <w:r w:rsidR="00A50BB8" w:rsidRPr="00666599">
              <w:t>%</w:t>
            </w:r>
          </w:p>
        </w:tc>
      </w:tr>
      <w:tr w:rsidR="005E3373" w:rsidRPr="0098262F" w14:paraId="40223247" w14:textId="77777777" w:rsidTr="005E3373">
        <w:trPr>
          <w:cantSplit/>
          <w:trHeight w:val="283"/>
        </w:trPr>
        <w:tc>
          <w:tcPr>
            <w:tcW w:w="5000" w:type="pct"/>
            <w:gridSpan w:val="5"/>
          </w:tcPr>
          <w:p w14:paraId="506B517E" w14:textId="3C082DFE" w:rsidR="005E3373" w:rsidRPr="00B40BDE" w:rsidRDefault="00CF188A" w:rsidP="008D0FDA">
            <w:pPr>
              <w:pStyle w:val="TableText0"/>
              <w:widowControl w:val="0"/>
              <w:rPr>
                <w:b/>
                <w:bCs w:val="0"/>
                <w:i/>
                <w:iCs/>
              </w:rPr>
            </w:pPr>
            <w:r w:rsidRPr="00B40BDE">
              <w:rPr>
                <w:b/>
                <w:bCs w:val="0"/>
              </w:rPr>
              <w:t xml:space="preserve">Proportion receiving subsequent IO in the FLOT arm (base case </w:t>
            </w:r>
            <w:r w:rsidR="00EB1862" w:rsidRPr="00EB1862">
              <w:rPr>
                <w:b/>
                <w:bCs w:val="0"/>
                <w:sz w:val="2"/>
                <w:highlight w:val="black"/>
              </w:rPr>
              <w:t>redacted content</w:t>
            </w:r>
            <w:r w:rsidRPr="00B40BDE">
              <w:rPr>
                <w:b/>
                <w:bCs w:val="0"/>
              </w:rPr>
              <w:t>%)</w:t>
            </w:r>
          </w:p>
        </w:tc>
      </w:tr>
      <w:tr w:rsidR="005E3373" w:rsidRPr="0098262F" w14:paraId="6F6AC2F7" w14:textId="0A317F0E" w:rsidTr="0002242C">
        <w:trPr>
          <w:cantSplit/>
          <w:trHeight w:val="283"/>
        </w:trPr>
        <w:tc>
          <w:tcPr>
            <w:tcW w:w="2143" w:type="pct"/>
          </w:tcPr>
          <w:p w14:paraId="54B96587" w14:textId="3FF56B7E" w:rsidR="005E3373" w:rsidRDefault="00631689" w:rsidP="008D0FDA">
            <w:pPr>
              <w:pStyle w:val="TableText0"/>
              <w:widowControl w:val="0"/>
            </w:pPr>
            <w:r>
              <w:t>Trial</w:t>
            </w:r>
            <w:r w:rsidR="00675F55">
              <w:noBreakHyphen/>
            </w:r>
            <w:r>
              <w:t>based proportion (29.4%)</w:t>
            </w:r>
          </w:p>
        </w:tc>
        <w:tc>
          <w:tcPr>
            <w:tcW w:w="749" w:type="pct"/>
          </w:tcPr>
          <w:p w14:paraId="6778D6E3" w14:textId="46F9A359" w:rsidR="005E3373" w:rsidRPr="003D58C2" w:rsidRDefault="00D95555" w:rsidP="008D0FDA">
            <w:pPr>
              <w:pStyle w:val="TableText0"/>
              <w:widowControl w:val="0"/>
              <w:jc w:val="center"/>
            </w:pPr>
            <w:r>
              <w:t>$</w:t>
            </w:r>
            <w:r w:rsidR="00EB1862" w:rsidRPr="00EB1862">
              <w:rPr>
                <w:sz w:val="2"/>
                <w:highlight w:val="black"/>
              </w:rPr>
              <w:t>redacted content</w:t>
            </w:r>
          </w:p>
        </w:tc>
        <w:tc>
          <w:tcPr>
            <w:tcW w:w="699" w:type="pct"/>
          </w:tcPr>
          <w:p w14:paraId="21D8C36B" w14:textId="20230209" w:rsidR="005E3373" w:rsidRPr="00B40BDE" w:rsidRDefault="00D95555" w:rsidP="008D0FDA">
            <w:pPr>
              <w:pStyle w:val="TableText0"/>
              <w:widowControl w:val="0"/>
              <w:jc w:val="center"/>
            </w:pPr>
            <w:r w:rsidRPr="00B40BDE">
              <w:t>1.</w:t>
            </w:r>
            <w:r w:rsidR="00F21A54" w:rsidRPr="00B40BDE">
              <w:t>30</w:t>
            </w:r>
          </w:p>
        </w:tc>
        <w:tc>
          <w:tcPr>
            <w:tcW w:w="810" w:type="pct"/>
          </w:tcPr>
          <w:p w14:paraId="13CDAA81" w14:textId="7D0E7DA2" w:rsidR="005E3373" w:rsidRPr="00233D95" w:rsidRDefault="002776C1" w:rsidP="008D0FDA">
            <w:pPr>
              <w:pStyle w:val="TableText0"/>
              <w:widowControl w:val="0"/>
              <w:jc w:val="center"/>
              <w:rPr>
                <w:vertAlign w:val="superscript"/>
              </w:rPr>
            </w:pPr>
            <w:r>
              <w:t>$</w:t>
            </w:r>
            <w:r w:rsidR="00EB1862" w:rsidRPr="00EB1862">
              <w:rPr>
                <w:sz w:val="2"/>
                <w:highlight w:val="black"/>
              </w:rPr>
              <w:t>redacted content</w:t>
            </w:r>
            <w:r w:rsidR="00233D95">
              <w:rPr>
                <w:vertAlign w:val="superscript"/>
              </w:rPr>
              <w:t>1</w:t>
            </w:r>
          </w:p>
        </w:tc>
        <w:tc>
          <w:tcPr>
            <w:tcW w:w="599" w:type="pct"/>
          </w:tcPr>
          <w:p w14:paraId="5412C70B" w14:textId="250963A1" w:rsidR="005E3373" w:rsidRPr="008D0FDA" w:rsidRDefault="00EB1862" w:rsidP="008D0FDA">
            <w:pPr>
              <w:pStyle w:val="TableText0"/>
              <w:widowControl w:val="0"/>
              <w:jc w:val="center"/>
            </w:pPr>
            <w:r w:rsidRPr="00EB1862">
              <w:rPr>
                <w:sz w:val="2"/>
                <w:highlight w:val="black"/>
              </w:rPr>
              <w:t>redacted content</w:t>
            </w:r>
            <w:r w:rsidR="002776C1" w:rsidRPr="008D0FDA">
              <w:t>%</w:t>
            </w:r>
          </w:p>
        </w:tc>
      </w:tr>
      <w:tr w:rsidR="002E798C" w:rsidRPr="0098262F" w14:paraId="5C56976B" w14:textId="77777777" w:rsidTr="002E798C">
        <w:trPr>
          <w:cantSplit/>
          <w:trHeight w:val="283"/>
        </w:trPr>
        <w:tc>
          <w:tcPr>
            <w:tcW w:w="5000" w:type="pct"/>
            <w:gridSpan w:val="5"/>
          </w:tcPr>
          <w:p w14:paraId="71D6E686" w14:textId="0A009A08" w:rsidR="002E798C" w:rsidRPr="00B40BDE" w:rsidRDefault="002E798C" w:rsidP="008D0FDA">
            <w:pPr>
              <w:pStyle w:val="TableText0"/>
              <w:widowControl w:val="0"/>
              <w:rPr>
                <w:b/>
                <w:bCs w:val="0"/>
              </w:rPr>
            </w:pPr>
            <w:r w:rsidRPr="00B40BDE">
              <w:rPr>
                <w:b/>
                <w:bCs w:val="0"/>
              </w:rPr>
              <w:t>Time to death as first event parametric function (base case Lognormal for both arm</w:t>
            </w:r>
            <w:r w:rsidR="00205434" w:rsidRPr="00B40BDE">
              <w:rPr>
                <w:b/>
                <w:bCs w:val="0"/>
              </w:rPr>
              <w:t>s</w:t>
            </w:r>
            <w:r w:rsidRPr="00B40BDE">
              <w:rPr>
                <w:b/>
                <w:bCs w:val="0"/>
              </w:rPr>
              <w:t>)</w:t>
            </w:r>
          </w:p>
        </w:tc>
      </w:tr>
      <w:tr w:rsidR="00174BE6" w:rsidRPr="0098262F" w14:paraId="0884D2FD" w14:textId="77777777" w:rsidTr="0002242C">
        <w:trPr>
          <w:cantSplit/>
          <w:trHeight w:val="283"/>
        </w:trPr>
        <w:tc>
          <w:tcPr>
            <w:tcW w:w="2143" w:type="pct"/>
          </w:tcPr>
          <w:p w14:paraId="282E1EE3" w14:textId="17398E65" w:rsidR="00174BE6" w:rsidRDefault="00B75670" w:rsidP="008D0FDA">
            <w:pPr>
              <w:pStyle w:val="TableText0"/>
              <w:widowControl w:val="0"/>
            </w:pPr>
            <w:r>
              <w:t xml:space="preserve">Generalised </w:t>
            </w:r>
            <w:r w:rsidR="00356F34">
              <w:t>Gamma for both arm</w:t>
            </w:r>
            <w:r w:rsidR="00ED1FE0">
              <w:t>s</w:t>
            </w:r>
          </w:p>
        </w:tc>
        <w:tc>
          <w:tcPr>
            <w:tcW w:w="749" w:type="pct"/>
          </w:tcPr>
          <w:p w14:paraId="0C63B360" w14:textId="5114B7FA" w:rsidR="00174BE6" w:rsidRDefault="00D952DC" w:rsidP="008D0FDA">
            <w:pPr>
              <w:pStyle w:val="TableText0"/>
              <w:widowControl w:val="0"/>
              <w:jc w:val="center"/>
            </w:pPr>
            <w:r>
              <w:t>$</w:t>
            </w:r>
            <w:r w:rsidR="00EB1862" w:rsidRPr="00EB1862">
              <w:rPr>
                <w:sz w:val="2"/>
                <w:highlight w:val="black"/>
              </w:rPr>
              <w:t>redacted content</w:t>
            </w:r>
          </w:p>
        </w:tc>
        <w:tc>
          <w:tcPr>
            <w:tcW w:w="699" w:type="pct"/>
          </w:tcPr>
          <w:p w14:paraId="67E5133C" w14:textId="21C15C19" w:rsidR="00174BE6" w:rsidRPr="00B40BDE" w:rsidRDefault="00D952DC" w:rsidP="008D0FDA">
            <w:pPr>
              <w:pStyle w:val="TableText0"/>
              <w:widowControl w:val="0"/>
              <w:jc w:val="center"/>
            </w:pPr>
            <w:r w:rsidRPr="00B40BDE">
              <w:t>1.41</w:t>
            </w:r>
          </w:p>
        </w:tc>
        <w:tc>
          <w:tcPr>
            <w:tcW w:w="810" w:type="pct"/>
          </w:tcPr>
          <w:p w14:paraId="5A1FC8D3" w14:textId="71052B91" w:rsidR="00174BE6" w:rsidRPr="006D641D" w:rsidRDefault="00D952DC" w:rsidP="008D0FDA">
            <w:pPr>
              <w:pStyle w:val="TableText0"/>
              <w:widowControl w:val="0"/>
              <w:jc w:val="center"/>
              <w:rPr>
                <w:vertAlign w:val="superscript"/>
              </w:rPr>
            </w:pPr>
            <w:r>
              <w:t>$</w:t>
            </w:r>
            <w:r w:rsidR="00EB1862" w:rsidRPr="00EB1862">
              <w:rPr>
                <w:sz w:val="2"/>
                <w:highlight w:val="black"/>
              </w:rPr>
              <w:t>redacted content</w:t>
            </w:r>
            <w:r w:rsidR="006D641D">
              <w:rPr>
                <w:vertAlign w:val="superscript"/>
              </w:rPr>
              <w:t>4</w:t>
            </w:r>
          </w:p>
        </w:tc>
        <w:tc>
          <w:tcPr>
            <w:tcW w:w="599" w:type="pct"/>
          </w:tcPr>
          <w:p w14:paraId="1068334D" w14:textId="3CB81237" w:rsidR="00174BE6" w:rsidRPr="00666599" w:rsidRDefault="00BB25FF" w:rsidP="008D0FDA">
            <w:pPr>
              <w:pStyle w:val="TableText0"/>
              <w:widowControl w:val="0"/>
              <w:jc w:val="center"/>
            </w:pPr>
            <w:r w:rsidRPr="00666599">
              <w:t>−</w:t>
            </w:r>
            <w:r w:rsidR="00EB1862" w:rsidRPr="00EB1862">
              <w:rPr>
                <w:sz w:val="2"/>
                <w:highlight w:val="black"/>
              </w:rPr>
              <w:t>redacted content</w:t>
            </w:r>
            <w:r w:rsidRPr="00666599">
              <w:t>%</w:t>
            </w:r>
          </w:p>
        </w:tc>
      </w:tr>
      <w:tr w:rsidR="00DC615A" w:rsidRPr="0098262F" w14:paraId="61089167" w14:textId="77777777" w:rsidTr="00DC615A">
        <w:trPr>
          <w:cantSplit/>
          <w:trHeight w:val="283"/>
        </w:trPr>
        <w:tc>
          <w:tcPr>
            <w:tcW w:w="5000" w:type="pct"/>
            <w:gridSpan w:val="5"/>
          </w:tcPr>
          <w:p w14:paraId="660ECE2D" w14:textId="6600E305" w:rsidR="00DC615A" w:rsidRPr="00B40BDE" w:rsidRDefault="00DC615A" w:rsidP="008D0FDA">
            <w:pPr>
              <w:pStyle w:val="TableText0"/>
              <w:widowControl w:val="0"/>
              <w:rPr>
                <w:b/>
                <w:bCs w:val="0"/>
              </w:rPr>
            </w:pPr>
            <w:r w:rsidRPr="00B40BDE">
              <w:rPr>
                <w:rFonts w:eastAsia="Aptos" w:cs="Times New Roman"/>
                <w:b/>
                <w:bCs w:val="0"/>
                <w:szCs w:val="22"/>
                <w:lang w:eastAsia="en-US"/>
              </w:rPr>
              <w:t>Post</w:t>
            </w:r>
            <w:r w:rsidR="00675F55" w:rsidRPr="00B40BDE">
              <w:rPr>
                <w:rFonts w:eastAsia="Aptos" w:cs="Times New Roman"/>
                <w:b/>
                <w:bCs w:val="0"/>
                <w:szCs w:val="22"/>
                <w:lang w:eastAsia="en-US"/>
              </w:rPr>
              <w:noBreakHyphen/>
            </w:r>
            <w:r w:rsidRPr="00B40BDE">
              <w:rPr>
                <w:rFonts w:eastAsia="Aptos" w:cs="Times New Roman"/>
                <w:b/>
                <w:bCs w:val="0"/>
                <w:szCs w:val="22"/>
                <w:lang w:eastAsia="en-US"/>
              </w:rPr>
              <w:t>recurrence survival parametric function (base case Exponential for both arms)</w:t>
            </w:r>
          </w:p>
        </w:tc>
      </w:tr>
      <w:tr w:rsidR="00174BE6" w:rsidRPr="0098262F" w14:paraId="73A20654" w14:textId="77777777" w:rsidTr="0002242C">
        <w:trPr>
          <w:cantSplit/>
          <w:trHeight w:val="283"/>
        </w:trPr>
        <w:tc>
          <w:tcPr>
            <w:tcW w:w="2143" w:type="pct"/>
          </w:tcPr>
          <w:p w14:paraId="7131F605" w14:textId="2768C8F5" w:rsidR="00174BE6" w:rsidRDefault="00112FD9" w:rsidP="008D0FDA">
            <w:pPr>
              <w:pStyle w:val="TableText0"/>
              <w:widowControl w:val="0"/>
            </w:pPr>
            <w:r>
              <w:t>Gamma for both arms</w:t>
            </w:r>
          </w:p>
        </w:tc>
        <w:tc>
          <w:tcPr>
            <w:tcW w:w="749" w:type="pct"/>
          </w:tcPr>
          <w:p w14:paraId="24B806F1" w14:textId="13DEBDA7" w:rsidR="00174BE6" w:rsidRDefault="00112FD9" w:rsidP="008D0FDA">
            <w:pPr>
              <w:pStyle w:val="TableText0"/>
              <w:widowControl w:val="0"/>
              <w:jc w:val="center"/>
            </w:pPr>
            <w:r>
              <w:t>$</w:t>
            </w:r>
            <w:r w:rsidR="00EB1862" w:rsidRPr="00EB1862">
              <w:rPr>
                <w:sz w:val="2"/>
                <w:highlight w:val="black"/>
              </w:rPr>
              <w:t>redacted content</w:t>
            </w:r>
          </w:p>
        </w:tc>
        <w:tc>
          <w:tcPr>
            <w:tcW w:w="699" w:type="pct"/>
          </w:tcPr>
          <w:p w14:paraId="42EF1F65" w14:textId="55BB71C6" w:rsidR="00174BE6" w:rsidRPr="00B40BDE" w:rsidRDefault="000B02E2" w:rsidP="008D0FDA">
            <w:pPr>
              <w:pStyle w:val="TableText0"/>
              <w:widowControl w:val="0"/>
              <w:jc w:val="center"/>
            </w:pPr>
            <w:r w:rsidRPr="00B40BDE">
              <w:t>1.24</w:t>
            </w:r>
          </w:p>
        </w:tc>
        <w:tc>
          <w:tcPr>
            <w:tcW w:w="810" w:type="pct"/>
          </w:tcPr>
          <w:p w14:paraId="6A944958" w14:textId="2149C30B" w:rsidR="00174BE6" w:rsidRPr="00233D95" w:rsidRDefault="000B02E2" w:rsidP="008D0FDA">
            <w:pPr>
              <w:pStyle w:val="TableText0"/>
              <w:widowControl w:val="0"/>
              <w:jc w:val="center"/>
              <w:rPr>
                <w:vertAlign w:val="superscript"/>
              </w:rPr>
            </w:pPr>
            <w:r>
              <w:t>$</w:t>
            </w:r>
            <w:r w:rsidR="00EB1862" w:rsidRPr="00EB1862">
              <w:rPr>
                <w:sz w:val="2"/>
                <w:highlight w:val="black"/>
              </w:rPr>
              <w:t>redacted content</w:t>
            </w:r>
            <w:r w:rsidR="00233D95">
              <w:rPr>
                <w:vertAlign w:val="superscript"/>
              </w:rPr>
              <w:t>1</w:t>
            </w:r>
          </w:p>
        </w:tc>
        <w:tc>
          <w:tcPr>
            <w:tcW w:w="599" w:type="pct"/>
          </w:tcPr>
          <w:p w14:paraId="55CEA523" w14:textId="2A126E17" w:rsidR="00174BE6" w:rsidRPr="00666599" w:rsidRDefault="00EB1862" w:rsidP="008D0FDA">
            <w:pPr>
              <w:pStyle w:val="TableText0"/>
              <w:widowControl w:val="0"/>
              <w:jc w:val="center"/>
            </w:pPr>
            <w:r w:rsidRPr="00EB1862">
              <w:rPr>
                <w:sz w:val="2"/>
                <w:highlight w:val="black"/>
              </w:rPr>
              <w:t>redacted content</w:t>
            </w:r>
            <w:r w:rsidR="004407DC" w:rsidRPr="00666599">
              <w:t>%</w:t>
            </w:r>
          </w:p>
        </w:tc>
      </w:tr>
      <w:tr w:rsidR="00174BE6" w:rsidRPr="0098262F" w14:paraId="43D0023B" w14:textId="77777777" w:rsidTr="0002242C">
        <w:trPr>
          <w:cantSplit/>
          <w:trHeight w:val="283"/>
        </w:trPr>
        <w:tc>
          <w:tcPr>
            <w:tcW w:w="2143" w:type="pct"/>
          </w:tcPr>
          <w:p w14:paraId="5B01904E" w14:textId="2B5570A8" w:rsidR="00174BE6" w:rsidRDefault="00D41D67" w:rsidP="008D0FDA">
            <w:pPr>
              <w:pStyle w:val="TableText0"/>
              <w:widowControl w:val="0"/>
            </w:pPr>
            <w:r>
              <w:t>Loglogistic for both arms</w:t>
            </w:r>
          </w:p>
        </w:tc>
        <w:tc>
          <w:tcPr>
            <w:tcW w:w="749" w:type="pct"/>
          </w:tcPr>
          <w:p w14:paraId="6609D53A" w14:textId="0E2D69E9" w:rsidR="00174BE6" w:rsidRDefault="00D41D67" w:rsidP="008D0FDA">
            <w:pPr>
              <w:pStyle w:val="TableText0"/>
              <w:widowControl w:val="0"/>
              <w:jc w:val="center"/>
            </w:pPr>
            <w:r>
              <w:t>$</w:t>
            </w:r>
            <w:r w:rsidR="00EB1862" w:rsidRPr="00EB1862">
              <w:rPr>
                <w:sz w:val="2"/>
                <w:highlight w:val="black"/>
              </w:rPr>
              <w:t>redacted content</w:t>
            </w:r>
          </w:p>
        </w:tc>
        <w:tc>
          <w:tcPr>
            <w:tcW w:w="699" w:type="pct"/>
          </w:tcPr>
          <w:p w14:paraId="22460A8F" w14:textId="678440D5" w:rsidR="00174BE6" w:rsidRPr="00B40BDE" w:rsidRDefault="00D41D67" w:rsidP="008D0FDA">
            <w:pPr>
              <w:pStyle w:val="TableText0"/>
              <w:widowControl w:val="0"/>
              <w:jc w:val="center"/>
            </w:pPr>
            <w:r w:rsidRPr="00B40BDE">
              <w:t>1.10</w:t>
            </w:r>
          </w:p>
        </w:tc>
        <w:tc>
          <w:tcPr>
            <w:tcW w:w="810" w:type="pct"/>
          </w:tcPr>
          <w:p w14:paraId="740FC66B" w14:textId="0F9BE44B" w:rsidR="00174BE6" w:rsidRPr="00233D95" w:rsidRDefault="00D41D67" w:rsidP="008D0FDA">
            <w:pPr>
              <w:pStyle w:val="TableText0"/>
              <w:widowControl w:val="0"/>
              <w:jc w:val="center"/>
              <w:rPr>
                <w:vertAlign w:val="superscript"/>
              </w:rPr>
            </w:pPr>
            <w:r>
              <w:t>$</w:t>
            </w:r>
            <w:r w:rsidR="00EB1862" w:rsidRPr="00EB1862">
              <w:rPr>
                <w:sz w:val="2"/>
                <w:highlight w:val="black"/>
              </w:rPr>
              <w:t>redacted content</w:t>
            </w:r>
            <w:r w:rsidR="00233D95">
              <w:rPr>
                <w:vertAlign w:val="superscript"/>
              </w:rPr>
              <w:t>1</w:t>
            </w:r>
          </w:p>
        </w:tc>
        <w:tc>
          <w:tcPr>
            <w:tcW w:w="599" w:type="pct"/>
          </w:tcPr>
          <w:p w14:paraId="1C3BF919" w14:textId="777F247E" w:rsidR="00174BE6" w:rsidRPr="00666599" w:rsidRDefault="00EB1862" w:rsidP="008D0FDA">
            <w:pPr>
              <w:pStyle w:val="TableText0"/>
              <w:widowControl w:val="0"/>
              <w:jc w:val="center"/>
            </w:pPr>
            <w:r w:rsidRPr="00EB1862">
              <w:rPr>
                <w:sz w:val="2"/>
                <w:highlight w:val="black"/>
              </w:rPr>
              <w:t>redacted content</w:t>
            </w:r>
            <w:r w:rsidR="00CA2863" w:rsidRPr="00666599">
              <w:t>%</w:t>
            </w:r>
          </w:p>
        </w:tc>
      </w:tr>
      <w:tr w:rsidR="00A50BB8" w:rsidRPr="0098262F" w14:paraId="272DD169" w14:textId="77777777">
        <w:trPr>
          <w:cantSplit/>
          <w:trHeight w:val="283"/>
        </w:trPr>
        <w:tc>
          <w:tcPr>
            <w:tcW w:w="5000" w:type="pct"/>
            <w:gridSpan w:val="5"/>
          </w:tcPr>
          <w:p w14:paraId="792BFA4A" w14:textId="77777777" w:rsidR="00A50BB8" w:rsidRPr="00B40BDE" w:rsidRDefault="00A50BB8" w:rsidP="008D0FDA">
            <w:pPr>
              <w:pStyle w:val="TableText0"/>
              <w:widowControl w:val="0"/>
              <w:rPr>
                <w:rFonts w:eastAsia="Calibri"/>
                <w:b/>
                <w:bCs w:val="0"/>
                <w:szCs w:val="20"/>
              </w:rPr>
            </w:pPr>
            <w:r w:rsidRPr="00B40BDE">
              <w:rPr>
                <w:b/>
                <w:bCs w:val="0"/>
              </w:rPr>
              <w:t>Multivariate analyses</w:t>
            </w:r>
          </w:p>
        </w:tc>
      </w:tr>
      <w:tr w:rsidR="00A50BB8" w:rsidRPr="0098262F" w14:paraId="47E7BD7E" w14:textId="77777777" w:rsidTr="0002242C">
        <w:trPr>
          <w:cantSplit/>
          <w:trHeight w:val="283"/>
        </w:trPr>
        <w:tc>
          <w:tcPr>
            <w:tcW w:w="2143" w:type="pct"/>
          </w:tcPr>
          <w:p w14:paraId="23C76B9C" w14:textId="1024028D" w:rsidR="00A50BB8" w:rsidRPr="00666599" w:rsidRDefault="00A50BB8" w:rsidP="008D0FDA">
            <w:pPr>
              <w:pStyle w:val="TableText0"/>
              <w:widowControl w:val="0"/>
            </w:pPr>
            <w:r w:rsidRPr="00666599">
              <w:t>20</w:t>
            </w:r>
            <w:r w:rsidR="00675F55">
              <w:noBreakHyphen/>
            </w:r>
            <w:r w:rsidRPr="00666599">
              <w:t xml:space="preserve">year time horizon and cure assumed at </w:t>
            </w:r>
            <w:r w:rsidR="00F02CFA" w:rsidRPr="00666599">
              <w:br/>
            </w:r>
            <w:r w:rsidRPr="00666599">
              <w:t>7</w:t>
            </w:r>
            <w:r w:rsidR="00B8575F" w:rsidRPr="00666599">
              <w:t xml:space="preserve"> </w:t>
            </w:r>
            <w:r w:rsidRPr="00666599">
              <w:t>year</w:t>
            </w:r>
            <w:r w:rsidR="00B8575F" w:rsidRPr="00666599">
              <w:t>s</w:t>
            </w:r>
          </w:p>
        </w:tc>
        <w:tc>
          <w:tcPr>
            <w:tcW w:w="749" w:type="pct"/>
          </w:tcPr>
          <w:p w14:paraId="3477F792" w14:textId="3E0184A7" w:rsidR="00A50BB8" w:rsidRPr="00666599" w:rsidRDefault="00A50BB8" w:rsidP="008D0FDA">
            <w:pPr>
              <w:pStyle w:val="TableText0"/>
              <w:widowControl w:val="0"/>
              <w:jc w:val="center"/>
              <w:rPr>
                <w:rFonts w:eastAsia="Calibri"/>
                <w:szCs w:val="20"/>
              </w:rPr>
            </w:pPr>
            <w:r w:rsidRPr="00666599">
              <w:t>$</w:t>
            </w:r>
            <w:r w:rsidR="00EB1862" w:rsidRPr="00EB1862">
              <w:rPr>
                <w:sz w:val="2"/>
                <w:highlight w:val="black"/>
              </w:rPr>
              <w:t>redacted content</w:t>
            </w:r>
          </w:p>
        </w:tc>
        <w:tc>
          <w:tcPr>
            <w:tcW w:w="699" w:type="pct"/>
          </w:tcPr>
          <w:p w14:paraId="796162D8" w14:textId="22480D64" w:rsidR="00A50BB8" w:rsidRPr="00B40BDE" w:rsidRDefault="00A50BB8" w:rsidP="008D0FDA">
            <w:pPr>
              <w:pStyle w:val="TableText0"/>
              <w:widowControl w:val="0"/>
              <w:jc w:val="center"/>
              <w:rPr>
                <w:rFonts w:eastAsia="Calibri"/>
                <w:szCs w:val="20"/>
              </w:rPr>
            </w:pPr>
            <w:r w:rsidRPr="00B40BDE">
              <w:t>1.09</w:t>
            </w:r>
          </w:p>
        </w:tc>
        <w:tc>
          <w:tcPr>
            <w:tcW w:w="810" w:type="pct"/>
          </w:tcPr>
          <w:p w14:paraId="2819EB43" w14:textId="6148AB14" w:rsidR="00A50BB8" w:rsidRPr="00233D95" w:rsidRDefault="00A50BB8" w:rsidP="008D0FDA">
            <w:pPr>
              <w:pStyle w:val="TableText0"/>
              <w:widowControl w:val="0"/>
              <w:jc w:val="center"/>
              <w:rPr>
                <w:rFonts w:eastAsia="Calibri"/>
                <w:szCs w:val="20"/>
                <w:vertAlign w:val="superscript"/>
              </w:rPr>
            </w:pPr>
            <w:r w:rsidRPr="00666599">
              <w:t>$</w:t>
            </w:r>
            <w:r w:rsidR="00EB1862" w:rsidRPr="00EB1862">
              <w:rPr>
                <w:sz w:val="2"/>
                <w:highlight w:val="black"/>
              </w:rPr>
              <w:t>redacted content</w:t>
            </w:r>
            <w:r w:rsidR="00233D95">
              <w:rPr>
                <w:vertAlign w:val="superscript"/>
              </w:rPr>
              <w:t>1</w:t>
            </w:r>
          </w:p>
        </w:tc>
        <w:tc>
          <w:tcPr>
            <w:tcW w:w="599" w:type="pct"/>
          </w:tcPr>
          <w:p w14:paraId="0563274F" w14:textId="68390B43" w:rsidR="00A50BB8" w:rsidRPr="00666599" w:rsidRDefault="00EB1862" w:rsidP="008D0FDA">
            <w:pPr>
              <w:pStyle w:val="TableText0"/>
              <w:widowControl w:val="0"/>
              <w:jc w:val="center"/>
              <w:rPr>
                <w:rFonts w:eastAsia="Calibri"/>
                <w:szCs w:val="20"/>
              </w:rPr>
            </w:pPr>
            <w:r w:rsidRPr="00EB1862">
              <w:rPr>
                <w:sz w:val="2"/>
                <w:highlight w:val="black"/>
              </w:rPr>
              <w:t>redacted content</w:t>
            </w:r>
            <w:r w:rsidR="00A50BB8" w:rsidRPr="00666599">
              <w:t>%</w:t>
            </w:r>
          </w:p>
        </w:tc>
      </w:tr>
      <w:tr w:rsidR="003B0C49" w:rsidRPr="00EB18FD" w14:paraId="2662ED38" w14:textId="77777777" w:rsidTr="0002242C">
        <w:trPr>
          <w:cantSplit/>
          <w:trHeight w:val="283"/>
        </w:trPr>
        <w:tc>
          <w:tcPr>
            <w:tcW w:w="2143" w:type="pct"/>
          </w:tcPr>
          <w:p w14:paraId="53CFDE92" w14:textId="3B0841F1" w:rsidR="003B0C49" w:rsidRPr="00EB18FD" w:rsidRDefault="003B0C49" w:rsidP="008D0FDA">
            <w:pPr>
              <w:pStyle w:val="TableText0"/>
              <w:widowControl w:val="0"/>
            </w:pPr>
            <w:r w:rsidRPr="00EB18FD">
              <w:t>20</w:t>
            </w:r>
            <w:r w:rsidR="00675F55">
              <w:noBreakHyphen/>
            </w:r>
            <w:r w:rsidRPr="00EB18FD">
              <w:t>year time horizon and cure assumed at 5 years</w:t>
            </w:r>
          </w:p>
        </w:tc>
        <w:tc>
          <w:tcPr>
            <w:tcW w:w="749" w:type="pct"/>
          </w:tcPr>
          <w:p w14:paraId="689A5C28" w14:textId="0207EC26" w:rsidR="003B0C49" w:rsidRPr="00EB18FD" w:rsidRDefault="00CA10EC" w:rsidP="008D0FDA">
            <w:pPr>
              <w:pStyle w:val="TableText0"/>
              <w:widowControl w:val="0"/>
              <w:jc w:val="center"/>
            </w:pPr>
            <w:r w:rsidRPr="00EB18FD">
              <w:t>$</w:t>
            </w:r>
            <w:r w:rsidR="00EB1862" w:rsidRPr="00EB1862">
              <w:rPr>
                <w:sz w:val="2"/>
                <w:highlight w:val="black"/>
              </w:rPr>
              <w:t>redacted content</w:t>
            </w:r>
          </w:p>
        </w:tc>
        <w:tc>
          <w:tcPr>
            <w:tcW w:w="699" w:type="pct"/>
          </w:tcPr>
          <w:p w14:paraId="04CE5190" w14:textId="1EC5E711" w:rsidR="003B0C49" w:rsidRPr="00B40BDE" w:rsidRDefault="00EF3E91" w:rsidP="008D0FDA">
            <w:pPr>
              <w:pStyle w:val="TableText0"/>
              <w:widowControl w:val="0"/>
              <w:jc w:val="center"/>
            </w:pPr>
            <w:r w:rsidRPr="00B40BDE">
              <w:t>1.04</w:t>
            </w:r>
          </w:p>
        </w:tc>
        <w:tc>
          <w:tcPr>
            <w:tcW w:w="810" w:type="pct"/>
          </w:tcPr>
          <w:p w14:paraId="7A1BAB6B" w14:textId="336BFF7C" w:rsidR="003B0C49" w:rsidRPr="00233D95" w:rsidRDefault="00EF3E91" w:rsidP="008D0FDA">
            <w:pPr>
              <w:pStyle w:val="TableText0"/>
              <w:widowControl w:val="0"/>
              <w:jc w:val="center"/>
              <w:rPr>
                <w:vertAlign w:val="superscript"/>
              </w:rPr>
            </w:pPr>
            <w:r w:rsidRPr="00EB18FD">
              <w:t>$</w:t>
            </w:r>
            <w:r w:rsidR="00EB1862" w:rsidRPr="00EB1862">
              <w:rPr>
                <w:sz w:val="2"/>
                <w:highlight w:val="black"/>
              </w:rPr>
              <w:t>redacted content</w:t>
            </w:r>
            <w:r w:rsidR="00233D95">
              <w:rPr>
                <w:vertAlign w:val="superscript"/>
              </w:rPr>
              <w:t>1</w:t>
            </w:r>
          </w:p>
        </w:tc>
        <w:tc>
          <w:tcPr>
            <w:tcW w:w="599" w:type="pct"/>
          </w:tcPr>
          <w:p w14:paraId="128C2B39" w14:textId="794CA611" w:rsidR="003B0C49" w:rsidRPr="00EB18FD" w:rsidRDefault="00EB1862" w:rsidP="008D0FDA">
            <w:pPr>
              <w:pStyle w:val="TableText0"/>
              <w:widowControl w:val="0"/>
              <w:jc w:val="center"/>
            </w:pPr>
            <w:r w:rsidRPr="00EB1862">
              <w:rPr>
                <w:sz w:val="2"/>
                <w:highlight w:val="black"/>
              </w:rPr>
              <w:t>redacted content</w:t>
            </w:r>
            <w:r w:rsidR="00EF3E91" w:rsidRPr="00EB18FD">
              <w:t>%</w:t>
            </w:r>
          </w:p>
        </w:tc>
      </w:tr>
      <w:tr w:rsidR="00A77288" w:rsidRPr="00EB18FD" w14:paraId="459FEC13" w14:textId="77777777" w:rsidTr="0002242C">
        <w:trPr>
          <w:cantSplit/>
          <w:trHeight w:val="283"/>
        </w:trPr>
        <w:tc>
          <w:tcPr>
            <w:tcW w:w="2143" w:type="pct"/>
          </w:tcPr>
          <w:p w14:paraId="5A1E4754" w14:textId="310D51BE" w:rsidR="00A77288" w:rsidRPr="00EB18FD" w:rsidRDefault="00A77288" w:rsidP="008D0FDA">
            <w:pPr>
              <w:pStyle w:val="TableText0"/>
              <w:widowControl w:val="0"/>
            </w:pPr>
            <w:r w:rsidRPr="00EB18FD">
              <w:t>15</w:t>
            </w:r>
            <w:r w:rsidR="00675F55">
              <w:noBreakHyphen/>
            </w:r>
            <w:r w:rsidRPr="00EB18FD">
              <w:t>year time horizon and cur</w:t>
            </w:r>
            <w:r w:rsidR="00297D6B" w:rsidRPr="00EB18FD">
              <w:t>e</w:t>
            </w:r>
            <w:r w:rsidRPr="00EB18FD">
              <w:t xml:space="preserve"> assumed at 5 years</w:t>
            </w:r>
          </w:p>
        </w:tc>
        <w:tc>
          <w:tcPr>
            <w:tcW w:w="749" w:type="pct"/>
          </w:tcPr>
          <w:p w14:paraId="56A34D09" w14:textId="6D67DFD9" w:rsidR="00A77288" w:rsidRPr="00EB18FD" w:rsidRDefault="00F13E20" w:rsidP="008D0FDA">
            <w:pPr>
              <w:pStyle w:val="TableText0"/>
              <w:widowControl w:val="0"/>
              <w:jc w:val="center"/>
            </w:pPr>
            <w:r w:rsidRPr="00EB18FD">
              <w:t>$</w:t>
            </w:r>
            <w:r w:rsidR="00EB1862" w:rsidRPr="00EB1862">
              <w:rPr>
                <w:sz w:val="2"/>
                <w:highlight w:val="black"/>
              </w:rPr>
              <w:t>redacted content</w:t>
            </w:r>
          </w:p>
        </w:tc>
        <w:tc>
          <w:tcPr>
            <w:tcW w:w="699" w:type="pct"/>
          </w:tcPr>
          <w:p w14:paraId="51CF4535" w14:textId="3E1C59DC" w:rsidR="00437CE4" w:rsidRPr="00B40BDE" w:rsidRDefault="00437CE4" w:rsidP="008D0FDA">
            <w:pPr>
              <w:pStyle w:val="TableText0"/>
              <w:widowControl w:val="0"/>
              <w:jc w:val="center"/>
            </w:pPr>
            <w:r w:rsidRPr="00B40BDE">
              <w:t>0.84</w:t>
            </w:r>
          </w:p>
        </w:tc>
        <w:tc>
          <w:tcPr>
            <w:tcW w:w="810" w:type="pct"/>
          </w:tcPr>
          <w:p w14:paraId="179EF486" w14:textId="2E92EC20" w:rsidR="00A77288" w:rsidRPr="00116E38" w:rsidRDefault="001F5F49" w:rsidP="008D0FDA">
            <w:pPr>
              <w:pStyle w:val="TableText0"/>
              <w:widowControl w:val="0"/>
              <w:jc w:val="center"/>
              <w:rPr>
                <w:vertAlign w:val="superscript"/>
              </w:rPr>
            </w:pPr>
            <w:r w:rsidRPr="00EB18FD">
              <w:t>$</w:t>
            </w:r>
            <w:r w:rsidR="00EB1862" w:rsidRPr="00EB1862">
              <w:rPr>
                <w:sz w:val="2"/>
                <w:highlight w:val="black"/>
              </w:rPr>
              <w:t>redacted content</w:t>
            </w:r>
            <w:r w:rsidR="00116E38">
              <w:rPr>
                <w:vertAlign w:val="superscript"/>
              </w:rPr>
              <w:t>5</w:t>
            </w:r>
          </w:p>
        </w:tc>
        <w:tc>
          <w:tcPr>
            <w:tcW w:w="599" w:type="pct"/>
          </w:tcPr>
          <w:p w14:paraId="48176C3B" w14:textId="2B079624" w:rsidR="00A77288" w:rsidRPr="00EB18FD" w:rsidRDefault="00EB1862" w:rsidP="008D0FDA">
            <w:pPr>
              <w:pStyle w:val="TableText0"/>
              <w:widowControl w:val="0"/>
              <w:jc w:val="center"/>
            </w:pPr>
            <w:r w:rsidRPr="00EB1862">
              <w:rPr>
                <w:sz w:val="2"/>
                <w:highlight w:val="black"/>
              </w:rPr>
              <w:t>redacted content</w:t>
            </w:r>
            <w:r w:rsidR="002F687E" w:rsidRPr="00EB18FD">
              <w:t>%</w:t>
            </w:r>
          </w:p>
        </w:tc>
      </w:tr>
    </w:tbl>
    <w:p w14:paraId="4BB742DF" w14:textId="6150E1F5" w:rsidR="00A50BB8" w:rsidRPr="00604AAA" w:rsidRDefault="00A50BB8" w:rsidP="00C1302F">
      <w:pPr>
        <w:pStyle w:val="TableFigureFooter"/>
      </w:pPr>
      <w:r w:rsidRPr="00604AAA">
        <w:t>Source: Table 3</w:t>
      </w:r>
      <w:r w:rsidR="00675F55">
        <w:noBreakHyphen/>
      </w:r>
      <w:r w:rsidRPr="00604AAA">
        <w:t>37, p158 of the submission</w:t>
      </w:r>
      <w:r w:rsidR="004E005F" w:rsidRPr="00604AAA">
        <w:t>.</w:t>
      </w:r>
    </w:p>
    <w:p w14:paraId="508D45BE" w14:textId="2D748F75" w:rsidR="00A50BB8" w:rsidRDefault="00A50BB8" w:rsidP="00C1302F">
      <w:pPr>
        <w:pStyle w:val="TableFigureFooter"/>
      </w:pPr>
      <w:r w:rsidRPr="00E20074">
        <w:t>EF</w:t>
      </w:r>
      <w:r>
        <w:t xml:space="preserve"> = </w:t>
      </w:r>
      <w:r w:rsidRPr="00E20074">
        <w:t>event</w:t>
      </w:r>
      <w:r w:rsidR="00675F55">
        <w:noBreakHyphen/>
      </w:r>
      <w:r w:rsidRPr="00E20074">
        <w:t xml:space="preserve">free; </w:t>
      </w:r>
      <w:r w:rsidR="00167524">
        <w:t>ICER = incremental cost</w:t>
      </w:r>
      <w:r w:rsidR="00675F55">
        <w:noBreakHyphen/>
      </w:r>
      <w:r w:rsidR="00167524">
        <w:t>effective</w:t>
      </w:r>
      <w:r w:rsidR="000C6EEA">
        <w:t xml:space="preserve">ness ratio; </w:t>
      </w:r>
      <w:r w:rsidRPr="00E20074">
        <w:t>MRU</w:t>
      </w:r>
      <w:r>
        <w:t xml:space="preserve"> = </w:t>
      </w:r>
      <w:r w:rsidRPr="00E20074">
        <w:t>medical</w:t>
      </w:r>
      <w:r>
        <w:t xml:space="preserve"> resource use; NA = not applicable; QALY = quality adjusted life years; TFR = time to first recurrence</w:t>
      </w:r>
      <w:r w:rsidR="00307888">
        <w:t>.</w:t>
      </w:r>
    </w:p>
    <w:p w14:paraId="12717953" w14:textId="77777777" w:rsidR="00B311BF" w:rsidRPr="00B311BF" w:rsidRDefault="00B311BF" w:rsidP="00B311BF">
      <w:pPr>
        <w:pStyle w:val="TableFigureFooter"/>
        <w:rPr>
          <w:i/>
        </w:rPr>
      </w:pPr>
      <w:r w:rsidRPr="00B311BF">
        <w:rPr>
          <w:i/>
        </w:rPr>
        <w:t xml:space="preserve">The redacted values correspond to the following ranges: </w:t>
      </w:r>
    </w:p>
    <w:p w14:paraId="26480FDD" w14:textId="4AD39C58" w:rsidR="00B311BF" w:rsidRPr="00B311BF" w:rsidRDefault="00B311BF" w:rsidP="00B311BF">
      <w:pPr>
        <w:pStyle w:val="TableFigureFooter"/>
        <w:rPr>
          <w:i/>
        </w:rPr>
      </w:pPr>
      <w:r w:rsidRPr="00B311BF">
        <w:rPr>
          <w:i/>
          <w:vertAlign w:val="superscript"/>
        </w:rPr>
        <w:t>1</w:t>
      </w:r>
      <w:r w:rsidRPr="00B311BF">
        <w:rPr>
          <w:i/>
        </w:rPr>
        <w:t xml:space="preserve"> </w:t>
      </w:r>
      <w:r w:rsidR="00233D95" w:rsidRPr="00233D95">
        <w:rPr>
          <w:i/>
        </w:rPr>
        <w:t>$35,000 to &lt; $45,000</w:t>
      </w:r>
    </w:p>
    <w:p w14:paraId="3595594B" w14:textId="62296C8D" w:rsidR="00B311BF" w:rsidRPr="00B311BF" w:rsidRDefault="00B311BF" w:rsidP="00B311BF">
      <w:pPr>
        <w:pStyle w:val="TableFigureFooter"/>
        <w:rPr>
          <w:i/>
        </w:rPr>
      </w:pPr>
      <w:r w:rsidRPr="00B311BF">
        <w:rPr>
          <w:i/>
          <w:vertAlign w:val="superscript"/>
        </w:rPr>
        <w:t>2</w:t>
      </w:r>
      <w:r w:rsidRPr="00B311BF">
        <w:rPr>
          <w:i/>
        </w:rPr>
        <w:t xml:space="preserve"> </w:t>
      </w:r>
      <w:r w:rsidR="002200A0" w:rsidRPr="002200A0">
        <w:rPr>
          <w:i/>
        </w:rPr>
        <w:t>$45,000 to &lt; $55,000</w:t>
      </w:r>
    </w:p>
    <w:p w14:paraId="3D8F5B14" w14:textId="46B719A9" w:rsidR="00B311BF" w:rsidRPr="00B311BF" w:rsidRDefault="00B311BF" w:rsidP="00B311BF">
      <w:pPr>
        <w:pStyle w:val="TableFigureFooter"/>
        <w:rPr>
          <w:i/>
        </w:rPr>
      </w:pPr>
      <w:r w:rsidRPr="00B311BF">
        <w:rPr>
          <w:i/>
          <w:vertAlign w:val="superscript"/>
        </w:rPr>
        <w:t>3</w:t>
      </w:r>
      <w:r w:rsidRPr="00B311BF">
        <w:rPr>
          <w:i/>
        </w:rPr>
        <w:t xml:space="preserve"> </w:t>
      </w:r>
      <w:r w:rsidR="0055523F" w:rsidRPr="0055523F">
        <w:rPr>
          <w:i/>
        </w:rPr>
        <w:t>$15,000 to &lt; $25,000</w:t>
      </w:r>
    </w:p>
    <w:p w14:paraId="3FA5D705" w14:textId="3D8F65FA" w:rsidR="00B311BF" w:rsidRDefault="00B311BF" w:rsidP="00B311BF">
      <w:pPr>
        <w:pStyle w:val="TableFigureFooter"/>
        <w:rPr>
          <w:i/>
        </w:rPr>
      </w:pPr>
      <w:r w:rsidRPr="00B311BF">
        <w:rPr>
          <w:i/>
          <w:vertAlign w:val="superscript"/>
        </w:rPr>
        <w:t>4</w:t>
      </w:r>
      <w:r w:rsidRPr="00B311BF">
        <w:rPr>
          <w:i/>
        </w:rPr>
        <w:t xml:space="preserve"> </w:t>
      </w:r>
      <w:r w:rsidR="006D641D" w:rsidRPr="006D641D">
        <w:rPr>
          <w:i/>
        </w:rPr>
        <w:t>$25,000 to &lt; $35,000</w:t>
      </w:r>
    </w:p>
    <w:p w14:paraId="7714A619" w14:textId="71273F91" w:rsidR="006D641D" w:rsidRPr="00B311BF" w:rsidRDefault="006D641D" w:rsidP="00B311BF">
      <w:pPr>
        <w:pStyle w:val="TableFigureFooter"/>
        <w:rPr>
          <w:i/>
        </w:rPr>
      </w:pPr>
      <w:r>
        <w:rPr>
          <w:i/>
          <w:vertAlign w:val="superscript"/>
        </w:rPr>
        <w:t>5</w:t>
      </w:r>
      <w:r>
        <w:rPr>
          <w:i/>
        </w:rPr>
        <w:t xml:space="preserve"> </w:t>
      </w:r>
      <w:r w:rsidR="004534F8" w:rsidRPr="004534F8">
        <w:rPr>
          <w:i/>
        </w:rPr>
        <w:t>$55,000 to &lt; $75,000</w:t>
      </w:r>
    </w:p>
    <w:p w14:paraId="45676EB4" w14:textId="77777777" w:rsidR="00B311BF" w:rsidRDefault="00B311BF" w:rsidP="00C1302F">
      <w:pPr>
        <w:pStyle w:val="TableFigureFooter"/>
      </w:pPr>
    </w:p>
    <w:p w14:paraId="77249882" w14:textId="77262668" w:rsidR="00A50BB8" w:rsidRPr="00307888" w:rsidRDefault="00A50BB8" w:rsidP="00604AAA">
      <w:pPr>
        <w:pStyle w:val="4-SubsectionHeading"/>
        <w:spacing w:before="160" w:after="160"/>
      </w:pPr>
      <w:bookmarkStart w:id="50" w:name="_Toc107927632"/>
      <w:bookmarkStart w:id="51" w:name="_Toc219379972"/>
      <w:r w:rsidRPr="0098262F">
        <w:t>Drug cost/patient</w:t>
      </w:r>
      <w:r>
        <w:t>/course</w:t>
      </w:r>
      <w:bookmarkEnd w:id="50"/>
      <w:bookmarkEnd w:id="51"/>
    </w:p>
    <w:p w14:paraId="20388C2D" w14:textId="78B374A1" w:rsidR="005A3F60" w:rsidRPr="00874BE1" w:rsidRDefault="00A50BB8" w:rsidP="00604AAA">
      <w:pPr>
        <w:pStyle w:val="3-BodyText"/>
        <w:spacing w:before="160" w:after="160"/>
        <w:rPr>
          <w:strike/>
        </w:rPr>
      </w:pPr>
      <w:r w:rsidRPr="00874BE1">
        <w:t xml:space="preserve">A comparison of durvalumab use between the trial setting, the economic model and the </w:t>
      </w:r>
      <w:r w:rsidR="005D3CE6">
        <w:t>financial estimates</w:t>
      </w:r>
      <w:r w:rsidRPr="00874BE1">
        <w:t xml:space="preserve"> model is presented in </w:t>
      </w:r>
      <w:r w:rsidR="002F0501" w:rsidRPr="00874BE1">
        <w:fldChar w:fldCharType="begin"/>
      </w:r>
      <w:r w:rsidR="002F0501" w:rsidRPr="00874BE1">
        <w:instrText xml:space="preserve"> REF _Ref216846726 \h </w:instrText>
      </w:r>
      <w:r w:rsidR="00874BE1" w:rsidRPr="00874BE1">
        <w:instrText xml:space="preserve"> \* MERGEFORMAT </w:instrText>
      </w:r>
      <w:r w:rsidR="002F0501" w:rsidRPr="00874BE1">
        <w:fldChar w:fldCharType="separate"/>
      </w:r>
      <w:r w:rsidR="00E71342" w:rsidRPr="00874BE1">
        <w:t xml:space="preserve">Table </w:t>
      </w:r>
      <w:r w:rsidR="00E71342" w:rsidRPr="00874BE1">
        <w:rPr>
          <w:noProof/>
        </w:rPr>
        <w:t>13</w:t>
      </w:r>
      <w:r w:rsidR="002F0501" w:rsidRPr="00874BE1">
        <w:fldChar w:fldCharType="end"/>
      </w:r>
      <w:r w:rsidRPr="00874BE1">
        <w:t xml:space="preserve">. The same treatment regimen was used for each analysis: durvalumab 1,500 mg every 4 weeks for a maximum duration of 14 cycles (4 cycles administered with FLOT </w:t>
      </w:r>
      <w:r w:rsidR="00507D8C" w:rsidRPr="00874BE1">
        <w:t>[</w:t>
      </w:r>
      <w:r w:rsidRPr="00874BE1">
        <w:t>2 as neoadjuvant and 2 as adjuvant</w:t>
      </w:r>
      <w:r w:rsidR="00507D8C" w:rsidRPr="00874BE1">
        <w:t>]</w:t>
      </w:r>
      <w:r w:rsidRPr="00874BE1">
        <w:t>, and 10 cycles administered as monotherapy in the adjuvant setting). The</w:t>
      </w:r>
      <w:r w:rsidR="00F818D4" w:rsidRPr="00874BE1">
        <w:t xml:space="preserve"> </w:t>
      </w:r>
      <w:r w:rsidR="00F818D4" w:rsidRPr="00874BE1">
        <w:lastRenderedPageBreak/>
        <w:t>mean</w:t>
      </w:r>
      <w:r w:rsidRPr="00874BE1">
        <w:t xml:space="preserve"> treatment duration of durvalumab in the economic model was directly sourced from the MATTERHORN trial. </w:t>
      </w:r>
    </w:p>
    <w:p w14:paraId="21061E42" w14:textId="6A7EAEB6" w:rsidR="00AE4446" w:rsidRPr="00874BE1" w:rsidRDefault="00A50BB8" w:rsidP="00604AAA">
      <w:pPr>
        <w:pStyle w:val="3-BodyText"/>
        <w:spacing w:before="160" w:after="160"/>
      </w:pPr>
      <w:r w:rsidRPr="00874BE1">
        <w:t xml:space="preserve">The mean total duration of </w:t>
      </w:r>
      <w:r w:rsidR="00121FD2" w:rsidRPr="00874BE1">
        <w:t xml:space="preserve">exposure to durvalumab </w:t>
      </w:r>
      <w:r w:rsidR="001E2821" w:rsidRPr="00874BE1">
        <w:t xml:space="preserve">in the MATTERHORN trial was 9.36 months (8.87 months after subtracting dose delays). </w:t>
      </w:r>
      <w:r w:rsidR="00ED1FE4" w:rsidRPr="00874BE1">
        <w:t>The economic model estimated treatment costs</w:t>
      </w:r>
      <w:r w:rsidR="00114EA3" w:rsidRPr="00874BE1">
        <w:t xml:space="preserve"> based on the </w:t>
      </w:r>
      <w:r w:rsidR="00EA6777" w:rsidRPr="00874BE1">
        <w:t xml:space="preserve">proportion of the D + FLOT arm of the MATTERHORN trial receiving treatment each cycle. </w:t>
      </w:r>
    </w:p>
    <w:p w14:paraId="6769399D" w14:textId="59E7BD3E" w:rsidR="00A50BB8" w:rsidRPr="0098262F" w:rsidRDefault="00A50BB8" w:rsidP="002B07B9">
      <w:pPr>
        <w:pStyle w:val="Caption"/>
        <w:keepLines w:val="0"/>
        <w:rPr>
          <w:rStyle w:val="CommentReference"/>
          <w:b/>
          <w:szCs w:val="24"/>
        </w:rPr>
      </w:pPr>
      <w:bookmarkStart w:id="52" w:name="_Ref216846726"/>
      <w:r w:rsidRPr="0098262F">
        <w:t>Table</w:t>
      </w:r>
      <w:r w:rsidR="002F0501">
        <w:t xml:space="preserve"> </w:t>
      </w:r>
      <w:fldSimple w:instr=" SEQ Table_ \* ARABIC ">
        <w:r w:rsidR="00E71342">
          <w:rPr>
            <w:noProof/>
          </w:rPr>
          <w:t>13</w:t>
        </w:r>
      </w:fldSimple>
      <w:bookmarkEnd w:id="52"/>
      <w:r w:rsidR="00A5568E">
        <w:t>:</w:t>
      </w:r>
      <w:r>
        <w:t xml:space="preserve"> </w:t>
      </w:r>
      <w:r w:rsidRPr="0098262F">
        <w:rPr>
          <w:rStyle w:val="CommentReference"/>
          <w:b/>
          <w:szCs w:val="24"/>
        </w:rPr>
        <w:t xml:space="preserve">Drug cost per patient for </w:t>
      </w:r>
      <w:r>
        <w:rPr>
          <w:rStyle w:val="CommentReference"/>
          <w:b/>
          <w:szCs w:val="24"/>
        </w:rPr>
        <w:t>per course for durvalumab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for per course for durvalumab"/>
      </w:tblPr>
      <w:tblGrid>
        <w:gridCol w:w="2085"/>
        <w:gridCol w:w="2249"/>
        <w:gridCol w:w="2694"/>
        <w:gridCol w:w="1989"/>
      </w:tblGrid>
      <w:tr w:rsidR="00A50BB8" w:rsidRPr="0098262F" w14:paraId="7DDF4631" w14:textId="77777777" w:rsidTr="00BC4665">
        <w:trPr>
          <w:cantSplit/>
          <w:tblHeader/>
          <w:jc w:val="center"/>
        </w:trPr>
        <w:tc>
          <w:tcPr>
            <w:tcW w:w="1156" w:type="pct"/>
            <w:vAlign w:val="center"/>
          </w:tcPr>
          <w:p w14:paraId="4AD42A1B" w14:textId="77777777" w:rsidR="00A50BB8" w:rsidRPr="0098262F" w:rsidRDefault="00A50BB8" w:rsidP="002B07B9">
            <w:pPr>
              <w:pStyle w:val="In-tableHeading"/>
              <w:keepLines w:val="0"/>
              <w:jc w:val="center"/>
              <w:rPr>
                <w:lang w:val="en-AU"/>
              </w:rPr>
            </w:pPr>
          </w:p>
        </w:tc>
        <w:tc>
          <w:tcPr>
            <w:tcW w:w="1247" w:type="pct"/>
            <w:vAlign w:val="center"/>
          </w:tcPr>
          <w:p w14:paraId="2AE3C83B" w14:textId="77777777" w:rsidR="00A50BB8" w:rsidRPr="0098262F" w:rsidRDefault="00A50BB8" w:rsidP="002B07B9">
            <w:pPr>
              <w:pStyle w:val="In-tableHeading"/>
              <w:keepLines w:val="0"/>
              <w:jc w:val="center"/>
              <w:rPr>
                <w:lang w:val="en-AU"/>
              </w:rPr>
            </w:pPr>
            <w:r w:rsidRPr="0098262F">
              <w:rPr>
                <w:lang w:val="en-AU"/>
              </w:rPr>
              <w:t>Trial dose and duration</w:t>
            </w:r>
          </w:p>
        </w:tc>
        <w:tc>
          <w:tcPr>
            <w:tcW w:w="1494" w:type="pct"/>
            <w:vAlign w:val="center"/>
          </w:tcPr>
          <w:p w14:paraId="7F853FB8" w14:textId="77777777" w:rsidR="00A50BB8" w:rsidRPr="0098262F" w:rsidRDefault="00A50BB8" w:rsidP="002B07B9">
            <w:pPr>
              <w:pStyle w:val="In-tableHeading"/>
              <w:keepLines w:val="0"/>
              <w:jc w:val="center"/>
              <w:rPr>
                <w:lang w:val="en-AU"/>
              </w:rPr>
            </w:pPr>
            <w:r>
              <w:rPr>
                <w:lang w:val="en-AU"/>
              </w:rPr>
              <w:t>Economic model</w:t>
            </w:r>
          </w:p>
        </w:tc>
        <w:tc>
          <w:tcPr>
            <w:tcW w:w="1102" w:type="pct"/>
            <w:vAlign w:val="center"/>
          </w:tcPr>
          <w:p w14:paraId="35EA7034" w14:textId="77777777" w:rsidR="00A50BB8" w:rsidRPr="0098262F" w:rsidRDefault="00A50BB8" w:rsidP="002B07B9">
            <w:pPr>
              <w:pStyle w:val="In-tableHeading"/>
              <w:keepLines w:val="0"/>
              <w:jc w:val="center"/>
              <w:rPr>
                <w:lang w:val="en-AU"/>
              </w:rPr>
            </w:pPr>
            <w:r>
              <w:rPr>
                <w:lang w:val="en-AU"/>
              </w:rPr>
              <w:t>Financial estimates</w:t>
            </w:r>
          </w:p>
        </w:tc>
      </w:tr>
      <w:tr w:rsidR="00A50BB8" w:rsidRPr="0098262F" w14:paraId="600833FD" w14:textId="77777777" w:rsidTr="00BC4665">
        <w:trPr>
          <w:cantSplit/>
          <w:jc w:val="center"/>
        </w:trPr>
        <w:tc>
          <w:tcPr>
            <w:tcW w:w="1156" w:type="pct"/>
            <w:vAlign w:val="center"/>
          </w:tcPr>
          <w:p w14:paraId="7994B4B1" w14:textId="77777777" w:rsidR="00A50BB8" w:rsidRPr="0098262F" w:rsidRDefault="00A50BB8" w:rsidP="00D003EE">
            <w:pPr>
              <w:pStyle w:val="TableText0"/>
              <w:keepLines w:val="0"/>
            </w:pPr>
            <w:r w:rsidRPr="0098262F">
              <w:t>Mean dose</w:t>
            </w:r>
          </w:p>
        </w:tc>
        <w:tc>
          <w:tcPr>
            <w:tcW w:w="3844" w:type="pct"/>
            <w:gridSpan w:val="3"/>
            <w:vAlign w:val="center"/>
          </w:tcPr>
          <w:p w14:paraId="58E4E3E9" w14:textId="77777777" w:rsidR="00A50BB8" w:rsidRPr="0098262F" w:rsidRDefault="00A50BB8" w:rsidP="00D003EE">
            <w:pPr>
              <w:pStyle w:val="TableText0"/>
              <w:keepLines w:val="0"/>
              <w:jc w:val="center"/>
              <w:rPr>
                <w:b/>
              </w:rPr>
            </w:pPr>
            <w:r w:rsidRPr="00364493">
              <w:t>1,500 mg Q4W</w:t>
            </w:r>
          </w:p>
        </w:tc>
      </w:tr>
      <w:tr w:rsidR="00A50BB8" w:rsidRPr="0098262F" w14:paraId="72FFF428" w14:textId="77777777" w:rsidTr="00BC4665">
        <w:trPr>
          <w:cantSplit/>
          <w:jc w:val="center"/>
        </w:trPr>
        <w:tc>
          <w:tcPr>
            <w:tcW w:w="1156" w:type="pct"/>
            <w:vAlign w:val="center"/>
          </w:tcPr>
          <w:p w14:paraId="35BF62A7" w14:textId="2BC17D0C" w:rsidR="00A50BB8" w:rsidRPr="0098262F" w:rsidRDefault="00A50BB8" w:rsidP="00D003EE">
            <w:pPr>
              <w:pStyle w:val="TableText0"/>
              <w:keepLines w:val="0"/>
            </w:pPr>
            <w:r w:rsidRPr="0098262F">
              <w:t>Mean duration</w:t>
            </w:r>
            <w:r w:rsidR="008E6223">
              <w:t xml:space="preserve"> of treatment</w:t>
            </w:r>
            <w:r w:rsidR="00DE3242">
              <w:t xml:space="preserve"> (months)</w:t>
            </w:r>
          </w:p>
        </w:tc>
        <w:tc>
          <w:tcPr>
            <w:tcW w:w="1247" w:type="pct"/>
            <w:vAlign w:val="center"/>
          </w:tcPr>
          <w:p w14:paraId="63AB6700" w14:textId="6110F689" w:rsidR="00A50BB8" w:rsidRPr="00B40BDE" w:rsidRDefault="00BC3125" w:rsidP="00D003EE">
            <w:pPr>
              <w:pStyle w:val="TableText0"/>
              <w:keepLines w:val="0"/>
              <w:jc w:val="center"/>
              <w:rPr>
                <w:bCs w:val="0"/>
              </w:rPr>
            </w:pPr>
            <w:r w:rsidRPr="00B40BDE">
              <w:rPr>
                <w:bCs w:val="0"/>
              </w:rPr>
              <w:t>9.</w:t>
            </w:r>
            <w:r w:rsidR="009F12C2" w:rsidRPr="00B40BDE">
              <w:rPr>
                <w:bCs w:val="0"/>
              </w:rPr>
              <w:t>36</w:t>
            </w:r>
            <w:r w:rsidRPr="00B40BDE">
              <w:rPr>
                <w:bCs w:val="0"/>
              </w:rPr>
              <w:t xml:space="preserve"> </w:t>
            </w:r>
            <w:r w:rsidR="004D445A" w:rsidRPr="00B40BDE">
              <w:rPr>
                <w:bCs w:val="0"/>
              </w:rPr>
              <w:t>(</w:t>
            </w:r>
            <w:r w:rsidR="004F07F5" w:rsidRPr="00B40BDE">
              <w:rPr>
                <w:bCs w:val="0"/>
              </w:rPr>
              <w:t>total</w:t>
            </w:r>
            <w:r w:rsidR="004D445A" w:rsidRPr="00B40BDE">
              <w:rPr>
                <w:bCs w:val="0"/>
              </w:rPr>
              <w:t>)</w:t>
            </w:r>
            <w:r w:rsidR="004F07F5" w:rsidRPr="00B40BDE">
              <w:rPr>
                <w:bCs w:val="0"/>
              </w:rPr>
              <w:t>/</w:t>
            </w:r>
          </w:p>
          <w:p w14:paraId="0A38702C" w14:textId="434A7A38" w:rsidR="00D46443" w:rsidRPr="00B40BDE" w:rsidRDefault="00D46443" w:rsidP="00D003EE">
            <w:pPr>
              <w:pStyle w:val="TableText0"/>
              <w:keepLines w:val="0"/>
              <w:jc w:val="center"/>
              <w:rPr>
                <w:bCs w:val="0"/>
              </w:rPr>
            </w:pPr>
            <w:r w:rsidRPr="00B40BDE">
              <w:rPr>
                <w:bCs w:val="0"/>
              </w:rPr>
              <w:t xml:space="preserve">8.87 </w:t>
            </w:r>
            <w:r w:rsidR="004D445A" w:rsidRPr="00B40BDE">
              <w:rPr>
                <w:bCs w:val="0"/>
              </w:rPr>
              <w:t>(</w:t>
            </w:r>
            <w:r w:rsidR="004F07F5" w:rsidRPr="00B40BDE">
              <w:rPr>
                <w:bCs w:val="0"/>
              </w:rPr>
              <w:t>actual</w:t>
            </w:r>
            <w:r w:rsidR="004D445A" w:rsidRPr="00B40BDE">
              <w:rPr>
                <w:bCs w:val="0"/>
              </w:rPr>
              <w:t>)</w:t>
            </w:r>
            <w:r w:rsidR="004F07F5" w:rsidRPr="00B40BDE">
              <w:rPr>
                <w:bCs w:val="0"/>
                <w:vertAlign w:val="superscript"/>
              </w:rPr>
              <w:t>a</w:t>
            </w:r>
          </w:p>
        </w:tc>
        <w:tc>
          <w:tcPr>
            <w:tcW w:w="1494" w:type="pct"/>
            <w:vAlign w:val="center"/>
          </w:tcPr>
          <w:p w14:paraId="3233F0BF" w14:textId="3E0B634D" w:rsidR="00A50BB8" w:rsidRPr="00724A08" w:rsidRDefault="00B25C52" w:rsidP="00D003EE">
            <w:pPr>
              <w:pStyle w:val="TableText0"/>
              <w:keepLines w:val="0"/>
              <w:jc w:val="center"/>
              <w:rPr>
                <w:bCs w:val="0"/>
              </w:rPr>
            </w:pPr>
            <w:r>
              <w:rPr>
                <w:bCs w:val="0"/>
              </w:rPr>
              <w:t>NR</w:t>
            </w:r>
            <w:r w:rsidRPr="00B25C52">
              <w:rPr>
                <w:bCs w:val="0"/>
                <w:vertAlign w:val="superscript"/>
              </w:rPr>
              <w:t>b</w:t>
            </w:r>
          </w:p>
        </w:tc>
        <w:tc>
          <w:tcPr>
            <w:tcW w:w="1102" w:type="pct"/>
            <w:vAlign w:val="center"/>
          </w:tcPr>
          <w:p w14:paraId="0DA7A209" w14:textId="7B094196" w:rsidR="00A50BB8" w:rsidRPr="00724A08" w:rsidRDefault="00DE3242" w:rsidP="00D003EE">
            <w:pPr>
              <w:pStyle w:val="TableText0"/>
              <w:keepLines w:val="0"/>
              <w:jc w:val="center"/>
              <w:rPr>
                <w:bCs w:val="0"/>
              </w:rPr>
            </w:pPr>
            <w:r w:rsidRPr="00B40BDE">
              <w:rPr>
                <w:bCs w:val="0"/>
              </w:rPr>
              <w:t>8.90</w:t>
            </w:r>
            <w:r w:rsidR="00B25C52" w:rsidRPr="00B40BDE">
              <w:rPr>
                <w:bCs w:val="0"/>
                <w:vertAlign w:val="superscript"/>
              </w:rPr>
              <w:t>c</w:t>
            </w:r>
          </w:p>
        </w:tc>
      </w:tr>
      <w:tr w:rsidR="00A50BB8" w:rsidRPr="0098262F" w14:paraId="3957F05C" w14:textId="77777777" w:rsidTr="00BC4665">
        <w:trPr>
          <w:cantSplit/>
          <w:jc w:val="center"/>
        </w:trPr>
        <w:tc>
          <w:tcPr>
            <w:tcW w:w="1156" w:type="pct"/>
            <w:vAlign w:val="center"/>
          </w:tcPr>
          <w:p w14:paraId="604687E8" w14:textId="77777777" w:rsidR="00A50BB8" w:rsidRPr="0098262F" w:rsidRDefault="00A50BB8" w:rsidP="00D003EE">
            <w:pPr>
              <w:pStyle w:val="TableText0"/>
              <w:keepLines w:val="0"/>
            </w:pPr>
            <w:r>
              <w:t>Requested effective EMP</w:t>
            </w:r>
          </w:p>
        </w:tc>
        <w:tc>
          <w:tcPr>
            <w:tcW w:w="1247" w:type="pct"/>
            <w:vAlign w:val="center"/>
          </w:tcPr>
          <w:p w14:paraId="0CD8C659" w14:textId="77777777" w:rsidR="00A50BB8" w:rsidRPr="00B40BDE" w:rsidRDefault="00A50BB8" w:rsidP="00D003EE">
            <w:pPr>
              <w:pStyle w:val="TableText0"/>
              <w:keepLines w:val="0"/>
              <w:jc w:val="center"/>
              <w:rPr>
                <w:bCs w:val="0"/>
              </w:rPr>
            </w:pPr>
            <w:r w:rsidRPr="00B40BDE">
              <w:t>−</w:t>
            </w:r>
          </w:p>
        </w:tc>
        <w:tc>
          <w:tcPr>
            <w:tcW w:w="1494" w:type="pct"/>
            <w:vAlign w:val="center"/>
          </w:tcPr>
          <w:p w14:paraId="733DE97E" w14:textId="6DBDEE55" w:rsidR="00A50BB8" w:rsidRPr="00724A08" w:rsidRDefault="00A50BB8" w:rsidP="00D003EE">
            <w:pPr>
              <w:pStyle w:val="TableText0"/>
              <w:keepLines w:val="0"/>
              <w:jc w:val="center"/>
              <w:rPr>
                <w:bCs w:val="0"/>
              </w:rPr>
            </w:pPr>
            <w:r>
              <w:rPr>
                <w:bCs w:val="0"/>
              </w:rPr>
              <w:t>$</w:t>
            </w:r>
            <w:r w:rsidR="00EB1862" w:rsidRPr="00EB1862">
              <w:rPr>
                <w:bCs w:val="0"/>
                <w:sz w:val="2"/>
                <w:highlight w:val="black"/>
              </w:rPr>
              <w:t>redacted content</w:t>
            </w:r>
            <w:r>
              <w:rPr>
                <w:bCs w:val="0"/>
              </w:rPr>
              <w:t xml:space="preserve"> per 500 mg vial</w:t>
            </w:r>
          </w:p>
        </w:tc>
        <w:tc>
          <w:tcPr>
            <w:tcW w:w="1102" w:type="pct"/>
            <w:vAlign w:val="center"/>
          </w:tcPr>
          <w:p w14:paraId="29338A93" w14:textId="37DDBA84" w:rsidR="00A50BB8" w:rsidRPr="00724A08" w:rsidRDefault="00A50BB8" w:rsidP="00D003EE">
            <w:pPr>
              <w:pStyle w:val="TableText0"/>
              <w:keepLines w:val="0"/>
              <w:jc w:val="center"/>
              <w:rPr>
                <w:bCs w:val="0"/>
              </w:rPr>
            </w:pPr>
            <w:r>
              <w:rPr>
                <w:bCs w:val="0"/>
              </w:rPr>
              <w:t>$</w:t>
            </w:r>
            <w:r w:rsidR="00EB1862" w:rsidRPr="00EB1862">
              <w:rPr>
                <w:bCs w:val="0"/>
                <w:sz w:val="2"/>
                <w:highlight w:val="black"/>
              </w:rPr>
              <w:t>redacted content</w:t>
            </w:r>
            <w:r>
              <w:rPr>
                <w:bCs w:val="0"/>
              </w:rPr>
              <w:t xml:space="preserve"> per 500 mg vial</w:t>
            </w:r>
          </w:p>
        </w:tc>
      </w:tr>
      <w:tr w:rsidR="00A50BB8" w:rsidRPr="0098262F" w14:paraId="31F90ADF" w14:textId="77777777" w:rsidTr="00BC4665">
        <w:trPr>
          <w:cantSplit/>
          <w:jc w:val="center"/>
        </w:trPr>
        <w:tc>
          <w:tcPr>
            <w:tcW w:w="1156" w:type="pct"/>
            <w:vAlign w:val="center"/>
          </w:tcPr>
          <w:p w14:paraId="7DACD3C8" w14:textId="77777777" w:rsidR="00A50BB8" w:rsidRPr="0098262F" w:rsidRDefault="00A50BB8" w:rsidP="00D003EE">
            <w:pPr>
              <w:pStyle w:val="TableText0"/>
              <w:keepLines w:val="0"/>
            </w:pPr>
            <w:r w:rsidRPr="0098262F">
              <w:t>Cost</w:t>
            </w:r>
            <w:r>
              <w:t xml:space="preserve"> per cycle (28 days)</w:t>
            </w:r>
          </w:p>
        </w:tc>
        <w:tc>
          <w:tcPr>
            <w:tcW w:w="1247" w:type="pct"/>
            <w:vAlign w:val="center"/>
          </w:tcPr>
          <w:p w14:paraId="6A45A21B" w14:textId="77777777" w:rsidR="00A50BB8" w:rsidRPr="00B40BDE" w:rsidRDefault="00A50BB8" w:rsidP="00D003EE">
            <w:pPr>
              <w:pStyle w:val="TableText0"/>
              <w:keepLines w:val="0"/>
              <w:jc w:val="center"/>
            </w:pPr>
            <w:r w:rsidRPr="00B40BDE">
              <w:t>−</w:t>
            </w:r>
          </w:p>
        </w:tc>
        <w:tc>
          <w:tcPr>
            <w:tcW w:w="1494" w:type="pct"/>
            <w:vAlign w:val="center"/>
          </w:tcPr>
          <w:p w14:paraId="388FD533" w14:textId="21637ACB" w:rsidR="00A50BB8" w:rsidRDefault="00A50BB8" w:rsidP="00D003EE">
            <w:pPr>
              <w:pStyle w:val="TableText0"/>
              <w:keepLines w:val="0"/>
              <w:jc w:val="center"/>
              <w:rPr>
                <w:vertAlign w:val="superscript"/>
              </w:rPr>
            </w:pPr>
            <w:r>
              <w:t>$</w:t>
            </w:r>
            <w:r w:rsidR="00EB1862" w:rsidRPr="00EB1862">
              <w:rPr>
                <w:sz w:val="2"/>
                <w:highlight w:val="black"/>
              </w:rPr>
              <w:t>redacted content</w:t>
            </w:r>
            <w:r>
              <w:t xml:space="preserve"> (with FLOT)</w:t>
            </w:r>
            <w:r>
              <w:rPr>
                <w:vertAlign w:val="superscript"/>
              </w:rPr>
              <w:t xml:space="preserve"> </w:t>
            </w:r>
            <w:r w:rsidR="003B391B">
              <w:rPr>
                <w:vertAlign w:val="superscript"/>
              </w:rPr>
              <w:t>d</w:t>
            </w:r>
          </w:p>
          <w:p w14:paraId="0C68C8CB" w14:textId="11D0A37D" w:rsidR="003B391B" w:rsidRPr="0098262F" w:rsidRDefault="003B391B" w:rsidP="00D003EE">
            <w:pPr>
              <w:pStyle w:val="TableText0"/>
              <w:keepLines w:val="0"/>
              <w:jc w:val="center"/>
            </w:pPr>
            <w:r>
              <w:t>$</w:t>
            </w:r>
            <w:r w:rsidR="00EB1862" w:rsidRPr="00EB1862">
              <w:rPr>
                <w:sz w:val="2"/>
                <w:highlight w:val="black"/>
              </w:rPr>
              <w:t>redacted content</w:t>
            </w:r>
            <w:r>
              <w:t xml:space="preserve"> (without FLOT)</w:t>
            </w:r>
            <w:r w:rsidRPr="003B391B">
              <w:rPr>
                <w:vertAlign w:val="superscript"/>
              </w:rPr>
              <w:t>e</w:t>
            </w:r>
          </w:p>
        </w:tc>
        <w:tc>
          <w:tcPr>
            <w:tcW w:w="1102" w:type="pct"/>
            <w:vAlign w:val="center"/>
          </w:tcPr>
          <w:p w14:paraId="2AEBC533" w14:textId="4508D0A0" w:rsidR="00A50BB8" w:rsidRPr="00D57CB4" w:rsidRDefault="00A50BB8" w:rsidP="00D003EE">
            <w:pPr>
              <w:pStyle w:val="TableText0"/>
              <w:keepLines w:val="0"/>
              <w:jc w:val="center"/>
              <w:rPr>
                <w:vertAlign w:val="superscript"/>
              </w:rPr>
            </w:pPr>
            <w:r w:rsidRPr="009676CA">
              <w:t>$</w:t>
            </w:r>
            <w:r w:rsidR="00EB1862" w:rsidRPr="00EB1862">
              <w:rPr>
                <w:sz w:val="2"/>
                <w:highlight w:val="black"/>
              </w:rPr>
              <w:t xml:space="preserve">redacted </w:t>
            </w:r>
            <w:proofErr w:type="spellStart"/>
            <w:r w:rsidR="00EB1862" w:rsidRPr="00EB1862">
              <w:rPr>
                <w:sz w:val="2"/>
                <w:highlight w:val="black"/>
              </w:rPr>
              <w:t>content</w:t>
            </w:r>
            <w:r w:rsidR="003B391B">
              <w:rPr>
                <w:vertAlign w:val="superscript"/>
              </w:rPr>
              <w:t>d</w:t>
            </w:r>
            <w:proofErr w:type="spellEnd"/>
          </w:p>
        </w:tc>
      </w:tr>
      <w:tr w:rsidR="00A50BB8" w:rsidRPr="0098262F" w14:paraId="602488A4" w14:textId="77777777" w:rsidTr="00BC4665">
        <w:trPr>
          <w:cantSplit/>
          <w:jc w:val="center"/>
        </w:trPr>
        <w:tc>
          <w:tcPr>
            <w:tcW w:w="1156" w:type="pct"/>
            <w:vAlign w:val="center"/>
          </w:tcPr>
          <w:p w14:paraId="3A22E295" w14:textId="3E113C1D" w:rsidR="00A50BB8" w:rsidRPr="0098262F" w:rsidRDefault="008E6223" w:rsidP="00D003EE">
            <w:pPr>
              <w:pStyle w:val="TableText0"/>
              <w:keepLines w:val="0"/>
            </w:pPr>
            <w:r>
              <w:t>Mean n</w:t>
            </w:r>
            <w:r w:rsidR="00A50BB8">
              <w:t>umber of cycles per course</w:t>
            </w:r>
          </w:p>
        </w:tc>
        <w:tc>
          <w:tcPr>
            <w:tcW w:w="1247" w:type="pct"/>
            <w:vAlign w:val="center"/>
          </w:tcPr>
          <w:p w14:paraId="1208AAED" w14:textId="363C0A24" w:rsidR="007C2DC7" w:rsidRPr="00B40BDE" w:rsidRDefault="009746E3" w:rsidP="00D003EE">
            <w:pPr>
              <w:pStyle w:val="TableText0"/>
              <w:keepLines w:val="0"/>
              <w:jc w:val="center"/>
            </w:pPr>
            <w:r w:rsidRPr="00B40BDE">
              <w:t>2.0 (neoadjuvant)</w:t>
            </w:r>
            <w:r w:rsidR="00C9524A" w:rsidRPr="00B40BDE">
              <w:t>, n=475</w:t>
            </w:r>
            <w:r w:rsidRPr="00B40BDE">
              <w:t xml:space="preserve"> </w:t>
            </w:r>
          </w:p>
          <w:p w14:paraId="6800EAD8" w14:textId="5608288E" w:rsidR="00A50BB8" w:rsidRPr="00B40BDE" w:rsidRDefault="009746E3" w:rsidP="00D003EE">
            <w:pPr>
              <w:pStyle w:val="TableText0"/>
              <w:keepLines w:val="0"/>
              <w:jc w:val="center"/>
            </w:pPr>
            <w:r w:rsidRPr="00B40BDE">
              <w:t>10.1 (adjuvant)</w:t>
            </w:r>
            <w:r w:rsidR="00C9524A" w:rsidRPr="00B40BDE">
              <w:t>, n= 361 (</w:t>
            </w:r>
            <w:r w:rsidR="006763B1" w:rsidRPr="00B40BDE">
              <w:t>76%)</w:t>
            </w:r>
          </w:p>
          <w:p w14:paraId="675B323D" w14:textId="66D345F4" w:rsidR="006763B1" w:rsidRPr="00B40BDE" w:rsidRDefault="006763B1" w:rsidP="00D003EE">
            <w:pPr>
              <w:pStyle w:val="TableText0"/>
              <w:keepLines w:val="0"/>
              <w:jc w:val="center"/>
            </w:pPr>
            <w:r w:rsidRPr="00B40BDE">
              <w:t xml:space="preserve">Total: </w:t>
            </w:r>
            <w:r w:rsidR="00D21C6A" w:rsidRPr="00B40BDE">
              <w:t>9.68</w:t>
            </w:r>
          </w:p>
        </w:tc>
        <w:tc>
          <w:tcPr>
            <w:tcW w:w="1494" w:type="pct"/>
            <w:vAlign w:val="center"/>
          </w:tcPr>
          <w:p w14:paraId="30A32C45" w14:textId="11D2E203" w:rsidR="00A50BB8" w:rsidRDefault="00934733" w:rsidP="00D003EE">
            <w:pPr>
              <w:pStyle w:val="TableText0"/>
              <w:keepLines w:val="0"/>
              <w:jc w:val="center"/>
            </w:pPr>
            <w:r>
              <w:t>NR</w:t>
            </w:r>
            <w:r w:rsidRPr="00B25C52">
              <w:rPr>
                <w:bCs w:val="0"/>
                <w:vertAlign w:val="superscript"/>
              </w:rPr>
              <w:t>b</w:t>
            </w:r>
          </w:p>
        </w:tc>
        <w:tc>
          <w:tcPr>
            <w:tcW w:w="1102" w:type="pct"/>
            <w:vAlign w:val="center"/>
          </w:tcPr>
          <w:p w14:paraId="7EE6324C" w14:textId="008B1716" w:rsidR="00A50BB8" w:rsidRPr="009676CA" w:rsidRDefault="00977BF7" w:rsidP="00D003EE">
            <w:pPr>
              <w:pStyle w:val="TableText0"/>
              <w:keepLines w:val="0"/>
              <w:jc w:val="center"/>
            </w:pPr>
            <w:r w:rsidRPr="00B40BDE">
              <w:t>9.68</w:t>
            </w:r>
          </w:p>
        </w:tc>
      </w:tr>
      <w:tr w:rsidR="00A50BB8" w:rsidRPr="0098262F" w14:paraId="50F95869" w14:textId="77777777" w:rsidTr="00BC4665">
        <w:trPr>
          <w:cantSplit/>
          <w:jc w:val="center"/>
        </w:trPr>
        <w:tc>
          <w:tcPr>
            <w:tcW w:w="1156" w:type="pct"/>
            <w:vAlign w:val="center"/>
          </w:tcPr>
          <w:p w14:paraId="749ADF4E" w14:textId="77777777" w:rsidR="00A50BB8" w:rsidRPr="0098262F" w:rsidRDefault="00A50BB8" w:rsidP="00D003EE">
            <w:pPr>
              <w:pStyle w:val="TableText0"/>
              <w:keepLines w:val="0"/>
            </w:pPr>
            <w:r w:rsidRPr="0098262F">
              <w:t>Cost/patient/course</w:t>
            </w:r>
          </w:p>
        </w:tc>
        <w:tc>
          <w:tcPr>
            <w:tcW w:w="1247" w:type="pct"/>
            <w:vAlign w:val="center"/>
          </w:tcPr>
          <w:p w14:paraId="7475AA78" w14:textId="77777777" w:rsidR="00A50BB8" w:rsidRPr="0098262F" w:rsidRDefault="00A50BB8" w:rsidP="00D003EE">
            <w:pPr>
              <w:pStyle w:val="TableText0"/>
              <w:keepLines w:val="0"/>
              <w:jc w:val="center"/>
            </w:pPr>
            <w:r>
              <w:t>−</w:t>
            </w:r>
          </w:p>
        </w:tc>
        <w:tc>
          <w:tcPr>
            <w:tcW w:w="1494" w:type="pct"/>
            <w:vAlign w:val="center"/>
          </w:tcPr>
          <w:p w14:paraId="6119B69A" w14:textId="550DB48A" w:rsidR="00A50BB8" w:rsidRPr="00D57CB4" w:rsidRDefault="00A50BB8" w:rsidP="00D003EE">
            <w:pPr>
              <w:pStyle w:val="TableText0"/>
              <w:keepLines w:val="0"/>
              <w:jc w:val="center"/>
              <w:rPr>
                <w:vertAlign w:val="superscript"/>
              </w:rPr>
            </w:pPr>
            <w:r>
              <w:t>$</w:t>
            </w:r>
            <w:r w:rsidR="00EB1862" w:rsidRPr="00EB1862">
              <w:rPr>
                <w:sz w:val="2"/>
                <w:highlight w:val="black"/>
              </w:rPr>
              <w:t xml:space="preserve">redacted </w:t>
            </w:r>
            <w:proofErr w:type="spellStart"/>
            <w:r w:rsidR="00EB1862" w:rsidRPr="00EB1862">
              <w:rPr>
                <w:sz w:val="2"/>
                <w:highlight w:val="black"/>
              </w:rPr>
              <w:t>content</w:t>
            </w:r>
            <w:r w:rsidR="00001C65" w:rsidRPr="00001C65">
              <w:rPr>
                <w:vertAlign w:val="superscript"/>
              </w:rPr>
              <w:t>f</w:t>
            </w:r>
            <w:proofErr w:type="spellEnd"/>
          </w:p>
        </w:tc>
        <w:tc>
          <w:tcPr>
            <w:tcW w:w="1102" w:type="pct"/>
            <w:vAlign w:val="center"/>
          </w:tcPr>
          <w:p w14:paraId="327F1946" w14:textId="245AE6C0" w:rsidR="00A50BB8" w:rsidRPr="00D57CB4" w:rsidRDefault="00A50BB8" w:rsidP="00D003EE">
            <w:pPr>
              <w:pStyle w:val="TableText0"/>
              <w:keepLines w:val="0"/>
              <w:jc w:val="center"/>
              <w:rPr>
                <w:vertAlign w:val="superscript"/>
              </w:rPr>
            </w:pPr>
            <w:r>
              <w:t>$</w:t>
            </w:r>
            <w:r w:rsidR="00EB1862" w:rsidRPr="00EB1862">
              <w:rPr>
                <w:sz w:val="2"/>
                <w:highlight w:val="black"/>
              </w:rPr>
              <w:t xml:space="preserve">redacted </w:t>
            </w:r>
            <w:proofErr w:type="spellStart"/>
            <w:r w:rsidR="00EB1862" w:rsidRPr="00EB1862">
              <w:rPr>
                <w:sz w:val="2"/>
                <w:highlight w:val="black"/>
              </w:rPr>
              <w:t>content</w:t>
            </w:r>
            <w:r w:rsidR="00094794" w:rsidRPr="00094794">
              <w:rPr>
                <w:vertAlign w:val="superscript"/>
              </w:rPr>
              <w:t>g</w:t>
            </w:r>
            <w:proofErr w:type="spellEnd"/>
          </w:p>
        </w:tc>
      </w:tr>
    </w:tbl>
    <w:p w14:paraId="768DC7C9" w14:textId="77777777" w:rsidR="00BC4665" w:rsidRDefault="00BC4665" w:rsidP="00C1302F">
      <w:pPr>
        <w:pStyle w:val="TableFigureFooter"/>
      </w:pPr>
      <w:r w:rsidRPr="00D513AB">
        <w:t xml:space="preserve">Source: </w:t>
      </w:r>
      <w:r>
        <w:t>MATTERHORN CSR, Table 14.3.1.1.1 and Table 14.3.1.2.1; Attachment 10 (Economic Evaluation) of the submission</w:t>
      </w:r>
    </w:p>
    <w:p w14:paraId="0830E307" w14:textId="7F7E946F" w:rsidR="00A50BB8" w:rsidRPr="00D513AB" w:rsidRDefault="00F73B46" w:rsidP="00C1302F">
      <w:pPr>
        <w:pStyle w:val="TableFigureFooter"/>
      </w:pPr>
      <w:r>
        <w:t>DPMA = d</w:t>
      </w:r>
      <w:r w:rsidRPr="003C68B1">
        <w:t>ispensed price for maximum amount</w:t>
      </w:r>
      <w:r>
        <w:t xml:space="preserve">; </w:t>
      </w:r>
      <w:r w:rsidR="00A50BB8">
        <w:t>EMP = ex</w:t>
      </w:r>
      <w:r w:rsidR="00675F55">
        <w:noBreakHyphen/>
      </w:r>
      <w:r w:rsidR="00A50BB8">
        <w:t xml:space="preserve">manufacturer price; </w:t>
      </w:r>
      <w:r w:rsidR="00A50BB8" w:rsidRPr="008B7EF4">
        <w:t>FLOT</w:t>
      </w:r>
      <w:r w:rsidR="00A50BB8">
        <w:t xml:space="preserve"> =</w:t>
      </w:r>
      <w:r w:rsidR="00A50BB8" w:rsidRPr="008B7EF4">
        <w:t xml:space="preserve"> </w:t>
      </w:r>
      <w:r w:rsidR="001F4BD1">
        <w:t>5</w:t>
      </w:r>
      <w:r w:rsidR="00675F55">
        <w:noBreakHyphen/>
      </w:r>
      <w:r w:rsidR="00A50BB8" w:rsidRPr="008B7EF4">
        <w:t>fluorouracil</w:t>
      </w:r>
      <w:r w:rsidR="001F4BD1">
        <w:t xml:space="preserve">, </w:t>
      </w:r>
      <w:r w:rsidR="00A50BB8" w:rsidRPr="008B7EF4">
        <w:t>leucovorin</w:t>
      </w:r>
      <w:r w:rsidR="001F4BD1">
        <w:t xml:space="preserve">, </w:t>
      </w:r>
      <w:r w:rsidR="00A50BB8" w:rsidRPr="008B7EF4">
        <w:t>oxaliplatin</w:t>
      </w:r>
      <w:r w:rsidR="001F4BD1">
        <w:t xml:space="preserve"> and </w:t>
      </w:r>
      <w:r w:rsidR="00A50BB8" w:rsidRPr="008B7EF4">
        <w:t>docetaxel</w:t>
      </w:r>
      <w:r w:rsidR="00A50BB8">
        <w:t xml:space="preserve">; </w:t>
      </w:r>
      <w:r w:rsidR="002272D6">
        <w:t xml:space="preserve">NR = not reported; </w:t>
      </w:r>
      <w:r w:rsidR="00A50BB8">
        <w:t>Q4W = every 4 weeks</w:t>
      </w:r>
    </w:p>
    <w:p w14:paraId="7E31C3C1" w14:textId="3483675D" w:rsidR="004F07F5" w:rsidRPr="00AF5F72" w:rsidRDefault="00A50BB8" w:rsidP="00C1302F">
      <w:pPr>
        <w:pStyle w:val="TableFigureFooter"/>
      </w:pPr>
      <w:proofErr w:type="spellStart"/>
      <w:r w:rsidRPr="0098262F">
        <w:rPr>
          <w:vertAlign w:val="superscript"/>
        </w:rPr>
        <w:t>a</w:t>
      </w:r>
      <w:proofErr w:type="spellEnd"/>
      <w:r w:rsidR="00252D88">
        <w:rPr>
          <w:vertAlign w:val="superscript"/>
        </w:rPr>
        <w:t xml:space="preserve"> </w:t>
      </w:r>
      <w:r w:rsidR="00B25C52">
        <w:t>A</w:t>
      </w:r>
      <w:r w:rsidR="006B40BF">
        <w:t xml:space="preserve">ctual overall treatment duration </w:t>
      </w:r>
      <w:r w:rsidR="00847FE7">
        <w:t xml:space="preserve">reflects total exposure minus total duration of dose delays. </w:t>
      </w:r>
    </w:p>
    <w:p w14:paraId="234434DE" w14:textId="6FE35CF4" w:rsidR="00B25C52" w:rsidRDefault="00A50BB8" w:rsidP="00C1302F">
      <w:pPr>
        <w:pStyle w:val="TableFigureFooter"/>
      </w:pPr>
      <w:r>
        <w:rPr>
          <w:vertAlign w:val="superscript"/>
        </w:rPr>
        <w:t>b</w:t>
      </w:r>
      <w:r>
        <w:t xml:space="preserve"> </w:t>
      </w:r>
      <w:r w:rsidR="00C02B52">
        <w:t xml:space="preserve">Durvalumab usage derived based on proportion of cohort </w:t>
      </w:r>
      <w:r w:rsidR="00B11F97">
        <w:t>receiving treatment each cycle</w:t>
      </w:r>
      <w:r w:rsidR="00531218">
        <w:t>. A</w:t>
      </w:r>
      <w:r w:rsidR="00934733">
        <w:t>ligns with utilisation in the MATTERHORN trial</w:t>
      </w:r>
      <w:r w:rsidR="000837A4">
        <w:t>, for which mean of 2.0 and 10.1</w:t>
      </w:r>
      <w:r w:rsidR="007C2DC7">
        <w:t xml:space="preserve"> treatment cycles</w:t>
      </w:r>
      <w:r w:rsidR="0017253F">
        <w:t xml:space="preserve"> were</w:t>
      </w:r>
      <w:r w:rsidR="007C2DC7">
        <w:t xml:space="preserve"> reported during the neoadjuvant and adjuvant phases, respectively.</w:t>
      </w:r>
    </w:p>
    <w:p w14:paraId="7D9404AA" w14:textId="34115385" w:rsidR="00863336" w:rsidRDefault="00863336" w:rsidP="00C1302F">
      <w:pPr>
        <w:pStyle w:val="TableFigureFooter"/>
      </w:pPr>
      <w:r w:rsidRPr="00863336">
        <w:rPr>
          <w:vertAlign w:val="superscript"/>
        </w:rPr>
        <w:t>c</w:t>
      </w:r>
      <w:r>
        <w:t xml:space="preserve"> </w:t>
      </w:r>
      <w:r w:rsidR="00DE3242">
        <w:t xml:space="preserve">Estimated as </w:t>
      </w:r>
      <w:r w:rsidR="00381278">
        <w:t>(</w:t>
      </w:r>
      <w:r w:rsidR="00DE3242">
        <w:t>9.6</w:t>
      </w:r>
      <w:r w:rsidR="00C6186A">
        <w:t>76</w:t>
      </w:r>
      <w:r w:rsidR="00DE3242">
        <w:t xml:space="preserve"> </w:t>
      </w:r>
      <w:r w:rsidR="00531218">
        <w:t>[</w:t>
      </w:r>
      <w:r w:rsidR="00DE3242">
        <w:t>mean number of cycles</w:t>
      </w:r>
      <w:r w:rsidR="00531218">
        <w:t>]</w:t>
      </w:r>
      <w:r w:rsidR="00DE3242">
        <w:t xml:space="preserve"> × 28 days </w:t>
      </w:r>
      <w:r w:rsidR="00531218">
        <w:t>[</w:t>
      </w:r>
      <w:r w:rsidR="00DE3242">
        <w:t>cycle length</w:t>
      </w:r>
      <w:r w:rsidR="00531218">
        <w:t>]</w:t>
      </w:r>
      <w:r w:rsidR="00381278">
        <w:t>) / 30.</w:t>
      </w:r>
      <w:r w:rsidR="00C6186A">
        <w:t>4375</w:t>
      </w:r>
    </w:p>
    <w:p w14:paraId="56823B37" w14:textId="3C222C25" w:rsidR="00A50BB8" w:rsidRDefault="003B391B" w:rsidP="00C1302F">
      <w:pPr>
        <w:pStyle w:val="TableFigureFooter"/>
      </w:pPr>
      <w:r w:rsidRPr="003B391B">
        <w:rPr>
          <w:vertAlign w:val="superscript"/>
        </w:rPr>
        <w:t>d</w:t>
      </w:r>
      <w:r>
        <w:t xml:space="preserve"> </w:t>
      </w:r>
      <w:r w:rsidR="00A50BB8" w:rsidRPr="001F6BFD">
        <w:t xml:space="preserve">Based on public and private hospital markups </w:t>
      </w:r>
      <w:r w:rsidR="00A50BB8">
        <w:t xml:space="preserve">effective </w:t>
      </w:r>
      <w:r w:rsidR="00A50BB8" w:rsidRPr="001F6BFD">
        <w:t>from 1 July 202</w:t>
      </w:r>
      <w:r w:rsidR="00A50BB8">
        <w:t>5</w:t>
      </w:r>
      <w:r w:rsidR="00A50BB8" w:rsidRPr="001F6BFD">
        <w:t xml:space="preserve">, the effective </w:t>
      </w:r>
      <w:r w:rsidR="00A50BB8">
        <w:t>DPMA</w:t>
      </w:r>
      <w:r w:rsidR="00A50BB8" w:rsidRPr="001F6BFD">
        <w:t xml:space="preserve"> is $</w:t>
      </w:r>
      <w:r w:rsidR="00EB1862" w:rsidRPr="00EB1862">
        <w:rPr>
          <w:sz w:val="2"/>
          <w:highlight w:val="black"/>
        </w:rPr>
        <w:t>redacted content</w:t>
      </w:r>
      <w:r w:rsidR="00A50BB8" w:rsidRPr="001F6BFD">
        <w:t xml:space="preserve"> in public hospitals and $</w:t>
      </w:r>
      <w:r w:rsidR="00EB1862" w:rsidRPr="00EB1862">
        <w:rPr>
          <w:sz w:val="2"/>
          <w:highlight w:val="black"/>
        </w:rPr>
        <w:t>redacted content</w:t>
      </w:r>
      <w:r w:rsidR="00A50BB8" w:rsidRPr="001F6BFD">
        <w:t xml:space="preserve"> in private hospitals</w:t>
      </w:r>
      <w:r w:rsidR="00A50BB8">
        <w:t xml:space="preserve"> per 1,500 mg. Weighted by public and private utilisation rates, the DPMA per 1,500 mg (including mark ups) was calculated as </w:t>
      </w:r>
      <w:r w:rsidR="00A50BB8" w:rsidRPr="001F6BFD">
        <w:t>$</w:t>
      </w:r>
      <w:r w:rsidR="00EB1862" w:rsidRPr="00EB1862">
        <w:rPr>
          <w:sz w:val="2"/>
          <w:highlight w:val="black"/>
        </w:rPr>
        <w:t>redacted content</w:t>
      </w:r>
      <w:r w:rsidR="00A50BB8">
        <w:t>.</w:t>
      </w:r>
    </w:p>
    <w:p w14:paraId="6A05E591" w14:textId="5C535FDD" w:rsidR="003B391B" w:rsidRDefault="003B391B" w:rsidP="00C1302F">
      <w:pPr>
        <w:pStyle w:val="TableFigureFooter"/>
      </w:pPr>
      <w:r w:rsidRPr="003B391B">
        <w:rPr>
          <w:vertAlign w:val="superscript"/>
        </w:rPr>
        <w:t>e</w:t>
      </w:r>
      <w:r>
        <w:t xml:space="preserve"> Based on relative dose intensity of 96.2% during durvalumab monotherapy phase</w:t>
      </w:r>
    </w:p>
    <w:p w14:paraId="517BE3C5" w14:textId="5E290261" w:rsidR="00001C65" w:rsidRDefault="00001C65" w:rsidP="00C1302F">
      <w:pPr>
        <w:pStyle w:val="TableFigureFooter"/>
      </w:pPr>
      <w:r w:rsidRPr="00001C65">
        <w:rPr>
          <w:vertAlign w:val="superscript"/>
        </w:rPr>
        <w:t xml:space="preserve">f </w:t>
      </w:r>
      <w:r>
        <w:t xml:space="preserve">Undiscounted </w:t>
      </w:r>
      <w:r w:rsidR="007412B2">
        <w:t>disaggregated cost from the economic model –</w:t>
      </w:r>
      <w:r>
        <w:t xml:space="preserve">durvalumab </w:t>
      </w:r>
      <w:r w:rsidR="007412B2">
        <w:t>acquisition cost</w:t>
      </w:r>
      <w:r w:rsidR="007A5417">
        <w:t xml:space="preserve"> (</w:t>
      </w:r>
      <w:r w:rsidR="00633EC8">
        <w:t>neoadjuvant and adjuvant phase</w:t>
      </w:r>
      <w:r w:rsidR="005C0287">
        <w:t>s</w:t>
      </w:r>
      <w:r w:rsidR="00633EC8">
        <w:t>).</w:t>
      </w:r>
    </w:p>
    <w:p w14:paraId="790EBCEB" w14:textId="714E563D" w:rsidR="00355CE7" w:rsidRDefault="0081097D" w:rsidP="00C1302F">
      <w:pPr>
        <w:pStyle w:val="TableFigureFooter"/>
      </w:pPr>
      <w:r w:rsidRPr="0081097D">
        <w:rPr>
          <w:vertAlign w:val="superscript"/>
        </w:rPr>
        <w:t>g</w:t>
      </w:r>
      <w:r>
        <w:t xml:space="preserve"> Calculated </w:t>
      </w:r>
      <w:r w:rsidR="00094794">
        <w:t>as 9.676 (mean number of cycles) × $</w:t>
      </w:r>
      <w:r w:rsidR="00EB1862" w:rsidRPr="00EB1862">
        <w:rPr>
          <w:sz w:val="2"/>
          <w:highlight w:val="black"/>
        </w:rPr>
        <w:t>redacted content</w:t>
      </w:r>
      <w:r w:rsidR="00094794">
        <w:t xml:space="preserve"> (cost per cycle)</w:t>
      </w:r>
      <w:bookmarkStart w:id="53" w:name="_Toc107927633"/>
    </w:p>
    <w:p w14:paraId="29D29AAE" w14:textId="2D4CDEDE" w:rsidR="00A50BB8" w:rsidRPr="0098262F" w:rsidRDefault="00A50BB8" w:rsidP="002B07B9">
      <w:pPr>
        <w:pStyle w:val="4-SubsectionHeading"/>
        <w:spacing w:before="160" w:after="160"/>
      </w:pPr>
      <w:bookmarkStart w:id="54" w:name="_Toc219379973"/>
      <w:r w:rsidRPr="0098262F">
        <w:t>Estimated PBS usage &amp; financial implications</w:t>
      </w:r>
      <w:bookmarkEnd w:id="53"/>
      <w:bookmarkEnd w:id="54"/>
    </w:p>
    <w:p w14:paraId="0F84C20E" w14:textId="233F3C84" w:rsidR="00A50BB8" w:rsidRPr="00F80DA8" w:rsidRDefault="00A50BB8" w:rsidP="002B07B9">
      <w:pPr>
        <w:pStyle w:val="3-BodyText"/>
        <w:spacing w:before="160" w:after="160"/>
      </w:pPr>
      <w:r w:rsidRPr="00F80DA8">
        <w:t>This submission w</w:t>
      </w:r>
      <w:r w:rsidR="00B25C29">
        <w:t>as</w:t>
      </w:r>
      <w:r w:rsidRPr="00F80DA8">
        <w:t xml:space="preserve"> not considered by DUSC. </w:t>
      </w:r>
    </w:p>
    <w:p w14:paraId="15153366" w14:textId="3091A623" w:rsidR="00A50BB8" w:rsidRPr="002B07B9" w:rsidRDefault="00A50BB8" w:rsidP="002B07B9">
      <w:pPr>
        <w:pStyle w:val="3-BodyText"/>
        <w:spacing w:before="160" w:after="160"/>
      </w:pPr>
      <w:r w:rsidRPr="00132932">
        <w:t>The submission took an epidemiological</w:t>
      </w:r>
      <w:r w:rsidR="007076CD" w:rsidRPr="00132932">
        <w:t xml:space="preserve"> </w:t>
      </w:r>
      <w:r w:rsidRPr="00132932">
        <w:t xml:space="preserve">approach and </w:t>
      </w:r>
      <w:r w:rsidRPr="00844125">
        <w:t xml:space="preserve">assumed </w:t>
      </w:r>
      <w:r w:rsidR="00EB1862" w:rsidRPr="00EB1862">
        <w:rPr>
          <w:sz w:val="2"/>
          <w:highlight w:val="black"/>
        </w:rPr>
        <w:t>redacted content</w:t>
      </w:r>
      <w:r w:rsidRPr="00844125">
        <w:t>% market</w:t>
      </w:r>
      <w:r w:rsidRPr="00132932">
        <w:t xml:space="preserve"> uptake among eligible GC/GOJC patients. The annual number of treated patients was estimated based on incident patient numbers, </w:t>
      </w:r>
      <w:r w:rsidRPr="00B40BDE">
        <w:t xml:space="preserve">plus </w:t>
      </w:r>
      <w:r w:rsidR="00844125" w:rsidRPr="00B40BDE">
        <w:t>&lt; 500</w:t>
      </w:r>
      <w:r w:rsidRPr="00B40BDE">
        <w:t xml:space="preserve"> grandfathered</w:t>
      </w:r>
      <w:r w:rsidRPr="00132932">
        <w:t xml:space="preserve"> patients in year 1.</w:t>
      </w:r>
      <w:r w:rsidRPr="00132932" w:rsidDel="00972317">
        <w:t xml:space="preserve"> </w:t>
      </w:r>
      <w:r w:rsidRPr="00132932">
        <w:t xml:space="preserve">Key inputs relied on in the financial analyses are presented in </w:t>
      </w:r>
      <w:r w:rsidR="002F0501">
        <w:fldChar w:fldCharType="begin"/>
      </w:r>
      <w:r w:rsidR="002F0501">
        <w:instrText xml:space="preserve"> REF _Ref216846750 \h </w:instrText>
      </w:r>
      <w:r w:rsidR="002F0501">
        <w:fldChar w:fldCharType="separate"/>
      </w:r>
      <w:r w:rsidR="00E71342" w:rsidRPr="0098262F">
        <w:t>Table</w:t>
      </w:r>
      <w:r w:rsidR="00E71342">
        <w:t xml:space="preserve"> </w:t>
      </w:r>
      <w:r w:rsidR="00E71342">
        <w:rPr>
          <w:noProof/>
        </w:rPr>
        <w:t>14</w:t>
      </w:r>
      <w:r w:rsidR="002F0501">
        <w:fldChar w:fldCharType="end"/>
      </w:r>
      <w:r w:rsidRPr="00132932">
        <w:t>.</w:t>
      </w:r>
    </w:p>
    <w:p w14:paraId="3C02944A" w14:textId="77777777" w:rsidR="0067313E" w:rsidRDefault="0067313E">
      <w:pPr>
        <w:jc w:val="left"/>
        <w:rPr>
          <w:rFonts w:ascii="Arial Narrow" w:hAnsi="Arial Narrow"/>
          <w:b/>
          <w:bCs/>
          <w:sz w:val="20"/>
          <w:szCs w:val="18"/>
        </w:rPr>
      </w:pPr>
      <w:bookmarkStart w:id="55" w:name="_Ref216846750"/>
      <w:r>
        <w:br w:type="page"/>
      </w:r>
    </w:p>
    <w:p w14:paraId="69618088" w14:textId="471998AA" w:rsidR="00A50BB8" w:rsidRDefault="00A50BB8" w:rsidP="002B07B9">
      <w:pPr>
        <w:pStyle w:val="Caption"/>
        <w:rPr>
          <w:rStyle w:val="CommentReference"/>
          <w:b/>
          <w:szCs w:val="24"/>
        </w:rPr>
      </w:pPr>
      <w:r w:rsidRPr="0098262F">
        <w:lastRenderedPageBreak/>
        <w:t>Table</w:t>
      </w:r>
      <w:r w:rsidR="002F0501">
        <w:t xml:space="preserve"> </w:t>
      </w:r>
      <w:fldSimple w:instr=" SEQ Table_ \* ARABIC ">
        <w:r w:rsidR="00E71342">
          <w:rPr>
            <w:noProof/>
          </w:rPr>
          <w:t>14</w:t>
        </w:r>
      </w:fldSimple>
      <w:bookmarkEnd w:id="55"/>
      <w:r w:rsidR="003102A9">
        <w:t>:</w:t>
      </w:r>
      <w:r>
        <w:t xml:space="preserve"> </w:t>
      </w:r>
      <w:r w:rsidRPr="0098262F">
        <w:rPr>
          <w:rStyle w:val="CommentReference"/>
          <w:b/>
          <w:szCs w:val="24"/>
        </w:rPr>
        <w:t>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Key inputs for financial estimates"/>
      </w:tblPr>
      <w:tblGrid>
        <w:gridCol w:w="1413"/>
        <w:gridCol w:w="3544"/>
        <w:gridCol w:w="4223"/>
      </w:tblGrid>
      <w:tr w:rsidR="00A97EF7" w:rsidRPr="00A97EF7" w14:paraId="50BAC1F8" w14:textId="77777777" w:rsidTr="00270FC3">
        <w:trPr>
          <w:cantSplit/>
          <w:tblHeader/>
        </w:trPr>
        <w:tc>
          <w:tcPr>
            <w:tcW w:w="1413" w:type="dxa"/>
            <w:vAlign w:val="center"/>
          </w:tcPr>
          <w:p w14:paraId="5C8CCF40" w14:textId="77777777" w:rsidR="00A50BB8" w:rsidRPr="00526AF7" w:rsidRDefault="00A50BB8" w:rsidP="002B07B9">
            <w:pPr>
              <w:pStyle w:val="In-tableHeading"/>
              <w:keepLines w:val="0"/>
              <w:jc w:val="center"/>
              <w:rPr>
                <w:lang w:val="en-AU"/>
              </w:rPr>
            </w:pPr>
            <w:r w:rsidRPr="00526AF7">
              <w:rPr>
                <w:lang w:val="en-AU"/>
              </w:rPr>
              <w:t>Data</w:t>
            </w:r>
          </w:p>
        </w:tc>
        <w:tc>
          <w:tcPr>
            <w:tcW w:w="3544" w:type="dxa"/>
            <w:vAlign w:val="center"/>
          </w:tcPr>
          <w:p w14:paraId="20F7AF08" w14:textId="77777777" w:rsidR="00A50BB8" w:rsidRPr="00526AF7" w:rsidRDefault="00A50BB8" w:rsidP="002B07B9">
            <w:pPr>
              <w:pStyle w:val="In-tableHeading"/>
              <w:keepLines w:val="0"/>
              <w:jc w:val="center"/>
              <w:rPr>
                <w:lang w:val="en-AU"/>
              </w:rPr>
            </w:pPr>
            <w:r w:rsidRPr="00526AF7">
              <w:rPr>
                <w:lang w:val="en-AU"/>
              </w:rPr>
              <w:t>Value applied and source</w:t>
            </w:r>
          </w:p>
        </w:tc>
        <w:tc>
          <w:tcPr>
            <w:tcW w:w="4223" w:type="dxa"/>
            <w:vAlign w:val="center"/>
          </w:tcPr>
          <w:p w14:paraId="59028525" w14:textId="77777777" w:rsidR="00A50BB8" w:rsidRPr="00526AF7" w:rsidRDefault="00A50BB8" w:rsidP="002B07B9">
            <w:pPr>
              <w:pStyle w:val="In-tableHeading"/>
              <w:keepLines w:val="0"/>
              <w:jc w:val="center"/>
              <w:rPr>
                <w:lang w:val="en-AU"/>
              </w:rPr>
            </w:pPr>
            <w:r w:rsidRPr="00526AF7">
              <w:rPr>
                <w:lang w:val="en-AU"/>
              </w:rPr>
              <w:t>Comment</w:t>
            </w:r>
          </w:p>
        </w:tc>
      </w:tr>
      <w:tr w:rsidR="00A97EF7" w:rsidRPr="00A97EF7" w14:paraId="03545B12" w14:textId="77777777" w:rsidTr="00270FC3">
        <w:trPr>
          <w:cantSplit/>
        </w:trPr>
        <w:tc>
          <w:tcPr>
            <w:tcW w:w="1413" w:type="dxa"/>
            <w:vAlign w:val="center"/>
          </w:tcPr>
          <w:p w14:paraId="27B025A8" w14:textId="77777777" w:rsidR="00A50BB8" w:rsidRPr="00526AF7" w:rsidRDefault="00A50BB8" w:rsidP="00490837">
            <w:pPr>
              <w:pStyle w:val="TableText0"/>
              <w:keepLines w:val="0"/>
            </w:pPr>
            <w:r w:rsidRPr="00526AF7">
              <w:t>Incident patients</w:t>
            </w:r>
          </w:p>
        </w:tc>
        <w:tc>
          <w:tcPr>
            <w:tcW w:w="3544" w:type="dxa"/>
            <w:vAlign w:val="center"/>
          </w:tcPr>
          <w:p w14:paraId="2BA15A5A" w14:textId="77777777" w:rsidR="00A50BB8" w:rsidRPr="00526AF7" w:rsidRDefault="00A50BB8" w:rsidP="00490837">
            <w:pPr>
              <w:pStyle w:val="TableText0"/>
              <w:keepLines w:val="0"/>
            </w:pPr>
            <w:r w:rsidRPr="00526AF7">
              <w:t>Yr 1: 2,833; Yr 2: 2,892; Yr 3: 2,954; Yr 4: 3,011; Yr 5: 3,076; Yr 6: 3,141</w:t>
            </w:r>
          </w:p>
          <w:p w14:paraId="6813EAA3" w14:textId="318C34D7" w:rsidR="00A50BB8" w:rsidRPr="00526AF7" w:rsidRDefault="00A50BB8" w:rsidP="00490837">
            <w:pPr>
              <w:pStyle w:val="TableText0"/>
              <w:keepLines w:val="0"/>
            </w:pPr>
            <w:r w:rsidRPr="00526AF7">
              <w:t>AIHW. Long</w:t>
            </w:r>
            <w:r w:rsidR="00675F55">
              <w:noBreakHyphen/>
            </w:r>
            <w:r w:rsidRPr="00526AF7">
              <w:t xml:space="preserve">term incidence projections for </w:t>
            </w:r>
            <w:r w:rsidR="00471967" w:rsidRPr="00526AF7">
              <w:t>stomach cancers (ICD</w:t>
            </w:r>
            <w:r w:rsidR="00675F55">
              <w:noBreakHyphen/>
            </w:r>
            <w:r w:rsidR="00471967" w:rsidRPr="00526AF7">
              <w:t>10 16.0).</w:t>
            </w:r>
          </w:p>
        </w:tc>
        <w:tc>
          <w:tcPr>
            <w:tcW w:w="4223" w:type="dxa"/>
            <w:vAlign w:val="center"/>
          </w:tcPr>
          <w:p w14:paraId="5F1D550A" w14:textId="5CE337E1" w:rsidR="00A50BB8" w:rsidRPr="00526AF7" w:rsidRDefault="003320E1" w:rsidP="00490837">
            <w:pPr>
              <w:pStyle w:val="TableText0"/>
              <w:keepLines w:val="0"/>
            </w:pPr>
            <w:r w:rsidRPr="00526AF7">
              <w:t xml:space="preserve">Captures all </w:t>
            </w:r>
            <w:r w:rsidR="00A50BB8" w:rsidRPr="00526AF7">
              <w:t>stomach</w:t>
            </w:r>
            <w:r w:rsidRPr="00526AF7">
              <w:t xml:space="preserve"> (gastric)</w:t>
            </w:r>
            <w:r w:rsidR="00A50BB8" w:rsidRPr="00526AF7">
              <w:t xml:space="preserve"> cancers classified under ICD</w:t>
            </w:r>
            <w:r w:rsidR="00675F55">
              <w:noBreakHyphen/>
            </w:r>
            <w:r w:rsidR="00A50BB8" w:rsidRPr="00526AF7">
              <w:t>10</w:t>
            </w:r>
            <w:r w:rsidRPr="00526AF7">
              <w:t xml:space="preserve"> code C16.0. </w:t>
            </w:r>
            <w:r w:rsidR="007B6AC6" w:rsidRPr="00526AF7">
              <w:t xml:space="preserve">The </w:t>
            </w:r>
            <w:r w:rsidR="00A50BB8" w:rsidRPr="00526AF7">
              <w:t xml:space="preserve">C16.0 (cardia subsite) </w:t>
            </w:r>
            <w:r w:rsidR="007B6AC6" w:rsidRPr="00526AF7">
              <w:t xml:space="preserve">subcode </w:t>
            </w:r>
            <w:r w:rsidR="00A50BB8" w:rsidRPr="00526AF7">
              <w:t>has</w:t>
            </w:r>
            <w:r w:rsidR="007B6AC6" w:rsidRPr="00526AF7">
              <w:t xml:space="preserve"> previously</w:t>
            </w:r>
            <w:r w:rsidR="00A50BB8" w:rsidRPr="00526AF7">
              <w:t xml:space="preserve"> been accepted </w:t>
            </w:r>
            <w:r w:rsidR="007B6AC6" w:rsidRPr="00526AF7">
              <w:t>as</w:t>
            </w:r>
            <w:r w:rsidR="00A50BB8" w:rsidRPr="00526AF7">
              <w:t xml:space="preserve"> representative of </w:t>
            </w:r>
            <w:r w:rsidR="007B6AC6" w:rsidRPr="00526AF7">
              <w:t xml:space="preserve">the </w:t>
            </w:r>
            <w:r w:rsidR="00A50BB8" w:rsidRPr="00526AF7">
              <w:t>GOJC</w:t>
            </w:r>
            <w:r w:rsidR="007B6AC6" w:rsidRPr="00526AF7">
              <w:t xml:space="preserve"> population (Table 14, nivolumab PSD, July 2022 PBAC meeting); therefore</w:t>
            </w:r>
            <w:r w:rsidR="0071232D" w:rsidRPr="00526AF7">
              <w:t>,</w:t>
            </w:r>
            <w:r w:rsidR="007B6AC6" w:rsidRPr="00526AF7">
              <w:t xml:space="preserve"> the C16 data used is likely representative of all gastric and GOJ cases.</w:t>
            </w:r>
          </w:p>
        </w:tc>
      </w:tr>
      <w:tr w:rsidR="00A97EF7" w:rsidRPr="00A97EF7" w14:paraId="08B9AB44" w14:textId="77777777" w:rsidTr="00270FC3">
        <w:trPr>
          <w:cantSplit/>
        </w:trPr>
        <w:tc>
          <w:tcPr>
            <w:tcW w:w="1413" w:type="dxa"/>
            <w:vAlign w:val="center"/>
          </w:tcPr>
          <w:p w14:paraId="56366D5F" w14:textId="2E2BE18F" w:rsidR="00A50BB8" w:rsidRPr="00526AF7" w:rsidRDefault="00A50BB8" w:rsidP="00490837">
            <w:pPr>
              <w:pStyle w:val="TableText0"/>
              <w:keepLines w:val="0"/>
            </w:pPr>
            <w:r w:rsidRPr="00526AF7">
              <w:t>Proportion of G/GOJC eligible for D</w:t>
            </w:r>
            <w:r w:rsidR="003E0D9B" w:rsidRPr="00526AF7">
              <w:t xml:space="preserve"> </w:t>
            </w:r>
            <w:r w:rsidRPr="00526AF7">
              <w:t>+</w:t>
            </w:r>
            <w:r w:rsidR="003E0D9B" w:rsidRPr="00526AF7">
              <w:t xml:space="preserve"> </w:t>
            </w:r>
            <w:r w:rsidRPr="00526AF7">
              <w:t>FLOT</w:t>
            </w:r>
          </w:p>
        </w:tc>
        <w:tc>
          <w:tcPr>
            <w:tcW w:w="3544" w:type="dxa"/>
            <w:vAlign w:val="center"/>
          </w:tcPr>
          <w:p w14:paraId="010EB953" w14:textId="3FD88FFB" w:rsidR="00A50BB8" w:rsidRPr="00526AF7" w:rsidRDefault="00A50BB8" w:rsidP="00490837">
            <w:pPr>
              <w:pStyle w:val="TableText0"/>
              <w:keepLines w:val="0"/>
            </w:pPr>
            <w:r w:rsidRPr="00526AF7">
              <w:t>Yr 1−6: 41%</w:t>
            </w:r>
          </w:p>
          <w:p w14:paraId="7436E6CC" w14:textId="11EBBD20" w:rsidR="00C377BD" w:rsidRPr="00526AF7" w:rsidRDefault="0073282A" w:rsidP="00490837">
            <w:pPr>
              <w:pStyle w:val="TableText0"/>
              <w:keepLines w:val="0"/>
            </w:pPr>
            <w:r w:rsidRPr="00526AF7">
              <w:t>Multiplicative</w:t>
            </w:r>
            <w:r w:rsidR="00C377BD" w:rsidRPr="00526AF7">
              <w:t xml:space="preserve"> of the following inputs:</w:t>
            </w:r>
          </w:p>
          <w:p w14:paraId="188FD75F" w14:textId="52A3609A" w:rsidR="00C377BD" w:rsidRPr="00526AF7" w:rsidRDefault="00426F9A" w:rsidP="00270FC3">
            <w:pPr>
              <w:pStyle w:val="TableText0"/>
              <w:numPr>
                <w:ilvl w:val="0"/>
                <w:numId w:val="11"/>
              </w:numPr>
              <w:ind w:left="316" w:hanging="142"/>
            </w:pPr>
            <w:r w:rsidRPr="00526AF7">
              <w:t>proportion of G/GOJ of adenocarcinoma histology (9</w:t>
            </w:r>
            <w:r w:rsidR="00C377BD" w:rsidRPr="00526AF7">
              <w:t>3.2%)</w:t>
            </w:r>
            <w:bookmarkStart w:id="56" w:name="_Ref218598696"/>
            <w:r w:rsidR="00B75EF6" w:rsidRPr="00526AF7">
              <w:rPr>
                <w:rStyle w:val="FootnoteReference"/>
              </w:rPr>
              <w:footnoteReference w:id="6"/>
            </w:r>
            <w:bookmarkEnd w:id="56"/>
          </w:p>
          <w:p w14:paraId="6C108F13" w14:textId="7D18CE99" w:rsidR="00B009BB" w:rsidRPr="00526AF7" w:rsidRDefault="00426F9A" w:rsidP="00270FC3">
            <w:pPr>
              <w:pStyle w:val="TableText0"/>
              <w:numPr>
                <w:ilvl w:val="0"/>
                <w:numId w:val="11"/>
              </w:numPr>
              <w:ind w:left="316" w:hanging="142"/>
            </w:pPr>
            <w:r w:rsidRPr="00526AF7">
              <w:t xml:space="preserve">proportion of G/GOJ adenocarcinoma patients receiving </w:t>
            </w:r>
            <w:r w:rsidRPr="00FE0EE9">
              <w:t>surgery</w:t>
            </w:r>
            <w:r w:rsidR="00A30A92" w:rsidRPr="00FE0EE9">
              <w:t xml:space="preserve"> (50.0%)</w:t>
            </w:r>
            <w:bookmarkStart w:id="57" w:name="_Ref218598704"/>
            <w:r w:rsidR="00387B8D" w:rsidRPr="00FE0EE9">
              <w:rPr>
                <w:rStyle w:val="FootnoteReference"/>
              </w:rPr>
              <w:footnoteReference w:id="7"/>
            </w:r>
            <w:bookmarkEnd w:id="57"/>
          </w:p>
          <w:p w14:paraId="2C6F30FB" w14:textId="0FEF0BB0" w:rsidR="00B009BB" w:rsidRPr="00526AF7" w:rsidRDefault="00426F9A" w:rsidP="00270FC3">
            <w:pPr>
              <w:pStyle w:val="TableText0"/>
              <w:numPr>
                <w:ilvl w:val="0"/>
                <w:numId w:val="11"/>
              </w:numPr>
              <w:ind w:left="316" w:hanging="142"/>
            </w:pPr>
            <w:r w:rsidRPr="00526AF7">
              <w:t xml:space="preserve">proportion of surgically treated patients who receive </w:t>
            </w:r>
            <w:r w:rsidRPr="00844125">
              <w:t xml:space="preserve">perioperative FLOT </w:t>
            </w:r>
            <w:r w:rsidR="00FA1749" w:rsidRPr="00844125">
              <w:t>(</w:t>
            </w:r>
            <w:r w:rsidR="00EB1862" w:rsidRPr="00EB1862">
              <w:rPr>
                <w:sz w:val="2"/>
                <w:highlight w:val="black"/>
              </w:rPr>
              <w:t>redacted content</w:t>
            </w:r>
            <w:r w:rsidR="00FA1749" w:rsidRPr="00844125">
              <w:t>%)</w:t>
            </w:r>
            <w:r w:rsidR="00363A6A" w:rsidRPr="00844125">
              <w:t xml:space="preserve"> </w:t>
            </w:r>
            <w:r w:rsidR="00363A6A" w:rsidRPr="00526AF7">
              <w:t>(</w:t>
            </w:r>
            <w:r w:rsidR="0042571E" w:rsidRPr="00526AF7">
              <w:t>expert</w:t>
            </w:r>
            <w:r w:rsidR="00363A6A" w:rsidRPr="00526AF7">
              <w:t xml:space="preserve"> </w:t>
            </w:r>
            <w:r w:rsidR="001E7325" w:rsidRPr="00526AF7">
              <w:t>opinion</w:t>
            </w:r>
            <w:r w:rsidR="00363A6A" w:rsidRPr="00526AF7">
              <w:t>)</w:t>
            </w:r>
          </w:p>
          <w:p w14:paraId="2CE8472C" w14:textId="178E3230" w:rsidR="00A50BB8" w:rsidRPr="00526AF7" w:rsidRDefault="00FA1749" w:rsidP="00270FC3">
            <w:pPr>
              <w:pStyle w:val="TableText0"/>
              <w:numPr>
                <w:ilvl w:val="0"/>
                <w:numId w:val="11"/>
              </w:numPr>
              <w:ind w:left="316" w:hanging="142"/>
            </w:pPr>
            <w:r w:rsidRPr="00526AF7">
              <w:t>Adjusted for</w:t>
            </w:r>
            <w:r w:rsidR="00426F9A" w:rsidRPr="00526AF7">
              <w:t xml:space="preserve"> patients who initiate FLOT but do not progress to surgery</w:t>
            </w:r>
            <w:r w:rsidRPr="00526AF7">
              <w:t xml:space="preserve"> (</w:t>
            </w:r>
            <w:r w:rsidRPr="00623295">
              <w:t>110.0%)</w:t>
            </w:r>
          </w:p>
        </w:tc>
        <w:tc>
          <w:tcPr>
            <w:tcW w:w="4223" w:type="dxa"/>
            <w:vAlign w:val="center"/>
          </w:tcPr>
          <w:p w14:paraId="65FF284B" w14:textId="7712F612" w:rsidR="00A50BB8" w:rsidRPr="0025798B" w:rsidRDefault="00A50BB8" w:rsidP="00490837">
            <w:pPr>
              <w:pStyle w:val="TableText0"/>
              <w:keepLines w:val="0"/>
            </w:pPr>
            <w:r w:rsidRPr="0025798B">
              <w:t>The</w:t>
            </w:r>
            <w:r w:rsidR="00567AB2" w:rsidRPr="0025798B">
              <w:t xml:space="preserve"> evaluation </w:t>
            </w:r>
            <w:r w:rsidR="00DA1783" w:rsidRPr="0025798B">
              <w:t>noted that some of these estimates were uncertain</w:t>
            </w:r>
            <w:r w:rsidR="003625C0" w:rsidRPr="0025798B">
              <w:t xml:space="preserve"> (see paragraph </w:t>
            </w:r>
            <w:r w:rsidR="003625C0" w:rsidRPr="0025798B">
              <w:fldChar w:fldCharType="begin"/>
            </w:r>
            <w:r w:rsidR="003625C0" w:rsidRPr="0025798B">
              <w:instrText xml:space="preserve"> REF _Ref221892270 \r \h </w:instrText>
            </w:r>
            <w:r w:rsidR="0025798B">
              <w:instrText xml:space="preserve"> \* MERGEFORMAT </w:instrText>
            </w:r>
            <w:r w:rsidR="003625C0" w:rsidRPr="0025798B">
              <w:fldChar w:fldCharType="separate"/>
            </w:r>
            <w:r w:rsidR="00F9169E">
              <w:t>6.58</w:t>
            </w:r>
            <w:r w:rsidR="003625C0" w:rsidRPr="0025798B">
              <w:fldChar w:fldCharType="end"/>
            </w:r>
            <w:r w:rsidR="003625C0" w:rsidRPr="0025798B">
              <w:t>)</w:t>
            </w:r>
            <w:r w:rsidRPr="0025798B">
              <w:t xml:space="preserve">. </w:t>
            </w:r>
          </w:p>
        </w:tc>
      </w:tr>
      <w:tr w:rsidR="00A97EF7" w:rsidRPr="00A97EF7" w14:paraId="6A9570FB" w14:textId="77777777" w:rsidTr="00270FC3">
        <w:trPr>
          <w:cantSplit/>
        </w:trPr>
        <w:tc>
          <w:tcPr>
            <w:tcW w:w="1413" w:type="dxa"/>
            <w:vAlign w:val="center"/>
          </w:tcPr>
          <w:p w14:paraId="55EBFB9C" w14:textId="77777777" w:rsidR="00A50BB8" w:rsidRPr="00526AF7" w:rsidRDefault="00A50BB8" w:rsidP="00490837">
            <w:pPr>
              <w:pStyle w:val="TableText0"/>
              <w:keepLines w:val="0"/>
            </w:pPr>
            <w:r w:rsidRPr="00526AF7">
              <w:t>Uptake rate</w:t>
            </w:r>
          </w:p>
        </w:tc>
        <w:tc>
          <w:tcPr>
            <w:tcW w:w="3544" w:type="dxa"/>
            <w:vAlign w:val="center"/>
          </w:tcPr>
          <w:p w14:paraId="59207A72" w14:textId="7A64C1DB" w:rsidR="00A50BB8" w:rsidRPr="00526AF7" w:rsidRDefault="00A50BB8" w:rsidP="00490837">
            <w:pPr>
              <w:pStyle w:val="TableText0"/>
              <w:keepLines w:val="0"/>
            </w:pPr>
            <w:r w:rsidRPr="00526AF7">
              <w:t>Yr 1</w:t>
            </w:r>
            <w:r w:rsidR="00064253" w:rsidRPr="00526AF7">
              <w:t>−</w:t>
            </w:r>
            <w:r w:rsidRPr="00623295">
              <w:t xml:space="preserve">6: </w:t>
            </w:r>
            <w:r w:rsidR="00EB1862" w:rsidRPr="00EB1862">
              <w:rPr>
                <w:sz w:val="2"/>
                <w:highlight w:val="black"/>
              </w:rPr>
              <w:t>redacted content</w:t>
            </w:r>
            <w:r w:rsidRPr="00623295">
              <w:t>%</w:t>
            </w:r>
          </w:p>
          <w:p w14:paraId="4E063B09" w14:textId="77777777" w:rsidR="00A50BB8" w:rsidRPr="00526AF7" w:rsidRDefault="00A50BB8" w:rsidP="00490837">
            <w:pPr>
              <w:pStyle w:val="TableText0"/>
              <w:keepLines w:val="0"/>
            </w:pPr>
            <w:r w:rsidRPr="00526AF7">
              <w:t xml:space="preserve">Expert opinion </w:t>
            </w:r>
          </w:p>
        </w:tc>
        <w:tc>
          <w:tcPr>
            <w:tcW w:w="4223" w:type="dxa"/>
            <w:vAlign w:val="center"/>
          </w:tcPr>
          <w:p w14:paraId="60139704" w14:textId="3F570414" w:rsidR="00A50BB8" w:rsidRPr="00526AF7" w:rsidRDefault="001E4E80" w:rsidP="00490837">
            <w:pPr>
              <w:pStyle w:val="TableText0"/>
              <w:keepLines w:val="0"/>
            </w:pPr>
            <w:r>
              <w:t>The evaluation considered it was r</w:t>
            </w:r>
            <w:r w:rsidR="00A50BB8" w:rsidRPr="00526AF7">
              <w:t>easonable to consider</w:t>
            </w:r>
            <w:r w:rsidR="0031090D" w:rsidRPr="00526AF7">
              <w:t xml:space="preserve"> a</w:t>
            </w:r>
            <w:r w:rsidR="00A50BB8" w:rsidRPr="00526AF7">
              <w:t xml:space="preserve"> high uptake rate once listed on the PBS; however,</w:t>
            </w:r>
            <w:r w:rsidR="00E92B0B">
              <w:t xml:space="preserve"> </w:t>
            </w:r>
            <w:r w:rsidR="00772264" w:rsidRPr="00526AF7">
              <w:t>assuming</w:t>
            </w:r>
            <w:r w:rsidR="00EF0BF2" w:rsidRPr="00526AF7">
              <w:t xml:space="preserve"> a</w:t>
            </w:r>
            <w:r w:rsidR="001D7810" w:rsidRPr="00526AF7">
              <w:t>n immediate</w:t>
            </w:r>
            <w:r w:rsidR="00EF0BF2" w:rsidRPr="00526AF7">
              <w:t xml:space="preserve"> </w:t>
            </w:r>
            <w:r w:rsidR="0031090D" w:rsidRPr="00526AF7">
              <w:t>uptake</w:t>
            </w:r>
            <w:r w:rsidR="00772264" w:rsidRPr="00526AF7">
              <w:t xml:space="preserve"> </w:t>
            </w:r>
            <w:r w:rsidR="00772264" w:rsidRPr="00623295">
              <w:t xml:space="preserve">rate of </w:t>
            </w:r>
            <w:r w:rsidR="00EB1862" w:rsidRPr="00EB1862">
              <w:rPr>
                <w:sz w:val="2"/>
                <w:highlight w:val="black"/>
              </w:rPr>
              <w:t>redacted content</w:t>
            </w:r>
            <w:r w:rsidR="00772264" w:rsidRPr="00623295">
              <w:t>%,</w:t>
            </w:r>
            <w:r w:rsidR="00772264" w:rsidRPr="00526AF7">
              <w:t xml:space="preserve"> including</w:t>
            </w:r>
            <w:r w:rsidR="0031090D" w:rsidRPr="00526AF7">
              <w:t xml:space="preserve"> in Year 1 of listing</w:t>
            </w:r>
            <w:r w:rsidR="00772264" w:rsidRPr="00526AF7">
              <w:t>,</w:t>
            </w:r>
            <w:r w:rsidR="00A50BB8" w:rsidRPr="00526AF7">
              <w:t xml:space="preserve"> </w:t>
            </w:r>
            <w:r w:rsidR="00EF0BF2" w:rsidRPr="00526AF7">
              <w:t xml:space="preserve">may be optimistic. </w:t>
            </w:r>
            <w:r w:rsidR="00E022E2">
              <w:t>The pre</w:t>
            </w:r>
            <w:r w:rsidR="00675F55">
              <w:noBreakHyphen/>
            </w:r>
            <w:r w:rsidR="00E022E2">
              <w:t xml:space="preserve">PBAC response noted that adoption is expected to be strong given there </w:t>
            </w:r>
            <w:r w:rsidR="00E022E2" w:rsidRPr="00096B20">
              <w:t xml:space="preserve">is already high awareness </w:t>
            </w:r>
            <w:r w:rsidR="00E022E2">
              <w:t>and clinician</w:t>
            </w:r>
            <w:r w:rsidR="00E022E2" w:rsidRPr="00096B20">
              <w:t xml:space="preserve"> endorsement for the MATTERHORN regimen by the international ESMO and NCCN guidelines</w:t>
            </w:r>
            <w:r w:rsidR="00E022E2">
              <w:t xml:space="preserve"> and that there will be a patient access program prior to listing on the PBS</w:t>
            </w:r>
            <w:r w:rsidR="00A50BB8" w:rsidRPr="00526AF7">
              <w:t xml:space="preserve"> </w:t>
            </w:r>
          </w:p>
        </w:tc>
      </w:tr>
      <w:tr w:rsidR="00A97EF7" w:rsidRPr="00A97EF7" w14:paraId="6573FE6A" w14:textId="77777777" w:rsidTr="00270FC3">
        <w:trPr>
          <w:cantSplit/>
          <w:trHeight w:val="1655"/>
        </w:trPr>
        <w:tc>
          <w:tcPr>
            <w:tcW w:w="1413" w:type="dxa"/>
            <w:vAlign w:val="center"/>
          </w:tcPr>
          <w:p w14:paraId="021C490B" w14:textId="77777777" w:rsidR="00A50BB8" w:rsidRPr="00526AF7" w:rsidRDefault="00A50BB8">
            <w:pPr>
              <w:pStyle w:val="TableText0"/>
              <w:keepNext w:val="0"/>
              <w:keepLines w:val="0"/>
            </w:pPr>
            <w:r w:rsidRPr="00526AF7">
              <w:rPr>
                <w:szCs w:val="20"/>
              </w:rPr>
              <w:t>Grandfathered patients</w:t>
            </w:r>
          </w:p>
        </w:tc>
        <w:tc>
          <w:tcPr>
            <w:tcW w:w="3544" w:type="dxa"/>
            <w:vAlign w:val="center"/>
          </w:tcPr>
          <w:p w14:paraId="122AE824" w14:textId="3C9A15A6" w:rsidR="00A50BB8" w:rsidRPr="000F3E64" w:rsidRDefault="00A50BB8">
            <w:pPr>
              <w:pStyle w:val="TableText0"/>
              <w:keepNext w:val="0"/>
              <w:keepLines w:val="0"/>
              <w:rPr>
                <w:vertAlign w:val="superscript"/>
              </w:rPr>
            </w:pPr>
            <w:r w:rsidRPr="00526AF7">
              <w:t xml:space="preserve">Yr 1: </w:t>
            </w:r>
            <w:r w:rsidR="00EB1862" w:rsidRPr="00EB1862">
              <w:rPr>
                <w:sz w:val="2"/>
                <w:highlight w:val="black"/>
              </w:rPr>
              <w:t>redacted content</w:t>
            </w:r>
            <w:r w:rsidR="000F3E64">
              <w:rPr>
                <w:vertAlign w:val="superscript"/>
              </w:rPr>
              <w:t>1</w:t>
            </w:r>
          </w:p>
          <w:p w14:paraId="131868F4" w14:textId="77777777" w:rsidR="00A50BB8" w:rsidRPr="00526AF7" w:rsidRDefault="00A50BB8">
            <w:pPr>
              <w:pStyle w:val="TableText0"/>
              <w:keepNext w:val="0"/>
              <w:keepLines w:val="0"/>
            </w:pPr>
            <w:r w:rsidRPr="00526AF7">
              <w:t xml:space="preserve">Assumed </w:t>
            </w:r>
          </w:p>
        </w:tc>
        <w:tc>
          <w:tcPr>
            <w:tcW w:w="4223" w:type="dxa"/>
            <w:vAlign w:val="center"/>
          </w:tcPr>
          <w:p w14:paraId="2A7F01C7" w14:textId="12295444" w:rsidR="00A50BB8" w:rsidRPr="00526AF7" w:rsidRDefault="006E0C62">
            <w:pPr>
              <w:pStyle w:val="TableText0"/>
              <w:keepNext w:val="0"/>
              <w:keepLines w:val="0"/>
            </w:pPr>
            <w:r w:rsidRPr="00526AF7">
              <w:t>The sponsor is planning to commence a patient access program, through which they assume ~</w:t>
            </w:r>
            <w:r w:rsidR="00EB1862" w:rsidRPr="00EB1862">
              <w:rPr>
                <w:sz w:val="2"/>
                <w:highlight w:val="black"/>
              </w:rPr>
              <w:t>redacted content</w:t>
            </w:r>
            <w:r w:rsidR="000F3E64">
              <w:rPr>
                <w:vertAlign w:val="superscript"/>
              </w:rPr>
              <w:t>1</w:t>
            </w:r>
            <w:r w:rsidR="00A50BB8" w:rsidRPr="00526AF7">
              <w:t xml:space="preserve"> patients </w:t>
            </w:r>
            <w:r w:rsidR="00247864" w:rsidRPr="00526AF7">
              <w:t xml:space="preserve">will </w:t>
            </w:r>
            <w:r w:rsidR="008231A2" w:rsidRPr="00526AF7">
              <w:t xml:space="preserve">transition </w:t>
            </w:r>
            <w:r w:rsidR="00247864" w:rsidRPr="00526AF7">
              <w:t>to PBS</w:t>
            </w:r>
            <w:r w:rsidR="00675F55">
              <w:noBreakHyphen/>
            </w:r>
            <w:r w:rsidR="00247864" w:rsidRPr="00526AF7">
              <w:t>funded treatment in year 1 of listing</w:t>
            </w:r>
            <w:r w:rsidR="00A50BB8" w:rsidRPr="00526AF7">
              <w:t xml:space="preserve">. </w:t>
            </w:r>
            <w:r w:rsidR="009117D1" w:rsidRPr="00526AF7">
              <w:t xml:space="preserve">While the inclusion of grandfathered patients is appropriate, the </w:t>
            </w:r>
            <w:r w:rsidR="00944D3A" w:rsidRPr="00526AF7">
              <w:t xml:space="preserve">financial </w:t>
            </w:r>
            <w:r w:rsidR="009117D1" w:rsidRPr="00526AF7">
              <w:t xml:space="preserve">estimates appear to </w:t>
            </w:r>
            <w:r w:rsidR="00C024A9" w:rsidRPr="00526AF7">
              <w:t xml:space="preserve">account for </w:t>
            </w:r>
            <w:r w:rsidR="00944D3A" w:rsidRPr="00526AF7">
              <w:t>the full treatment course for</w:t>
            </w:r>
            <w:r w:rsidR="0046252A" w:rsidRPr="00526AF7">
              <w:t xml:space="preserve"> grandfathered patients</w:t>
            </w:r>
            <w:r w:rsidR="00944D3A" w:rsidRPr="00526AF7">
              <w:t xml:space="preserve">, </w:t>
            </w:r>
            <w:r w:rsidR="0046252A" w:rsidRPr="00526AF7">
              <w:t>overestimat</w:t>
            </w:r>
            <w:r w:rsidR="00944D3A" w:rsidRPr="00526AF7">
              <w:t>ing</w:t>
            </w:r>
            <w:r w:rsidR="0046252A" w:rsidRPr="00526AF7">
              <w:t xml:space="preserve"> the number of PBS</w:t>
            </w:r>
            <w:r w:rsidR="00675F55">
              <w:noBreakHyphen/>
            </w:r>
            <w:r w:rsidR="0046252A" w:rsidRPr="00526AF7">
              <w:t xml:space="preserve">subsidised cycles. </w:t>
            </w:r>
          </w:p>
        </w:tc>
      </w:tr>
      <w:tr w:rsidR="00A97EF7" w:rsidRPr="00A97EF7" w14:paraId="667A01DC" w14:textId="77777777" w:rsidTr="00270FC3">
        <w:trPr>
          <w:cantSplit/>
        </w:trPr>
        <w:tc>
          <w:tcPr>
            <w:tcW w:w="1413" w:type="dxa"/>
            <w:vAlign w:val="center"/>
          </w:tcPr>
          <w:p w14:paraId="2DF42185" w14:textId="64BBCC35" w:rsidR="00A50BB8" w:rsidRPr="00526AF7" w:rsidRDefault="00422A8F">
            <w:pPr>
              <w:pStyle w:val="TableText0"/>
              <w:keepNext w:val="0"/>
              <w:keepLines w:val="0"/>
            </w:pPr>
            <w:r w:rsidRPr="00526AF7">
              <w:t>Durvalumab</w:t>
            </w:r>
            <w:r w:rsidR="00EB72F0" w:rsidRPr="00526AF7">
              <w:t xml:space="preserve"> (effective DPMA)</w:t>
            </w:r>
          </w:p>
        </w:tc>
        <w:tc>
          <w:tcPr>
            <w:tcW w:w="3544" w:type="dxa"/>
            <w:vAlign w:val="center"/>
          </w:tcPr>
          <w:p w14:paraId="09B6AC35" w14:textId="484F0E6B" w:rsidR="00A50BB8" w:rsidRPr="00526AF7" w:rsidRDefault="00A50BB8">
            <w:pPr>
              <w:pStyle w:val="TableText0"/>
              <w:keepNext w:val="0"/>
              <w:keepLines w:val="0"/>
            </w:pPr>
            <w:r w:rsidRPr="00526AF7">
              <w:t>$</w:t>
            </w:r>
            <w:r w:rsidR="00EB1862" w:rsidRPr="00EB1862">
              <w:rPr>
                <w:sz w:val="2"/>
                <w:highlight w:val="black"/>
              </w:rPr>
              <w:t>redacted content</w:t>
            </w:r>
            <w:r w:rsidRPr="00526AF7">
              <w:t xml:space="preserve"> (public hospitals)</w:t>
            </w:r>
          </w:p>
          <w:p w14:paraId="3FF92C45" w14:textId="55605B5B" w:rsidR="00A50BB8" w:rsidRPr="00526AF7" w:rsidRDefault="00A50BB8">
            <w:pPr>
              <w:pStyle w:val="TableText0"/>
              <w:keepNext w:val="0"/>
              <w:keepLines w:val="0"/>
            </w:pPr>
            <w:r w:rsidRPr="00526AF7">
              <w:t>$</w:t>
            </w:r>
            <w:r w:rsidR="00EB1862" w:rsidRPr="00EB1862">
              <w:rPr>
                <w:sz w:val="2"/>
                <w:highlight w:val="black"/>
              </w:rPr>
              <w:t>redacted content</w:t>
            </w:r>
            <w:r w:rsidRPr="00526AF7">
              <w:t xml:space="preserve"> (private hospitals) </w:t>
            </w:r>
          </w:p>
        </w:tc>
        <w:tc>
          <w:tcPr>
            <w:tcW w:w="4223" w:type="dxa"/>
            <w:vAlign w:val="center"/>
          </w:tcPr>
          <w:p w14:paraId="552423B0" w14:textId="77777777" w:rsidR="00A50BB8" w:rsidRPr="00526AF7" w:rsidRDefault="00A50BB8">
            <w:pPr>
              <w:pStyle w:val="TableText0"/>
              <w:keepNext w:val="0"/>
              <w:keepLines w:val="0"/>
            </w:pPr>
          </w:p>
        </w:tc>
      </w:tr>
      <w:tr w:rsidR="00A97EF7" w:rsidRPr="00A97EF7" w14:paraId="0E87AF1A" w14:textId="77777777" w:rsidTr="00270FC3">
        <w:trPr>
          <w:cantSplit/>
        </w:trPr>
        <w:tc>
          <w:tcPr>
            <w:tcW w:w="1413" w:type="dxa"/>
            <w:vAlign w:val="center"/>
          </w:tcPr>
          <w:p w14:paraId="71A6367A" w14:textId="4AFFD4A8" w:rsidR="00A50BB8" w:rsidRPr="004D3509" w:rsidRDefault="00422A8F">
            <w:pPr>
              <w:pStyle w:val="TableText0"/>
              <w:keepNext w:val="0"/>
              <w:keepLines w:val="0"/>
            </w:pPr>
            <w:r w:rsidRPr="004D3509">
              <w:lastRenderedPageBreak/>
              <w:t>Subsequent n</w:t>
            </w:r>
            <w:r w:rsidR="00A50BB8" w:rsidRPr="004D3509">
              <w:t>ivolumab</w:t>
            </w:r>
            <w:r w:rsidRPr="004D3509">
              <w:t xml:space="preserve"> (assumed effective DPMA)</w:t>
            </w:r>
          </w:p>
        </w:tc>
        <w:tc>
          <w:tcPr>
            <w:tcW w:w="3544" w:type="dxa"/>
            <w:vAlign w:val="center"/>
          </w:tcPr>
          <w:p w14:paraId="1084D332" w14:textId="7323C730" w:rsidR="00A50BB8" w:rsidRPr="004D3509" w:rsidRDefault="00A50BB8">
            <w:pPr>
              <w:pStyle w:val="TableText0"/>
              <w:keepNext w:val="0"/>
              <w:keepLines w:val="0"/>
            </w:pPr>
            <w:r w:rsidRPr="004D3509">
              <w:t>$</w:t>
            </w:r>
            <w:r w:rsidR="00EB1862" w:rsidRPr="00EB1862">
              <w:rPr>
                <w:sz w:val="2"/>
                <w:highlight w:val="black"/>
              </w:rPr>
              <w:t>redacted content</w:t>
            </w:r>
            <w:r w:rsidRPr="004D3509">
              <w:t xml:space="preserve"> (public hospitals)</w:t>
            </w:r>
            <w:r w:rsidR="00FA1044" w:rsidRPr="004D3509">
              <w:t>, 13121N</w:t>
            </w:r>
          </w:p>
          <w:p w14:paraId="6AC039C1" w14:textId="3B86E888" w:rsidR="00A50BB8" w:rsidRPr="004D3509" w:rsidRDefault="00A50BB8">
            <w:pPr>
              <w:pStyle w:val="TableText0"/>
              <w:keepNext w:val="0"/>
              <w:keepLines w:val="0"/>
            </w:pPr>
            <w:r w:rsidRPr="004D3509">
              <w:t>$</w:t>
            </w:r>
            <w:r w:rsidR="00EB1862" w:rsidRPr="00EB1862">
              <w:rPr>
                <w:sz w:val="2"/>
                <w:highlight w:val="black"/>
              </w:rPr>
              <w:t>redacted content</w:t>
            </w:r>
            <w:r w:rsidRPr="004D3509">
              <w:t xml:space="preserve"> (private hospitals)</w:t>
            </w:r>
            <w:r w:rsidR="00FA1044" w:rsidRPr="004D3509">
              <w:t>, 13117J</w:t>
            </w:r>
          </w:p>
          <w:p w14:paraId="705E2023" w14:textId="77777777" w:rsidR="00621B2D" w:rsidRPr="004D3509" w:rsidRDefault="00621B2D">
            <w:pPr>
              <w:pStyle w:val="TableText0"/>
              <w:keepNext w:val="0"/>
              <w:keepLines w:val="0"/>
            </w:pPr>
          </w:p>
          <w:p w14:paraId="6564A22A" w14:textId="5258827B" w:rsidR="00621B2D" w:rsidRPr="004D3509" w:rsidRDefault="00621B2D">
            <w:pPr>
              <w:pStyle w:val="TableText0"/>
              <w:keepNext w:val="0"/>
              <w:keepLines w:val="0"/>
              <w:rPr>
                <w:vertAlign w:val="superscript"/>
              </w:rPr>
            </w:pPr>
            <w:r w:rsidRPr="004D3509">
              <w:t>Based on published AEMP</w:t>
            </w:r>
            <w:r w:rsidR="00E802A5" w:rsidRPr="004D3509">
              <w:t xml:space="preserve"> (360mg)</w:t>
            </w:r>
            <w:r w:rsidRPr="004D3509">
              <w:t xml:space="preserve"> of $4,</w:t>
            </w:r>
            <w:r w:rsidR="00E802A5" w:rsidRPr="004D3509">
              <w:t xml:space="preserve">734.79 and assumed </w:t>
            </w:r>
            <w:r w:rsidR="00777E45" w:rsidRPr="004D3509">
              <w:t xml:space="preserve">SPA rebating </w:t>
            </w:r>
            <w:r w:rsidR="00EB1862" w:rsidRPr="00EB1862">
              <w:rPr>
                <w:sz w:val="2"/>
                <w:highlight w:val="black"/>
              </w:rPr>
              <w:t>redacted content</w:t>
            </w:r>
            <w:r w:rsidR="00777E45" w:rsidRPr="004D3509">
              <w:t>% of the published price.</w:t>
            </w:r>
            <w:r w:rsidR="004324C9" w:rsidRPr="004D3509">
              <w:t xml:space="preserve"> </w:t>
            </w:r>
            <w:r w:rsidR="00A77707" w:rsidRPr="004D3509">
              <w:rPr>
                <w:vertAlign w:val="superscript"/>
              </w:rPr>
              <w:t>a</w:t>
            </w:r>
          </w:p>
        </w:tc>
        <w:tc>
          <w:tcPr>
            <w:tcW w:w="4223" w:type="dxa"/>
            <w:vAlign w:val="center"/>
          </w:tcPr>
          <w:p w14:paraId="60AE01CB" w14:textId="4C34819B" w:rsidR="00A50BB8" w:rsidRPr="00526AF7" w:rsidRDefault="00E927E4">
            <w:pPr>
              <w:pStyle w:val="TableText0"/>
              <w:keepNext w:val="0"/>
              <w:keepLines w:val="0"/>
            </w:pPr>
            <w:r w:rsidRPr="00526AF7">
              <w:t xml:space="preserve">An assumed effective price for subsequent nivolumab was </w:t>
            </w:r>
            <w:r w:rsidRPr="003945DA">
              <w:t xml:space="preserve">applied. </w:t>
            </w:r>
            <w:r w:rsidR="00764596" w:rsidRPr="003945DA">
              <w:t>The modelled reduction</w:t>
            </w:r>
            <w:r w:rsidR="00107FF2" w:rsidRPr="003945DA">
              <w:t xml:space="preserve"> </w:t>
            </w:r>
            <w:r w:rsidR="00764596" w:rsidRPr="003945DA">
              <w:t xml:space="preserve">in nivolumab </w:t>
            </w:r>
            <w:r w:rsidR="00107FF2" w:rsidRPr="003945DA">
              <w:t xml:space="preserve">utilisation </w:t>
            </w:r>
            <w:r w:rsidR="00764596" w:rsidRPr="003945DA">
              <w:t xml:space="preserve">may not be </w:t>
            </w:r>
            <w:r w:rsidR="00977DA6" w:rsidRPr="003945DA">
              <w:t xml:space="preserve">fully </w:t>
            </w:r>
            <w:r w:rsidR="00764596" w:rsidRPr="003945DA">
              <w:t>realised given th</w:t>
            </w:r>
            <w:r w:rsidR="00722D30" w:rsidRPr="003945DA">
              <w:t>at patients may access nivolumab under the broad listing.</w:t>
            </w:r>
          </w:p>
        </w:tc>
      </w:tr>
    </w:tbl>
    <w:p w14:paraId="4235D429" w14:textId="0589EC6C" w:rsidR="00A50BB8" w:rsidRDefault="00A50BB8" w:rsidP="00C1302F">
      <w:pPr>
        <w:pStyle w:val="TableFigureFooter"/>
      </w:pPr>
      <w:r w:rsidRPr="0098262F">
        <w:t xml:space="preserve">Source: </w:t>
      </w:r>
      <w:r>
        <w:t>Table 4</w:t>
      </w:r>
      <w:r w:rsidR="00675F55">
        <w:noBreakHyphen/>
      </w:r>
      <w:r>
        <w:t>1 −Table 16, section 4.1, 4.2, 4.3 pp160</w:t>
      </w:r>
      <w:r w:rsidR="00675F55">
        <w:noBreakHyphen/>
      </w:r>
      <w:r>
        <w:t xml:space="preserve">174 </w:t>
      </w:r>
      <w:r w:rsidRPr="0098262F">
        <w:t>of the submission</w:t>
      </w:r>
      <w:r w:rsidR="004E005F">
        <w:t>.</w:t>
      </w:r>
    </w:p>
    <w:p w14:paraId="2618FFBD" w14:textId="1AE4F2B1" w:rsidR="00A50BB8" w:rsidRDefault="00A50BB8" w:rsidP="00C1302F">
      <w:pPr>
        <w:pStyle w:val="TableFigureFooter"/>
      </w:pPr>
      <w:r w:rsidRPr="005D7D04">
        <w:t>AIHW</w:t>
      </w:r>
      <w:r>
        <w:t>=</w:t>
      </w:r>
      <w:r w:rsidRPr="005D7D04">
        <w:t xml:space="preserve"> Australian Institute of Health and Welfare; </w:t>
      </w:r>
      <w:r>
        <w:t>CIC = committee</w:t>
      </w:r>
      <w:r w:rsidR="00675F55">
        <w:noBreakHyphen/>
      </w:r>
      <w:r>
        <w:t>in</w:t>
      </w:r>
      <w:r w:rsidR="00675F55">
        <w:noBreakHyphen/>
      </w:r>
      <w:r>
        <w:t xml:space="preserve">confidence; </w:t>
      </w:r>
      <w:r w:rsidRPr="00C2145E">
        <w:t>D</w:t>
      </w:r>
      <w:r>
        <w:t xml:space="preserve"> =</w:t>
      </w:r>
      <w:r w:rsidRPr="00C2145E">
        <w:t xml:space="preserve"> </w:t>
      </w:r>
      <w:r w:rsidR="00782F6E">
        <w:t>d</w:t>
      </w:r>
      <w:r>
        <w:t>urvalumab</w:t>
      </w:r>
      <w:r w:rsidRPr="00C2145E">
        <w:t>;</w:t>
      </w:r>
      <w:r w:rsidR="00EB72F0">
        <w:t xml:space="preserve"> DPMA = dispensed price for maximum amount;</w:t>
      </w:r>
      <w:r w:rsidRPr="00C2145E">
        <w:t xml:space="preserve"> FLOT</w:t>
      </w:r>
      <w:r>
        <w:t xml:space="preserve"> = </w:t>
      </w:r>
      <w:r w:rsidR="001F4BD1">
        <w:t>5</w:t>
      </w:r>
      <w:r w:rsidR="00675F55">
        <w:noBreakHyphen/>
      </w:r>
      <w:r w:rsidR="001F4BD1">
        <w:t>fluorouracil, leucovorin, oxaliplatin</w:t>
      </w:r>
      <w:r w:rsidRPr="00C2145E">
        <w:t xml:space="preserve"> and </w:t>
      </w:r>
      <w:r w:rsidR="001F4BD1">
        <w:t>docetaxel</w:t>
      </w:r>
      <w:r w:rsidRPr="00C2145E">
        <w:t>; FOLFIRI</w:t>
      </w:r>
      <w:r>
        <w:t xml:space="preserve"> =</w:t>
      </w:r>
      <w:r w:rsidRPr="00C2145E">
        <w:t xml:space="preserve"> </w:t>
      </w:r>
      <w:r w:rsidR="001F4BD1">
        <w:t>f</w:t>
      </w:r>
      <w:r w:rsidRPr="00C2145E">
        <w:t xml:space="preserve">olinic </w:t>
      </w:r>
      <w:r w:rsidR="0060692A" w:rsidRPr="00C2145E">
        <w:t>acid</w:t>
      </w:r>
      <w:r w:rsidRPr="00C2145E">
        <w:t xml:space="preserve">, </w:t>
      </w:r>
      <w:r w:rsidR="0060692A">
        <w:t>5</w:t>
      </w:r>
      <w:r w:rsidR="00675F55">
        <w:noBreakHyphen/>
      </w:r>
      <w:r w:rsidR="001F4BD1">
        <w:t>f</w:t>
      </w:r>
      <w:r w:rsidRPr="00C2145E">
        <w:t xml:space="preserve">luorouracil, and </w:t>
      </w:r>
      <w:r w:rsidR="001F4BD1">
        <w:t>i</w:t>
      </w:r>
      <w:r w:rsidRPr="00C2145E">
        <w:t>rinotecan; G</w:t>
      </w:r>
      <w:r w:rsidR="00493B73">
        <w:t>/</w:t>
      </w:r>
      <w:r w:rsidRPr="00C2145E">
        <w:t>GOJ</w:t>
      </w:r>
      <w:r w:rsidR="00493B73">
        <w:t>A(</w:t>
      </w:r>
      <w:r w:rsidRPr="00C2145E">
        <w:t>C</w:t>
      </w:r>
      <w:r w:rsidR="00493B73">
        <w:t>)</w:t>
      </w:r>
      <w:r>
        <w:t xml:space="preserve"> =</w:t>
      </w:r>
      <w:r w:rsidRPr="00C2145E">
        <w:t xml:space="preserve"> </w:t>
      </w:r>
      <w:r w:rsidR="001F4BD1">
        <w:t>g</w:t>
      </w:r>
      <w:r w:rsidRPr="00C2145E">
        <w:t>astric</w:t>
      </w:r>
      <w:r w:rsidR="00493B73">
        <w:t>/</w:t>
      </w:r>
      <w:r w:rsidR="001F4BD1">
        <w:t>g</w:t>
      </w:r>
      <w:r w:rsidRPr="00C2145E">
        <w:t>astro</w:t>
      </w:r>
      <w:r w:rsidR="00675F55">
        <w:noBreakHyphen/>
      </w:r>
      <w:r w:rsidRPr="00C2145E">
        <w:t xml:space="preserve">oesophageal </w:t>
      </w:r>
      <w:r>
        <w:t>j</w:t>
      </w:r>
      <w:r w:rsidRPr="00C2145E">
        <w:t xml:space="preserve">unction </w:t>
      </w:r>
      <w:r w:rsidR="00493B73">
        <w:t>adenocarcinoma (carcinoma)</w:t>
      </w:r>
      <w:r w:rsidRPr="00C2145E">
        <w:t>;</w:t>
      </w:r>
      <w:r w:rsidRPr="00826E39">
        <w:t xml:space="preserve"> </w:t>
      </w:r>
      <w:r>
        <w:t xml:space="preserve">ICD = </w:t>
      </w:r>
      <w:r w:rsidR="00782F6E">
        <w:t>I</w:t>
      </w:r>
      <w:r>
        <w:t xml:space="preserve">nternational </w:t>
      </w:r>
      <w:r w:rsidR="002E4B23">
        <w:t>C</w:t>
      </w:r>
      <w:r>
        <w:t xml:space="preserve">lassification of </w:t>
      </w:r>
      <w:r w:rsidR="002E4B23">
        <w:t>D</w:t>
      </w:r>
      <w:r>
        <w:t>isease</w:t>
      </w:r>
      <w:r w:rsidR="002E4B23">
        <w:t>s</w:t>
      </w:r>
      <w:r>
        <w:t xml:space="preserve">; </w:t>
      </w:r>
      <w:r w:rsidR="00900328">
        <w:t xml:space="preserve">MBS = </w:t>
      </w:r>
      <w:r w:rsidRPr="005D7D04">
        <w:t>Medicare Benefits Schedule;</w:t>
      </w:r>
      <w:r>
        <w:t xml:space="preserve"> PBS = </w:t>
      </w:r>
      <w:r w:rsidR="002E4B23">
        <w:t>P</w:t>
      </w:r>
      <w:r>
        <w:t xml:space="preserve">harmaceutical </w:t>
      </w:r>
      <w:r w:rsidR="002E4B23">
        <w:t>B</w:t>
      </w:r>
      <w:r>
        <w:t xml:space="preserve">enefits </w:t>
      </w:r>
      <w:r w:rsidR="002E4B23">
        <w:t>S</w:t>
      </w:r>
      <w:r>
        <w:t xml:space="preserve">cheme; </w:t>
      </w:r>
      <w:r w:rsidRPr="00C2145E">
        <w:t>PSD</w:t>
      </w:r>
      <w:r>
        <w:t xml:space="preserve"> = p</w:t>
      </w:r>
      <w:r w:rsidRPr="00C2145E">
        <w:t xml:space="preserve">ublic </w:t>
      </w:r>
      <w:r>
        <w:t>s</w:t>
      </w:r>
      <w:r w:rsidRPr="00C2145E">
        <w:t xml:space="preserve">ummary </w:t>
      </w:r>
      <w:r>
        <w:t>d</w:t>
      </w:r>
      <w:r w:rsidRPr="00C2145E">
        <w:t>ocument</w:t>
      </w:r>
      <w:r>
        <w:t>;</w:t>
      </w:r>
      <w:r w:rsidRPr="00826E39">
        <w:t xml:space="preserve"> </w:t>
      </w:r>
      <w:r>
        <w:t>SPA = special pricing arrangement</w:t>
      </w:r>
      <w:r w:rsidR="005E0841">
        <w:t>; Yr = year</w:t>
      </w:r>
      <w:r w:rsidR="007B05B9">
        <w:t>.</w:t>
      </w:r>
    </w:p>
    <w:p w14:paraId="3FB74969" w14:textId="77777777" w:rsidR="004B52ED" w:rsidRDefault="00A77707" w:rsidP="00C1302F">
      <w:pPr>
        <w:pStyle w:val="TableFigureFooter"/>
      </w:pPr>
      <w:r>
        <w:rPr>
          <w:vertAlign w:val="superscript"/>
        </w:rPr>
        <w:t xml:space="preserve">a </w:t>
      </w:r>
      <w:proofErr w:type="spellStart"/>
      <w:r w:rsidR="00AB600A" w:rsidRPr="00974617">
        <w:t>A</w:t>
      </w:r>
      <w:proofErr w:type="spellEnd"/>
      <w:r w:rsidR="00AB600A" w:rsidRPr="00974617">
        <w:t xml:space="preserve"> t</w:t>
      </w:r>
      <w:r w:rsidR="00CA580A" w:rsidRPr="00974617">
        <w:t xml:space="preserve">otal of 12.37 cycles of 360 mg Q3W </w:t>
      </w:r>
      <w:r w:rsidR="00E67792">
        <w:t>nivolumab was used in the economic modelling</w:t>
      </w:r>
      <w:r w:rsidR="00CA580A" w:rsidRPr="00974617">
        <w:t xml:space="preserve">. However, the dosing schedule and cycle </w:t>
      </w:r>
      <w:r w:rsidR="009F4B21" w:rsidRPr="00974617">
        <w:t xml:space="preserve">number was adjusted to 18.55 cycles of 240 mg Q2W </w:t>
      </w:r>
      <w:r w:rsidR="00FD71E9">
        <w:t>nivolumab in the financial model</w:t>
      </w:r>
      <w:r w:rsidR="009F4B21" w:rsidRPr="00974617">
        <w:t xml:space="preserve"> to align with the frequency of dosing with FOLFIRI in this </w:t>
      </w:r>
      <w:r w:rsidR="00974617" w:rsidRPr="00974617">
        <w:t>setting.</w:t>
      </w:r>
    </w:p>
    <w:p w14:paraId="291E47D8" w14:textId="7B5310A7" w:rsidR="004B52ED" w:rsidRPr="004B52ED" w:rsidRDefault="004B52ED" w:rsidP="004B52ED">
      <w:pPr>
        <w:rPr>
          <w:rFonts w:ascii="Arial Narrow" w:hAnsi="Arial Narrow"/>
          <w:i/>
          <w:sz w:val="18"/>
          <w:szCs w:val="18"/>
        </w:rPr>
      </w:pPr>
      <w:r w:rsidRPr="004B52ED">
        <w:rPr>
          <w:rFonts w:ascii="Arial Narrow" w:hAnsi="Arial Narrow"/>
          <w:i/>
          <w:sz w:val="18"/>
          <w:szCs w:val="18"/>
        </w:rPr>
        <w:t xml:space="preserve">The redacted values correspond to the following ranges: </w:t>
      </w:r>
    </w:p>
    <w:p w14:paraId="4750D883" w14:textId="7CCE7910" w:rsidR="00B972CD" w:rsidRPr="00974617" w:rsidRDefault="004B52ED" w:rsidP="00977FDE">
      <w:pPr>
        <w:jc w:val="left"/>
      </w:pPr>
      <w:r w:rsidRPr="004B52ED">
        <w:rPr>
          <w:rFonts w:ascii="Arial Narrow" w:hAnsi="Arial Narrow"/>
          <w:i/>
          <w:sz w:val="18"/>
          <w:szCs w:val="18"/>
          <w:vertAlign w:val="superscript"/>
        </w:rPr>
        <w:t>1</w:t>
      </w:r>
      <w:r w:rsidRPr="004B52ED">
        <w:rPr>
          <w:rFonts w:ascii="Arial Narrow" w:hAnsi="Arial Narrow"/>
          <w:i/>
          <w:sz w:val="18"/>
          <w:szCs w:val="18"/>
        </w:rPr>
        <w:t xml:space="preserve"> </w:t>
      </w:r>
      <w:r w:rsidR="000F3E64" w:rsidRPr="000F3E64">
        <w:rPr>
          <w:rFonts w:ascii="Arial Narrow" w:hAnsi="Arial Narrow"/>
          <w:i/>
          <w:sz w:val="18"/>
          <w:szCs w:val="18"/>
        </w:rPr>
        <w:t>&lt; 500</w:t>
      </w:r>
    </w:p>
    <w:p w14:paraId="0505EB29" w14:textId="058185AE" w:rsidR="00B972CD" w:rsidRPr="00132932" w:rsidRDefault="00A50BB8" w:rsidP="00526AF7">
      <w:pPr>
        <w:pStyle w:val="3-BodyText"/>
        <w:spacing w:before="160" w:after="160"/>
      </w:pPr>
      <w:r w:rsidRPr="00132932">
        <w:t xml:space="preserve">The estimated use and financial implications to the PBS/RPBS presented in the submission are provided in </w:t>
      </w:r>
      <w:r w:rsidR="002F0501" w:rsidRPr="00B972CD">
        <w:fldChar w:fldCharType="begin"/>
      </w:r>
      <w:r w:rsidR="002F0501" w:rsidRPr="00B972CD">
        <w:instrText xml:space="preserve"> REF _Ref216846769 \h </w:instrText>
      </w:r>
      <w:r w:rsidR="002F0501" w:rsidRPr="00B972CD">
        <w:fldChar w:fldCharType="separate"/>
      </w:r>
      <w:r w:rsidR="00E71342" w:rsidRPr="00B972CD">
        <w:t xml:space="preserve">Table </w:t>
      </w:r>
      <w:r w:rsidR="00E71342">
        <w:rPr>
          <w:noProof/>
        </w:rPr>
        <w:t>15</w:t>
      </w:r>
      <w:r w:rsidR="002F0501" w:rsidRPr="00B972CD">
        <w:fldChar w:fldCharType="end"/>
      </w:r>
      <w:r w:rsidRPr="00132932">
        <w:t>.</w:t>
      </w:r>
    </w:p>
    <w:p w14:paraId="2BD4A12A" w14:textId="360A9213" w:rsidR="00A50BB8" w:rsidRPr="00B972CD" w:rsidRDefault="00A50BB8" w:rsidP="002F0501">
      <w:pPr>
        <w:pStyle w:val="Caption"/>
      </w:pPr>
      <w:bookmarkStart w:id="58" w:name="_Ref216846769"/>
      <w:r w:rsidRPr="00B972CD">
        <w:lastRenderedPageBreak/>
        <w:t>Table</w:t>
      </w:r>
      <w:r w:rsidR="002F0501" w:rsidRPr="00B972CD">
        <w:t xml:space="preserve"> </w:t>
      </w:r>
      <w:fldSimple w:instr=" SEQ Table_ \* ARABIC ">
        <w:r w:rsidR="00E71342">
          <w:rPr>
            <w:noProof/>
          </w:rPr>
          <w:t>15</w:t>
        </w:r>
      </w:fldSimple>
      <w:bookmarkEnd w:id="58"/>
      <w:r w:rsidR="004C7C0C">
        <w:t>:</w:t>
      </w:r>
      <w:r w:rsidRPr="00B972CD">
        <w:t xml:space="preserve"> </w:t>
      </w:r>
      <w:r w:rsidRPr="00B972CD">
        <w:rPr>
          <w:rStyle w:val="CommentReference"/>
          <w:b/>
          <w:szCs w:val="24"/>
        </w:rPr>
        <w:t>Estimated use and financial implications (</w:t>
      </w:r>
      <w:r w:rsidRPr="00B972CD">
        <w:rPr>
          <w:rStyle w:val="CommentReference"/>
          <w:b/>
          <w:szCs w:val="18"/>
        </w:rPr>
        <w:t>based on proposed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based on proposed effective price)"/>
      </w:tblPr>
      <w:tblGrid>
        <w:gridCol w:w="2405"/>
        <w:gridCol w:w="1102"/>
        <w:gridCol w:w="1102"/>
        <w:gridCol w:w="1102"/>
        <w:gridCol w:w="1102"/>
        <w:gridCol w:w="1102"/>
        <w:gridCol w:w="1102"/>
      </w:tblGrid>
      <w:tr w:rsidR="00A50BB8" w:rsidRPr="00B972CD" w14:paraId="068021BA" w14:textId="77777777">
        <w:trPr>
          <w:tblHeader/>
        </w:trPr>
        <w:tc>
          <w:tcPr>
            <w:tcW w:w="1334" w:type="pct"/>
            <w:vAlign w:val="center"/>
          </w:tcPr>
          <w:p w14:paraId="1737876D" w14:textId="77777777" w:rsidR="00A50BB8" w:rsidRPr="00B972CD" w:rsidRDefault="00A50BB8" w:rsidP="00490837">
            <w:pPr>
              <w:pStyle w:val="In-tableHeading"/>
              <w:keepLines w:val="0"/>
              <w:jc w:val="center"/>
              <w:rPr>
                <w:lang w:val="en-AU"/>
              </w:rPr>
            </w:pPr>
          </w:p>
        </w:tc>
        <w:tc>
          <w:tcPr>
            <w:tcW w:w="611" w:type="pct"/>
            <w:vAlign w:val="center"/>
          </w:tcPr>
          <w:p w14:paraId="485318CB" w14:textId="77777777" w:rsidR="00A50BB8" w:rsidRPr="00B972CD" w:rsidRDefault="00A50BB8" w:rsidP="00490837">
            <w:pPr>
              <w:pStyle w:val="In-tableHeading"/>
              <w:keepLines w:val="0"/>
              <w:jc w:val="center"/>
              <w:rPr>
                <w:lang w:val="en-AU"/>
              </w:rPr>
            </w:pPr>
            <w:r w:rsidRPr="00B972CD">
              <w:rPr>
                <w:lang w:val="en-AU"/>
              </w:rPr>
              <w:t>Year 1</w:t>
            </w:r>
          </w:p>
        </w:tc>
        <w:tc>
          <w:tcPr>
            <w:tcW w:w="611" w:type="pct"/>
            <w:vAlign w:val="center"/>
          </w:tcPr>
          <w:p w14:paraId="36EB066D" w14:textId="77777777" w:rsidR="00A50BB8" w:rsidRPr="00B972CD" w:rsidRDefault="00A50BB8" w:rsidP="00490837">
            <w:pPr>
              <w:pStyle w:val="In-tableHeading"/>
              <w:keepLines w:val="0"/>
              <w:jc w:val="center"/>
              <w:rPr>
                <w:lang w:val="en-AU"/>
              </w:rPr>
            </w:pPr>
            <w:r w:rsidRPr="00B972CD">
              <w:rPr>
                <w:lang w:val="en-AU"/>
              </w:rPr>
              <w:t>Year 2</w:t>
            </w:r>
          </w:p>
        </w:tc>
        <w:tc>
          <w:tcPr>
            <w:tcW w:w="611" w:type="pct"/>
            <w:vAlign w:val="center"/>
          </w:tcPr>
          <w:p w14:paraId="716265E7" w14:textId="77777777" w:rsidR="00A50BB8" w:rsidRPr="00B972CD" w:rsidRDefault="00A50BB8" w:rsidP="00490837">
            <w:pPr>
              <w:pStyle w:val="In-tableHeading"/>
              <w:keepLines w:val="0"/>
              <w:jc w:val="center"/>
              <w:rPr>
                <w:lang w:val="en-AU"/>
              </w:rPr>
            </w:pPr>
            <w:r w:rsidRPr="00B972CD">
              <w:rPr>
                <w:lang w:val="en-AU"/>
              </w:rPr>
              <w:t>Year 3</w:t>
            </w:r>
          </w:p>
        </w:tc>
        <w:tc>
          <w:tcPr>
            <w:tcW w:w="611" w:type="pct"/>
            <w:vAlign w:val="center"/>
          </w:tcPr>
          <w:p w14:paraId="66EC34BE" w14:textId="77777777" w:rsidR="00A50BB8" w:rsidRPr="00B972CD" w:rsidRDefault="00A50BB8" w:rsidP="00490837">
            <w:pPr>
              <w:pStyle w:val="In-tableHeading"/>
              <w:keepLines w:val="0"/>
              <w:jc w:val="center"/>
              <w:rPr>
                <w:lang w:val="en-AU"/>
              </w:rPr>
            </w:pPr>
            <w:r w:rsidRPr="00B972CD">
              <w:rPr>
                <w:lang w:val="en-AU"/>
              </w:rPr>
              <w:t>Year 4</w:t>
            </w:r>
          </w:p>
        </w:tc>
        <w:tc>
          <w:tcPr>
            <w:tcW w:w="611" w:type="pct"/>
            <w:vAlign w:val="center"/>
          </w:tcPr>
          <w:p w14:paraId="0EB05789" w14:textId="77777777" w:rsidR="00A50BB8" w:rsidRPr="00B972CD" w:rsidRDefault="00A50BB8" w:rsidP="00490837">
            <w:pPr>
              <w:pStyle w:val="In-tableHeading"/>
              <w:keepLines w:val="0"/>
              <w:jc w:val="center"/>
              <w:rPr>
                <w:lang w:val="en-AU"/>
              </w:rPr>
            </w:pPr>
            <w:r w:rsidRPr="00B972CD">
              <w:rPr>
                <w:lang w:val="en-AU"/>
              </w:rPr>
              <w:t>Year 5</w:t>
            </w:r>
          </w:p>
        </w:tc>
        <w:tc>
          <w:tcPr>
            <w:tcW w:w="611" w:type="pct"/>
          </w:tcPr>
          <w:p w14:paraId="1E1AD593" w14:textId="77777777" w:rsidR="00A50BB8" w:rsidRPr="00B972CD" w:rsidRDefault="00A50BB8" w:rsidP="00490837">
            <w:pPr>
              <w:pStyle w:val="In-tableHeading"/>
              <w:keepLines w:val="0"/>
              <w:jc w:val="center"/>
              <w:rPr>
                <w:lang w:val="en-AU"/>
              </w:rPr>
            </w:pPr>
            <w:r w:rsidRPr="00B972CD">
              <w:rPr>
                <w:lang w:val="en-AU"/>
              </w:rPr>
              <w:t>Year 6</w:t>
            </w:r>
          </w:p>
        </w:tc>
      </w:tr>
      <w:tr w:rsidR="00A50BB8" w:rsidRPr="0098262F" w14:paraId="5052D101" w14:textId="77777777">
        <w:tc>
          <w:tcPr>
            <w:tcW w:w="5000" w:type="pct"/>
            <w:gridSpan w:val="7"/>
            <w:vAlign w:val="center"/>
          </w:tcPr>
          <w:p w14:paraId="7C9A8E52" w14:textId="77777777" w:rsidR="00A50BB8" w:rsidRPr="0098262F" w:rsidRDefault="00A50BB8" w:rsidP="00490837">
            <w:pPr>
              <w:pStyle w:val="In-tableHeading"/>
              <w:keepLines w:val="0"/>
              <w:rPr>
                <w:bCs/>
                <w:color w:val="000000"/>
                <w:lang w:val="en-AU"/>
              </w:rPr>
            </w:pPr>
            <w:r w:rsidRPr="0098262F">
              <w:rPr>
                <w:bCs/>
                <w:color w:val="000000"/>
                <w:lang w:val="en-AU"/>
              </w:rPr>
              <w:t>Estimated extent of use</w:t>
            </w:r>
          </w:p>
        </w:tc>
      </w:tr>
      <w:tr w:rsidR="00A50BB8" w:rsidRPr="0098262F" w14:paraId="42F21886" w14:textId="77777777">
        <w:tc>
          <w:tcPr>
            <w:tcW w:w="1334" w:type="pct"/>
            <w:vAlign w:val="center"/>
          </w:tcPr>
          <w:p w14:paraId="1428FEE3" w14:textId="1A995338" w:rsidR="00A50BB8" w:rsidRPr="0098262F" w:rsidRDefault="00A50BB8" w:rsidP="00490837">
            <w:pPr>
              <w:pStyle w:val="TableText0"/>
              <w:keepLines w:val="0"/>
              <w:rPr>
                <w:rFonts w:ascii="Times" w:hAnsi="Times"/>
              </w:rPr>
            </w:pPr>
            <w:r w:rsidRPr="0098262F">
              <w:t xml:space="preserve">Number of </w:t>
            </w:r>
            <w:r w:rsidR="003C363B">
              <w:t xml:space="preserve">incident </w:t>
            </w:r>
            <w:r w:rsidRPr="0098262F">
              <w:t xml:space="preserve">patients </w:t>
            </w:r>
            <w:r w:rsidR="00CC60C8">
              <w:t>initiating durvalumab</w:t>
            </w:r>
          </w:p>
        </w:tc>
        <w:tc>
          <w:tcPr>
            <w:tcW w:w="611" w:type="pct"/>
            <w:vAlign w:val="center"/>
          </w:tcPr>
          <w:p w14:paraId="03C7170C" w14:textId="19F365D8" w:rsidR="00A50BB8" w:rsidRPr="00AD3991" w:rsidRDefault="00EB1862" w:rsidP="00490837">
            <w:pPr>
              <w:pStyle w:val="TableText0"/>
              <w:keepLines w:val="0"/>
              <w:jc w:val="center"/>
              <w:rPr>
                <w:color w:val="000000"/>
                <w:vertAlign w:val="superscript"/>
              </w:rPr>
            </w:pPr>
            <w:r w:rsidRPr="00EB1862">
              <w:rPr>
                <w:sz w:val="2"/>
                <w:szCs w:val="20"/>
                <w:highlight w:val="black"/>
              </w:rPr>
              <w:t>redacted content</w:t>
            </w:r>
            <w:r w:rsidR="00AD3991">
              <w:rPr>
                <w:szCs w:val="20"/>
                <w:vertAlign w:val="superscript"/>
              </w:rPr>
              <w:t>1</w:t>
            </w:r>
          </w:p>
        </w:tc>
        <w:tc>
          <w:tcPr>
            <w:tcW w:w="611" w:type="pct"/>
            <w:vAlign w:val="center"/>
          </w:tcPr>
          <w:p w14:paraId="07CBCCE7" w14:textId="1790B1CA" w:rsidR="00A50BB8" w:rsidRPr="00AD3991" w:rsidRDefault="00EB1862" w:rsidP="00490837">
            <w:pPr>
              <w:pStyle w:val="TableText0"/>
              <w:keepLines w:val="0"/>
              <w:jc w:val="center"/>
              <w:rPr>
                <w:color w:val="000000"/>
                <w:vertAlign w:val="superscript"/>
              </w:rPr>
            </w:pPr>
            <w:r w:rsidRPr="00EB1862">
              <w:rPr>
                <w:sz w:val="2"/>
                <w:szCs w:val="20"/>
                <w:highlight w:val="black"/>
              </w:rPr>
              <w:t>redacted content</w:t>
            </w:r>
            <w:r w:rsidR="00AD3991">
              <w:rPr>
                <w:szCs w:val="20"/>
                <w:vertAlign w:val="superscript"/>
              </w:rPr>
              <w:t>1</w:t>
            </w:r>
          </w:p>
        </w:tc>
        <w:tc>
          <w:tcPr>
            <w:tcW w:w="611" w:type="pct"/>
            <w:vAlign w:val="center"/>
          </w:tcPr>
          <w:p w14:paraId="30806D78" w14:textId="3BD0C6E1" w:rsidR="00A50BB8" w:rsidRPr="00AD3991" w:rsidRDefault="00EB1862" w:rsidP="00490837">
            <w:pPr>
              <w:pStyle w:val="TableText0"/>
              <w:keepLines w:val="0"/>
              <w:jc w:val="center"/>
              <w:rPr>
                <w:color w:val="000000"/>
                <w:vertAlign w:val="superscript"/>
              </w:rPr>
            </w:pPr>
            <w:r w:rsidRPr="00EB1862">
              <w:rPr>
                <w:sz w:val="2"/>
                <w:szCs w:val="20"/>
                <w:highlight w:val="black"/>
              </w:rPr>
              <w:t>redacted content</w:t>
            </w:r>
            <w:r w:rsidR="00AD3991">
              <w:rPr>
                <w:szCs w:val="20"/>
                <w:vertAlign w:val="superscript"/>
              </w:rPr>
              <w:t>1</w:t>
            </w:r>
          </w:p>
        </w:tc>
        <w:tc>
          <w:tcPr>
            <w:tcW w:w="611" w:type="pct"/>
            <w:vAlign w:val="center"/>
          </w:tcPr>
          <w:p w14:paraId="49F46D3C" w14:textId="38C9B5A3" w:rsidR="00A50BB8" w:rsidRPr="00AD3991" w:rsidRDefault="00EB1862" w:rsidP="00490837">
            <w:pPr>
              <w:pStyle w:val="TableText0"/>
              <w:keepLines w:val="0"/>
              <w:jc w:val="center"/>
              <w:rPr>
                <w:color w:val="000000"/>
                <w:vertAlign w:val="superscript"/>
              </w:rPr>
            </w:pPr>
            <w:r w:rsidRPr="00EB1862">
              <w:rPr>
                <w:sz w:val="2"/>
                <w:szCs w:val="20"/>
                <w:highlight w:val="black"/>
              </w:rPr>
              <w:t>redacted content</w:t>
            </w:r>
            <w:r w:rsidR="00AD3991">
              <w:rPr>
                <w:szCs w:val="20"/>
                <w:vertAlign w:val="superscript"/>
              </w:rPr>
              <w:t>1</w:t>
            </w:r>
          </w:p>
        </w:tc>
        <w:tc>
          <w:tcPr>
            <w:tcW w:w="611" w:type="pct"/>
            <w:vAlign w:val="center"/>
          </w:tcPr>
          <w:p w14:paraId="410F6C11" w14:textId="086C5D91" w:rsidR="00A50BB8" w:rsidRPr="00AD3991" w:rsidRDefault="00EB1862" w:rsidP="00490837">
            <w:pPr>
              <w:pStyle w:val="TableText0"/>
              <w:keepLines w:val="0"/>
              <w:jc w:val="center"/>
              <w:rPr>
                <w:color w:val="000000"/>
                <w:vertAlign w:val="superscript"/>
              </w:rPr>
            </w:pPr>
            <w:r w:rsidRPr="00EB1862">
              <w:rPr>
                <w:sz w:val="2"/>
                <w:szCs w:val="20"/>
                <w:highlight w:val="black"/>
              </w:rPr>
              <w:t>redacted content</w:t>
            </w:r>
            <w:r w:rsidR="00AD3991">
              <w:rPr>
                <w:szCs w:val="20"/>
                <w:vertAlign w:val="superscript"/>
              </w:rPr>
              <w:t>1</w:t>
            </w:r>
          </w:p>
        </w:tc>
        <w:tc>
          <w:tcPr>
            <w:tcW w:w="611" w:type="pct"/>
            <w:vAlign w:val="center"/>
          </w:tcPr>
          <w:p w14:paraId="07B196C8" w14:textId="16C8A0C3" w:rsidR="00A50BB8" w:rsidRPr="00AD3991" w:rsidRDefault="00EB1862" w:rsidP="00490837">
            <w:pPr>
              <w:pStyle w:val="TableText0"/>
              <w:keepLines w:val="0"/>
              <w:jc w:val="center"/>
              <w:rPr>
                <w:color w:val="000000"/>
                <w:vertAlign w:val="superscript"/>
              </w:rPr>
            </w:pPr>
            <w:r w:rsidRPr="00EB1862">
              <w:rPr>
                <w:sz w:val="2"/>
                <w:szCs w:val="20"/>
                <w:highlight w:val="black"/>
              </w:rPr>
              <w:t>redacted content</w:t>
            </w:r>
            <w:r w:rsidR="00AD3991">
              <w:rPr>
                <w:szCs w:val="20"/>
                <w:vertAlign w:val="superscript"/>
              </w:rPr>
              <w:t>1</w:t>
            </w:r>
          </w:p>
        </w:tc>
      </w:tr>
      <w:tr w:rsidR="003C363B" w:rsidRPr="0098262F" w14:paraId="13C2567A" w14:textId="77777777">
        <w:tc>
          <w:tcPr>
            <w:tcW w:w="1334" w:type="pct"/>
            <w:vAlign w:val="center"/>
          </w:tcPr>
          <w:p w14:paraId="718EC64B" w14:textId="454864C7" w:rsidR="003C363B" w:rsidRPr="0098262F" w:rsidRDefault="00CC60C8" w:rsidP="00490837">
            <w:pPr>
              <w:pStyle w:val="TableText0"/>
              <w:keepLines w:val="0"/>
            </w:pPr>
            <w:r>
              <w:t>Number of grandfathered patients</w:t>
            </w:r>
          </w:p>
        </w:tc>
        <w:tc>
          <w:tcPr>
            <w:tcW w:w="611" w:type="pct"/>
            <w:vAlign w:val="center"/>
          </w:tcPr>
          <w:p w14:paraId="0D5A1A85" w14:textId="141B2FF0" w:rsidR="003C363B" w:rsidRPr="00E37131" w:rsidRDefault="00EB1862" w:rsidP="00490837">
            <w:pPr>
              <w:pStyle w:val="TableText0"/>
              <w:keepLines w:val="0"/>
              <w:jc w:val="center"/>
              <w:rPr>
                <w:szCs w:val="20"/>
                <w:vertAlign w:val="superscript"/>
              </w:rPr>
            </w:pPr>
            <w:r w:rsidRPr="00EB1862">
              <w:rPr>
                <w:sz w:val="2"/>
                <w:szCs w:val="20"/>
                <w:highlight w:val="black"/>
              </w:rPr>
              <w:t>redacted content</w:t>
            </w:r>
            <w:r w:rsidR="00E37131">
              <w:rPr>
                <w:szCs w:val="20"/>
                <w:vertAlign w:val="superscript"/>
              </w:rPr>
              <w:t>2</w:t>
            </w:r>
          </w:p>
        </w:tc>
        <w:tc>
          <w:tcPr>
            <w:tcW w:w="611" w:type="pct"/>
            <w:vAlign w:val="center"/>
          </w:tcPr>
          <w:p w14:paraId="54B809C0" w14:textId="0759A62A" w:rsidR="003C363B" w:rsidRPr="0068147C" w:rsidRDefault="00CC60C8" w:rsidP="00490837">
            <w:pPr>
              <w:pStyle w:val="TableText0"/>
              <w:keepLines w:val="0"/>
              <w:jc w:val="center"/>
              <w:rPr>
                <w:szCs w:val="20"/>
              </w:rPr>
            </w:pPr>
            <w:r>
              <w:rPr>
                <w:szCs w:val="20"/>
              </w:rPr>
              <w:t>0</w:t>
            </w:r>
          </w:p>
        </w:tc>
        <w:tc>
          <w:tcPr>
            <w:tcW w:w="611" w:type="pct"/>
            <w:vAlign w:val="center"/>
          </w:tcPr>
          <w:p w14:paraId="335AF5C0" w14:textId="15485C3F" w:rsidR="003C363B" w:rsidRPr="0068147C" w:rsidRDefault="00CC60C8" w:rsidP="00490837">
            <w:pPr>
              <w:pStyle w:val="TableText0"/>
              <w:keepLines w:val="0"/>
              <w:jc w:val="center"/>
              <w:rPr>
                <w:szCs w:val="20"/>
              </w:rPr>
            </w:pPr>
            <w:r>
              <w:rPr>
                <w:szCs w:val="20"/>
              </w:rPr>
              <w:t>0</w:t>
            </w:r>
          </w:p>
        </w:tc>
        <w:tc>
          <w:tcPr>
            <w:tcW w:w="611" w:type="pct"/>
            <w:vAlign w:val="center"/>
          </w:tcPr>
          <w:p w14:paraId="439288E9" w14:textId="14079F34" w:rsidR="003C363B" w:rsidRPr="0068147C" w:rsidRDefault="00CC60C8" w:rsidP="00490837">
            <w:pPr>
              <w:pStyle w:val="TableText0"/>
              <w:keepLines w:val="0"/>
              <w:jc w:val="center"/>
              <w:rPr>
                <w:szCs w:val="20"/>
              </w:rPr>
            </w:pPr>
            <w:r>
              <w:rPr>
                <w:szCs w:val="20"/>
              </w:rPr>
              <w:t>0</w:t>
            </w:r>
          </w:p>
        </w:tc>
        <w:tc>
          <w:tcPr>
            <w:tcW w:w="611" w:type="pct"/>
            <w:vAlign w:val="center"/>
          </w:tcPr>
          <w:p w14:paraId="679B3B64" w14:textId="037337DB" w:rsidR="003C363B" w:rsidRPr="0068147C" w:rsidRDefault="00CC60C8" w:rsidP="00490837">
            <w:pPr>
              <w:pStyle w:val="TableText0"/>
              <w:keepLines w:val="0"/>
              <w:jc w:val="center"/>
              <w:rPr>
                <w:szCs w:val="20"/>
              </w:rPr>
            </w:pPr>
            <w:r>
              <w:rPr>
                <w:szCs w:val="20"/>
              </w:rPr>
              <w:t>0</w:t>
            </w:r>
          </w:p>
        </w:tc>
        <w:tc>
          <w:tcPr>
            <w:tcW w:w="611" w:type="pct"/>
            <w:vAlign w:val="center"/>
          </w:tcPr>
          <w:p w14:paraId="494268FC" w14:textId="7632753E" w:rsidR="003C363B" w:rsidRPr="0068147C" w:rsidRDefault="00CC60C8" w:rsidP="00490837">
            <w:pPr>
              <w:pStyle w:val="TableText0"/>
              <w:keepLines w:val="0"/>
              <w:jc w:val="center"/>
              <w:rPr>
                <w:szCs w:val="20"/>
              </w:rPr>
            </w:pPr>
            <w:r>
              <w:rPr>
                <w:szCs w:val="20"/>
              </w:rPr>
              <w:t>0</w:t>
            </w:r>
          </w:p>
        </w:tc>
      </w:tr>
      <w:tr w:rsidR="00A50BB8" w:rsidRPr="0098262F" w14:paraId="4274C122" w14:textId="77777777">
        <w:tc>
          <w:tcPr>
            <w:tcW w:w="1334" w:type="pct"/>
            <w:vAlign w:val="center"/>
          </w:tcPr>
          <w:p w14:paraId="5CA3AA6A" w14:textId="77777777" w:rsidR="00A50BB8" w:rsidRPr="0098262F" w:rsidRDefault="00A50BB8" w:rsidP="00490837">
            <w:pPr>
              <w:pStyle w:val="TableText0"/>
              <w:keepLines w:val="0"/>
              <w:rPr>
                <w:rFonts w:ascii="Times" w:hAnsi="Times"/>
              </w:rPr>
            </w:pPr>
            <w:r w:rsidRPr="0098262F">
              <w:t>Number of scripts dispensed</w:t>
            </w:r>
          </w:p>
        </w:tc>
        <w:tc>
          <w:tcPr>
            <w:tcW w:w="611" w:type="pct"/>
          </w:tcPr>
          <w:p w14:paraId="0DCD8744" w14:textId="213A9302" w:rsidR="00A50BB8" w:rsidRPr="00857B0C" w:rsidRDefault="00EB1862" w:rsidP="00490837">
            <w:pPr>
              <w:pStyle w:val="TableText0"/>
              <w:keepLines w:val="0"/>
              <w:jc w:val="center"/>
              <w:rPr>
                <w:color w:val="000000"/>
                <w:vertAlign w:val="superscript"/>
              </w:rPr>
            </w:pPr>
            <w:r w:rsidRPr="00EB1862">
              <w:rPr>
                <w:sz w:val="2"/>
                <w:szCs w:val="20"/>
                <w:highlight w:val="black"/>
              </w:rPr>
              <w:t>redacted content</w:t>
            </w:r>
            <w:r w:rsidR="00857B0C">
              <w:rPr>
                <w:szCs w:val="20"/>
                <w:vertAlign w:val="superscript"/>
              </w:rPr>
              <w:t>3</w:t>
            </w:r>
          </w:p>
        </w:tc>
        <w:tc>
          <w:tcPr>
            <w:tcW w:w="611" w:type="pct"/>
          </w:tcPr>
          <w:p w14:paraId="20CAFE9E" w14:textId="63F81205" w:rsidR="00A50BB8" w:rsidRPr="00857B0C" w:rsidRDefault="00EB1862" w:rsidP="00490837">
            <w:pPr>
              <w:pStyle w:val="TableText0"/>
              <w:keepLines w:val="0"/>
              <w:jc w:val="center"/>
              <w:rPr>
                <w:color w:val="000000"/>
                <w:vertAlign w:val="superscript"/>
              </w:rPr>
            </w:pPr>
            <w:r w:rsidRPr="00EB1862">
              <w:rPr>
                <w:sz w:val="2"/>
                <w:szCs w:val="20"/>
                <w:highlight w:val="black"/>
              </w:rPr>
              <w:t>redacted content</w:t>
            </w:r>
            <w:r w:rsidR="00857B0C">
              <w:rPr>
                <w:szCs w:val="20"/>
                <w:vertAlign w:val="superscript"/>
              </w:rPr>
              <w:t>3</w:t>
            </w:r>
          </w:p>
        </w:tc>
        <w:tc>
          <w:tcPr>
            <w:tcW w:w="611" w:type="pct"/>
          </w:tcPr>
          <w:p w14:paraId="2696AEBE" w14:textId="07D39391" w:rsidR="00A50BB8" w:rsidRPr="00857B0C" w:rsidRDefault="00EB1862" w:rsidP="00490837">
            <w:pPr>
              <w:pStyle w:val="TableText0"/>
              <w:keepLines w:val="0"/>
              <w:jc w:val="center"/>
              <w:rPr>
                <w:color w:val="000000"/>
                <w:vertAlign w:val="superscript"/>
              </w:rPr>
            </w:pPr>
            <w:r w:rsidRPr="00EB1862">
              <w:rPr>
                <w:sz w:val="2"/>
                <w:szCs w:val="20"/>
                <w:highlight w:val="black"/>
              </w:rPr>
              <w:t>redacted content</w:t>
            </w:r>
            <w:r w:rsidR="00857B0C">
              <w:rPr>
                <w:szCs w:val="20"/>
                <w:vertAlign w:val="superscript"/>
              </w:rPr>
              <w:t>3</w:t>
            </w:r>
          </w:p>
        </w:tc>
        <w:tc>
          <w:tcPr>
            <w:tcW w:w="611" w:type="pct"/>
          </w:tcPr>
          <w:p w14:paraId="7DBA8377" w14:textId="166BE36A" w:rsidR="00A50BB8" w:rsidRPr="00857B0C" w:rsidRDefault="00EB1862" w:rsidP="00490837">
            <w:pPr>
              <w:pStyle w:val="TableText0"/>
              <w:keepLines w:val="0"/>
              <w:jc w:val="center"/>
              <w:rPr>
                <w:color w:val="000000"/>
                <w:vertAlign w:val="superscript"/>
              </w:rPr>
            </w:pPr>
            <w:r w:rsidRPr="00EB1862">
              <w:rPr>
                <w:sz w:val="2"/>
                <w:szCs w:val="20"/>
                <w:highlight w:val="black"/>
              </w:rPr>
              <w:t>redacted content</w:t>
            </w:r>
            <w:r w:rsidR="00857B0C">
              <w:rPr>
                <w:szCs w:val="20"/>
                <w:vertAlign w:val="superscript"/>
              </w:rPr>
              <w:t>3</w:t>
            </w:r>
          </w:p>
        </w:tc>
        <w:tc>
          <w:tcPr>
            <w:tcW w:w="611" w:type="pct"/>
          </w:tcPr>
          <w:p w14:paraId="77526144" w14:textId="534956D6" w:rsidR="00A50BB8" w:rsidRPr="00857B0C" w:rsidRDefault="00EB1862" w:rsidP="00490837">
            <w:pPr>
              <w:pStyle w:val="TableText0"/>
              <w:keepLines w:val="0"/>
              <w:jc w:val="center"/>
              <w:rPr>
                <w:color w:val="000000"/>
                <w:vertAlign w:val="superscript"/>
              </w:rPr>
            </w:pPr>
            <w:r w:rsidRPr="00EB1862">
              <w:rPr>
                <w:sz w:val="2"/>
                <w:szCs w:val="20"/>
                <w:highlight w:val="black"/>
              </w:rPr>
              <w:t>redacted content</w:t>
            </w:r>
            <w:r w:rsidR="00857B0C">
              <w:rPr>
                <w:szCs w:val="20"/>
                <w:vertAlign w:val="superscript"/>
              </w:rPr>
              <w:t>3</w:t>
            </w:r>
          </w:p>
        </w:tc>
        <w:tc>
          <w:tcPr>
            <w:tcW w:w="611" w:type="pct"/>
          </w:tcPr>
          <w:p w14:paraId="2E6A636B" w14:textId="58D645E3" w:rsidR="00A50BB8" w:rsidRPr="00857B0C" w:rsidRDefault="00EB1862" w:rsidP="00490837">
            <w:pPr>
              <w:pStyle w:val="TableText0"/>
              <w:keepLines w:val="0"/>
              <w:jc w:val="center"/>
              <w:rPr>
                <w:color w:val="000000"/>
                <w:vertAlign w:val="superscript"/>
              </w:rPr>
            </w:pPr>
            <w:r w:rsidRPr="00EB1862">
              <w:rPr>
                <w:sz w:val="2"/>
                <w:szCs w:val="20"/>
                <w:highlight w:val="black"/>
              </w:rPr>
              <w:t>redacted content</w:t>
            </w:r>
            <w:r w:rsidR="00857B0C">
              <w:rPr>
                <w:szCs w:val="20"/>
                <w:vertAlign w:val="superscript"/>
              </w:rPr>
              <w:t>3</w:t>
            </w:r>
          </w:p>
        </w:tc>
      </w:tr>
      <w:tr w:rsidR="00A50BB8" w:rsidRPr="0098262F" w14:paraId="7AE12EA2" w14:textId="77777777">
        <w:tc>
          <w:tcPr>
            <w:tcW w:w="5000" w:type="pct"/>
            <w:gridSpan w:val="7"/>
            <w:vAlign w:val="center"/>
          </w:tcPr>
          <w:p w14:paraId="14221736" w14:textId="77777777" w:rsidR="00A50BB8" w:rsidRPr="0098262F" w:rsidRDefault="00A50BB8" w:rsidP="00490837">
            <w:pPr>
              <w:pStyle w:val="In-tableHeading"/>
              <w:keepLines w:val="0"/>
              <w:rPr>
                <w:lang w:val="en-AU"/>
              </w:rPr>
            </w:pPr>
            <w:r w:rsidRPr="0098262F">
              <w:rPr>
                <w:lang w:val="en-AU"/>
              </w:rPr>
              <w:t xml:space="preserve">Estimated financial implications of </w:t>
            </w:r>
            <w:r>
              <w:rPr>
                <w:lang w:val="en-AU"/>
              </w:rPr>
              <w:t>durvalumab</w:t>
            </w:r>
          </w:p>
        </w:tc>
      </w:tr>
      <w:tr w:rsidR="00A50BB8" w:rsidRPr="0098262F" w14:paraId="2D7E4E79" w14:textId="77777777">
        <w:tc>
          <w:tcPr>
            <w:tcW w:w="1334" w:type="pct"/>
            <w:vAlign w:val="center"/>
          </w:tcPr>
          <w:p w14:paraId="2BC6E9A6" w14:textId="77777777" w:rsidR="00A50BB8" w:rsidRPr="00904F2B" w:rsidRDefault="00A50BB8" w:rsidP="00490837">
            <w:pPr>
              <w:pStyle w:val="TableText0"/>
              <w:keepLines w:val="0"/>
              <w:rPr>
                <w:b/>
                <w:bCs w:val="0"/>
                <w:sz w:val="19"/>
                <w:szCs w:val="19"/>
              </w:rPr>
            </w:pPr>
            <w:r w:rsidRPr="00904F2B">
              <w:rPr>
                <w:b/>
                <w:bCs w:val="0"/>
                <w:sz w:val="19"/>
                <w:szCs w:val="19"/>
              </w:rPr>
              <w:t>Cost to PBS/RPBS less copayments</w:t>
            </w:r>
          </w:p>
        </w:tc>
        <w:tc>
          <w:tcPr>
            <w:tcW w:w="611" w:type="pct"/>
            <w:vAlign w:val="center"/>
          </w:tcPr>
          <w:p w14:paraId="08FE5542" w14:textId="5BB65B37" w:rsidR="00A50BB8" w:rsidRPr="00665FA8"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65FA8">
              <w:rPr>
                <w:b/>
                <w:bCs w:val="0"/>
                <w:szCs w:val="20"/>
                <w:vertAlign w:val="superscript"/>
              </w:rPr>
              <w:t>4</w:t>
            </w:r>
          </w:p>
        </w:tc>
        <w:tc>
          <w:tcPr>
            <w:tcW w:w="611" w:type="pct"/>
            <w:vAlign w:val="center"/>
          </w:tcPr>
          <w:p w14:paraId="20197130" w14:textId="1C70CE65" w:rsidR="00A50BB8" w:rsidRPr="00665FA8"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65FA8">
              <w:rPr>
                <w:b/>
                <w:bCs w:val="0"/>
                <w:szCs w:val="20"/>
                <w:vertAlign w:val="superscript"/>
              </w:rPr>
              <w:t>4</w:t>
            </w:r>
          </w:p>
        </w:tc>
        <w:tc>
          <w:tcPr>
            <w:tcW w:w="611" w:type="pct"/>
            <w:vAlign w:val="center"/>
          </w:tcPr>
          <w:p w14:paraId="0B17F85C" w14:textId="64D53CB4" w:rsidR="00A50BB8" w:rsidRPr="00665FA8"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65FA8">
              <w:rPr>
                <w:b/>
                <w:bCs w:val="0"/>
                <w:szCs w:val="20"/>
                <w:vertAlign w:val="superscript"/>
              </w:rPr>
              <w:t>4</w:t>
            </w:r>
          </w:p>
        </w:tc>
        <w:tc>
          <w:tcPr>
            <w:tcW w:w="611" w:type="pct"/>
            <w:vAlign w:val="center"/>
          </w:tcPr>
          <w:p w14:paraId="319FA48F" w14:textId="436B747F" w:rsidR="00A50BB8" w:rsidRPr="00665FA8"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65FA8">
              <w:rPr>
                <w:b/>
                <w:bCs w:val="0"/>
                <w:szCs w:val="20"/>
                <w:vertAlign w:val="superscript"/>
              </w:rPr>
              <w:t>4</w:t>
            </w:r>
          </w:p>
        </w:tc>
        <w:tc>
          <w:tcPr>
            <w:tcW w:w="611" w:type="pct"/>
            <w:vAlign w:val="center"/>
          </w:tcPr>
          <w:p w14:paraId="5478D232" w14:textId="000426F2" w:rsidR="00A50BB8" w:rsidRPr="00587DC5"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587DC5">
              <w:rPr>
                <w:b/>
                <w:bCs w:val="0"/>
                <w:szCs w:val="20"/>
                <w:vertAlign w:val="superscript"/>
              </w:rPr>
              <w:t>5</w:t>
            </w:r>
          </w:p>
        </w:tc>
        <w:tc>
          <w:tcPr>
            <w:tcW w:w="611" w:type="pct"/>
            <w:vAlign w:val="center"/>
          </w:tcPr>
          <w:p w14:paraId="3A24B69C" w14:textId="2ECB1466" w:rsidR="00A50BB8" w:rsidRPr="00587DC5"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587DC5">
              <w:rPr>
                <w:b/>
                <w:bCs w:val="0"/>
                <w:szCs w:val="20"/>
                <w:vertAlign w:val="superscript"/>
              </w:rPr>
              <w:t>5</w:t>
            </w:r>
          </w:p>
        </w:tc>
      </w:tr>
      <w:tr w:rsidR="00A50BB8" w:rsidRPr="0098262F" w14:paraId="35425562" w14:textId="77777777">
        <w:tc>
          <w:tcPr>
            <w:tcW w:w="5000" w:type="pct"/>
            <w:gridSpan w:val="7"/>
            <w:vAlign w:val="center"/>
          </w:tcPr>
          <w:p w14:paraId="61953C97" w14:textId="77777777" w:rsidR="00A50BB8" w:rsidRPr="00904F2B" w:rsidRDefault="00A50BB8" w:rsidP="00490837">
            <w:pPr>
              <w:pStyle w:val="TableText0"/>
              <w:keepLines w:val="0"/>
              <w:rPr>
                <w:b/>
                <w:bCs w:val="0"/>
              </w:rPr>
            </w:pPr>
            <w:r w:rsidRPr="00904F2B">
              <w:rPr>
                <w:b/>
                <w:bCs w:val="0"/>
              </w:rPr>
              <w:t>Estimated financial implications for nivolumab</w:t>
            </w:r>
          </w:p>
        </w:tc>
      </w:tr>
      <w:tr w:rsidR="00A50BB8" w:rsidRPr="0098262F" w14:paraId="21615ABF" w14:textId="77777777">
        <w:tc>
          <w:tcPr>
            <w:tcW w:w="1334" w:type="pct"/>
            <w:vAlign w:val="center"/>
          </w:tcPr>
          <w:p w14:paraId="4CD252FD" w14:textId="6782D7D2" w:rsidR="00A50BB8" w:rsidRPr="0098262F" w:rsidRDefault="00A50BB8" w:rsidP="00490837">
            <w:pPr>
              <w:pStyle w:val="TableText0"/>
              <w:keepLines w:val="0"/>
              <w:rPr>
                <w:sz w:val="19"/>
                <w:szCs w:val="19"/>
              </w:rPr>
            </w:pPr>
            <w:r w:rsidRPr="0098262F">
              <w:rPr>
                <w:sz w:val="19"/>
                <w:szCs w:val="19"/>
              </w:rPr>
              <w:t>Cost to PBS/RPBS less copayments</w:t>
            </w:r>
            <w:r w:rsidR="0052776C" w:rsidRPr="0052776C">
              <w:rPr>
                <w:sz w:val="19"/>
                <w:szCs w:val="19"/>
                <w:vertAlign w:val="superscript"/>
              </w:rPr>
              <w:t xml:space="preserve">a </w:t>
            </w:r>
          </w:p>
        </w:tc>
        <w:tc>
          <w:tcPr>
            <w:tcW w:w="611" w:type="pct"/>
            <w:vAlign w:val="center"/>
          </w:tcPr>
          <w:p w14:paraId="3BC68B34" w14:textId="3606AF41" w:rsidR="00A50BB8" w:rsidRPr="00A72507" w:rsidRDefault="00A50BB8" w:rsidP="00A72507">
            <w:pPr>
              <w:pStyle w:val="TableText0"/>
              <w:keepLines w:val="0"/>
              <w:jc w:val="center"/>
              <w:rPr>
                <w:szCs w:val="20"/>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4AD714D2" w14:textId="3985866C" w:rsidR="00A50BB8" w:rsidRPr="00A72507" w:rsidRDefault="00A50BB8" w:rsidP="00A72507">
            <w:pPr>
              <w:pStyle w:val="TableText0"/>
              <w:keepLines w:val="0"/>
              <w:jc w:val="center"/>
              <w:rPr>
                <w:szCs w:val="20"/>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38468858" w14:textId="7CE3F7FE" w:rsidR="00A50BB8" w:rsidRPr="00F76B29" w:rsidRDefault="00A50BB8" w:rsidP="00490837">
            <w:pPr>
              <w:pStyle w:val="TableText0"/>
              <w:keepLines w:val="0"/>
              <w:jc w:val="center"/>
              <w:rPr>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04E95976" w14:textId="34B78C6A" w:rsidR="00A50BB8" w:rsidRPr="00F76B29" w:rsidRDefault="00A50BB8" w:rsidP="00490837">
            <w:pPr>
              <w:pStyle w:val="TableText0"/>
              <w:keepLines w:val="0"/>
              <w:jc w:val="center"/>
              <w:rPr>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0719ADE8" w14:textId="0F39AA8E" w:rsidR="00A50BB8" w:rsidRPr="00F76B29" w:rsidRDefault="00A50BB8" w:rsidP="00490837">
            <w:pPr>
              <w:pStyle w:val="TableText0"/>
              <w:keepLines w:val="0"/>
              <w:jc w:val="center"/>
              <w:rPr>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7F314CEF" w14:textId="6057B621" w:rsidR="00A50BB8" w:rsidRPr="00F76B29" w:rsidRDefault="00A50BB8" w:rsidP="00490837">
            <w:pPr>
              <w:pStyle w:val="TableText0"/>
              <w:keepLines w:val="0"/>
              <w:jc w:val="center"/>
              <w:rPr>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r>
      <w:tr w:rsidR="001D6D4F" w:rsidRPr="0098262F" w14:paraId="58F044EB" w14:textId="77777777">
        <w:tc>
          <w:tcPr>
            <w:tcW w:w="5000" w:type="pct"/>
            <w:gridSpan w:val="7"/>
            <w:vAlign w:val="center"/>
          </w:tcPr>
          <w:p w14:paraId="2EE316D9" w14:textId="77777777" w:rsidR="00A50BB8" w:rsidRPr="00904F2B" w:rsidRDefault="00A50BB8" w:rsidP="00490837">
            <w:pPr>
              <w:pStyle w:val="TableText0"/>
              <w:keepLines w:val="0"/>
              <w:rPr>
                <w:b/>
                <w:bCs w:val="0"/>
                <w:szCs w:val="20"/>
              </w:rPr>
            </w:pPr>
            <w:r w:rsidRPr="00904F2B">
              <w:rPr>
                <w:b/>
                <w:bCs w:val="0"/>
              </w:rPr>
              <w:t>Estimated financial implications for FOLFIRI</w:t>
            </w:r>
          </w:p>
        </w:tc>
      </w:tr>
      <w:tr w:rsidR="00A50BB8" w:rsidRPr="0098262F" w14:paraId="0C299EC3" w14:textId="77777777">
        <w:tc>
          <w:tcPr>
            <w:tcW w:w="1334" w:type="pct"/>
            <w:vAlign w:val="center"/>
          </w:tcPr>
          <w:p w14:paraId="1490CD28" w14:textId="77777777" w:rsidR="00A50BB8" w:rsidRPr="0098262F" w:rsidRDefault="00A50BB8" w:rsidP="00490837">
            <w:pPr>
              <w:pStyle w:val="TableText0"/>
              <w:keepLines w:val="0"/>
              <w:rPr>
                <w:sz w:val="19"/>
                <w:szCs w:val="19"/>
              </w:rPr>
            </w:pPr>
            <w:r w:rsidRPr="0098262F">
              <w:rPr>
                <w:sz w:val="19"/>
                <w:szCs w:val="19"/>
              </w:rPr>
              <w:t>Cost to PBS/RPBS less copayments</w:t>
            </w:r>
          </w:p>
        </w:tc>
        <w:tc>
          <w:tcPr>
            <w:tcW w:w="611" w:type="pct"/>
            <w:vAlign w:val="center"/>
          </w:tcPr>
          <w:p w14:paraId="121B2C95" w14:textId="463EDD5C" w:rsidR="00A50BB8" w:rsidRPr="00F76B29" w:rsidRDefault="00A50BB8" w:rsidP="00490837">
            <w:pPr>
              <w:pStyle w:val="TableText0"/>
              <w:keepLines w:val="0"/>
              <w:jc w:val="center"/>
              <w:rPr>
                <w:szCs w:val="20"/>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378A1AAF" w14:textId="5BA2D633" w:rsidR="00A50BB8" w:rsidRPr="00F76B29" w:rsidRDefault="00A50BB8" w:rsidP="00490837">
            <w:pPr>
              <w:pStyle w:val="TableText0"/>
              <w:keepLines w:val="0"/>
              <w:jc w:val="center"/>
              <w:rPr>
                <w:szCs w:val="20"/>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482E7B26" w14:textId="53E193BF" w:rsidR="00A50BB8" w:rsidRPr="00F76B29" w:rsidRDefault="00A50BB8" w:rsidP="00490837">
            <w:pPr>
              <w:pStyle w:val="TableText0"/>
              <w:keepLines w:val="0"/>
              <w:jc w:val="center"/>
              <w:rPr>
                <w:szCs w:val="20"/>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3A3736E6" w14:textId="35BF8BB9" w:rsidR="00A50BB8" w:rsidRPr="00F76B29" w:rsidRDefault="00A50BB8" w:rsidP="00490837">
            <w:pPr>
              <w:pStyle w:val="TableText0"/>
              <w:keepLines w:val="0"/>
              <w:jc w:val="center"/>
              <w:rPr>
                <w:szCs w:val="20"/>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7341E414" w14:textId="4FDDB0D3" w:rsidR="00A50BB8" w:rsidRPr="00F76B29" w:rsidRDefault="00A50BB8" w:rsidP="00490837">
            <w:pPr>
              <w:pStyle w:val="TableText0"/>
              <w:keepLines w:val="0"/>
              <w:jc w:val="center"/>
              <w:rPr>
                <w:szCs w:val="20"/>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c>
          <w:tcPr>
            <w:tcW w:w="611" w:type="pct"/>
            <w:vAlign w:val="center"/>
          </w:tcPr>
          <w:p w14:paraId="41D7BAE4" w14:textId="45C5A80C" w:rsidR="00A50BB8" w:rsidRPr="00F76B29" w:rsidRDefault="00A50BB8" w:rsidP="00490837">
            <w:pPr>
              <w:pStyle w:val="TableText0"/>
              <w:keepLines w:val="0"/>
              <w:jc w:val="center"/>
              <w:rPr>
                <w:szCs w:val="20"/>
                <w:vertAlign w:val="superscript"/>
              </w:rPr>
            </w:pPr>
            <w:r>
              <w:rPr>
                <w:szCs w:val="20"/>
              </w:rPr>
              <w:t>−</w:t>
            </w:r>
            <w:r w:rsidRPr="005A76CE">
              <w:rPr>
                <w:szCs w:val="20"/>
              </w:rPr>
              <w:t>$</w:t>
            </w:r>
            <w:r w:rsidR="00EB1862" w:rsidRPr="00EB1862">
              <w:rPr>
                <w:sz w:val="2"/>
                <w:szCs w:val="20"/>
                <w:highlight w:val="black"/>
              </w:rPr>
              <w:t>redacted content</w:t>
            </w:r>
            <w:r w:rsidR="00F76B29">
              <w:rPr>
                <w:szCs w:val="20"/>
                <w:vertAlign w:val="superscript"/>
              </w:rPr>
              <w:t>6</w:t>
            </w:r>
          </w:p>
        </w:tc>
      </w:tr>
      <w:tr w:rsidR="00A50BB8" w:rsidRPr="0098262F" w14:paraId="08F6C023" w14:textId="77777777">
        <w:tc>
          <w:tcPr>
            <w:tcW w:w="1334" w:type="pct"/>
            <w:vAlign w:val="center"/>
          </w:tcPr>
          <w:p w14:paraId="33BC61D4" w14:textId="77777777" w:rsidR="00A50BB8" w:rsidRPr="00104DE1" w:rsidRDefault="00A50BB8" w:rsidP="00490837">
            <w:pPr>
              <w:pStyle w:val="TableText0"/>
              <w:keepLines w:val="0"/>
              <w:rPr>
                <w:b/>
                <w:bCs w:val="0"/>
                <w:sz w:val="19"/>
                <w:szCs w:val="19"/>
              </w:rPr>
            </w:pPr>
            <w:r w:rsidRPr="00104DE1">
              <w:rPr>
                <w:b/>
                <w:bCs w:val="0"/>
                <w:sz w:val="19"/>
                <w:szCs w:val="19"/>
              </w:rPr>
              <w:t>Total cost offsets</w:t>
            </w:r>
          </w:p>
        </w:tc>
        <w:tc>
          <w:tcPr>
            <w:tcW w:w="611" w:type="pct"/>
            <w:vAlign w:val="center"/>
          </w:tcPr>
          <w:p w14:paraId="5D01C453" w14:textId="288BB47A" w:rsidR="00A50BB8" w:rsidRPr="00F76B29" w:rsidRDefault="00A50BB8" w:rsidP="00A72507">
            <w:pPr>
              <w:pStyle w:val="TableText0"/>
              <w:keepLines w:val="0"/>
              <w:jc w:val="center"/>
              <w:rPr>
                <w:b/>
                <w:bCs w:val="0"/>
                <w:szCs w:val="20"/>
                <w:vertAlign w:val="superscript"/>
              </w:rPr>
            </w:pPr>
            <w:r w:rsidRPr="00904F2B">
              <w:rPr>
                <w:b/>
                <w:bCs w:val="0"/>
                <w:szCs w:val="20"/>
              </w:rPr>
              <w:t>−</w:t>
            </w:r>
            <w:r w:rsidRPr="00104DE1">
              <w:rPr>
                <w:b/>
                <w:bCs w:val="0"/>
                <w:szCs w:val="20"/>
              </w:rPr>
              <w:t>$</w:t>
            </w:r>
            <w:r w:rsidR="00EB1862" w:rsidRPr="00EB1862">
              <w:rPr>
                <w:b/>
                <w:bCs w:val="0"/>
                <w:sz w:val="2"/>
                <w:szCs w:val="20"/>
                <w:highlight w:val="black"/>
              </w:rPr>
              <w:t>redacted content</w:t>
            </w:r>
            <w:r w:rsidR="00F76B29">
              <w:rPr>
                <w:b/>
                <w:bCs w:val="0"/>
                <w:szCs w:val="20"/>
                <w:vertAlign w:val="superscript"/>
              </w:rPr>
              <w:t>6</w:t>
            </w:r>
          </w:p>
        </w:tc>
        <w:tc>
          <w:tcPr>
            <w:tcW w:w="611" w:type="pct"/>
            <w:vAlign w:val="center"/>
          </w:tcPr>
          <w:p w14:paraId="27D59AD7" w14:textId="59396D9E" w:rsidR="00A50BB8" w:rsidRPr="00F76B29" w:rsidRDefault="00A50BB8" w:rsidP="00A72507">
            <w:pPr>
              <w:pStyle w:val="TableText0"/>
              <w:keepLines w:val="0"/>
              <w:jc w:val="center"/>
              <w:rPr>
                <w:b/>
                <w:bCs w:val="0"/>
                <w:szCs w:val="20"/>
                <w:vertAlign w:val="superscript"/>
              </w:rPr>
            </w:pPr>
            <w:r w:rsidRPr="00904F2B">
              <w:rPr>
                <w:b/>
                <w:bCs w:val="0"/>
                <w:szCs w:val="20"/>
              </w:rPr>
              <w:t>−</w:t>
            </w:r>
            <w:r w:rsidRPr="00104DE1">
              <w:rPr>
                <w:b/>
                <w:bCs w:val="0"/>
                <w:szCs w:val="20"/>
              </w:rPr>
              <w:t>$</w:t>
            </w:r>
            <w:r w:rsidR="00EB1862" w:rsidRPr="00EB1862">
              <w:rPr>
                <w:b/>
                <w:bCs w:val="0"/>
                <w:sz w:val="2"/>
                <w:szCs w:val="20"/>
                <w:highlight w:val="black"/>
              </w:rPr>
              <w:t>redacted content</w:t>
            </w:r>
            <w:r w:rsidR="00F76B29">
              <w:rPr>
                <w:b/>
                <w:bCs w:val="0"/>
                <w:szCs w:val="20"/>
                <w:vertAlign w:val="superscript"/>
              </w:rPr>
              <w:t>6</w:t>
            </w:r>
          </w:p>
        </w:tc>
        <w:tc>
          <w:tcPr>
            <w:tcW w:w="611" w:type="pct"/>
            <w:vAlign w:val="center"/>
          </w:tcPr>
          <w:p w14:paraId="48A1F928" w14:textId="2CDFF435" w:rsidR="00A50BB8" w:rsidRPr="00F76B29" w:rsidRDefault="00A50BB8" w:rsidP="00490837">
            <w:pPr>
              <w:pStyle w:val="TableText0"/>
              <w:keepLines w:val="0"/>
              <w:jc w:val="center"/>
              <w:rPr>
                <w:b/>
                <w:bCs w:val="0"/>
                <w:szCs w:val="20"/>
                <w:vertAlign w:val="superscript"/>
              </w:rPr>
            </w:pPr>
            <w:r w:rsidRPr="00904F2B">
              <w:rPr>
                <w:b/>
                <w:bCs w:val="0"/>
                <w:szCs w:val="20"/>
              </w:rPr>
              <w:t>−</w:t>
            </w:r>
            <w:r w:rsidRPr="00104DE1">
              <w:rPr>
                <w:b/>
                <w:bCs w:val="0"/>
                <w:szCs w:val="20"/>
              </w:rPr>
              <w:t>$</w:t>
            </w:r>
            <w:r w:rsidR="00EB1862" w:rsidRPr="00EB1862">
              <w:rPr>
                <w:b/>
                <w:bCs w:val="0"/>
                <w:sz w:val="2"/>
                <w:szCs w:val="20"/>
                <w:highlight w:val="black"/>
              </w:rPr>
              <w:t>redacted content</w:t>
            </w:r>
            <w:r w:rsidR="00F76B29">
              <w:rPr>
                <w:b/>
                <w:bCs w:val="0"/>
                <w:szCs w:val="20"/>
                <w:vertAlign w:val="superscript"/>
              </w:rPr>
              <w:t>6</w:t>
            </w:r>
          </w:p>
        </w:tc>
        <w:tc>
          <w:tcPr>
            <w:tcW w:w="611" w:type="pct"/>
            <w:vAlign w:val="center"/>
          </w:tcPr>
          <w:p w14:paraId="08E03F36" w14:textId="2710F983" w:rsidR="00A50BB8" w:rsidRPr="00F76B29" w:rsidRDefault="00A50BB8" w:rsidP="00490837">
            <w:pPr>
              <w:pStyle w:val="TableText0"/>
              <w:keepLines w:val="0"/>
              <w:jc w:val="center"/>
              <w:rPr>
                <w:b/>
                <w:bCs w:val="0"/>
                <w:szCs w:val="20"/>
                <w:vertAlign w:val="superscript"/>
              </w:rPr>
            </w:pPr>
            <w:r w:rsidRPr="00904F2B">
              <w:rPr>
                <w:b/>
                <w:bCs w:val="0"/>
                <w:szCs w:val="20"/>
              </w:rPr>
              <w:t>−</w:t>
            </w:r>
            <w:r w:rsidRPr="00104DE1">
              <w:rPr>
                <w:b/>
                <w:bCs w:val="0"/>
                <w:szCs w:val="20"/>
              </w:rPr>
              <w:t>$</w:t>
            </w:r>
            <w:r w:rsidR="00EB1862" w:rsidRPr="00EB1862">
              <w:rPr>
                <w:b/>
                <w:bCs w:val="0"/>
                <w:sz w:val="2"/>
                <w:szCs w:val="20"/>
                <w:highlight w:val="black"/>
              </w:rPr>
              <w:t>redacted content</w:t>
            </w:r>
            <w:r w:rsidR="00F76B29">
              <w:rPr>
                <w:b/>
                <w:bCs w:val="0"/>
                <w:szCs w:val="20"/>
                <w:vertAlign w:val="superscript"/>
              </w:rPr>
              <w:t>6</w:t>
            </w:r>
          </w:p>
        </w:tc>
        <w:tc>
          <w:tcPr>
            <w:tcW w:w="611" w:type="pct"/>
            <w:vAlign w:val="center"/>
          </w:tcPr>
          <w:p w14:paraId="1DE5BFA1" w14:textId="41FB8D27" w:rsidR="00A50BB8" w:rsidRPr="00F76B29" w:rsidRDefault="00A50BB8" w:rsidP="00490837">
            <w:pPr>
              <w:pStyle w:val="TableText0"/>
              <w:keepLines w:val="0"/>
              <w:jc w:val="center"/>
              <w:rPr>
                <w:b/>
                <w:bCs w:val="0"/>
                <w:szCs w:val="20"/>
                <w:vertAlign w:val="superscript"/>
              </w:rPr>
            </w:pPr>
            <w:r w:rsidRPr="00904F2B">
              <w:rPr>
                <w:b/>
                <w:bCs w:val="0"/>
                <w:szCs w:val="20"/>
              </w:rPr>
              <w:t>−</w:t>
            </w:r>
            <w:r w:rsidRPr="00104DE1">
              <w:rPr>
                <w:b/>
                <w:bCs w:val="0"/>
                <w:szCs w:val="20"/>
              </w:rPr>
              <w:t>$</w:t>
            </w:r>
            <w:r w:rsidR="00EB1862" w:rsidRPr="00EB1862">
              <w:rPr>
                <w:b/>
                <w:bCs w:val="0"/>
                <w:sz w:val="2"/>
                <w:szCs w:val="20"/>
                <w:highlight w:val="black"/>
              </w:rPr>
              <w:t>redacted content</w:t>
            </w:r>
            <w:r w:rsidR="00F76B29">
              <w:rPr>
                <w:b/>
                <w:bCs w:val="0"/>
                <w:szCs w:val="20"/>
                <w:vertAlign w:val="superscript"/>
              </w:rPr>
              <w:t>6</w:t>
            </w:r>
          </w:p>
        </w:tc>
        <w:tc>
          <w:tcPr>
            <w:tcW w:w="611" w:type="pct"/>
            <w:vAlign w:val="center"/>
          </w:tcPr>
          <w:p w14:paraId="11F54222" w14:textId="6F2C456A" w:rsidR="00A50BB8" w:rsidRPr="00F76B29" w:rsidRDefault="00A50BB8" w:rsidP="00490837">
            <w:pPr>
              <w:pStyle w:val="TableText0"/>
              <w:keepLines w:val="0"/>
              <w:jc w:val="center"/>
              <w:rPr>
                <w:b/>
                <w:bCs w:val="0"/>
                <w:szCs w:val="20"/>
                <w:vertAlign w:val="superscript"/>
              </w:rPr>
            </w:pPr>
            <w:r w:rsidRPr="00904F2B">
              <w:rPr>
                <w:b/>
                <w:bCs w:val="0"/>
                <w:szCs w:val="20"/>
              </w:rPr>
              <w:t>−</w:t>
            </w:r>
            <w:r w:rsidRPr="00104DE1">
              <w:rPr>
                <w:b/>
                <w:bCs w:val="0"/>
                <w:szCs w:val="20"/>
              </w:rPr>
              <w:t>$</w:t>
            </w:r>
            <w:r w:rsidR="00EB1862" w:rsidRPr="00EB1862">
              <w:rPr>
                <w:b/>
                <w:bCs w:val="0"/>
                <w:sz w:val="2"/>
                <w:szCs w:val="20"/>
                <w:highlight w:val="black"/>
              </w:rPr>
              <w:t>redacted content</w:t>
            </w:r>
            <w:r w:rsidR="00F76B29">
              <w:rPr>
                <w:b/>
                <w:bCs w:val="0"/>
                <w:szCs w:val="20"/>
                <w:vertAlign w:val="superscript"/>
              </w:rPr>
              <w:t>6</w:t>
            </w:r>
          </w:p>
        </w:tc>
      </w:tr>
      <w:tr w:rsidR="00A50BB8" w:rsidRPr="0098262F" w14:paraId="0FE7F4A4" w14:textId="77777777">
        <w:tc>
          <w:tcPr>
            <w:tcW w:w="5000" w:type="pct"/>
            <w:gridSpan w:val="7"/>
            <w:vAlign w:val="center"/>
          </w:tcPr>
          <w:p w14:paraId="7D35B183" w14:textId="77777777" w:rsidR="00A50BB8" w:rsidRPr="0098262F" w:rsidRDefault="00A50BB8" w:rsidP="00490837">
            <w:pPr>
              <w:pStyle w:val="In-tableHeading"/>
              <w:keepLines w:val="0"/>
              <w:rPr>
                <w:lang w:val="en-AU"/>
              </w:rPr>
            </w:pPr>
            <w:r w:rsidRPr="0098262F">
              <w:rPr>
                <w:lang w:val="en-AU"/>
              </w:rPr>
              <w:t>Net financial implications</w:t>
            </w:r>
          </w:p>
        </w:tc>
      </w:tr>
      <w:tr w:rsidR="00A50BB8" w:rsidRPr="0098262F" w14:paraId="7153EB3E" w14:textId="77777777">
        <w:tc>
          <w:tcPr>
            <w:tcW w:w="1334" w:type="pct"/>
            <w:vAlign w:val="center"/>
          </w:tcPr>
          <w:p w14:paraId="50A0E968" w14:textId="77777777" w:rsidR="00A50BB8" w:rsidRPr="00904F2B" w:rsidRDefault="00A50BB8" w:rsidP="00490837">
            <w:pPr>
              <w:pStyle w:val="TableText0"/>
              <w:keepLines w:val="0"/>
              <w:rPr>
                <w:b/>
                <w:bCs w:val="0"/>
                <w:sz w:val="19"/>
                <w:szCs w:val="19"/>
              </w:rPr>
            </w:pPr>
            <w:r w:rsidRPr="00904F2B">
              <w:rPr>
                <w:b/>
                <w:bCs w:val="0"/>
                <w:sz w:val="19"/>
                <w:szCs w:val="19"/>
              </w:rPr>
              <w:t>Net cost to PBS/RPBS</w:t>
            </w:r>
          </w:p>
        </w:tc>
        <w:tc>
          <w:tcPr>
            <w:tcW w:w="611" w:type="pct"/>
            <w:vAlign w:val="center"/>
          </w:tcPr>
          <w:p w14:paraId="48270C9A" w14:textId="2FDFF625" w:rsidR="00A50BB8" w:rsidRPr="00665FA8" w:rsidRDefault="00A50BB8" w:rsidP="00490837">
            <w:pPr>
              <w:pStyle w:val="TableText0"/>
              <w:keepLines w:val="0"/>
              <w:jc w:val="center"/>
              <w:rPr>
                <w:vertAlign w:val="superscript"/>
              </w:rPr>
            </w:pPr>
            <w:r w:rsidRPr="000726EC">
              <w:rPr>
                <w:b/>
                <w:bCs w:val="0"/>
                <w:szCs w:val="20"/>
              </w:rPr>
              <w:t>$</w:t>
            </w:r>
            <w:r w:rsidR="00EB1862" w:rsidRPr="00EB1862">
              <w:rPr>
                <w:b/>
                <w:bCs w:val="0"/>
                <w:sz w:val="2"/>
                <w:szCs w:val="20"/>
                <w:highlight w:val="black"/>
              </w:rPr>
              <w:t>redacted content</w:t>
            </w:r>
            <w:r w:rsidR="00665FA8">
              <w:rPr>
                <w:b/>
                <w:bCs w:val="0"/>
                <w:szCs w:val="20"/>
                <w:vertAlign w:val="superscript"/>
              </w:rPr>
              <w:t>4</w:t>
            </w:r>
          </w:p>
        </w:tc>
        <w:tc>
          <w:tcPr>
            <w:tcW w:w="611" w:type="pct"/>
            <w:vAlign w:val="center"/>
          </w:tcPr>
          <w:p w14:paraId="1D1B5746" w14:textId="2263338D" w:rsidR="00A50BB8" w:rsidRPr="00DC02CC" w:rsidRDefault="00A50BB8" w:rsidP="00490837">
            <w:pPr>
              <w:pStyle w:val="TableText0"/>
              <w:keepLines w:val="0"/>
              <w:jc w:val="center"/>
              <w:rPr>
                <w:vertAlign w:val="superscript"/>
              </w:rPr>
            </w:pPr>
            <w:r w:rsidRPr="000726EC">
              <w:rPr>
                <w:b/>
                <w:bCs w:val="0"/>
                <w:szCs w:val="20"/>
              </w:rPr>
              <w:t>$</w:t>
            </w:r>
            <w:r w:rsidR="00EB1862" w:rsidRPr="00EB1862">
              <w:rPr>
                <w:b/>
                <w:bCs w:val="0"/>
                <w:sz w:val="2"/>
                <w:szCs w:val="20"/>
                <w:highlight w:val="black"/>
              </w:rPr>
              <w:t>redacted content</w:t>
            </w:r>
            <w:r w:rsidR="00DC02CC">
              <w:rPr>
                <w:b/>
                <w:bCs w:val="0"/>
                <w:szCs w:val="20"/>
                <w:vertAlign w:val="superscript"/>
              </w:rPr>
              <w:t>7</w:t>
            </w:r>
          </w:p>
        </w:tc>
        <w:tc>
          <w:tcPr>
            <w:tcW w:w="611" w:type="pct"/>
            <w:vAlign w:val="center"/>
          </w:tcPr>
          <w:p w14:paraId="3CEFDE6A" w14:textId="466808B5" w:rsidR="00A50BB8" w:rsidRPr="00DC02CC" w:rsidRDefault="00A50BB8" w:rsidP="00490837">
            <w:pPr>
              <w:pStyle w:val="TableText0"/>
              <w:keepLines w:val="0"/>
              <w:jc w:val="center"/>
              <w:rPr>
                <w:vertAlign w:val="superscript"/>
              </w:rPr>
            </w:pPr>
            <w:r w:rsidRPr="000726EC">
              <w:rPr>
                <w:b/>
                <w:bCs w:val="0"/>
                <w:szCs w:val="20"/>
              </w:rPr>
              <w:t>$</w:t>
            </w:r>
            <w:r w:rsidR="00EB1862" w:rsidRPr="00EB1862">
              <w:rPr>
                <w:b/>
                <w:bCs w:val="0"/>
                <w:sz w:val="2"/>
                <w:szCs w:val="20"/>
                <w:highlight w:val="black"/>
              </w:rPr>
              <w:t>redacted content</w:t>
            </w:r>
            <w:r w:rsidR="00DC02CC">
              <w:rPr>
                <w:b/>
                <w:bCs w:val="0"/>
                <w:szCs w:val="20"/>
                <w:vertAlign w:val="superscript"/>
              </w:rPr>
              <w:t>7</w:t>
            </w:r>
          </w:p>
        </w:tc>
        <w:tc>
          <w:tcPr>
            <w:tcW w:w="611" w:type="pct"/>
            <w:vAlign w:val="center"/>
          </w:tcPr>
          <w:p w14:paraId="59345502" w14:textId="74637F54" w:rsidR="00A50BB8" w:rsidRPr="00DC02CC" w:rsidRDefault="00A50BB8" w:rsidP="00490837">
            <w:pPr>
              <w:pStyle w:val="TableText0"/>
              <w:keepLines w:val="0"/>
              <w:jc w:val="center"/>
              <w:rPr>
                <w:vertAlign w:val="superscript"/>
              </w:rPr>
            </w:pPr>
            <w:r w:rsidRPr="000726EC">
              <w:rPr>
                <w:b/>
                <w:bCs w:val="0"/>
                <w:szCs w:val="20"/>
              </w:rPr>
              <w:t>$</w:t>
            </w:r>
            <w:r w:rsidR="00EB1862" w:rsidRPr="00EB1862">
              <w:rPr>
                <w:b/>
                <w:bCs w:val="0"/>
                <w:sz w:val="2"/>
                <w:szCs w:val="20"/>
                <w:highlight w:val="black"/>
              </w:rPr>
              <w:t>redacted content</w:t>
            </w:r>
            <w:r w:rsidR="00DC02CC">
              <w:rPr>
                <w:b/>
                <w:bCs w:val="0"/>
                <w:szCs w:val="20"/>
                <w:vertAlign w:val="superscript"/>
              </w:rPr>
              <w:t>7</w:t>
            </w:r>
          </w:p>
        </w:tc>
        <w:tc>
          <w:tcPr>
            <w:tcW w:w="611" w:type="pct"/>
            <w:vAlign w:val="center"/>
          </w:tcPr>
          <w:p w14:paraId="47AE1906" w14:textId="569F84C4" w:rsidR="00A50BB8" w:rsidRPr="00DC02CC" w:rsidRDefault="00A50BB8" w:rsidP="00490837">
            <w:pPr>
              <w:pStyle w:val="TableText0"/>
              <w:keepLines w:val="0"/>
              <w:jc w:val="center"/>
              <w:rPr>
                <w:vertAlign w:val="superscript"/>
              </w:rPr>
            </w:pPr>
            <w:r w:rsidRPr="000726EC">
              <w:rPr>
                <w:b/>
                <w:bCs w:val="0"/>
                <w:szCs w:val="20"/>
              </w:rPr>
              <w:t>$</w:t>
            </w:r>
            <w:r w:rsidR="00EB1862" w:rsidRPr="00EB1862">
              <w:rPr>
                <w:b/>
                <w:bCs w:val="0"/>
                <w:sz w:val="2"/>
                <w:szCs w:val="20"/>
                <w:highlight w:val="black"/>
              </w:rPr>
              <w:t>redacted content</w:t>
            </w:r>
            <w:r w:rsidR="00DC02CC">
              <w:rPr>
                <w:b/>
                <w:bCs w:val="0"/>
                <w:szCs w:val="20"/>
                <w:vertAlign w:val="superscript"/>
              </w:rPr>
              <w:t>7</w:t>
            </w:r>
          </w:p>
        </w:tc>
        <w:tc>
          <w:tcPr>
            <w:tcW w:w="611" w:type="pct"/>
            <w:vAlign w:val="center"/>
          </w:tcPr>
          <w:p w14:paraId="7D02D936" w14:textId="03795A8F" w:rsidR="00A50BB8" w:rsidRPr="00DC02CC" w:rsidRDefault="00A50BB8" w:rsidP="00490837">
            <w:pPr>
              <w:pStyle w:val="TableText0"/>
              <w:keepLines w:val="0"/>
              <w:jc w:val="center"/>
              <w:rPr>
                <w:vertAlign w:val="superscript"/>
              </w:rPr>
            </w:pPr>
            <w:r w:rsidRPr="000726EC">
              <w:rPr>
                <w:b/>
                <w:bCs w:val="0"/>
                <w:szCs w:val="20"/>
              </w:rPr>
              <w:t>$</w:t>
            </w:r>
            <w:r w:rsidR="00EB1862" w:rsidRPr="00EB1862">
              <w:rPr>
                <w:b/>
                <w:bCs w:val="0"/>
                <w:sz w:val="2"/>
                <w:szCs w:val="20"/>
                <w:highlight w:val="black"/>
              </w:rPr>
              <w:t>redacted content</w:t>
            </w:r>
            <w:r w:rsidR="00DC02CC">
              <w:rPr>
                <w:b/>
                <w:bCs w:val="0"/>
                <w:szCs w:val="20"/>
                <w:vertAlign w:val="superscript"/>
              </w:rPr>
              <w:t>7</w:t>
            </w:r>
          </w:p>
        </w:tc>
      </w:tr>
      <w:tr w:rsidR="00A50BB8" w:rsidRPr="0098262F" w14:paraId="583B24BD" w14:textId="77777777">
        <w:tc>
          <w:tcPr>
            <w:tcW w:w="1334" w:type="pct"/>
            <w:vAlign w:val="center"/>
          </w:tcPr>
          <w:p w14:paraId="3B74A8D4" w14:textId="77777777" w:rsidR="00A50BB8" w:rsidRPr="00904F2B" w:rsidRDefault="00A50BB8" w:rsidP="00490837">
            <w:pPr>
              <w:pStyle w:val="TableText0"/>
              <w:keepLines w:val="0"/>
              <w:rPr>
                <w:rFonts w:ascii="Times" w:hAnsi="Times"/>
                <w:b/>
                <w:bCs w:val="0"/>
              </w:rPr>
            </w:pPr>
            <w:r w:rsidRPr="00904F2B">
              <w:rPr>
                <w:b/>
                <w:bCs w:val="0"/>
                <w:sz w:val="19"/>
                <w:szCs w:val="19"/>
              </w:rPr>
              <w:t>Net cost to MBS</w:t>
            </w:r>
          </w:p>
        </w:tc>
        <w:tc>
          <w:tcPr>
            <w:tcW w:w="611" w:type="pct"/>
            <w:vAlign w:val="center"/>
          </w:tcPr>
          <w:p w14:paraId="057D97DF" w14:textId="7CF2477C" w:rsidR="00A50BB8" w:rsidRPr="00602BE7"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02BE7">
              <w:rPr>
                <w:b/>
                <w:bCs w:val="0"/>
                <w:szCs w:val="20"/>
                <w:vertAlign w:val="superscript"/>
              </w:rPr>
              <w:t>8</w:t>
            </w:r>
          </w:p>
        </w:tc>
        <w:tc>
          <w:tcPr>
            <w:tcW w:w="611" w:type="pct"/>
            <w:vAlign w:val="center"/>
          </w:tcPr>
          <w:p w14:paraId="3E380B19" w14:textId="16F36D58" w:rsidR="00A50BB8" w:rsidRPr="00602BE7"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02BE7">
              <w:rPr>
                <w:b/>
                <w:bCs w:val="0"/>
                <w:szCs w:val="20"/>
                <w:vertAlign w:val="superscript"/>
              </w:rPr>
              <w:t>8</w:t>
            </w:r>
          </w:p>
        </w:tc>
        <w:tc>
          <w:tcPr>
            <w:tcW w:w="611" w:type="pct"/>
            <w:vAlign w:val="center"/>
          </w:tcPr>
          <w:p w14:paraId="070E83B2" w14:textId="5A3B79CF" w:rsidR="00A50BB8" w:rsidRPr="00602BE7"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02BE7">
              <w:rPr>
                <w:b/>
                <w:bCs w:val="0"/>
                <w:szCs w:val="20"/>
                <w:vertAlign w:val="superscript"/>
              </w:rPr>
              <w:t>8</w:t>
            </w:r>
          </w:p>
        </w:tc>
        <w:tc>
          <w:tcPr>
            <w:tcW w:w="611" w:type="pct"/>
            <w:vAlign w:val="center"/>
          </w:tcPr>
          <w:p w14:paraId="52DEED53" w14:textId="086C6F49" w:rsidR="00A50BB8" w:rsidRPr="00602BE7"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02BE7">
              <w:rPr>
                <w:b/>
                <w:bCs w:val="0"/>
                <w:szCs w:val="20"/>
                <w:vertAlign w:val="superscript"/>
              </w:rPr>
              <w:t>8</w:t>
            </w:r>
          </w:p>
        </w:tc>
        <w:tc>
          <w:tcPr>
            <w:tcW w:w="611" w:type="pct"/>
            <w:vAlign w:val="center"/>
          </w:tcPr>
          <w:p w14:paraId="4D4362B1" w14:textId="73674B68" w:rsidR="00A50BB8" w:rsidRPr="00602BE7"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02BE7">
              <w:rPr>
                <w:b/>
                <w:bCs w:val="0"/>
                <w:szCs w:val="20"/>
                <w:vertAlign w:val="superscript"/>
              </w:rPr>
              <w:t>8</w:t>
            </w:r>
          </w:p>
        </w:tc>
        <w:tc>
          <w:tcPr>
            <w:tcW w:w="611" w:type="pct"/>
            <w:vAlign w:val="center"/>
          </w:tcPr>
          <w:p w14:paraId="2D2DFC77" w14:textId="042070D6" w:rsidR="00A50BB8" w:rsidRPr="00602BE7" w:rsidRDefault="00A50BB8" w:rsidP="00490837">
            <w:pPr>
              <w:pStyle w:val="TableText0"/>
              <w:keepLines w:val="0"/>
              <w:jc w:val="center"/>
              <w:rPr>
                <w:b/>
                <w:bCs w:val="0"/>
                <w:vertAlign w:val="superscript"/>
              </w:rPr>
            </w:pPr>
            <w:r w:rsidRPr="00904F2B">
              <w:rPr>
                <w:b/>
                <w:bCs w:val="0"/>
                <w:szCs w:val="20"/>
              </w:rPr>
              <w:t>$</w:t>
            </w:r>
            <w:r w:rsidR="00EB1862" w:rsidRPr="00EB1862">
              <w:rPr>
                <w:b/>
                <w:bCs w:val="0"/>
                <w:sz w:val="2"/>
                <w:szCs w:val="20"/>
                <w:highlight w:val="black"/>
              </w:rPr>
              <w:t>redacted content</w:t>
            </w:r>
            <w:r w:rsidR="00602BE7">
              <w:rPr>
                <w:b/>
                <w:bCs w:val="0"/>
                <w:szCs w:val="20"/>
                <w:vertAlign w:val="superscript"/>
              </w:rPr>
              <w:t>8</w:t>
            </w:r>
          </w:p>
        </w:tc>
      </w:tr>
      <w:tr w:rsidR="00A50BB8" w:rsidRPr="0098262F" w14:paraId="08A6DDE7" w14:textId="77777777">
        <w:tc>
          <w:tcPr>
            <w:tcW w:w="1334" w:type="pct"/>
            <w:vAlign w:val="center"/>
          </w:tcPr>
          <w:p w14:paraId="6FFD59BF" w14:textId="77777777" w:rsidR="00A50BB8" w:rsidRPr="00904F2B" w:rsidRDefault="00A50BB8" w:rsidP="00490837">
            <w:pPr>
              <w:pStyle w:val="TableText0"/>
              <w:keepLines w:val="0"/>
              <w:rPr>
                <w:b/>
                <w:bCs w:val="0"/>
                <w:sz w:val="19"/>
                <w:szCs w:val="19"/>
              </w:rPr>
            </w:pPr>
            <w:r w:rsidRPr="00904F2B">
              <w:rPr>
                <w:b/>
                <w:bCs w:val="0"/>
                <w:sz w:val="19"/>
                <w:szCs w:val="19"/>
              </w:rPr>
              <w:t>Net cost to health budget</w:t>
            </w:r>
          </w:p>
        </w:tc>
        <w:tc>
          <w:tcPr>
            <w:tcW w:w="611" w:type="pct"/>
            <w:vAlign w:val="center"/>
          </w:tcPr>
          <w:p w14:paraId="6568F496" w14:textId="5E23A982" w:rsidR="00A50BB8" w:rsidRPr="00665FA8" w:rsidRDefault="00A50BB8" w:rsidP="00490837">
            <w:pPr>
              <w:pStyle w:val="TableText0"/>
              <w:keepLines w:val="0"/>
              <w:jc w:val="center"/>
              <w:rPr>
                <w:vertAlign w:val="superscript"/>
              </w:rPr>
            </w:pPr>
            <w:r w:rsidRPr="00876819">
              <w:rPr>
                <w:b/>
                <w:bCs w:val="0"/>
                <w:szCs w:val="20"/>
              </w:rPr>
              <w:t>$</w:t>
            </w:r>
            <w:r w:rsidR="00EB1862" w:rsidRPr="00EB1862">
              <w:rPr>
                <w:b/>
                <w:bCs w:val="0"/>
                <w:sz w:val="2"/>
                <w:szCs w:val="20"/>
                <w:highlight w:val="black"/>
              </w:rPr>
              <w:t>redacted content</w:t>
            </w:r>
            <w:r w:rsidR="00665FA8">
              <w:rPr>
                <w:b/>
                <w:bCs w:val="0"/>
                <w:szCs w:val="20"/>
                <w:vertAlign w:val="superscript"/>
              </w:rPr>
              <w:t>4</w:t>
            </w:r>
          </w:p>
        </w:tc>
        <w:tc>
          <w:tcPr>
            <w:tcW w:w="611" w:type="pct"/>
            <w:vAlign w:val="center"/>
          </w:tcPr>
          <w:p w14:paraId="067C169B" w14:textId="19365892" w:rsidR="00A50BB8" w:rsidRPr="00DC02CC" w:rsidRDefault="00A50BB8" w:rsidP="00490837">
            <w:pPr>
              <w:pStyle w:val="TableText0"/>
              <w:keepLines w:val="0"/>
              <w:jc w:val="center"/>
              <w:rPr>
                <w:vertAlign w:val="superscript"/>
              </w:rPr>
            </w:pPr>
            <w:r w:rsidRPr="00876819">
              <w:rPr>
                <w:b/>
                <w:bCs w:val="0"/>
                <w:szCs w:val="20"/>
              </w:rPr>
              <w:t>$</w:t>
            </w:r>
            <w:r w:rsidR="00EB1862" w:rsidRPr="00EB1862">
              <w:rPr>
                <w:b/>
                <w:bCs w:val="0"/>
                <w:sz w:val="2"/>
                <w:szCs w:val="20"/>
                <w:highlight w:val="black"/>
              </w:rPr>
              <w:t>redacted content</w:t>
            </w:r>
            <w:r w:rsidR="00DC02CC">
              <w:rPr>
                <w:b/>
                <w:bCs w:val="0"/>
                <w:szCs w:val="20"/>
                <w:vertAlign w:val="superscript"/>
              </w:rPr>
              <w:t>7</w:t>
            </w:r>
          </w:p>
        </w:tc>
        <w:tc>
          <w:tcPr>
            <w:tcW w:w="611" w:type="pct"/>
            <w:vAlign w:val="center"/>
          </w:tcPr>
          <w:p w14:paraId="617BF24D" w14:textId="2F0B8A6E" w:rsidR="00A50BB8" w:rsidRPr="00DC02CC" w:rsidRDefault="00A50BB8" w:rsidP="00490837">
            <w:pPr>
              <w:pStyle w:val="TableText0"/>
              <w:keepLines w:val="0"/>
              <w:jc w:val="center"/>
              <w:rPr>
                <w:vertAlign w:val="superscript"/>
              </w:rPr>
            </w:pPr>
            <w:r w:rsidRPr="00876819">
              <w:rPr>
                <w:b/>
                <w:bCs w:val="0"/>
                <w:szCs w:val="20"/>
              </w:rPr>
              <w:t>$</w:t>
            </w:r>
            <w:r w:rsidR="00EB1862" w:rsidRPr="00EB1862">
              <w:rPr>
                <w:b/>
                <w:bCs w:val="0"/>
                <w:sz w:val="2"/>
                <w:szCs w:val="20"/>
                <w:highlight w:val="black"/>
              </w:rPr>
              <w:t>redacted content</w:t>
            </w:r>
            <w:r w:rsidR="00DC02CC">
              <w:rPr>
                <w:b/>
                <w:bCs w:val="0"/>
                <w:szCs w:val="20"/>
                <w:vertAlign w:val="superscript"/>
              </w:rPr>
              <w:t>7</w:t>
            </w:r>
          </w:p>
        </w:tc>
        <w:tc>
          <w:tcPr>
            <w:tcW w:w="611" w:type="pct"/>
            <w:vAlign w:val="center"/>
          </w:tcPr>
          <w:p w14:paraId="6B0B6470" w14:textId="3B03BDE7" w:rsidR="00A50BB8" w:rsidRPr="00DC02CC" w:rsidRDefault="00A50BB8" w:rsidP="00490837">
            <w:pPr>
              <w:pStyle w:val="TableText0"/>
              <w:keepLines w:val="0"/>
              <w:jc w:val="center"/>
              <w:rPr>
                <w:vertAlign w:val="superscript"/>
              </w:rPr>
            </w:pPr>
            <w:r w:rsidRPr="00876819">
              <w:rPr>
                <w:b/>
                <w:bCs w:val="0"/>
                <w:szCs w:val="20"/>
              </w:rPr>
              <w:t>$</w:t>
            </w:r>
            <w:r w:rsidR="00EB1862" w:rsidRPr="00EB1862">
              <w:rPr>
                <w:b/>
                <w:bCs w:val="0"/>
                <w:sz w:val="2"/>
                <w:szCs w:val="20"/>
                <w:highlight w:val="black"/>
              </w:rPr>
              <w:t>redacted content</w:t>
            </w:r>
            <w:r w:rsidR="00DC02CC">
              <w:rPr>
                <w:b/>
                <w:bCs w:val="0"/>
                <w:szCs w:val="20"/>
                <w:vertAlign w:val="superscript"/>
              </w:rPr>
              <w:t>7</w:t>
            </w:r>
          </w:p>
        </w:tc>
        <w:tc>
          <w:tcPr>
            <w:tcW w:w="611" w:type="pct"/>
            <w:vAlign w:val="center"/>
          </w:tcPr>
          <w:p w14:paraId="2F190F2E" w14:textId="226245F6" w:rsidR="00A50BB8" w:rsidRPr="00DC02CC" w:rsidRDefault="00A50BB8" w:rsidP="00490837">
            <w:pPr>
              <w:pStyle w:val="TableText0"/>
              <w:keepLines w:val="0"/>
              <w:jc w:val="center"/>
              <w:rPr>
                <w:vertAlign w:val="superscript"/>
              </w:rPr>
            </w:pPr>
            <w:r w:rsidRPr="00876819">
              <w:rPr>
                <w:b/>
                <w:bCs w:val="0"/>
                <w:szCs w:val="20"/>
              </w:rPr>
              <w:t>$</w:t>
            </w:r>
            <w:r w:rsidR="00EB1862" w:rsidRPr="00EB1862">
              <w:rPr>
                <w:b/>
                <w:bCs w:val="0"/>
                <w:sz w:val="2"/>
                <w:szCs w:val="20"/>
                <w:highlight w:val="black"/>
              </w:rPr>
              <w:t>redacted content</w:t>
            </w:r>
            <w:r w:rsidR="00DC02CC">
              <w:rPr>
                <w:b/>
                <w:bCs w:val="0"/>
                <w:szCs w:val="20"/>
                <w:vertAlign w:val="superscript"/>
              </w:rPr>
              <w:t>7</w:t>
            </w:r>
          </w:p>
        </w:tc>
        <w:tc>
          <w:tcPr>
            <w:tcW w:w="611" w:type="pct"/>
            <w:vAlign w:val="center"/>
          </w:tcPr>
          <w:p w14:paraId="6F68202A" w14:textId="617C0C8C" w:rsidR="00A50BB8" w:rsidRPr="00DC02CC" w:rsidRDefault="00A50BB8" w:rsidP="00490837">
            <w:pPr>
              <w:pStyle w:val="TableText0"/>
              <w:keepLines w:val="0"/>
              <w:jc w:val="center"/>
              <w:rPr>
                <w:vertAlign w:val="superscript"/>
              </w:rPr>
            </w:pPr>
            <w:r w:rsidRPr="00876819">
              <w:rPr>
                <w:b/>
                <w:bCs w:val="0"/>
                <w:szCs w:val="20"/>
              </w:rPr>
              <w:t>$</w:t>
            </w:r>
            <w:r w:rsidR="00EB1862" w:rsidRPr="00EB1862">
              <w:rPr>
                <w:b/>
                <w:bCs w:val="0"/>
                <w:sz w:val="2"/>
                <w:szCs w:val="20"/>
                <w:highlight w:val="black"/>
              </w:rPr>
              <w:t>redacted content</w:t>
            </w:r>
            <w:r w:rsidR="00DC02CC">
              <w:rPr>
                <w:b/>
                <w:bCs w:val="0"/>
                <w:szCs w:val="20"/>
                <w:vertAlign w:val="superscript"/>
              </w:rPr>
              <w:t>7</w:t>
            </w:r>
          </w:p>
        </w:tc>
      </w:tr>
    </w:tbl>
    <w:p w14:paraId="049B971A" w14:textId="2B5AA0FA" w:rsidR="00A50BB8" w:rsidRDefault="00A50BB8" w:rsidP="00C1302F">
      <w:pPr>
        <w:pStyle w:val="TableFigureFooter"/>
      </w:pPr>
      <w:r>
        <w:t>Source: Table 4</w:t>
      </w:r>
      <w:r w:rsidR="00675F55">
        <w:noBreakHyphen/>
      </w:r>
      <w:r>
        <w:t>10, Table 4</w:t>
      </w:r>
      <w:r w:rsidR="00675F55">
        <w:noBreakHyphen/>
      </w:r>
      <w:r>
        <w:t>11, Table 4</w:t>
      </w:r>
      <w:r w:rsidR="00675F55">
        <w:noBreakHyphen/>
      </w:r>
      <w:r>
        <w:t>17, Table 4</w:t>
      </w:r>
      <w:r w:rsidR="00675F55">
        <w:noBreakHyphen/>
      </w:r>
      <w:r>
        <w:t>18, Table 4</w:t>
      </w:r>
      <w:r w:rsidR="00675F55">
        <w:noBreakHyphen/>
      </w:r>
      <w:r>
        <w:t>19, pp161</w:t>
      </w:r>
      <w:r w:rsidR="00675F55">
        <w:noBreakHyphen/>
      </w:r>
      <w:r>
        <w:t>176 of the submission</w:t>
      </w:r>
      <w:r w:rsidR="004E005F">
        <w:t>.</w:t>
      </w:r>
    </w:p>
    <w:p w14:paraId="38B295D2" w14:textId="41E62AFF" w:rsidR="00AE4446" w:rsidRDefault="00A50BB8" w:rsidP="00C1302F">
      <w:pPr>
        <w:pStyle w:val="TableFigureFooter"/>
      </w:pPr>
      <w:r w:rsidRPr="00C2145E">
        <w:t>FOLFIRI</w:t>
      </w:r>
      <w:r>
        <w:t xml:space="preserve"> =</w:t>
      </w:r>
      <w:r w:rsidRPr="00C2145E">
        <w:t xml:space="preserve"> </w:t>
      </w:r>
      <w:r w:rsidR="00486C56">
        <w:t>f</w:t>
      </w:r>
      <w:r w:rsidRPr="00C2145E">
        <w:t xml:space="preserve">olinic </w:t>
      </w:r>
      <w:r w:rsidR="00486C56">
        <w:t>a</w:t>
      </w:r>
      <w:r w:rsidRPr="00C2145E">
        <w:t xml:space="preserve">cid, </w:t>
      </w:r>
      <w:r w:rsidR="009147B6">
        <w:t>5</w:t>
      </w:r>
      <w:r w:rsidR="00675F55">
        <w:noBreakHyphen/>
      </w:r>
      <w:r w:rsidR="00486C56">
        <w:t>f</w:t>
      </w:r>
      <w:r w:rsidRPr="00C2145E">
        <w:t xml:space="preserve">luorouracil, and </w:t>
      </w:r>
      <w:r w:rsidR="00486C56">
        <w:t>i</w:t>
      </w:r>
      <w:r w:rsidRPr="00C2145E">
        <w:t>rinotecan</w:t>
      </w:r>
      <w:r>
        <w:t xml:space="preserve">; MBS = Medicare </w:t>
      </w:r>
      <w:r w:rsidR="00486C56">
        <w:t>B</w:t>
      </w:r>
      <w:r>
        <w:t xml:space="preserve">enefits </w:t>
      </w:r>
      <w:r w:rsidR="00486C56">
        <w:t>S</w:t>
      </w:r>
      <w:r>
        <w:t xml:space="preserve">cheme; </w:t>
      </w:r>
      <w:r w:rsidRPr="005219D0">
        <w:t>PBS</w:t>
      </w:r>
      <w:r>
        <w:t xml:space="preserve"> =</w:t>
      </w:r>
      <w:r w:rsidRPr="005219D0">
        <w:t xml:space="preserve"> </w:t>
      </w:r>
      <w:r w:rsidR="002E4B23">
        <w:t>P</w:t>
      </w:r>
      <w:r w:rsidRPr="005219D0">
        <w:t xml:space="preserve">harmaceutical </w:t>
      </w:r>
      <w:r w:rsidR="002E4B23">
        <w:t>B</w:t>
      </w:r>
      <w:r w:rsidRPr="005219D0">
        <w:t xml:space="preserve">enefits </w:t>
      </w:r>
      <w:r w:rsidR="002E4B23">
        <w:t>S</w:t>
      </w:r>
      <w:r w:rsidRPr="005219D0">
        <w:t>cheme; RPBS</w:t>
      </w:r>
      <w:r>
        <w:t xml:space="preserve"> =</w:t>
      </w:r>
      <w:r w:rsidRPr="005219D0">
        <w:t xml:space="preserve"> Repatriation Pharmaceutical Benefits Scheme</w:t>
      </w:r>
      <w:r w:rsidR="00F73B46">
        <w:t>.</w:t>
      </w:r>
    </w:p>
    <w:p w14:paraId="7B89A343" w14:textId="147217EB" w:rsidR="0052776C" w:rsidRDefault="0052776C" w:rsidP="00C1302F">
      <w:pPr>
        <w:pStyle w:val="TableFigureFooter"/>
      </w:pPr>
      <w:r>
        <w:t xml:space="preserve">a estimates </w:t>
      </w:r>
      <w:r w:rsidRPr="00F63EB7">
        <w:t xml:space="preserve">assume </w:t>
      </w:r>
      <w:r w:rsidR="00EB1862" w:rsidRPr="00EB1862">
        <w:rPr>
          <w:sz w:val="2"/>
          <w:highlight w:val="black"/>
        </w:rPr>
        <w:t>redacted content</w:t>
      </w:r>
      <w:r w:rsidRPr="00F63EB7">
        <w:t>% rebat</w:t>
      </w:r>
      <w:r>
        <w:t>e to the published price for nivolumab</w:t>
      </w:r>
    </w:p>
    <w:p w14:paraId="4DF4FA47" w14:textId="77777777" w:rsidR="00781E8A" w:rsidRPr="00781E8A" w:rsidRDefault="00781E8A" w:rsidP="00781E8A">
      <w:pPr>
        <w:pStyle w:val="TableFigureFooter"/>
        <w:rPr>
          <w:i/>
        </w:rPr>
      </w:pPr>
      <w:r w:rsidRPr="00781E8A">
        <w:rPr>
          <w:i/>
        </w:rPr>
        <w:t xml:space="preserve">The redacted values correspond to the following ranges: </w:t>
      </w:r>
    </w:p>
    <w:p w14:paraId="4A326429" w14:textId="2BA82049" w:rsidR="00781E8A" w:rsidRPr="00781E8A" w:rsidRDefault="00781E8A" w:rsidP="00781E8A">
      <w:pPr>
        <w:pStyle w:val="TableFigureFooter"/>
        <w:rPr>
          <w:i/>
        </w:rPr>
      </w:pPr>
      <w:r w:rsidRPr="00781E8A">
        <w:rPr>
          <w:i/>
          <w:vertAlign w:val="superscript"/>
        </w:rPr>
        <w:t>1</w:t>
      </w:r>
      <w:r w:rsidRPr="00781E8A">
        <w:rPr>
          <w:i/>
        </w:rPr>
        <w:t xml:space="preserve"> </w:t>
      </w:r>
      <w:r w:rsidR="00AD3991" w:rsidRPr="00AD3991">
        <w:rPr>
          <w:i/>
        </w:rPr>
        <w:t>500 to &lt; 5,000</w:t>
      </w:r>
    </w:p>
    <w:p w14:paraId="0A396817" w14:textId="35C1A6BC" w:rsidR="00781E8A" w:rsidRPr="00781E8A" w:rsidRDefault="00781E8A" w:rsidP="00781E8A">
      <w:pPr>
        <w:pStyle w:val="TableFigureFooter"/>
        <w:rPr>
          <w:i/>
        </w:rPr>
      </w:pPr>
      <w:r w:rsidRPr="00781E8A">
        <w:rPr>
          <w:i/>
          <w:vertAlign w:val="superscript"/>
        </w:rPr>
        <w:t>2</w:t>
      </w:r>
      <w:r w:rsidRPr="00781E8A">
        <w:rPr>
          <w:i/>
        </w:rPr>
        <w:t xml:space="preserve"> </w:t>
      </w:r>
      <w:r w:rsidR="00E37131" w:rsidRPr="00E37131">
        <w:rPr>
          <w:i/>
        </w:rPr>
        <w:t>&lt; 500</w:t>
      </w:r>
    </w:p>
    <w:p w14:paraId="575B031C" w14:textId="380A7248" w:rsidR="00781E8A" w:rsidRPr="00781E8A" w:rsidRDefault="00781E8A" w:rsidP="00781E8A">
      <w:pPr>
        <w:pStyle w:val="TableFigureFooter"/>
        <w:rPr>
          <w:i/>
        </w:rPr>
      </w:pPr>
      <w:r w:rsidRPr="00781E8A">
        <w:rPr>
          <w:i/>
          <w:vertAlign w:val="superscript"/>
        </w:rPr>
        <w:t>3</w:t>
      </w:r>
      <w:r w:rsidRPr="00781E8A">
        <w:rPr>
          <w:i/>
        </w:rPr>
        <w:t xml:space="preserve"> </w:t>
      </w:r>
      <w:r w:rsidR="00857B0C" w:rsidRPr="00857B0C">
        <w:rPr>
          <w:i/>
        </w:rPr>
        <w:t>10,000 to &lt; 20,000</w:t>
      </w:r>
    </w:p>
    <w:p w14:paraId="59933152" w14:textId="107C99F7" w:rsidR="00781E8A" w:rsidRPr="00781E8A" w:rsidRDefault="00781E8A" w:rsidP="00781E8A">
      <w:pPr>
        <w:pStyle w:val="TableFigureFooter"/>
        <w:rPr>
          <w:i/>
        </w:rPr>
      </w:pPr>
      <w:r w:rsidRPr="00781E8A">
        <w:rPr>
          <w:i/>
          <w:vertAlign w:val="superscript"/>
        </w:rPr>
        <w:t>4</w:t>
      </w:r>
      <w:r w:rsidRPr="00781E8A">
        <w:rPr>
          <w:i/>
        </w:rPr>
        <w:t xml:space="preserve"> </w:t>
      </w:r>
      <w:r w:rsidR="00665FA8" w:rsidRPr="00665FA8">
        <w:rPr>
          <w:i/>
        </w:rPr>
        <w:t>$60 million to &lt; $70 million</w:t>
      </w:r>
    </w:p>
    <w:p w14:paraId="7ED8030F" w14:textId="4FB9573D" w:rsidR="00781E8A" w:rsidRPr="00781E8A" w:rsidRDefault="00781E8A" w:rsidP="00781E8A">
      <w:pPr>
        <w:pStyle w:val="TableFigureFooter"/>
        <w:rPr>
          <w:i/>
        </w:rPr>
      </w:pPr>
      <w:r w:rsidRPr="00781E8A">
        <w:rPr>
          <w:i/>
          <w:vertAlign w:val="superscript"/>
        </w:rPr>
        <w:t>5</w:t>
      </w:r>
      <w:r w:rsidRPr="00781E8A">
        <w:rPr>
          <w:i/>
        </w:rPr>
        <w:t xml:space="preserve"> </w:t>
      </w:r>
      <w:r w:rsidR="00587DC5" w:rsidRPr="00587DC5">
        <w:rPr>
          <w:i/>
        </w:rPr>
        <w:t>$70 million to &lt; $80 million</w:t>
      </w:r>
    </w:p>
    <w:p w14:paraId="6EE50B73" w14:textId="67A358A5" w:rsidR="00665FA8" w:rsidRPr="00392F09" w:rsidRDefault="00781E8A" w:rsidP="00781E8A">
      <w:pPr>
        <w:pStyle w:val="TableFigureFooter"/>
        <w:rPr>
          <w:i/>
        </w:rPr>
      </w:pPr>
      <w:r w:rsidRPr="00781E8A">
        <w:rPr>
          <w:i/>
          <w:vertAlign w:val="superscript"/>
        </w:rPr>
        <w:t>6</w:t>
      </w:r>
      <w:r w:rsidR="00B90911">
        <w:rPr>
          <w:i/>
          <w:vertAlign w:val="superscript"/>
        </w:rPr>
        <w:t xml:space="preserve"> </w:t>
      </w:r>
      <w:r w:rsidR="00392F09" w:rsidRPr="00392F09">
        <w:rPr>
          <w:i/>
        </w:rPr>
        <w:t>net cost saving</w:t>
      </w:r>
    </w:p>
    <w:p w14:paraId="166BCBB4" w14:textId="44986776" w:rsidR="00CA0D5D" w:rsidRPr="00DC02CC" w:rsidRDefault="00665FA8" w:rsidP="00781E8A">
      <w:pPr>
        <w:pStyle w:val="TableFigureFooter"/>
        <w:rPr>
          <w:i/>
        </w:rPr>
      </w:pPr>
      <w:r>
        <w:rPr>
          <w:i/>
          <w:vertAlign w:val="superscript"/>
        </w:rPr>
        <w:t>7</w:t>
      </w:r>
      <w:r w:rsidR="00DC02CC">
        <w:rPr>
          <w:i/>
          <w:vertAlign w:val="superscript"/>
        </w:rPr>
        <w:t xml:space="preserve"> </w:t>
      </w:r>
      <w:r w:rsidR="00DC02CC" w:rsidRPr="00DC02CC">
        <w:rPr>
          <w:i/>
        </w:rPr>
        <w:t>$50 million to &lt; $60 million</w:t>
      </w:r>
    </w:p>
    <w:p w14:paraId="3FFA4259" w14:textId="6859C8F6" w:rsidR="00781E8A" w:rsidRPr="00781E8A" w:rsidRDefault="00CA0D5D" w:rsidP="00781E8A">
      <w:pPr>
        <w:pStyle w:val="TableFigureFooter"/>
        <w:rPr>
          <w:i/>
        </w:rPr>
      </w:pPr>
      <w:r>
        <w:rPr>
          <w:i/>
          <w:vertAlign w:val="superscript"/>
        </w:rPr>
        <w:t>8</w:t>
      </w:r>
      <w:r w:rsidR="00781E8A" w:rsidRPr="00781E8A">
        <w:rPr>
          <w:i/>
        </w:rPr>
        <w:t xml:space="preserve"> </w:t>
      </w:r>
      <w:r w:rsidR="00602BE7" w:rsidRPr="00602BE7">
        <w:rPr>
          <w:i/>
        </w:rPr>
        <w:t>$0 to &lt; $10 million</w:t>
      </w:r>
    </w:p>
    <w:p w14:paraId="0CBEAF41" w14:textId="77777777" w:rsidR="00781E8A" w:rsidRPr="0098262F" w:rsidRDefault="00781E8A" w:rsidP="00C1302F">
      <w:pPr>
        <w:pStyle w:val="TableFigureFooter"/>
      </w:pPr>
    </w:p>
    <w:p w14:paraId="0B3E23FD" w14:textId="03FF2ADA" w:rsidR="00A50BB8" w:rsidRPr="008844BA" w:rsidRDefault="00A50BB8" w:rsidP="00B33EB7">
      <w:pPr>
        <w:pStyle w:val="3-BodyText"/>
        <w:spacing w:before="160" w:after="160"/>
      </w:pPr>
      <w:r w:rsidRPr="0098262F">
        <w:t xml:space="preserve">The total cost to the PBS/RPBS of listing </w:t>
      </w:r>
      <w:r>
        <w:t>durvalumab</w:t>
      </w:r>
      <w:r w:rsidRPr="0098262F">
        <w:t xml:space="preserve"> was estimated to be </w:t>
      </w:r>
      <w:r w:rsidR="00423F8C" w:rsidRPr="00423F8C">
        <w:t>$70 million to &lt; $80 million</w:t>
      </w:r>
      <w:r>
        <w:t xml:space="preserve"> </w:t>
      </w:r>
      <w:r w:rsidRPr="0098262F">
        <w:t xml:space="preserve">in Year </w:t>
      </w:r>
      <w:r>
        <w:t>6</w:t>
      </w:r>
      <w:r w:rsidRPr="0098262F">
        <w:t xml:space="preserve">, and a total of </w:t>
      </w:r>
      <w:r w:rsidR="00EC5263" w:rsidRPr="00EC5263">
        <w:t>$400 million to &lt; $500 million</w:t>
      </w:r>
      <w:r w:rsidRPr="0098262F">
        <w:t xml:space="preserve"> in the first 6 years of listing</w:t>
      </w:r>
      <w:r w:rsidRPr="00CB2DB0">
        <w:t xml:space="preserve">. </w:t>
      </w:r>
    </w:p>
    <w:p w14:paraId="11F7B40C" w14:textId="70C8E452" w:rsidR="00AE4446" w:rsidRDefault="00A50BB8" w:rsidP="00B33EB7">
      <w:pPr>
        <w:pStyle w:val="3-BodyText"/>
        <w:spacing w:before="160" w:after="160"/>
      </w:pPr>
      <w:bookmarkStart w:id="59" w:name="_Ref221892270"/>
      <w:r w:rsidRPr="00AA2F6C">
        <w:t xml:space="preserve">Several uncertainties were identified during the evaluation, including </w:t>
      </w:r>
      <w:r w:rsidR="001A2A9A">
        <w:t>a high</w:t>
      </w:r>
      <w:r w:rsidRPr="00AA2F6C">
        <w:t xml:space="preserve"> uptake rate for the first year of listing, </w:t>
      </w:r>
      <w:r w:rsidR="0003608B">
        <w:t xml:space="preserve">the </w:t>
      </w:r>
      <w:r w:rsidRPr="00AA2F6C">
        <w:t xml:space="preserve">proportion of patients receiving surgery, </w:t>
      </w:r>
      <w:r w:rsidR="0003608B">
        <w:t xml:space="preserve">the </w:t>
      </w:r>
      <w:r w:rsidRPr="00AA2F6C">
        <w:t xml:space="preserve">proportion of patients who received prior FLOT and </w:t>
      </w:r>
      <w:r w:rsidR="0003608B">
        <w:t xml:space="preserve">the </w:t>
      </w:r>
      <w:r w:rsidRPr="00AA2F6C">
        <w:t>proportion of</w:t>
      </w:r>
      <w:r w:rsidR="00F76558">
        <w:t xml:space="preserve"> </w:t>
      </w:r>
      <w:r w:rsidRPr="00AA2F6C">
        <w:t>GC/GOJC</w:t>
      </w:r>
      <w:r w:rsidR="00F76558">
        <w:t xml:space="preserve"> patients</w:t>
      </w:r>
      <w:r w:rsidRPr="00AA2F6C">
        <w:t xml:space="preserve"> eligible</w:t>
      </w:r>
      <w:r w:rsidR="00F76558">
        <w:t xml:space="preserve"> </w:t>
      </w:r>
      <w:r w:rsidRPr="00AA2F6C">
        <w:t>for D</w:t>
      </w:r>
      <w:r w:rsidR="00E17AE2">
        <w:t xml:space="preserve"> </w:t>
      </w:r>
      <w:r w:rsidRPr="00AA2F6C">
        <w:t>+</w:t>
      </w:r>
      <w:r w:rsidR="00E17AE2">
        <w:t xml:space="preserve"> </w:t>
      </w:r>
      <w:r w:rsidRPr="00AA2F6C">
        <w:t xml:space="preserve">FLOT. </w:t>
      </w:r>
      <w:r w:rsidR="00731776">
        <w:t xml:space="preserve">The estimates were most sensitive to the proportion of </w:t>
      </w:r>
      <w:r w:rsidR="0044434C">
        <w:t>GC/GOJC patients eligible for D + FLOT</w:t>
      </w:r>
      <w:r w:rsidR="008F2249">
        <w:t xml:space="preserve">, which relied on several </w:t>
      </w:r>
      <w:r w:rsidR="003D0160">
        <w:t xml:space="preserve">sources and </w:t>
      </w:r>
      <w:r w:rsidR="008F2249">
        <w:t>assumpt</w:t>
      </w:r>
      <w:r w:rsidR="009013D8">
        <w:t xml:space="preserve">ions. The PBAC considered that these assumptions were somewhat uncertain but appeared </w:t>
      </w:r>
      <w:r w:rsidR="003A748B">
        <w:t>to be reasonable overall</w:t>
      </w:r>
      <w:r w:rsidR="0044434C">
        <w:t xml:space="preserve">. </w:t>
      </w:r>
      <w:bookmarkEnd w:id="59"/>
    </w:p>
    <w:p w14:paraId="1C981926" w14:textId="77777777" w:rsidR="00AE4446" w:rsidRDefault="00AE4446" w:rsidP="00AE4446">
      <w:pPr>
        <w:pStyle w:val="3-BodyText"/>
        <w:numPr>
          <w:ilvl w:val="0"/>
          <w:numId w:val="0"/>
        </w:numPr>
        <w:jc w:val="left"/>
      </w:pPr>
    </w:p>
    <w:p w14:paraId="719D443C" w14:textId="77777777" w:rsidR="00753351" w:rsidRPr="0098262F" w:rsidRDefault="00753351" w:rsidP="00753351">
      <w:pPr>
        <w:pStyle w:val="4-SubsectionHeading"/>
        <w:keepNext w:val="0"/>
        <w:spacing w:before="160" w:after="160"/>
      </w:pPr>
      <w:bookmarkStart w:id="60" w:name="_Toc107927634"/>
      <w:bookmarkStart w:id="61" w:name="_Toc219379974"/>
      <w:r w:rsidRPr="0098262F">
        <w:lastRenderedPageBreak/>
        <w:t>Quality Use of Medicines</w:t>
      </w:r>
      <w:bookmarkEnd w:id="60"/>
      <w:bookmarkEnd w:id="61"/>
    </w:p>
    <w:p w14:paraId="394FA304" w14:textId="1085D25A" w:rsidR="00753351" w:rsidRPr="00A50BB8" w:rsidRDefault="00753351" w:rsidP="00753351">
      <w:pPr>
        <w:pStyle w:val="3-BodyText"/>
        <w:spacing w:before="160" w:after="160"/>
        <w:rPr>
          <w:b/>
          <w:bCs/>
          <w:color w:val="0066FF"/>
        </w:rPr>
      </w:pPr>
      <w:r>
        <w:t xml:space="preserve">The sponsor noted that they intend to </w:t>
      </w:r>
      <w:r w:rsidRPr="00BC48F4">
        <w:t xml:space="preserve">work collaboratively with healthcare professionals to ensure that </w:t>
      </w:r>
      <w:r>
        <w:t xml:space="preserve">durvalumab </w:t>
      </w:r>
      <w:r w:rsidRPr="00BC48F4">
        <w:t xml:space="preserve">is used appropriately and in line with the available clinical evidence and </w:t>
      </w:r>
      <w:r>
        <w:t xml:space="preserve">the </w:t>
      </w:r>
      <w:r w:rsidRPr="00BC48F4">
        <w:t>TGA restriction.</w:t>
      </w:r>
      <w:r>
        <w:t xml:space="preserve"> Furthermore, the sponsor also indicated that several international post</w:t>
      </w:r>
      <w:r w:rsidR="00675F55">
        <w:noBreakHyphen/>
      </w:r>
      <w:r>
        <w:t>marketing surveillance studies for durvalumab are planned internationally, though no further details on these studies were provided.</w:t>
      </w:r>
    </w:p>
    <w:p w14:paraId="3F2D959D" w14:textId="77777777" w:rsidR="00753351" w:rsidRPr="0098262F" w:rsidRDefault="00753351" w:rsidP="00753351">
      <w:pPr>
        <w:pStyle w:val="4-SubsectionHeading"/>
        <w:spacing w:before="160" w:after="160"/>
      </w:pPr>
      <w:bookmarkStart w:id="62" w:name="_Toc22897649"/>
      <w:bookmarkStart w:id="63" w:name="_Toc219379975"/>
      <w:r w:rsidRPr="0098262F">
        <w:t>Financial Management – Risk Sharing Arrangements</w:t>
      </w:r>
      <w:bookmarkEnd w:id="62"/>
      <w:bookmarkEnd w:id="63"/>
    </w:p>
    <w:p w14:paraId="52D1749C" w14:textId="54E6ED27" w:rsidR="00753351" w:rsidRPr="00401797" w:rsidRDefault="00753351" w:rsidP="00753351">
      <w:pPr>
        <w:pStyle w:val="3-BodyText"/>
        <w:spacing w:before="160" w:after="160"/>
        <w:rPr>
          <w:i/>
          <w:iCs/>
        </w:rPr>
      </w:pPr>
      <w:r w:rsidRPr="003B4BDB">
        <w:t xml:space="preserve">No risk sharing arrangement (RSA) </w:t>
      </w:r>
      <w:r w:rsidR="00BA7F7D">
        <w:t>was proposed</w:t>
      </w:r>
      <w:r w:rsidRPr="003B4BDB">
        <w:t xml:space="preserve"> in the submission</w:t>
      </w:r>
      <w:r w:rsidRPr="00753351">
        <w:t xml:space="preserve">. There do not appear to be any major risks in </w:t>
      </w:r>
      <w:r w:rsidR="00AB684E">
        <w:t xml:space="preserve">terms of the </w:t>
      </w:r>
      <w:r w:rsidRPr="00753351">
        <w:t>patient population, dose escalation or use beyond disease progression to be managed through an RSA. However, RSAs are in place for other immunotherapies for gastro</w:t>
      </w:r>
      <w:r w:rsidR="00675F55">
        <w:noBreakHyphen/>
      </w:r>
      <w:r w:rsidRPr="00753351">
        <w:t xml:space="preserve">oesophageal cancers in the advanced or metastatic setting which could be impacted by the proposed listing. Both the </w:t>
      </w:r>
      <w:r w:rsidR="00AB684E" w:rsidRPr="00753351">
        <w:t>cost</w:t>
      </w:r>
      <w:r w:rsidR="00675F55">
        <w:noBreakHyphen/>
      </w:r>
      <w:r w:rsidRPr="00753351">
        <w:t xml:space="preserve">effectiveness and financial estimates presented rely on modelling a reduction in use of subsequent IO. </w:t>
      </w:r>
      <w:r w:rsidR="002A7A79">
        <w:t>The pre</w:t>
      </w:r>
      <w:r w:rsidR="00675F55">
        <w:noBreakHyphen/>
      </w:r>
      <w:r w:rsidR="002A7A79">
        <w:t>PBAC response</w:t>
      </w:r>
      <w:r w:rsidR="009E16AC">
        <w:t xml:space="preserve"> maintained that an RSA was not proposed as the requested listing is tightly aligned to the clinically appropriate population and expected use.</w:t>
      </w:r>
    </w:p>
    <w:p w14:paraId="25F3D4C4" w14:textId="77777777" w:rsidR="009558C2" w:rsidRPr="00C33D30" w:rsidRDefault="009558C2" w:rsidP="009558C2">
      <w:pPr>
        <w:ind w:firstLine="709"/>
        <w:rPr>
          <w:rFonts w:asciiTheme="minorHAnsi" w:hAnsiTheme="minorHAnsi"/>
          <w:i/>
        </w:rPr>
      </w:pPr>
      <w:r w:rsidRPr="00C33D30">
        <w:rPr>
          <w:rFonts w:asciiTheme="minorHAnsi" w:hAnsiTheme="minorHAnsi"/>
          <w:i/>
        </w:rPr>
        <w:t>For more detail on PBAC’s view, see section 7 PBAC outcome.</w:t>
      </w:r>
    </w:p>
    <w:p w14:paraId="08F133EC" w14:textId="77777777" w:rsidR="00C540FB" w:rsidRPr="0090150D" w:rsidRDefault="00C540FB" w:rsidP="00C540FB">
      <w:pPr>
        <w:pStyle w:val="2-SectionHeading"/>
        <w:numPr>
          <w:ilvl w:val="0"/>
          <w:numId w:val="1"/>
        </w:numPr>
      </w:pPr>
      <w:bookmarkStart w:id="64" w:name="_Hlk76381249"/>
      <w:r w:rsidRPr="0090150D">
        <w:t>PBAC Outcome</w:t>
      </w:r>
    </w:p>
    <w:p w14:paraId="537D1BC5" w14:textId="2E06B2C6" w:rsidR="00C540FB" w:rsidRPr="00F90BF7" w:rsidRDefault="00C540FB">
      <w:pPr>
        <w:widowControl w:val="0"/>
        <w:numPr>
          <w:ilvl w:val="1"/>
          <w:numId w:val="1"/>
        </w:numPr>
        <w:spacing w:after="120"/>
        <w:rPr>
          <w:rFonts w:asciiTheme="minorHAnsi" w:hAnsiTheme="minorHAnsi"/>
          <w:snapToGrid w:val="0"/>
          <w:lang w:val="en-GB"/>
        </w:rPr>
      </w:pPr>
      <w:r w:rsidRPr="00F90BF7">
        <w:rPr>
          <w:rFonts w:asciiTheme="minorHAnsi" w:hAnsiTheme="minorHAnsi"/>
          <w:snapToGrid w:val="0"/>
          <w:lang w:val="en-GB"/>
        </w:rPr>
        <w:t xml:space="preserve">The PBAC recommended the listing of </w:t>
      </w:r>
      <w:r w:rsidR="00726485" w:rsidRPr="00F90BF7">
        <w:rPr>
          <w:rFonts w:asciiTheme="minorHAnsi" w:hAnsiTheme="minorHAnsi"/>
          <w:snapToGrid w:val="0"/>
          <w:lang w:val="en-GB"/>
        </w:rPr>
        <w:t>durvalumab</w:t>
      </w:r>
      <w:r w:rsidR="00634377">
        <w:rPr>
          <w:rFonts w:asciiTheme="minorHAnsi" w:hAnsiTheme="minorHAnsi"/>
          <w:snapToGrid w:val="0"/>
          <w:lang w:val="en-GB"/>
        </w:rPr>
        <w:t xml:space="preserve"> </w:t>
      </w:r>
      <w:r w:rsidR="00634377" w:rsidRPr="000D0E03">
        <w:t xml:space="preserve">for the perioperative treatment of gastric cancer or gastroesophageal junction cancer </w:t>
      </w:r>
      <w:r w:rsidR="007E7DAE">
        <w:t xml:space="preserve">(GC/GOJC) </w:t>
      </w:r>
      <w:r w:rsidR="00634377">
        <w:t xml:space="preserve">in patients </w:t>
      </w:r>
      <w:r w:rsidR="00634377" w:rsidRPr="000D0E03">
        <w:t>who</w:t>
      </w:r>
      <w:r w:rsidR="00634377" w:rsidRPr="00092EE4">
        <w:t xml:space="preserve"> are </w:t>
      </w:r>
      <w:r w:rsidR="00634377" w:rsidRPr="00DE0FD8">
        <w:t xml:space="preserve">eligible for neoadjuvant FLOT </w:t>
      </w:r>
      <w:r w:rsidR="00634377" w:rsidRPr="00092EE4">
        <w:t>(fluorouracil, leucovorin, oxaliplatin, docetaxel) chemotherapy</w:t>
      </w:r>
      <w:r w:rsidRPr="00F90BF7">
        <w:rPr>
          <w:rFonts w:asciiTheme="minorHAnsi" w:hAnsiTheme="minorHAnsi"/>
          <w:snapToGrid w:val="0"/>
          <w:lang w:val="en-GB"/>
        </w:rPr>
        <w:t>, on the basis that it should be available only under special arrangements under Section 100</w:t>
      </w:r>
      <w:r w:rsidR="004E1D98">
        <w:rPr>
          <w:rFonts w:asciiTheme="minorHAnsi" w:hAnsiTheme="minorHAnsi"/>
          <w:snapToGrid w:val="0"/>
          <w:lang w:val="en-GB"/>
        </w:rPr>
        <w:t xml:space="preserve"> (Efficient Funding of Chemotherapy</w:t>
      </w:r>
      <w:r w:rsidR="000677EB">
        <w:rPr>
          <w:rFonts w:asciiTheme="minorHAnsi" w:hAnsiTheme="minorHAnsi"/>
          <w:snapToGrid w:val="0"/>
          <w:lang w:val="en-GB"/>
        </w:rPr>
        <w:t xml:space="preserve"> Program)</w:t>
      </w:r>
      <w:r w:rsidRPr="00F90BF7">
        <w:rPr>
          <w:rFonts w:asciiTheme="minorHAnsi" w:hAnsiTheme="minorHAnsi"/>
          <w:snapToGrid w:val="0"/>
          <w:lang w:val="en-GB"/>
        </w:rPr>
        <w:t xml:space="preserve">. </w:t>
      </w:r>
      <w:r w:rsidR="000E4EF7" w:rsidRPr="00E20480">
        <w:t>The PBAC</w:t>
      </w:r>
      <w:r w:rsidR="000E4EF7" w:rsidRPr="00F96D9F">
        <w:t xml:space="preserve"> </w:t>
      </w:r>
      <w:r w:rsidR="0025731F">
        <w:t>is satisfied</w:t>
      </w:r>
      <w:r w:rsidR="000E4EF7" w:rsidRPr="00F96D9F">
        <w:t xml:space="preserve"> that</w:t>
      </w:r>
      <w:r w:rsidR="0025731F">
        <w:t xml:space="preserve"> </w:t>
      </w:r>
      <w:r w:rsidR="00A05192">
        <w:t xml:space="preserve">the addition of </w:t>
      </w:r>
      <w:r w:rsidR="000E4EF7" w:rsidRPr="00F96D9F">
        <w:t xml:space="preserve">perioperative durvalumab </w:t>
      </w:r>
      <w:r w:rsidR="00A05192">
        <w:t xml:space="preserve">to FLOT </w:t>
      </w:r>
      <w:r w:rsidR="000E4EF7">
        <w:t xml:space="preserve">improves event free survival (EFS) and overall survival (OS) </w:t>
      </w:r>
      <w:r w:rsidR="000E4EF7" w:rsidRPr="00F96D9F">
        <w:t>in patient</w:t>
      </w:r>
      <w:r w:rsidR="007E7DAE">
        <w:t xml:space="preserve">s with </w:t>
      </w:r>
      <w:r w:rsidR="00A05192">
        <w:t>GC/GOJC</w:t>
      </w:r>
      <w:r w:rsidR="0012070F">
        <w:t>,</w:t>
      </w:r>
      <w:r w:rsidR="00A05192">
        <w:t xml:space="preserve"> </w:t>
      </w:r>
      <w:r w:rsidR="000E4EF7">
        <w:t xml:space="preserve">compared with </w:t>
      </w:r>
      <w:r w:rsidR="0012070F">
        <w:t>FLOT alone</w:t>
      </w:r>
      <w:r w:rsidR="000E4EF7">
        <w:t>.</w:t>
      </w:r>
      <w:r w:rsidR="0012070F">
        <w:t xml:space="preserve"> </w:t>
      </w:r>
      <w:r w:rsidR="00A03A2E" w:rsidRPr="00F96D9F">
        <w:t xml:space="preserve">The PBAC </w:t>
      </w:r>
      <w:r w:rsidR="00A03A2E">
        <w:t>considered</w:t>
      </w:r>
      <w:r w:rsidR="00A03A2E" w:rsidRPr="00331094">
        <w:t xml:space="preserve"> </w:t>
      </w:r>
      <w:r w:rsidR="00A03A2E">
        <w:t>that durvalumab would be considered acceptably cost</w:t>
      </w:r>
      <w:r w:rsidR="00675F55">
        <w:noBreakHyphen/>
      </w:r>
      <w:r w:rsidR="00A03A2E">
        <w:t xml:space="preserve">effective with </w:t>
      </w:r>
      <w:r w:rsidR="00A03A2E" w:rsidRPr="00331094">
        <w:t>some revision to</w:t>
      </w:r>
      <w:r w:rsidR="00A03A2E">
        <w:t xml:space="preserve"> model </w:t>
      </w:r>
      <w:r w:rsidR="00A03A2E" w:rsidRPr="00331094">
        <w:t xml:space="preserve">inputs and a price reduction </w:t>
      </w:r>
      <w:r w:rsidR="00A03A2E">
        <w:t>that resulted in an</w:t>
      </w:r>
      <w:r w:rsidR="00A03A2E" w:rsidRPr="00331094">
        <w:t xml:space="preserve"> acceptable</w:t>
      </w:r>
      <w:r w:rsidR="00A03A2E">
        <w:t xml:space="preserve"> incremental cost</w:t>
      </w:r>
      <w:r w:rsidR="00675F55">
        <w:noBreakHyphen/>
      </w:r>
      <w:r w:rsidR="00A03A2E">
        <w:t>effectiveness ratio</w:t>
      </w:r>
      <w:r w:rsidR="00A03A2E" w:rsidRPr="00331094">
        <w:t xml:space="preserve"> </w:t>
      </w:r>
      <w:r w:rsidR="00A03A2E">
        <w:t>(</w:t>
      </w:r>
      <w:r w:rsidR="00A03A2E" w:rsidRPr="00331094">
        <w:t>ICER</w:t>
      </w:r>
      <w:r w:rsidR="00A03A2E">
        <w:t>)</w:t>
      </w:r>
      <w:r w:rsidR="00A03A2E" w:rsidRPr="00331094">
        <w:t>. The PBAC considered that the financial estimates were reasonable</w:t>
      </w:r>
      <w:r w:rsidR="00FE4996">
        <w:t>, with minor r</w:t>
      </w:r>
      <w:r w:rsidR="00595B45">
        <w:t>evisions</w:t>
      </w:r>
      <w:r w:rsidR="00A03A2E" w:rsidRPr="00331094">
        <w:t>.</w:t>
      </w:r>
    </w:p>
    <w:p w14:paraId="7C243FB5" w14:textId="6E4B40FB" w:rsidR="00AD1390" w:rsidRPr="008D6A42" w:rsidRDefault="00E11986" w:rsidP="00C540F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w:t>
      </w:r>
      <w:r w:rsidR="00A06094">
        <w:rPr>
          <w:rFonts w:asciiTheme="minorHAnsi" w:hAnsiTheme="minorHAnsi"/>
          <w:snapToGrid w:val="0"/>
          <w:lang w:val="en-GB"/>
        </w:rPr>
        <w:t xml:space="preserve"> proposed</w:t>
      </w:r>
      <w:r>
        <w:rPr>
          <w:rFonts w:asciiTheme="minorHAnsi" w:hAnsiTheme="minorHAnsi"/>
          <w:snapToGrid w:val="0"/>
          <w:lang w:val="en-GB"/>
        </w:rPr>
        <w:t xml:space="preserve"> clinical place for durvalumab was well</w:t>
      </w:r>
      <w:r w:rsidR="00675F55">
        <w:rPr>
          <w:rFonts w:asciiTheme="minorHAnsi" w:hAnsiTheme="minorHAnsi"/>
          <w:snapToGrid w:val="0"/>
          <w:lang w:val="en-GB"/>
        </w:rPr>
        <w:noBreakHyphen/>
      </w:r>
      <w:r>
        <w:rPr>
          <w:rFonts w:asciiTheme="minorHAnsi" w:hAnsiTheme="minorHAnsi"/>
          <w:snapToGrid w:val="0"/>
          <w:lang w:val="en-GB"/>
        </w:rPr>
        <w:t>defined</w:t>
      </w:r>
      <w:r w:rsidR="00664A2D">
        <w:rPr>
          <w:rFonts w:asciiTheme="minorHAnsi" w:hAnsiTheme="minorHAnsi"/>
          <w:snapToGrid w:val="0"/>
          <w:lang w:val="en-GB"/>
        </w:rPr>
        <w:t xml:space="preserve">, </w:t>
      </w:r>
      <w:r w:rsidR="00634377">
        <w:rPr>
          <w:rFonts w:asciiTheme="minorHAnsi" w:hAnsiTheme="minorHAnsi"/>
          <w:snapToGrid w:val="0"/>
          <w:lang w:val="en-GB"/>
        </w:rPr>
        <w:t>supported</w:t>
      </w:r>
      <w:r w:rsidR="00DE77D5">
        <w:rPr>
          <w:rFonts w:asciiTheme="minorHAnsi" w:hAnsiTheme="minorHAnsi"/>
          <w:snapToGrid w:val="0"/>
          <w:lang w:val="en-GB"/>
        </w:rPr>
        <w:t xml:space="preserve"> by the </w:t>
      </w:r>
      <w:r w:rsidR="00135FC3">
        <w:rPr>
          <w:rFonts w:asciiTheme="minorHAnsi" w:hAnsiTheme="minorHAnsi"/>
          <w:snapToGrid w:val="0"/>
          <w:lang w:val="en-GB"/>
        </w:rPr>
        <w:t>clinical</w:t>
      </w:r>
      <w:r w:rsidR="00DE77D5">
        <w:rPr>
          <w:rFonts w:asciiTheme="minorHAnsi" w:hAnsiTheme="minorHAnsi"/>
          <w:snapToGrid w:val="0"/>
          <w:lang w:val="en-GB"/>
        </w:rPr>
        <w:t xml:space="preserve"> evidence</w:t>
      </w:r>
      <w:r w:rsidR="00571096">
        <w:rPr>
          <w:rFonts w:asciiTheme="minorHAnsi" w:hAnsiTheme="minorHAnsi"/>
          <w:snapToGrid w:val="0"/>
          <w:lang w:val="en-GB"/>
        </w:rPr>
        <w:t>,</w:t>
      </w:r>
      <w:r w:rsidR="00DE77D5">
        <w:rPr>
          <w:rFonts w:asciiTheme="minorHAnsi" w:hAnsiTheme="minorHAnsi"/>
          <w:snapToGrid w:val="0"/>
          <w:lang w:val="en-GB"/>
        </w:rPr>
        <w:t xml:space="preserve"> and consistent with local and </w:t>
      </w:r>
      <w:r w:rsidR="00DE77D5" w:rsidRPr="008D6A42">
        <w:rPr>
          <w:rFonts w:asciiTheme="minorHAnsi" w:hAnsiTheme="minorHAnsi"/>
          <w:snapToGrid w:val="0"/>
          <w:lang w:val="en-GB"/>
        </w:rPr>
        <w:t>international guidelines.</w:t>
      </w:r>
      <w:r w:rsidR="00664A2D" w:rsidRPr="008D6A42">
        <w:rPr>
          <w:rFonts w:asciiTheme="minorHAnsi" w:hAnsiTheme="minorHAnsi"/>
          <w:snapToGrid w:val="0"/>
          <w:lang w:val="en-GB"/>
        </w:rPr>
        <w:t xml:space="preserve"> </w:t>
      </w:r>
    </w:p>
    <w:p w14:paraId="0AF28EAE" w14:textId="1CEC3893" w:rsidR="00C540FB" w:rsidRPr="008D6A42" w:rsidRDefault="009D6677" w:rsidP="00C540FB">
      <w:pPr>
        <w:widowControl w:val="0"/>
        <w:numPr>
          <w:ilvl w:val="1"/>
          <w:numId w:val="1"/>
        </w:numPr>
        <w:spacing w:after="120"/>
        <w:rPr>
          <w:rFonts w:asciiTheme="minorHAnsi" w:hAnsiTheme="minorHAnsi"/>
          <w:snapToGrid w:val="0"/>
          <w:lang w:val="en-GB"/>
        </w:rPr>
      </w:pPr>
      <w:r w:rsidRPr="008D6A42">
        <w:t>The PBAC noted that the submission assumed that nivolumab would not be available as later line therapy in patients</w:t>
      </w:r>
      <w:r w:rsidR="003E5311" w:rsidRPr="008D6A42">
        <w:t xml:space="preserve"> with progressive disease after treatment with </w:t>
      </w:r>
      <w:r w:rsidR="002D3793" w:rsidRPr="008D6A42">
        <w:t>durvalumab, however the broad listing for nivolumab</w:t>
      </w:r>
      <w:r w:rsidR="006557CD" w:rsidRPr="008D6A42">
        <w:t>/</w:t>
      </w:r>
      <w:r w:rsidR="002D3793" w:rsidRPr="008D6A42">
        <w:t xml:space="preserve">ipilimumab </w:t>
      </w:r>
      <w:r w:rsidR="00A727D6" w:rsidRPr="008D6A42">
        <w:t xml:space="preserve">in the advanced and </w:t>
      </w:r>
      <w:r w:rsidR="00A727D6" w:rsidRPr="008D6A42">
        <w:lastRenderedPageBreak/>
        <w:t xml:space="preserve">metastatic setting </w:t>
      </w:r>
      <w:r w:rsidR="002D3793" w:rsidRPr="008D6A42">
        <w:t xml:space="preserve">would </w:t>
      </w:r>
      <w:r w:rsidR="00A727D6" w:rsidRPr="008D6A42">
        <w:t>allow for subsequent nivolumab.</w:t>
      </w:r>
      <w:r w:rsidR="00AD1390" w:rsidRPr="008D6A42">
        <w:t xml:space="preserve"> The PBAC also noted that there may be some patients with advanced GC/GOJC who would be eligible for nivolumab under the broad nivolumab/ipilimumab </w:t>
      </w:r>
      <w:r w:rsidR="00AD1390" w:rsidRPr="008D6A42">
        <w:rPr>
          <w:rFonts w:asciiTheme="minorHAnsi" w:hAnsiTheme="minorHAnsi"/>
          <w:snapToGrid w:val="0"/>
          <w:lang w:val="en-GB"/>
        </w:rPr>
        <w:t>listing, though the likely extent of perioperative use of nivolumab is unclear.</w:t>
      </w:r>
    </w:p>
    <w:p w14:paraId="16586DFF" w14:textId="680B2D00" w:rsidR="00C540FB" w:rsidRPr="00CE42B4" w:rsidRDefault="003B12D0" w:rsidP="00C540FB">
      <w:pPr>
        <w:widowControl w:val="0"/>
        <w:numPr>
          <w:ilvl w:val="1"/>
          <w:numId w:val="1"/>
        </w:numPr>
        <w:spacing w:after="120"/>
        <w:rPr>
          <w:rFonts w:asciiTheme="minorHAnsi" w:hAnsiTheme="minorHAnsi"/>
          <w:snapToGrid w:val="0"/>
          <w:lang w:val="en-GB"/>
        </w:rPr>
      </w:pPr>
      <w:r w:rsidRPr="0038179D">
        <w:t>The submission nominated perioperative FLOT alone, the current SOC, as the comparator</w:t>
      </w:r>
      <w:r>
        <w:t>. The PBAC considered that</w:t>
      </w:r>
      <w:r w:rsidR="00B50E05">
        <w:t xml:space="preserve"> FLOT alone was the</w:t>
      </w:r>
      <w:r w:rsidR="00C315AE">
        <w:t xml:space="preserve"> appropriate</w:t>
      </w:r>
      <w:r w:rsidR="00B50E05">
        <w:t xml:space="preserve"> </w:t>
      </w:r>
      <w:r w:rsidR="00B47EF8">
        <w:t>primary comparator</w:t>
      </w:r>
      <w:r>
        <w:t xml:space="preserve">. </w:t>
      </w:r>
    </w:p>
    <w:p w14:paraId="0E1A71E6" w14:textId="0CC04666" w:rsidR="00DE065E" w:rsidRPr="00DE065E" w:rsidRDefault="000F239E" w:rsidP="00DE065E">
      <w:pPr>
        <w:widowControl w:val="0"/>
        <w:numPr>
          <w:ilvl w:val="1"/>
          <w:numId w:val="1"/>
        </w:numPr>
        <w:spacing w:after="120"/>
        <w:rPr>
          <w:rFonts w:asciiTheme="minorHAnsi" w:hAnsiTheme="minorHAnsi"/>
          <w:snapToGrid w:val="0"/>
        </w:rPr>
      </w:pPr>
      <w:r w:rsidRPr="000F239E">
        <w:rPr>
          <w:rFonts w:asciiTheme="minorHAnsi" w:hAnsiTheme="minorHAnsi"/>
          <w:snapToGrid w:val="0"/>
          <w:lang w:val="en-GB"/>
        </w:rPr>
        <w:t>The submission was based on one</w:t>
      </w:r>
      <w:r w:rsidR="00F70CBA">
        <w:rPr>
          <w:rFonts w:asciiTheme="minorHAnsi" w:hAnsiTheme="minorHAnsi"/>
          <w:snapToGrid w:val="0"/>
          <w:lang w:val="en-GB"/>
        </w:rPr>
        <w:t xml:space="preserve"> large</w:t>
      </w:r>
      <w:r w:rsidRPr="000F239E">
        <w:rPr>
          <w:rFonts w:asciiTheme="minorHAnsi" w:hAnsiTheme="minorHAnsi"/>
          <w:snapToGrid w:val="0"/>
          <w:lang w:val="en-GB"/>
        </w:rPr>
        <w:t xml:space="preserve"> head</w:t>
      </w:r>
      <w:r w:rsidR="00675F55">
        <w:rPr>
          <w:rFonts w:asciiTheme="minorHAnsi" w:hAnsiTheme="minorHAnsi"/>
          <w:snapToGrid w:val="0"/>
          <w:lang w:val="en-GB"/>
        </w:rPr>
        <w:noBreakHyphen/>
      </w:r>
      <w:r w:rsidRPr="000F239E">
        <w:rPr>
          <w:rFonts w:asciiTheme="minorHAnsi" w:hAnsiTheme="minorHAnsi"/>
          <w:snapToGrid w:val="0"/>
          <w:lang w:val="en-GB"/>
        </w:rPr>
        <w:t>to</w:t>
      </w:r>
      <w:r w:rsidR="00675F55">
        <w:rPr>
          <w:rFonts w:asciiTheme="minorHAnsi" w:hAnsiTheme="minorHAnsi"/>
          <w:snapToGrid w:val="0"/>
          <w:lang w:val="en-GB"/>
        </w:rPr>
        <w:noBreakHyphen/>
      </w:r>
      <w:r w:rsidRPr="000F239E">
        <w:rPr>
          <w:rFonts w:asciiTheme="minorHAnsi" w:hAnsiTheme="minorHAnsi"/>
          <w:snapToGrid w:val="0"/>
          <w:lang w:val="en-GB"/>
        </w:rPr>
        <w:t xml:space="preserve">head trial comparing D + FLOT to Pbo + FLOT (MATTERHORN). </w:t>
      </w:r>
      <w:r w:rsidR="000F7D78" w:rsidRPr="00FF5532">
        <w:rPr>
          <w:rFonts w:asciiTheme="minorHAnsi" w:hAnsiTheme="minorHAnsi"/>
          <w:snapToGrid w:val="0"/>
        </w:rPr>
        <w:t xml:space="preserve">The primary outcome in MATTERHORN was EFS, and key secondary outcomes were OS and pCR. </w:t>
      </w:r>
      <w:r>
        <w:rPr>
          <w:rFonts w:asciiTheme="minorHAnsi" w:hAnsiTheme="minorHAnsi"/>
          <w:snapToGrid w:val="0"/>
          <w:lang w:val="en-GB"/>
        </w:rPr>
        <w:t xml:space="preserve">The PBAC considered that the </w:t>
      </w:r>
      <w:r w:rsidR="007D5681">
        <w:rPr>
          <w:rFonts w:asciiTheme="minorHAnsi" w:hAnsiTheme="minorHAnsi"/>
          <w:snapToGrid w:val="0"/>
          <w:lang w:val="en-GB"/>
        </w:rPr>
        <w:t xml:space="preserve">patient population included in MATTERHORN is likely to </w:t>
      </w:r>
      <w:r w:rsidR="00B76771">
        <w:rPr>
          <w:rFonts w:asciiTheme="minorHAnsi" w:hAnsiTheme="minorHAnsi"/>
          <w:snapToGrid w:val="0"/>
          <w:lang w:val="en-GB"/>
        </w:rPr>
        <w:t xml:space="preserve">be </w:t>
      </w:r>
      <w:proofErr w:type="gramStart"/>
      <w:r w:rsidR="00B76771">
        <w:rPr>
          <w:rFonts w:asciiTheme="minorHAnsi" w:hAnsiTheme="minorHAnsi"/>
          <w:snapToGrid w:val="0"/>
          <w:lang w:val="en-GB"/>
        </w:rPr>
        <w:t>similar to</w:t>
      </w:r>
      <w:proofErr w:type="gramEnd"/>
      <w:r w:rsidR="00B76771">
        <w:rPr>
          <w:rFonts w:asciiTheme="minorHAnsi" w:hAnsiTheme="minorHAnsi"/>
          <w:snapToGrid w:val="0"/>
          <w:lang w:val="en-GB"/>
        </w:rPr>
        <w:t xml:space="preserve"> the PBS population</w:t>
      </w:r>
      <w:r w:rsidR="00E35192">
        <w:rPr>
          <w:rFonts w:asciiTheme="minorHAnsi" w:hAnsiTheme="minorHAnsi"/>
          <w:snapToGrid w:val="0"/>
          <w:lang w:val="en-GB"/>
        </w:rPr>
        <w:t xml:space="preserve"> under the proposed restrictions</w:t>
      </w:r>
      <w:r w:rsidR="007B347E">
        <w:rPr>
          <w:rFonts w:asciiTheme="minorHAnsi" w:hAnsiTheme="minorHAnsi"/>
          <w:snapToGrid w:val="0"/>
          <w:lang w:val="en-GB"/>
        </w:rPr>
        <w:t xml:space="preserve">. </w:t>
      </w:r>
      <w:r w:rsidR="00DE065E" w:rsidRPr="00DE065E">
        <w:rPr>
          <w:rFonts w:asciiTheme="minorHAnsi" w:hAnsiTheme="minorHAnsi"/>
          <w:snapToGrid w:val="0"/>
        </w:rPr>
        <w:t xml:space="preserve">The </w:t>
      </w:r>
      <w:r w:rsidR="00DE065E">
        <w:rPr>
          <w:rFonts w:asciiTheme="minorHAnsi" w:hAnsiTheme="minorHAnsi"/>
          <w:snapToGrid w:val="0"/>
        </w:rPr>
        <w:t xml:space="preserve">circumstances of use are </w:t>
      </w:r>
      <w:r w:rsidR="00582804">
        <w:rPr>
          <w:rFonts w:asciiTheme="minorHAnsi" w:hAnsiTheme="minorHAnsi"/>
          <w:snapToGrid w:val="0"/>
        </w:rPr>
        <w:t xml:space="preserve">also likely to be similar, </w:t>
      </w:r>
      <w:proofErr w:type="gramStart"/>
      <w:r w:rsidR="00582804">
        <w:rPr>
          <w:rFonts w:asciiTheme="minorHAnsi" w:hAnsiTheme="minorHAnsi"/>
          <w:snapToGrid w:val="0"/>
        </w:rPr>
        <w:t>with the exception of</w:t>
      </w:r>
      <w:proofErr w:type="gramEnd"/>
      <w:r w:rsidR="00582804">
        <w:rPr>
          <w:rFonts w:asciiTheme="minorHAnsi" w:hAnsiTheme="minorHAnsi"/>
          <w:snapToGrid w:val="0"/>
        </w:rPr>
        <w:t xml:space="preserve"> </w:t>
      </w:r>
      <w:r w:rsidR="00DE065E" w:rsidRPr="00DE065E">
        <w:rPr>
          <w:rFonts w:asciiTheme="minorHAnsi" w:hAnsiTheme="minorHAnsi"/>
          <w:snapToGrid w:val="0"/>
        </w:rPr>
        <w:t xml:space="preserve">subsequent </w:t>
      </w:r>
      <w:r w:rsidR="00582804">
        <w:rPr>
          <w:rFonts w:asciiTheme="minorHAnsi" w:hAnsiTheme="minorHAnsi"/>
          <w:snapToGrid w:val="0"/>
        </w:rPr>
        <w:t>immunother</w:t>
      </w:r>
      <w:r w:rsidR="00F70CBA">
        <w:rPr>
          <w:rFonts w:asciiTheme="minorHAnsi" w:hAnsiTheme="minorHAnsi"/>
          <w:snapToGrid w:val="0"/>
        </w:rPr>
        <w:t>a</w:t>
      </w:r>
      <w:r w:rsidR="00582804">
        <w:rPr>
          <w:rFonts w:asciiTheme="minorHAnsi" w:hAnsiTheme="minorHAnsi"/>
          <w:snapToGrid w:val="0"/>
        </w:rPr>
        <w:t>py</w:t>
      </w:r>
      <w:r w:rsidR="00DE065E" w:rsidRPr="00DE065E">
        <w:rPr>
          <w:rFonts w:asciiTheme="minorHAnsi" w:hAnsiTheme="minorHAnsi"/>
          <w:snapToGrid w:val="0"/>
        </w:rPr>
        <w:t xml:space="preserve"> in MATTERHORN</w:t>
      </w:r>
      <w:r w:rsidR="00582804">
        <w:rPr>
          <w:rFonts w:asciiTheme="minorHAnsi" w:hAnsiTheme="minorHAnsi"/>
          <w:snapToGrid w:val="0"/>
        </w:rPr>
        <w:t>, which</w:t>
      </w:r>
      <w:r w:rsidR="00DE065E" w:rsidRPr="00DE065E">
        <w:rPr>
          <w:rFonts w:asciiTheme="minorHAnsi" w:hAnsiTheme="minorHAnsi"/>
          <w:snapToGrid w:val="0"/>
        </w:rPr>
        <w:t xml:space="preserve"> differed from Australian clinical practice.</w:t>
      </w:r>
      <w:r w:rsidR="00582804">
        <w:rPr>
          <w:rFonts w:asciiTheme="minorHAnsi" w:hAnsiTheme="minorHAnsi"/>
          <w:snapToGrid w:val="0"/>
        </w:rPr>
        <w:t xml:space="preserve"> T</w:t>
      </w:r>
      <w:r w:rsidR="00DE065E" w:rsidRPr="00DE065E">
        <w:rPr>
          <w:rFonts w:asciiTheme="minorHAnsi" w:hAnsiTheme="minorHAnsi"/>
          <w:snapToGrid w:val="0"/>
        </w:rPr>
        <w:t xml:space="preserve">he </w:t>
      </w:r>
      <w:r w:rsidR="00582804">
        <w:rPr>
          <w:rFonts w:asciiTheme="minorHAnsi" w:hAnsiTheme="minorHAnsi"/>
          <w:snapToGrid w:val="0"/>
        </w:rPr>
        <w:t xml:space="preserve">PBAC considered that the </w:t>
      </w:r>
      <w:r w:rsidR="00DE065E" w:rsidRPr="00DE065E">
        <w:rPr>
          <w:rFonts w:asciiTheme="minorHAnsi" w:hAnsiTheme="minorHAnsi"/>
          <w:snapToGrid w:val="0"/>
        </w:rPr>
        <w:t xml:space="preserve">lower proportion of patients on Pbo + FLOT who received subsequent IO compared with Australian clinical practice </w:t>
      </w:r>
      <w:r w:rsidR="00582804" w:rsidRPr="00DE065E">
        <w:rPr>
          <w:rFonts w:asciiTheme="minorHAnsi" w:hAnsiTheme="minorHAnsi"/>
          <w:snapToGrid w:val="0"/>
        </w:rPr>
        <w:t>(</w:t>
      </w:r>
      <w:r w:rsidR="007A4979">
        <w:rPr>
          <w:rFonts w:asciiTheme="minorHAnsi" w:hAnsiTheme="minorHAnsi"/>
          <w:snapToGrid w:val="0"/>
        </w:rPr>
        <w:t>2</w:t>
      </w:r>
      <w:r w:rsidR="00582804" w:rsidRPr="00DE065E">
        <w:rPr>
          <w:rFonts w:asciiTheme="minorHAnsi" w:hAnsiTheme="minorHAnsi"/>
          <w:snapToGrid w:val="0"/>
        </w:rPr>
        <w:t>9.</w:t>
      </w:r>
      <w:r w:rsidR="00324083">
        <w:rPr>
          <w:rFonts w:asciiTheme="minorHAnsi" w:hAnsiTheme="minorHAnsi"/>
          <w:snapToGrid w:val="0"/>
        </w:rPr>
        <w:t>4</w:t>
      </w:r>
      <w:r w:rsidR="00582804" w:rsidRPr="00DE065E">
        <w:rPr>
          <w:rFonts w:asciiTheme="minorHAnsi" w:hAnsiTheme="minorHAnsi"/>
          <w:snapToGrid w:val="0"/>
        </w:rPr>
        <w:t xml:space="preserve">% vs </w:t>
      </w:r>
      <w:r w:rsidR="00582804" w:rsidRPr="00602BE7">
        <w:rPr>
          <w:rFonts w:asciiTheme="minorHAnsi" w:hAnsiTheme="minorHAnsi"/>
          <w:snapToGrid w:val="0"/>
        </w:rPr>
        <w:t xml:space="preserve">estimated </w:t>
      </w:r>
      <w:r w:rsidR="00EB1862" w:rsidRPr="00EB1862">
        <w:rPr>
          <w:rFonts w:asciiTheme="minorHAnsi" w:hAnsiTheme="minorHAnsi"/>
          <w:snapToGrid w:val="0"/>
          <w:sz w:val="2"/>
          <w:highlight w:val="black"/>
        </w:rPr>
        <w:t>redacted content</w:t>
      </w:r>
      <w:r w:rsidR="00582804" w:rsidRPr="00602BE7">
        <w:rPr>
          <w:rFonts w:asciiTheme="minorHAnsi" w:hAnsiTheme="minorHAnsi"/>
          <w:snapToGrid w:val="0"/>
        </w:rPr>
        <w:t xml:space="preserve">%) </w:t>
      </w:r>
      <w:r w:rsidR="00DE065E" w:rsidRPr="00602BE7">
        <w:rPr>
          <w:rFonts w:asciiTheme="minorHAnsi" w:hAnsiTheme="minorHAnsi"/>
          <w:snapToGrid w:val="0"/>
        </w:rPr>
        <w:t>may affect the</w:t>
      </w:r>
      <w:r w:rsidR="00DE065E" w:rsidRPr="00DE065E">
        <w:rPr>
          <w:rFonts w:asciiTheme="minorHAnsi" w:hAnsiTheme="minorHAnsi"/>
          <w:snapToGrid w:val="0"/>
        </w:rPr>
        <w:t xml:space="preserve"> magnitude of treatment benefit for OS</w:t>
      </w:r>
      <w:r w:rsidR="00451D4E">
        <w:rPr>
          <w:rFonts w:asciiTheme="minorHAnsi" w:hAnsiTheme="minorHAnsi"/>
          <w:snapToGrid w:val="0"/>
        </w:rPr>
        <w:t>, however the impact is likely to be small</w:t>
      </w:r>
      <w:r w:rsidR="00324083">
        <w:rPr>
          <w:rFonts w:asciiTheme="minorHAnsi" w:hAnsiTheme="minorHAnsi"/>
          <w:snapToGrid w:val="0"/>
        </w:rPr>
        <w:t>,</w:t>
      </w:r>
      <w:r w:rsidR="00784D47" w:rsidRPr="00784D47">
        <w:t xml:space="preserve"> </w:t>
      </w:r>
      <w:r w:rsidR="00784D47" w:rsidRPr="00371480">
        <w:t>given the modest efficacy of immunotherapy in metastatic disease</w:t>
      </w:r>
      <w:r w:rsidR="00DE065E" w:rsidRPr="00DE065E">
        <w:rPr>
          <w:rFonts w:asciiTheme="minorHAnsi" w:hAnsiTheme="minorHAnsi"/>
          <w:snapToGrid w:val="0"/>
        </w:rPr>
        <w:t xml:space="preserve">. </w:t>
      </w:r>
    </w:p>
    <w:p w14:paraId="7CC74919" w14:textId="6A617D2D" w:rsidR="000F239E" w:rsidRPr="00F007E7" w:rsidRDefault="0050361F" w:rsidP="00F007E7">
      <w:pPr>
        <w:widowControl w:val="0"/>
        <w:numPr>
          <w:ilvl w:val="1"/>
          <w:numId w:val="1"/>
        </w:numPr>
        <w:spacing w:after="120"/>
        <w:rPr>
          <w:rFonts w:asciiTheme="minorHAnsi" w:hAnsiTheme="minorHAnsi"/>
          <w:snapToGrid w:val="0"/>
        </w:rPr>
      </w:pPr>
      <w:r w:rsidRPr="00FF5532">
        <w:rPr>
          <w:rFonts w:asciiTheme="minorHAnsi" w:hAnsiTheme="minorHAnsi"/>
          <w:snapToGrid w:val="0"/>
        </w:rPr>
        <w:t xml:space="preserve">The PBAC noted that the addition of durvalumab to FLOT therapy resulted in statistically significant improvements in EFS, OS, </w:t>
      </w:r>
      <w:r w:rsidR="0071381F" w:rsidRPr="00FF5532">
        <w:rPr>
          <w:rFonts w:asciiTheme="minorHAnsi" w:hAnsiTheme="minorHAnsi"/>
          <w:snapToGrid w:val="0"/>
        </w:rPr>
        <w:t>and pCR</w:t>
      </w:r>
      <w:r w:rsidRPr="00FF5532">
        <w:rPr>
          <w:rFonts w:asciiTheme="minorHAnsi" w:hAnsiTheme="minorHAnsi"/>
          <w:snapToGrid w:val="0"/>
        </w:rPr>
        <w:t>. Treatment with D + FLOT demonstrated improved EFS compared with Pbo + FLOT (hazard ratio [HR] 0.71; 95% confidence interval [CI]: 0.58, 0.86; p&lt;0.001)</w:t>
      </w:r>
      <w:r w:rsidR="00C4081C">
        <w:rPr>
          <w:rFonts w:asciiTheme="minorHAnsi" w:hAnsiTheme="minorHAnsi"/>
          <w:snapToGrid w:val="0"/>
        </w:rPr>
        <w:t xml:space="preserve"> and </w:t>
      </w:r>
      <w:r w:rsidR="00A41034" w:rsidRPr="00FF5532">
        <w:rPr>
          <w:rFonts w:asciiTheme="minorHAnsi" w:hAnsiTheme="minorHAnsi"/>
          <w:snapToGrid w:val="0"/>
        </w:rPr>
        <w:t xml:space="preserve">a statistically significant improvement in OS </w:t>
      </w:r>
      <w:r w:rsidR="00C4081C">
        <w:rPr>
          <w:rFonts w:asciiTheme="minorHAnsi" w:hAnsiTheme="minorHAnsi"/>
          <w:snapToGrid w:val="0"/>
        </w:rPr>
        <w:t>c</w:t>
      </w:r>
      <w:r w:rsidR="00CE56E6">
        <w:rPr>
          <w:rFonts w:asciiTheme="minorHAnsi" w:hAnsiTheme="minorHAnsi"/>
          <w:snapToGrid w:val="0"/>
        </w:rPr>
        <w:t xml:space="preserve">ompared with </w:t>
      </w:r>
      <w:r w:rsidR="00A41034" w:rsidRPr="00FF5532">
        <w:rPr>
          <w:rFonts w:asciiTheme="minorHAnsi" w:hAnsiTheme="minorHAnsi"/>
          <w:snapToGrid w:val="0"/>
        </w:rPr>
        <w:t>Pbo + FLOT (HR 0.78; 95% CI: 0.63, 0.96; p = 0.021)</w:t>
      </w:r>
      <w:r w:rsidR="00FF5532" w:rsidRPr="00FF5532">
        <w:rPr>
          <w:rFonts w:asciiTheme="minorHAnsi" w:hAnsiTheme="minorHAnsi"/>
          <w:snapToGrid w:val="0"/>
        </w:rPr>
        <w:t>. A statistically significantly higher proportion of patients on D + FLOT (19.2%) achieved pCR by central review compared with Pbo + FLOT (7.2%) (OR 3.08; 95% CI: 2.03, 4.67; p&lt;0.001)</w:t>
      </w:r>
      <w:r w:rsidR="00FF5532">
        <w:rPr>
          <w:rFonts w:asciiTheme="minorHAnsi" w:hAnsiTheme="minorHAnsi"/>
          <w:snapToGrid w:val="0"/>
        </w:rPr>
        <w:t>.</w:t>
      </w:r>
      <w:r w:rsidR="005C24CC">
        <w:rPr>
          <w:rFonts w:asciiTheme="minorHAnsi" w:hAnsiTheme="minorHAnsi"/>
          <w:snapToGrid w:val="0"/>
        </w:rPr>
        <w:t xml:space="preserve"> </w:t>
      </w:r>
      <w:r w:rsidR="007E3876" w:rsidRPr="007E3876">
        <w:rPr>
          <w:rFonts w:asciiTheme="minorHAnsi" w:hAnsiTheme="minorHAnsi"/>
          <w:snapToGrid w:val="0"/>
        </w:rPr>
        <w:t xml:space="preserve">The </w:t>
      </w:r>
      <w:r w:rsidR="007E3876">
        <w:rPr>
          <w:rFonts w:asciiTheme="minorHAnsi" w:hAnsiTheme="minorHAnsi"/>
          <w:snapToGrid w:val="0"/>
        </w:rPr>
        <w:t>PBAC considered that the clinical claim of superior efficacy was supported</w:t>
      </w:r>
      <w:r w:rsidR="00D37B98">
        <w:rPr>
          <w:rFonts w:asciiTheme="minorHAnsi" w:hAnsiTheme="minorHAnsi"/>
          <w:snapToGrid w:val="0"/>
        </w:rPr>
        <w:t xml:space="preserve">, </w:t>
      </w:r>
      <w:r w:rsidR="007E3876" w:rsidRPr="007E3876">
        <w:rPr>
          <w:rFonts w:asciiTheme="minorHAnsi" w:hAnsiTheme="minorHAnsi"/>
          <w:snapToGrid w:val="0"/>
        </w:rPr>
        <w:t>not</w:t>
      </w:r>
      <w:r w:rsidR="00D37B98">
        <w:rPr>
          <w:rFonts w:asciiTheme="minorHAnsi" w:hAnsiTheme="minorHAnsi"/>
          <w:snapToGrid w:val="0"/>
        </w:rPr>
        <w:t>ing</w:t>
      </w:r>
      <w:r w:rsidR="007E3876" w:rsidRPr="007E3876">
        <w:rPr>
          <w:rFonts w:asciiTheme="minorHAnsi" w:hAnsiTheme="minorHAnsi"/>
          <w:snapToGrid w:val="0"/>
        </w:rPr>
        <w:t xml:space="preserve"> that the EFS benefit was small, but clinically significant and resulted in a statistically significant OS benefit based on relatively mature OS data (in an early disease setting).</w:t>
      </w:r>
    </w:p>
    <w:p w14:paraId="52F97E68" w14:textId="2CE949AA" w:rsidR="00453991" w:rsidRPr="00453991" w:rsidRDefault="00453991" w:rsidP="00453991">
      <w:pPr>
        <w:widowControl w:val="0"/>
        <w:numPr>
          <w:ilvl w:val="1"/>
          <w:numId w:val="1"/>
        </w:numPr>
        <w:spacing w:after="120"/>
        <w:rPr>
          <w:rFonts w:asciiTheme="minorHAnsi" w:hAnsiTheme="minorHAnsi"/>
          <w:snapToGrid w:val="0"/>
        </w:rPr>
      </w:pPr>
      <w:r>
        <w:rPr>
          <w:rFonts w:asciiTheme="minorHAnsi" w:hAnsiTheme="minorHAnsi"/>
          <w:snapToGrid w:val="0"/>
        </w:rPr>
        <w:t xml:space="preserve">The PBAC noted that </w:t>
      </w:r>
      <w:r w:rsidRPr="00453991">
        <w:rPr>
          <w:rFonts w:asciiTheme="minorHAnsi" w:hAnsiTheme="minorHAnsi"/>
          <w:snapToGrid w:val="0"/>
        </w:rPr>
        <w:t xml:space="preserve">AEs, SAEs and discontinuation due to AEs reported in the MATTERHORN trial were numerically higher with D + FLOT than Pbo + FLOT. </w:t>
      </w:r>
      <w:r w:rsidR="000B7C9B" w:rsidRPr="000B7C9B">
        <w:rPr>
          <w:rFonts w:asciiTheme="minorHAnsi" w:hAnsiTheme="minorHAnsi"/>
          <w:snapToGrid w:val="0"/>
        </w:rPr>
        <w:t>Immune</w:t>
      </w:r>
      <w:r w:rsidR="00675F55">
        <w:rPr>
          <w:rFonts w:asciiTheme="minorHAnsi" w:hAnsiTheme="minorHAnsi"/>
          <w:snapToGrid w:val="0"/>
        </w:rPr>
        <w:noBreakHyphen/>
      </w:r>
      <w:r w:rsidR="000B7C9B" w:rsidRPr="000B7C9B">
        <w:rPr>
          <w:rFonts w:asciiTheme="minorHAnsi" w:hAnsiTheme="minorHAnsi"/>
          <w:snapToGrid w:val="0"/>
        </w:rPr>
        <w:t xml:space="preserve">mediated AEs were higher for D + FLOT than Pbo + FLOT (RR 3.19; 95% CI: 2.22, 4.59), as were infusion reactions (RR 1.67; 95% CI: 1.25, 2.25). </w:t>
      </w:r>
      <w:r w:rsidRPr="00453991">
        <w:rPr>
          <w:rFonts w:asciiTheme="minorHAnsi" w:hAnsiTheme="minorHAnsi"/>
          <w:snapToGrid w:val="0"/>
        </w:rPr>
        <w:t>The PBAC considered that the claim of inferior comparative safety was reasonable</w:t>
      </w:r>
      <w:r w:rsidR="00052DBF">
        <w:rPr>
          <w:rFonts w:asciiTheme="minorHAnsi" w:hAnsiTheme="minorHAnsi"/>
          <w:snapToGrid w:val="0"/>
        </w:rPr>
        <w:t xml:space="preserve"> and supported by the clinical data</w:t>
      </w:r>
      <w:r w:rsidRPr="00453991">
        <w:rPr>
          <w:rFonts w:asciiTheme="minorHAnsi" w:hAnsiTheme="minorHAnsi"/>
          <w:snapToGrid w:val="0"/>
        </w:rPr>
        <w:t>.</w:t>
      </w:r>
    </w:p>
    <w:p w14:paraId="1476F875" w14:textId="5A319D90" w:rsidR="00234AB7" w:rsidRDefault="00D57C18" w:rsidP="00234AB7">
      <w:pPr>
        <w:pStyle w:val="3-BodyText"/>
        <w:spacing w:before="160" w:after="160"/>
      </w:pPr>
      <w:bookmarkStart w:id="65" w:name="_Ref224748078"/>
      <w:r>
        <w:rPr>
          <w:snapToGrid w:val="0"/>
          <w:lang w:val="en-GB"/>
        </w:rPr>
        <w:t>The PBAC noted that the submission presented a cost</w:t>
      </w:r>
      <w:r w:rsidR="00675F55">
        <w:rPr>
          <w:snapToGrid w:val="0"/>
          <w:lang w:val="en-GB"/>
        </w:rPr>
        <w:noBreakHyphen/>
      </w:r>
      <w:r>
        <w:rPr>
          <w:snapToGrid w:val="0"/>
          <w:lang w:val="en-GB"/>
        </w:rPr>
        <w:t xml:space="preserve">utility analysis </w:t>
      </w:r>
      <w:r w:rsidR="006A0B99">
        <w:rPr>
          <w:snapToGrid w:val="0"/>
          <w:lang w:val="en-GB"/>
        </w:rPr>
        <w:t>comparing D + FLOT with FLOT alone</w:t>
      </w:r>
      <w:r w:rsidR="00FC4012">
        <w:rPr>
          <w:snapToGrid w:val="0"/>
          <w:lang w:val="en-GB"/>
        </w:rPr>
        <w:t xml:space="preserve">, </w:t>
      </w:r>
      <w:r>
        <w:rPr>
          <w:snapToGrid w:val="0"/>
          <w:lang w:val="en-GB"/>
        </w:rPr>
        <w:t xml:space="preserve">using a </w:t>
      </w:r>
      <w:r w:rsidR="0056697F">
        <w:rPr>
          <w:snapToGrid w:val="0"/>
          <w:lang w:val="en-GB"/>
        </w:rPr>
        <w:t>Semi</w:t>
      </w:r>
      <w:r w:rsidR="00675F55">
        <w:rPr>
          <w:snapToGrid w:val="0"/>
          <w:lang w:val="en-GB"/>
        </w:rPr>
        <w:noBreakHyphen/>
      </w:r>
      <w:r w:rsidR="0056697F">
        <w:rPr>
          <w:snapToGrid w:val="0"/>
          <w:lang w:val="en-GB"/>
        </w:rPr>
        <w:t xml:space="preserve">Markov model with a </w:t>
      </w:r>
      <w:proofErr w:type="gramStart"/>
      <w:r w:rsidR="0056697F">
        <w:rPr>
          <w:snapToGrid w:val="0"/>
          <w:lang w:val="en-GB"/>
        </w:rPr>
        <w:t>25 year</w:t>
      </w:r>
      <w:proofErr w:type="gramEnd"/>
      <w:r w:rsidR="0056697F">
        <w:rPr>
          <w:snapToGrid w:val="0"/>
          <w:lang w:val="en-GB"/>
        </w:rPr>
        <w:t xml:space="preserve"> horizon. </w:t>
      </w:r>
      <w:r w:rsidR="006D345B" w:rsidRPr="00B7254D">
        <w:t xml:space="preserve">The </w:t>
      </w:r>
      <w:r w:rsidR="006D345B">
        <w:t>PBAC agreed with the ESC that</w:t>
      </w:r>
      <w:r w:rsidR="006D345B" w:rsidRPr="00B7254D">
        <w:t xml:space="preserve"> the time horizon of 25 years was too long given the starting age and underlying morbidity of the GC/GOJC population</w:t>
      </w:r>
      <w:r w:rsidR="006A6DE3">
        <w:t xml:space="preserve"> and </w:t>
      </w:r>
      <w:r w:rsidR="001553EF">
        <w:t xml:space="preserve">considered </w:t>
      </w:r>
      <w:r w:rsidR="006A6DE3">
        <w:t xml:space="preserve">that a time </w:t>
      </w:r>
      <w:r w:rsidR="00234AB7" w:rsidRPr="00B7254D">
        <w:lastRenderedPageBreak/>
        <w:t xml:space="preserve">horizon of up to 20 years </w:t>
      </w:r>
      <w:r w:rsidR="006A6DE3">
        <w:t>would be</w:t>
      </w:r>
      <w:r w:rsidR="00234AB7" w:rsidRPr="00B7254D">
        <w:t xml:space="preserve"> acceptable in the context of more conservative assumptions for other model inputs.</w:t>
      </w:r>
      <w:r w:rsidR="00234AB7">
        <w:t xml:space="preserve"> </w:t>
      </w:r>
      <w:r w:rsidR="00A06F18">
        <w:t xml:space="preserve">The PBAC noted that the </w:t>
      </w:r>
      <w:r w:rsidR="00BC355B">
        <w:t xml:space="preserve">model </w:t>
      </w:r>
      <w:r w:rsidR="00C62C6B" w:rsidRPr="00C62C6B">
        <w:t>assume</w:t>
      </w:r>
      <w:r w:rsidR="0025524A">
        <w:t>d</w:t>
      </w:r>
      <w:r w:rsidR="00C62C6B" w:rsidRPr="00C62C6B">
        <w:t xml:space="preserve"> that patients remaining in the </w:t>
      </w:r>
      <w:r w:rsidR="00C62C6B">
        <w:t>event</w:t>
      </w:r>
      <w:r w:rsidR="00675F55">
        <w:noBreakHyphen/>
      </w:r>
      <w:r w:rsidR="00C62C6B">
        <w:t>free</w:t>
      </w:r>
      <w:r w:rsidR="00C62C6B" w:rsidRPr="00C62C6B">
        <w:t xml:space="preserve"> state at 10 years are effectively cured, with no further risk of recurrence and mortality equal to </w:t>
      </w:r>
      <w:r w:rsidR="00605418">
        <w:t xml:space="preserve">the </w:t>
      </w:r>
      <w:r w:rsidR="00C62C6B" w:rsidRPr="00C62C6B">
        <w:t>general population.</w:t>
      </w:r>
      <w:r w:rsidR="00C62C6B">
        <w:t xml:space="preserve"> The PBAC considered that the application of a cure </w:t>
      </w:r>
      <w:r w:rsidR="00A70307">
        <w:t>assumption</w:t>
      </w:r>
      <w:r w:rsidR="00C62C6B">
        <w:t xml:space="preserve"> was </w:t>
      </w:r>
      <w:r w:rsidR="00A70307">
        <w:t>reasonable</w:t>
      </w:r>
      <w:r w:rsidR="00210DCA">
        <w:t>. However</w:t>
      </w:r>
      <w:r w:rsidR="0084189B">
        <w:t>,</w:t>
      </w:r>
      <w:r w:rsidR="00210DCA">
        <w:t xml:space="preserve"> the PBAC </w:t>
      </w:r>
      <w:r w:rsidR="00650C14">
        <w:t xml:space="preserve">noted </w:t>
      </w:r>
      <w:r w:rsidR="00D139F4">
        <w:t xml:space="preserve">that the chosen time </w:t>
      </w:r>
      <w:r w:rsidR="00210DCA">
        <w:t xml:space="preserve">point </w:t>
      </w:r>
      <w:r w:rsidR="00D139F4">
        <w:t xml:space="preserve">of </w:t>
      </w:r>
      <w:r w:rsidR="00210DCA">
        <w:t>10 years</w:t>
      </w:r>
      <w:r w:rsidR="00B976F8">
        <w:t xml:space="preserve"> </w:t>
      </w:r>
      <w:r w:rsidR="00650C14">
        <w:t xml:space="preserve">was not conservative and considered that it </w:t>
      </w:r>
      <w:r w:rsidR="00D6296C">
        <w:t>was not well</w:t>
      </w:r>
      <w:r w:rsidR="00675F55">
        <w:noBreakHyphen/>
      </w:r>
      <w:r w:rsidR="00D6296C">
        <w:t xml:space="preserve">supported as </w:t>
      </w:r>
      <w:r w:rsidR="00271110" w:rsidRPr="00B7254D">
        <w:t>recurrences after 5 years are rare</w:t>
      </w:r>
      <w:r w:rsidR="008E1751">
        <w:t xml:space="preserve">. </w:t>
      </w:r>
      <w:r w:rsidR="0014310A">
        <w:t xml:space="preserve">The PBAC considered that the longer term EFS data from Al Batran (2019) and Hoeppner (2025) </w:t>
      </w:r>
      <w:r w:rsidR="00901810">
        <w:t>referred to in the pre</w:t>
      </w:r>
      <w:r w:rsidR="00675F55">
        <w:noBreakHyphen/>
      </w:r>
      <w:r w:rsidR="00901810">
        <w:t xml:space="preserve">PBAC response </w:t>
      </w:r>
      <w:r w:rsidR="00BB71A8">
        <w:t xml:space="preserve">were consistent with the application of a cure point at 5 years. </w:t>
      </w:r>
      <w:r w:rsidR="00852D2E">
        <w:t xml:space="preserve">The PBAC considered that a revised model including a time horizon of 20 years and </w:t>
      </w:r>
      <w:r w:rsidR="00921412">
        <w:t xml:space="preserve">cure assumed at 5 years would be appropriate, </w:t>
      </w:r>
      <w:r w:rsidR="001E58D5">
        <w:t>which</w:t>
      </w:r>
      <w:r w:rsidR="00176B3D">
        <w:t xml:space="preserve"> increased the ICER from </w:t>
      </w:r>
      <w:r w:rsidR="00FC2B0B" w:rsidRPr="00FC2B0B">
        <w:t>$35,000 to &lt; $45,000</w:t>
      </w:r>
      <w:r w:rsidR="00176B3D">
        <w:t xml:space="preserve">/QALY in the base case to </w:t>
      </w:r>
      <w:r w:rsidR="00FC2B0B" w:rsidRPr="00FC2B0B">
        <w:t>$35,000 to &lt; $45,000</w:t>
      </w:r>
      <w:r w:rsidR="00DD61C8">
        <w:t>/QALY.</w:t>
      </w:r>
      <w:bookmarkEnd w:id="65"/>
      <w:r w:rsidR="00DD61C8">
        <w:t xml:space="preserve"> </w:t>
      </w:r>
    </w:p>
    <w:p w14:paraId="53BB3DF4" w14:textId="49F58FC6" w:rsidR="001C6032" w:rsidRPr="00B7254D" w:rsidRDefault="001C6032" w:rsidP="00234AB7">
      <w:pPr>
        <w:pStyle w:val="3-BodyText"/>
        <w:spacing w:before="160" w:after="160"/>
      </w:pPr>
      <w:r>
        <w:t xml:space="preserve">The PBAC </w:t>
      </w:r>
      <w:r w:rsidR="00E01AAF">
        <w:t>noted that the ICER was relatively robust</w:t>
      </w:r>
      <w:r w:rsidR="00DD57BC">
        <w:t xml:space="preserve"> for most of the </w:t>
      </w:r>
      <w:r w:rsidR="00833B62">
        <w:t>sensitivity</w:t>
      </w:r>
      <w:r w:rsidR="00DD57BC">
        <w:t xml:space="preserve"> analyses </w:t>
      </w:r>
      <w:r w:rsidR="000F30A3">
        <w:t xml:space="preserve">applied, </w:t>
      </w:r>
      <w:r w:rsidR="003C33C4">
        <w:t>but that there are other considerations</w:t>
      </w:r>
      <w:r w:rsidR="000F30A3">
        <w:t xml:space="preserve"> that may increase the ICER, </w:t>
      </w:r>
      <w:r w:rsidR="004A221D">
        <w:t xml:space="preserve">including uncertainty in the </w:t>
      </w:r>
      <w:r w:rsidR="001B6C8A">
        <w:t xml:space="preserve">adjustment for subsequent immunotherapy in the FLOT only arm of </w:t>
      </w:r>
      <w:r w:rsidR="001B6C8A" w:rsidRPr="00C87571">
        <w:t>the model</w:t>
      </w:r>
      <w:r w:rsidR="00922A4E" w:rsidRPr="00C87571">
        <w:t xml:space="preserve">. </w:t>
      </w:r>
      <w:r w:rsidR="00D73CF9" w:rsidRPr="00C87571">
        <w:t>T</w:t>
      </w:r>
      <w:r w:rsidR="0010594A" w:rsidRPr="00C87571">
        <w:t>he</w:t>
      </w:r>
      <w:r w:rsidR="0010594A">
        <w:t xml:space="preserve"> </w:t>
      </w:r>
      <w:r w:rsidR="00911631">
        <w:t>PBAC considered that durvalumab would be acceptably cost</w:t>
      </w:r>
      <w:r w:rsidR="00675F55">
        <w:noBreakHyphen/>
      </w:r>
      <w:r w:rsidR="00911631">
        <w:t xml:space="preserve">effective with an ICER of </w:t>
      </w:r>
      <w:r w:rsidR="00B92427">
        <w:t xml:space="preserve">no more than </w:t>
      </w:r>
      <w:r w:rsidR="003B0AA6" w:rsidRPr="003B0AA6">
        <w:t>$25,000 to &lt; $35,000</w:t>
      </w:r>
      <w:r w:rsidR="00911631">
        <w:t xml:space="preserve"> per QALY, with changes to the economic model as described in </w:t>
      </w:r>
      <w:r w:rsidR="00911631" w:rsidRPr="003E1CF9">
        <w:t>paragraph</w:t>
      </w:r>
      <w:r w:rsidR="00EC015A" w:rsidRPr="003E1CF9">
        <w:t xml:space="preserve"> </w:t>
      </w:r>
      <w:r w:rsidR="00EC015A" w:rsidRPr="003E1CF9">
        <w:fldChar w:fldCharType="begin"/>
      </w:r>
      <w:r w:rsidR="00EC015A" w:rsidRPr="003E1CF9">
        <w:instrText xml:space="preserve"> REF _Ref224748078 \r \h </w:instrText>
      </w:r>
      <w:r w:rsidR="003E1CF9" w:rsidRPr="003E1CF9">
        <w:instrText xml:space="preserve"> \* MERGEFORMAT </w:instrText>
      </w:r>
      <w:r w:rsidR="00EC015A" w:rsidRPr="003E1CF9">
        <w:fldChar w:fldCharType="separate"/>
      </w:r>
      <w:r w:rsidR="00F9169E">
        <w:t>7.8</w:t>
      </w:r>
      <w:r w:rsidR="00EC015A" w:rsidRPr="003E1CF9">
        <w:fldChar w:fldCharType="end"/>
      </w:r>
      <w:r w:rsidR="00EC015A" w:rsidRPr="003E1CF9">
        <w:t xml:space="preserve">. </w:t>
      </w:r>
      <w:r w:rsidR="00AD66CF" w:rsidRPr="003E1CF9">
        <w:t xml:space="preserve">The </w:t>
      </w:r>
      <w:r w:rsidR="00484895" w:rsidRPr="003E1CF9">
        <w:t xml:space="preserve">PBAC considered this was consistent with the ICERs </w:t>
      </w:r>
      <w:r w:rsidR="00245940" w:rsidRPr="003E1CF9">
        <w:t xml:space="preserve">accepted in the </w:t>
      </w:r>
      <w:r w:rsidR="00894AB0" w:rsidRPr="003E1CF9">
        <w:t>per</w:t>
      </w:r>
      <w:r w:rsidR="00471A8A" w:rsidRPr="003E1CF9">
        <w:t>i</w:t>
      </w:r>
      <w:r w:rsidR="00894AB0" w:rsidRPr="003E1CF9">
        <w:t xml:space="preserve">operative setting, </w:t>
      </w:r>
      <w:r w:rsidR="00D73CF9" w:rsidRPr="003E1CF9">
        <w:t xml:space="preserve">and </w:t>
      </w:r>
      <w:r w:rsidR="00B57677" w:rsidRPr="003E1CF9">
        <w:t xml:space="preserve">would be </w:t>
      </w:r>
      <w:r w:rsidR="00BA43FC" w:rsidRPr="003E1CF9">
        <w:t xml:space="preserve">appropriate </w:t>
      </w:r>
      <w:r w:rsidR="00D73CF9" w:rsidRPr="003E1CF9">
        <w:t>in the context of the</w:t>
      </w:r>
      <w:r w:rsidR="00033D65" w:rsidRPr="003E1CF9">
        <w:t xml:space="preserve"> uncertainties outlined above </w:t>
      </w:r>
      <w:r w:rsidR="005B6ABA" w:rsidRPr="003E1CF9">
        <w:t xml:space="preserve">and the </w:t>
      </w:r>
      <w:r w:rsidR="00D73CF9" w:rsidRPr="003E1CF9">
        <w:t xml:space="preserve">changing landscape with respect to </w:t>
      </w:r>
      <w:r w:rsidR="00B57677" w:rsidRPr="003E1CF9">
        <w:t xml:space="preserve">PBS listings for </w:t>
      </w:r>
      <w:r w:rsidR="00D73CF9" w:rsidRPr="003E1CF9">
        <w:t>immunotherapy</w:t>
      </w:r>
      <w:r w:rsidR="00E270D4" w:rsidRPr="003E1CF9">
        <w:t xml:space="preserve">. </w:t>
      </w:r>
      <w:r w:rsidR="00B763C2" w:rsidRPr="003E1CF9">
        <w:t>The PBAC</w:t>
      </w:r>
      <w:r w:rsidR="00B763C2">
        <w:t xml:space="preserve"> noted that the cost</w:t>
      </w:r>
      <w:r w:rsidR="00675F55">
        <w:noBreakHyphen/>
      </w:r>
      <w:r w:rsidR="00B763C2">
        <w:t xml:space="preserve">effective price for </w:t>
      </w:r>
      <w:r w:rsidR="00F71D6D">
        <w:t xml:space="preserve">durvalumab would also need to account for the effective price of nivolumab </w:t>
      </w:r>
      <w:r w:rsidR="00276D7C">
        <w:t>as later line treatment.</w:t>
      </w:r>
      <w:r w:rsidR="00AD66CF">
        <w:t xml:space="preserve"> </w:t>
      </w:r>
    </w:p>
    <w:p w14:paraId="7521637A" w14:textId="4F2D147D" w:rsidR="00C540FB" w:rsidRPr="00FE43FE" w:rsidRDefault="006E15E3" w:rsidP="004C075C">
      <w:pPr>
        <w:widowControl w:val="0"/>
        <w:numPr>
          <w:ilvl w:val="1"/>
          <w:numId w:val="1"/>
        </w:numPr>
        <w:spacing w:after="120"/>
      </w:pPr>
      <w:r>
        <w:rPr>
          <w:rFonts w:asciiTheme="minorHAnsi" w:hAnsiTheme="minorHAnsi"/>
          <w:snapToGrid w:val="0"/>
        </w:rPr>
        <w:t xml:space="preserve">The </w:t>
      </w:r>
      <w:r w:rsidRPr="006E15E3">
        <w:rPr>
          <w:rFonts w:asciiTheme="minorHAnsi" w:hAnsiTheme="minorHAnsi"/>
          <w:snapToGrid w:val="0"/>
        </w:rPr>
        <w:t xml:space="preserve">submission took an epidemiological approach </w:t>
      </w:r>
      <w:r w:rsidR="00ED1643">
        <w:rPr>
          <w:rFonts w:asciiTheme="minorHAnsi" w:hAnsiTheme="minorHAnsi"/>
          <w:snapToGrid w:val="0"/>
        </w:rPr>
        <w:t>to estimate the financial impact of the proposed durvalumab listing</w:t>
      </w:r>
      <w:r w:rsidR="003E0DEE">
        <w:rPr>
          <w:rFonts w:asciiTheme="minorHAnsi" w:hAnsiTheme="minorHAnsi"/>
          <w:snapToGrid w:val="0"/>
        </w:rPr>
        <w:t xml:space="preserve">. The PBAC considered that the approach to </w:t>
      </w:r>
      <w:r w:rsidR="009C3B30">
        <w:rPr>
          <w:rFonts w:asciiTheme="minorHAnsi" w:hAnsiTheme="minorHAnsi"/>
          <w:snapToGrid w:val="0"/>
        </w:rPr>
        <w:t xml:space="preserve">the financial estimates was reasonable. </w:t>
      </w:r>
      <w:r w:rsidR="00D35C80">
        <w:rPr>
          <w:rFonts w:asciiTheme="minorHAnsi" w:hAnsiTheme="minorHAnsi"/>
          <w:snapToGrid w:val="0"/>
        </w:rPr>
        <w:t xml:space="preserve">The PBAC considered that the main areas of uncertainty were the uptake </w:t>
      </w:r>
      <w:r w:rsidR="004A1A32">
        <w:rPr>
          <w:rFonts w:asciiTheme="minorHAnsi" w:hAnsiTheme="minorHAnsi"/>
          <w:snapToGrid w:val="0"/>
        </w:rPr>
        <w:t xml:space="preserve">and the proportion of </w:t>
      </w:r>
      <w:r w:rsidR="007B5719" w:rsidRPr="007B5719">
        <w:rPr>
          <w:rFonts w:asciiTheme="minorHAnsi" w:hAnsiTheme="minorHAnsi"/>
          <w:snapToGrid w:val="0"/>
        </w:rPr>
        <w:t>GC/</w:t>
      </w:r>
      <w:r w:rsidR="007B5719" w:rsidRPr="00602BE7">
        <w:rPr>
          <w:rFonts w:asciiTheme="minorHAnsi" w:hAnsiTheme="minorHAnsi"/>
          <w:snapToGrid w:val="0"/>
        </w:rPr>
        <w:t xml:space="preserve">GOJC patients eligible for D + FLOT. </w:t>
      </w:r>
      <w:r w:rsidR="006D172B" w:rsidRPr="00602BE7">
        <w:rPr>
          <w:rFonts w:asciiTheme="minorHAnsi" w:hAnsiTheme="minorHAnsi"/>
          <w:snapToGrid w:val="0"/>
        </w:rPr>
        <w:t xml:space="preserve">The PBAC considered it was reasonable to </w:t>
      </w:r>
      <w:r w:rsidR="005601EB" w:rsidRPr="00602BE7">
        <w:rPr>
          <w:rFonts w:asciiTheme="minorHAnsi" w:hAnsiTheme="minorHAnsi"/>
          <w:snapToGrid w:val="0"/>
        </w:rPr>
        <w:t>assume high uptake (</w:t>
      </w:r>
      <w:r w:rsidR="00EB1862" w:rsidRPr="00EB1862">
        <w:rPr>
          <w:rFonts w:asciiTheme="minorHAnsi" w:hAnsiTheme="minorHAnsi"/>
          <w:snapToGrid w:val="0"/>
          <w:sz w:val="2"/>
          <w:highlight w:val="black"/>
        </w:rPr>
        <w:t>redacted content</w:t>
      </w:r>
      <w:r w:rsidR="006D172B" w:rsidRPr="00602BE7">
        <w:rPr>
          <w:rFonts w:asciiTheme="minorHAnsi" w:hAnsiTheme="minorHAnsi"/>
          <w:snapToGrid w:val="0"/>
        </w:rPr>
        <w:t>% from</w:t>
      </w:r>
      <w:r w:rsidR="006D172B">
        <w:rPr>
          <w:rFonts w:asciiTheme="minorHAnsi" w:hAnsiTheme="minorHAnsi"/>
          <w:snapToGrid w:val="0"/>
        </w:rPr>
        <w:t xml:space="preserve"> year 1 onwards) </w:t>
      </w:r>
      <w:r w:rsidR="005601EB">
        <w:rPr>
          <w:rFonts w:asciiTheme="minorHAnsi" w:hAnsiTheme="minorHAnsi"/>
          <w:snapToGrid w:val="0"/>
        </w:rPr>
        <w:t xml:space="preserve">as </w:t>
      </w:r>
      <w:r w:rsidR="001519DF" w:rsidRPr="001519DF">
        <w:rPr>
          <w:rFonts w:asciiTheme="minorHAnsi" w:hAnsiTheme="minorHAnsi"/>
          <w:snapToGrid w:val="0"/>
        </w:rPr>
        <w:t xml:space="preserve">there is high awareness and </w:t>
      </w:r>
      <w:r w:rsidR="00A64FBD">
        <w:rPr>
          <w:rFonts w:asciiTheme="minorHAnsi" w:hAnsiTheme="minorHAnsi"/>
          <w:snapToGrid w:val="0"/>
        </w:rPr>
        <w:t>acceptance of the clinical place for durvalumab in</w:t>
      </w:r>
      <w:r w:rsidR="001519DF" w:rsidRPr="001519DF">
        <w:rPr>
          <w:rFonts w:asciiTheme="minorHAnsi" w:hAnsiTheme="minorHAnsi"/>
          <w:snapToGrid w:val="0"/>
        </w:rPr>
        <w:t xml:space="preserve"> guidelines</w:t>
      </w:r>
      <w:r w:rsidR="00E32CFA">
        <w:rPr>
          <w:rFonts w:asciiTheme="minorHAnsi" w:hAnsiTheme="minorHAnsi"/>
          <w:snapToGrid w:val="0"/>
        </w:rPr>
        <w:t xml:space="preserve">. </w:t>
      </w:r>
      <w:r w:rsidR="007B5719" w:rsidRPr="007B5719">
        <w:rPr>
          <w:rFonts w:asciiTheme="minorHAnsi" w:hAnsiTheme="minorHAnsi"/>
          <w:snapToGrid w:val="0"/>
        </w:rPr>
        <w:t xml:space="preserve">The PBAC considered that the assumptions </w:t>
      </w:r>
      <w:r w:rsidR="00E32CFA">
        <w:rPr>
          <w:rFonts w:asciiTheme="minorHAnsi" w:hAnsiTheme="minorHAnsi"/>
          <w:snapToGrid w:val="0"/>
        </w:rPr>
        <w:t xml:space="preserve">and sources </w:t>
      </w:r>
      <w:r w:rsidR="004C075C">
        <w:rPr>
          <w:rFonts w:asciiTheme="minorHAnsi" w:hAnsiTheme="minorHAnsi"/>
          <w:snapToGrid w:val="0"/>
        </w:rPr>
        <w:t xml:space="preserve">informing the proportion of </w:t>
      </w:r>
      <w:r w:rsidR="004C075C" w:rsidRPr="007B5719">
        <w:rPr>
          <w:rFonts w:asciiTheme="minorHAnsi" w:hAnsiTheme="minorHAnsi"/>
          <w:snapToGrid w:val="0"/>
        </w:rPr>
        <w:t xml:space="preserve">GC/GOJC patients eligible for D + FLOT </w:t>
      </w:r>
      <w:r w:rsidR="007B5719" w:rsidRPr="007B5719">
        <w:rPr>
          <w:rFonts w:asciiTheme="minorHAnsi" w:hAnsiTheme="minorHAnsi"/>
          <w:snapToGrid w:val="0"/>
        </w:rPr>
        <w:t>were somewhat uncertain but appeared to be reasonable overall.</w:t>
      </w:r>
      <w:r w:rsidR="00ED1643">
        <w:rPr>
          <w:rFonts w:asciiTheme="minorHAnsi" w:hAnsiTheme="minorHAnsi"/>
          <w:snapToGrid w:val="0"/>
        </w:rPr>
        <w:t xml:space="preserve"> </w:t>
      </w:r>
      <w:r w:rsidR="004C075C">
        <w:rPr>
          <w:rFonts w:asciiTheme="minorHAnsi" w:hAnsiTheme="minorHAnsi"/>
          <w:snapToGrid w:val="0"/>
        </w:rPr>
        <w:t xml:space="preserve">The PBAC considered that the financial estimates would need to reduce the duration of treatment for grandfathered patients and </w:t>
      </w:r>
      <w:r w:rsidR="008B04B9">
        <w:rPr>
          <w:rFonts w:asciiTheme="minorHAnsi" w:hAnsiTheme="minorHAnsi"/>
          <w:snapToGrid w:val="0"/>
        </w:rPr>
        <w:t>apply the cost</w:t>
      </w:r>
      <w:r w:rsidR="00675F55">
        <w:rPr>
          <w:rFonts w:asciiTheme="minorHAnsi" w:hAnsiTheme="minorHAnsi"/>
          <w:snapToGrid w:val="0"/>
        </w:rPr>
        <w:noBreakHyphen/>
      </w:r>
      <w:r w:rsidR="008B04B9">
        <w:rPr>
          <w:rFonts w:asciiTheme="minorHAnsi" w:hAnsiTheme="minorHAnsi"/>
          <w:snapToGrid w:val="0"/>
        </w:rPr>
        <w:t xml:space="preserve">effective price for durvalumab, </w:t>
      </w:r>
      <w:r w:rsidR="00951051">
        <w:rPr>
          <w:rFonts w:asciiTheme="minorHAnsi" w:hAnsiTheme="minorHAnsi"/>
          <w:snapToGrid w:val="0"/>
        </w:rPr>
        <w:t xml:space="preserve">which would reduce the total cost to Government for durvalumab. </w:t>
      </w:r>
    </w:p>
    <w:p w14:paraId="0CCEC2BB" w14:textId="04FC5A0B" w:rsidR="00FE43FE" w:rsidRPr="00CE42B4" w:rsidRDefault="00FE43FE" w:rsidP="004C075C">
      <w:pPr>
        <w:widowControl w:val="0"/>
        <w:numPr>
          <w:ilvl w:val="1"/>
          <w:numId w:val="1"/>
        </w:numPr>
        <w:spacing w:after="120"/>
      </w:pPr>
      <w:r>
        <w:rPr>
          <w:rFonts w:asciiTheme="minorHAnsi" w:hAnsiTheme="minorHAnsi"/>
          <w:snapToGrid w:val="0"/>
        </w:rPr>
        <w:t>The PBAC considered that the population for the proposed listing was well</w:t>
      </w:r>
      <w:r w:rsidR="00675F55">
        <w:rPr>
          <w:rFonts w:asciiTheme="minorHAnsi" w:hAnsiTheme="minorHAnsi"/>
          <w:snapToGrid w:val="0"/>
        </w:rPr>
        <w:noBreakHyphen/>
      </w:r>
      <w:r>
        <w:rPr>
          <w:rFonts w:asciiTheme="minorHAnsi" w:hAnsiTheme="minorHAnsi"/>
          <w:snapToGrid w:val="0"/>
        </w:rPr>
        <w:t xml:space="preserve">defined </w:t>
      </w:r>
      <w:r w:rsidR="00802C73">
        <w:t xml:space="preserve">and use outside the </w:t>
      </w:r>
      <w:r>
        <w:t xml:space="preserve">clinically appropriate population </w:t>
      </w:r>
      <w:r w:rsidR="00802C73">
        <w:t>unlikely.</w:t>
      </w:r>
      <w:r w:rsidR="00995BE1">
        <w:t xml:space="preserve"> In addition, the duration of treatment was limited</w:t>
      </w:r>
      <w:r w:rsidR="003F067B">
        <w:t xml:space="preserve"> in the restrictions.</w:t>
      </w:r>
    </w:p>
    <w:p w14:paraId="750A239A" w14:textId="34FC09E8" w:rsidR="00C540FB" w:rsidRPr="00525B39" w:rsidRDefault="00C540FB" w:rsidP="00E62F98">
      <w:pPr>
        <w:pStyle w:val="3-BodyText"/>
        <w:ind w:left="709"/>
        <w:rPr>
          <w:snapToGrid w:val="0"/>
          <w:lang w:val="en-GB"/>
        </w:rPr>
      </w:pPr>
      <w:r w:rsidRPr="00525B39">
        <w:rPr>
          <w:snapToGrid w:val="0"/>
          <w:lang w:val="en-GB"/>
        </w:rPr>
        <w:lastRenderedPageBreak/>
        <w:t xml:space="preserve">The PBAC advised that </w:t>
      </w:r>
      <w:r w:rsidR="00091223">
        <w:rPr>
          <w:snapToGrid w:val="0"/>
          <w:lang w:val="en-GB"/>
        </w:rPr>
        <w:t>durvalumab</w:t>
      </w:r>
      <w:r w:rsidRPr="00525B39">
        <w:rPr>
          <w:snapToGrid w:val="0"/>
          <w:lang w:val="en-GB"/>
        </w:rPr>
        <w:t xml:space="preserve"> is </w:t>
      </w:r>
      <w:r w:rsidR="00091223">
        <w:rPr>
          <w:snapToGrid w:val="0"/>
          <w:lang w:val="en-GB"/>
        </w:rPr>
        <w:t xml:space="preserve">not </w:t>
      </w:r>
      <w:r w:rsidRPr="00525B39">
        <w:rPr>
          <w:snapToGrid w:val="0"/>
          <w:lang w:val="en-GB"/>
        </w:rPr>
        <w:t>suitable for presc</w:t>
      </w:r>
      <w:r>
        <w:rPr>
          <w:snapToGrid w:val="0"/>
          <w:lang w:val="en-GB"/>
        </w:rPr>
        <w:t xml:space="preserve">ribing by nurse practitioners. </w:t>
      </w:r>
    </w:p>
    <w:p w14:paraId="78DDC995" w14:textId="3FEC15A2" w:rsidR="00A06094" w:rsidRDefault="00A06094" w:rsidP="00A0609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proposed authority level (telephone/online) was consistent with other similar medicines in this setting and would be appropriate to capture the maximum total number of cycles under the listing. </w:t>
      </w:r>
      <w:r w:rsidR="009B7E5D">
        <w:rPr>
          <w:rFonts w:asciiTheme="minorHAnsi" w:hAnsiTheme="minorHAnsi"/>
          <w:snapToGrid w:val="0"/>
          <w:lang w:val="en-GB"/>
        </w:rPr>
        <w:t>The PBAC considered that the number of repeats for the adjuvant phase listing should be reduced to 5 to allow approximately 6 months of treatment</w:t>
      </w:r>
      <w:r w:rsidR="00C069CA">
        <w:rPr>
          <w:rFonts w:asciiTheme="minorHAnsi" w:hAnsiTheme="minorHAnsi"/>
          <w:snapToGrid w:val="0"/>
          <w:lang w:val="en-GB"/>
        </w:rPr>
        <w:t xml:space="preserve"> per prescription</w:t>
      </w:r>
      <w:r w:rsidR="00EB5FAD">
        <w:rPr>
          <w:rFonts w:asciiTheme="minorHAnsi" w:hAnsiTheme="minorHAnsi"/>
          <w:snapToGrid w:val="0"/>
          <w:lang w:val="en-GB"/>
        </w:rPr>
        <w:t xml:space="preserve">, with the intention that two prescriptions fulfil the total </w:t>
      </w:r>
      <w:r w:rsidR="001B455B">
        <w:rPr>
          <w:rFonts w:asciiTheme="minorHAnsi" w:hAnsiTheme="minorHAnsi"/>
          <w:snapToGrid w:val="0"/>
          <w:lang w:val="en-GB"/>
        </w:rPr>
        <w:t xml:space="preserve">12 </w:t>
      </w:r>
      <w:r w:rsidR="00EB5FAD">
        <w:rPr>
          <w:rFonts w:asciiTheme="minorHAnsi" w:hAnsiTheme="minorHAnsi"/>
          <w:snapToGrid w:val="0"/>
          <w:lang w:val="en-GB"/>
        </w:rPr>
        <w:t>cycles needed</w:t>
      </w:r>
      <w:r w:rsidR="00BD1935">
        <w:rPr>
          <w:rFonts w:asciiTheme="minorHAnsi" w:hAnsiTheme="minorHAnsi"/>
          <w:snapToGrid w:val="0"/>
          <w:lang w:val="en-GB"/>
        </w:rPr>
        <w:t xml:space="preserve"> for adjuvant treatment</w:t>
      </w:r>
      <w:r w:rsidR="009B7E5D">
        <w:rPr>
          <w:rFonts w:asciiTheme="minorHAnsi" w:hAnsiTheme="minorHAnsi"/>
          <w:snapToGrid w:val="0"/>
          <w:lang w:val="en-GB"/>
        </w:rPr>
        <w:t xml:space="preserve">. </w:t>
      </w:r>
      <w:r>
        <w:rPr>
          <w:rFonts w:asciiTheme="minorHAnsi" w:hAnsiTheme="minorHAnsi"/>
          <w:snapToGrid w:val="0"/>
          <w:lang w:val="en-GB"/>
        </w:rPr>
        <w:t>The PBAC considered that the restrictions were generally consistent with the clinical evidence and TGA indication for durvalumab. However, the PBAC considered that</w:t>
      </w:r>
      <w:r w:rsidR="00975AB1">
        <w:rPr>
          <w:rFonts w:asciiTheme="minorHAnsi" w:hAnsiTheme="minorHAnsi"/>
          <w:snapToGrid w:val="0"/>
          <w:lang w:val="en-GB"/>
        </w:rPr>
        <w:t xml:space="preserve">, for clarity, </w:t>
      </w:r>
      <w:r>
        <w:rPr>
          <w:rFonts w:asciiTheme="minorHAnsi" w:hAnsiTheme="minorHAnsi"/>
          <w:snapToGrid w:val="0"/>
          <w:lang w:val="en-GB"/>
        </w:rPr>
        <w:t xml:space="preserve">the restrictions should also include </w:t>
      </w:r>
      <w:r w:rsidRPr="0047606A">
        <w:rPr>
          <w:rFonts w:asciiTheme="minorHAnsi" w:hAnsiTheme="minorHAnsi"/>
          <w:snapToGrid w:val="0"/>
          <w:lang w:val="en-GB"/>
        </w:rPr>
        <w:t xml:space="preserve">staging criteria, limiting treatment to patients with stage II or higher disease, consistent with the MATTERHORN trial. </w:t>
      </w:r>
    </w:p>
    <w:p w14:paraId="15DC9A7B" w14:textId="596CA3B9" w:rsidR="00C540FB" w:rsidRPr="00D121C5" w:rsidRDefault="00DB036D" w:rsidP="00DB036D">
      <w:pPr>
        <w:pStyle w:val="3-BodyText"/>
        <w:ind w:left="709"/>
        <w:rPr>
          <w:b/>
          <w:lang w:val="en-GB"/>
        </w:rPr>
      </w:pPr>
      <w:r>
        <w:rPr>
          <w:lang w:val="en-GB"/>
        </w:rPr>
        <w:t xml:space="preserve">The </w:t>
      </w:r>
      <w:r w:rsidR="00C540FB" w:rsidRPr="00D121C5">
        <w:rPr>
          <w:lang w:val="en-GB"/>
        </w:rPr>
        <w:t xml:space="preserve">PBAC found that the criteria prescribed by the </w:t>
      </w:r>
      <w:r w:rsidR="00C540FB" w:rsidRPr="00D121C5">
        <w:rPr>
          <w:i/>
          <w:lang w:val="en-GB"/>
        </w:rPr>
        <w:t>National Health (Pharmaceuticals and Vaccines – Cost Recovery) Regulations 20</w:t>
      </w:r>
      <w:r w:rsidR="00C540FB">
        <w:rPr>
          <w:i/>
          <w:lang w:val="en-GB"/>
        </w:rPr>
        <w:t>22</w:t>
      </w:r>
      <w:r w:rsidR="00C540FB" w:rsidRPr="00D121C5">
        <w:rPr>
          <w:lang w:val="en-GB"/>
        </w:rPr>
        <w:t xml:space="preserve"> for Pricing Pathway A were not met. Specifically the PBAC found that in the circumstances of its recommendation for </w:t>
      </w:r>
      <w:r>
        <w:rPr>
          <w:lang w:val="en-GB"/>
        </w:rPr>
        <w:t>durvalumab</w:t>
      </w:r>
      <w:r w:rsidR="00C540FB" w:rsidRPr="00D121C5">
        <w:rPr>
          <w:lang w:val="en-GB"/>
        </w:rPr>
        <w:t>:</w:t>
      </w:r>
    </w:p>
    <w:p w14:paraId="4B1F28D7" w14:textId="6C084692" w:rsidR="00C540FB" w:rsidRPr="00763DFB" w:rsidRDefault="00C540FB" w:rsidP="00C540FB">
      <w:pPr>
        <w:widowControl w:val="0"/>
        <w:numPr>
          <w:ilvl w:val="1"/>
          <w:numId w:val="24"/>
        </w:numPr>
        <w:spacing w:after="120"/>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 over alternative therapies</w:t>
      </w:r>
      <w:r w:rsidR="00177F5B">
        <w:rPr>
          <w:rFonts w:asciiTheme="minorHAnsi" w:hAnsiTheme="minorHAnsi" w:cstheme="minorHAnsi"/>
          <w:lang w:val="en-GB"/>
        </w:rPr>
        <w:t xml:space="preserve"> as the </w:t>
      </w:r>
      <w:r w:rsidR="00811F0B">
        <w:rPr>
          <w:rFonts w:asciiTheme="minorHAnsi" w:hAnsiTheme="minorHAnsi" w:cstheme="minorHAnsi"/>
          <w:lang w:val="en-GB"/>
        </w:rPr>
        <w:t xml:space="preserve">overall </w:t>
      </w:r>
      <w:r w:rsidR="00177F5B">
        <w:rPr>
          <w:rFonts w:asciiTheme="minorHAnsi" w:hAnsiTheme="minorHAnsi" w:cstheme="minorHAnsi"/>
          <w:lang w:val="en-GB"/>
        </w:rPr>
        <w:t xml:space="preserve">survival benefit is expected to </w:t>
      </w:r>
      <w:r w:rsidR="00107D40">
        <w:rPr>
          <w:rFonts w:asciiTheme="minorHAnsi" w:hAnsiTheme="minorHAnsi" w:cstheme="minorHAnsi"/>
          <w:lang w:val="en-GB"/>
        </w:rPr>
        <w:t xml:space="preserve">be </w:t>
      </w:r>
      <w:r w:rsidR="00811F0B">
        <w:rPr>
          <w:rFonts w:asciiTheme="minorHAnsi" w:hAnsiTheme="minorHAnsi" w:cstheme="minorHAnsi"/>
          <w:lang w:val="en-GB"/>
        </w:rPr>
        <w:t>small</w:t>
      </w:r>
      <w:r w:rsidRPr="00763DFB">
        <w:rPr>
          <w:rFonts w:asciiTheme="minorHAnsi" w:hAnsiTheme="minorHAnsi" w:cstheme="minorHAnsi"/>
          <w:lang w:val="en-GB"/>
        </w:rPr>
        <w:t xml:space="preserve">; </w:t>
      </w:r>
    </w:p>
    <w:p w14:paraId="056E96E0" w14:textId="4FC760C0" w:rsidR="00C540FB" w:rsidRPr="00763DFB" w:rsidRDefault="00C540FB" w:rsidP="00C540FB">
      <w:pPr>
        <w:widowControl w:val="0"/>
        <w:numPr>
          <w:ilvl w:val="1"/>
          <w:numId w:val="24"/>
        </w:numPr>
        <w:spacing w:after="120"/>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w:t>
      </w:r>
      <w:r w:rsidR="00401742">
        <w:rPr>
          <w:rFonts w:asciiTheme="minorHAnsi" w:hAnsiTheme="minorHAnsi" w:cstheme="minorHAnsi"/>
          <w:lang w:val="en-GB"/>
        </w:rPr>
        <w:t xml:space="preserve">as alternative </w:t>
      </w:r>
      <w:r w:rsidR="00D95EDA">
        <w:rPr>
          <w:rFonts w:asciiTheme="minorHAnsi" w:hAnsiTheme="minorHAnsi" w:cstheme="minorHAnsi"/>
          <w:lang w:val="en-GB"/>
        </w:rPr>
        <w:t xml:space="preserve">effective </w:t>
      </w:r>
      <w:r w:rsidR="00401742">
        <w:rPr>
          <w:rFonts w:asciiTheme="minorHAnsi" w:hAnsiTheme="minorHAnsi" w:cstheme="minorHAnsi"/>
          <w:lang w:val="en-GB"/>
        </w:rPr>
        <w:t>treatments are available as standard care</w:t>
      </w:r>
      <w:r w:rsidR="006E4374">
        <w:rPr>
          <w:rFonts w:asciiTheme="minorHAnsi" w:hAnsiTheme="minorHAnsi" w:cstheme="minorHAnsi"/>
          <w:lang w:val="en-GB"/>
        </w:rPr>
        <w:t xml:space="preserve"> (FLOT)</w:t>
      </w:r>
      <w:r w:rsidRPr="00763DFB">
        <w:rPr>
          <w:rFonts w:asciiTheme="minorHAnsi" w:hAnsiTheme="minorHAnsi" w:cstheme="minorHAnsi"/>
          <w:lang w:val="en-GB"/>
        </w:rPr>
        <w:t>;</w:t>
      </w:r>
    </w:p>
    <w:p w14:paraId="01647D47" w14:textId="77777777" w:rsidR="00401742" w:rsidRPr="00401742" w:rsidRDefault="00C540FB" w:rsidP="00401742">
      <w:pPr>
        <w:widowControl w:val="0"/>
        <w:numPr>
          <w:ilvl w:val="1"/>
          <w:numId w:val="24"/>
        </w:numPr>
        <w:spacing w:after="120"/>
        <w:rPr>
          <w:rFonts w:asciiTheme="minorHAnsi" w:hAnsiTheme="minorHAnsi"/>
          <w:bCs/>
          <w:snapToGrid w:val="0"/>
          <w:lang w:val="en-GB"/>
        </w:rPr>
      </w:pPr>
      <w:r w:rsidRPr="00763DFB">
        <w:rPr>
          <w:rFonts w:asciiTheme="minorHAnsi" w:hAnsiTheme="minorHAnsi" w:cstheme="minorHAnsi"/>
          <w:lang w:val="en-GB"/>
        </w:rPr>
        <w:t xml:space="preserve">It was not necessary to make a finding in relation to whether it would be in the public interest for the subsequent pricing application to be progressed under Pricing Pathway A because one or more of the preceding tests had failed </w:t>
      </w:r>
    </w:p>
    <w:p w14:paraId="225BDE89" w14:textId="42924B6D" w:rsidR="00C540FB" w:rsidRPr="007D4707" w:rsidRDefault="00C540FB" w:rsidP="00401742">
      <w:pPr>
        <w:pStyle w:val="3-BodyText"/>
        <w:ind w:left="709"/>
        <w:rPr>
          <w:snapToGrid w:val="0"/>
          <w:lang w:val="en-GB"/>
        </w:rPr>
      </w:pPr>
      <w:r w:rsidRPr="00525B39">
        <w:rPr>
          <w:snapToGrid w:val="0"/>
          <w:lang w:val="en-GB"/>
        </w:rPr>
        <w:t>The PBAC noted that this submission is not eligible for an Independent Review</w:t>
      </w:r>
      <w:r w:rsidR="00DB036D">
        <w:rPr>
          <w:snapToGrid w:val="0"/>
          <w:lang w:val="en-GB"/>
        </w:rPr>
        <w:t xml:space="preserve"> as it is a positive recommendation</w:t>
      </w:r>
      <w:r w:rsidRPr="00525B39">
        <w:rPr>
          <w:snapToGrid w:val="0"/>
          <w:lang w:val="en-GB"/>
        </w:rPr>
        <w:t xml:space="preserve">. </w:t>
      </w:r>
    </w:p>
    <w:p w14:paraId="3974FB3F" w14:textId="77777777" w:rsidR="00C540FB" w:rsidRPr="00525B39" w:rsidRDefault="00C540FB" w:rsidP="00C540F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F577265" w14:textId="645BA8D7" w:rsidR="00C540FB" w:rsidRPr="00DB1815" w:rsidRDefault="00C540FB" w:rsidP="00DB1815">
      <w:pPr>
        <w:rPr>
          <w:rFonts w:asciiTheme="minorHAnsi" w:hAnsiTheme="minorHAnsi"/>
          <w:bCs/>
          <w:snapToGrid w:val="0"/>
          <w:lang w:val="en-GB"/>
        </w:rPr>
      </w:pPr>
      <w:r w:rsidRPr="00525B39">
        <w:rPr>
          <w:rFonts w:asciiTheme="minorHAnsi" w:hAnsiTheme="minorHAnsi"/>
          <w:bCs/>
          <w:snapToGrid w:val="0"/>
          <w:lang w:val="en-GB"/>
        </w:rPr>
        <w:t>Recommended</w:t>
      </w:r>
    </w:p>
    <w:bookmarkEnd w:id="64"/>
    <w:p w14:paraId="12D87F95" w14:textId="77777777" w:rsidR="00C540FB" w:rsidRPr="00907671" w:rsidRDefault="00C540FB" w:rsidP="00C540FB">
      <w:pPr>
        <w:pStyle w:val="2-SectionHeading"/>
        <w:numPr>
          <w:ilvl w:val="0"/>
          <w:numId w:val="1"/>
        </w:numPr>
      </w:pPr>
      <w:r w:rsidRPr="00907671">
        <w:t>Recommended listing</w:t>
      </w:r>
    </w:p>
    <w:p w14:paraId="0C950EC3" w14:textId="1A564B83" w:rsidR="00C540FB" w:rsidRDefault="001542CD" w:rsidP="0095167D">
      <w:pPr>
        <w:pStyle w:val="3-BodyText"/>
        <w:ind w:left="709"/>
        <w:rPr>
          <w:snapToGrid w:val="0"/>
          <w:lang w:val="en-GB"/>
        </w:rPr>
      </w:pPr>
      <w:r w:rsidRPr="0095167D">
        <w:rPr>
          <w:snapToGrid w:val="0"/>
          <w:lang w:val="en-GB"/>
        </w:rPr>
        <w:t>Add new</w:t>
      </w:r>
      <w:r w:rsidR="00604ED0" w:rsidRPr="0095167D">
        <w:rPr>
          <w:snapToGrid w:val="0"/>
          <w:lang w:val="en-GB"/>
        </w:rPr>
        <w:t xml:space="preserve"> </w:t>
      </w:r>
      <w:r w:rsidR="009007CA" w:rsidRPr="0095167D">
        <w:rPr>
          <w:snapToGrid w:val="0"/>
          <w:lang w:val="en-GB"/>
        </w:rPr>
        <w:t>listing</w:t>
      </w:r>
      <w:r w:rsidR="00C540FB" w:rsidRPr="0095167D">
        <w:rPr>
          <w:snapToGrid w:val="0"/>
          <w:lang w:val="en-GB"/>
        </w:rPr>
        <w:t>:</w:t>
      </w:r>
    </w:p>
    <w:p w14:paraId="5D051471" w14:textId="7A44ECEA" w:rsidR="001E135C" w:rsidRPr="001E135C" w:rsidRDefault="001E135C" w:rsidP="001E135C">
      <w:pPr>
        <w:pStyle w:val="Heading2"/>
        <w:rPr>
          <w:rFonts w:asciiTheme="minorHAnsi" w:eastAsiaTheme="minorHAnsi" w:hAnsiTheme="minorHAnsi" w:cstheme="minorBidi"/>
          <w:b w:val="0"/>
          <w:i w:val="0"/>
          <w:snapToGrid w:val="0"/>
          <w:sz w:val="24"/>
          <w:szCs w:val="22"/>
          <w:lang w:val="en-GB"/>
        </w:rPr>
      </w:pPr>
      <w:r w:rsidRPr="001E135C">
        <w:rPr>
          <w:rFonts w:asciiTheme="minorHAnsi" w:eastAsiaTheme="minorHAnsi" w:hAnsiTheme="minorHAnsi" w:cstheme="minorBidi"/>
          <w:b w:val="0"/>
          <w:i w:val="0"/>
          <w:snapToGrid w:val="0"/>
          <w:sz w:val="24"/>
          <w:szCs w:val="22"/>
          <w:lang w:val="en-GB"/>
        </w:rPr>
        <w:t>Neoadjuvant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Neoadjuvant treatment"/>
      </w:tblPr>
      <w:tblGrid>
        <w:gridCol w:w="420"/>
        <w:gridCol w:w="851"/>
        <w:gridCol w:w="1823"/>
        <w:gridCol w:w="1973"/>
        <w:gridCol w:w="1973"/>
        <w:gridCol w:w="1977"/>
      </w:tblGrid>
      <w:tr w:rsidR="00A82D50" w:rsidRPr="001428E9" w14:paraId="4E5B5100" w14:textId="77777777">
        <w:trPr>
          <w:cantSplit/>
          <w:trHeight w:val="20"/>
        </w:trPr>
        <w:tc>
          <w:tcPr>
            <w:tcW w:w="1716" w:type="pct"/>
            <w:gridSpan w:val="3"/>
            <w:vAlign w:val="center"/>
          </w:tcPr>
          <w:p w14:paraId="32B8E62B" w14:textId="77777777" w:rsidR="00A82D50" w:rsidRPr="001428E9" w:rsidRDefault="00A82D50">
            <w:pPr>
              <w:keepNext/>
              <w:rPr>
                <w:rFonts w:ascii="Arial Narrow" w:hAnsi="Arial Narrow"/>
                <w:b/>
                <w:bCs/>
                <w:sz w:val="20"/>
                <w:szCs w:val="20"/>
              </w:rPr>
            </w:pPr>
            <w:r w:rsidRPr="001428E9">
              <w:rPr>
                <w:rFonts w:ascii="Arial Narrow" w:hAnsi="Arial Narrow"/>
                <w:b/>
                <w:bCs/>
                <w:sz w:val="20"/>
                <w:szCs w:val="20"/>
              </w:rPr>
              <w:lastRenderedPageBreak/>
              <w:t>MEDICINAL PRODUCT</w:t>
            </w:r>
          </w:p>
          <w:p w14:paraId="7A62C11B" w14:textId="77777777" w:rsidR="00A82D50" w:rsidRPr="001428E9" w:rsidRDefault="00A82D50">
            <w:pPr>
              <w:keepNext/>
              <w:rPr>
                <w:rFonts w:ascii="Arial Narrow" w:hAnsi="Arial Narrow"/>
                <w:b/>
                <w:sz w:val="20"/>
                <w:szCs w:val="20"/>
              </w:rPr>
            </w:pPr>
            <w:r w:rsidRPr="001428E9">
              <w:rPr>
                <w:rFonts w:ascii="Arial Narrow" w:hAnsi="Arial Narrow"/>
                <w:b/>
                <w:sz w:val="20"/>
                <w:szCs w:val="20"/>
              </w:rPr>
              <w:t>Form</w:t>
            </w:r>
          </w:p>
        </w:tc>
        <w:tc>
          <w:tcPr>
            <w:tcW w:w="1094" w:type="pct"/>
            <w:vAlign w:val="center"/>
          </w:tcPr>
          <w:p w14:paraId="39971F92" w14:textId="77777777" w:rsidR="00A82D50" w:rsidRPr="001428E9" w:rsidRDefault="00A82D50">
            <w:pPr>
              <w:keepNext/>
              <w:jc w:val="center"/>
              <w:rPr>
                <w:rFonts w:ascii="Arial Narrow" w:hAnsi="Arial Narrow"/>
                <w:b/>
                <w:sz w:val="20"/>
                <w:szCs w:val="20"/>
              </w:rPr>
            </w:pPr>
            <w:r w:rsidRPr="001428E9">
              <w:rPr>
                <w:rFonts w:ascii="Arial Narrow" w:hAnsi="Arial Narrow"/>
                <w:b/>
                <w:sz w:val="20"/>
                <w:szCs w:val="20"/>
              </w:rPr>
              <w:t>PBS item code</w:t>
            </w:r>
          </w:p>
        </w:tc>
        <w:tc>
          <w:tcPr>
            <w:tcW w:w="1094" w:type="pct"/>
            <w:vAlign w:val="center"/>
          </w:tcPr>
          <w:p w14:paraId="75A2FA21" w14:textId="77777777" w:rsidR="00A82D50" w:rsidRPr="001428E9" w:rsidRDefault="00A82D50">
            <w:pPr>
              <w:keepNext/>
              <w:jc w:val="center"/>
              <w:rPr>
                <w:rFonts w:ascii="Arial Narrow" w:hAnsi="Arial Narrow"/>
                <w:b/>
                <w:sz w:val="20"/>
                <w:szCs w:val="20"/>
              </w:rPr>
            </w:pPr>
            <w:r w:rsidRPr="001428E9">
              <w:rPr>
                <w:rFonts w:ascii="Arial Narrow" w:hAnsi="Arial Narrow"/>
                <w:b/>
                <w:sz w:val="20"/>
                <w:szCs w:val="20"/>
              </w:rPr>
              <w:t>Max.</w:t>
            </w:r>
            <w:r>
              <w:rPr>
                <w:rFonts w:ascii="Arial Narrow" w:hAnsi="Arial Narrow"/>
                <w:b/>
                <w:sz w:val="20"/>
                <w:szCs w:val="20"/>
              </w:rPr>
              <w:t xml:space="preserve"> </w:t>
            </w:r>
            <w:r w:rsidRPr="001428E9">
              <w:rPr>
                <w:rFonts w:ascii="Arial Narrow" w:hAnsi="Arial Narrow"/>
                <w:b/>
                <w:sz w:val="20"/>
                <w:szCs w:val="20"/>
              </w:rPr>
              <w:t>Amount</w:t>
            </w:r>
          </w:p>
        </w:tc>
        <w:tc>
          <w:tcPr>
            <w:tcW w:w="1096" w:type="pct"/>
            <w:vAlign w:val="center"/>
          </w:tcPr>
          <w:p w14:paraId="0862B8E1" w14:textId="77777777" w:rsidR="00A82D50" w:rsidRPr="001428E9" w:rsidRDefault="00A82D50">
            <w:pPr>
              <w:keepNext/>
              <w:jc w:val="center"/>
              <w:rPr>
                <w:rFonts w:ascii="Arial Narrow" w:hAnsi="Arial Narrow"/>
                <w:b/>
                <w:bCs/>
                <w:sz w:val="20"/>
                <w:szCs w:val="20"/>
              </w:rPr>
            </w:pPr>
            <w:r w:rsidRPr="57C5A67F">
              <w:rPr>
                <w:rFonts w:ascii="Arial Narrow" w:hAnsi="Arial Narrow"/>
                <w:b/>
                <w:bCs/>
                <w:sz w:val="20"/>
                <w:szCs w:val="20"/>
              </w:rPr>
              <w:t>№.of Rpts</w:t>
            </w:r>
          </w:p>
        </w:tc>
      </w:tr>
      <w:tr w:rsidR="00A82D50" w:rsidRPr="001428E9" w14:paraId="2FD6650A" w14:textId="77777777">
        <w:trPr>
          <w:cantSplit/>
          <w:trHeight w:val="20"/>
        </w:trPr>
        <w:tc>
          <w:tcPr>
            <w:tcW w:w="1716" w:type="pct"/>
            <w:gridSpan w:val="3"/>
            <w:vAlign w:val="center"/>
          </w:tcPr>
          <w:p w14:paraId="203F4EDC" w14:textId="77777777" w:rsidR="00A82D50" w:rsidRPr="00F94EE2" w:rsidRDefault="00A82D50">
            <w:pPr>
              <w:keepNext/>
              <w:rPr>
                <w:rFonts w:ascii="Arial Narrow" w:hAnsi="Arial Narrow"/>
                <w:sz w:val="20"/>
                <w:szCs w:val="20"/>
              </w:rPr>
            </w:pPr>
            <w:r w:rsidRPr="00F94EE2">
              <w:rPr>
                <w:rFonts w:ascii="Arial Narrow" w:hAnsi="Arial Narrow"/>
                <w:sz w:val="20"/>
                <w:szCs w:val="20"/>
              </w:rPr>
              <w:t>DURVALUMAB</w:t>
            </w:r>
          </w:p>
          <w:p w14:paraId="37C109F1" w14:textId="77777777" w:rsidR="00A82D50" w:rsidRPr="001428E9" w:rsidRDefault="00A82D50">
            <w:pPr>
              <w:keepNext/>
              <w:rPr>
                <w:rFonts w:ascii="Arial Narrow" w:hAnsi="Arial Narrow"/>
                <w:sz w:val="20"/>
                <w:szCs w:val="20"/>
              </w:rPr>
            </w:pPr>
            <w:r w:rsidRPr="180C800E">
              <w:rPr>
                <w:rFonts w:ascii="Arial Narrow" w:hAnsi="Arial Narrow"/>
                <w:sz w:val="20"/>
                <w:szCs w:val="20"/>
              </w:rPr>
              <w:t>Injection</w:t>
            </w:r>
          </w:p>
        </w:tc>
        <w:tc>
          <w:tcPr>
            <w:tcW w:w="1094" w:type="pct"/>
            <w:vAlign w:val="center"/>
          </w:tcPr>
          <w:p w14:paraId="03A728FD" w14:textId="77777777" w:rsidR="00A82D50" w:rsidRPr="001428E9" w:rsidRDefault="00A82D50">
            <w:pPr>
              <w:keepNext/>
              <w:jc w:val="center"/>
              <w:rPr>
                <w:rFonts w:ascii="Arial Narrow" w:hAnsi="Arial Narrow"/>
                <w:sz w:val="20"/>
                <w:szCs w:val="20"/>
              </w:rPr>
            </w:pPr>
            <w:r w:rsidRPr="001428E9">
              <w:rPr>
                <w:rFonts w:ascii="Arial Narrow" w:hAnsi="Arial Narrow"/>
                <w:sz w:val="20"/>
                <w:szCs w:val="20"/>
              </w:rPr>
              <w:t>{NEW (Public)}</w:t>
            </w:r>
            <w:r>
              <w:rPr>
                <w:rFonts w:ascii="Arial Narrow" w:hAnsi="Arial Narrow"/>
                <w:sz w:val="20"/>
                <w:szCs w:val="20"/>
              </w:rPr>
              <w:br/>
            </w:r>
            <w:r w:rsidRPr="001428E9">
              <w:rPr>
                <w:rFonts w:ascii="Arial Narrow" w:hAnsi="Arial Narrow"/>
                <w:sz w:val="20"/>
                <w:szCs w:val="20"/>
              </w:rPr>
              <w:t>{NEW (Private)}</w:t>
            </w:r>
          </w:p>
        </w:tc>
        <w:tc>
          <w:tcPr>
            <w:tcW w:w="1094" w:type="pct"/>
            <w:vAlign w:val="center"/>
          </w:tcPr>
          <w:p w14:paraId="3EDC1B7F" w14:textId="77777777" w:rsidR="00A82D50" w:rsidRPr="001428E9" w:rsidRDefault="00A82D50">
            <w:pPr>
              <w:keepNext/>
              <w:jc w:val="center"/>
              <w:rPr>
                <w:rFonts w:ascii="Arial Narrow" w:hAnsi="Arial Narrow"/>
                <w:sz w:val="20"/>
                <w:szCs w:val="20"/>
              </w:rPr>
            </w:pPr>
            <w:r>
              <w:rPr>
                <w:rFonts w:ascii="Arial Narrow" w:hAnsi="Arial Narrow"/>
                <w:sz w:val="20"/>
                <w:szCs w:val="20"/>
              </w:rPr>
              <w:t>1500mg</w:t>
            </w:r>
          </w:p>
        </w:tc>
        <w:tc>
          <w:tcPr>
            <w:tcW w:w="1096" w:type="pct"/>
            <w:vAlign w:val="center"/>
          </w:tcPr>
          <w:p w14:paraId="1D17A9B6" w14:textId="77777777" w:rsidR="00A82D50" w:rsidRPr="001428E9" w:rsidRDefault="00A82D50">
            <w:pPr>
              <w:keepNext/>
              <w:jc w:val="center"/>
              <w:rPr>
                <w:rFonts w:ascii="Arial Narrow" w:hAnsi="Arial Narrow"/>
                <w:sz w:val="20"/>
                <w:szCs w:val="20"/>
              </w:rPr>
            </w:pPr>
            <w:r>
              <w:rPr>
                <w:rFonts w:ascii="Arial Narrow" w:hAnsi="Arial Narrow"/>
                <w:sz w:val="20"/>
                <w:szCs w:val="20"/>
              </w:rPr>
              <w:t>1</w:t>
            </w:r>
          </w:p>
        </w:tc>
      </w:tr>
      <w:tr w:rsidR="00A82D50" w:rsidRPr="001428E9" w14:paraId="400A9CD1" w14:textId="77777777">
        <w:trPr>
          <w:cantSplit/>
          <w:trHeight w:val="20"/>
        </w:trPr>
        <w:tc>
          <w:tcPr>
            <w:tcW w:w="5000" w:type="pct"/>
            <w:gridSpan w:val="6"/>
            <w:vAlign w:val="center"/>
          </w:tcPr>
          <w:p w14:paraId="4EEEF3C5" w14:textId="77777777" w:rsidR="00A82D50" w:rsidRPr="001428E9" w:rsidRDefault="00A82D50">
            <w:pPr>
              <w:keepNext/>
              <w:rPr>
                <w:rFonts w:ascii="Arial Narrow" w:hAnsi="Arial Narrow"/>
                <w:b/>
                <w:sz w:val="20"/>
                <w:szCs w:val="20"/>
              </w:rPr>
            </w:pPr>
            <w:r w:rsidRPr="001428E9">
              <w:rPr>
                <w:rFonts w:ascii="Arial Narrow" w:hAnsi="Arial Narrow"/>
                <w:b/>
                <w:sz w:val="20"/>
                <w:szCs w:val="20"/>
              </w:rPr>
              <w:t xml:space="preserve">Available brands </w:t>
            </w:r>
          </w:p>
        </w:tc>
      </w:tr>
      <w:tr w:rsidR="00A82D50" w:rsidRPr="001428E9" w14:paraId="49F3A1C0" w14:textId="77777777">
        <w:trPr>
          <w:cantSplit/>
          <w:trHeight w:val="20"/>
        </w:trPr>
        <w:tc>
          <w:tcPr>
            <w:tcW w:w="5000" w:type="pct"/>
            <w:gridSpan w:val="6"/>
            <w:vAlign w:val="center"/>
          </w:tcPr>
          <w:p w14:paraId="722EC601" w14:textId="77777777" w:rsidR="00A82D50" w:rsidRPr="005C4AB9" w:rsidRDefault="00A82D50">
            <w:pPr>
              <w:keepNext/>
              <w:rPr>
                <w:rFonts w:ascii="Arial Narrow" w:hAnsi="Arial Narrow"/>
                <w:sz w:val="20"/>
                <w:szCs w:val="20"/>
              </w:rPr>
            </w:pPr>
            <w:r w:rsidRPr="005C4AB9">
              <w:rPr>
                <w:rFonts w:ascii="Arial Narrow" w:hAnsi="Arial Narrow"/>
                <w:sz w:val="20"/>
                <w:szCs w:val="20"/>
              </w:rPr>
              <w:t>Imfinzi</w:t>
            </w:r>
          </w:p>
          <w:p w14:paraId="076F0A87" w14:textId="77777777" w:rsidR="00A82D50" w:rsidRPr="001428E9" w:rsidRDefault="00A82D50">
            <w:pPr>
              <w:keepNext/>
              <w:rPr>
                <w:rFonts w:ascii="Arial Narrow" w:hAnsi="Arial Narrow"/>
                <w:sz w:val="20"/>
                <w:szCs w:val="20"/>
              </w:rPr>
            </w:pPr>
            <w:r w:rsidRPr="3AA61861">
              <w:rPr>
                <w:rFonts w:ascii="Arial Narrow" w:hAnsi="Arial Narrow"/>
                <w:sz w:val="20"/>
                <w:szCs w:val="20"/>
              </w:rPr>
              <w:t>500 mg/10 mL injection, 10 mL vial</w:t>
            </w:r>
          </w:p>
        </w:tc>
      </w:tr>
      <w:tr w:rsidR="00A82D50" w:rsidRPr="001428E9" w14:paraId="610604D5" w14:textId="77777777">
        <w:trPr>
          <w:cantSplit/>
          <w:trHeight w:val="20"/>
        </w:trPr>
        <w:tc>
          <w:tcPr>
            <w:tcW w:w="5000" w:type="pct"/>
            <w:gridSpan w:val="6"/>
            <w:vAlign w:val="center"/>
          </w:tcPr>
          <w:p w14:paraId="2291323F" w14:textId="77777777" w:rsidR="00A82D50" w:rsidRPr="001428E9" w:rsidRDefault="00A82D50">
            <w:pPr>
              <w:keepNext/>
              <w:rPr>
                <w:rFonts w:ascii="Arial Narrow" w:hAnsi="Arial Narrow"/>
                <w:sz w:val="20"/>
                <w:szCs w:val="20"/>
              </w:rPr>
            </w:pPr>
            <w:r w:rsidRPr="3AA61861">
              <w:rPr>
                <w:rFonts w:ascii="Arial Narrow" w:hAnsi="Arial Narrow"/>
                <w:sz w:val="20"/>
                <w:szCs w:val="20"/>
              </w:rPr>
              <w:t xml:space="preserve">Imfinzi </w:t>
            </w:r>
          </w:p>
          <w:p w14:paraId="37415927" w14:textId="77777777" w:rsidR="00A82D50" w:rsidRPr="001428E9" w:rsidRDefault="00A82D50">
            <w:pPr>
              <w:keepNext/>
              <w:rPr>
                <w:rFonts w:ascii="Arial Narrow" w:hAnsi="Arial Narrow"/>
                <w:sz w:val="20"/>
                <w:szCs w:val="20"/>
              </w:rPr>
            </w:pPr>
            <w:r w:rsidRPr="3AA61861">
              <w:rPr>
                <w:rFonts w:ascii="Arial Narrow" w:hAnsi="Arial Narrow"/>
                <w:sz w:val="20"/>
                <w:szCs w:val="20"/>
              </w:rPr>
              <w:t>120 mg/2.4 mL injection, 2.4 mL vial</w:t>
            </w:r>
          </w:p>
        </w:tc>
      </w:tr>
      <w:tr w:rsidR="00A82D50" w:rsidRPr="001428E9" w14:paraId="3D40889E" w14:textId="77777777">
        <w:trPr>
          <w:cantSplit/>
          <w:trHeight w:val="20"/>
        </w:trPr>
        <w:tc>
          <w:tcPr>
            <w:tcW w:w="5000" w:type="pct"/>
            <w:gridSpan w:val="6"/>
            <w:vAlign w:val="center"/>
          </w:tcPr>
          <w:p w14:paraId="3EF44D26" w14:textId="77777777" w:rsidR="00A82D50" w:rsidRPr="001428E9" w:rsidRDefault="00A82D50">
            <w:pPr>
              <w:keepNext/>
              <w:rPr>
                <w:rFonts w:ascii="Arial Narrow" w:hAnsi="Arial Narrow"/>
                <w:sz w:val="20"/>
                <w:szCs w:val="20"/>
              </w:rPr>
            </w:pPr>
          </w:p>
        </w:tc>
      </w:tr>
      <w:tr w:rsidR="00A82D50" w:rsidRPr="001428E9" w14:paraId="14196FA2" w14:textId="77777777">
        <w:trPr>
          <w:cantSplit/>
          <w:trHeight w:val="20"/>
        </w:trPr>
        <w:tc>
          <w:tcPr>
            <w:tcW w:w="5000" w:type="pct"/>
            <w:gridSpan w:val="6"/>
            <w:vAlign w:val="center"/>
          </w:tcPr>
          <w:p w14:paraId="6FC5D8C2" w14:textId="77777777" w:rsidR="00A82D50" w:rsidRPr="001428E9" w:rsidRDefault="00A82D50">
            <w:pPr>
              <w:keepNext/>
              <w:rPr>
                <w:rFonts w:ascii="Arial Narrow" w:hAnsi="Arial Narrow"/>
                <w:color w:val="FF0000"/>
                <w:sz w:val="20"/>
                <w:szCs w:val="20"/>
              </w:rPr>
            </w:pPr>
            <w:r w:rsidRPr="001428E9">
              <w:rPr>
                <w:rFonts w:ascii="Arial Narrow" w:hAnsi="Arial Narrow"/>
                <w:b/>
                <w:sz w:val="20"/>
                <w:szCs w:val="20"/>
              </w:rPr>
              <w:t>Restriction Summary [new</w:t>
            </w:r>
            <w:r>
              <w:rPr>
                <w:rFonts w:ascii="Arial Narrow" w:hAnsi="Arial Narrow"/>
                <w:b/>
                <w:sz w:val="20"/>
                <w:szCs w:val="20"/>
              </w:rPr>
              <w:t>1</w:t>
            </w:r>
            <w:r w:rsidRPr="001428E9">
              <w:rPr>
                <w:rFonts w:ascii="Arial Narrow" w:hAnsi="Arial Narrow"/>
                <w:b/>
                <w:sz w:val="20"/>
                <w:szCs w:val="20"/>
              </w:rPr>
              <w:t>]/ Treatment of Concept: [new</w:t>
            </w:r>
            <w:r>
              <w:rPr>
                <w:rFonts w:ascii="Arial Narrow" w:hAnsi="Arial Narrow"/>
                <w:b/>
                <w:sz w:val="20"/>
                <w:szCs w:val="20"/>
              </w:rPr>
              <w:t>1A</w:t>
            </w:r>
            <w:r w:rsidRPr="001428E9">
              <w:rPr>
                <w:rFonts w:ascii="Arial Narrow" w:hAnsi="Arial Narrow"/>
                <w:b/>
                <w:sz w:val="20"/>
                <w:szCs w:val="20"/>
              </w:rPr>
              <w:t>]</w:t>
            </w:r>
          </w:p>
        </w:tc>
      </w:tr>
      <w:tr w:rsidR="00A82D50" w:rsidRPr="001428E9" w14:paraId="5A5E9B94"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2EDC55B8" w14:textId="77777777" w:rsidR="00A82D50" w:rsidRPr="001428E9" w:rsidRDefault="00A82D50">
            <w:pPr>
              <w:keepNext/>
              <w:jc w:val="center"/>
              <w:rPr>
                <w:rFonts w:ascii="Arial Narrow" w:hAnsi="Arial Narrow"/>
                <w:b/>
                <w:sz w:val="20"/>
                <w:szCs w:val="20"/>
              </w:rPr>
            </w:pPr>
            <w:r w:rsidRPr="001428E9">
              <w:rPr>
                <w:rFonts w:ascii="Arial Narrow" w:hAnsi="Arial Narrow"/>
                <w:b/>
                <w:sz w:val="20"/>
                <w:szCs w:val="20"/>
              </w:rPr>
              <w:t xml:space="preserve">Concept ID </w:t>
            </w:r>
            <w:r w:rsidRPr="001428E9">
              <w:rPr>
                <w:rFonts w:ascii="Arial Narrow" w:hAnsi="Arial Narrow"/>
                <w:sz w:val="20"/>
                <w:szCs w:val="20"/>
              </w:rPr>
              <w:t>(for internal Dept. use)</w:t>
            </w:r>
          </w:p>
        </w:tc>
        <w:tc>
          <w:tcPr>
            <w:tcW w:w="4295" w:type="pct"/>
            <w:gridSpan w:val="4"/>
          </w:tcPr>
          <w:p w14:paraId="55D152B4" w14:textId="77777777" w:rsidR="00A82D50" w:rsidRPr="001428E9" w:rsidRDefault="00A82D50">
            <w:pPr>
              <w:keepNext/>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 xml:space="preserve">Section 100 – Efficient Funding of Chemotherapy Public/Private hospitals </w:t>
            </w:r>
          </w:p>
        </w:tc>
      </w:tr>
      <w:tr w:rsidR="00A82D50" w:rsidRPr="001428E9" w14:paraId="17EE815F"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7A8374F3" w14:textId="77777777" w:rsidR="00A82D50" w:rsidRPr="001428E9" w:rsidRDefault="00A82D50">
            <w:pPr>
              <w:keepNext/>
              <w:rPr>
                <w:rFonts w:ascii="Arial Narrow" w:hAnsi="Arial Narrow"/>
                <w:sz w:val="20"/>
                <w:szCs w:val="20"/>
              </w:rPr>
            </w:pPr>
          </w:p>
        </w:tc>
        <w:tc>
          <w:tcPr>
            <w:tcW w:w="4295" w:type="pct"/>
            <w:gridSpan w:val="4"/>
          </w:tcPr>
          <w:p w14:paraId="202A759B" w14:textId="77777777" w:rsidR="00A82D50" w:rsidRPr="001428E9" w:rsidRDefault="00A82D50">
            <w:pPr>
              <w:keepNext/>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A82D50" w:rsidRPr="001428E9" w14:paraId="01FB1FD1" w14:textId="77777777">
        <w:tblPrEx>
          <w:tblCellMar>
            <w:top w:w="15" w:type="dxa"/>
            <w:bottom w:w="15" w:type="dxa"/>
          </w:tblCellMar>
          <w:tblLook w:val="04A0" w:firstRow="1" w:lastRow="0" w:firstColumn="1" w:lastColumn="0" w:noHBand="0" w:noVBand="1"/>
        </w:tblPrEx>
        <w:trPr>
          <w:cantSplit/>
          <w:trHeight w:val="222"/>
        </w:trPr>
        <w:tc>
          <w:tcPr>
            <w:tcW w:w="705" w:type="pct"/>
            <w:gridSpan w:val="2"/>
            <w:vMerge/>
          </w:tcPr>
          <w:p w14:paraId="33E5C69F" w14:textId="77777777" w:rsidR="00A82D50" w:rsidRPr="001428E9" w:rsidRDefault="00A82D50">
            <w:pPr>
              <w:rPr>
                <w:rFonts w:ascii="Arial Narrow" w:hAnsi="Arial Narrow"/>
                <w:sz w:val="20"/>
                <w:szCs w:val="20"/>
              </w:rPr>
            </w:pPr>
          </w:p>
        </w:tc>
        <w:tc>
          <w:tcPr>
            <w:tcW w:w="4295" w:type="pct"/>
            <w:gridSpan w:val="4"/>
          </w:tcPr>
          <w:p w14:paraId="11018294" w14:textId="77777777" w:rsidR="00A82D50" w:rsidRPr="005659FE" w:rsidRDefault="00A82D50">
            <w:pPr>
              <w:pStyle w:val="TableText0"/>
              <w:ind w:left="32"/>
            </w:pPr>
            <w:r w:rsidRPr="001428E9">
              <w:rPr>
                <w:b/>
              </w:rPr>
              <w:t xml:space="preserve">Restriction type: </w:t>
            </w:r>
            <w:r w:rsidRPr="00622EFF">
              <w:rPr>
                <w:rFonts w:eastAsia="Calibri"/>
              </w:rPr>
              <w:fldChar w:fldCharType="begin">
                <w:ffData>
                  <w:name w:val=""/>
                  <w:enabled/>
                  <w:calcOnExit w:val="0"/>
                  <w:checkBox>
                    <w:sizeAuto/>
                    <w:default w:val="1"/>
                  </w:checkBox>
                </w:ffData>
              </w:fldChar>
            </w:r>
            <w:r w:rsidRPr="00622EFF">
              <w:rPr>
                <w:rFonts w:eastAsia="Calibri"/>
              </w:rPr>
              <w:instrText xml:space="preserve"> FORMCHECKBOX </w:instrText>
            </w:r>
            <w:r w:rsidRPr="00622EFF">
              <w:rPr>
                <w:rFonts w:eastAsia="Calibri"/>
              </w:rPr>
            </w:r>
            <w:r w:rsidRPr="00622EFF">
              <w:rPr>
                <w:rFonts w:eastAsia="Calibri"/>
              </w:rPr>
              <w:fldChar w:fldCharType="separate"/>
            </w:r>
            <w:r w:rsidRPr="00622EFF">
              <w:rPr>
                <w:rFonts w:eastAsia="Calibri"/>
              </w:rPr>
              <w:fldChar w:fldCharType="end"/>
            </w:r>
            <w:r w:rsidRPr="00622EFF">
              <w:rPr>
                <w:rFonts w:eastAsia="Calibri"/>
              </w:rPr>
              <w:t>Authority Required (</w:t>
            </w:r>
            <w:r>
              <w:rPr>
                <w:rFonts w:eastAsia="Calibri"/>
              </w:rPr>
              <w:t>Telephone/Online PBS Authorities System</w:t>
            </w:r>
            <w:r w:rsidRPr="00622EFF">
              <w:rPr>
                <w:rFonts w:eastAsia="Calibri"/>
              </w:rPr>
              <w:t>)</w:t>
            </w:r>
          </w:p>
        </w:tc>
      </w:tr>
      <w:tr w:rsidR="00A82D50" w:rsidRPr="001428E9" w14:paraId="34D1481F" w14:textId="77777777">
        <w:tblPrEx>
          <w:tblCellMar>
            <w:top w:w="15" w:type="dxa"/>
            <w:bottom w:w="15" w:type="dxa"/>
          </w:tblCellMar>
          <w:tblLook w:val="04A0" w:firstRow="1" w:lastRow="0" w:firstColumn="1" w:lastColumn="0" w:noHBand="0" w:noVBand="1"/>
        </w:tblPrEx>
        <w:trPr>
          <w:trHeight w:val="20"/>
        </w:trPr>
        <w:tc>
          <w:tcPr>
            <w:tcW w:w="233" w:type="pct"/>
            <w:vMerge w:val="restart"/>
            <w:textDirection w:val="btLr"/>
            <w:vAlign w:val="center"/>
          </w:tcPr>
          <w:p w14:paraId="1A00434F" w14:textId="77777777" w:rsidR="00A82D50" w:rsidRPr="004E2B1B" w:rsidRDefault="00A82D50">
            <w:pPr>
              <w:keepLines/>
              <w:jc w:val="center"/>
              <w:rPr>
                <w:rFonts w:ascii="Arial Narrow" w:hAnsi="Arial Narrow"/>
                <w:color w:val="333333"/>
                <w:sz w:val="18"/>
                <w:szCs w:val="18"/>
              </w:rPr>
            </w:pPr>
            <w:r w:rsidRPr="004E2B1B">
              <w:rPr>
                <w:rFonts w:ascii="Arial Narrow" w:hAnsi="Arial Narrow"/>
                <w:color w:val="333333"/>
                <w:sz w:val="18"/>
                <w:szCs w:val="18"/>
              </w:rPr>
              <w:t>Prescribing rule level</w:t>
            </w:r>
          </w:p>
        </w:tc>
        <w:tc>
          <w:tcPr>
            <w:tcW w:w="472" w:type="pct"/>
            <w:vAlign w:val="center"/>
          </w:tcPr>
          <w:p w14:paraId="1722F1E4" w14:textId="6C55E4B5" w:rsidR="00A82D50" w:rsidRPr="001428E9" w:rsidRDefault="00A82D50">
            <w:pPr>
              <w:keepLines/>
              <w:ind w:hanging="35"/>
              <w:jc w:val="center"/>
              <w:rPr>
                <w:rFonts w:ascii="Arial Narrow" w:hAnsi="Arial Narrow"/>
                <w:color w:val="333333"/>
                <w:sz w:val="20"/>
                <w:szCs w:val="20"/>
              </w:rPr>
            </w:pPr>
          </w:p>
        </w:tc>
        <w:tc>
          <w:tcPr>
            <w:tcW w:w="4295" w:type="pct"/>
            <w:gridSpan w:val="4"/>
            <w:vAlign w:val="center"/>
          </w:tcPr>
          <w:p w14:paraId="32A6672F" w14:textId="5C75CFDE" w:rsidR="00A82D50" w:rsidRPr="00F6227F" w:rsidRDefault="00A82D50">
            <w:pPr>
              <w:keepLines/>
              <w:contextualSpacing/>
              <w:rPr>
                <w:rFonts w:ascii="Arial Narrow" w:hAnsi="Arial Narrow"/>
                <w:sz w:val="20"/>
                <w:szCs w:val="20"/>
              </w:rPr>
            </w:pPr>
            <w:r w:rsidRPr="00F6227F">
              <w:rPr>
                <w:rFonts w:ascii="Arial Narrow" w:hAnsi="Arial Narrow"/>
                <w:b/>
                <w:bCs/>
                <w:sz w:val="20"/>
                <w:szCs w:val="20"/>
              </w:rPr>
              <w:t>Administrative Advice:</w:t>
            </w:r>
            <w:r>
              <w:rPr>
                <w:rFonts w:ascii="Arial Narrow" w:hAnsi="Arial Narrow"/>
                <w:b/>
                <w:bCs/>
                <w:sz w:val="20"/>
                <w:szCs w:val="20"/>
              </w:rPr>
              <w:t xml:space="preserve"> </w:t>
            </w:r>
            <w:r w:rsidRPr="00B75CDD">
              <w:rPr>
                <w:rFonts w:ascii="Arial Narrow" w:hAnsi="Arial Narrow"/>
                <w:sz w:val="20"/>
                <w:szCs w:val="20"/>
              </w:rPr>
              <w:t>The recommended dose of durvalumab in the neoadjuvant phase is 1500 mg administered every 4 weeks, for up to 2 cycles.</w:t>
            </w:r>
          </w:p>
        </w:tc>
      </w:tr>
      <w:tr w:rsidR="00A82D50" w:rsidRPr="001428E9" w14:paraId="2746345D" w14:textId="77777777">
        <w:tblPrEx>
          <w:tblCellMar>
            <w:top w:w="15" w:type="dxa"/>
            <w:bottom w:w="15" w:type="dxa"/>
          </w:tblCellMar>
          <w:tblLook w:val="04A0" w:firstRow="1" w:lastRow="0" w:firstColumn="1" w:lastColumn="0" w:noHBand="0" w:noVBand="1"/>
        </w:tblPrEx>
        <w:trPr>
          <w:trHeight w:val="20"/>
        </w:trPr>
        <w:tc>
          <w:tcPr>
            <w:tcW w:w="233" w:type="pct"/>
            <w:vMerge/>
            <w:textDirection w:val="btLr"/>
            <w:vAlign w:val="center"/>
          </w:tcPr>
          <w:p w14:paraId="5BC8A321" w14:textId="77777777" w:rsidR="00A82D50" w:rsidRPr="004E2B1B" w:rsidRDefault="00A82D50">
            <w:pPr>
              <w:keepLines/>
              <w:jc w:val="center"/>
              <w:rPr>
                <w:rFonts w:ascii="Arial Narrow" w:hAnsi="Arial Narrow"/>
                <w:color w:val="333333"/>
                <w:sz w:val="18"/>
                <w:szCs w:val="18"/>
              </w:rPr>
            </w:pPr>
          </w:p>
        </w:tc>
        <w:tc>
          <w:tcPr>
            <w:tcW w:w="472" w:type="pct"/>
            <w:vAlign w:val="center"/>
          </w:tcPr>
          <w:p w14:paraId="3B2708F9" w14:textId="41ED09C4" w:rsidR="00A82D50" w:rsidRPr="00B75CDD" w:rsidRDefault="00A82D50">
            <w:pPr>
              <w:keepLines/>
              <w:ind w:hanging="35"/>
              <w:jc w:val="center"/>
              <w:rPr>
                <w:rFonts w:ascii="Arial Narrow" w:hAnsi="Arial Narrow"/>
                <w:sz w:val="20"/>
                <w:szCs w:val="20"/>
              </w:rPr>
            </w:pPr>
          </w:p>
        </w:tc>
        <w:tc>
          <w:tcPr>
            <w:tcW w:w="4295" w:type="pct"/>
            <w:gridSpan w:val="4"/>
            <w:vAlign w:val="center"/>
          </w:tcPr>
          <w:p w14:paraId="63900615" w14:textId="77777777" w:rsidR="00A82D50" w:rsidRPr="00B75CDD" w:rsidRDefault="00A82D50">
            <w:pPr>
              <w:keepLines/>
              <w:contextualSpacing/>
              <w:rPr>
                <w:rFonts w:ascii="Arial Narrow" w:hAnsi="Arial Narrow"/>
                <w:sz w:val="20"/>
                <w:szCs w:val="20"/>
              </w:rPr>
            </w:pPr>
            <w:r w:rsidRPr="00B75CDD">
              <w:rPr>
                <w:rFonts w:ascii="Arial Narrow" w:hAnsi="Arial Narrow"/>
                <w:b/>
                <w:bCs/>
                <w:sz w:val="20"/>
                <w:szCs w:val="20"/>
              </w:rPr>
              <w:t>Administrative Advice:</w:t>
            </w:r>
            <w:r w:rsidRPr="00B75CDD">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A82D50" w:rsidRPr="001428E9" w14:paraId="79B81B9C" w14:textId="77777777">
        <w:tblPrEx>
          <w:tblCellMar>
            <w:top w:w="15" w:type="dxa"/>
            <w:bottom w:w="15" w:type="dxa"/>
          </w:tblCellMar>
          <w:tblLook w:val="04A0" w:firstRow="1" w:lastRow="0" w:firstColumn="1" w:lastColumn="0" w:noHBand="0" w:noVBand="1"/>
        </w:tblPrEx>
        <w:trPr>
          <w:trHeight w:val="20"/>
        </w:trPr>
        <w:tc>
          <w:tcPr>
            <w:tcW w:w="233" w:type="pct"/>
            <w:vMerge/>
            <w:vAlign w:val="center"/>
          </w:tcPr>
          <w:p w14:paraId="4B539A5E" w14:textId="77777777" w:rsidR="00A82D50" w:rsidRPr="001428E9" w:rsidRDefault="00A82D50">
            <w:pPr>
              <w:keepLines/>
              <w:jc w:val="center"/>
              <w:rPr>
                <w:rFonts w:ascii="Arial Narrow" w:hAnsi="Arial Narrow"/>
                <w:color w:val="333333"/>
                <w:sz w:val="20"/>
                <w:szCs w:val="20"/>
              </w:rPr>
            </w:pPr>
          </w:p>
        </w:tc>
        <w:tc>
          <w:tcPr>
            <w:tcW w:w="472" w:type="pct"/>
            <w:vAlign w:val="center"/>
          </w:tcPr>
          <w:p w14:paraId="6155E608" w14:textId="3D9C701B" w:rsidR="00A82D50" w:rsidRDefault="00A82D50">
            <w:pPr>
              <w:keepLines/>
              <w:ind w:hanging="35"/>
              <w:jc w:val="center"/>
              <w:rPr>
                <w:rFonts w:ascii="Arial Narrow" w:hAnsi="Arial Narrow"/>
                <w:color w:val="333333"/>
                <w:sz w:val="20"/>
                <w:szCs w:val="20"/>
              </w:rPr>
            </w:pPr>
          </w:p>
        </w:tc>
        <w:tc>
          <w:tcPr>
            <w:tcW w:w="4295" w:type="pct"/>
            <w:gridSpan w:val="4"/>
            <w:vAlign w:val="center"/>
          </w:tcPr>
          <w:p w14:paraId="3766B199" w14:textId="77777777" w:rsidR="00A82D50" w:rsidRPr="00F6227F" w:rsidRDefault="00A82D50">
            <w:pPr>
              <w:keepLines/>
              <w:contextualSpacing/>
              <w:rPr>
                <w:rFonts w:ascii="Arial Narrow" w:hAnsi="Arial Narrow"/>
                <w:b/>
                <w:bCs/>
                <w:sz w:val="20"/>
                <w:szCs w:val="20"/>
              </w:rPr>
            </w:pPr>
            <w:r w:rsidRPr="00F6227F">
              <w:rPr>
                <w:rFonts w:ascii="Arial Narrow" w:hAnsi="Arial Narrow"/>
                <w:b/>
                <w:bCs/>
                <w:sz w:val="20"/>
                <w:szCs w:val="20"/>
              </w:rPr>
              <w:t>Administrative Advice:</w:t>
            </w:r>
            <w:r>
              <w:rPr>
                <w:rFonts w:ascii="Arial Narrow" w:hAnsi="Arial Narrow"/>
                <w:b/>
                <w:bCs/>
                <w:sz w:val="20"/>
                <w:szCs w:val="20"/>
              </w:rPr>
              <w:t xml:space="preserve"> </w:t>
            </w:r>
            <w:r w:rsidRPr="57C5A67F">
              <w:rPr>
                <w:rFonts w:ascii="Arial Narrow" w:hAnsi="Arial Narrow"/>
                <w:sz w:val="20"/>
                <w:szCs w:val="20"/>
              </w:rPr>
              <w:t>No increase in the maximum amount or number of units may be authorised.</w:t>
            </w:r>
          </w:p>
        </w:tc>
      </w:tr>
      <w:tr w:rsidR="00A82D50" w:rsidRPr="001428E9" w14:paraId="4C320613" w14:textId="77777777">
        <w:tblPrEx>
          <w:tblCellMar>
            <w:top w:w="15" w:type="dxa"/>
            <w:bottom w:w="15" w:type="dxa"/>
          </w:tblCellMar>
          <w:tblLook w:val="04A0" w:firstRow="1" w:lastRow="0" w:firstColumn="1" w:lastColumn="0" w:noHBand="0" w:noVBand="1"/>
        </w:tblPrEx>
        <w:trPr>
          <w:trHeight w:val="20"/>
        </w:trPr>
        <w:tc>
          <w:tcPr>
            <w:tcW w:w="233" w:type="pct"/>
            <w:vMerge/>
            <w:vAlign w:val="center"/>
          </w:tcPr>
          <w:p w14:paraId="2708387E" w14:textId="77777777" w:rsidR="00A82D50" w:rsidRPr="001428E9" w:rsidRDefault="00A82D50">
            <w:pPr>
              <w:keepLines/>
              <w:jc w:val="center"/>
              <w:rPr>
                <w:rFonts w:ascii="Arial Narrow" w:hAnsi="Arial Narrow"/>
                <w:color w:val="333333"/>
                <w:sz w:val="20"/>
                <w:szCs w:val="20"/>
              </w:rPr>
            </w:pPr>
          </w:p>
        </w:tc>
        <w:tc>
          <w:tcPr>
            <w:tcW w:w="472" w:type="pct"/>
            <w:vAlign w:val="center"/>
          </w:tcPr>
          <w:p w14:paraId="016C0754" w14:textId="358595B9" w:rsidR="00A82D50" w:rsidRPr="001428E9" w:rsidRDefault="00A82D50">
            <w:pPr>
              <w:keepLines/>
              <w:ind w:hanging="35"/>
              <w:jc w:val="center"/>
              <w:rPr>
                <w:rFonts w:ascii="Arial Narrow" w:hAnsi="Arial Narrow"/>
                <w:color w:val="333333"/>
                <w:sz w:val="20"/>
                <w:szCs w:val="20"/>
              </w:rPr>
            </w:pPr>
          </w:p>
        </w:tc>
        <w:tc>
          <w:tcPr>
            <w:tcW w:w="4295" w:type="pct"/>
            <w:gridSpan w:val="4"/>
            <w:vAlign w:val="center"/>
          </w:tcPr>
          <w:p w14:paraId="2861D4EB" w14:textId="77777777" w:rsidR="00A82D50" w:rsidRPr="00F6227F" w:rsidRDefault="00A82D50">
            <w:pPr>
              <w:keepLines/>
              <w:contextualSpacing/>
              <w:rPr>
                <w:rFonts w:ascii="Arial Narrow" w:hAnsi="Arial Narrow"/>
                <w:sz w:val="20"/>
                <w:szCs w:val="20"/>
              </w:rPr>
            </w:pPr>
            <w:r w:rsidRPr="00F6227F">
              <w:rPr>
                <w:rFonts w:ascii="Arial Narrow" w:hAnsi="Arial Narrow"/>
                <w:b/>
                <w:bCs/>
                <w:sz w:val="20"/>
                <w:szCs w:val="20"/>
              </w:rPr>
              <w:t>Administrative Advice:</w:t>
            </w:r>
            <w:r>
              <w:rPr>
                <w:rFonts w:ascii="Arial Narrow" w:hAnsi="Arial Narrow"/>
                <w:b/>
                <w:bCs/>
                <w:sz w:val="20"/>
                <w:szCs w:val="20"/>
              </w:rPr>
              <w:t xml:space="preserve"> </w:t>
            </w:r>
            <w:r w:rsidRPr="00F6227F">
              <w:rPr>
                <w:rFonts w:ascii="Arial Narrow" w:hAnsi="Arial Narrow"/>
                <w:sz w:val="20"/>
                <w:szCs w:val="20"/>
              </w:rPr>
              <w:t>No increase in the maximum number of repeats may be authorised.</w:t>
            </w:r>
          </w:p>
        </w:tc>
      </w:tr>
      <w:tr w:rsidR="00A82D50" w:rsidRPr="001428E9" w14:paraId="15B54B6E" w14:textId="77777777">
        <w:tblPrEx>
          <w:tblCellMar>
            <w:top w:w="15" w:type="dxa"/>
            <w:bottom w:w="15" w:type="dxa"/>
          </w:tblCellMar>
          <w:tblLook w:val="04A0" w:firstRow="1" w:lastRow="0" w:firstColumn="1" w:lastColumn="0" w:noHBand="0" w:noVBand="1"/>
        </w:tblPrEx>
        <w:trPr>
          <w:trHeight w:val="20"/>
        </w:trPr>
        <w:tc>
          <w:tcPr>
            <w:tcW w:w="233" w:type="pct"/>
            <w:vMerge/>
            <w:vAlign w:val="center"/>
          </w:tcPr>
          <w:p w14:paraId="361FEFEA" w14:textId="77777777" w:rsidR="00A82D50" w:rsidRPr="001428E9" w:rsidRDefault="00A82D50">
            <w:pPr>
              <w:keepLines/>
              <w:jc w:val="center"/>
              <w:rPr>
                <w:rFonts w:ascii="Arial Narrow" w:hAnsi="Arial Narrow"/>
                <w:color w:val="333333"/>
                <w:sz w:val="20"/>
                <w:szCs w:val="20"/>
              </w:rPr>
            </w:pPr>
          </w:p>
        </w:tc>
        <w:tc>
          <w:tcPr>
            <w:tcW w:w="472" w:type="pct"/>
            <w:vAlign w:val="center"/>
          </w:tcPr>
          <w:p w14:paraId="0243C079" w14:textId="60CDB2D8" w:rsidR="00A82D50" w:rsidRPr="001428E9" w:rsidRDefault="00A82D50">
            <w:pPr>
              <w:keepLines/>
              <w:ind w:hanging="35"/>
              <w:jc w:val="center"/>
              <w:rPr>
                <w:rFonts w:ascii="Arial Narrow" w:hAnsi="Arial Narrow"/>
                <w:color w:val="333333"/>
                <w:sz w:val="20"/>
                <w:szCs w:val="20"/>
              </w:rPr>
            </w:pPr>
          </w:p>
        </w:tc>
        <w:tc>
          <w:tcPr>
            <w:tcW w:w="4295" w:type="pct"/>
            <w:gridSpan w:val="4"/>
            <w:vAlign w:val="center"/>
          </w:tcPr>
          <w:p w14:paraId="7C3B9AF9" w14:textId="77777777" w:rsidR="00A82D50" w:rsidRPr="00A44782" w:rsidRDefault="00A82D50">
            <w:pPr>
              <w:keepLines/>
              <w:contextualSpacing/>
              <w:rPr>
                <w:rFonts w:ascii="Arial Narrow" w:hAnsi="Arial Narrow"/>
                <w:sz w:val="20"/>
                <w:szCs w:val="20"/>
              </w:rPr>
            </w:pPr>
            <w:r w:rsidRPr="180C800E">
              <w:rPr>
                <w:rFonts w:ascii="Arial Narrow" w:hAnsi="Arial Narrow"/>
                <w:b/>
                <w:bCs/>
                <w:sz w:val="20"/>
                <w:szCs w:val="20"/>
              </w:rPr>
              <w:t>Administrative Advice:</w:t>
            </w:r>
            <w:r>
              <w:rPr>
                <w:rFonts w:ascii="Arial Narrow" w:hAnsi="Arial Narrow"/>
                <w:b/>
                <w:bCs/>
                <w:sz w:val="20"/>
                <w:szCs w:val="20"/>
              </w:rPr>
              <w:t xml:space="preserve"> </w:t>
            </w:r>
            <w:r w:rsidRPr="180C800E">
              <w:rPr>
                <w:rFonts w:ascii="Arial Narrow" w:hAnsi="Arial Narrow"/>
                <w:sz w:val="20"/>
                <w:szCs w:val="20"/>
              </w:rPr>
              <w:t>Special Pricing Arrangements apply.</w:t>
            </w:r>
          </w:p>
        </w:tc>
      </w:tr>
      <w:tr w:rsidR="00A82D50" w:rsidRPr="001428E9" w14:paraId="6AAE9EF2"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671B8703" w14:textId="77777777" w:rsidR="00A82D50" w:rsidRPr="00BF2EBD" w:rsidRDefault="00A82D50">
            <w:pPr>
              <w:keepLines/>
              <w:jc w:val="center"/>
              <w:rPr>
                <w:rFonts w:ascii="Arial Narrow" w:hAnsi="Arial Narrow"/>
                <w:color w:val="C4BC96" w:themeColor="background2" w:themeShade="BF"/>
                <w:sz w:val="20"/>
                <w:szCs w:val="20"/>
              </w:rPr>
            </w:pPr>
          </w:p>
        </w:tc>
        <w:tc>
          <w:tcPr>
            <w:tcW w:w="4295" w:type="pct"/>
            <w:gridSpan w:val="4"/>
            <w:vAlign w:val="center"/>
          </w:tcPr>
          <w:p w14:paraId="261765F1" w14:textId="77777777" w:rsidR="00A82D50" w:rsidRPr="00B75CDD" w:rsidRDefault="00A82D50">
            <w:pPr>
              <w:keepLines/>
              <w:rPr>
                <w:rFonts w:ascii="Arial Narrow" w:hAnsi="Arial Narrow"/>
                <w:b/>
                <w:bCs/>
                <w:sz w:val="20"/>
                <w:szCs w:val="20"/>
              </w:rPr>
            </w:pPr>
            <w:r w:rsidRPr="00B75CDD">
              <w:rPr>
                <w:rFonts w:ascii="Arial Narrow" w:hAnsi="Arial Narrow"/>
                <w:b/>
                <w:bCs/>
                <w:sz w:val="20"/>
                <w:szCs w:val="20"/>
              </w:rPr>
              <w:t xml:space="preserve">Episodicity: </w:t>
            </w:r>
            <w:r w:rsidRPr="00B75CDD">
              <w:rPr>
                <w:rFonts w:ascii="Arial Narrow" w:hAnsi="Arial Narrow"/>
                <w:sz w:val="20"/>
                <w:szCs w:val="20"/>
              </w:rPr>
              <w:t>[Blank]</w:t>
            </w:r>
          </w:p>
        </w:tc>
      </w:tr>
      <w:tr w:rsidR="00A82D50" w:rsidRPr="001428E9" w14:paraId="3A012C01"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4814A64B" w14:textId="77777777" w:rsidR="00A82D50" w:rsidRPr="00BF2EBD" w:rsidRDefault="00A82D50">
            <w:pPr>
              <w:keepLines/>
              <w:jc w:val="center"/>
              <w:rPr>
                <w:rFonts w:ascii="Arial Narrow" w:hAnsi="Arial Narrow"/>
                <w:color w:val="C4BC96" w:themeColor="background2" w:themeShade="BF"/>
                <w:sz w:val="20"/>
                <w:szCs w:val="20"/>
              </w:rPr>
            </w:pPr>
          </w:p>
        </w:tc>
        <w:tc>
          <w:tcPr>
            <w:tcW w:w="4295" w:type="pct"/>
            <w:gridSpan w:val="4"/>
            <w:vAlign w:val="center"/>
          </w:tcPr>
          <w:p w14:paraId="5B3C792A" w14:textId="77777777" w:rsidR="00A82D50" w:rsidRPr="00B75CDD" w:rsidRDefault="00A82D50">
            <w:pPr>
              <w:keepLines/>
              <w:rPr>
                <w:rFonts w:ascii="Arial Narrow" w:hAnsi="Arial Narrow"/>
                <w:b/>
                <w:bCs/>
                <w:sz w:val="20"/>
                <w:szCs w:val="20"/>
              </w:rPr>
            </w:pPr>
            <w:r w:rsidRPr="00B75CDD">
              <w:rPr>
                <w:rFonts w:ascii="Arial Narrow" w:hAnsi="Arial Narrow"/>
                <w:b/>
                <w:bCs/>
                <w:sz w:val="20"/>
                <w:szCs w:val="20"/>
              </w:rPr>
              <w:t xml:space="preserve">Severity: </w:t>
            </w:r>
            <w:r w:rsidRPr="00B75CDD">
              <w:rPr>
                <w:rFonts w:ascii="Arial Narrow" w:hAnsi="Arial Narrow"/>
                <w:sz w:val="20"/>
                <w:szCs w:val="20"/>
              </w:rPr>
              <w:t>[Blank]</w:t>
            </w:r>
          </w:p>
        </w:tc>
      </w:tr>
      <w:tr w:rsidR="00A82D50" w:rsidRPr="001428E9" w14:paraId="1770268D" w14:textId="77777777">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5A0203D8" w14:textId="77777777" w:rsidR="00A82D50" w:rsidRPr="00BF2EBD" w:rsidRDefault="00A82D50">
            <w:pPr>
              <w:keepLines/>
              <w:jc w:val="center"/>
              <w:rPr>
                <w:rFonts w:ascii="Arial Narrow" w:hAnsi="Arial Narrow"/>
                <w:color w:val="C4BC96" w:themeColor="background2" w:themeShade="BF"/>
                <w:sz w:val="20"/>
                <w:szCs w:val="20"/>
              </w:rPr>
            </w:pPr>
          </w:p>
        </w:tc>
        <w:tc>
          <w:tcPr>
            <w:tcW w:w="4295" w:type="pct"/>
            <w:gridSpan w:val="4"/>
            <w:vAlign w:val="center"/>
          </w:tcPr>
          <w:p w14:paraId="1A5A5B60" w14:textId="1605DEBE" w:rsidR="00A82D50" w:rsidRPr="00B75CDD" w:rsidRDefault="00A82D50">
            <w:pPr>
              <w:keepLines/>
              <w:rPr>
                <w:rFonts w:ascii="Arial Narrow" w:hAnsi="Arial Narrow"/>
                <w:b/>
                <w:bCs/>
                <w:sz w:val="20"/>
                <w:szCs w:val="20"/>
              </w:rPr>
            </w:pPr>
            <w:r w:rsidRPr="00B75CDD">
              <w:rPr>
                <w:rFonts w:ascii="Arial Narrow" w:hAnsi="Arial Narrow"/>
                <w:b/>
                <w:bCs/>
                <w:sz w:val="20"/>
                <w:szCs w:val="20"/>
              </w:rPr>
              <w:t xml:space="preserve">Condition: </w:t>
            </w:r>
            <w:r w:rsidRPr="00B75CDD">
              <w:rPr>
                <w:rFonts w:ascii="Arial Narrow" w:hAnsi="Arial Narrow"/>
                <w:bCs/>
                <w:sz w:val="20"/>
                <w:szCs w:val="20"/>
              </w:rPr>
              <w:t>Resectable gastric and gastroesophageal junction adenocarcinoma</w:t>
            </w:r>
          </w:p>
        </w:tc>
      </w:tr>
      <w:tr w:rsidR="00A82D50" w:rsidRPr="001428E9" w14:paraId="1E7F499B"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4483BD4C" w14:textId="77777777" w:rsidR="00A82D50" w:rsidRPr="001428E9" w:rsidRDefault="00A82D50">
            <w:pPr>
              <w:keepLines/>
              <w:jc w:val="center"/>
              <w:rPr>
                <w:rFonts w:ascii="Arial Narrow" w:hAnsi="Arial Narrow"/>
                <w:color w:val="333333"/>
                <w:sz w:val="20"/>
                <w:szCs w:val="20"/>
              </w:rPr>
            </w:pPr>
          </w:p>
        </w:tc>
        <w:tc>
          <w:tcPr>
            <w:tcW w:w="4295" w:type="pct"/>
            <w:gridSpan w:val="4"/>
            <w:vAlign w:val="center"/>
            <w:hideMark/>
          </w:tcPr>
          <w:p w14:paraId="0D01F0CB" w14:textId="565AD2F7" w:rsidR="00A82D50" w:rsidRPr="00A44782" w:rsidRDefault="00A82D50">
            <w:pPr>
              <w:keepLines/>
              <w:rPr>
                <w:rFonts w:ascii="Arial Narrow" w:hAnsi="Arial Narrow"/>
                <w:sz w:val="20"/>
                <w:szCs w:val="20"/>
              </w:rPr>
            </w:pPr>
            <w:r w:rsidRPr="00A44782">
              <w:rPr>
                <w:rFonts w:ascii="Arial Narrow" w:hAnsi="Arial Narrow"/>
                <w:b/>
                <w:bCs/>
                <w:sz w:val="20"/>
                <w:szCs w:val="20"/>
              </w:rPr>
              <w:t>Indication:</w:t>
            </w:r>
            <w:r w:rsidRPr="00A44782">
              <w:rPr>
                <w:rFonts w:ascii="Arial Narrow" w:hAnsi="Arial Narrow"/>
                <w:sz w:val="20"/>
                <w:szCs w:val="20"/>
              </w:rPr>
              <w:t xml:space="preserve"> </w:t>
            </w:r>
            <w:r w:rsidRPr="009A4F53">
              <w:rPr>
                <w:rFonts w:ascii="Arial Narrow" w:hAnsi="Arial Narrow"/>
                <w:bCs/>
                <w:sz w:val="20"/>
                <w:szCs w:val="20"/>
              </w:rPr>
              <w:t>Resectable gastric and gastroesophageal junction adenocarcinoma</w:t>
            </w:r>
          </w:p>
        </w:tc>
      </w:tr>
      <w:tr w:rsidR="00A82D50" w:rsidRPr="001428E9" w14:paraId="652DD081"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14377915" w14:textId="77777777" w:rsidR="00A82D50" w:rsidRPr="001428E9" w:rsidRDefault="00A82D50">
            <w:pPr>
              <w:jc w:val="center"/>
              <w:rPr>
                <w:rFonts w:ascii="Arial Narrow" w:hAnsi="Arial Narrow"/>
                <w:color w:val="333333"/>
                <w:sz w:val="20"/>
                <w:szCs w:val="20"/>
              </w:rPr>
            </w:pPr>
          </w:p>
        </w:tc>
        <w:tc>
          <w:tcPr>
            <w:tcW w:w="4295" w:type="pct"/>
            <w:gridSpan w:val="4"/>
            <w:vAlign w:val="center"/>
            <w:hideMark/>
          </w:tcPr>
          <w:p w14:paraId="2F2CCFD4" w14:textId="6D1BCA0D" w:rsidR="00A82D50" w:rsidRPr="005A21E9" w:rsidRDefault="00A82D50">
            <w:pPr>
              <w:rPr>
                <w:rFonts w:ascii="Arial Narrow" w:hAnsi="Arial Narrow"/>
                <w:sz w:val="20"/>
                <w:szCs w:val="20"/>
              </w:rPr>
            </w:pPr>
            <w:r w:rsidRPr="005A21E9">
              <w:rPr>
                <w:rFonts w:ascii="Arial Narrow" w:hAnsi="Arial Narrow"/>
                <w:b/>
                <w:bCs/>
                <w:sz w:val="20"/>
                <w:szCs w:val="20"/>
              </w:rPr>
              <w:t>Treatment Phase:</w:t>
            </w:r>
            <w:r w:rsidRPr="005A21E9">
              <w:rPr>
                <w:rFonts w:ascii="Arial Narrow" w:hAnsi="Arial Narrow"/>
                <w:sz w:val="20"/>
                <w:szCs w:val="20"/>
              </w:rPr>
              <w:t xml:space="preserve"> Neoadjuvant treatment</w:t>
            </w:r>
          </w:p>
        </w:tc>
      </w:tr>
      <w:tr w:rsidR="00A82D50" w:rsidRPr="001428E9" w14:paraId="1C28C93B"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9A4D28F"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332E8ECB" w14:textId="5E234809" w:rsidR="00A82D50" w:rsidRPr="005A21E9" w:rsidRDefault="00A82D50">
            <w:pPr>
              <w:rPr>
                <w:rFonts w:ascii="Arial Narrow" w:hAnsi="Arial Narrow"/>
                <w:b/>
                <w:bCs/>
                <w:sz w:val="20"/>
                <w:szCs w:val="20"/>
              </w:rPr>
            </w:pPr>
            <w:r w:rsidRPr="005A21E9">
              <w:rPr>
                <w:rFonts w:ascii="Arial Narrow" w:hAnsi="Arial Narrow"/>
                <w:b/>
                <w:bCs/>
                <w:sz w:val="20"/>
                <w:szCs w:val="20"/>
              </w:rPr>
              <w:t>Clinical criteria</w:t>
            </w:r>
          </w:p>
        </w:tc>
      </w:tr>
      <w:tr w:rsidR="00A82D50" w:rsidRPr="001428E9" w14:paraId="2B1FF3DB"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3BC9AD9"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558D5C6F" w14:textId="77777777" w:rsidR="00A82D50" w:rsidRPr="00182671" w:rsidRDefault="00A82D50">
            <w:pPr>
              <w:pStyle w:val="Tabletext"/>
              <w:rPr>
                <w:rFonts w:eastAsiaTheme="minorEastAsia"/>
                <w:szCs w:val="20"/>
              </w:rPr>
            </w:pPr>
            <w:r w:rsidRPr="00182671">
              <w:rPr>
                <w:rFonts w:eastAsiaTheme="minorEastAsia"/>
                <w:szCs w:val="20"/>
              </w:rPr>
              <w:t>Patient must be initiating treatment with this drug for this condition</w:t>
            </w:r>
            <w:r>
              <w:rPr>
                <w:rFonts w:eastAsiaTheme="minorEastAsia"/>
                <w:szCs w:val="20"/>
              </w:rPr>
              <w:t>;</w:t>
            </w:r>
            <w:r w:rsidRPr="00182671">
              <w:rPr>
                <w:rFonts w:eastAsiaTheme="minorEastAsia"/>
                <w:szCs w:val="20"/>
              </w:rPr>
              <w:t xml:space="preserve"> OR</w:t>
            </w:r>
          </w:p>
        </w:tc>
      </w:tr>
      <w:tr w:rsidR="00A82D50" w:rsidRPr="001428E9" w14:paraId="704C740D"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3DAD0C2"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7C875ECA" w14:textId="178B2445" w:rsidR="00A82D50" w:rsidRPr="00182671" w:rsidRDefault="00A82D50">
            <w:pPr>
              <w:rPr>
                <w:rFonts w:ascii="Arial Narrow" w:hAnsi="Arial Narrow"/>
                <w:b/>
                <w:bCs/>
                <w:sz w:val="20"/>
                <w:szCs w:val="20"/>
              </w:rPr>
            </w:pPr>
            <w:r w:rsidRPr="00182671">
              <w:rPr>
                <w:rFonts w:ascii="Arial Narrow" w:hAnsi="Arial Narrow"/>
                <w:sz w:val="20"/>
                <w:szCs w:val="20"/>
              </w:rPr>
              <w:t>Patient must be transitioning from existing non</w:t>
            </w:r>
            <w:r w:rsidR="00675F55">
              <w:rPr>
                <w:rFonts w:ascii="Arial Narrow" w:hAnsi="Arial Narrow"/>
                <w:sz w:val="20"/>
                <w:szCs w:val="20"/>
              </w:rPr>
              <w:noBreakHyphen/>
            </w:r>
            <w:r w:rsidRPr="00182671">
              <w:rPr>
                <w:rFonts w:ascii="Arial Narrow" w:hAnsi="Arial Narrow"/>
                <w:sz w:val="20"/>
                <w:szCs w:val="20"/>
              </w:rPr>
              <w:t>PBS to PBS subsidised supply of this drug</w:t>
            </w:r>
          </w:p>
        </w:tc>
      </w:tr>
      <w:tr w:rsidR="00A82D50" w:rsidRPr="001428E9" w14:paraId="650CCC50"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00CFC8D"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4D41815E"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AND</w:t>
            </w:r>
          </w:p>
        </w:tc>
      </w:tr>
      <w:tr w:rsidR="00F46A40" w:rsidRPr="001428E9" w14:paraId="1888601C"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7FE1DBF" w14:textId="77777777" w:rsidR="00F46A40" w:rsidRPr="001428E9" w:rsidRDefault="00F46A40" w:rsidP="00F46A40">
            <w:pPr>
              <w:jc w:val="center"/>
              <w:rPr>
                <w:rFonts w:ascii="Arial Narrow" w:hAnsi="Arial Narrow"/>
                <w:color w:val="333333"/>
                <w:sz w:val="20"/>
                <w:szCs w:val="20"/>
              </w:rPr>
            </w:pPr>
          </w:p>
        </w:tc>
        <w:tc>
          <w:tcPr>
            <w:tcW w:w="4295" w:type="pct"/>
            <w:gridSpan w:val="4"/>
            <w:vAlign w:val="center"/>
          </w:tcPr>
          <w:p w14:paraId="6AC812DC" w14:textId="3A86D831" w:rsidR="00F46A40" w:rsidRPr="001428E9" w:rsidRDefault="00F46A40" w:rsidP="00F46A40">
            <w:pPr>
              <w:rPr>
                <w:rFonts w:ascii="Arial Narrow" w:hAnsi="Arial Narrow"/>
                <w:b/>
                <w:bCs/>
                <w:color w:val="333333"/>
                <w:sz w:val="20"/>
                <w:szCs w:val="20"/>
              </w:rPr>
            </w:pPr>
            <w:r w:rsidRPr="00D60B02">
              <w:rPr>
                <w:rFonts w:ascii="Arial Narrow" w:hAnsi="Arial Narrow"/>
                <w:b/>
                <w:bCs/>
                <w:sz w:val="20"/>
                <w:szCs w:val="20"/>
              </w:rPr>
              <w:t xml:space="preserve">Clinical criteria: </w:t>
            </w:r>
          </w:p>
        </w:tc>
      </w:tr>
      <w:tr w:rsidR="00F46A40" w:rsidRPr="001428E9" w14:paraId="06521C7A"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BD0F40F" w14:textId="77777777" w:rsidR="00F46A40" w:rsidRPr="001428E9" w:rsidRDefault="00F46A40" w:rsidP="00F46A40">
            <w:pPr>
              <w:jc w:val="center"/>
              <w:rPr>
                <w:rFonts w:ascii="Arial Narrow" w:hAnsi="Arial Narrow"/>
                <w:color w:val="333333"/>
                <w:sz w:val="20"/>
                <w:szCs w:val="20"/>
              </w:rPr>
            </w:pPr>
          </w:p>
        </w:tc>
        <w:tc>
          <w:tcPr>
            <w:tcW w:w="4295" w:type="pct"/>
            <w:gridSpan w:val="4"/>
            <w:vAlign w:val="center"/>
          </w:tcPr>
          <w:p w14:paraId="2A2FC981" w14:textId="4DB9AFE8" w:rsidR="00F46A40" w:rsidRPr="00711A1A" w:rsidRDefault="00F46A40" w:rsidP="00F46A40">
            <w:pPr>
              <w:rPr>
                <w:rFonts w:ascii="Arial Narrow" w:hAnsi="Arial Narrow"/>
                <w:bCs/>
                <w:sz w:val="20"/>
                <w:szCs w:val="20"/>
              </w:rPr>
            </w:pPr>
            <w:r w:rsidRPr="00D60B02">
              <w:rPr>
                <w:rFonts w:ascii="Arial Narrow" w:hAnsi="Arial Narrow"/>
                <w:bCs/>
                <w:sz w:val="20"/>
                <w:szCs w:val="20"/>
              </w:rPr>
              <w:t xml:space="preserve">The condition must be </w:t>
            </w:r>
            <w:r w:rsidR="00711A1A" w:rsidRPr="00711A1A">
              <w:rPr>
                <w:rFonts w:ascii="Arial Narrow" w:hAnsi="Arial Narrow"/>
                <w:bCs/>
                <w:sz w:val="20"/>
                <w:szCs w:val="20"/>
              </w:rPr>
              <w:t>Stage II or higher</w:t>
            </w:r>
          </w:p>
        </w:tc>
      </w:tr>
      <w:tr w:rsidR="00F46A40" w:rsidRPr="001428E9" w14:paraId="3A837862"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3C45EBF" w14:textId="77777777" w:rsidR="00F46A40" w:rsidRPr="001428E9" w:rsidRDefault="00F46A40" w:rsidP="00F46A40">
            <w:pPr>
              <w:jc w:val="center"/>
              <w:rPr>
                <w:rFonts w:ascii="Arial Narrow" w:hAnsi="Arial Narrow"/>
                <w:color w:val="333333"/>
                <w:sz w:val="20"/>
                <w:szCs w:val="20"/>
              </w:rPr>
            </w:pPr>
          </w:p>
        </w:tc>
        <w:tc>
          <w:tcPr>
            <w:tcW w:w="4295" w:type="pct"/>
            <w:gridSpan w:val="4"/>
            <w:vAlign w:val="center"/>
          </w:tcPr>
          <w:p w14:paraId="6F736F58" w14:textId="79D67826" w:rsidR="00F46A40" w:rsidRPr="00F46A40" w:rsidRDefault="00F46A40" w:rsidP="00F46A40">
            <w:pPr>
              <w:rPr>
                <w:rFonts w:ascii="Arial Narrow" w:hAnsi="Arial Narrow"/>
                <w:b/>
                <w:sz w:val="20"/>
                <w:szCs w:val="20"/>
              </w:rPr>
            </w:pPr>
            <w:r w:rsidRPr="00F46A40">
              <w:rPr>
                <w:rFonts w:ascii="Arial Narrow" w:hAnsi="Arial Narrow"/>
                <w:b/>
                <w:sz w:val="20"/>
                <w:szCs w:val="20"/>
              </w:rPr>
              <w:t>AND</w:t>
            </w:r>
          </w:p>
        </w:tc>
      </w:tr>
      <w:tr w:rsidR="00A82D50" w:rsidRPr="001428E9" w14:paraId="026B12B9"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3706F8BF" w14:textId="77777777" w:rsidR="00A82D50" w:rsidRPr="001428E9" w:rsidRDefault="00A82D50">
            <w:pPr>
              <w:jc w:val="center"/>
              <w:rPr>
                <w:rFonts w:ascii="Arial Narrow" w:hAnsi="Arial Narrow"/>
                <w:color w:val="333333"/>
                <w:sz w:val="20"/>
                <w:szCs w:val="20"/>
              </w:rPr>
            </w:pPr>
          </w:p>
        </w:tc>
        <w:tc>
          <w:tcPr>
            <w:tcW w:w="4295" w:type="pct"/>
            <w:gridSpan w:val="4"/>
            <w:vAlign w:val="center"/>
            <w:hideMark/>
          </w:tcPr>
          <w:p w14:paraId="21818F81" w14:textId="77777777" w:rsidR="00A82D50" w:rsidRPr="00495946" w:rsidRDefault="00A82D50">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A82D50" w:rsidRPr="001428E9" w14:paraId="3856F291"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0B9E1ED"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561D2D12" w14:textId="77777777" w:rsidR="00A82D50" w:rsidRPr="001428E9" w:rsidRDefault="00A82D50">
            <w:pPr>
              <w:rPr>
                <w:rFonts w:ascii="Arial Narrow" w:hAnsi="Arial Narrow"/>
                <w:b/>
                <w:bCs/>
                <w:color w:val="333333"/>
                <w:sz w:val="20"/>
                <w:szCs w:val="20"/>
              </w:rPr>
            </w:pPr>
            <w:r w:rsidRPr="001430CB">
              <w:rPr>
                <w:rFonts w:ascii="Arial Narrow" w:hAnsi="Arial Narrow"/>
                <w:color w:val="333333"/>
                <w:sz w:val="20"/>
                <w:szCs w:val="20"/>
              </w:rPr>
              <w:t>The condition must be resectable</w:t>
            </w:r>
          </w:p>
        </w:tc>
      </w:tr>
      <w:tr w:rsidR="00A82D50" w:rsidRPr="001428E9" w14:paraId="327DA242"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AA47525"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122F0FCB" w14:textId="77777777" w:rsidR="00A82D50" w:rsidRPr="001428E9" w:rsidRDefault="00A82D50">
            <w:pPr>
              <w:rPr>
                <w:rFonts w:ascii="Arial Narrow" w:hAnsi="Arial Narrow"/>
                <w:b/>
                <w:bCs/>
                <w:color w:val="333333"/>
                <w:sz w:val="20"/>
                <w:szCs w:val="20"/>
              </w:rPr>
            </w:pPr>
            <w:r w:rsidRPr="001428E9">
              <w:rPr>
                <w:rFonts w:ascii="Arial Narrow" w:hAnsi="Arial Narrow"/>
                <w:b/>
                <w:bCs/>
                <w:color w:val="333333"/>
                <w:sz w:val="20"/>
                <w:szCs w:val="20"/>
              </w:rPr>
              <w:t>AND</w:t>
            </w:r>
          </w:p>
        </w:tc>
      </w:tr>
      <w:tr w:rsidR="00A82D50" w:rsidRPr="001428E9" w14:paraId="5FA3AA1B"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8C68AB5"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13C3F53C" w14:textId="77777777" w:rsidR="00A82D50" w:rsidRPr="001428E9" w:rsidRDefault="00A82D50">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A82D50" w:rsidRPr="001428E9" w14:paraId="67DA40DD"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4C1A733"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34381DC1" w14:textId="77777777" w:rsidR="00A82D50" w:rsidRPr="00AB7D2D" w:rsidRDefault="00A82D50">
            <w:pPr>
              <w:pStyle w:val="Tabletext"/>
              <w:rPr>
                <w:rFonts w:eastAsiaTheme="minorEastAsia"/>
                <w:szCs w:val="20"/>
              </w:rPr>
            </w:pPr>
            <w:r w:rsidRPr="004F2ED4">
              <w:rPr>
                <w:rFonts w:eastAsiaTheme="minorEastAsia"/>
                <w:szCs w:val="20"/>
              </w:rPr>
              <w:t>The treatment must be for the purpose of neoadjuvant use in a patient preparing for surgery</w:t>
            </w:r>
          </w:p>
        </w:tc>
      </w:tr>
      <w:tr w:rsidR="00A82D50" w:rsidRPr="001428E9" w14:paraId="02308040"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AF750A0"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3CDCEB02" w14:textId="77777777" w:rsidR="00A82D50" w:rsidRPr="001428E9" w:rsidRDefault="00A82D50">
            <w:pPr>
              <w:rPr>
                <w:rFonts w:ascii="Arial Narrow" w:hAnsi="Arial Narrow"/>
                <w:b/>
                <w:bCs/>
                <w:color w:val="333333"/>
                <w:sz w:val="20"/>
                <w:szCs w:val="20"/>
              </w:rPr>
            </w:pPr>
            <w:r w:rsidRPr="001428E9">
              <w:rPr>
                <w:rFonts w:ascii="Arial Narrow" w:hAnsi="Arial Narrow"/>
                <w:b/>
                <w:bCs/>
                <w:color w:val="333333"/>
                <w:sz w:val="20"/>
                <w:szCs w:val="20"/>
              </w:rPr>
              <w:t>AND</w:t>
            </w:r>
          </w:p>
        </w:tc>
      </w:tr>
      <w:tr w:rsidR="00A82D50" w:rsidRPr="001428E9" w14:paraId="41D1F80A"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9B4C688"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47311A7D" w14:textId="77777777" w:rsidR="00A82D50" w:rsidRPr="001428E9" w:rsidRDefault="00A82D50">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A82D50" w:rsidRPr="001428E9" w14:paraId="112DC6B1" w14:textId="77777777">
        <w:tblPrEx>
          <w:tblCellMar>
            <w:top w:w="15" w:type="dxa"/>
            <w:bottom w:w="15" w:type="dxa"/>
          </w:tblCellMar>
          <w:tblLook w:val="04A0" w:firstRow="1" w:lastRow="0" w:firstColumn="1" w:lastColumn="0" w:noHBand="0" w:noVBand="1"/>
        </w:tblPrEx>
        <w:trPr>
          <w:cantSplit/>
          <w:trHeight w:val="103"/>
        </w:trPr>
        <w:tc>
          <w:tcPr>
            <w:tcW w:w="705" w:type="pct"/>
            <w:gridSpan w:val="2"/>
            <w:vAlign w:val="center"/>
          </w:tcPr>
          <w:p w14:paraId="2F256E2D"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4A008652" w14:textId="77777777" w:rsidR="00A82D50" w:rsidRPr="007936F6" w:rsidRDefault="00A82D50">
            <w:pPr>
              <w:pStyle w:val="Tabletext"/>
              <w:rPr>
                <w:rFonts w:eastAsiaTheme="minorEastAsia"/>
                <w:szCs w:val="20"/>
              </w:rPr>
            </w:pPr>
            <w:r w:rsidRPr="004F2ED4">
              <w:rPr>
                <w:rFonts w:eastAsiaTheme="minorEastAsia"/>
                <w:szCs w:val="20"/>
              </w:rPr>
              <w:t>Patient must have a WHO performance status no greater than 1</w:t>
            </w:r>
          </w:p>
        </w:tc>
      </w:tr>
      <w:tr w:rsidR="00A82D50" w:rsidRPr="001428E9" w14:paraId="6A055E23"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42C320B"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4E889D3F" w14:textId="77777777" w:rsidR="00A82D50" w:rsidRPr="001428E9" w:rsidRDefault="00A82D50">
            <w:pPr>
              <w:rPr>
                <w:rFonts w:ascii="Arial Narrow" w:hAnsi="Arial Narrow"/>
                <w:b/>
                <w:bCs/>
                <w:color w:val="333333"/>
                <w:sz w:val="20"/>
                <w:szCs w:val="20"/>
              </w:rPr>
            </w:pPr>
            <w:r w:rsidRPr="001428E9">
              <w:rPr>
                <w:rFonts w:ascii="Arial Narrow" w:hAnsi="Arial Narrow"/>
                <w:b/>
                <w:bCs/>
                <w:color w:val="333333"/>
                <w:sz w:val="20"/>
                <w:szCs w:val="20"/>
              </w:rPr>
              <w:t>AND</w:t>
            </w:r>
          </w:p>
        </w:tc>
      </w:tr>
      <w:tr w:rsidR="00A82D50" w:rsidRPr="001428E9" w14:paraId="166EBA6C"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AF96643"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7CD51AB6" w14:textId="77777777" w:rsidR="00A82D50" w:rsidRPr="001428E9" w:rsidRDefault="00A82D50">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A82D50" w:rsidRPr="001428E9" w14:paraId="548C14C5"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0F26FEA"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5FBC4410" w14:textId="77777777" w:rsidR="00A82D50" w:rsidRPr="0040218D" w:rsidRDefault="00A82D50">
            <w:pPr>
              <w:pStyle w:val="Tabletext"/>
              <w:rPr>
                <w:rFonts w:eastAsiaTheme="minorEastAsia"/>
                <w:szCs w:val="20"/>
              </w:rPr>
            </w:pPr>
            <w:r w:rsidRPr="004F2ED4">
              <w:rPr>
                <w:rFonts w:eastAsiaTheme="minorEastAsia"/>
                <w:szCs w:val="20"/>
              </w:rPr>
              <w:t>The treatment must be initiated in combination with neoadjuvant FLOT</w:t>
            </w:r>
          </w:p>
        </w:tc>
      </w:tr>
      <w:tr w:rsidR="00A82D50" w:rsidRPr="001428E9" w14:paraId="2BAAEF7C"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D05A62E"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7CC4F9AA" w14:textId="77777777" w:rsidR="00A82D50" w:rsidRPr="008A1367" w:rsidRDefault="00A82D50">
            <w:pPr>
              <w:rPr>
                <w:rFonts w:ascii="Arial Narrow" w:hAnsi="Arial Narrow"/>
                <w:color w:val="333333"/>
                <w:sz w:val="20"/>
                <w:szCs w:val="20"/>
              </w:rPr>
            </w:pPr>
            <w:r w:rsidRPr="001428E9">
              <w:rPr>
                <w:rFonts w:ascii="Arial Narrow" w:hAnsi="Arial Narrow"/>
                <w:b/>
                <w:bCs/>
                <w:color w:val="333333"/>
                <w:sz w:val="20"/>
                <w:szCs w:val="20"/>
              </w:rPr>
              <w:t>AND</w:t>
            </w:r>
          </w:p>
        </w:tc>
      </w:tr>
      <w:tr w:rsidR="00A82D50" w:rsidRPr="001428E9" w14:paraId="2B991B9B"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7B24448"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6CF26EFF" w14:textId="77777777" w:rsidR="00A82D50" w:rsidRPr="008A1367" w:rsidRDefault="00A82D50">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A82D50" w:rsidRPr="001428E9" w14:paraId="5C1E6F0D"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BC4E399"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3B5C39B4" w14:textId="77777777" w:rsidR="00A82D50" w:rsidRPr="0083011D" w:rsidRDefault="00A82D50">
            <w:pPr>
              <w:rPr>
                <w:rFonts w:ascii="Arial Narrow" w:hAnsi="Arial Narrow"/>
                <w:sz w:val="20"/>
                <w:szCs w:val="20"/>
              </w:rPr>
            </w:pPr>
            <w:r w:rsidRPr="0083011D">
              <w:rPr>
                <w:rFonts w:ascii="Arial Narrow" w:hAnsi="Arial Narrow"/>
                <w:sz w:val="20"/>
                <w:szCs w:val="20"/>
              </w:rPr>
              <w:t>The condition must be untreated with systemic therapy for this condition</w:t>
            </w:r>
          </w:p>
        </w:tc>
      </w:tr>
      <w:tr w:rsidR="00A82D50" w:rsidRPr="001428E9" w14:paraId="35ABB8A0"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6973C90"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42FB16EF" w14:textId="77777777" w:rsidR="00A82D50" w:rsidRPr="0083011D" w:rsidRDefault="00A82D50">
            <w:pPr>
              <w:rPr>
                <w:rFonts w:ascii="Arial Narrow" w:hAnsi="Arial Narrow"/>
                <w:sz w:val="20"/>
                <w:szCs w:val="20"/>
              </w:rPr>
            </w:pPr>
            <w:r w:rsidRPr="0083011D">
              <w:rPr>
                <w:rFonts w:ascii="Arial Narrow" w:hAnsi="Arial Narrow"/>
                <w:b/>
                <w:bCs/>
                <w:sz w:val="20"/>
                <w:szCs w:val="20"/>
              </w:rPr>
              <w:t>AND</w:t>
            </w:r>
          </w:p>
        </w:tc>
      </w:tr>
      <w:tr w:rsidR="00A82D50" w:rsidRPr="001428E9" w14:paraId="38E9121C"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7D697E3"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1E8D9710" w14:textId="77777777" w:rsidR="00A82D50" w:rsidRPr="0083011D" w:rsidRDefault="00A82D50">
            <w:pPr>
              <w:rPr>
                <w:rFonts w:ascii="Arial Narrow" w:hAnsi="Arial Narrow"/>
                <w:sz w:val="20"/>
                <w:szCs w:val="20"/>
              </w:rPr>
            </w:pPr>
            <w:r w:rsidRPr="0083011D">
              <w:rPr>
                <w:rFonts w:ascii="Arial Narrow" w:hAnsi="Arial Narrow"/>
                <w:b/>
                <w:bCs/>
                <w:sz w:val="20"/>
                <w:szCs w:val="20"/>
              </w:rPr>
              <w:t>Treatment criteria:</w:t>
            </w:r>
          </w:p>
        </w:tc>
      </w:tr>
      <w:tr w:rsidR="00A82D50" w:rsidRPr="001428E9" w14:paraId="633681BF"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0689915"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27C59D76" w14:textId="7356238F" w:rsidR="00A82D50" w:rsidRPr="0083011D" w:rsidRDefault="00A82D50">
            <w:pPr>
              <w:rPr>
                <w:rFonts w:ascii="Arial Narrow" w:hAnsi="Arial Narrow"/>
                <w:sz w:val="20"/>
                <w:szCs w:val="20"/>
              </w:rPr>
            </w:pPr>
            <w:r w:rsidRPr="0083011D">
              <w:rPr>
                <w:rFonts w:ascii="Arial Narrow" w:hAnsi="Arial Narrow"/>
                <w:sz w:val="20"/>
                <w:szCs w:val="20"/>
              </w:rPr>
              <w:t>Patient must not be undergoing PBS subsidised treatment where this prescription extends treatment beyond whichever comes first: (i) 2 cycles of neoadjuvant treatment from treatment initiation, irrespective of whether initial treatment was PBS subsidised/non</w:t>
            </w:r>
            <w:r w:rsidR="00675F55">
              <w:rPr>
                <w:rFonts w:ascii="Arial Narrow" w:hAnsi="Arial Narrow"/>
                <w:sz w:val="20"/>
                <w:szCs w:val="20"/>
              </w:rPr>
              <w:noBreakHyphen/>
            </w:r>
            <w:r w:rsidRPr="0083011D">
              <w:rPr>
                <w:rFonts w:ascii="Arial Narrow" w:hAnsi="Arial Narrow"/>
                <w:sz w:val="20"/>
                <w:szCs w:val="20"/>
              </w:rPr>
              <w:t>PBS subsidised, (ii) disease progression/recurrence despite treatment with this drug, (iii) unacceptable toxicity; annotate any remaining repeat prescriptions with the word 'cancelled' where this occurs</w:t>
            </w:r>
          </w:p>
        </w:tc>
      </w:tr>
      <w:tr w:rsidR="00A82D50" w:rsidRPr="001428E9" w14:paraId="22EA1515" w14:textId="77777777">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312CEC5" w14:textId="77777777" w:rsidR="00A82D50" w:rsidRPr="001428E9" w:rsidRDefault="00A82D50">
            <w:pPr>
              <w:jc w:val="center"/>
              <w:rPr>
                <w:rFonts w:ascii="Arial Narrow" w:hAnsi="Arial Narrow"/>
                <w:color w:val="333333"/>
                <w:sz w:val="20"/>
                <w:szCs w:val="20"/>
              </w:rPr>
            </w:pPr>
          </w:p>
        </w:tc>
        <w:tc>
          <w:tcPr>
            <w:tcW w:w="4295" w:type="pct"/>
            <w:gridSpan w:val="4"/>
            <w:vAlign w:val="center"/>
          </w:tcPr>
          <w:p w14:paraId="239318EF" w14:textId="77777777" w:rsidR="00A82D50" w:rsidRPr="0083011D" w:rsidRDefault="00A82D50">
            <w:pPr>
              <w:rPr>
                <w:rFonts w:ascii="Arial Narrow" w:hAnsi="Arial Narrow"/>
                <w:b/>
                <w:bCs/>
                <w:sz w:val="20"/>
                <w:szCs w:val="20"/>
              </w:rPr>
            </w:pPr>
            <w:r w:rsidRPr="0083011D">
              <w:rPr>
                <w:rFonts w:ascii="Arial Narrow" w:hAnsi="Arial Narrow"/>
                <w:b/>
                <w:bCs/>
                <w:sz w:val="20"/>
                <w:szCs w:val="20"/>
              </w:rPr>
              <w:t>Prescriber Instruction:</w:t>
            </w:r>
          </w:p>
          <w:p w14:paraId="5D305998" w14:textId="521CCC0F" w:rsidR="00A82D50" w:rsidRPr="0083011D" w:rsidRDefault="00A82D50">
            <w:pPr>
              <w:rPr>
                <w:rFonts w:ascii="Arial Narrow" w:hAnsi="Arial Narrow"/>
                <w:sz w:val="20"/>
                <w:szCs w:val="20"/>
              </w:rPr>
            </w:pPr>
            <w:r w:rsidRPr="0083011D">
              <w:rPr>
                <w:rFonts w:ascii="Arial Narrow" w:hAnsi="Arial Narrow"/>
                <w:sz w:val="20"/>
                <w:szCs w:val="20"/>
              </w:rPr>
              <w:t>Where ‘FLOT’ is referenced in this restriction, it refers to the combination therapy of fluorouracil (5</w:t>
            </w:r>
            <w:r w:rsidR="00675F55">
              <w:rPr>
                <w:rFonts w:ascii="Arial Narrow" w:hAnsi="Arial Narrow"/>
                <w:sz w:val="20"/>
                <w:szCs w:val="20"/>
              </w:rPr>
              <w:noBreakHyphen/>
            </w:r>
            <w:r w:rsidRPr="0083011D">
              <w:rPr>
                <w:rFonts w:ascii="Arial Narrow" w:hAnsi="Arial Narrow"/>
                <w:sz w:val="20"/>
                <w:szCs w:val="20"/>
              </w:rPr>
              <w:t>FU) + leucovorin (folinic acid) + oxaliplatin + docetaxel.</w:t>
            </w:r>
          </w:p>
        </w:tc>
      </w:tr>
    </w:tbl>
    <w:p w14:paraId="16CE25D3" w14:textId="3C9B3392" w:rsidR="00A82D50" w:rsidRDefault="00A82D50" w:rsidP="00A82D50"/>
    <w:p w14:paraId="2B230750" w14:textId="258E08D8" w:rsidR="001E135C" w:rsidRPr="001E135C" w:rsidRDefault="001E135C" w:rsidP="001E135C">
      <w:pPr>
        <w:pStyle w:val="Heading2"/>
        <w:rPr>
          <w:rFonts w:asciiTheme="minorHAnsi" w:eastAsiaTheme="minorHAnsi" w:hAnsiTheme="minorHAnsi" w:cstheme="minorBidi"/>
          <w:b w:val="0"/>
          <w:i w:val="0"/>
          <w:snapToGrid w:val="0"/>
          <w:sz w:val="24"/>
          <w:szCs w:val="22"/>
          <w:lang w:val="en-GB"/>
        </w:rPr>
      </w:pPr>
      <w:r>
        <w:rPr>
          <w:rFonts w:asciiTheme="minorHAnsi" w:eastAsiaTheme="minorHAnsi" w:hAnsiTheme="minorHAnsi" w:cstheme="minorBidi"/>
          <w:b w:val="0"/>
          <w:i w:val="0"/>
          <w:snapToGrid w:val="0"/>
          <w:sz w:val="24"/>
          <w:szCs w:val="22"/>
          <w:lang w:val="en-GB"/>
        </w:rPr>
        <w:t>A</w:t>
      </w:r>
      <w:r w:rsidRPr="001E135C">
        <w:rPr>
          <w:rFonts w:asciiTheme="minorHAnsi" w:eastAsiaTheme="minorHAnsi" w:hAnsiTheme="minorHAnsi" w:cstheme="minorBidi"/>
          <w:b w:val="0"/>
          <w:i w:val="0"/>
          <w:snapToGrid w:val="0"/>
          <w:sz w:val="24"/>
          <w:szCs w:val="22"/>
          <w:lang w:val="en-GB"/>
        </w:rPr>
        <w:t>djuvant treatment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Adjuvant treatment"/>
      </w:tblPr>
      <w:tblGrid>
        <w:gridCol w:w="426"/>
        <w:gridCol w:w="850"/>
        <w:gridCol w:w="1819"/>
        <w:gridCol w:w="1974"/>
        <w:gridCol w:w="1974"/>
        <w:gridCol w:w="1979"/>
      </w:tblGrid>
      <w:tr w:rsidR="00A82D50" w:rsidRPr="001428E9" w14:paraId="3AA3CBAB" w14:textId="77777777">
        <w:trPr>
          <w:cantSplit/>
          <w:trHeight w:val="20"/>
        </w:trPr>
        <w:tc>
          <w:tcPr>
            <w:tcW w:w="1715" w:type="pct"/>
            <w:gridSpan w:val="3"/>
            <w:vAlign w:val="center"/>
          </w:tcPr>
          <w:p w14:paraId="7D8DDCD3" w14:textId="77777777" w:rsidR="00A82D50" w:rsidRPr="001428E9" w:rsidRDefault="00A82D50">
            <w:pPr>
              <w:keepNext/>
              <w:rPr>
                <w:rFonts w:ascii="Arial Narrow" w:hAnsi="Arial Narrow"/>
                <w:b/>
                <w:bCs/>
                <w:sz w:val="20"/>
                <w:szCs w:val="20"/>
              </w:rPr>
            </w:pPr>
            <w:r w:rsidRPr="001428E9">
              <w:rPr>
                <w:rFonts w:ascii="Arial Narrow" w:hAnsi="Arial Narrow"/>
                <w:b/>
                <w:bCs/>
                <w:sz w:val="20"/>
                <w:szCs w:val="20"/>
              </w:rPr>
              <w:t>MEDICINAL PRODUCT</w:t>
            </w:r>
          </w:p>
          <w:p w14:paraId="465D8E4D" w14:textId="77777777" w:rsidR="00A82D50" w:rsidRPr="001428E9" w:rsidRDefault="00A82D50">
            <w:pPr>
              <w:keepNext/>
              <w:rPr>
                <w:rFonts w:ascii="Arial Narrow" w:hAnsi="Arial Narrow"/>
                <w:b/>
                <w:sz w:val="20"/>
                <w:szCs w:val="20"/>
              </w:rPr>
            </w:pPr>
            <w:r w:rsidRPr="001428E9">
              <w:rPr>
                <w:rFonts w:ascii="Arial Narrow" w:hAnsi="Arial Narrow"/>
                <w:b/>
                <w:sz w:val="20"/>
                <w:szCs w:val="20"/>
              </w:rPr>
              <w:t>Form</w:t>
            </w:r>
          </w:p>
        </w:tc>
        <w:tc>
          <w:tcPr>
            <w:tcW w:w="1094" w:type="pct"/>
            <w:vAlign w:val="center"/>
          </w:tcPr>
          <w:p w14:paraId="0E28FF5C" w14:textId="77777777" w:rsidR="00A82D50" w:rsidRPr="001428E9" w:rsidRDefault="00A82D50">
            <w:pPr>
              <w:keepNext/>
              <w:jc w:val="center"/>
              <w:rPr>
                <w:rFonts w:ascii="Arial Narrow" w:hAnsi="Arial Narrow"/>
                <w:b/>
                <w:sz w:val="20"/>
                <w:szCs w:val="20"/>
              </w:rPr>
            </w:pPr>
            <w:r w:rsidRPr="001428E9">
              <w:rPr>
                <w:rFonts w:ascii="Arial Narrow" w:hAnsi="Arial Narrow"/>
                <w:b/>
                <w:sz w:val="20"/>
                <w:szCs w:val="20"/>
              </w:rPr>
              <w:t>PBS item code</w:t>
            </w:r>
          </w:p>
        </w:tc>
        <w:tc>
          <w:tcPr>
            <w:tcW w:w="1094" w:type="pct"/>
            <w:vAlign w:val="center"/>
          </w:tcPr>
          <w:p w14:paraId="55D928AA" w14:textId="77777777" w:rsidR="00A82D50" w:rsidRPr="001428E9" w:rsidRDefault="00A82D50">
            <w:pPr>
              <w:keepNext/>
              <w:jc w:val="center"/>
              <w:rPr>
                <w:rFonts w:ascii="Arial Narrow" w:hAnsi="Arial Narrow"/>
                <w:b/>
                <w:sz w:val="20"/>
                <w:szCs w:val="20"/>
              </w:rPr>
            </w:pPr>
            <w:r w:rsidRPr="001428E9">
              <w:rPr>
                <w:rFonts w:ascii="Arial Narrow" w:hAnsi="Arial Narrow"/>
                <w:b/>
                <w:sz w:val="20"/>
                <w:szCs w:val="20"/>
              </w:rPr>
              <w:t>Max.</w:t>
            </w:r>
            <w:r>
              <w:rPr>
                <w:rFonts w:ascii="Arial Narrow" w:hAnsi="Arial Narrow"/>
                <w:b/>
                <w:sz w:val="20"/>
                <w:szCs w:val="20"/>
              </w:rPr>
              <w:t xml:space="preserve"> </w:t>
            </w:r>
            <w:r w:rsidRPr="001428E9">
              <w:rPr>
                <w:rFonts w:ascii="Arial Narrow" w:hAnsi="Arial Narrow"/>
                <w:b/>
                <w:sz w:val="20"/>
                <w:szCs w:val="20"/>
              </w:rPr>
              <w:t>Amount</w:t>
            </w:r>
          </w:p>
        </w:tc>
        <w:tc>
          <w:tcPr>
            <w:tcW w:w="1097" w:type="pct"/>
            <w:vAlign w:val="center"/>
          </w:tcPr>
          <w:p w14:paraId="06F9DD19" w14:textId="77777777" w:rsidR="00A82D50" w:rsidRPr="001428E9" w:rsidRDefault="00A82D50">
            <w:pPr>
              <w:keepNext/>
              <w:jc w:val="center"/>
              <w:rPr>
                <w:rFonts w:ascii="Arial Narrow" w:hAnsi="Arial Narrow"/>
                <w:b/>
                <w:bCs/>
                <w:sz w:val="20"/>
                <w:szCs w:val="20"/>
              </w:rPr>
            </w:pPr>
            <w:r w:rsidRPr="57C5A67F">
              <w:rPr>
                <w:rFonts w:ascii="Arial Narrow" w:hAnsi="Arial Narrow"/>
                <w:b/>
                <w:bCs/>
                <w:sz w:val="20"/>
                <w:szCs w:val="20"/>
              </w:rPr>
              <w:t>№.of Rpts</w:t>
            </w:r>
          </w:p>
        </w:tc>
      </w:tr>
      <w:tr w:rsidR="00A82D50" w:rsidRPr="001428E9" w14:paraId="31F2AA29" w14:textId="77777777">
        <w:trPr>
          <w:cantSplit/>
          <w:trHeight w:val="20"/>
        </w:trPr>
        <w:tc>
          <w:tcPr>
            <w:tcW w:w="1715" w:type="pct"/>
            <w:gridSpan w:val="3"/>
            <w:vAlign w:val="center"/>
          </w:tcPr>
          <w:p w14:paraId="38C932D1" w14:textId="77777777" w:rsidR="00A82D50" w:rsidRPr="00F94EE2" w:rsidRDefault="00A82D50">
            <w:pPr>
              <w:keepNext/>
              <w:rPr>
                <w:rFonts w:ascii="Arial Narrow" w:hAnsi="Arial Narrow"/>
                <w:sz w:val="20"/>
                <w:szCs w:val="20"/>
              </w:rPr>
            </w:pPr>
            <w:r w:rsidRPr="00F94EE2">
              <w:rPr>
                <w:rFonts w:ascii="Arial Narrow" w:hAnsi="Arial Narrow"/>
                <w:sz w:val="20"/>
                <w:szCs w:val="20"/>
              </w:rPr>
              <w:t>DURVALUMAB</w:t>
            </w:r>
          </w:p>
          <w:p w14:paraId="19AF51A5" w14:textId="77777777" w:rsidR="00A82D50" w:rsidRPr="001428E9" w:rsidRDefault="00A82D50">
            <w:pPr>
              <w:keepNext/>
              <w:rPr>
                <w:rFonts w:ascii="Arial Narrow" w:hAnsi="Arial Narrow"/>
                <w:sz w:val="20"/>
                <w:szCs w:val="20"/>
              </w:rPr>
            </w:pPr>
            <w:r w:rsidRPr="180C800E">
              <w:rPr>
                <w:rFonts w:ascii="Arial Narrow" w:hAnsi="Arial Narrow"/>
                <w:sz w:val="20"/>
                <w:szCs w:val="20"/>
              </w:rPr>
              <w:t>Injection</w:t>
            </w:r>
          </w:p>
        </w:tc>
        <w:tc>
          <w:tcPr>
            <w:tcW w:w="1094" w:type="pct"/>
            <w:vAlign w:val="center"/>
          </w:tcPr>
          <w:p w14:paraId="75DBF8FC" w14:textId="77777777" w:rsidR="00A82D50" w:rsidRPr="001428E9" w:rsidRDefault="00A82D50">
            <w:pPr>
              <w:keepNext/>
              <w:jc w:val="center"/>
              <w:rPr>
                <w:rFonts w:ascii="Arial Narrow" w:hAnsi="Arial Narrow"/>
                <w:sz w:val="20"/>
                <w:szCs w:val="20"/>
              </w:rPr>
            </w:pPr>
            <w:r w:rsidRPr="001428E9">
              <w:rPr>
                <w:rFonts w:ascii="Arial Narrow" w:hAnsi="Arial Narrow"/>
                <w:sz w:val="20"/>
                <w:szCs w:val="20"/>
              </w:rPr>
              <w:t>{NEW (Public)}</w:t>
            </w:r>
            <w:r>
              <w:rPr>
                <w:rFonts w:ascii="Arial Narrow" w:hAnsi="Arial Narrow"/>
                <w:sz w:val="20"/>
                <w:szCs w:val="20"/>
              </w:rPr>
              <w:br/>
            </w:r>
            <w:r w:rsidRPr="001428E9">
              <w:rPr>
                <w:rFonts w:ascii="Arial Narrow" w:hAnsi="Arial Narrow"/>
                <w:sz w:val="20"/>
                <w:szCs w:val="20"/>
              </w:rPr>
              <w:t>{NEW (Private)}</w:t>
            </w:r>
          </w:p>
        </w:tc>
        <w:tc>
          <w:tcPr>
            <w:tcW w:w="1094" w:type="pct"/>
            <w:vAlign w:val="center"/>
          </w:tcPr>
          <w:p w14:paraId="12EBD7C8" w14:textId="77777777" w:rsidR="00A82D50" w:rsidRPr="001428E9" w:rsidRDefault="00A82D50">
            <w:pPr>
              <w:keepNext/>
              <w:jc w:val="center"/>
              <w:rPr>
                <w:rFonts w:ascii="Arial Narrow" w:hAnsi="Arial Narrow"/>
                <w:sz w:val="20"/>
                <w:szCs w:val="20"/>
              </w:rPr>
            </w:pPr>
            <w:r>
              <w:rPr>
                <w:rFonts w:ascii="Arial Narrow" w:hAnsi="Arial Narrow"/>
                <w:sz w:val="20"/>
                <w:szCs w:val="20"/>
              </w:rPr>
              <w:t>1500mg</w:t>
            </w:r>
          </w:p>
        </w:tc>
        <w:tc>
          <w:tcPr>
            <w:tcW w:w="1097" w:type="pct"/>
            <w:vAlign w:val="center"/>
          </w:tcPr>
          <w:p w14:paraId="7CC1CD6C" w14:textId="6FFF0387" w:rsidR="00A82D50" w:rsidRPr="004F5244" w:rsidRDefault="00A82D50">
            <w:pPr>
              <w:keepNext/>
              <w:jc w:val="center"/>
              <w:rPr>
                <w:rFonts w:ascii="Arial Narrow" w:hAnsi="Arial Narrow"/>
                <w:sz w:val="20"/>
                <w:szCs w:val="20"/>
              </w:rPr>
            </w:pPr>
            <w:r w:rsidRPr="004F5244">
              <w:rPr>
                <w:rFonts w:ascii="Arial Narrow" w:hAnsi="Arial Narrow"/>
                <w:sz w:val="20"/>
                <w:szCs w:val="20"/>
              </w:rPr>
              <w:t>5</w:t>
            </w:r>
          </w:p>
        </w:tc>
      </w:tr>
      <w:tr w:rsidR="00A82D50" w:rsidRPr="001428E9" w14:paraId="779EC009" w14:textId="77777777">
        <w:trPr>
          <w:cantSplit/>
          <w:trHeight w:val="20"/>
        </w:trPr>
        <w:tc>
          <w:tcPr>
            <w:tcW w:w="5000" w:type="pct"/>
            <w:gridSpan w:val="6"/>
            <w:vAlign w:val="center"/>
          </w:tcPr>
          <w:p w14:paraId="4576BF89" w14:textId="77777777" w:rsidR="00A82D50" w:rsidRPr="001428E9" w:rsidRDefault="00A82D50">
            <w:pPr>
              <w:keepNext/>
              <w:rPr>
                <w:rFonts w:ascii="Arial Narrow" w:hAnsi="Arial Narrow"/>
                <w:b/>
                <w:sz w:val="20"/>
                <w:szCs w:val="20"/>
              </w:rPr>
            </w:pPr>
            <w:r w:rsidRPr="001428E9">
              <w:rPr>
                <w:rFonts w:ascii="Arial Narrow" w:hAnsi="Arial Narrow"/>
                <w:b/>
                <w:sz w:val="20"/>
                <w:szCs w:val="20"/>
              </w:rPr>
              <w:t xml:space="preserve">Available brands </w:t>
            </w:r>
          </w:p>
        </w:tc>
      </w:tr>
      <w:tr w:rsidR="00A82D50" w:rsidRPr="001428E9" w14:paraId="4948B626" w14:textId="77777777">
        <w:trPr>
          <w:cantSplit/>
          <w:trHeight w:val="20"/>
        </w:trPr>
        <w:tc>
          <w:tcPr>
            <w:tcW w:w="5000" w:type="pct"/>
            <w:gridSpan w:val="6"/>
            <w:vAlign w:val="center"/>
          </w:tcPr>
          <w:p w14:paraId="203A0E3C" w14:textId="77777777" w:rsidR="00A82D50" w:rsidRPr="005C4AB9" w:rsidRDefault="00A82D50">
            <w:pPr>
              <w:keepNext/>
              <w:rPr>
                <w:rFonts w:ascii="Arial Narrow" w:hAnsi="Arial Narrow"/>
                <w:sz w:val="20"/>
                <w:szCs w:val="20"/>
              </w:rPr>
            </w:pPr>
            <w:r w:rsidRPr="005C4AB9">
              <w:rPr>
                <w:rFonts w:ascii="Arial Narrow" w:hAnsi="Arial Narrow"/>
                <w:sz w:val="20"/>
                <w:szCs w:val="20"/>
              </w:rPr>
              <w:t>Imfinzi</w:t>
            </w:r>
          </w:p>
          <w:p w14:paraId="6E40DC1A" w14:textId="77777777" w:rsidR="00A82D50" w:rsidRPr="001428E9" w:rsidRDefault="00A82D50">
            <w:pPr>
              <w:keepNext/>
              <w:rPr>
                <w:rFonts w:ascii="Arial Narrow" w:hAnsi="Arial Narrow"/>
                <w:sz w:val="20"/>
                <w:szCs w:val="20"/>
              </w:rPr>
            </w:pPr>
            <w:r w:rsidRPr="3AA61861">
              <w:rPr>
                <w:rFonts w:ascii="Arial Narrow" w:hAnsi="Arial Narrow"/>
                <w:sz w:val="20"/>
                <w:szCs w:val="20"/>
              </w:rPr>
              <w:t>500 mg/10 mL injection, 10 mL vial</w:t>
            </w:r>
          </w:p>
        </w:tc>
      </w:tr>
      <w:tr w:rsidR="00A82D50" w:rsidRPr="001428E9" w14:paraId="01CE096E" w14:textId="77777777">
        <w:trPr>
          <w:cantSplit/>
          <w:trHeight w:val="20"/>
        </w:trPr>
        <w:tc>
          <w:tcPr>
            <w:tcW w:w="5000" w:type="pct"/>
            <w:gridSpan w:val="6"/>
            <w:vAlign w:val="center"/>
          </w:tcPr>
          <w:p w14:paraId="0580AE71" w14:textId="77777777" w:rsidR="00A82D50" w:rsidRPr="001428E9" w:rsidRDefault="00A82D50">
            <w:pPr>
              <w:keepNext/>
              <w:rPr>
                <w:rFonts w:ascii="Arial Narrow" w:hAnsi="Arial Narrow"/>
                <w:sz w:val="20"/>
                <w:szCs w:val="20"/>
              </w:rPr>
            </w:pPr>
            <w:r w:rsidRPr="3AA61861">
              <w:rPr>
                <w:rFonts w:ascii="Arial Narrow" w:hAnsi="Arial Narrow"/>
                <w:sz w:val="20"/>
                <w:szCs w:val="20"/>
              </w:rPr>
              <w:t xml:space="preserve">Imfinzi </w:t>
            </w:r>
          </w:p>
          <w:p w14:paraId="34B0E856" w14:textId="77777777" w:rsidR="00A82D50" w:rsidRPr="001428E9" w:rsidRDefault="00A82D50">
            <w:pPr>
              <w:keepNext/>
              <w:rPr>
                <w:rFonts w:ascii="Arial Narrow" w:hAnsi="Arial Narrow"/>
                <w:sz w:val="20"/>
                <w:szCs w:val="20"/>
              </w:rPr>
            </w:pPr>
            <w:r w:rsidRPr="3AA61861">
              <w:rPr>
                <w:rFonts w:ascii="Arial Narrow" w:hAnsi="Arial Narrow"/>
                <w:sz w:val="20"/>
                <w:szCs w:val="20"/>
              </w:rPr>
              <w:t>120 mg/2.4 mL injection, 2.4 mL vial</w:t>
            </w:r>
          </w:p>
        </w:tc>
      </w:tr>
      <w:tr w:rsidR="00A82D50" w:rsidRPr="001428E9" w14:paraId="09F60907" w14:textId="77777777">
        <w:trPr>
          <w:cantSplit/>
          <w:trHeight w:val="20"/>
        </w:trPr>
        <w:tc>
          <w:tcPr>
            <w:tcW w:w="5000" w:type="pct"/>
            <w:gridSpan w:val="6"/>
            <w:vAlign w:val="center"/>
          </w:tcPr>
          <w:p w14:paraId="584C80CC" w14:textId="77777777" w:rsidR="00A82D50" w:rsidRPr="001428E9" w:rsidRDefault="00A82D50">
            <w:pPr>
              <w:keepNext/>
              <w:rPr>
                <w:rFonts w:ascii="Arial Narrow" w:hAnsi="Arial Narrow"/>
                <w:sz w:val="20"/>
                <w:szCs w:val="20"/>
              </w:rPr>
            </w:pPr>
          </w:p>
        </w:tc>
      </w:tr>
      <w:tr w:rsidR="00A82D50" w:rsidRPr="001428E9" w14:paraId="26952B8B" w14:textId="77777777">
        <w:trPr>
          <w:cantSplit/>
          <w:trHeight w:val="20"/>
        </w:trPr>
        <w:tc>
          <w:tcPr>
            <w:tcW w:w="5000" w:type="pct"/>
            <w:gridSpan w:val="6"/>
            <w:vAlign w:val="center"/>
          </w:tcPr>
          <w:p w14:paraId="3EC4FFC6" w14:textId="77777777" w:rsidR="00A82D50" w:rsidRPr="001428E9" w:rsidRDefault="00A82D50">
            <w:pPr>
              <w:keepNext/>
              <w:rPr>
                <w:rFonts w:ascii="Arial Narrow" w:hAnsi="Arial Narrow"/>
                <w:color w:val="FF0000"/>
                <w:sz w:val="20"/>
                <w:szCs w:val="20"/>
              </w:rPr>
            </w:pPr>
            <w:r w:rsidRPr="001428E9">
              <w:rPr>
                <w:rFonts w:ascii="Arial Narrow" w:hAnsi="Arial Narrow"/>
                <w:b/>
                <w:sz w:val="20"/>
                <w:szCs w:val="20"/>
              </w:rPr>
              <w:t>Restriction Summary [new</w:t>
            </w:r>
            <w:r>
              <w:rPr>
                <w:rFonts w:ascii="Arial Narrow" w:hAnsi="Arial Narrow"/>
                <w:b/>
                <w:sz w:val="20"/>
                <w:szCs w:val="20"/>
              </w:rPr>
              <w:t>2</w:t>
            </w:r>
            <w:r w:rsidRPr="001428E9">
              <w:rPr>
                <w:rFonts w:ascii="Arial Narrow" w:hAnsi="Arial Narrow"/>
                <w:b/>
                <w:sz w:val="20"/>
                <w:szCs w:val="20"/>
              </w:rPr>
              <w:t>]/ Treatment of Concept: [new</w:t>
            </w:r>
            <w:r>
              <w:rPr>
                <w:rFonts w:ascii="Arial Narrow" w:hAnsi="Arial Narrow"/>
                <w:b/>
                <w:sz w:val="20"/>
                <w:szCs w:val="20"/>
              </w:rPr>
              <w:t>2A</w:t>
            </w:r>
            <w:r w:rsidRPr="001428E9">
              <w:rPr>
                <w:rFonts w:ascii="Arial Narrow" w:hAnsi="Arial Narrow"/>
                <w:b/>
                <w:sz w:val="20"/>
                <w:szCs w:val="20"/>
              </w:rPr>
              <w:t>]</w:t>
            </w:r>
          </w:p>
        </w:tc>
      </w:tr>
      <w:tr w:rsidR="00A82D50" w:rsidRPr="001428E9" w14:paraId="6F5786F3" w14:textId="77777777">
        <w:tblPrEx>
          <w:tblCellMar>
            <w:top w:w="15" w:type="dxa"/>
            <w:bottom w:w="15" w:type="dxa"/>
          </w:tblCellMar>
          <w:tblLook w:val="04A0" w:firstRow="1" w:lastRow="0" w:firstColumn="1" w:lastColumn="0" w:noHBand="0" w:noVBand="1"/>
        </w:tblPrEx>
        <w:trPr>
          <w:cantSplit/>
          <w:trHeight w:val="20"/>
        </w:trPr>
        <w:tc>
          <w:tcPr>
            <w:tcW w:w="707" w:type="pct"/>
            <w:gridSpan w:val="2"/>
            <w:vMerge w:val="restart"/>
          </w:tcPr>
          <w:p w14:paraId="43B43A74" w14:textId="77777777" w:rsidR="00A82D50" w:rsidRPr="001428E9" w:rsidRDefault="00A82D50">
            <w:pPr>
              <w:keepNext/>
              <w:jc w:val="center"/>
              <w:rPr>
                <w:rFonts w:ascii="Arial Narrow" w:hAnsi="Arial Narrow"/>
                <w:b/>
                <w:sz w:val="20"/>
                <w:szCs w:val="20"/>
              </w:rPr>
            </w:pPr>
            <w:r w:rsidRPr="001428E9">
              <w:rPr>
                <w:rFonts w:ascii="Arial Narrow" w:hAnsi="Arial Narrow"/>
                <w:b/>
                <w:sz w:val="20"/>
                <w:szCs w:val="20"/>
              </w:rPr>
              <w:t xml:space="preserve">Concept ID </w:t>
            </w:r>
            <w:r w:rsidRPr="001428E9">
              <w:rPr>
                <w:rFonts w:ascii="Arial Narrow" w:hAnsi="Arial Narrow"/>
                <w:sz w:val="20"/>
                <w:szCs w:val="20"/>
              </w:rPr>
              <w:t>(for internal Dept. use)</w:t>
            </w:r>
          </w:p>
        </w:tc>
        <w:tc>
          <w:tcPr>
            <w:tcW w:w="4293" w:type="pct"/>
            <w:gridSpan w:val="4"/>
          </w:tcPr>
          <w:p w14:paraId="74334E80" w14:textId="77777777" w:rsidR="00A82D50" w:rsidRPr="001428E9" w:rsidRDefault="00A82D50">
            <w:pPr>
              <w:keepNext/>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 xml:space="preserve">Section 100 – Efficient Funding of Chemotherapy Public/Private hospitals </w:t>
            </w:r>
          </w:p>
        </w:tc>
      </w:tr>
      <w:tr w:rsidR="00A82D50" w:rsidRPr="001428E9" w14:paraId="042622F7" w14:textId="77777777">
        <w:tblPrEx>
          <w:tblCellMar>
            <w:top w:w="15" w:type="dxa"/>
            <w:bottom w:w="15" w:type="dxa"/>
          </w:tblCellMar>
          <w:tblLook w:val="04A0" w:firstRow="1" w:lastRow="0" w:firstColumn="1" w:lastColumn="0" w:noHBand="0" w:noVBand="1"/>
        </w:tblPrEx>
        <w:trPr>
          <w:cantSplit/>
          <w:trHeight w:val="20"/>
        </w:trPr>
        <w:tc>
          <w:tcPr>
            <w:tcW w:w="707" w:type="pct"/>
            <w:gridSpan w:val="2"/>
            <w:vMerge/>
          </w:tcPr>
          <w:p w14:paraId="0BE0FB43" w14:textId="77777777" w:rsidR="00A82D50" w:rsidRPr="001428E9" w:rsidRDefault="00A82D50">
            <w:pPr>
              <w:keepNext/>
              <w:rPr>
                <w:rFonts w:ascii="Arial Narrow" w:hAnsi="Arial Narrow"/>
                <w:sz w:val="20"/>
                <w:szCs w:val="20"/>
              </w:rPr>
            </w:pPr>
          </w:p>
        </w:tc>
        <w:tc>
          <w:tcPr>
            <w:tcW w:w="4293" w:type="pct"/>
            <w:gridSpan w:val="4"/>
          </w:tcPr>
          <w:p w14:paraId="5113EADE" w14:textId="77777777" w:rsidR="00A82D50" w:rsidRPr="001428E9" w:rsidRDefault="00A82D50">
            <w:pPr>
              <w:keepNext/>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A82D50" w:rsidRPr="001428E9" w14:paraId="442ADCBC" w14:textId="77777777">
        <w:tblPrEx>
          <w:tblCellMar>
            <w:top w:w="15" w:type="dxa"/>
            <w:bottom w:w="15" w:type="dxa"/>
          </w:tblCellMar>
          <w:tblLook w:val="04A0" w:firstRow="1" w:lastRow="0" w:firstColumn="1" w:lastColumn="0" w:noHBand="0" w:noVBand="1"/>
        </w:tblPrEx>
        <w:trPr>
          <w:cantSplit/>
          <w:trHeight w:val="98"/>
        </w:trPr>
        <w:tc>
          <w:tcPr>
            <w:tcW w:w="707" w:type="pct"/>
            <w:gridSpan w:val="2"/>
            <w:vMerge/>
          </w:tcPr>
          <w:p w14:paraId="461808D0" w14:textId="77777777" w:rsidR="00A82D50" w:rsidRPr="001428E9" w:rsidRDefault="00A82D50">
            <w:pPr>
              <w:rPr>
                <w:rFonts w:ascii="Arial Narrow" w:hAnsi="Arial Narrow"/>
                <w:sz w:val="20"/>
                <w:szCs w:val="20"/>
              </w:rPr>
            </w:pPr>
          </w:p>
        </w:tc>
        <w:tc>
          <w:tcPr>
            <w:tcW w:w="4293" w:type="pct"/>
            <w:gridSpan w:val="4"/>
          </w:tcPr>
          <w:p w14:paraId="2316FE6A" w14:textId="77777777" w:rsidR="00A82D50" w:rsidRPr="005659FE" w:rsidRDefault="00A82D50">
            <w:pPr>
              <w:pStyle w:val="TableText0"/>
            </w:pPr>
            <w:r w:rsidRPr="001428E9">
              <w:rPr>
                <w:b/>
              </w:rPr>
              <w:t xml:space="preserve">Restriction type: </w:t>
            </w:r>
            <w:r w:rsidRPr="00622EFF">
              <w:rPr>
                <w:rFonts w:eastAsia="Calibri"/>
              </w:rPr>
              <w:fldChar w:fldCharType="begin">
                <w:ffData>
                  <w:name w:val=""/>
                  <w:enabled/>
                  <w:calcOnExit w:val="0"/>
                  <w:checkBox>
                    <w:sizeAuto/>
                    <w:default w:val="1"/>
                  </w:checkBox>
                </w:ffData>
              </w:fldChar>
            </w:r>
            <w:r w:rsidRPr="00622EFF">
              <w:rPr>
                <w:rFonts w:eastAsia="Calibri"/>
              </w:rPr>
              <w:instrText xml:space="preserve"> FORMCHECKBOX </w:instrText>
            </w:r>
            <w:r w:rsidRPr="00622EFF">
              <w:rPr>
                <w:rFonts w:eastAsia="Calibri"/>
              </w:rPr>
            </w:r>
            <w:r w:rsidRPr="00622EFF">
              <w:rPr>
                <w:rFonts w:eastAsia="Calibri"/>
              </w:rPr>
              <w:fldChar w:fldCharType="separate"/>
            </w:r>
            <w:r w:rsidRPr="00622EFF">
              <w:rPr>
                <w:rFonts w:eastAsia="Calibri"/>
              </w:rPr>
              <w:fldChar w:fldCharType="end"/>
            </w:r>
            <w:r w:rsidRPr="00622EFF">
              <w:rPr>
                <w:rFonts w:eastAsia="Calibri"/>
              </w:rPr>
              <w:t>Authority Required (</w:t>
            </w:r>
            <w:r>
              <w:rPr>
                <w:rFonts w:eastAsia="Calibri"/>
              </w:rPr>
              <w:t>Telephone/Online PBS Authorities System</w:t>
            </w:r>
            <w:r w:rsidRPr="00622EFF">
              <w:rPr>
                <w:rFonts w:eastAsia="Calibri"/>
              </w:rPr>
              <w:t>)</w:t>
            </w:r>
          </w:p>
        </w:tc>
      </w:tr>
      <w:tr w:rsidR="00A82D50" w:rsidRPr="001428E9" w14:paraId="659CB51F" w14:textId="77777777">
        <w:tblPrEx>
          <w:tblCellMar>
            <w:top w:w="15" w:type="dxa"/>
            <w:bottom w:w="15" w:type="dxa"/>
          </w:tblCellMar>
          <w:tblLook w:val="04A0" w:firstRow="1" w:lastRow="0" w:firstColumn="1" w:lastColumn="0" w:noHBand="0" w:noVBand="1"/>
        </w:tblPrEx>
        <w:trPr>
          <w:trHeight w:val="20"/>
        </w:trPr>
        <w:tc>
          <w:tcPr>
            <w:tcW w:w="236" w:type="pct"/>
            <w:vMerge w:val="restart"/>
            <w:textDirection w:val="btLr"/>
            <w:vAlign w:val="center"/>
          </w:tcPr>
          <w:p w14:paraId="3B62E2ED" w14:textId="77777777" w:rsidR="00A82D50" w:rsidRPr="004E2B1B" w:rsidRDefault="00A82D50">
            <w:pPr>
              <w:keepLines/>
              <w:jc w:val="center"/>
              <w:rPr>
                <w:rFonts w:ascii="Arial Narrow" w:hAnsi="Arial Narrow"/>
                <w:color w:val="333333"/>
                <w:sz w:val="18"/>
                <w:szCs w:val="18"/>
              </w:rPr>
            </w:pPr>
            <w:r w:rsidRPr="004E2B1B">
              <w:rPr>
                <w:rFonts w:ascii="Arial Narrow" w:hAnsi="Arial Narrow"/>
                <w:color w:val="333333"/>
                <w:sz w:val="18"/>
                <w:szCs w:val="18"/>
              </w:rPr>
              <w:t>Prescribing rule level</w:t>
            </w:r>
          </w:p>
        </w:tc>
        <w:tc>
          <w:tcPr>
            <w:tcW w:w="471" w:type="pct"/>
            <w:vAlign w:val="center"/>
          </w:tcPr>
          <w:p w14:paraId="5BA874A3" w14:textId="4E53041A" w:rsidR="00A82D50" w:rsidRPr="001428E9" w:rsidRDefault="00A82D50">
            <w:pPr>
              <w:keepLines/>
              <w:ind w:hanging="35"/>
              <w:jc w:val="center"/>
              <w:rPr>
                <w:rFonts w:ascii="Arial Narrow" w:hAnsi="Arial Narrow"/>
                <w:color w:val="333333"/>
                <w:sz w:val="20"/>
                <w:szCs w:val="20"/>
              </w:rPr>
            </w:pPr>
          </w:p>
        </w:tc>
        <w:tc>
          <w:tcPr>
            <w:tcW w:w="4293" w:type="pct"/>
            <w:gridSpan w:val="4"/>
            <w:vAlign w:val="center"/>
          </w:tcPr>
          <w:p w14:paraId="688F898C" w14:textId="1FBA9BA3" w:rsidR="00A82D50" w:rsidRPr="00F6227F" w:rsidRDefault="00A82D50">
            <w:pPr>
              <w:keepLines/>
              <w:contextualSpacing/>
              <w:rPr>
                <w:rFonts w:ascii="Arial Narrow" w:hAnsi="Arial Narrow"/>
                <w:sz w:val="20"/>
                <w:szCs w:val="20"/>
              </w:rPr>
            </w:pPr>
            <w:r w:rsidRPr="00F6227F">
              <w:rPr>
                <w:rFonts w:ascii="Arial Narrow" w:hAnsi="Arial Narrow"/>
                <w:b/>
                <w:bCs/>
                <w:sz w:val="20"/>
                <w:szCs w:val="20"/>
              </w:rPr>
              <w:t>Administrative Advice:</w:t>
            </w:r>
            <w:r>
              <w:rPr>
                <w:rFonts w:ascii="Arial Narrow" w:hAnsi="Arial Narrow"/>
                <w:b/>
                <w:bCs/>
                <w:sz w:val="20"/>
                <w:szCs w:val="20"/>
              </w:rPr>
              <w:t xml:space="preserve"> </w:t>
            </w:r>
            <w:r w:rsidRPr="00E83C28">
              <w:rPr>
                <w:rFonts w:ascii="Arial Narrow" w:hAnsi="Arial Narrow"/>
                <w:sz w:val="20"/>
                <w:szCs w:val="20"/>
              </w:rPr>
              <w:t xml:space="preserve">The </w:t>
            </w:r>
            <w:r w:rsidRPr="007B1EA4">
              <w:rPr>
                <w:rFonts w:ascii="Arial Narrow" w:eastAsiaTheme="minorHAnsi" w:hAnsi="Arial Narrow"/>
                <w:sz w:val="20"/>
                <w:szCs w:val="20"/>
                <w:lang w:eastAsia="en-US"/>
              </w:rPr>
              <w:t>recommended</w:t>
            </w:r>
            <w:r w:rsidRPr="007B1EA4">
              <w:rPr>
                <w:rFonts w:ascii="Arial Narrow" w:eastAsiaTheme="minorHAnsi" w:hAnsi="Arial Narrow"/>
                <w:i/>
                <w:iCs/>
                <w:sz w:val="20"/>
                <w:szCs w:val="20"/>
                <w:lang w:eastAsia="en-US"/>
              </w:rPr>
              <w:t xml:space="preserve"> </w:t>
            </w:r>
            <w:r w:rsidRPr="00E83C28">
              <w:rPr>
                <w:rFonts w:ascii="Arial Narrow" w:hAnsi="Arial Narrow"/>
                <w:sz w:val="20"/>
                <w:szCs w:val="20"/>
              </w:rPr>
              <w:t xml:space="preserve">dose of durvalumab </w:t>
            </w:r>
            <w:r w:rsidRPr="007B1EA4">
              <w:rPr>
                <w:rFonts w:ascii="Arial Narrow" w:hAnsi="Arial Narrow"/>
                <w:sz w:val="20"/>
                <w:szCs w:val="20"/>
              </w:rPr>
              <w:t>in the adjuvant setting</w:t>
            </w:r>
            <w:r w:rsidRPr="007B1EA4">
              <w:rPr>
                <w:rFonts w:ascii="Arial Narrow" w:hAnsi="Arial Narrow"/>
                <w:i/>
                <w:iCs/>
                <w:sz w:val="20"/>
                <w:szCs w:val="20"/>
              </w:rPr>
              <w:t xml:space="preserve"> </w:t>
            </w:r>
            <w:r w:rsidRPr="00E83C28">
              <w:rPr>
                <w:rFonts w:ascii="Arial Narrow" w:hAnsi="Arial Narrow"/>
                <w:sz w:val="20"/>
                <w:szCs w:val="20"/>
              </w:rPr>
              <w:t xml:space="preserve">is 1500 mg administered every 4 weeks for up to a maximum of 12 cycles (including 2 cycles of </w:t>
            </w:r>
            <w:r w:rsidRPr="007B1EA4">
              <w:rPr>
                <w:rFonts w:ascii="Arial Narrow" w:eastAsiaTheme="minorHAnsi" w:hAnsi="Arial Narrow"/>
                <w:sz w:val="20"/>
                <w:szCs w:val="20"/>
                <w:lang w:eastAsia="en-US"/>
              </w:rPr>
              <w:t>adjuvant</w:t>
            </w:r>
            <w:r w:rsidRPr="007B1EA4">
              <w:rPr>
                <w:rFonts w:ascii="Arial Narrow" w:eastAsiaTheme="minorHAnsi" w:hAnsi="Arial Narrow"/>
                <w:i/>
                <w:iCs/>
                <w:sz w:val="20"/>
                <w:szCs w:val="20"/>
                <w:lang w:eastAsia="en-US"/>
              </w:rPr>
              <w:t xml:space="preserve"> </w:t>
            </w:r>
            <w:r w:rsidRPr="00E83C28">
              <w:rPr>
                <w:rFonts w:ascii="Arial Narrow" w:hAnsi="Arial Narrow"/>
                <w:sz w:val="20"/>
                <w:szCs w:val="20"/>
              </w:rPr>
              <w:t>durvalumab + FLOT and 10 additional cycles of durvalumab monotherapy)</w:t>
            </w:r>
          </w:p>
        </w:tc>
      </w:tr>
      <w:tr w:rsidR="00A82D50" w:rsidRPr="001428E9" w14:paraId="68D8B7E3" w14:textId="77777777">
        <w:tblPrEx>
          <w:tblCellMar>
            <w:top w:w="15" w:type="dxa"/>
            <w:bottom w:w="15" w:type="dxa"/>
          </w:tblCellMar>
          <w:tblLook w:val="04A0" w:firstRow="1" w:lastRow="0" w:firstColumn="1" w:lastColumn="0" w:noHBand="0" w:noVBand="1"/>
        </w:tblPrEx>
        <w:trPr>
          <w:trHeight w:val="20"/>
        </w:trPr>
        <w:tc>
          <w:tcPr>
            <w:tcW w:w="236" w:type="pct"/>
            <w:vMerge/>
            <w:vAlign w:val="center"/>
          </w:tcPr>
          <w:p w14:paraId="47DD4A5E" w14:textId="77777777" w:rsidR="00A82D50" w:rsidRPr="001428E9" w:rsidRDefault="00A82D50">
            <w:pPr>
              <w:keepLines/>
              <w:jc w:val="center"/>
              <w:rPr>
                <w:rFonts w:ascii="Arial Narrow" w:hAnsi="Arial Narrow"/>
                <w:color w:val="333333"/>
                <w:sz w:val="20"/>
                <w:szCs w:val="20"/>
              </w:rPr>
            </w:pPr>
          </w:p>
        </w:tc>
        <w:tc>
          <w:tcPr>
            <w:tcW w:w="471" w:type="pct"/>
            <w:vAlign w:val="center"/>
          </w:tcPr>
          <w:p w14:paraId="0F7AC567" w14:textId="61D1280B" w:rsidR="00A82D50" w:rsidRPr="003403AB" w:rsidRDefault="00A82D50">
            <w:pPr>
              <w:keepLines/>
              <w:ind w:hanging="35"/>
              <w:jc w:val="center"/>
              <w:rPr>
                <w:rFonts w:ascii="Arial Narrow" w:hAnsi="Arial Narrow"/>
                <w:sz w:val="20"/>
                <w:szCs w:val="20"/>
              </w:rPr>
            </w:pPr>
          </w:p>
        </w:tc>
        <w:tc>
          <w:tcPr>
            <w:tcW w:w="4293" w:type="pct"/>
            <w:gridSpan w:val="4"/>
            <w:vAlign w:val="center"/>
          </w:tcPr>
          <w:p w14:paraId="73F3BE4E" w14:textId="77777777" w:rsidR="00A82D50" w:rsidRPr="003403AB" w:rsidRDefault="00A82D50">
            <w:pPr>
              <w:keepLines/>
              <w:contextualSpacing/>
              <w:rPr>
                <w:rFonts w:ascii="Arial Narrow" w:hAnsi="Arial Narrow"/>
                <w:b/>
                <w:bCs/>
                <w:sz w:val="20"/>
                <w:szCs w:val="20"/>
              </w:rPr>
            </w:pPr>
            <w:r w:rsidRPr="003403AB">
              <w:rPr>
                <w:rFonts w:ascii="Arial Narrow" w:hAnsi="Arial Narrow"/>
                <w:b/>
                <w:bCs/>
                <w:sz w:val="20"/>
                <w:szCs w:val="20"/>
              </w:rPr>
              <w:t>Administrative Advice:</w:t>
            </w:r>
            <w:r w:rsidRPr="003403AB">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A82D50" w:rsidRPr="001428E9" w14:paraId="6B8E5034" w14:textId="77777777">
        <w:tblPrEx>
          <w:tblCellMar>
            <w:top w:w="15" w:type="dxa"/>
            <w:bottom w:w="15" w:type="dxa"/>
          </w:tblCellMar>
          <w:tblLook w:val="04A0" w:firstRow="1" w:lastRow="0" w:firstColumn="1" w:lastColumn="0" w:noHBand="0" w:noVBand="1"/>
        </w:tblPrEx>
        <w:trPr>
          <w:trHeight w:val="20"/>
        </w:trPr>
        <w:tc>
          <w:tcPr>
            <w:tcW w:w="236" w:type="pct"/>
            <w:vMerge/>
            <w:vAlign w:val="center"/>
          </w:tcPr>
          <w:p w14:paraId="5D135B8D" w14:textId="77777777" w:rsidR="00A82D50" w:rsidRPr="001428E9" w:rsidRDefault="00A82D50">
            <w:pPr>
              <w:keepLines/>
              <w:jc w:val="center"/>
              <w:rPr>
                <w:rFonts w:ascii="Arial Narrow" w:hAnsi="Arial Narrow"/>
                <w:color w:val="333333"/>
                <w:sz w:val="20"/>
                <w:szCs w:val="20"/>
              </w:rPr>
            </w:pPr>
          </w:p>
        </w:tc>
        <w:tc>
          <w:tcPr>
            <w:tcW w:w="471" w:type="pct"/>
            <w:vAlign w:val="center"/>
          </w:tcPr>
          <w:p w14:paraId="4AAC1321" w14:textId="2FFA1C97" w:rsidR="00A82D50" w:rsidRDefault="00A82D50">
            <w:pPr>
              <w:keepLines/>
              <w:ind w:hanging="35"/>
              <w:jc w:val="center"/>
              <w:rPr>
                <w:rFonts w:ascii="Arial Narrow" w:hAnsi="Arial Narrow"/>
                <w:color w:val="333333"/>
                <w:sz w:val="20"/>
                <w:szCs w:val="20"/>
              </w:rPr>
            </w:pPr>
          </w:p>
        </w:tc>
        <w:tc>
          <w:tcPr>
            <w:tcW w:w="4293" w:type="pct"/>
            <w:gridSpan w:val="4"/>
            <w:vAlign w:val="center"/>
          </w:tcPr>
          <w:p w14:paraId="4666A9D6" w14:textId="77777777" w:rsidR="00A82D50" w:rsidRPr="00F6227F" w:rsidRDefault="00A82D50">
            <w:pPr>
              <w:keepLines/>
              <w:contextualSpacing/>
              <w:rPr>
                <w:rFonts w:ascii="Arial Narrow" w:hAnsi="Arial Narrow"/>
                <w:b/>
                <w:bCs/>
                <w:sz w:val="20"/>
                <w:szCs w:val="20"/>
              </w:rPr>
            </w:pPr>
            <w:r w:rsidRPr="00F6227F">
              <w:rPr>
                <w:rFonts w:ascii="Arial Narrow" w:hAnsi="Arial Narrow"/>
                <w:b/>
                <w:bCs/>
                <w:sz w:val="20"/>
                <w:szCs w:val="20"/>
              </w:rPr>
              <w:t>Administrative Advice:</w:t>
            </w:r>
            <w:r>
              <w:rPr>
                <w:rFonts w:ascii="Arial Narrow" w:hAnsi="Arial Narrow"/>
                <w:b/>
                <w:bCs/>
                <w:sz w:val="20"/>
                <w:szCs w:val="20"/>
              </w:rPr>
              <w:t xml:space="preserve"> </w:t>
            </w:r>
            <w:r w:rsidRPr="57C5A67F">
              <w:rPr>
                <w:rFonts w:ascii="Arial Narrow" w:hAnsi="Arial Narrow"/>
                <w:sz w:val="20"/>
                <w:szCs w:val="20"/>
              </w:rPr>
              <w:t>No increase in the maximum amount or number of units may be authorised.</w:t>
            </w:r>
          </w:p>
        </w:tc>
      </w:tr>
      <w:tr w:rsidR="00A82D50" w:rsidRPr="001428E9" w14:paraId="54324063" w14:textId="77777777">
        <w:tblPrEx>
          <w:tblCellMar>
            <w:top w:w="15" w:type="dxa"/>
            <w:bottom w:w="15" w:type="dxa"/>
          </w:tblCellMar>
          <w:tblLook w:val="04A0" w:firstRow="1" w:lastRow="0" w:firstColumn="1" w:lastColumn="0" w:noHBand="0" w:noVBand="1"/>
        </w:tblPrEx>
        <w:trPr>
          <w:trHeight w:val="20"/>
        </w:trPr>
        <w:tc>
          <w:tcPr>
            <w:tcW w:w="236" w:type="pct"/>
            <w:vMerge/>
            <w:vAlign w:val="center"/>
          </w:tcPr>
          <w:p w14:paraId="4DA7D672" w14:textId="77777777" w:rsidR="00A82D50" w:rsidRPr="001428E9" w:rsidRDefault="00A82D50">
            <w:pPr>
              <w:keepLines/>
              <w:jc w:val="center"/>
              <w:rPr>
                <w:rFonts w:ascii="Arial Narrow" w:hAnsi="Arial Narrow"/>
                <w:color w:val="333333"/>
                <w:sz w:val="20"/>
                <w:szCs w:val="20"/>
              </w:rPr>
            </w:pPr>
          </w:p>
        </w:tc>
        <w:tc>
          <w:tcPr>
            <w:tcW w:w="471" w:type="pct"/>
            <w:vAlign w:val="center"/>
          </w:tcPr>
          <w:p w14:paraId="3ADAC17C" w14:textId="2927AA98" w:rsidR="00A82D50" w:rsidRPr="001428E9" w:rsidRDefault="00A82D50">
            <w:pPr>
              <w:keepLines/>
              <w:ind w:hanging="35"/>
              <w:jc w:val="center"/>
              <w:rPr>
                <w:rFonts w:ascii="Arial Narrow" w:hAnsi="Arial Narrow"/>
                <w:color w:val="333333"/>
                <w:sz w:val="20"/>
                <w:szCs w:val="20"/>
              </w:rPr>
            </w:pPr>
          </w:p>
        </w:tc>
        <w:tc>
          <w:tcPr>
            <w:tcW w:w="4293" w:type="pct"/>
            <w:gridSpan w:val="4"/>
            <w:vAlign w:val="center"/>
          </w:tcPr>
          <w:p w14:paraId="753D855D" w14:textId="77777777" w:rsidR="00A82D50" w:rsidRPr="00F6227F" w:rsidRDefault="00A82D50">
            <w:pPr>
              <w:keepLines/>
              <w:contextualSpacing/>
              <w:rPr>
                <w:rFonts w:ascii="Arial Narrow" w:hAnsi="Arial Narrow"/>
                <w:sz w:val="20"/>
                <w:szCs w:val="20"/>
              </w:rPr>
            </w:pPr>
            <w:r w:rsidRPr="00F6227F">
              <w:rPr>
                <w:rFonts w:ascii="Arial Narrow" w:hAnsi="Arial Narrow"/>
                <w:b/>
                <w:bCs/>
                <w:sz w:val="20"/>
                <w:szCs w:val="20"/>
              </w:rPr>
              <w:t>Administrative Advice:</w:t>
            </w:r>
            <w:r>
              <w:rPr>
                <w:rFonts w:ascii="Arial Narrow" w:hAnsi="Arial Narrow"/>
                <w:b/>
                <w:bCs/>
                <w:sz w:val="20"/>
                <w:szCs w:val="20"/>
              </w:rPr>
              <w:t xml:space="preserve"> </w:t>
            </w:r>
            <w:r w:rsidRPr="00F6227F">
              <w:rPr>
                <w:rFonts w:ascii="Arial Narrow" w:hAnsi="Arial Narrow"/>
                <w:sz w:val="20"/>
                <w:szCs w:val="20"/>
              </w:rPr>
              <w:t>No increase in the maximum number of repeats may be authorised.</w:t>
            </w:r>
          </w:p>
        </w:tc>
      </w:tr>
      <w:tr w:rsidR="00A82D50" w:rsidRPr="001428E9" w14:paraId="39E6BD80" w14:textId="77777777">
        <w:tblPrEx>
          <w:tblCellMar>
            <w:top w:w="15" w:type="dxa"/>
            <w:bottom w:w="15" w:type="dxa"/>
          </w:tblCellMar>
          <w:tblLook w:val="04A0" w:firstRow="1" w:lastRow="0" w:firstColumn="1" w:lastColumn="0" w:noHBand="0" w:noVBand="1"/>
        </w:tblPrEx>
        <w:trPr>
          <w:trHeight w:val="20"/>
        </w:trPr>
        <w:tc>
          <w:tcPr>
            <w:tcW w:w="236" w:type="pct"/>
            <w:vMerge/>
            <w:vAlign w:val="center"/>
          </w:tcPr>
          <w:p w14:paraId="26DCFCB2" w14:textId="77777777" w:rsidR="00A82D50" w:rsidRPr="001428E9" w:rsidRDefault="00A82D50">
            <w:pPr>
              <w:keepLines/>
              <w:jc w:val="center"/>
              <w:rPr>
                <w:rFonts w:ascii="Arial Narrow" w:hAnsi="Arial Narrow"/>
                <w:color w:val="333333"/>
                <w:sz w:val="20"/>
                <w:szCs w:val="20"/>
              </w:rPr>
            </w:pPr>
          </w:p>
        </w:tc>
        <w:tc>
          <w:tcPr>
            <w:tcW w:w="471" w:type="pct"/>
            <w:vAlign w:val="center"/>
          </w:tcPr>
          <w:p w14:paraId="06D6ED44" w14:textId="1771BF61" w:rsidR="00A82D50" w:rsidRPr="001428E9" w:rsidRDefault="00A82D50">
            <w:pPr>
              <w:keepLines/>
              <w:ind w:hanging="35"/>
              <w:jc w:val="center"/>
              <w:rPr>
                <w:rFonts w:ascii="Arial Narrow" w:hAnsi="Arial Narrow"/>
                <w:color w:val="333333"/>
                <w:sz w:val="20"/>
                <w:szCs w:val="20"/>
              </w:rPr>
            </w:pPr>
          </w:p>
        </w:tc>
        <w:tc>
          <w:tcPr>
            <w:tcW w:w="4293" w:type="pct"/>
            <w:gridSpan w:val="4"/>
            <w:vAlign w:val="center"/>
          </w:tcPr>
          <w:p w14:paraId="7E5910CE" w14:textId="77777777" w:rsidR="00A82D50" w:rsidRPr="00A44782" w:rsidRDefault="00A82D50">
            <w:pPr>
              <w:keepLines/>
              <w:contextualSpacing/>
              <w:rPr>
                <w:rFonts w:ascii="Arial Narrow" w:hAnsi="Arial Narrow"/>
                <w:sz w:val="20"/>
                <w:szCs w:val="20"/>
              </w:rPr>
            </w:pPr>
            <w:r w:rsidRPr="180C800E">
              <w:rPr>
                <w:rFonts w:ascii="Arial Narrow" w:hAnsi="Arial Narrow"/>
                <w:b/>
                <w:bCs/>
                <w:sz w:val="20"/>
                <w:szCs w:val="20"/>
              </w:rPr>
              <w:t>Administrative Advice:</w:t>
            </w:r>
            <w:r>
              <w:rPr>
                <w:rFonts w:ascii="Arial Narrow" w:hAnsi="Arial Narrow"/>
                <w:b/>
                <w:bCs/>
                <w:sz w:val="20"/>
                <w:szCs w:val="20"/>
              </w:rPr>
              <w:t xml:space="preserve"> </w:t>
            </w:r>
            <w:r w:rsidRPr="180C800E">
              <w:rPr>
                <w:rFonts w:ascii="Arial Narrow" w:hAnsi="Arial Narrow"/>
                <w:sz w:val="20"/>
                <w:szCs w:val="20"/>
              </w:rPr>
              <w:t>Special Pricing Arrangements apply.</w:t>
            </w:r>
          </w:p>
        </w:tc>
      </w:tr>
      <w:tr w:rsidR="00A82D50" w:rsidRPr="00BF2EBD" w14:paraId="6A34EDED" w14:textId="77777777">
        <w:tblPrEx>
          <w:tblCellMar>
            <w:top w:w="15" w:type="dxa"/>
            <w:bottom w:w="15" w:type="dxa"/>
          </w:tblCellMar>
          <w:tblLook w:val="04A0" w:firstRow="1" w:lastRow="0" w:firstColumn="1" w:lastColumn="0" w:noHBand="0" w:noVBand="1"/>
        </w:tblPrEx>
        <w:trPr>
          <w:cantSplit/>
          <w:trHeight w:val="20"/>
        </w:trPr>
        <w:tc>
          <w:tcPr>
            <w:tcW w:w="707" w:type="pct"/>
            <w:gridSpan w:val="2"/>
            <w:vMerge w:val="restart"/>
            <w:vAlign w:val="center"/>
          </w:tcPr>
          <w:p w14:paraId="6400AB58" w14:textId="77777777" w:rsidR="00A82D50" w:rsidRPr="00BF2EBD" w:rsidRDefault="00A82D50">
            <w:pPr>
              <w:keepLines/>
              <w:jc w:val="center"/>
              <w:rPr>
                <w:rFonts w:ascii="Arial Narrow" w:hAnsi="Arial Narrow"/>
                <w:color w:val="C4BC96" w:themeColor="background2" w:themeShade="BF"/>
                <w:sz w:val="20"/>
                <w:szCs w:val="20"/>
              </w:rPr>
            </w:pPr>
          </w:p>
        </w:tc>
        <w:tc>
          <w:tcPr>
            <w:tcW w:w="4293" w:type="pct"/>
            <w:gridSpan w:val="4"/>
            <w:vAlign w:val="center"/>
          </w:tcPr>
          <w:p w14:paraId="08BA32A1" w14:textId="77777777" w:rsidR="00A82D50" w:rsidRPr="003403AB" w:rsidRDefault="00A82D50">
            <w:pPr>
              <w:keepLines/>
              <w:rPr>
                <w:rFonts w:ascii="Arial Narrow" w:hAnsi="Arial Narrow"/>
                <w:b/>
                <w:bCs/>
                <w:sz w:val="20"/>
                <w:szCs w:val="20"/>
              </w:rPr>
            </w:pPr>
            <w:r w:rsidRPr="003403AB">
              <w:rPr>
                <w:rFonts w:ascii="Arial Narrow" w:hAnsi="Arial Narrow"/>
                <w:b/>
                <w:bCs/>
                <w:sz w:val="20"/>
                <w:szCs w:val="20"/>
              </w:rPr>
              <w:t xml:space="preserve">Episodicity: </w:t>
            </w:r>
            <w:r w:rsidRPr="003403AB">
              <w:rPr>
                <w:rFonts w:ascii="Arial Narrow" w:hAnsi="Arial Narrow"/>
                <w:sz w:val="20"/>
                <w:szCs w:val="20"/>
              </w:rPr>
              <w:t>[Blank]</w:t>
            </w:r>
          </w:p>
        </w:tc>
      </w:tr>
      <w:tr w:rsidR="00A82D50" w:rsidRPr="00BF2EBD" w14:paraId="74691E08" w14:textId="77777777">
        <w:tblPrEx>
          <w:tblCellMar>
            <w:top w:w="15" w:type="dxa"/>
            <w:bottom w:w="15" w:type="dxa"/>
          </w:tblCellMar>
          <w:tblLook w:val="04A0" w:firstRow="1" w:lastRow="0" w:firstColumn="1" w:lastColumn="0" w:noHBand="0" w:noVBand="1"/>
        </w:tblPrEx>
        <w:trPr>
          <w:cantSplit/>
          <w:trHeight w:val="20"/>
        </w:trPr>
        <w:tc>
          <w:tcPr>
            <w:tcW w:w="707" w:type="pct"/>
            <w:gridSpan w:val="2"/>
            <w:vMerge/>
            <w:vAlign w:val="center"/>
          </w:tcPr>
          <w:p w14:paraId="0B989A15" w14:textId="77777777" w:rsidR="00A82D50" w:rsidRPr="00BF2EBD" w:rsidRDefault="00A82D50">
            <w:pPr>
              <w:keepLines/>
              <w:jc w:val="center"/>
              <w:rPr>
                <w:rFonts w:ascii="Arial Narrow" w:hAnsi="Arial Narrow"/>
                <w:color w:val="C4BC96" w:themeColor="background2" w:themeShade="BF"/>
                <w:sz w:val="20"/>
                <w:szCs w:val="20"/>
              </w:rPr>
            </w:pPr>
          </w:p>
        </w:tc>
        <w:tc>
          <w:tcPr>
            <w:tcW w:w="4293" w:type="pct"/>
            <w:gridSpan w:val="4"/>
            <w:vAlign w:val="center"/>
          </w:tcPr>
          <w:p w14:paraId="785BCA34" w14:textId="77777777" w:rsidR="00A82D50" w:rsidRPr="003403AB" w:rsidRDefault="00A82D50">
            <w:pPr>
              <w:keepLines/>
              <w:rPr>
                <w:rFonts w:ascii="Arial Narrow" w:hAnsi="Arial Narrow"/>
                <w:b/>
                <w:bCs/>
                <w:sz w:val="20"/>
                <w:szCs w:val="20"/>
              </w:rPr>
            </w:pPr>
            <w:r w:rsidRPr="003403AB">
              <w:rPr>
                <w:rFonts w:ascii="Arial Narrow" w:hAnsi="Arial Narrow"/>
                <w:b/>
                <w:bCs/>
                <w:sz w:val="20"/>
                <w:szCs w:val="20"/>
              </w:rPr>
              <w:t xml:space="preserve">Severity: </w:t>
            </w:r>
            <w:r w:rsidRPr="003403AB">
              <w:rPr>
                <w:rFonts w:ascii="Arial Narrow" w:hAnsi="Arial Narrow"/>
                <w:sz w:val="20"/>
                <w:szCs w:val="20"/>
              </w:rPr>
              <w:t>[Blank]</w:t>
            </w:r>
          </w:p>
        </w:tc>
      </w:tr>
      <w:tr w:rsidR="00A82D50" w:rsidRPr="00BF2EBD" w14:paraId="57E2980A" w14:textId="77777777">
        <w:tblPrEx>
          <w:tblCellMar>
            <w:top w:w="15" w:type="dxa"/>
            <w:bottom w:w="15" w:type="dxa"/>
          </w:tblCellMar>
          <w:tblLook w:val="04A0" w:firstRow="1" w:lastRow="0" w:firstColumn="1" w:lastColumn="0" w:noHBand="0" w:noVBand="1"/>
        </w:tblPrEx>
        <w:trPr>
          <w:cantSplit/>
          <w:trHeight w:val="20"/>
        </w:trPr>
        <w:tc>
          <w:tcPr>
            <w:tcW w:w="707" w:type="pct"/>
            <w:gridSpan w:val="2"/>
            <w:vMerge/>
            <w:vAlign w:val="center"/>
          </w:tcPr>
          <w:p w14:paraId="7FB1FD88" w14:textId="77777777" w:rsidR="00A82D50" w:rsidRPr="00BF2EBD" w:rsidRDefault="00A82D50">
            <w:pPr>
              <w:keepLines/>
              <w:jc w:val="center"/>
              <w:rPr>
                <w:rFonts w:ascii="Arial Narrow" w:hAnsi="Arial Narrow"/>
                <w:color w:val="C4BC96" w:themeColor="background2" w:themeShade="BF"/>
                <w:sz w:val="20"/>
                <w:szCs w:val="20"/>
              </w:rPr>
            </w:pPr>
          </w:p>
        </w:tc>
        <w:tc>
          <w:tcPr>
            <w:tcW w:w="4293" w:type="pct"/>
            <w:gridSpan w:val="4"/>
            <w:vAlign w:val="center"/>
          </w:tcPr>
          <w:p w14:paraId="6A584882" w14:textId="03465B0C" w:rsidR="00A82D50" w:rsidRPr="003403AB" w:rsidRDefault="00A82D50">
            <w:pPr>
              <w:keepLines/>
              <w:rPr>
                <w:rFonts w:ascii="Arial Narrow" w:hAnsi="Arial Narrow"/>
                <w:b/>
                <w:bCs/>
                <w:sz w:val="20"/>
                <w:szCs w:val="20"/>
              </w:rPr>
            </w:pPr>
            <w:r w:rsidRPr="003403AB">
              <w:rPr>
                <w:rFonts w:ascii="Arial Narrow" w:hAnsi="Arial Narrow"/>
                <w:b/>
                <w:bCs/>
                <w:sz w:val="20"/>
                <w:szCs w:val="20"/>
              </w:rPr>
              <w:t xml:space="preserve">Condition: </w:t>
            </w:r>
            <w:r w:rsidRPr="003403AB">
              <w:rPr>
                <w:rFonts w:ascii="Arial Narrow" w:hAnsi="Arial Narrow"/>
                <w:bCs/>
                <w:sz w:val="20"/>
                <w:szCs w:val="20"/>
              </w:rPr>
              <w:t>Resect</w:t>
            </w:r>
            <w:r w:rsidR="003945DA">
              <w:rPr>
                <w:rFonts w:ascii="Arial Narrow" w:hAnsi="Arial Narrow"/>
                <w:bCs/>
                <w:sz w:val="20"/>
                <w:szCs w:val="20"/>
              </w:rPr>
              <w:t>ed</w:t>
            </w:r>
            <w:r w:rsidRPr="003403AB">
              <w:rPr>
                <w:rFonts w:ascii="Arial Narrow" w:hAnsi="Arial Narrow"/>
                <w:bCs/>
                <w:sz w:val="20"/>
                <w:szCs w:val="20"/>
              </w:rPr>
              <w:t xml:space="preserve"> gastric and gastroesophageal junction adenocarcinoma</w:t>
            </w:r>
          </w:p>
        </w:tc>
      </w:tr>
      <w:tr w:rsidR="00A82D50" w:rsidRPr="001428E9" w14:paraId="03A2BDEF"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hideMark/>
          </w:tcPr>
          <w:p w14:paraId="2AEF984B" w14:textId="77777777" w:rsidR="00A82D50" w:rsidRPr="001428E9" w:rsidRDefault="00A82D50">
            <w:pPr>
              <w:keepLines/>
              <w:jc w:val="center"/>
              <w:rPr>
                <w:rFonts w:ascii="Arial Narrow" w:hAnsi="Arial Narrow"/>
                <w:color w:val="333333"/>
                <w:sz w:val="20"/>
                <w:szCs w:val="20"/>
              </w:rPr>
            </w:pPr>
          </w:p>
        </w:tc>
        <w:tc>
          <w:tcPr>
            <w:tcW w:w="4293" w:type="pct"/>
            <w:gridSpan w:val="4"/>
            <w:vAlign w:val="center"/>
            <w:hideMark/>
          </w:tcPr>
          <w:p w14:paraId="44B234DC" w14:textId="65EAEBB7" w:rsidR="00A82D50" w:rsidRPr="00A44782" w:rsidRDefault="00A82D50">
            <w:pPr>
              <w:keepLines/>
              <w:rPr>
                <w:rFonts w:ascii="Arial Narrow" w:hAnsi="Arial Narrow"/>
                <w:sz w:val="20"/>
                <w:szCs w:val="20"/>
              </w:rPr>
            </w:pPr>
            <w:r w:rsidRPr="00A44782">
              <w:rPr>
                <w:rFonts w:ascii="Arial Narrow" w:hAnsi="Arial Narrow"/>
                <w:b/>
                <w:bCs/>
                <w:sz w:val="20"/>
                <w:szCs w:val="20"/>
              </w:rPr>
              <w:t>Indication:</w:t>
            </w:r>
            <w:r w:rsidRPr="00A44782">
              <w:rPr>
                <w:rFonts w:ascii="Arial Narrow" w:hAnsi="Arial Narrow"/>
                <w:sz w:val="20"/>
                <w:szCs w:val="20"/>
              </w:rPr>
              <w:t xml:space="preserve"> </w:t>
            </w:r>
            <w:r w:rsidRPr="009A4F53">
              <w:rPr>
                <w:rFonts w:ascii="Arial Narrow" w:hAnsi="Arial Narrow"/>
                <w:bCs/>
                <w:sz w:val="20"/>
                <w:szCs w:val="20"/>
              </w:rPr>
              <w:t>Resect</w:t>
            </w:r>
            <w:r w:rsidR="003945DA">
              <w:rPr>
                <w:rFonts w:ascii="Arial Narrow" w:hAnsi="Arial Narrow"/>
                <w:bCs/>
                <w:sz w:val="20"/>
                <w:szCs w:val="20"/>
              </w:rPr>
              <w:t>ed</w:t>
            </w:r>
            <w:r w:rsidRPr="009A4F53">
              <w:rPr>
                <w:rFonts w:ascii="Arial Narrow" w:hAnsi="Arial Narrow"/>
                <w:bCs/>
                <w:sz w:val="20"/>
                <w:szCs w:val="20"/>
              </w:rPr>
              <w:t xml:space="preserve"> gastric and gastroesophageal junction adenocarcinoma</w:t>
            </w:r>
          </w:p>
        </w:tc>
      </w:tr>
      <w:tr w:rsidR="00A82D50" w:rsidRPr="001428E9" w14:paraId="61924682"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hideMark/>
          </w:tcPr>
          <w:p w14:paraId="155D1D6B" w14:textId="77777777" w:rsidR="00A82D50" w:rsidRPr="001428E9" w:rsidRDefault="00A82D50">
            <w:pPr>
              <w:jc w:val="center"/>
              <w:rPr>
                <w:rFonts w:ascii="Arial Narrow" w:hAnsi="Arial Narrow"/>
                <w:color w:val="333333"/>
                <w:sz w:val="20"/>
                <w:szCs w:val="20"/>
              </w:rPr>
            </w:pPr>
          </w:p>
        </w:tc>
        <w:tc>
          <w:tcPr>
            <w:tcW w:w="4293" w:type="pct"/>
            <w:gridSpan w:val="4"/>
            <w:vAlign w:val="center"/>
            <w:hideMark/>
          </w:tcPr>
          <w:p w14:paraId="303E5010" w14:textId="12CE13A9" w:rsidR="00A82D50" w:rsidRPr="00A44782" w:rsidRDefault="00A82D50">
            <w:pPr>
              <w:rPr>
                <w:rFonts w:ascii="Arial Narrow" w:hAnsi="Arial Narrow"/>
                <w:sz w:val="20"/>
                <w:szCs w:val="20"/>
              </w:rPr>
            </w:pPr>
            <w:r w:rsidRPr="00A44782">
              <w:rPr>
                <w:rFonts w:ascii="Arial Narrow" w:hAnsi="Arial Narrow"/>
                <w:b/>
                <w:bCs/>
                <w:sz w:val="20"/>
                <w:szCs w:val="20"/>
              </w:rPr>
              <w:t>Treatment Phase:</w:t>
            </w:r>
            <w:r w:rsidRPr="00A44782">
              <w:rPr>
                <w:rFonts w:ascii="Arial Narrow" w:hAnsi="Arial Narrow"/>
                <w:sz w:val="20"/>
                <w:szCs w:val="20"/>
              </w:rPr>
              <w:t xml:space="preserve"> </w:t>
            </w:r>
            <w:r>
              <w:rPr>
                <w:rFonts w:ascii="Arial Narrow" w:hAnsi="Arial Narrow"/>
                <w:sz w:val="20"/>
                <w:szCs w:val="20"/>
              </w:rPr>
              <w:t>A</w:t>
            </w:r>
            <w:r w:rsidRPr="000A557D">
              <w:rPr>
                <w:rFonts w:ascii="Arial Narrow" w:hAnsi="Arial Narrow"/>
                <w:sz w:val="20"/>
                <w:szCs w:val="20"/>
              </w:rPr>
              <w:t>djuvant</w:t>
            </w:r>
            <w:r w:rsidRPr="00331476">
              <w:rPr>
                <w:rFonts w:ascii="Arial Narrow" w:hAnsi="Arial Narrow"/>
                <w:i/>
                <w:iCs/>
                <w:color w:val="00B0F0"/>
                <w:sz w:val="20"/>
                <w:szCs w:val="20"/>
              </w:rPr>
              <w:t xml:space="preserve"> </w:t>
            </w:r>
            <w:r w:rsidRPr="003403AB">
              <w:rPr>
                <w:rFonts w:ascii="Arial Narrow" w:hAnsi="Arial Narrow"/>
                <w:sz w:val="20"/>
                <w:szCs w:val="20"/>
              </w:rPr>
              <w:t>treatment</w:t>
            </w:r>
          </w:p>
        </w:tc>
      </w:tr>
      <w:tr w:rsidR="00A82D50" w:rsidRPr="001428E9" w14:paraId="748A091F"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43A7DB1E"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198DEB56" w14:textId="06D4ED46" w:rsidR="00A82D50" w:rsidRPr="00A44782" w:rsidRDefault="00A82D50">
            <w:pPr>
              <w:rPr>
                <w:rFonts w:ascii="Arial Narrow" w:hAnsi="Arial Narrow"/>
                <w:b/>
                <w:bCs/>
                <w:sz w:val="20"/>
                <w:szCs w:val="20"/>
              </w:rPr>
            </w:pPr>
            <w:r w:rsidRPr="003403AB">
              <w:rPr>
                <w:rFonts w:ascii="Arial Narrow" w:hAnsi="Arial Narrow"/>
                <w:b/>
                <w:bCs/>
                <w:sz w:val="20"/>
                <w:szCs w:val="20"/>
              </w:rPr>
              <w:t xml:space="preserve">Clinical </w:t>
            </w:r>
            <w:r w:rsidRPr="00041666">
              <w:rPr>
                <w:rFonts w:ascii="Arial Narrow" w:hAnsi="Arial Narrow"/>
                <w:b/>
                <w:bCs/>
                <w:sz w:val="20"/>
                <w:szCs w:val="20"/>
              </w:rPr>
              <w:t>criteria</w:t>
            </w:r>
          </w:p>
        </w:tc>
      </w:tr>
      <w:tr w:rsidR="00A82D50" w:rsidRPr="001428E9" w14:paraId="61B6CCA7"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6E8CE405"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2E14741A" w14:textId="77777777" w:rsidR="00A82D50" w:rsidRPr="00D078B7" w:rsidRDefault="00A82D50">
            <w:pPr>
              <w:pStyle w:val="Tabletext"/>
              <w:rPr>
                <w:rFonts w:eastAsiaTheme="minorEastAsia"/>
                <w:szCs w:val="20"/>
              </w:rPr>
            </w:pPr>
            <w:r w:rsidRPr="00ED234E">
              <w:rPr>
                <w:rFonts w:eastAsiaTheme="minorEastAsia"/>
                <w:szCs w:val="20"/>
              </w:rPr>
              <w:t>Patient must have previously received PBS subsidised neoadjuvant treatment with this drug for this condition</w:t>
            </w:r>
            <w:r w:rsidRPr="00D078B7">
              <w:rPr>
                <w:rFonts w:eastAsiaTheme="minorEastAsia"/>
                <w:i/>
                <w:iCs/>
                <w:color w:val="00B0F0"/>
                <w:szCs w:val="20"/>
              </w:rPr>
              <w:t xml:space="preserve">; </w:t>
            </w:r>
            <w:r w:rsidRPr="00ED234E">
              <w:rPr>
                <w:rFonts w:eastAsiaTheme="minorEastAsia"/>
                <w:szCs w:val="20"/>
              </w:rPr>
              <w:t>OR</w:t>
            </w:r>
          </w:p>
        </w:tc>
      </w:tr>
      <w:tr w:rsidR="00A82D50" w:rsidRPr="001428E9" w14:paraId="7D7516C9"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3CD62040"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7D9FFB35" w14:textId="1C73CA34" w:rsidR="00A82D50" w:rsidRPr="00A44782" w:rsidRDefault="00A82D50">
            <w:pPr>
              <w:rPr>
                <w:rFonts w:ascii="Arial Narrow" w:hAnsi="Arial Narrow"/>
                <w:b/>
                <w:bCs/>
                <w:sz w:val="20"/>
                <w:szCs w:val="20"/>
              </w:rPr>
            </w:pPr>
            <w:r w:rsidRPr="00ED234E">
              <w:rPr>
                <w:rFonts w:ascii="Arial Narrow" w:hAnsi="Arial Narrow"/>
                <w:sz w:val="20"/>
                <w:szCs w:val="20"/>
              </w:rPr>
              <w:t>Patient must be both: (i) transitioning from existing non</w:t>
            </w:r>
            <w:r w:rsidR="00675F55">
              <w:rPr>
                <w:rFonts w:ascii="Arial Narrow" w:hAnsi="Arial Narrow"/>
                <w:sz w:val="20"/>
                <w:szCs w:val="20"/>
              </w:rPr>
              <w:noBreakHyphen/>
            </w:r>
            <w:r w:rsidRPr="00ED234E">
              <w:rPr>
                <w:rFonts w:ascii="Arial Narrow" w:hAnsi="Arial Narrow"/>
                <w:sz w:val="20"/>
                <w:szCs w:val="20"/>
              </w:rPr>
              <w:t>PBS to PBS subsidised supply of this drug, (ii) treated with combined therapy with durvalumab and FLOT as neoadjuvant treatment for this condition</w:t>
            </w:r>
          </w:p>
        </w:tc>
      </w:tr>
      <w:tr w:rsidR="00A82D50" w:rsidRPr="001428E9" w14:paraId="3A5C8F62"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0FF82B03"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3E96CDA9" w14:textId="77777777" w:rsidR="00A82D50" w:rsidRPr="00ED234E" w:rsidRDefault="00A82D50">
            <w:pPr>
              <w:rPr>
                <w:rFonts w:ascii="Arial Narrow" w:hAnsi="Arial Narrow"/>
                <w:sz w:val="20"/>
                <w:szCs w:val="20"/>
              </w:rPr>
            </w:pPr>
            <w:r w:rsidRPr="001428E9">
              <w:rPr>
                <w:rFonts w:ascii="Arial Narrow" w:hAnsi="Arial Narrow"/>
                <w:b/>
                <w:bCs/>
                <w:color w:val="333333"/>
                <w:sz w:val="20"/>
                <w:szCs w:val="20"/>
              </w:rPr>
              <w:t>AND</w:t>
            </w:r>
          </w:p>
        </w:tc>
      </w:tr>
      <w:tr w:rsidR="00A82D50" w:rsidRPr="001428E9" w14:paraId="4163CCEE"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0BF564EB"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602D3554"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Clinical criteria:</w:t>
            </w:r>
          </w:p>
        </w:tc>
      </w:tr>
      <w:tr w:rsidR="00A82D50" w:rsidRPr="001428E9" w14:paraId="2F6314FF"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2CB99224"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66283416" w14:textId="77777777" w:rsidR="00A82D50" w:rsidRPr="00410B9B" w:rsidRDefault="00A82D50">
            <w:pPr>
              <w:rPr>
                <w:rFonts w:ascii="Arial Narrow" w:hAnsi="Arial Narrow"/>
                <w:sz w:val="20"/>
                <w:szCs w:val="20"/>
              </w:rPr>
            </w:pPr>
            <w:r w:rsidRPr="00410B9B">
              <w:rPr>
                <w:rFonts w:ascii="Arial Narrow" w:hAnsi="Arial Narrow"/>
                <w:sz w:val="20"/>
                <w:szCs w:val="20"/>
              </w:rPr>
              <w:t>The treatment must be for the purposes of adjuvant use following complete surgical resection</w:t>
            </w:r>
          </w:p>
        </w:tc>
      </w:tr>
      <w:tr w:rsidR="00A82D50" w:rsidRPr="001428E9" w14:paraId="24C482F9"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07294EC9"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56C027D2"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AND</w:t>
            </w:r>
          </w:p>
        </w:tc>
      </w:tr>
      <w:tr w:rsidR="00A82D50" w:rsidRPr="001428E9" w14:paraId="3F38E510"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21E16293"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5E8F6C41"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Clinical criteria:</w:t>
            </w:r>
          </w:p>
        </w:tc>
      </w:tr>
      <w:tr w:rsidR="00A82D50" w:rsidRPr="001428E9" w14:paraId="37259C84"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04B85C6D"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2FBE6B42" w14:textId="77777777" w:rsidR="00A82D50" w:rsidRPr="00EA064B" w:rsidRDefault="00A82D50">
            <w:pPr>
              <w:rPr>
                <w:rFonts w:ascii="Arial Narrow" w:hAnsi="Arial Narrow"/>
                <w:sz w:val="20"/>
                <w:szCs w:val="20"/>
              </w:rPr>
            </w:pPr>
            <w:r w:rsidRPr="00410B9B">
              <w:rPr>
                <w:rFonts w:ascii="Arial Narrow" w:hAnsi="Arial Narrow"/>
                <w:sz w:val="20"/>
                <w:szCs w:val="20"/>
              </w:rPr>
              <w:t>The treatment must</w:t>
            </w:r>
            <w:r w:rsidRPr="0018762B">
              <w:rPr>
                <w:rFonts w:ascii="Arial Narrow" w:hAnsi="Arial Narrow"/>
                <w:sz w:val="20"/>
                <w:szCs w:val="20"/>
              </w:rPr>
              <w:t xml:space="preserve"> be</w:t>
            </w:r>
            <w:r w:rsidRPr="00C22D30">
              <w:rPr>
                <w:rFonts w:ascii="Arial Narrow" w:hAnsi="Arial Narrow"/>
                <w:sz w:val="20"/>
                <w:szCs w:val="20"/>
              </w:rPr>
              <w:t xml:space="preserve">/have been </w:t>
            </w:r>
            <w:r w:rsidRPr="00410B9B">
              <w:rPr>
                <w:rFonts w:ascii="Arial Narrow" w:hAnsi="Arial Narrow"/>
                <w:sz w:val="20"/>
                <w:szCs w:val="20"/>
              </w:rPr>
              <w:t>initiated in combination with adjuvant FLOT for up to 2 cycles</w:t>
            </w:r>
            <w:r>
              <w:rPr>
                <w:rFonts w:ascii="Arial Narrow" w:hAnsi="Arial Narrow"/>
                <w:sz w:val="20"/>
                <w:szCs w:val="20"/>
              </w:rPr>
              <w:t xml:space="preserve"> </w:t>
            </w:r>
            <w:r w:rsidRPr="00410B9B">
              <w:rPr>
                <w:rFonts w:ascii="Arial Narrow" w:hAnsi="Arial Narrow"/>
                <w:sz w:val="20"/>
                <w:szCs w:val="20"/>
              </w:rPr>
              <w:t>unless intolerant to FLOT requiring permanent discontinuation</w:t>
            </w:r>
          </w:p>
        </w:tc>
      </w:tr>
      <w:tr w:rsidR="00A82D50" w:rsidRPr="001428E9" w14:paraId="4B7E52DF"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38F2501E"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42F85269"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AND</w:t>
            </w:r>
          </w:p>
        </w:tc>
      </w:tr>
      <w:tr w:rsidR="00A82D50" w:rsidRPr="001428E9" w14:paraId="362B280A"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483E0EDA"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0FCC92DF"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Clinical criteria:</w:t>
            </w:r>
          </w:p>
        </w:tc>
      </w:tr>
      <w:tr w:rsidR="00A82D50" w:rsidRPr="001428E9" w14:paraId="43E3CCD3"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30ABD5DC"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4B3824AD" w14:textId="1EE901DD" w:rsidR="003E419E" w:rsidRPr="00EA064B" w:rsidRDefault="003E419E">
            <w:pPr>
              <w:rPr>
                <w:rFonts w:ascii="Arial Narrow" w:hAnsi="Arial Narrow"/>
                <w:sz w:val="20"/>
                <w:szCs w:val="20"/>
              </w:rPr>
            </w:pPr>
            <w:r>
              <w:rPr>
                <w:rFonts w:ascii="Arial Narrow" w:hAnsi="Arial Narrow"/>
                <w:sz w:val="20"/>
                <w:szCs w:val="20"/>
              </w:rPr>
              <w:t xml:space="preserve">The treatment must be </w:t>
            </w:r>
            <w:r w:rsidR="007B1D92">
              <w:rPr>
                <w:rFonts w:ascii="Arial Narrow" w:hAnsi="Arial Narrow"/>
                <w:sz w:val="20"/>
                <w:szCs w:val="20"/>
              </w:rPr>
              <w:t>sole PBS</w:t>
            </w:r>
            <w:r w:rsidR="00675F55">
              <w:rPr>
                <w:rFonts w:ascii="Arial Narrow" w:hAnsi="Arial Narrow"/>
                <w:sz w:val="20"/>
                <w:szCs w:val="20"/>
              </w:rPr>
              <w:noBreakHyphen/>
            </w:r>
            <w:r w:rsidR="007B1D92">
              <w:rPr>
                <w:rFonts w:ascii="Arial Narrow" w:hAnsi="Arial Narrow"/>
                <w:sz w:val="20"/>
                <w:szCs w:val="20"/>
              </w:rPr>
              <w:t>subsidised systemic anti</w:t>
            </w:r>
            <w:r w:rsidR="00675F55">
              <w:rPr>
                <w:rFonts w:ascii="Arial Narrow" w:hAnsi="Arial Narrow"/>
                <w:sz w:val="20"/>
                <w:szCs w:val="20"/>
              </w:rPr>
              <w:noBreakHyphen/>
            </w:r>
            <w:r w:rsidR="007B1D92">
              <w:rPr>
                <w:rFonts w:ascii="Arial Narrow" w:hAnsi="Arial Narrow"/>
                <w:sz w:val="20"/>
                <w:szCs w:val="20"/>
              </w:rPr>
              <w:t xml:space="preserve">cancer </w:t>
            </w:r>
            <w:r w:rsidR="00E92EDB">
              <w:rPr>
                <w:rFonts w:ascii="Arial Narrow" w:hAnsi="Arial Narrow"/>
                <w:sz w:val="20"/>
                <w:szCs w:val="20"/>
              </w:rPr>
              <w:t>therapy</w:t>
            </w:r>
            <w:r w:rsidR="007B1D92">
              <w:rPr>
                <w:rFonts w:ascii="Arial Narrow" w:hAnsi="Arial Narrow"/>
                <w:sz w:val="20"/>
                <w:szCs w:val="20"/>
              </w:rPr>
              <w:t xml:space="preserve"> </w:t>
            </w:r>
            <w:r w:rsidR="0045499E">
              <w:rPr>
                <w:rFonts w:ascii="Arial Narrow" w:hAnsi="Arial Narrow"/>
                <w:sz w:val="20"/>
                <w:szCs w:val="20"/>
              </w:rPr>
              <w:t>from cycle</w:t>
            </w:r>
            <w:r w:rsidR="00674FB9">
              <w:rPr>
                <w:rFonts w:ascii="Arial Narrow" w:hAnsi="Arial Narrow"/>
                <w:sz w:val="20"/>
                <w:szCs w:val="20"/>
              </w:rPr>
              <w:t>s</w:t>
            </w:r>
            <w:r w:rsidR="0045499E">
              <w:rPr>
                <w:rFonts w:ascii="Arial Narrow" w:hAnsi="Arial Narrow"/>
                <w:sz w:val="20"/>
                <w:szCs w:val="20"/>
              </w:rPr>
              <w:t xml:space="preserve"> 3</w:t>
            </w:r>
            <w:r w:rsidR="00675F55">
              <w:rPr>
                <w:rFonts w:ascii="Arial Narrow" w:hAnsi="Arial Narrow"/>
                <w:sz w:val="20"/>
                <w:szCs w:val="20"/>
              </w:rPr>
              <w:noBreakHyphen/>
            </w:r>
            <w:r w:rsidR="0045499E">
              <w:rPr>
                <w:rFonts w:ascii="Arial Narrow" w:hAnsi="Arial Narrow"/>
                <w:sz w:val="20"/>
                <w:szCs w:val="20"/>
              </w:rPr>
              <w:t xml:space="preserve">12 of </w:t>
            </w:r>
            <w:r w:rsidR="00E92EDB">
              <w:rPr>
                <w:rFonts w:ascii="Arial Narrow" w:hAnsi="Arial Narrow"/>
                <w:sz w:val="20"/>
                <w:szCs w:val="20"/>
              </w:rPr>
              <w:t>adjuvant treatment</w:t>
            </w:r>
            <w:r w:rsidR="007B1D92">
              <w:rPr>
                <w:rFonts w:ascii="Arial Narrow" w:hAnsi="Arial Narrow"/>
                <w:sz w:val="20"/>
                <w:szCs w:val="20"/>
              </w:rPr>
              <w:t xml:space="preserve"> </w:t>
            </w:r>
          </w:p>
        </w:tc>
      </w:tr>
      <w:tr w:rsidR="00A82D50" w:rsidRPr="001428E9" w14:paraId="3DEE1F63"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5211BAE3"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0D3B7B19"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AND</w:t>
            </w:r>
          </w:p>
        </w:tc>
      </w:tr>
      <w:tr w:rsidR="00A82D50" w:rsidRPr="001428E9" w14:paraId="13438584"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7336E05E"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1B4A7A53"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Clinical criteria:</w:t>
            </w:r>
          </w:p>
        </w:tc>
      </w:tr>
      <w:tr w:rsidR="00A82D50" w:rsidRPr="001428E9" w14:paraId="2549BABC"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2065D7BF"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7E12761A" w14:textId="77777777" w:rsidR="00A82D50" w:rsidRPr="00A44782" w:rsidRDefault="00A82D50">
            <w:pPr>
              <w:rPr>
                <w:rFonts w:ascii="Arial Narrow" w:hAnsi="Arial Narrow"/>
                <w:b/>
                <w:bCs/>
                <w:sz w:val="20"/>
                <w:szCs w:val="20"/>
              </w:rPr>
            </w:pPr>
            <w:r w:rsidRPr="00410B9B">
              <w:rPr>
                <w:rFonts w:ascii="Arial Narrow" w:hAnsi="Arial Narrow"/>
                <w:sz w:val="20"/>
                <w:szCs w:val="20"/>
              </w:rPr>
              <w:t>Patient must not have developed disease progression while being treated with this drug for this condition</w:t>
            </w:r>
          </w:p>
        </w:tc>
      </w:tr>
      <w:tr w:rsidR="00A82D50" w:rsidRPr="001428E9" w14:paraId="32D075B7"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188D785E"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064F7F3A" w14:textId="77777777" w:rsidR="00A82D50" w:rsidRPr="00A44782" w:rsidRDefault="00A82D50">
            <w:pPr>
              <w:rPr>
                <w:rFonts w:ascii="Arial Narrow" w:hAnsi="Arial Narrow"/>
                <w:b/>
                <w:bCs/>
                <w:sz w:val="20"/>
                <w:szCs w:val="20"/>
              </w:rPr>
            </w:pPr>
            <w:r w:rsidRPr="001428E9">
              <w:rPr>
                <w:rFonts w:ascii="Arial Narrow" w:hAnsi="Arial Narrow"/>
                <w:b/>
                <w:bCs/>
                <w:color w:val="333333"/>
                <w:sz w:val="20"/>
                <w:szCs w:val="20"/>
              </w:rPr>
              <w:t>AND</w:t>
            </w:r>
          </w:p>
        </w:tc>
      </w:tr>
      <w:tr w:rsidR="00A82D50" w:rsidRPr="001428E9" w14:paraId="7596B113"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0240B651"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079EE3D2" w14:textId="77777777" w:rsidR="00A82D50" w:rsidRPr="00A44782" w:rsidRDefault="00A82D50">
            <w:pPr>
              <w:rPr>
                <w:rFonts w:ascii="Arial Narrow" w:hAnsi="Arial Narrow"/>
                <w:b/>
                <w:bCs/>
                <w:sz w:val="20"/>
                <w:szCs w:val="20"/>
              </w:rPr>
            </w:pPr>
            <w:r>
              <w:rPr>
                <w:rFonts w:ascii="Arial Narrow" w:hAnsi="Arial Narrow"/>
                <w:b/>
                <w:bCs/>
                <w:color w:val="333333"/>
                <w:sz w:val="20"/>
                <w:szCs w:val="20"/>
              </w:rPr>
              <w:t>Treatment</w:t>
            </w:r>
            <w:r w:rsidRPr="001428E9">
              <w:rPr>
                <w:rFonts w:ascii="Arial Narrow" w:hAnsi="Arial Narrow"/>
                <w:b/>
                <w:bCs/>
                <w:color w:val="333333"/>
                <w:sz w:val="20"/>
                <w:szCs w:val="20"/>
              </w:rPr>
              <w:t xml:space="preserve"> criteria:</w:t>
            </w:r>
          </w:p>
        </w:tc>
      </w:tr>
      <w:tr w:rsidR="00A82D50" w:rsidRPr="001428E9" w14:paraId="4F703B25"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3114292B" w14:textId="77777777" w:rsidR="00A82D50" w:rsidRPr="001428E9" w:rsidRDefault="00A82D50">
            <w:pPr>
              <w:jc w:val="center"/>
              <w:rPr>
                <w:rFonts w:ascii="Arial Narrow" w:hAnsi="Arial Narrow"/>
                <w:color w:val="333333"/>
                <w:sz w:val="20"/>
                <w:szCs w:val="20"/>
              </w:rPr>
            </w:pPr>
          </w:p>
        </w:tc>
        <w:tc>
          <w:tcPr>
            <w:tcW w:w="4293" w:type="pct"/>
            <w:gridSpan w:val="4"/>
            <w:vAlign w:val="center"/>
          </w:tcPr>
          <w:p w14:paraId="6D7C2A50" w14:textId="77777777" w:rsidR="00A82D50" w:rsidRPr="00A44782" w:rsidRDefault="00A82D50">
            <w:pPr>
              <w:rPr>
                <w:rFonts w:ascii="Arial Narrow" w:hAnsi="Arial Narrow"/>
                <w:b/>
                <w:bCs/>
                <w:sz w:val="20"/>
                <w:szCs w:val="20"/>
              </w:rPr>
            </w:pPr>
            <w:r w:rsidRPr="00C84F80">
              <w:rPr>
                <w:rFonts w:ascii="Arial Narrow" w:hAnsi="Arial Narrow"/>
                <w:sz w:val="20"/>
                <w:szCs w:val="20"/>
              </w:rPr>
              <w:t xml:space="preserve">Patient must be undergoing treatment that does not occur beyond the following, whichever comes first: (i) the first instance of disease progression/recurrence, (ii) maximum of 12 cycles </w:t>
            </w:r>
            <w:r w:rsidRPr="00D93D84">
              <w:rPr>
                <w:rFonts w:ascii="Arial Narrow" w:hAnsi="Arial Narrow"/>
                <w:sz w:val="20"/>
                <w:szCs w:val="20"/>
              </w:rPr>
              <w:t xml:space="preserve">of adjuvant treatment </w:t>
            </w:r>
            <w:r w:rsidRPr="00C84F80">
              <w:rPr>
                <w:rFonts w:ascii="Arial Narrow" w:hAnsi="Arial Narrow"/>
                <w:sz w:val="20"/>
                <w:szCs w:val="20"/>
              </w:rPr>
              <w:t>for this condition from the first administered dose following surgery, (iii) unacceptable toxicity; annotate any remaining repeat prescriptions with the word 'cancelled' where this occurs</w:t>
            </w:r>
          </w:p>
        </w:tc>
      </w:tr>
      <w:tr w:rsidR="008619B2" w:rsidRPr="008619B2" w14:paraId="34671BC9" w14:textId="77777777">
        <w:tblPrEx>
          <w:tblCellMar>
            <w:top w:w="15" w:type="dxa"/>
            <w:bottom w:w="15" w:type="dxa"/>
          </w:tblCellMar>
          <w:tblLook w:val="04A0" w:firstRow="1" w:lastRow="0" w:firstColumn="1" w:lastColumn="0" w:noHBand="0" w:noVBand="1"/>
        </w:tblPrEx>
        <w:trPr>
          <w:cantSplit/>
          <w:trHeight w:val="20"/>
        </w:trPr>
        <w:tc>
          <w:tcPr>
            <w:tcW w:w="707" w:type="pct"/>
            <w:gridSpan w:val="2"/>
            <w:vAlign w:val="center"/>
          </w:tcPr>
          <w:p w14:paraId="3E12AA64" w14:textId="77777777" w:rsidR="00A82D50" w:rsidRPr="008619B2" w:rsidRDefault="00A82D50">
            <w:pPr>
              <w:jc w:val="center"/>
              <w:rPr>
                <w:rFonts w:ascii="Arial Narrow" w:hAnsi="Arial Narrow"/>
                <w:sz w:val="20"/>
                <w:szCs w:val="20"/>
              </w:rPr>
            </w:pPr>
          </w:p>
        </w:tc>
        <w:tc>
          <w:tcPr>
            <w:tcW w:w="4293" w:type="pct"/>
            <w:gridSpan w:val="4"/>
            <w:vAlign w:val="center"/>
          </w:tcPr>
          <w:p w14:paraId="6D1F8BBA" w14:textId="77777777" w:rsidR="00A82D50" w:rsidRPr="008619B2" w:rsidRDefault="00A82D50">
            <w:pPr>
              <w:rPr>
                <w:rFonts w:ascii="Arial Narrow" w:hAnsi="Arial Narrow"/>
                <w:b/>
                <w:bCs/>
                <w:sz w:val="20"/>
                <w:szCs w:val="20"/>
              </w:rPr>
            </w:pPr>
            <w:r w:rsidRPr="008619B2">
              <w:rPr>
                <w:rFonts w:ascii="Arial Narrow" w:hAnsi="Arial Narrow"/>
                <w:b/>
                <w:bCs/>
                <w:sz w:val="20"/>
                <w:szCs w:val="20"/>
              </w:rPr>
              <w:t>Prescriber Instruction:</w:t>
            </w:r>
          </w:p>
          <w:p w14:paraId="6E4050C2" w14:textId="53584B6E" w:rsidR="00A82D50" w:rsidRPr="008619B2" w:rsidRDefault="00A82D50">
            <w:pPr>
              <w:rPr>
                <w:rFonts w:ascii="Arial Narrow" w:hAnsi="Arial Narrow"/>
                <w:b/>
                <w:bCs/>
                <w:sz w:val="20"/>
                <w:szCs w:val="20"/>
              </w:rPr>
            </w:pPr>
            <w:r w:rsidRPr="008619B2">
              <w:rPr>
                <w:rFonts w:ascii="Arial Narrow" w:hAnsi="Arial Narrow"/>
                <w:sz w:val="20"/>
                <w:szCs w:val="20"/>
              </w:rPr>
              <w:t>Where ‘FLOT’ is referenced in this restriction, it refers to the combination therapy of fluorouracil (5</w:t>
            </w:r>
            <w:r w:rsidR="00675F55">
              <w:rPr>
                <w:rFonts w:ascii="Arial Narrow" w:hAnsi="Arial Narrow"/>
                <w:sz w:val="20"/>
                <w:szCs w:val="20"/>
              </w:rPr>
              <w:noBreakHyphen/>
            </w:r>
            <w:r w:rsidRPr="008619B2">
              <w:rPr>
                <w:rFonts w:ascii="Arial Narrow" w:hAnsi="Arial Narrow"/>
                <w:sz w:val="20"/>
                <w:szCs w:val="20"/>
              </w:rPr>
              <w:t>FU) + leucovorin (folinic acid) + oxaliplatin + docetaxel.</w:t>
            </w:r>
          </w:p>
        </w:tc>
      </w:tr>
    </w:tbl>
    <w:p w14:paraId="161E1299" w14:textId="77777777" w:rsidR="00FF2DD2" w:rsidRDefault="00FF2DD2">
      <w:pPr>
        <w:jc w:val="left"/>
        <w:rPr>
          <w:rFonts w:asciiTheme="minorHAnsi" w:eastAsiaTheme="minorHAnsi" w:hAnsiTheme="minorHAnsi" w:cstheme="minorBidi"/>
          <w:i/>
          <w:szCs w:val="22"/>
        </w:rPr>
      </w:pPr>
    </w:p>
    <w:p w14:paraId="0268C896" w14:textId="77777777" w:rsidR="001F623B" w:rsidRDefault="001F623B" w:rsidP="001F623B">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542B6CB2" w14:textId="2FFC355A" w:rsidR="00B4235C" w:rsidRPr="00B4235C" w:rsidRDefault="00B4235C" w:rsidP="00B4235C">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9</w:t>
      </w:r>
      <w:r w:rsidRPr="00B4235C">
        <w:rPr>
          <w:rFonts w:asciiTheme="minorHAnsi" w:hAnsiTheme="minorHAnsi"/>
          <w:b/>
          <w:snapToGrid w:val="0"/>
          <w:sz w:val="32"/>
          <w:szCs w:val="32"/>
          <w:lang w:eastAsia="en-US"/>
        </w:rPr>
        <w:tab/>
        <w:t>Context for Decision</w:t>
      </w:r>
    </w:p>
    <w:p w14:paraId="20F5D4CA" w14:textId="77777777" w:rsidR="00B4235C" w:rsidRPr="00B4235C" w:rsidRDefault="00B4235C" w:rsidP="00B4235C">
      <w:pPr>
        <w:spacing w:after="120"/>
        <w:ind w:left="720"/>
        <w:rPr>
          <w:rFonts w:cs="Calibri"/>
          <w:bCs/>
          <w:szCs w:val="22"/>
          <w:lang w:val="en-GB"/>
        </w:rPr>
      </w:pPr>
      <w:r w:rsidRPr="00B4235C">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1F100FC" w14:textId="0647156D" w:rsidR="00B4235C" w:rsidRPr="00B4235C" w:rsidRDefault="00B4235C" w:rsidP="00B4235C">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10</w:t>
      </w:r>
      <w:r w:rsidRPr="00B4235C">
        <w:rPr>
          <w:rFonts w:asciiTheme="minorHAnsi" w:hAnsiTheme="minorHAnsi"/>
          <w:b/>
          <w:snapToGrid w:val="0"/>
          <w:sz w:val="32"/>
          <w:szCs w:val="32"/>
          <w:lang w:eastAsia="en-US"/>
        </w:rPr>
        <w:tab/>
        <w:t>Sponsor’s Comment</w:t>
      </w:r>
    </w:p>
    <w:p w14:paraId="6CED34AA" w14:textId="7BFE4197" w:rsidR="00B4235C" w:rsidRPr="00907671" w:rsidRDefault="00B4235C" w:rsidP="00B4235C">
      <w:pPr>
        <w:spacing w:before="120"/>
        <w:ind w:firstLine="720"/>
        <w:rPr>
          <w:rFonts w:asciiTheme="minorHAnsi" w:hAnsiTheme="minorHAnsi"/>
          <w:b/>
          <w:i/>
          <w:iCs/>
          <w:snapToGrid w:val="0"/>
          <w:lang w:val="en-GB"/>
        </w:rPr>
      </w:pPr>
      <w:r w:rsidRPr="00B4235C">
        <w:rPr>
          <w:rFonts w:cs="Calibri"/>
          <w:bCs/>
          <w:szCs w:val="22"/>
          <w:lang w:eastAsia="en-US"/>
        </w:rPr>
        <w:t>The sponsor had no comment.</w:t>
      </w:r>
    </w:p>
    <w:p w14:paraId="6C688FFD" w14:textId="77777777" w:rsidR="001F623B" w:rsidRDefault="001F623B" w:rsidP="00910BBE">
      <w:pPr>
        <w:tabs>
          <w:tab w:val="left" w:pos="1080"/>
        </w:tabs>
        <w:autoSpaceDE w:val="0"/>
        <w:autoSpaceDN w:val="0"/>
        <w:adjustRightInd w:val="0"/>
        <w:rPr>
          <w:rFonts w:asciiTheme="minorHAnsi" w:hAnsiTheme="minorHAnsi" w:cstheme="minorHAnsi"/>
        </w:rPr>
      </w:pPr>
    </w:p>
    <w:sectPr w:rsidR="001F623B" w:rsidSect="00AB31AD">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80D6" w14:textId="77777777" w:rsidR="00A1453B" w:rsidRDefault="00A1453B" w:rsidP="00124A51">
      <w:r>
        <w:separator/>
      </w:r>
    </w:p>
    <w:p w14:paraId="1A6F5E65" w14:textId="77777777" w:rsidR="00A1453B" w:rsidRDefault="00A1453B"/>
  </w:endnote>
  <w:endnote w:type="continuationSeparator" w:id="0">
    <w:p w14:paraId="367F391B" w14:textId="77777777" w:rsidR="00A1453B" w:rsidRDefault="00A1453B" w:rsidP="00124A51">
      <w:r>
        <w:continuationSeparator/>
      </w:r>
    </w:p>
    <w:p w14:paraId="49BE99D3" w14:textId="77777777" w:rsidR="00A1453B" w:rsidRDefault="00A1453B"/>
  </w:endnote>
  <w:endnote w:type="continuationNotice" w:id="1">
    <w:p w14:paraId="577BFA69" w14:textId="77777777" w:rsidR="00A1453B" w:rsidRDefault="00A14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A67D" w14:textId="3DF01FDF" w:rsidR="00B82573" w:rsidRDefault="0099789F">
    <w:pPr>
      <w:pStyle w:val="Footer"/>
    </w:pPr>
    <w:r>
      <w:rPr>
        <w:noProof/>
      </w:rPr>
      <mc:AlternateContent>
        <mc:Choice Requires="wps">
          <w:drawing>
            <wp:anchor distT="0" distB="0" distL="0" distR="0" simplePos="0" relativeHeight="251663365" behindDoc="0" locked="0" layoutInCell="1" allowOverlap="1" wp14:anchorId="40038621" wp14:editId="139FBB31">
              <wp:simplePos x="635" y="635"/>
              <wp:positionH relativeFrom="page">
                <wp:align>center</wp:align>
              </wp:positionH>
              <wp:positionV relativeFrom="page">
                <wp:align>bottom</wp:align>
              </wp:positionV>
              <wp:extent cx="622300" cy="376555"/>
              <wp:effectExtent l="0" t="0" r="6350" b="0"/>
              <wp:wrapNone/>
              <wp:docPr id="17598932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38A58D" w14:textId="3D33FE32"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38621"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938A58D" w14:textId="3D33FE32"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E094" w14:textId="4440F590" w:rsidR="008E501E" w:rsidRDefault="0099789F" w:rsidP="008E501E">
    <w:pPr>
      <w:pStyle w:val="PageFooter"/>
    </w:pPr>
    <w:r>
      <w:rPr>
        <w:noProof/>
      </w:rPr>
      <mc:AlternateContent>
        <mc:Choice Requires="wps">
          <w:drawing>
            <wp:anchor distT="0" distB="0" distL="0" distR="0" simplePos="0" relativeHeight="251664389" behindDoc="0" locked="0" layoutInCell="1" allowOverlap="1" wp14:anchorId="0B19639E" wp14:editId="743CC181">
              <wp:simplePos x="635" y="635"/>
              <wp:positionH relativeFrom="page">
                <wp:align>center</wp:align>
              </wp:positionH>
              <wp:positionV relativeFrom="page">
                <wp:align>bottom</wp:align>
              </wp:positionV>
              <wp:extent cx="622300" cy="376555"/>
              <wp:effectExtent l="0" t="0" r="6350" b="0"/>
              <wp:wrapNone/>
              <wp:docPr id="13202270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99EA56" w14:textId="61BFA022"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639E"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E99EA56" w14:textId="61BFA022"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v:textbox>
              <w10:wrap anchorx="page" anchory="page"/>
            </v:shape>
          </w:pict>
        </mc:Fallback>
      </mc:AlternateContent>
    </w:r>
  </w:p>
  <w:p w14:paraId="559010C5" w14:textId="116F924C" w:rsidR="008E501E" w:rsidRPr="00BE09CA" w:rsidRDefault="00A1453B" w:rsidP="008E501E">
    <w:pPr>
      <w:pStyle w:val="PageFooter"/>
      <w:rPr>
        <w:b w:val="0"/>
        <w:bCs/>
      </w:rPr>
    </w:pPr>
    <w:sdt>
      <w:sdtPr>
        <w:rPr>
          <w:b w:val="0"/>
          <w:bCs/>
        </w:rPr>
        <w:id w:val="1036156457"/>
        <w:docPartObj>
          <w:docPartGallery w:val="Page Numbers (Bottom of Page)"/>
          <w:docPartUnique/>
        </w:docPartObj>
      </w:sdtPr>
      <w:sdtEndPr>
        <w:rPr>
          <w:noProof/>
        </w:rPr>
      </w:sdtEndPr>
      <w:sdtContent>
        <w:r w:rsidR="008E501E" w:rsidRPr="00BE09CA">
          <w:rPr>
            <w:b w:val="0"/>
            <w:bCs/>
          </w:rPr>
          <w:fldChar w:fldCharType="begin"/>
        </w:r>
        <w:r w:rsidR="008E501E" w:rsidRPr="00BE09CA">
          <w:rPr>
            <w:b w:val="0"/>
            <w:bCs/>
          </w:rPr>
          <w:instrText xml:space="preserve"> PAGE   \* MERGEFORMAT </w:instrText>
        </w:r>
        <w:r w:rsidR="008E501E" w:rsidRPr="00BE09CA">
          <w:rPr>
            <w:b w:val="0"/>
            <w:bCs/>
          </w:rPr>
          <w:fldChar w:fldCharType="separate"/>
        </w:r>
        <w:r w:rsidR="008E501E" w:rsidRPr="00BE09CA">
          <w:rPr>
            <w:b w:val="0"/>
            <w:bCs/>
          </w:rPr>
          <w:t>1</w:t>
        </w:r>
        <w:r w:rsidR="008E501E" w:rsidRPr="00BE09CA">
          <w:rPr>
            <w:b w:val="0"/>
            <w:bCs/>
            <w:noProof/>
          </w:rPr>
          <w:fldChar w:fldCharType="end"/>
        </w:r>
      </w:sdtContent>
    </w:sdt>
  </w:p>
  <w:p w14:paraId="220E1421" w14:textId="77777777" w:rsidR="00770DD6" w:rsidRDefault="00770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018D" w14:textId="1E347F90" w:rsidR="00ED4087" w:rsidRDefault="0099789F" w:rsidP="00695C7C">
    <w:pPr>
      <w:pStyle w:val="PageFooter"/>
    </w:pPr>
    <w:r>
      <w:rPr>
        <w:noProof/>
      </w:rPr>
      <mc:AlternateContent>
        <mc:Choice Requires="wps">
          <w:drawing>
            <wp:anchor distT="0" distB="0" distL="0" distR="0" simplePos="0" relativeHeight="251662341" behindDoc="0" locked="0" layoutInCell="1" allowOverlap="1" wp14:anchorId="5F0E829D" wp14:editId="5AC67F7E">
              <wp:simplePos x="635" y="635"/>
              <wp:positionH relativeFrom="page">
                <wp:align>center</wp:align>
              </wp:positionH>
              <wp:positionV relativeFrom="page">
                <wp:align>bottom</wp:align>
              </wp:positionV>
              <wp:extent cx="622300" cy="376555"/>
              <wp:effectExtent l="0" t="0" r="6350" b="0"/>
              <wp:wrapNone/>
              <wp:docPr id="9580964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2B10B5" w14:textId="0A2CC207"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E829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72B10B5" w14:textId="0A2CC207"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v:textbox>
              <w10:wrap anchorx="page" anchory="page"/>
            </v:shape>
          </w:pict>
        </mc:Fallback>
      </mc:AlternateContent>
    </w:r>
  </w:p>
  <w:p w14:paraId="6EB58311" w14:textId="77777777" w:rsidR="00ED4087" w:rsidRPr="00695C7C" w:rsidRDefault="00ED4087" w:rsidP="00695C7C">
    <w:pPr>
      <w:pStyle w:val="PageFooter"/>
    </w:pPr>
    <w:r>
      <w:t>6</w:t>
    </w:r>
    <w:r w:rsidRPr="009A7F10">
      <w:t>.</w:t>
    </w:r>
    <w:r>
      <w:t>05</w:t>
    </w:r>
    <w:r w:rsidRPr="009A7F10">
      <w:t>.COM.</w:t>
    </w:r>
    <w:sdt>
      <w:sdtPr>
        <w:id w:val="2833993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C8E6" w14:textId="77777777" w:rsidR="00A1453B" w:rsidRDefault="00A1453B" w:rsidP="00124A51">
      <w:r>
        <w:separator/>
      </w:r>
    </w:p>
    <w:p w14:paraId="010FEB16" w14:textId="77777777" w:rsidR="00A1453B" w:rsidRDefault="00A1453B"/>
  </w:footnote>
  <w:footnote w:type="continuationSeparator" w:id="0">
    <w:p w14:paraId="3B50ED0F" w14:textId="77777777" w:rsidR="00A1453B" w:rsidRDefault="00A1453B" w:rsidP="00124A51">
      <w:r>
        <w:continuationSeparator/>
      </w:r>
    </w:p>
    <w:p w14:paraId="2AA3374F" w14:textId="77777777" w:rsidR="00A1453B" w:rsidRDefault="00A1453B"/>
  </w:footnote>
  <w:footnote w:type="continuationNotice" w:id="1">
    <w:p w14:paraId="1FBB61A7" w14:textId="77777777" w:rsidR="00A1453B" w:rsidRDefault="00A1453B"/>
  </w:footnote>
  <w:footnote w:id="2">
    <w:p w14:paraId="5DE3BED2" w14:textId="39565D7C" w:rsidR="006474E7" w:rsidRPr="00781A02" w:rsidRDefault="006474E7">
      <w:pPr>
        <w:pStyle w:val="FootnoteText"/>
        <w:rPr>
          <w:rFonts w:ascii="Arial Narrow" w:hAnsi="Arial Narrow"/>
          <w:sz w:val="18"/>
          <w:szCs w:val="18"/>
          <w:lang w:val="en-US"/>
        </w:rPr>
      </w:pPr>
      <w:r w:rsidRPr="00781A02">
        <w:rPr>
          <w:rStyle w:val="FootnoteReference"/>
          <w:rFonts w:ascii="Arial Narrow" w:hAnsi="Arial Narrow"/>
          <w:sz w:val="18"/>
          <w:szCs w:val="18"/>
        </w:rPr>
        <w:footnoteRef/>
      </w:r>
      <w:r w:rsidRPr="00781A02">
        <w:rPr>
          <w:rFonts w:ascii="Arial Narrow" w:hAnsi="Arial Narrow"/>
          <w:sz w:val="18"/>
          <w:szCs w:val="18"/>
        </w:rPr>
        <w:t xml:space="preserve"> Abbas et al. (2021). Patterns of care and outcomes for gastric and gastro</w:t>
      </w:r>
      <w:r w:rsidR="00675F55">
        <w:rPr>
          <w:rFonts w:ascii="Arial Narrow" w:hAnsi="Arial Narrow"/>
          <w:sz w:val="18"/>
          <w:szCs w:val="18"/>
        </w:rPr>
        <w:noBreakHyphen/>
      </w:r>
      <w:r w:rsidRPr="00781A02">
        <w:rPr>
          <w:rFonts w:ascii="Arial Narrow" w:hAnsi="Arial Narrow"/>
          <w:sz w:val="18"/>
          <w:szCs w:val="18"/>
        </w:rPr>
        <w:t>oesophageal junction cancer in an Australian population. ANZ J Surg. Dec;91(12):2675</w:t>
      </w:r>
      <w:r w:rsidR="00675F55">
        <w:rPr>
          <w:rFonts w:ascii="Arial Narrow" w:hAnsi="Arial Narrow"/>
          <w:sz w:val="18"/>
          <w:szCs w:val="18"/>
        </w:rPr>
        <w:noBreakHyphen/>
      </w:r>
      <w:r w:rsidRPr="00781A02">
        <w:rPr>
          <w:rFonts w:ascii="Arial Narrow" w:hAnsi="Arial Narrow"/>
          <w:sz w:val="18"/>
          <w:szCs w:val="18"/>
        </w:rPr>
        <w:t>2682.</w:t>
      </w:r>
    </w:p>
  </w:footnote>
  <w:footnote w:id="3">
    <w:p w14:paraId="56B4FB87" w14:textId="6A7B6A53" w:rsidR="006474E7" w:rsidRPr="00925174" w:rsidRDefault="006474E7">
      <w:pPr>
        <w:pStyle w:val="FootnoteText"/>
        <w:rPr>
          <w:sz w:val="16"/>
          <w:szCs w:val="16"/>
          <w:lang w:val="en-US"/>
        </w:rPr>
      </w:pPr>
      <w:r w:rsidRPr="00781A02">
        <w:rPr>
          <w:rStyle w:val="FootnoteReference"/>
          <w:rFonts w:ascii="Arial Narrow" w:hAnsi="Arial Narrow"/>
          <w:sz w:val="18"/>
          <w:szCs w:val="18"/>
        </w:rPr>
        <w:footnoteRef/>
      </w:r>
      <w:r w:rsidRPr="00781A02">
        <w:rPr>
          <w:rFonts w:ascii="Arial Narrow" w:hAnsi="Arial Narrow"/>
          <w:sz w:val="18"/>
          <w:szCs w:val="18"/>
        </w:rPr>
        <w:t xml:space="preserve"> Arnold et al. (2022). International variation in oesophageal and gastric cancer survival 2012</w:t>
      </w:r>
      <w:r w:rsidR="00675F55">
        <w:rPr>
          <w:rFonts w:ascii="Arial Narrow" w:hAnsi="Arial Narrow"/>
          <w:sz w:val="18"/>
          <w:szCs w:val="18"/>
        </w:rPr>
        <w:noBreakHyphen/>
      </w:r>
      <w:r w:rsidRPr="00781A02">
        <w:rPr>
          <w:rFonts w:ascii="Arial Narrow" w:hAnsi="Arial Narrow"/>
          <w:sz w:val="18"/>
          <w:szCs w:val="18"/>
        </w:rPr>
        <w:t>2014: differences by histological subtype and stage at diagnosis (an ICBP SURVMARK</w:t>
      </w:r>
      <w:r w:rsidR="00675F55">
        <w:rPr>
          <w:rFonts w:ascii="Arial Narrow" w:hAnsi="Arial Narrow"/>
          <w:sz w:val="18"/>
          <w:szCs w:val="18"/>
        </w:rPr>
        <w:noBreakHyphen/>
      </w:r>
      <w:r w:rsidRPr="00781A02">
        <w:rPr>
          <w:rFonts w:ascii="Arial Narrow" w:hAnsi="Arial Narrow"/>
          <w:sz w:val="18"/>
          <w:szCs w:val="18"/>
        </w:rPr>
        <w:t>2 population</w:t>
      </w:r>
      <w:r w:rsidR="00675F55">
        <w:rPr>
          <w:rFonts w:ascii="Arial Narrow" w:hAnsi="Arial Narrow"/>
          <w:sz w:val="18"/>
          <w:szCs w:val="18"/>
        </w:rPr>
        <w:noBreakHyphen/>
      </w:r>
      <w:r w:rsidRPr="00781A02">
        <w:rPr>
          <w:rFonts w:ascii="Arial Narrow" w:hAnsi="Arial Narrow"/>
          <w:sz w:val="18"/>
          <w:szCs w:val="18"/>
        </w:rPr>
        <w:t>based study). Gut. Aug;71(8):1532</w:t>
      </w:r>
      <w:r w:rsidR="00675F55">
        <w:rPr>
          <w:rFonts w:ascii="Arial Narrow" w:hAnsi="Arial Narrow"/>
          <w:sz w:val="18"/>
          <w:szCs w:val="18"/>
        </w:rPr>
        <w:noBreakHyphen/>
      </w:r>
      <w:r w:rsidRPr="00781A02">
        <w:rPr>
          <w:rFonts w:ascii="Arial Narrow" w:hAnsi="Arial Narrow"/>
          <w:sz w:val="18"/>
          <w:szCs w:val="18"/>
        </w:rPr>
        <w:t>1543.</w:t>
      </w:r>
    </w:p>
  </w:footnote>
  <w:footnote w:id="4">
    <w:p w14:paraId="1A8892A8" w14:textId="037BC42C" w:rsidR="00DB3E9E" w:rsidRPr="00781A02" w:rsidRDefault="00DB3E9E">
      <w:pPr>
        <w:pStyle w:val="FootnoteText"/>
        <w:rPr>
          <w:rFonts w:ascii="Arial Narrow" w:hAnsi="Arial Narrow"/>
          <w:sz w:val="18"/>
          <w:szCs w:val="18"/>
          <w:lang w:val="en-US"/>
        </w:rPr>
      </w:pPr>
      <w:r w:rsidRPr="00781A02">
        <w:rPr>
          <w:rStyle w:val="FootnoteReference"/>
          <w:rFonts w:ascii="Arial Narrow" w:hAnsi="Arial Narrow"/>
          <w:sz w:val="18"/>
          <w:szCs w:val="18"/>
        </w:rPr>
        <w:footnoteRef/>
      </w:r>
      <w:r w:rsidRPr="00781A02">
        <w:rPr>
          <w:rFonts w:ascii="Arial Narrow" w:hAnsi="Arial Narrow"/>
          <w:sz w:val="18"/>
          <w:szCs w:val="18"/>
        </w:rPr>
        <w:t xml:space="preserve"> Obermannová et al. (2025). ESMO Clinical Practice Guideline interim update on the treatment of locally advanced oesophageal and oesophagogastric junction adenocarcinoma and metastatic squamous</w:t>
      </w:r>
      <w:r w:rsidR="00675F55">
        <w:rPr>
          <w:rFonts w:ascii="Arial Narrow" w:hAnsi="Arial Narrow"/>
          <w:sz w:val="18"/>
          <w:szCs w:val="18"/>
        </w:rPr>
        <w:noBreakHyphen/>
      </w:r>
      <w:r w:rsidRPr="00781A02">
        <w:rPr>
          <w:rFonts w:ascii="Arial Narrow" w:hAnsi="Arial Narrow"/>
          <w:sz w:val="18"/>
          <w:szCs w:val="18"/>
        </w:rPr>
        <w:t>cell carcinoma. ESMO Open. Feb;10(2):104134.</w:t>
      </w:r>
    </w:p>
  </w:footnote>
  <w:footnote w:id="5">
    <w:p w14:paraId="5AE92E71" w14:textId="69F079A0" w:rsidR="00D55DCD" w:rsidRPr="00E377F5" w:rsidRDefault="00D55DCD">
      <w:pPr>
        <w:pStyle w:val="FootnoteText"/>
      </w:pPr>
      <w:r w:rsidRPr="00E377F5">
        <w:rPr>
          <w:rStyle w:val="FootnoteReference"/>
        </w:rPr>
        <w:footnoteRef/>
      </w:r>
      <w:r w:rsidRPr="00E377F5">
        <w:t xml:space="preserve"> </w:t>
      </w:r>
      <w:r w:rsidR="00C864B1" w:rsidRPr="00E377F5">
        <w:rPr>
          <w:rFonts w:ascii="Arial Narrow" w:hAnsi="Arial Narrow"/>
          <w:sz w:val="18"/>
          <w:szCs w:val="18"/>
        </w:rPr>
        <w:t>Al</w:t>
      </w:r>
      <w:r w:rsidR="00675F55">
        <w:rPr>
          <w:rFonts w:ascii="Arial Narrow" w:hAnsi="Arial Narrow"/>
          <w:sz w:val="18"/>
          <w:szCs w:val="18"/>
        </w:rPr>
        <w:noBreakHyphen/>
      </w:r>
      <w:r w:rsidR="00C864B1" w:rsidRPr="00E377F5">
        <w:rPr>
          <w:rFonts w:ascii="Arial Narrow" w:hAnsi="Arial Narrow"/>
          <w:sz w:val="18"/>
          <w:szCs w:val="18"/>
        </w:rPr>
        <w:t>Batran SE, Homann N, Pauligk C, et al. Perioperative chemotherapy with fluorouracil plus leucovorin, oxaliplatin, and docetaxel versus</w:t>
      </w:r>
      <w:r w:rsidR="005D480B" w:rsidRPr="00E377F5">
        <w:rPr>
          <w:rFonts w:ascii="Arial Narrow" w:hAnsi="Arial Narrow"/>
          <w:sz w:val="18"/>
          <w:szCs w:val="18"/>
        </w:rPr>
        <w:t xml:space="preserve"> </w:t>
      </w:r>
      <w:r w:rsidR="00C864B1" w:rsidRPr="00E377F5">
        <w:rPr>
          <w:rFonts w:ascii="Arial Narrow" w:hAnsi="Arial Narrow"/>
          <w:sz w:val="18"/>
          <w:szCs w:val="18"/>
        </w:rPr>
        <w:t>fluorouracil or capecitabine plus cisplatin and epirubicin for locally</w:t>
      </w:r>
      <w:r w:rsidR="00925D06" w:rsidRPr="00E377F5">
        <w:rPr>
          <w:rFonts w:ascii="Arial Narrow" w:hAnsi="Arial Narrow"/>
          <w:sz w:val="18"/>
          <w:szCs w:val="18"/>
        </w:rPr>
        <w:t xml:space="preserve"> </w:t>
      </w:r>
      <w:r w:rsidR="005D480B" w:rsidRPr="00E377F5">
        <w:rPr>
          <w:rFonts w:ascii="Arial Narrow" w:hAnsi="Arial Narrow"/>
          <w:sz w:val="18"/>
          <w:szCs w:val="18"/>
        </w:rPr>
        <w:t>advanced, resectable gastric or gastro</w:t>
      </w:r>
      <w:r w:rsidR="00675F55">
        <w:rPr>
          <w:rFonts w:ascii="Arial Narrow" w:hAnsi="Arial Narrow"/>
          <w:sz w:val="18"/>
          <w:szCs w:val="18"/>
        </w:rPr>
        <w:noBreakHyphen/>
      </w:r>
      <w:r w:rsidR="005D480B" w:rsidRPr="00E377F5">
        <w:rPr>
          <w:rFonts w:ascii="Arial Narrow" w:hAnsi="Arial Narrow"/>
          <w:sz w:val="18"/>
          <w:szCs w:val="18"/>
        </w:rPr>
        <w:t>oesophageal junction adeno</w:t>
      </w:r>
      <w:r w:rsidR="00675F55">
        <w:rPr>
          <w:rFonts w:ascii="Arial Narrow" w:hAnsi="Arial Narrow"/>
          <w:sz w:val="18"/>
          <w:szCs w:val="18"/>
        </w:rPr>
        <w:noBreakHyphen/>
      </w:r>
      <w:r w:rsidR="005D480B" w:rsidRPr="00E377F5">
        <w:rPr>
          <w:rFonts w:ascii="Arial Narrow" w:hAnsi="Arial Narrow"/>
          <w:sz w:val="18"/>
          <w:szCs w:val="18"/>
        </w:rPr>
        <w:t>carcinoma (FLOT4): a randomised, phase 2/3 trial. Lancet. 2019;393:1948</w:t>
      </w:r>
      <w:r w:rsidR="00675F55">
        <w:rPr>
          <w:rFonts w:ascii="Arial Narrow" w:hAnsi="Arial Narrow"/>
          <w:sz w:val="18"/>
          <w:szCs w:val="18"/>
        </w:rPr>
        <w:noBreakHyphen/>
      </w:r>
      <w:r w:rsidR="005D480B" w:rsidRPr="00E377F5">
        <w:rPr>
          <w:rFonts w:ascii="Arial Narrow" w:hAnsi="Arial Narrow"/>
          <w:sz w:val="18"/>
          <w:szCs w:val="18"/>
        </w:rPr>
        <w:t>1957</w:t>
      </w:r>
    </w:p>
  </w:footnote>
  <w:footnote w:id="6">
    <w:p w14:paraId="60BDDB32" w14:textId="0535CB7C" w:rsidR="00B75EF6" w:rsidRPr="002B07B9" w:rsidRDefault="00B75EF6" w:rsidP="00D47FC0">
      <w:pPr>
        <w:rPr>
          <w:rFonts w:ascii="Arial Narrow" w:eastAsiaTheme="minorHAnsi" w:hAnsi="Arial Narrow"/>
          <w:sz w:val="18"/>
          <w:szCs w:val="18"/>
          <w:lang w:eastAsia="en-US"/>
        </w:rPr>
      </w:pPr>
      <w:r w:rsidRPr="002B07B9">
        <w:rPr>
          <w:rStyle w:val="FootnoteReference"/>
          <w:rFonts w:ascii="Arial Narrow" w:hAnsi="Arial Narrow"/>
          <w:sz w:val="18"/>
          <w:szCs w:val="18"/>
        </w:rPr>
        <w:footnoteRef/>
      </w:r>
      <w:r w:rsidR="00356A5B" w:rsidRPr="002B07B9">
        <w:rPr>
          <w:rFonts w:ascii="Arial Narrow" w:eastAsiaTheme="minorHAnsi" w:hAnsi="Arial Narrow"/>
          <w:sz w:val="18"/>
          <w:szCs w:val="18"/>
          <w:lang w:eastAsia="en-US"/>
        </w:rPr>
        <w:t>Arnold, M, Morgan, E, Bardot, A, Rutherford, MJ, Ferlay, J, Little, A, Møller, B, Bucher, O, De, P, Woods, RR, Saint</w:t>
      </w:r>
      <w:r w:rsidR="00675F55">
        <w:rPr>
          <w:rFonts w:ascii="Arial Narrow" w:eastAsiaTheme="minorHAnsi" w:hAnsi="Arial Narrow"/>
          <w:sz w:val="18"/>
          <w:szCs w:val="18"/>
          <w:lang w:eastAsia="en-US"/>
        </w:rPr>
        <w:noBreakHyphen/>
      </w:r>
      <w:r w:rsidR="00356A5B" w:rsidRPr="002B07B9">
        <w:rPr>
          <w:rFonts w:ascii="Arial Narrow" w:eastAsiaTheme="minorHAnsi" w:hAnsi="Arial Narrow"/>
          <w:sz w:val="18"/>
          <w:szCs w:val="18"/>
          <w:lang w:eastAsia="en-US"/>
        </w:rPr>
        <w:t>Jacques, N, Gavin, AT, Engholm, G, Achiam, MP, Porter, G, Walsh, PM, Vernon, S, Kozie, S, Ramanakumar, AV, Lynch, C, Harrison, S, Merrett, N, O’Connell, DL, Mala, T, Elwood, M, Zalcberg, J, Huws, DW, Ransom, D, Bray, F &amp; Soerjomataram, I 2022, 'International variation in oesophageal and gastric cancer survival 2012–2014: differences by histological subtype and stage at diagnosis (an ICBP SURVMARK</w:t>
      </w:r>
      <w:r w:rsidR="00675F55">
        <w:rPr>
          <w:rFonts w:ascii="Arial Narrow" w:eastAsiaTheme="minorHAnsi" w:hAnsi="Arial Narrow"/>
          <w:sz w:val="18"/>
          <w:szCs w:val="18"/>
          <w:lang w:eastAsia="en-US"/>
        </w:rPr>
        <w:noBreakHyphen/>
      </w:r>
      <w:r w:rsidR="00356A5B" w:rsidRPr="002B07B9">
        <w:rPr>
          <w:rFonts w:ascii="Arial Narrow" w:eastAsiaTheme="minorHAnsi" w:hAnsi="Arial Narrow"/>
          <w:sz w:val="18"/>
          <w:szCs w:val="18"/>
          <w:lang w:eastAsia="en-US"/>
        </w:rPr>
        <w:t>2 population</w:t>
      </w:r>
      <w:r w:rsidR="00675F55">
        <w:rPr>
          <w:rFonts w:ascii="Arial Narrow" w:eastAsiaTheme="minorHAnsi" w:hAnsi="Arial Narrow"/>
          <w:sz w:val="18"/>
          <w:szCs w:val="18"/>
          <w:lang w:eastAsia="en-US"/>
        </w:rPr>
        <w:noBreakHyphen/>
      </w:r>
      <w:r w:rsidR="00356A5B" w:rsidRPr="002B07B9">
        <w:rPr>
          <w:rFonts w:ascii="Arial Narrow" w:eastAsiaTheme="minorHAnsi" w:hAnsi="Arial Narrow"/>
          <w:sz w:val="18"/>
          <w:szCs w:val="18"/>
          <w:lang w:eastAsia="en-US"/>
        </w:rPr>
        <w:t>based study)', Gut, vol. 71, no. 8, pp. 1532</w:t>
      </w:r>
      <w:r w:rsidR="00675F55">
        <w:rPr>
          <w:rFonts w:ascii="Arial Narrow" w:eastAsiaTheme="minorHAnsi" w:hAnsi="Arial Narrow"/>
          <w:sz w:val="18"/>
          <w:szCs w:val="18"/>
          <w:lang w:eastAsia="en-US"/>
        </w:rPr>
        <w:noBreakHyphen/>
      </w:r>
      <w:r w:rsidR="00356A5B" w:rsidRPr="002B07B9">
        <w:rPr>
          <w:rFonts w:ascii="Arial Narrow" w:eastAsiaTheme="minorHAnsi" w:hAnsi="Arial Narrow"/>
          <w:sz w:val="18"/>
          <w:szCs w:val="18"/>
          <w:lang w:eastAsia="en-US"/>
        </w:rPr>
        <w:t>43.</w:t>
      </w:r>
    </w:p>
  </w:footnote>
  <w:footnote w:id="7">
    <w:p w14:paraId="3BBAAEA8" w14:textId="13E4E7AC" w:rsidR="00387B8D" w:rsidRPr="004136A0" w:rsidRDefault="00387B8D">
      <w:pPr>
        <w:pStyle w:val="FootnoteText"/>
        <w:rPr>
          <w:rFonts w:cs="Arial"/>
          <w:sz w:val="16"/>
          <w:szCs w:val="16"/>
          <w:lang w:val="en-US"/>
        </w:rPr>
      </w:pPr>
      <w:r w:rsidRPr="002B07B9">
        <w:rPr>
          <w:rStyle w:val="FootnoteReference"/>
          <w:rFonts w:ascii="Arial Narrow" w:hAnsi="Arial Narrow" w:cs="Arial"/>
          <w:sz w:val="18"/>
          <w:szCs w:val="18"/>
        </w:rPr>
        <w:footnoteRef/>
      </w:r>
      <w:r w:rsidRPr="002B07B9">
        <w:rPr>
          <w:rFonts w:ascii="Arial Narrow" w:hAnsi="Arial Narrow" w:cs="Arial"/>
          <w:sz w:val="18"/>
          <w:szCs w:val="18"/>
        </w:rPr>
        <w:t xml:space="preserve"> </w:t>
      </w:r>
      <w:r w:rsidRPr="002B07B9">
        <w:rPr>
          <w:rFonts w:ascii="Arial Narrow" w:hAnsi="Arial Narrow" w:cs="Arial"/>
          <w:sz w:val="18"/>
          <w:szCs w:val="18"/>
          <w:lang w:val="en-US"/>
        </w:rPr>
        <w:t>Abbas, MN, Bright, T, Price, T, Karapetis, C, Thompson, S, Connell, C, Watson, D, Barnes, M, Bull, J, Singhal, N &amp; Roy, A 2021, 'Patterns of care and outcomes for gastric and gastro</w:t>
      </w:r>
      <w:r w:rsidR="00675F55">
        <w:rPr>
          <w:rFonts w:ascii="Arial Narrow" w:hAnsi="Arial Narrow" w:cs="Arial"/>
          <w:sz w:val="18"/>
          <w:szCs w:val="18"/>
          <w:lang w:val="en-US"/>
        </w:rPr>
        <w:noBreakHyphen/>
      </w:r>
      <w:r w:rsidRPr="002B07B9">
        <w:rPr>
          <w:rFonts w:ascii="Arial Narrow" w:hAnsi="Arial Narrow" w:cs="Arial"/>
          <w:sz w:val="18"/>
          <w:szCs w:val="18"/>
          <w:lang w:val="en-US"/>
        </w:rPr>
        <w:t xml:space="preserve">oesophageal junction cancer in an Australian population', </w:t>
      </w:r>
      <w:r w:rsidRPr="002B07B9">
        <w:rPr>
          <w:rFonts w:ascii="Arial Narrow" w:hAnsi="Arial Narrow" w:cs="Arial"/>
          <w:i/>
          <w:sz w:val="18"/>
          <w:szCs w:val="18"/>
          <w:lang w:val="en-US"/>
        </w:rPr>
        <w:t>ANZ J Surg</w:t>
      </w:r>
      <w:r w:rsidRPr="002B07B9">
        <w:rPr>
          <w:rFonts w:ascii="Arial Narrow" w:hAnsi="Arial Narrow" w:cs="Arial"/>
          <w:sz w:val="18"/>
          <w:szCs w:val="18"/>
          <w:lang w:val="en-US"/>
        </w:rPr>
        <w:t>, vol. 91, no. 12, pp. 2675</w:t>
      </w:r>
      <w:r w:rsidR="00675F55">
        <w:rPr>
          <w:rFonts w:ascii="Arial Narrow" w:hAnsi="Arial Narrow" w:cs="Arial"/>
          <w:sz w:val="18"/>
          <w:szCs w:val="18"/>
          <w:lang w:val="en-US"/>
        </w:rPr>
        <w:noBreakHyphen/>
      </w:r>
      <w:r w:rsidRPr="002B07B9">
        <w:rPr>
          <w:rFonts w:ascii="Arial Narrow" w:hAnsi="Arial Narrow" w:cs="Arial"/>
          <w:sz w:val="18"/>
          <w:szCs w:val="18"/>
          <w:lang w:val="en-US"/>
        </w:rPr>
        <w:t>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2BB" w14:textId="32652EC8" w:rsidR="00B82573" w:rsidRDefault="0099789F">
    <w:pPr>
      <w:pStyle w:val="Header"/>
    </w:pPr>
    <w:r>
      <w:rPr>
        <w:noProof/>
      </w:rPr>
      <mc:AlternateContent>
        <mc:Choice Requires="wps">
          <w:drawing>
            <wp:anchor distT="0" distB="0" distL="0" distR="0" simplePos="0" relativeHeight="251660293" behindDoc="0" locked="0" layoutInCell="1" allowOverlap="1" wp14:anchorId="6EC08AD1" wp14:editId="37F5A273">
              <wp:simplePos x="635" y="635"/>
              <wp:positionH relativeFrom="page">
                <wp:align>center</wp:align>
              </wp:positionH>
              <wp:positionV relativeFrom="page">
                <wp:align>top</wp:align>
              </wp:positionV>
              <wp:extent cx="622300" cy="376555"/>
              <wp:effectExtent l="0" t="0" r="6350" b="4445"/>
              <wp:wrapNone/>
              <wp:docPr id="4874961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0D4E47" w14:textId="4580B450"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8AD1"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C0D4E47" w14:textId="4580B450"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C103" w14:textId="7B163CBF" w:rsidR="00770DD6" w:rsidRPr="00B94414" w:rsidRDefault="0099789F" w:rsidP="00770DD6">
    <w:pPr>
      <w:pStyle w:val="Header"/>
    </w:pPr>
    <w:r>
      <w:rPr>
        <w:noProof/>
      </w:rPr>
      <mc:AlternateContent>
        <mc:Choice Requires="wps">
          <w:drawing>
            <wp:anchor distT="0" distB="0" distL="0" distR="0" simplePos="0" relativeHeight="251661317" behindDoc="0" locked="0" layoutInCell="1" allowOverlap="1" wp14:anchorId="7E08E33E" wp14:editId="29234B2F">
              <wp:simplePos x="635" y="635"/>
              <wp:positionH relativeFrom="page">
                <wp:align>center</wp:align>
              </wp:positionH>
              <wp:positionV relativeFrom="page">
                <wp:align>top</wp:align>
              </wp:positionV>
              <wp:extent cx="622300" cy="376555"/>
              <wp:effectExtent l="0" t="0" r="6350" b="4445"/>
              <wp:wrapNone/>
              <wp:docPr id="2023005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7B9D94" w14:textId="1E590AB0"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8E33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17B9D94" w14:textId="1E590AB0"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v:textbox>
              <w10:wrap anchorx="page" anchory="page"/>
            </v:shape>
          </w:pict>
        </mc:Fallback>
      </mc:AlternateContent>
    </w:r>
    <w:r w:rsidR="00952719">
      <w:t>Public Summary Document</w:t>
    </w:r>
    <w:r w:rsidR="006F50B6">
      <w:t xml:space="preserve"> </w:t>
    </w:r>
    <w:r w:rsidR="00675F55">
      <w:noBreakHyphen/>
    </w:r>
    <w:r w:rsidR="006F50B6">
      <w:t xml:space="preserve"> </w:t>
    </w:r>
    <w:r w:rsidR="00770DD6" w:rsidRPr="00B94414">
      <w:t>M</w:t>
    </w:r>
    <w:r w:rsidR="00770DD6">
      <w:t>arch</w:t>
    </w:r>
    <w:r w:rsidR="00770DD6" w:rsidRPr="00B94414">
      <w:t xml:space="preserve"> 202</w:t>
    </w:r>
    <w:r w:rsidR="00770DD6">
      <w:t>6</w:t>
    </w:r>
    <w:r w:rsidR="00770DD6" w:rsidRPr="00B94414">
      <w:t xml:space="preserve"> PBAC Meeting</w:t>
    </w:r>
  </w:p>
  <w:p w14:paraId="0D2A85CE" w14:textId="25671686" w:rsidR="00770DD6" w:rsidRDefault="00770DD6" w:rsidP="00770DD6">
    <w:pPr>
      <w:pStyle w:val="Header"/>
    </w:pPr>
  </w:p>
  <w:p w14:paraId="2D5BBC8B" w14:textId="77777777" w:rsidR="00770DD6" w:rsidRDefault="00770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BBA0" w14:textId="0F3817F3" w:rsidR="00B82573" w:rsidRDefault="0099789F">
    <w:pPr>
      <w:pStyle w:val="Header"/>
    </w:pPr>
    <w:r>
      <w:rPr>
        <w:noProof/>
      </w:rPr>
      <mc:AlternateContent>
        <mc:Choice Requires="wps">
          <w:drawing>
            <wp:anchor distT="0" distB="0" distL="0" distR="0" simplePos="0" relativeHeight="251659269" behindDoc="0" locked="0" layoutInCell="1" allowOverlap="1" wp14:anchorId="75FB7BF9" wp14:editId="17832E90">
              <wp:simplePos x="635" y="635"/>
              <wp:positionH relativeFrom="page">
                <wp:align>center</wp:align>
              </wp:positionH>
              <wp:positionV relativeFrom="page">
                <wp:align>top</wp:align>
              </wp:positionV>
              <wp:extent cx="622300" cy="376555"/>
              <wp:effectExtent l="0" t="0" r="6350" b="4445"/>
              <wp:wrapNone/>
              <wp:docPr id="12685053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3FA2C9" w14:textId="3B54B7F6"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B7BF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33FA2C9" w14:textId="3B54B7F6" w:rsidR="0099789F" w:rsidRPr="0099789F" w:rsidRDefault="0099789F" w:rsidP="0099789F">
                    <w:pPr>
                      <w:rPr>
                        <w:rFonts w:ascii="Aptos" w:eastAsia="Aptos" w:hAnsi="Aptos" w:cs="Aptos"/>
                        <w:noProof/>
                        <w:color w:val="FF0000"/>
                      </w:rPr>
                    </w:pPr>
                    <w:r w:rsidRPr="0099789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01418F"/>
    <w:multiLevelType w:val="hybridMultilevel"/>
    <w:tmpl w:val="24AE837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505979"/>
    <w:multiLevelType w:val="multilevel"/>
    <w:tmpl w:val="0BFC1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pStyle w:val="Tablealpha1"/>
      <w:lvlText w:val="%3."/>
      <w:lvlJc w:val="left"/>
      <w:pPr>
        <w:ind w:left="2160" w:hanging="360"/>
      </w:pPr>
    </w:lvl>
    <w:lvl w:ilvl="3">
      <w:start w:val="1"/>
      <w:numFmt w:val="lowerLetter"/>
      <w:lvlText w:val="%4."/>
      <w:lvlJc w:val="left"/>
      <w:pPr>
        <w:ind w:left="2880" w:hanging="360"/>
      </w:pPr>
      <w:rPr>
        <w:rFonts w:hint="default"/>
      </w:rPr>
    </w:lvl>
    <w:lvl w:ilvl="4">
      <w:numFmt w:val="bullet"/>
      <w:lvlText w:val="−"/>
      <w:lvlJc w:val="left"/>
      <w:pPr>
        <w:ind w:left="3600" w:hanging="360"/>
      </w:pPr>
      <w:rPr>
        <w:rFonts w:ascii="Arial Narrow" w:eastAsiaTheme="minorHAnsi" w:hAnsi="Arial Narrow" w:cs="Times New Roman"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4E6478"/>
    <w:multiLevelType w:val="hybridMultilevel"/>
    <w:tmpl w:val="1952CAB2"/>
    <w:lvl w:ilvl="0" w:tplc="C39E16E6">
      <w:start w:val="1"/>
      <w:numFmt w:val="bullet"/>
      <w:pStyle w:val="Bullet0"/>
      <w:lvlText w:val=""/>
      <w:lvlJc w:val="left"/>
      <w:pPr>
        <w:ind w:left="720" w:hanging="360"/>
      </w:pPr>
      <w:rPr>
        <w:rFonts w:ascii="Symbol" w:hAnsi="Symbol" w:hint="default"/>
        <w:spacing w:val="0"/>
        <w:w w:val="100"/>
        <w:position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D54E54"/>
    <w:multiLevelType w:val="hybridMultilevel"/>
    <w:tmpl w:val="5B2E5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874586"/>
    <w:multiLevelType w:val="multilevel"/>
    <w:tmpl w:val="C09E0D4E"/>
    <w:lvl w:ilvl="0">
      <w:numFmt w:val="decimal"/>
      <w:pStyle w:val="MtAProposalListBullet1"/>
      <w:lvlText w:val=""/>
      <w:lvlJc w:val="left"/>
    </w:lvl>
    <w:lvl w:ilvl="1">
      <w:numFmt w:val="decimal"/>
      <w:pStyle w:val="MtAProposalListBullet2"/>
      <w:lvlText w:val=""/>
      <w:lvlJc w:val="left"/>
    </w:lvl>
    <w:lvl w:ilvl="2">
      <w:numFmt w:val="decimal"/>
      <w:pStyle w:val="MtAProposalListBullet3"/>
      <w:lvlText w:val=""/>
      <w:lvlJc w:val="left"/>
    </w:lvl>
    <w:lvl w:ilvl="3">
      <w:numFmt w:val="decimal"/>
      <w:pStyle w:val="MtAProposalListBullet4"/>
      <w:lvlText w:val=""/>
      <w:lvlJc w:val="left"/>
    </w:lvl>
    <w:lvl w:ilvl="4">
      <w:numFmt w:val="decimal"/>
      <w:pStyle w:val="MtAProposalListBullet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2D2515E"/>
    <w:multiLevelType w:val="hybridMultilevel"/>
    <w:tmpl w:val="98243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6C72"/>
    <w:multiLevelType w:val="hybridMultilevel"/>
    <w:tmpl w:val="24264656"/>
    <w:styleLink w:val="Tablebulletlist"/>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17B4E1A"/>
    <w:multiLevelType w:val="hybridMultilevel"/>
    <w:tmpl w:val="7CA4FE44"/>
    <w:lvl w:ilvl="0" w:tplc="0C09000F">
      <w:start w:val="1"/>
      <w:numFmt w:val="decimal"/>
      <w:lvlText w:val="%1."/>
      <w:lvlJc w:val="left"/>
      <w:pPr>
        <w:ind w:left="720" w:hanging="360"/>
      </w:pPr>
    </w:lvl>
    <w:lvl w:ilvl="1" w:tplc="0C090001">
      <w:start w:val="1"/>
      <w:numFmt w:val="bullet"/>
      <w:lvlText w:val=""/>
      <w:lvlJc w:val="left"/>
      <w:pPr>
        <w:ind w:left="643" w:hanging="360"/>
      </w:pPr>
      <w:rPr>
        <w:rFonts w:ascii="Symbol" w:hAnsi="Symbol" w:hint="default"/>
      </w:rPr>
    </w:lvl>
    <w:lvl w:ilvl="2" w:tplc="0C09000F">
      <w:start w:val="1"/>
      <w:numFmt w:val="decimal"/>
      <w:lvlText w:val="%3."/>
      <w:lvlJc w:val="left"/>
      <w:pPr>
        <w:ind w:left="927"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0A1047"/>
    <w:multiLevelType w:val="hybridMultilevel"/>
    <w:tmpl w:val="CEAE7252"/>
    <w:lvl w:ilvl="0" w:tplc="A2424AAA">
      <w:start w:val="2"/>
      <w:numFmt w:val="bullet"/>
      <w:pStyle w:val="Tablebullet1"/>
      <w:lvlText w:val="-"/>
      <w:lvlJc w:val="left"/>
      <w:pPr>
        <w:ind w:left="720" w:hanging="360"/>
      </w:pPr>
      <w:rPr>
        <w:rFonts w:ascii="Arial Narrow" w:eastAsiaTheme="majorEastAsia" w:hAnsi="Arial Narrow" w:cstheme="majorBidi" w:hint="default"/>
      </w:rPr>
    </w:lvl>
    <w:lvl w:ilvl="1" w:tplc="0E2E3832">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pStyle w:val="Table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3762F2A8"/>
    <w:lvl w:ilvl="0">
      <w:start w:val="1"/>
      <w:numFmt w:val="decimal"/>
      <w:pStyle w:val="Heading1"/>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23"/>
  </w:num>
  <w:num w:numId="2" w16cid:durableId="917793048">
    <w:abstractNumId w:val="15"/>
  </w:num>
  <w:num w:numId="3" w16cid:durableId="263461728">
    <w:abstractNumId w:val="0"/>
  </w:num>
  <w:num w:numId="4" w16cid:durableId="1533883230">
    <w:abstractNumId w:val="14"/>
  </w:num>
  <w:num w:numId="5" w16cid:durableId="220360847">
    <w:abstractNumId w:val="18"/>
  </w:num>
  <w:num w:numId="6" w16cid:durableId="268196418">
    <w:abstractNumId w:val="12"/>
  </w:num>
  <w:num w:numId="7" w16cid:durableId="1863546867">
    <w:abstractNumId w:val="3"/>
  </w:num>
  <w:num w:numId="8" w16cid:durableId="1584143354">
    <w:abstractNumId w:val="22"/>
  </w:num>
  <w:num w:numId="9" w16cid:durableId="785386484">
    <w:abstractNumId w:val="10"/>
  </w:num>
  <w:num w:numId="10" w16cid:durableId="1253707581">
    <w:abstractNumId w:val="6"/>
  </w:num>
  <w:num w:numId="11" w16cid:durableId="2006664267">
    <w:abstractNumId w:val="13"/>
  </w:num>
  <w:num w:numId="12" w16cid:durableId="705645683">
    <w:abstractNumId w:val="8"/>
  </w:num>
  <w:num w:numId="13" w16cid:durableId="1041631689">
    <w:abstractNumId w:val="2"/>
  </w:num>
  <w:num w:numId="14" w16cid:durableId="2134209743">
    <w:abstractNumId w:val="21"/>
  </w:num>
  <w:num w:numId="15" w16cid:durableId="126240624">
    <w:abstractNumId w:val="19"/>
  </w:num>
  <w:num w:numId="16" w16cid:durableId="1660116426">
    <w:abstractNumId w:val="4"/>
  </w:num>
  <w:num w:numId="17" w16cid:durableId="408699874">
    <w:abstractNumId w:val="16"/>
  </w:num>
  <w:num w:numId="18" w16cid:durableId="1569418770">
    <w:abstractNumId w:val="5"/>
  </w:num>
  <w:num w:numId="19" w16cid:durableId="705176722">
    <w:abstractNumId w:val="1"/>
  </w:num>
  <w:num w:numId="20" w16cid:durableId="1926569401">
    <w:abstractNumId w:val="9"/>
  </w:num>
  <w:num w:numId="21" w16cid:durableId="1979457665">
    <w:abstractNumId w:val="11"/>
  </w:num>
  <w:num w:numId="22" w16cid:durableId="2038313566">
    <w:abstractNumId w:val="7"/>
  </w:num>
  <w:num w:numId="23" w16cid:durableId="129744317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7201">
    <w:abstractNumId w:val="20"/>
  </w:num>
  <w:num w:numId="25" w16cid:durableId="320158468">
    <w:abstractNumId w:val="23"/>
  </w:num>
  <w:num w:numId="26" w16cid:durableId="982585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511980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sv99fdof2xdie9rabp9faeffw5sdrssesa&quot;&gt;POLE Mutation&lt;record-ids&gt;&lt;item&gt;14&lt;/item&gt;&lt;/record-ids&gt;&lt;/item&gt;&lt;/Libraries&gt;"/>
  </w:docVars>
  <w:rsids>
    <w:rsidRoot w:val="00E65E79"/>
    <w:rsid w:val="00000018"/>
    <w:rsid w:val="00000412"/>
    <w:rsid w:val="000004A6"/>
    <w:rsid w:val="00000790"/>
    <w:rsid w:val="000007D8"/>
    <w:rsid w:val="00000A4B"/>
    <w:rsid w:val="00000A76"/>
    <w:rsid w:val="00000B40"/>
    <w:rsid w:val="00000C4E"/>
    <w:rsid w:val="00000C9A"/>
    <w:rsid w:val="000010DF"/>
    <w:rsid w:val="0000110B"/>
    <w:rsid w:val="0000117C"/>
    <w:rsid w:val="00001282"/>
    <w:rsid w:val="00001290"/>
    <w:rsid w:val="00001653"/>
    <w:rsid w:val="000018F3"/>
    <w:rsid w:val="00001A25"/>
    <w:rsid w:val="00001A82"/>
    <w:rsid w:val="00001ABB"/>
    <w:rsid w:val="00001C65"/>
    <w:rsid w:val="00001C6E"/>
    <w:rsid w:val="00001D79"/>
    <w:rsid w:val="00001D7E"/>
    <w:rsid w:val="000022D3"/>
    <w:rsid w:val="000024E5"/>
    <w:rsid w:val="00002501"/>
    <w:rsid w:val="000026B1"/>
    <w:rsid w:val="000026BD"/>
    <w:rsid w:val="0000286C"/>
    <w:rsid w:val="00002908"/>
    <w:rsid w:val="0000293B"/>
    <w:rsid w:val="00002AA9"/>
    <w:rsid w:val="00002C11"/>
    <w:rsid w:val="00002C22"/>
    <w:rsid w:val="00002E3B"/>
    <w:rsid w:val="000030E3"/>
    <w:rsid w:val="00003499"/>
    <w:rsid w:val="0000354A"/>
    <w:rsid w:val="0000363C"/>
    <w:rsid w:val="00003646"/>
    <w:rsid w:val="000036BF"/>
    <w:rsid w:val="00003711"/>
    <w:rsid w:val="000039B7"/>
    <w:rsid w:val="00003AC3"/>
    <w:rsid w:val="00003BAC"/>
    <w:rsid w:val="00003C0E"/>
    <w:rsid w:val="00003C31"/>
    <w:rsid w:val="00003D06"/>
    <w:rsid w:val="0000437B"/>
    <w:rsid w:val="0000451B"/>
    <w:rsid w:val="000048F1"/>
    <w:rsid w:val="00004B05"/>
    <w:rsid w:val="00004B59"/>
    <w:rsid w:val="00004B75"/>
    <w:rsid w:val="00004EAE"/>
    <w:rsid w:val="00004F87"/>
    <w:rsid w:val="00004FB7"/>
    <w:rsid w:val="000050DE"/>
    <w:rsid w:val="0000517E"/>
    <w:rsid w:val="000051AD"/>
    <w:rsid w:val="00005292"/>
    <w:rsid w:val="000052EB"/>
    <w:rsid w:val="00005541"/>
    <w:rsid w:val="0000567E"/>
    <w:rsid w:val="000056B9"/>
    <w:rsid w:val="000059EC"/>
    <w:rsid w:val="00005DD6"/>
    <w:rsid w:val="0000603E"/>
    <w:rsid w:val="000062FD"/>
    <w:rsid w:val="0000639A"/>
    <w:rsid w:val="000064A8"/>
    <w:rsid w:val="000064F5"/>
    <w:rsid w:val="0000666F"/>
    <w:rsid w:val="000069A4"/>
    <w:rsid w:val="00006ACC"/>
    <w:rsid w:val="00006B14"/>
    <w:rsid w:val="00006B59"/>
    <w:rsid w:val="00006B96"/>
    <w:rsid w:val="00006C7B"/>
    <w:rsid w:val="00006D63"/>
    <w:rsid w:val="00006F69"/>
    <w:rsid w:val="000073D0"/>
    <w:rsid w:val="00007962"/>
    <w:rsid w:val="00007A5B"/>
    <w:rsid w:val="00007BAA"/>
    <w:rsid w:val="00007CE1"/>
    <w:rsid w:val="00007D6F"/>
    <w:rsid w:val="00007E4A"/>
    <w:rsid w:val="00007EB2"/>
    <w:rsid w:val="00007FF3"/>
    <w:rsid w:val="00010093"/>
    <w:rsid w:val="00010124"/>
    <w:rsid w:val="00010B69"/>
    <w:rsid w:val="00010BB7"/>
    <w:rsid w:val="00010C4B"/>
    <w:rsid w:val="00010E0C"/>
    <w:rsid w:val="0001139C"/>
    <w:rsid w:val="0001161E"/>
    <w:rsid w:val="0001169B"/>
    <w:rsid w:val="000119AD"/>
    <w:rsid w:val="00011CD1"/>
    <w:rsid w:val="00011D78"/>
    <w:rsid w:val="0001202B"/>
    <w:rsid w:val="0001230F"/>
    <w:rsid w:val="00012796"/>
    <w:rsid w:val="00012A08"/>
    <w:rsid w:val="00012ADB"/>
    <w:rsid w:val="00012D33"/>
    <w:rsid w:val="00012F08"/>
    <w:rsid w:val="00013247"/>
    <w:rsid w:val="0001329C"/>
    <w:rsid w:val="0001333B"/>
    <w:rsid w:val="00013516"/>
    <w:rsid w:val="000136A4"/>
    <w:rsid w:val="00013801"/>
    <w:rsid w:val="00013962"/>
    <w:rsid w:val="00013972"/>
    <w:rsid w:val="00013C38"/>
    <w:rsid w:val="00014327"/>
    <w:rsid w:val="00014336"/>
    <w:rsid w:val="00014476"/>
    <w:rsid w:val="0001466C"/>
    <w:rsid w:val="00014761"/>
    <w:rsid w:val="00014B58"/>
    <w:rsid w:val="00014C32"/>
    <w:rsid w:val="00014F78"/>
    <w:rsid w:val="000151C1"/>
    <w:rsid w:val="000153F2"/>
    <w:rsid w:val="00015499"/>
    <w:rsid w:val="0001564C"/>
    <w:rsid w:val="00015730"/>
    <w:rsid w:val="00015886"/>
    <w:rsid w:val="00015DD5"/>
    <w:rsid w:val="00015F50"/>
    <w:rsid w:val="00015F72"/>
    <w:rsid w:val="000162EF"/>
    <w:rsid w:val="000166FB"/>
    <w:rsid w:val="00016BF3"/>
    <w:rsid w:val="00016CB3"/>
    <w:rsid w:val="00016F5C"/>
    <w:rsid w:val="000171F7"/>
    <w:rsid w:val="0001753D"/>
    <w:rsid w:val="000177AF"/>
    <w:rsid w:val="00017875"/>
    <w:rsid w:val="000178AE"/>
    <w:rsid w:val="00017997"/>
    <w:rsid w:val="00017AAE"/>
    <w:rsid w:val="00017AFD"/>
    <w:rsid w:val="00017BF4"/>
    <w:rsid w:val="0002011C"/>
    <w:rsid w:val="00020418"/>
    <w:rsid w:val="00020722"/>
    <w:rsid w:val="0002078A"/>
    <w:rsid w:val="000207C9"/>
    <w:rsid w:val="00020B8B"/>
    <w:rsid w:val="00020FA0"/>
    <w:rsid w:val="00020FC4"/>
    <w:rsid w:val="000211A3"/>
    <w:rsid w:val="000213E8"/>
    <w:rsid w:val="000213F2"/>
    <w:rsid w:val="0002148E"/>
    <w:rsid w:val="0002150E"/>
    <w:rsid w:val="000215CE"/>
    <w:rsid w:val="00021665"/>
    <w:rsid w:val="000219AC"/>
    <w:rsid w:val="00021A99"/>
    <w:rsid w:val="00021B60"/>
    <w:rsid w:val="00021B7F"/>
    <w:rsid w:val="0002225F"/>
    <w:rsid w:val="0002229D"/>
    <w:rsid w:val="0002242C"/>
    <w:rsid w:val="00022521"/>
    <w:rsid w:val="00022605"/>
    <w:rsid w:val="00022B01"/>
    <w:rsid w:val="00022C1F"/>
    <w:rsid w:val="00022DD1"/>
    <w:rsid w:val="00022E1D"/>
    <w:rsid w:val="00022F7A"/>
    <w:rsid w:val="00023042"/>
    <w:rsid w:val="00023080"/>
    <w:rsid w:val="00023255"/>
    <w:rsid w:val="000234B9"/>
    <w:rsid w:val="000236DC"/>
    <w:rsid w:val="000236F9"/>
    <w:rsid w:val="00023763"/>
    <w:rsid w:val="00023872"/>
    <w:rsid w:val="00023A20"/>
    <w:rsid w:val="00023CB1"/>
    <w:rsid w:val="00023D58"/>
    <w:rsid w:val="00023DD1"/>
    <w:rsid w:val="00024470"/>
    <w:rsid w:val="00024548"/>
    <w:rsid w:val="00024589"/>
    <w:rsid w:val="0002470D"/>
    <w:rsid w:val="0002482E"/>
    <w:rsid w:val="00024B7A"/>
    <w:rsid w:val="00024D05"/>
    <w:rsid w:val="00024D10"/>
    <w:rsid w:val="00024E28"/>
    <w:rsid w:val="00024E41"/>
    <w:rsid w:val="00024EB5"/>
    <w:rsid w:val="00025191"/>
    <w:rsid w:val="00025199"/>
    <w:rsid w:val="0002537C"/>
    <w:rsid w:val="000257B0"/>
    <w:rsid w:val="0002585F"/>
    <w:rsid w:val="000258CF"/>
    <w:rsid w:val="000258FA"/>
    <w:rsid w:val="00025996"/>
    <w:rsid w:val="00025BC7"/>
    <w:rsid w:val="00025C7B"/>
    <w:rsid w:val="00025CE2"/>
    <w:rsid w:val="000260E0"/>
    <w:rsid w:val="0002624D"/>
    <w:rsid w:val="000263B5"/>
    <w:rsid w:val="0002646D"/>
    <w:rsid w:val="0002651E"/>
    <w:rsid w:val="0002669E"/>
    <w:rsid w:val="000266BD"/>
    <w:rsid w:val="0002684E"/>
    <w:rsid w:val="00026A87"/>
    <w:rsid w:val="00026AB5"/>
    <w:rsid w:val="00026C1A"/>
    <w:rsid w:val="00026D65"/>
    <w:rsid w:val="00027141"/>
    <w:rsid w:val="0002731D"/>
    <w:rsid w:val="00027428"/>
    <w:rsid w:val="000274B8"/>
    <w:rsid w:val="000279B6"/>
    <w:rsid w:val="00027FA0"/>
    <w:rsid w:val="0003010B"/>
    <w:rsid w:val="00030191"/>
    <w:rsid w:val="000301B0"/>
    <w:rsid w:val="000302CB"/>
    <w:rsid w:val="00030550"/>
    <w:rsid w:val="000307A8"/>
    <w:rsid w:val="00030B99"/>
    <w:rsid w:val="00030D85"/>
    <w:rsid w:val="00030EF2"/>
    <w:rsid w:val="00030F24"/>
    <w:rsid w:val="0003107A"/>
    <w:rsid w:val="000311DF"/>
    <w:rsid w:val="000312AF"/>
    <w:rsid w:val="0003139B"/>
    <w:rsid w:val="000314AF"/>
    <w:rsid w:val="00031625"/>
    <w:rsid w:val="000317A7"/>
    <w:rsid w:val="00031820"/>
    <w:rsid w:val="00031B3F"/>
    <w:rsid w:val="00031EE9"/>
    <w:rsid w:val="00031F56"/>
    <w:rsid w:val="00032165"/>
    <w:rsid w:val="0003217F"/>
    <w:rsid w:val="0003218C"/>
    <w:rsid w:val="000325D8"/>
    <w:rsid w:val="00032731"/>
    <w:rsid w:val="00032997"/>
    <w:rsid w:val="00032A42"/>
    <w:rsid w:val="00032D4B"/>
    <w:rsid w:val="00032F0E"/>
    <w:rsid w:val="000330C6"/>
    <w:rsid w:val="0003315C"/>
    <w:rsid w:val="00033554"/>
    <w:rsid w:val="000336C4"/>
    <w:rsid w:val="0003372F"/>
    <w:rsid w:val="00033863"/>
    <w:rsid w:val="0003392D"/>
    <w:rsid w:val="00033975"/>
    <w:rsid w:val="000339F6"/>
    <w:rsid w:val="00033D65"/>
    <w:rsid w:val="00033F25"/>
    <w:rsid w:val="00033F6B"/>
    <w:rsid w:val="00034047"/>
    <w:rsid w:val="00034251"/>
    <w:rsid w:val="00034624"/>
    <w:rsid w:val="000346EB"/>
    <w:rsid w:val="000346F9"/>
    <w:rsid w:val="0003492F"/>
    <w:rsid w:val="0003495D"/>
    <w:rsid w:val="00034CAB"/>
    <w:rsid w:val="00034E11"/>
    <w:rsid w:val="00034E44"/>
    <w:rsid w:val="000350DF"/>
    <w:rsid w:val="000354C7"/>
    <w:rsid w:val="0003555F"/>
    <w:rsid w:val="000357BE"/>
    <w:rsid w:val="00035A38"/>
    <w:rsid w:val="00035A45"/>
    <w:rsid w:val="00035DC0"/>
    <w:rsid w:val="00035F0C"/>
    <w:rsid w:val="00035F86"/>
    <w:rsid w:val="0003608B"/>
    <w:rsid w:val="000361DC"/>
    <w:rsid w:val="00036460"/>
    <w:rsid w:val="000365EC"/>
    <w:rsid w:val="00036681"/>
    <w:rsid w:val="00036829"/>
    <w:rsid w:val="00036AA0"/>
    <w:rsid w:val="00036D71"/>
    <w:rsid w:val="00036FAC"/>
    <w:rsid w:val="00037282"/>
    <w:rsid w:val="00037597"/>
    <w:rsid w:val="000376C6"/>
    <w:rsid w:val="00037712"/>
    <w:rsid w:val="000377C1"/>
    <w:rsid w:val="0003792F"/>
    <w:rsid w:val="00037B43"/>
    <w:rsid w:val="00037C05"/>
    <w:rsid w:val="00037C3C"/>
    <w:rsid w:val="00037CE2"/>
    <w:rsid w:val="00037DC0"/>
    <w:rsid w:val="00040045"/>
    <w:rsid w:val="000405AA"/>
    <w:rsid w:val="0004075E"/>
    <w:rsid w:val="00040802"/>
    <w:rsid w:val="00040895"/>
    <w:rsid w:val="0004090D"/>
    <w:rsid w:val="00040955"/>
    <w:rsid w:val="00040B18"/>
    <w:rsid w:val="00040B4C"/>
    <w:rsid w:val="00040E3A"/>
    <w:rsid w:val="00040EE0"/>
    <w:rsid w:val="00040F8D"/>
    <w:rsid w:val="0004106A"/>
    <w:rsid w:val="00041070"/>
    <w:rsid w:val="000410A0"/>
    <w:rsid w:val="0004112C"/>
    <w:rsid w:val="0004137B"/>
    <w:rsid w:val="00041399"/>
    <w:rsid w:val="0004147F"/>
    <w:rsid w:val="0004156B"/>
    <w:rsid w:val="00041572"/>
    <w:rsid w:val="0004169C"/>
    <w:rsid w:val="000416D6"/>
    <w:rsid w:val="00041977"/>
    <w:rsid w:val="00041BFA"/>
    <w:rsid w:val="00041E28"/>
    <w:rsid w:val="00041F2B"/>
    <w:rsid w:val="00042202"/>
    <w:rsid w:val="0004227B"/>
    <w:rsid w:val="000422DC"/>
    <w:rsid w:val="000424A5"/>
    <w:rsid w:val="00042602"/>
    <w:rsid w:val="0004278C"/>
    <w:rsid w:val="00042954"/>
    <w:rsid w:val="00042A96"/>
    <w:rsid w:val="0004339F"/>
    <w:rsid w:val="0004354D"/>
    <w:rsid w:val="000435EE"/>
    <w:rsid w:val="000436F8"/>
    <w:rsid w:val="00043834"/>
    <w:rsid w:val="00043A0F"/>
    <w:rsid w:val="00043C04"/>
    <w:rsid w:val="00043C15"/>
    <w:rsid w:val="00043C37"/>
    <w:rsid w:val="00043CA1"/>
    <w:rsid w:val="00043E65"/>
    <w:rsid w:val="00044063"/>
    <w:rsid w:val="0004428C"/>
    <w:rsid w:val="00044348"/>
    <w:rsid w:val="000444EC"/>
    <w:rsid w:val="00044747"/>
    <w:rsid w:val="000448E9"/>
    <w:rsid w:val="0004498B"/>
    <w:rsid w:val="00044B84"/>
    <w:rsid w:val="00044D54"/>
    <w:rsid w:val="00044F75"/>
    <w:rsid w:val="00045017"/>
    <w:rsid w:val="00045221"/>
    <w:rsid w:val="00045345"/>
    <w:rsid w:val="000454D4"/>
    <w:rsid w:val="00045634"/>
    <w:rsid w:val="00045667"/>
    <w:rsid w:val="000458FF"/>
    <w:rsid w:val="00045A2B"/>
    <w:rsid w:val="00045A64"/>
    <w:rsid w:val="00045AD7"/>
    <w:rsid w:val="00045AE3"/>
    <w:rsid w:val="00045B67"/>
    <w:rsid w:val="00045C8B"/>
    <w:rsid w:val="00045D55"/>
    <w:rsid w:val="00045DDC"/>
    <w:rsid w:val="00045F21"/>
    <w:rsid w:val="00045F8D"/>
    <w:rsid w:val="000460D9"/>
    <w:rsid w:val="000462DA"/>
    <w:rsid w:val="0004665C"/>
    <w:rsid w:val="00046842"/>
    <w:rsid w:val="0004698F"/>
    <w:rsid w:val="000469CA"/>
    <w:rsid w:val="00046A12"/>
    <w:rsid w:val="00046A7D"/>
    <w:rsid w:val="00046D64"/>
    <w:rsid w:val="00046E67"/>
    <w:rsid w:val="00046FBD"/>
    <w:rsid w:val="0004736A"/>
    <w:rsid w:val="00047410"/>
    <w:rsid w:val="00047617"/>
    <w:rsid w:val="00047719"/>
    <w:rsid w:val="00047876"/>
    <w:rsid w:val="00047AD7"/>
    <w:rsid w:val="00047B24"/>
    <w:rsid w:val="00047B6E"/>
    <w:rsid w:val="00050118"/>
    <w:rsid w:val="0005011F"/>
    <w:rsid w:val="00050458"/>
    <w:rsid w:val="000508C2"/>
    <w:rsid w:val="000509F4"/>
    <w:rsid w:val="00050BFB"/>
    <w:rsid w:val="00050C12"/>
    <w:rsid w:val="00050EE7"/>
    <w:rsid w:val="00050F89"/>
    <w:rsid w:val="0005122A"/>
    <w:rsid w:val="00051367"/>
    <w:rsid w:val="00051CCC"/>
    <w:rsid w:val="00051D36"/>
    <w:rsid w:val="00051E0B"/>
    <w:rsid w:val="00052107"/>
    <w:rsid w:val="000521D0"/>
    <w:rsid w:val="000525DA"/>
    <w:rsid w:val="000527AA"/>
    <w:rsid w:val="000527F9"/>
    <w:rsid w:val="000529BA"/>
    <w:rsid w:val="00052B0F"/>
    <w:rsid w:val="00052B49"/>
    <w:rsid w:val="00052DBF"/>
    <w:rsid w:val="00053049"/>
    <w:rsid w:val="00053085"/>
    <w:rsid w:val="00053846"/>
    <w:rsid w:val="000539D0"/>
    <w:rsid w:val="00053A51"/>
    <w:rsid w:val="00053B10"/>
    <w:rsid w:val="00053BAB"/>
    <w:rsid w:val="00053C01"/>
    <w:rsid w:val="00053C23"/>
    <w:rsid w:val="00053D61"/>
    <w:rsid w:val="00053E7D"/>
    <w:rsid w:val="0005418D"/>
    <w:rsid w:val="000542D5"/>
    <w:rsid w:val="000543AF"/>
    <w:rsid w:val="00054514"/>
    <w:rsid w:val="00054621"/>
    <w:rsid w:val="000546D7"/>
    <w:rsid w:val="00054717"/>
    <w:rsid w:val="00054896"/>
    <w:rsid w:val="00054963"/>
    <w:rsid w:val="00054A8D"/>
    <w:rsid w:val="00054C30"/>
    <w:rsid w:val="00054CD0"/>
    <w:rsid w:val="00055105"/>
    <w:rsid w:val="000557B7"/>
    <w:rsid w:val="00055836"/>
    <w:rsid w:val="000559FE"/>
    <w:rsid w:val="00055C8E"/>
    <w:rsid w:val="00055CA1"/>
    <w:rsid w:val="000561A2"/>
    <w:rsid w:val="000561F5"/>
    <w:rsid w:val="00056353"/>
    <w:rsid w:val="00056490"/>
    <w:rsid w:val="000565F7"/>
    <w:rsid w:val="00056918"/>
    <w:rsid w:val="00056989"/>
    <w:rsid w:val="000569AB"/>
    <w:rsid w:val="00056B9B"/>
    <w:rsid w:val="00056E3F"/>
    <w:rsid w:val="00056ECF"/>
    <w:rsid w:val="00056EF0"/>
    <w:rsid w:val="00057035"/>
    <w:rsid w:val="00057710"/>
    <w:rsid w:val="00057AB8"/>
    <w:rsid w:val="00057F2B"/>
    <w:rsid w:val="00057FC3"/>
    <w:rsid w:val="000600A2"/>
    <w:rsid w:val="0006018F"/>
    <w:rsid w:val="00060229"/>
    <w:rsid w:val="000602EB"/>
    <w:rsid w:val="000604B9"/>
    <w:rsid w:val="000604DF"/>
    <w:rsid w:val="00060B5C"/>
    <w:rsid w:val="00060B80"/>
    <w:rsid w:val="00060BB1"/>
    <w:rsid w:val="00060DC8"/>
    <w:rsid w:val="00060FB2"/>
    <w:rsid w:val="000610B8"/>
    <w:rsid w:val="00061225"/>
    <w:rsid w:val="000612FC"/>
    <w:rsid w:val="0006156A"/>
    <w:rsid w:val="000616F3"/>
    <w:rsid w:val="000617A0"/>
    <w:rsid w:val="00061AD3"/>
    <w:rsid w:val="00061C24"/>
    <w:rsid w:val="00061C67"/>
    <w:rsid w:val="00061EBD"/>
    <w:rsid w:val="00061F2F"/>
    <w:rsid w:val="00061FBE"/>
    <w:rsid w:val="000621D5"/>
    <w:rsid w:val="000621EA"/>
    <w:rsid w:val="00062303"/>
    <w:rsid w:val="00062324"/>
    <w:rsid w:val="00062592"/>
    <w:rsid w:val="000626AA"/>
    <w:rsid w:val="0006281F"/>
    <w:rsid w:val="00062855"/>
    <w:rsid w:val="00062B7E"/>
    <w:rsid w:val="00062DDF"/>
    <w:rsid w:val="00062E48"/>
    <w:rsid w:val="00062FE3"/>
    <w:rsid w:val="0006318A"/>
    <w:rsid w:val="000634A3"/>
    <w:rsid w:val="00063853"/>
    <w:rsid w:val="00063A24"/>
    <w:rsid w:val="00063CFA"/>
    <w:rsid w:val="00063FAA"/>
    <w:rsid w:val="000640D2"/>
    <w:rsid w:val="00064253"/>
    <w:rsid w:val="0006431C"/>
    <w:rsid w:val="000643CC"/>
    <w:rsid w:val="0006475D"/>
    <w:rsid w:val="0006485A"/>
    <w:rsid w:val="0006496D"/>
    <w:rsid w:val="00064A08"/>
    <w:rsid w:val="00064AB2"/>
    <w:rsid w:val="00064E9E"/>
    <w:rsid w:val="00064EB4"/>
    <w:rsid w:val="00065048"/>
    <w:rsid w:val="0006515C"/>
    <w:rsid w:val="0006521A"/>
    <w:rsid w:val="0006532B"/>
    <w:rsid w:val="0006539E"/>
    <w:rsid w:val="000653B5"/>
    <w:rsid w:val="00065676"/>
    <w:rsid w:val="000658C9"/>
    <w:rsid w:val="00065FD3"/>
    <w:rsid w:val="00066042"/>
    <w:rsid w:val="00066294"/>
    <w:rsid w:val="00066360"/>
    <w:rsid w:val="000663D2"/>
    <w:rsid w:val="000667C9"/>
    <w:rsid w:val="00066AF8"/>
    <w:rsid w:val="00066E45"/>
    <w:rsid w:val="000675A6"/>
    <w:rsid w:val="0006761B"/>
    <w:rsid w:val="000677BC"/>
    <w:rsid w:val="000677EB"/>
    <w:rsid w:val="000677F0"/>
    <w:rsid w:val="0006785E"/>
    <w:rsid w:val="00067889"/>
    <w:rsid w:val="0006791E"/>
    <w:rsid w:val="0006797B"/>
    <w:rsid w:val="00067A12"/>
    <w:rsid w:val="00067B2F"/>
    <w:rsid w:val="00067D65"/>
    <w:rsid w:val="00067F93"/>
    <w:rsid w:val="00067FA0"/>
    <w:rsid w:val="00070484"/>
    <w:rsid w:val="000708B7"/>
    <w:rsid w:val="000709B1"/>
    <w:rsid w:val="00070A16"/>
    <w:rsid w:val="00070A30"/>
    <w:rsid w:val="00070C26"/>
    <w:rsid w:val="000710AF"/>
    <w:rsid w:val="00071248"/>
    <w:rsid w:val="00071351"/>
    <w:rsid w:val="0007144B"/>
    <w:rsid w:val="000714A9"/>
    <w:rsid w:val="000717F7"/>
    <w:rsid w:val="000717FC"/>
    <w:rsid w:val="00071C27"/>
    <w:rsid w:val="00071D97"/>
    <w:rsid w:val="00071F1F"/>
    <w:rsid w:val="00071FFF"/>
    <w:rsid w:val="000720B9"/>
    <w:rsid w:val="00072157"/>
    <w:rsid w:val="00072263"/>
    <w:rsid w:val="0007281B"/>
    <w:rsid w:val="0007289D"/>
    <w:rsid w:val="00072CD3"/>
    <w:rsid w:val="00072D78"/>
    <w:rsid w:val="00072F1D"/>
    <w:rsid w:val="00073072"/>
    <w:rsid w:val="0007310D"/>
    <w:rsid w:val="00073345"/>
    <w:rsid w:val="00073385"/>
    <w:rsid w:val="000733AB"/>
    <w:rsid w:val="000734BE"/>
    <w:rsid w:val="000735C0"/>
    <w:rsid w:val="000735FC"/>
    <w:rsid w:val="0007360F"/>
    <w:rsid w:val="00073668"/>
    <w:rsid w:val="000737F7"/>
    <w:rsid w:val="0007385D"/>
    <w:rsid w:val="00073871"/>
    <w:rsid w:val="00073959"/>
    <w:rsid w:val="00073A1F"/>
    <w:rsid w:val="00073A7B"/>
    <w:rsid w:val="00073AC5"/>
    <w:rsid w:val="00073D3A"/>
    <w:rsid w:val="00073F4B"/>
    <w:rsid w:val="00074116"/>
    <w:rsid w:val="00074389"/>
    <w:rsid w:val="00074ACF"/>
    <w:rsid w:val="00074D3B"/>
    <w:rsid w:val="00074E83"/>
    <w:rsid w:val="00074F99"/>
    <w:rsid w:val="0007531F"/>
    <w:rsid w:val="00075324"/>
    <w:rsid w:val="000753C3"/>
    <w:rsid w:val="0007554C"/>
    <w:rsid w:val="00075602"/>
    <w:rsid w:val="00075674"/>
    <w:rsid w:val="00075785"/>
    <w:rsid w:val="00075947"/>
    <w:rsid w:val="00075B45"/>
    <w:rsid w:val="00075BE5"/>
    <w:rsid w:val="00075CC3"/>
    <w:rsid w:val="00076153"/>
    <w:rsid w:val="000762D7"/>
    <w:rsid w:val="0007641A"/>
    <w:rsid w:val="00076516"/>
    <w:rsid w:val="000765A7"/>
    <w:rsid w:val="00076605"/>
    <w:rsid w:val="0007672F"/>
    <w:rsid w:val="000767F2"/>
    <w:rsid w:val="000768A9"/>
    <w:rsid w:val="000769A7"/>
    <w:rsid w:val="00076B54"/>
    <w:rsid w:val="00076B70"/>
    <w:rsid w:val="00076B88"/>
    <w:rsid w:val="00076DB2"/>
    <w:rsid w:val="0007732C"/>
    <w:rsid w:val="0007742C"/>
    <w:rsid w:val="000774F0"/>
    <w:rsid w:val="00077606"/>
    <w:rsid w:val="0007788B"/>
    <w:rsid w:val="00077E77"/>
    <w:rsid w:val="00077F2F"/>
    <w:rsid w:val="00077FC4"/>
    <w:rsid w:val="00080053"/>
    <w:rsid w:val="0008007E"/>
    <w:rsid w:val="00080140"/>
    <w:rsid w:val="00080317"/>
    <w:rsid w:val="000803EF"/>
    <w:rsid w:val="000804C1"/>
    <w:rsid w:val="00080707"/>
    <w:rsid w:val="0008071A"/>
    <w:rsid w:val="00080909"/>
    <w:rsid w:val="0008092B"/>
    <w:rsid w:val="00080A7A"/>
    <w:rsid w:val="00080B13"/>
    <w:rsid w:val="00080CA4"/>
    <w:rsid w:val="00080CD6"/>
    <w:rsid w:val="00080D05"/>
    <w:rsid w:val="00080E64"/>
    <w:rsid w:val="0008102D"/>
    <w:rsid w:val="00081292"/>
    <w:rsid w:val="000812CA"/>
    <w:rsid w:val="0008141C"/>
    <w:rsid w:val="0008146F"/>
    <w:rsid w:val="000817BF"/>
    <w:rsid w:val="000819BC"/>
    <w:rsid w:val="00081B7D"/>
    <w:rsid w:val="00081BB8"/>
    <w:rsid w:val="00081E63"/>
    <w:rsid w:val="0008217D"/>
    <w:rsid w:val="000822CF"/>
    <w:rsid w:val="0008258D"/>
    <w:rsid w:val="000826AD"/>
    <w:rsid w:val="0008273C"/>
    <w:rsid w:val="00082759"/>
    <w:rsid w:val="00082793"/>
    <w:rsid w:val="0008298B"/>
    <w:rsid w:val="00082EE9"/>
    <w:rsid w:val="000830C3"/>
    <w:rsid w:val="000830D6"/>
    <w:rsid w:val="00083143"/>
    <w:rsid w:val="00083178"/>
    <w:rsid w:val="000837A4"/>
    <w:rsid w:val="0008397D"/>
    <w:rsid w:val="00083AFD"/>
    <w:rsid w:val="00083D46"/>
    <w:rsid w:val="00083E99"/>
    <w:rsid w:val="00084165"/>
    <w:rsid w:val="00084725"/>
    <w:rsid w:val="0008472B"/>
    <w:rsid w:val="00084B39"/>
    <w:rsid w:val="00084C50"/>
    <w:rsid w:val="00084CAE"/>
    <w:rsid w:val="00084D1B"/>
    <w:rsid w:val="00084FA8"/>
    <w:rsid w:val="0008501A"/>
    <w:rsid w:val="0008517F"/>
    <w:rsid w:val="00085198"/>
    <w:rsid w:val="00085476"/>
    <w:rsid w:val="000856C5"/>
    <w:rsid w:val="00085764"/>
    <w:rsid w:val="00085B3D"/>
    <w:rsid w:val="00085B7C"/>
    <w:rsid w:val="00085C05"/>
    <w:rsid w:val="00085C31"/>
    <w:rsid w:val="00085CC6"/>
    <w:rsid w:val="000862CF"/>
    <w:rsid w:val="000862FD"/>
    <w:rsid w:val="0008639A"/>
    <w:rsid w:val="000865F6"/>
    <w:rsid w:val="0008672F"/>
    <w:rsid w:val="00086749"/>
    <w:rsid w:val="0008677C"/>
    <w:rsid w:val="000869FE"/>
    <w:rsid w:val="00086A7B"/>
    <w:rsid w:val="00086AC1"/>
    <w:rsid w:val="00086DA1"/>
    <w:rsid w:val="00086E86"/>
    <w:rsid w:val="00086EFD"/>
    <w:rsid w:val="0008701C"/>
    <w:rsid w:val="000870E0"/>
    <w:rsid w:val="00087358"/>
    <w:rsid w:val="000875A0"/>
    <w:rsid w:val="00087728"/>
    <w:rsid w:val="00087AA3"/>
    <w:rsid w:val="00087C74"/>
    <w:rsid w:val="00087CC5"/>
    <w:rsid w:val="00087CD4"/>
    <w:rsid w:val="00087EAE"/>
    <w:rsid w:val="000900C5"/>
    <w:rsid w:val="000902D9"/>
    <w:rsid w:val="00090501"/>
    <w:rsid w:val="0009051E"/>
    <w:rsid w:val="00090625"/>
    <w:rsid w:val="00090856"/>
    <w:rsid w:val="00090882"/>
    <w:rsid w:val="000908A9"/>
    <w:rsid w:val="0009094A"/>
    <w:rsid w:val="00090A34"/>
    <w:rsid w:val="00090BA8"/>
    <w:rsid w:val="00090C7E"/>
    <w:rsid w:val="00090DBC"/>
    <w:rsid w:val="00091167"/>
    <w:rsid w:val="000911A6"/>
    <w:rsid w:val="000911AC"/>
    <w:rsid w:val="00091223"/>
    <w:rsid w:val="000913B3"/>
    <w:rsid w:val="000913CD"/>
    <w:rsid w:val="00091438"/>
    <w:rsid w:val="0009146C"/>
    <w:rsid w:val="000917E6"/>
    <w:rsid w:val="000917ED"/>
    <w:rsid w:val="000918A0"/>
    <w:rsid w:val="00091A00"/>
    <w:rsid w:val="00091B46"/>
    <w:rsid w:val="00091D08"/>
    <w:rsid w:val="00091DF3"/>
    <w:rsid w:val="00092296"/>
    <w:rsid w:val="0009236F"/>
    <w:rsid w:val="0009240C"/>
    <w:rsid w:val="000924A4"/>
    <w:rsid w:val="000924CF"/>
    <w:rsid w:val="0009256B"/>
    <w:rsid w:val="00092600"/>
    <w:rsid w:val="0009262B"/>
    <w:rsid w:val="000928AF"/>
    <w:rsid w:val="00092935"/>
    <w:rsid w:val="00092951"/>
    <w:rsid w:val="000929CA"/>
    <w:rsid w:val="00092BBA"/>
    <w:rsid w:val="00092EE4"/>
    <w:rsid w:val="00092F59"/>
    <w:rsid w:val="00093096"/>
    <w:rsid w:val="0009310D"/>
    <w:rsid w:val="000931DD"/>
    <w:rsid w:val="00093310"/>
    <w:rsid w:val="00093613"/>
    <w:rsid w:val="000936F6"/>
    <w:rsid w:val="00093CED"/>
    <w:rsid w:val="00093F71"/>
    <w:rsid w:val="00094298"/>
    <w:rsid w:val="0009445C"/>
    <w:rsid w:val="00094621"/>
    <w:rsid w:val="00094794"/>
    <w:rsid w:val="00094B9C"/>
    <w:rsid w:val="00094E80"/>
    <w:rsid w:val="00095200"/>
    <w:rsid w:val="0009536D"/>
    <w:rsid w:val="00095632"/>
    <w:rsid w:val="00095A83"/>
    <w:rsid w:val="00095C59"/>
    <w:rsid w:val="00095E25"/>
    <w:rsid w:val="00095EC3"/>
    <w:rsid w:val="00095FE5"/>
    <w:rsid w:val="0009621E"/>
    <w:rsid w:val="00096284"/>
    <w:rsid w:val="000963E3"/>
    <w:rsid w:val="00096403"/>
    <w:rsid w:val="0009661B"/>
    <w:rsid w:val="00096858"/>
    <w:rsid w:val="00096969"/>
    <w:rsid w:val="000969B1"/>
    <w:rsid w:val="00096BF9"/>
    <w:rsid w:val="00096C47"/>
    <w:rsid w:val="00096D5B"/>
    <w:rsid w:val="00096E42"/>
    <w:rsid w:val="00096E61"/>
    <w:rsid w:val="00096FC6"/>
    <w:rsid w:val="00097001"/>
    <w:rsid w:val="0009719F"/>
    <w:rsid w:val="00097293"/>
    <w:rsid w:val="000975CB"/>
    <w:rsid w:val="000976CC"/>
    <w:rsid w:val="00097984"/>
    <w:rsid w:val="00097ACE"/>
    <w:rsid w:val="00097AF2"/>
    <w:rsid w:val="000A007E"/>
    <w:rsid w:val="000A010D"/>
    <w:rsid w:val="000A061C"/>
    <w:rsid w:val="000A0793"/>
    <w:rsid w:val="000A0AE7"/>
    <w:rsid w:val="000A0F17"/>
    <w:rsid w:val="000A1031"/>
    <w:rsid w:val="000A103D"/>
    <w:rsid w:val="000A1194"/>
    <w:rsid w:val="000A15E8"/>
    <w:rsid w:val="000A1923"/>
    <w:rsid w:val="000A1B2F"/>
    <w:rsid w:val="000A1BB7"/>
    <w:rsid w:val="000A1BC0"/>
    <w:rsid w:val="000A1CE8"/>
    <w:rsid w:val="000A1F40"/>
    <w:rsid w:val="000A2073"/>
    <w:rsid w:val="000A22BD"/>
    <w:rsid w:val="000A2552"/>
    <w:rsid w:val="000A2562"/>
    <w:rsid w:val="000A2575"/>
    <w:rsid w:val="000A25A3"/>
    <w:rsid w:val="000A2901"/>
    <w:rsid w:val="000A2C5D"/>
    <w:rsid w:val="000A2EA5"/>
    <w:rsid w:val="000A2F30"/>
    <w:rsid w:val="000A2F71"/>
    <w:rsid w:val="000A2F9E"/>
    <w:rsid w:val="000A3192"/>
    <w:rsid w:val="000A3327"/>
    <w:rsid w:val="000A3931"/>
    <w:rsid w:val="000A399E"/>
    <w:rsid w:val="000A3BF7"/>
    <w:rsid w:val="000A3E47"/>
    <w:rsid w:val="000A3F0C"/>
    <w:rsid w:val="000A3F74"/>
    <w:rsid w:val="000A4221"/>
    <w:rsid w:val="000A42F9"/>
    <w:rsid w:val="000A45A5"/>
    <w:rsid w:val="000A4667"/>
    <w:rsid w:val="000A4924"/>
    <w:rsid w:val="000A4A0D"/>
    <w:rsid w:val="000A4BE2"/>
    <w:rsid w:val="000A4BEC"/>
    <w:rsid w:val="000A4C4E"/>
    <w:rsid w:val="000A4D65"/>
    <w:rsid w:val="000A4EEA"/>
    <w:rsid w:val="000A4F99"/>
    <w:rsid w:val="000A505B"/>
    <w:rsid w:val="000A509F"/>
    <w:rsid w:val="000A519C"/>
    <w:rsid w:val="000A521E"/>
    <w:rsid w:val="000A522B"/>
    <w:rsid w:val="000A537F"/>
    <w:rsid w:val="000A56B6"/>
    <w:rsid w:val="000A58EC"/>
    <w:rsid w:val="000A5CC0"/>
    <w:rsid w:val="000A5F46"/>
    <w:rsid w:val="000A6039"/>
    <w:rsid w:val="000A6353"/>
    <w:rsid w:val="000A6580"/>
    <w:rsid w:val="000A667D"/>
    <w:rsid w:val="000A685E"/>
    <w:rsid w:val="000A6A2C"/>
    <w:rsid w:val="000A6C02"/>
    <w:rsid w:val="000A6DEF"/>
    <w:rsid w:val="000A72E2"/>
    <w:rsid w:val="000A7341"/>
    <w:rsid w:val="000A7453"/>
    <w:rsid w:val="000A7883"/>
    <w:rsid w:val="000A7B9F"/>
    <w:rsid w:val="000A7D08"/>
    <w:rsid w:val="000B000C"/>
    <w:rsid w:val="000B00CC"/>
    <w:rsid w:val="000B0121"/>
    <w:rsid w:val="000B02E2"/>
    <w:rsid w:val="000B035B"/>
    <w:rsid w:val="000B0515"/>
    <w:rsid w:val="000B0579"/>
    <w:rsid w:val="000B0670"/>
    <w:rsid w:val="000B07C1"/>
    <w:rsid w:val="000B0D56"/>
    <w:rsid w:val="000B0E75"/>
    <w:rsid w:val="000B1465"/>
    <w:rsid w:val="000B1587"/>
    <w:rsid w:val="000B1BF6"/>
    <w:rsid w:val="000B1EB3"/>
    <w:rsid w:val="000B1F48"/>
    <w:rsid w:val="000B1FDB"/>
    <w:rsid w:val="000B1FDC"/>
    <w:rsid w:val="000B2387"/>
    <w:rsid w:val="000B2410"/>
    <w:rsid w:val="000B2417"/>
    <w:rsid w:val="000B251E"/>
    <w:rsid w:val="000B252E"/>
    <w:rsid w:val="000B2591"/>
    <w:rsid w:val="000B266A"/>
    <w:rsid w:val="000B2702"/>
    <w:rsid w:val="000B2740"/>
    <w:rsid w:val="000B27E5"/>
    <w:rsid w:val="000B2801"/>
    <w:rsid w:val="000B2929"/>
    <w:rsid w:val="000B29FB"/>
    <w:rsid w:val="000B2AB3"/>
    <w:rsid w:val="000B2CEC"/>
    <w:rsid w:val="000B2DCB"/>
    <w:rsid w:val="000B2EA6"/>
    <w:rsid w:val="000B335E"/>
    <w:rsid w:val="000B3921"/>
    <w:rsid w:val="000B3A15"/>
    <w:rsid w:val="000B3B79"/>
    <w:rsid w:val="000B3BDE"/>
    <w:rsid w:val="000B3C9D"/>
    <w:rsid w:val="000B3D76"/>
    <w:rsid w:val="000B3E12"/>
    <w:rsid w:val="000B3F4B"/>
    <w:rsid w:val="000B4043"/>
    <w:rsid w:val="000B41CD"/>
    <w:rsid w:val="000B46C2"/>
    <w:rsid w:val="000B4958"/>
    <w:rsid w:val="000B4974"/>
    <w:rsid w:val="000B4AEC"/>
    <w:rsid w:val="000B4EB0"/>
    <w:rsid w:val="000B552C"/>
    <w:rsid w:val="000B5BBC"/>
    <w:rsid w:val="000B5C6D"/>
    <w:rsid w:val="000B5CE0"/>
    <w:rsid w:val="000B5D03"/>
    <w:rsid w:val="000B5EDE"/>
    <w:rsid w:val="000B5F35"/>
    <w:rsid w:val="000B6382"/>
    <w:rsid w:val="000B6394"/>
    <w:rsid w:val="000B63B0"/>
    <w:rsid w:val="000B64B9"/>
    <w:rsid w:val="000B65EA"/>
    <w:rsid w:val="000B685A"/>
    <w:rsid w:val="000B6916"/>
    <w:rsid w:val="000B6980"/>
    <w:rsid w:val="000B6CAC"/>
    <w:rsid w:val="000B6D85"/>
    <w:rsid w:val="000B6EB1"/>
    <w:rsid w:val="000B73A9"/>
    <w:rsid w:val="000B73AC"/>
    <w:rsid w:val="000B7429"/>
    <w:rsid w:val="000B7612"/>
    <w:rsid w:val="000B76BE"/>
    <w:rsid w:val="000B77F6"/>
    <w:rsid w:val="000B78A6"/>
    <w:rsid w:val="000B78AE"/>
    <w:rsid w:val="000B7943"/>
    <w:rsid w:val="000B7A08"/>
    <w:rsid w:val="000B7A60"/>
    <w:rsid w:val="000B7B1F"/>
    <w:rsid w:val="000B7C9B"/>
    <w:rsid w:val="000B7D0E"/>
    <w:rsid w:val="000B7D60"/>
    <w:rsid w:val="000B7E14"/>
    <w:rsid w:val="000C002E"/>
    <w:rsid w:val="000C02AE"/>
    <w:rsid w:val="000C04E8"/>
    <w:rsid w:val="000C086C"/>
    <w:rsid w:val="000C09EA"/>
    <w:rsid w:val="000C0B07"/>
    <w:rsid w:val="000C0C04"/>
    <w:rsid w:val="000C0D9F"/>
    <w:rsid w:val="000C0DC8"/>
    <w:rsid w:val="000C0ECB"/>
    <w:rsid w:val="000C1075"/>
    <w:rsid w:val="000C10EB"/>
    <w:rsid w:val="000C123B"/>
    <w:rsid w:val="000C1660"/>
    <w:rsid w:val="000C1955"/>
    <w:rsid w:val="000C1B00"/>
    <w:rsid w:val="000C1C8E"/>
    <w:rsid w:val="000C1DCF"/>
    <w:rsid w:val="000C20CC"/>
    <w:rsid w:val="000C21F7"/>
    <w:rsid w:val="000C224B"/>
    <w:rsid w:val="000C225F"/>
    <w:rsid w:val="000C2477"/>
    <w:rsid w:val="000C24B4"/>
    <w:rsid w:val="000C2840"/>
    <w:rsid w:val="000C2848"/>
    <w:rsid w:val="000C291E"/>
    <w:rsid w:val="000C2B41"/>
    <w:rsid w:val="000C3190"/>
    <w:rsid w:val="000C329F"/>
    <w:rsid w:val="000C33CB"/>
    <w:rsid w:val="000C3446"/>
    <w:rsid w:val="000C348E"/>
    <w:rsid w:val="000C348F"/>
    <w:rsid w:val="000C3497"/>
    <w:rsid w:val="000C3510"/>
    <w:rsid w:val="000C3645"/>
    <w:rsid w:val="000C392B"/>
    <w:rsid w:val="000C3A1E"/>
    <w:rsid w:val="000C3B20"/>
    <w:rsid w:val="000C3B2E"/>
    <w:rsid w:val="000C3C34"/>
    <w:rsid w:val="000C3CAD"/>
    <w:rsid w:val="000C3D34"/>
    <w:rsid w:val="000C3D35"/>
    <w:rsid w:val="000C3DF9"/>
    <w:rsid w:val="000C3EBE"/>
    <w:rsid w:val="000C40F3"/>
    <w:rsid w:val="000C4230"/>
    <w:rsid w:val="000C43C9"/>
    <w:rsid w:val="000C4487"/>
    <w:rsid w:val="000C44EC"/>
    <w:rsid w:val="000C458F"/>
    <w:rsid w:val="000C45F0"/>
    <w:rsid w:val="000C46B3"/>
    <w:rsid w:val="000C48EA"/>
    <w:rsid w:val="000C4A37"/>
    <w:rsid w:val="000C4A8C"/>
    <w:rsid w:val="000C4CF2"/>
    <w:rsid w:val="000C4D2E"/>
    <w:rsid w:val="000C4EB2"/>
    <w:rsid w:val="000C4F63"/>
    <w:rsid w:val="000C5177"/>
    <w:rsid w:val="000C5280"/>
    <w:rsid w:val="000C5302"/>
    <w:rsid w:val="000C539E"/>
    <w:rsid w:val="000C53A0"/>
    <w:rsid w:val="000C5535"/>
    <w:rsid w:val="000C5557"/>
    <w:rsid w:val="000C55AA"/>
    <w:rsid w:val="000C563E"/>
    <w:rsid w:val="000C5751"/>
    <w:rsid w:val="000C5763"/>
    <w:rsid w:val="000C5897"/>
    <w:rsid w:val="000C62CC"/>
    <w:rsid w:val="000C6713"/>
    <w:rsid w:val="000C698E"/>
    <w:rsid w:val="000C6A17"/>
    <w:rsid w:val="000C6DCE"/>
    <w:rsid w:val="000C6EBE"/>
    <w:rsid w:val="000C6EEA"/>
    <w:rsid w:val="000C6F9A"/>
    <w:rsid w:val="000C7723"/>
    <w:rsid w:val="000C782B"/>
    <w:rsid w:val="000C7837"/>
    <w:rsid w:val="000C78E6"/>
    <w:rsid w:val="000C7ADF"/>
    <w:rsid w:val="000C7B5F"/>
    <w:rsid w:val="000C7BA7"/>
    <w:rsid w:val="000C7DBB"/>
    <w:rsid w:val="000D018E"/>
    <w:rsid w:val="000D0B8E"/>
    <w:rsid w:val="000D0C6F"/>
    <w:rsid w:val="000D0E03"/>
    <w:rsid w:val="000D0F4D"/>
    <w:rsid w:val="000D101B"/>
    <w:rsid w:val="000D101E"/>
    <w:rsid w:val="000D10CC"/>
    <w:rsid w:val="000D113E"/>
    <w:rsid w:val="000D1789"/>
    <w:rsid w:val="000D19E0"/>
    <w:rsid w:val="000D1BFC"/>
    <w:rsid w:val="000D1D04"/>
    <w:rsid w:val="000D1D5D"/>
    <w:rsid w:val="000D2082"/>
    <w:rsid w:val="000D217D"/>
    <w:rsid w:val="000D22E8"/>
    <w:rsid w:val="000D23F2"/>
    <w:rsid w:val="000D2485"/>
    <w:rsid w:val="000D2748"/>
    <w:rsid w:val="000D281A"/>
    <w:rsid w:val="000D2848"/>
    <w:rsid w:val="000D303C"/>
    <w:rsid w:val="000D326A"/>
    <w:rsid w:val="000D33DF"/>
    <w:rsid w:val="000D33FB"/>
    <w:rsid w:val="000D353A"/>
    <w:rsid w:val="000D35DD"/>
    <w:rsid w:val="000D35F3"/>
    <w:rsid w:val="000D372A"/>
    <w:rsid w:val="000D3995"/>
    <w:rsid w:val="000D3BAB"/>
    <w:rsid w:val="000D3CE8"/>
    <w:rsid w:val="000D3D0E"/>
    <w:rsid w:val="000D3D21"/>
    <w:rsid w:val="000D3EC2"/>
    <w:rsid w:val="000D3F53"/>
    <w:rsid w:val="000D3FEF"/>
    <w:rsid w:val="000D4131"/>
    <w:rsid w:val="000D43A1"/>
    <w:rsid w:val="000D465F"/>
    <w:rsid w:val="000D4757"/>
    <w:rsid w:val="000D4968"/>
    <w:rsid w:val="000D4B6F"/>
    <w:rsid w:val="000D4BB8"/>
    <w:rsid w:val="000D4C55"/>
    <w:rsid w:val="000D4D7E"/>
    <w:rsid w:val="000D51FB"/>
    <w:rsid w:val="000D5284"/>
    <w:rsid w:val="000D52DA"/>
    <w:rsid w:val="000D52E0"/>
    <w:rsid w:val="000D54A1"/>
    <w:rsid w:val="000D56BD"/>
    <w:rsid w:val="000D5848"/>
    <w:rsid w:val="000D5895"/>
    <w:rsid w:val="000D5976"/>
    <w:rsid w:val="000D59B5"/>
    <w:rsid w:val="000D59EA"/>
    <w:rsid w:val="000D5B8C"/>
    <w:rsid w:val="000D5E44"/>
    <w:rsid w:val="000D5F64"/>
    <w:rsid w:val="000D611F"/>
    <w:rsid w:val="000D6221"/>
    <w:rsid w:val="000D632C"/>
    <w:rsid w:val="000D6363"/>
    <w:rsid w:val="000D65D9"/>
    <w:rsid w:val="000D660B"/>
    <w:rsid w:val="000D6780"/>
    <w:rsid w:val="000D68E3"/>
    <w:rsid w:val="000D69AC"/>
    <w:rsid w:val="000D6C07"/>
    <w:rsid w:val="000D6C0F"/>
    <w:rsid w:val="000D717F"/>
    <w:rsid w:val="000D747D"/>
    <w:rsid w:val="000D748B"/>
    <w:rsid w:val="000D75BB"/>
    <w:rsid w:val="000D7861"/>
    <w:rsid w:val="000D78C6"/>
    <w:rsid w:val="000D78DC"/>
    <w:rsid w:val="000D7B23"/>
    <w:rsid w:val="000D7B3E"/>
    <w:rsid w:val="000D7B43"/>
    <w:rsid w:val="000D7C43"/>
    <w:rsid w:val="000D7DAB"/>
    <w:rsid w:val="000E028F"/>
    <w:rsid w:val="000E02D4"/>
    <w:rsid w:val="000E0335"/>
    <w:rsid w:val="000E04E2"/>
    <w:rsid w:val="000E054C"/>
    <w:rsid w:val="000E0640"/>
    <w:rsid w:val="000E076D"/>
    <w:rsid w:val="000E07B8"/>
    <w:rsid w:val="000E0C80"/>
    <w:rsid w:val="000E0DC8"/>
    <w:rsid w:val="000E0E8B"/>
    <w:rsid w:val="000E1028"/>
    <w:rsid w:val="000E1177"/>
    <w:rsid w:val="000E12EC"/>
    <w:rsid w:val="000E135D"/>
    <w:rsid w:val="000E145D"/>
    <w:rsid w:val="000E1493"/>
    <w:rsid w:val="000E1693"/>
    <w:rsid w:val="000E198B"/>
    <w:rsid w:val="000E1C6B"/>
    <w:rsid w:val="000E1EBA"/>
    <w:rsid w:val="000E1EFD"/>
    <w:rsid w:val="000E2186"/>
    <w:rsid w:val="000E2196"/>
    <w:rsid w:val="000E2370"/>
    <w:rsid w:val="000E259E"/>
    <w:rsid w:val="000E2787"/>
    <w:rsid w:val="000E28E1"/>
    <w:rsid w:val="000E2A2B"/>
    <w:rsid w:val="000E2B69"/>
    <w:rsid w:val="000E307B"/>
    <w:rsid w:val="000E30D8"/>
    <w:rsid w:val="000E35AE"/>
    <w:rsid w:val="000E37CC"/>
    <w:rsid w:val="000E3A6E"/>
    <w:rsid w:val="000E3CB4"/>
    <w:rsid w:val="000E3CF3"/>
    <w:rsid w:val="000E3EBC"/>
    <w:rsid w:val="000E3FBE"/>
    <w:rsid w:val="000E41D6"/>
    <w:rsid w:val="000E4312"/>
    <w:rsid w:val="000E4336"/>
    <w:rsid w:val="000E43C6"/>
    <w:rsid w:val="000E476A"/>
    <w:rsid w:val="000E4813"/>
    <w:rsid w:val="000E492D"/>
    <w:rsid w:val="000E493F"/>
    <w:rsid w:val="000E4C4E"/>
    <w:rsid w:val="000E4D24"/>
    <w:rsid w:val="000E4D3B"/>
    <w:rsid w:val="000E4D9B"/>
    <w:rsid w:val="000E4EEC"/>
    <w:rsid w:val="000E4EF7"/>
    <w:rsid w:val="000E4F86"/>
    <w:rsid w:val="000E51E5"/>
    <w:rsid w:val="000E5357"/>
    <w:rsid w:val="000E56D5"/>
    <w:rsid w:val="000E5AFD"/>
    <w:rsid w:val="000E5C7A"/>
    <w:rsid w:val="000E5D43"/>
    <w:rsid w:val="000E5F24"/>
    <w:rsid w:val="000E6088"/>
    <w:rsid w:val="000E62CA"/>
    <w:rsid w:val="000E66BA"/>
    <w:rsid w:val="000E6892"/>
    <w:rsid w:val="000E6982"/>
    <w:rsid w:val="000E69F4"/>
    <w:rsid w:val="000E6A26"/>
    <w:rsid w:val="000E6AA7"/>
    <w:rsid w:val="000E6B32"/>
    <w:rsid w:val="000E6B87"/>
    <w:rsid w:val="000E755A"/>
    <w:rsid w:val="000E7743"/>
    <w:rsid w:val="000E7770"/>
    <w:rsid w:val="000E79A0"/>
    <w:rsid w:val="000E7AB8"/>
    <w:rsid w:val="000E7C6D"/>
    <w:rsid w:val="000E7CE6"/>
    <w:rsid w:val="000E7D88"/>
    <w:rsid w:val="000F00BA"/>
    <w:rsid w:val="000F05BB"/>
    <w:rsid w:val="000F0A89"/>
    <w:rsid w:val="000F0D2E"/>
    <w:rsid w:val="000F0E54"/>
    <w:rsid w:val="000F1288"/>
    <w:rsid w:val="000F13E3"/>
    <w:rsid w:val="000F1B49"/>
    <w:rsid w:val="000F1C1E"/>
    <w:rsid w:val="000F1D15"/>
    <w:rsid w:val="000F2038"/>
    <w:rsid w:val="000F21E0"/>
    <w:rsid w:val="000F2380"/>
    <w:rsid w:val="000F239E"/>
    <w:rsid w:val="000F242F"/>
    <w:rsid w:val="000F25FC"/>
    <w:rsid w:val="000F273D"/>
    <w:rsid w:val="000F27FF"/>
    <w:rsid w:val="000F2800"/>
    <w:rsid w:val="000F28C0"/>
    <w:rsid w:val="000F2905"/>
    <w:rsid w:val="000F2930"/>
    <w:rsid w:val="000F2981"/>
    <w:rsid w:val="000F2A02"/>
    <w:rsid w:val="000F2A05"/>
    <w:rsid w:val="000F2AC0"/>
    <w:rsid w:val="000F2D69"/>
    <w:rsid w:val="000F30A3"/>
    <w:rsid w:val="000F30D5"/>
    <w:rsid w:val="000F30F2"/>
    <w:rsid w:val="000F30F3"/>
    <w:rsid w:val="000F316A"/>
    <w:rsid w:val="000F33A3"/>
    <w:rsid w:val="000F347E"/>
    <w:rsid w:val="000F3563"/>
    <w:rsid w:val="000F3586"/>
    <w:rsid w:val="000F3C38"/>
    <w:rsid w:val="000F3C74"/>
    <w:rsid w:val="000F3D86"/>
    <w:rsid w:val="000F3E64"/>
    <w:rsid w:val="000F3EEF"/>
    <w:rsid w:val="000F3FE6"/>
    <w:rsid w:val="000F426D"/>
    <w:rsid w:val="000F42A6"/>
    <w:rsid w:val="000F4672"/>
    <w:rsid w:val="000F4880"/>
    <w:rsid w:val="000F4B6A"/>
    <w:rsid w:val="000F4BB8"/>
    <w:rsid w:val="000F4FA9"/>
    <w:rsid w:val="000F53FB"/>
    <w:rsid w:val="000F5674"/>
    <w:rsid w:val="000F57C5"/>
    <w:rsid w:val="000F58DA"/>
    <w:rsid w:val="000F5D46"/>
    <w:rsid w:val="000F5DED"/>
    <w:rsid w:val="000F5FF0"/>
    <w:rsid w:val="000F60FD"/>
    <w:rsid w:val="000F61CD"/>
    <w:rsid w:val="000F639D"/>
    <w:rsid w:val="000F65E8"/>
    <w:rsid w:val="000F6BF7"/>
    <w:rsid w:val="000F6E0B"/>
    <w:rsid w:val="000F7127"/>
    <w:rsid w:val="000F7459"/>
    <w:rsid w:val="000F7493"/>
    <w:rsid w:val="000F775D"/>
    <w:rsid w:val="000F79F4"/>
    <w:rsid w:val="000F7B54"/>
    <w:rsid w:val="000F7B88"/>
    <w:rsid w:val="000F7C73"/>
    <w:rsid w:val="000F7D78"/>
    <w:rsid w:val="001000A3"/>
    <w:rsid w:val="001000B3"/>
    <w:rsid w:val="001001DE"/>
    <w:rsid w:val="001006A6"/>
    <w:rsid w:val="0010075E"/>
    <w:rsid w:val="0010096D"/>
    <w:rsid w:val="00100C63"/>
    <w:rsid w:val="00100DED"/>
    <w:rsid w:val="00100F88"/>
    <w:rsid w:val="00100F8A"/>
    <w:rsid w:val="00100FB8"/>
    <w:rsid w:val="00101216"/>
    <w:rsid w:val="001012E8"/>
    <w:rsid w:val="001013D0"/>
    <w:rsid w:val="001014F5"/>
    <w:rsid w:val="001016F9"/>
    <w:rsid w:val="00101AC4"/>
    <w:rsid w:val="00101C80"/>
    <w:rsid w:val="00101D6A"/>
    <w:rsid w:val="00102692"/>
    <w:rsid w:val="0010270C"/>
    <w:rsid w:val="00102A82"/>
    <w:rsid w:val="00102AD8"/>
    <w:rsid w:val="00102EEC"/>
    <w:rsid w:val="001034E0"/>
    <w:rsid w:val="00103B3C"/>
    <w:rsid w:val="00103FAC"/>
    <w:rsid w:val="001044E0"/>
    <w:rsid w:val="00104517"/>
    <w:rsid w:val="0010452E"/>
    <w:rsid w:val="00104567"/>
    <w:rsid w:val="00104931"/>
    <w:rsid w:val="0010493F"/>
    <w:rsid w:val="00104ABC"/>
    <w:rsid w:val="00104AC7"/>
    <w:rsid w:val="00104BF1"/>
    <w:rsid w:val="00104CF7"/>
    <w:rsid w:val="00104E27"/>
    <w:rsid w:val="00104F32"/>
    <w:rsid w:val="00105146"/>
    <w:rsid w:val="00105173"/>
    <w:rsid w:val="00105400"/>
    <w:rsid w:val="001056E8"/>
    <w:rsid w:val="0010594A"/>
    <w:rsid w:val="00105AE2"/>
    <w:rsid w:val="00105D6A"/>
    <w:rsid w:val="001060C6"/>
    <w:rsid w:val="001062F7"/>
    <w:rsid w:val="001063F4"/>
    <w:rsid w:val="00106601"/>
    <w:rsid w:val="001067B2"/>
    <w:rsid w:val="00106B80"/>
    <w:rsid w:val="00106FA4"/>
    <w:rsid w:val="0010713F"/>
    <w:rsid w:val="001071E2"/>
    <w:rsid w:val="001074CC"/>
    <w:rsid w:val="00107542"/>
    <w:rsid w:val="00107A98"/>
    <w:rsid w:val="00107B29"/>
    <w:rsid w:val="00107C7F"/>
    <w:rsid w:val="00107D40"/>
    <w:rsid w:val="00107F8E"/>
    <w:rsid w:val="00107FF2"/>
    <w:rsid w:val="001102A7"/>
    <w:rsid w:val="0011032E"/>
    <w:rsid w:val="00110C3C"/>
    <w:rsid w:val="00110E0B"/>
    <w:rsid w:val="00111220"/>
    <w:rsid w:val="001114A0"/>
    <w:rsid w:val="00111980"/>
    <w:rsid w:val="00111989"/>
    <w:rsid w:val="0011199F"/>
    <w:rsid w:val="00111B0E"/>
    <w:rsid w:val="00111B22"/>
    <w:rsid w:val="00111B7E"/>
    <w:rsid w:val="00111D03"/>
    <w:rsid w:val="00112133"/>
    <w:rsid w:val="00112336"/>
    <w:rsid w:val="0011236F"/>
    <w:rsid w:val="00112423"/>
    <w:rsid w:val="00112501"/>
    <w:rsid w:val="001127DC"/>
    <w:rsid w:val="00112861"/>
    <w:rsid w:val="00112AD1"/>
    <w:rsid w:val="00112BD7"/>
    <w:rsid w:val="00112BF6"/>
    <w:rsid w:val="00112CF8"/>
    <w:rsid w:val="00112D87"/>
    <w:rsid w:val="00112DE7"/>
    <w:rsid w:val="00112DEF"/>
    <w:rsid w:val="00112E10"/>
    <w:rsid w:val="00112FD5"/>
    <w:rsid w:val="00112FD9"/>
    <w:rsid w:val="001132D0"/>
    <w:rsid w:val="001132D4"/>
    <w:rsid w:val="0011346C"/>
    <w:rsid w:val="0011348B"/>
    <w:rsid w:val="00113B24"/>
    <w:rsid w:val="00113F83"/>
    <w:rsid w:val="00114132"/>
    <w:rsid w:val="001141A4"/>
    <w:rsid w:val="001141B9"/>
    <w:rsid w:val="00114317"/>
    <w:rsid w:val="00114330"/>
    <w:rsid w:val="00114680"/>
    <w:rsid w:val="001147A0"/>
    <w:rsid w:val="001148F0"/>
    <w:rsid w:val="00114B79"/>
    <w:rsid w:val="00114E3A"/>
    <w:rsid w:val="00114EA3"/>
    <w:rsid w:val="00114F33"/>
    <w:rsid w:val="00114F43"/>
    <w:rsid w:val="00114F8F"/>
    <w:rsid w:val="00114FD8"/>
    <w:rsid w:val="001150A2"/>
    <w:rsid w:val="001150A3"/>
    <w:rsid w:val="0011510C"/>
    <w:rsid w:val="0011518C"/>
    <w:rsid w:val="00115279"/>
    <w:rsid w:val="001153B4"/>
    <w:rsid w:val="00115473"/>
    <w:rsid w:val="00115476"/>
    <w:rsid w:val="001155A9"/>
    <w:rsid w:val="001155E8"/>
    <w:rsid w:val="0011590D"/>
    <w:rsid w:val="00115982"/>
    <w:rsid w:val="00115B7A"/>
    <w:rsid w:val="00115BC8"/>
    <w:rsid w:val="00115CEA"/>
    <w:rsid w:val="001166DD"/>
    <w:rsid w:val="00116C53"/>
    <w:rsid w:val="00116D99"/>
    <w:rsid w:val="00116E38"/>
    <w:rsid w:val="00116EA3"/>
    <w:rsid w:val="0011704B"/>
    <w:rsid w:val="00117090"/>
    <w:rsid w:val="0011769F"/>
    <w:rsid w:val="001177C8"/>
    <w:rsid w:val="0011783D"/>
    <w:rsid w:val="00117B54"/>
    <w:rsid w:val="00117D48"/>
    <w:rsid w:val="00117E93"/>
    <w:rsid w:val="00117F1B"/>
    <w:rsid w:val="00120040"/>
    <w:rsid w:val="00120048"/>
    <w:rsid w:val="0012038C"/>
    <w:rsid w:val="00120422"/>
    <w:rsid w:val="0012045E"/>
    <w:rsid w:val="0012070F"/>
    <w:rsid w:val="00120733"/>
    <w:rsid w:val="00120744"/>
    <w:rsid w:val="00120887"/>
    <w:rsid w:val="00120B7C"/>
    <w:rsid w:val="00120D2F"/>
    <w:rsid w:val="00120F13"/>
    <w:rsid w:val="00120F26"/>
    <w:rsid w:val="00120F9D"/>
    <w:rsid w:val="00121325"/>
    <w:rsid w:val="001214EB"/>
    <w:rsid w:val="001215B9"/>
    <w:rsid w:val="001216F2"/>
    <w:rsid w:val="00121799"/>
    <w:rsid w:val="0012184C"/>
    <w:rsid w:val="00121AB4"/>
    <w:rsid w:val="00121B5C"/>
    <w:rsid w:val="00121C78"/>
    <w:rsid w:val="00121D2D"/>
    <w:rsid w:val="00121E33"/>
    <w:rsid w:val="00121EB4"/>
    <w:rsid w:val="00121FD2"/>
    <w:rsid w:val="001222FC"/>
    <w:rsid w:val="00122639"/>
    <w:rsid w:val="0012270D"/>
    <w:rsid w:val="001228CF"/>
    <w:rsid w:val="00122911"/>
    <w:rsid w:val="00122948"/>
    <w:rsid w:val="0012297F"/>
    <w:rsid w:val="00122B4C"/>
    <w:rsid w:val="00122D91"/>
    <w:rsid w:val="00122E3B"/>
    <w:rsid w:val="00123205"/>
    <w:rsid w:val="00123224"/>
    <w:rsid w:val="0012324E"/>
    <w:rsid w:val="00123372"/>
    <w:rsid w:val="00123709"/>
    <w:rsid w:val="00123871"/>
    <w:rsid w:val="00123902"/>
    <w:rsid w:val="00123C21"/>
    <w:rsid w:val="00123D4D"/>
    <w:rsid w:val="00123E7D"/>
    <w:rsid w:val="00123F17"/>
    <w:rsid w:val="001242C4"/>
    <w:rsid w:val="00124487"/>
    <w:rsid w:val="00124505"/>
    <w:rsid w:val="001245A1"/>
    <w:rsid w:val="001248DB"/>
    <w:rsid w:val="001248F9"/>
    <w:rsid w:val="00124A51"/>
    <w:rsid w:val="00124AB2"/>
    <w:rsid w:val="001251F5"/>
    <w:rsid w:val="00125452"/>
    <w:rsid w:val="0012580D"/>
    <w:rsid w:val="00125895"/>
    <w:rsid w:val="001259E8"/>
    <w:rsid w:val="00125B93"/>
    <w:rsid w:val="00125D12"/>
    <w:rsid w:val="00125F67"/>
    <w:rsid w:val="001261AD"/>
    <w:rsid w:val="001261B5"/>
    <w:rsid w:val="001262C7"/>
    <w:rsid w:val="0012637D"/>
    <w:rsid w:val="00126621"/>
    <w:rsid w:val="001266E2"/>
    <w:rsid w:val="001269A4"/>
    <w:rsid w:val="00126A0C"/>
    <w:rsid w:val="00126A61"/>
    <w:rsid w:val="00126B1D"/>
    <w:rsid w:val="00126C1A"/>
    <w:rsid w:val="00126C1F"/>
    <w:rsid w:val="00126DD4"/>
    <w:rsid w:val="0012717D"/>
    <w:rsid w:val="00127302"/>
    <w:rsid w:val="001273A9"/>
    <w:rsid w:val="001273DF"/>
    <w:rsid w:val="00127574"/>
    <w:rsid w:val="00127A16"/>
    <w:rsid w:val="00127DFE"/>
    <w:rsid w:val="00127F4D"/>
    <w:rsid w:val="001301E9"/>
    <w:rsid w:val="00130218"/>
    <w:rsid w:val="00130270"/>
    <w:rsid w:val="001303A5"/>
    <w:rsid w:val="001304E9"/>
    <w:rsid w:val="001306A5"/>
    <w:rsid w:val="0013078C"/>
    <w:rsid w:val="00130807"/>
    <w:rsid w:val="00130B50"/>
    <w:rsid w:val="00130BB2"/>
    <w:rsid w:val="00130C2F"/>
    <w:rsid w:val="00130FAF"/>
    <w:rsid w:val="00130FB9"/>
    <w:rsid w:val="00131552"/>
    <w:rsid w:val="001315F1"/>
    <w:rsid w:val="0013192F"/>
    <w:rsid w:val="0013193F"/>
    <w:rsid w:val="00131A50"/>
    <w:rsid w:val="00131BA6"/>
    <w:rsid w:val="00131D82"/>
    <w:rsid w:val="001322F3"/>
    <w:rsid w:val="00132311"/>
    <w:rsid w:val="001326BC"/>
    <w:rsid w:val="00132932"/>
    <w:rsid w:val="00132A4C"/>
    <w:rsid w:val="00132A56"/>
    <w:rsid w:val="00132AE3"/>
    <w:rsid w:val="00132B22"/>
    <w:rsid w:val="00132B2C"/>
    <w:rsid w:val="00132E6E"/>
    <w:rsid w:val="00132F39"/>
    <w:rsid w:val="00132F52"/>
    <w:rsid w:val="00132FC2"/>
    <w:rsid w:val="00133049"/>
    <w:rsid w:val="001330C1"/>
    <w:rsid w:val="001330FF"/>
    <w:rsid w:val="00133292"/>
    <w:rsid w:val="001335DB"/>
    <w:rsid w:val="00133802"/>
    <w:rsid w:val="001339BD"/>
    <w:rsid w:val="00133A1A"/>
    <w:rsid w:val="00133D36"/>
    <w:rsid w:val="00133F22"/>
    <w:rsid w:val="00134077"/>
    <w:rsid w:val="001340C2"/>
    <w:rsid w:val="0013447C"/>
    <w:rsid w:val="00134524"/>
    <w:rsid w:val="00134535"/>
    <w:rsid w:val="00134BED"/>
    <w:rsid w:val="00134C6B"/>
    <w:rsid w:val="00134D47"/>
    <w:rsid w:val="00134E2F"/>
    <w:rsid w:val="00134E6B"/>
    <w:rsid w:val="001350AC"/>
    <w:rsid w:val="00135189"/>
    <w:rsid w:val="001354FB"/>
    <w:rsid w:val="001356E7"/>
    <w:rsid w:val="00135B29"/>
    <w:rsid w:val="00135C6D"/>
    <w:rsid w:val="00135CB5"/>
    <w:rsid w:val="00135D2F"/>
    <w:rsid w:val="00135E0D"/>
    <w:rsid w:val="00135FC3"/>
    <w:rsid w:val="001362B8"/>
    <w:rsid w:val="00136364"/>
    <w:rsid w:val="001364BD"/>
    <w:rsid w:val="0013699D"/>
    <w:rsid w:val="00136BCA"/>
    <w:rsid w:val="00136F8A"/>
    <w:rsid w:val="00136F8B"/>
    <w:rsid w:val="00137069"/>
    <w:rsid w:val="001370A8"/>
    <w:rsid w:val="00137120"/>
    <w:rsid w:val="001374C5"/>
    <w:rsid w:val="00137645"/>
    <w:rsid w:val="001376D2"/>
    <w:rsid w:val="0013776B"/>
    <w:rsid w:val="0013798C"/>
    <w:rsid w:val="00137C70"/>
    <w:rsid w:val="00137D52"/>
    <w:rsid w:val="00137D5A"/>
    <w:rsid w:val="001400F2"/>
    <w:rsid w:val="0014011E"/>
    <w:rsid w:val="0014015A"/>
    <w:rsid w:val="0014040F"/>
    <w:rsid w:val="00140509"/>
    <w:rsid w:val="00140A0D"/>
    <w:rsid w:val="00140E99"/>
    <w:rsid w:val="00140FDE"/>
    <w:rsid w:val="0014102B"/>
    <w:rsid w:val="0014118C"/>
    <w:rsid w:val="001411B0"/>
    <w:rsid w:val="0014131A"/>
    <w:rsid w:val="001416A1"/>
    <w:rsid w:val="0014198C"/>
    <w:rsid w:val="00141A66"/>
    <w:rsid w:val="00141C24"/>
    <w:rsid w:val="00141C7C"/>
    <w:rsid w:val="00141DDB"/>
    <w:rsid w:val="00141DFD"/>
    <w:rsid w:val="00141E81"/>
    <w:rsid w:val="00141ECA"/>
    <w:rsid w:val="00142059"/>
    <w:rsid w:val="001426F1"/>
    <w:rsid w:val="00142714"/>
    <w:rsid w:val="0014280B"/>
    <w:rsid w:val="00142EC1"/>
    <w:rsid w:val="00143011"/>
    <w:rsid w:val="0014310A"/>
    <w:rsid w:val="00143149"/>
    <w:rsid w:val="00143185"/>
    <w:rsid w:val="00143530"/>
    <w:rsid w:val="00143681"/>
    <w:rsid w:val="00143904"/>
    <w:rsid w:val="00143BF0"/>
    <w:rsid w:val="00143C1B"/>
    <w:rsid w:val="00143D79"/>
    <w:rsid w:val="00143ECC"/>
    <w:rsid w:val="00143EFB"/>
    <w:rsid w:val="00143F67"/>
    <w:rsid w:val="00143FEA"/>
    <w:rsid w:val="001441AA"/>
    <w:rsid w:val="0014438E"/>
    <w:rsid w:val="00144433"/>
    <w:rsid w:val="00144589"/>
    <w:rsid w:val="00144843"/>
    <w:rsid w:val="0014493B"/>
    <w:rsid w:val="00144D24"/>
    <w:rsid w:val="00144FE2"/>
    <w:rsid w:val="001450B7"/>
    <w:rsid w:val="00145171"/>
    <w:rsid w:val="00145234"/>
    <w:rsid w:val="00145257"/>
    <w:rsid w:val="001453D3"/>
    <w:rsid w:val="00145540"/>
    <w:rsid w:val="001456B0"/>
    <w:rsid w:val="0014581D"/>
    <w:rsid w:val="00145921"/>
    <w:rsid w:val="00145ACF"/>
    <w:rsid w:val="00145BBC"/>
    <w:rsid w:val="00145CBE"/>
    <w:rsid w:val="00145E12"/>
    <w:rsid w:val="00145F08"/>
    <w:rsid w:val="001461F9"/>
    <w:rsid w:val="001462E8"/>
    <w:rsid w:val="0014670A"/>
    <w:rsid w:val="001467D0"/>
    <w:rsid w:val="001468BF"/>
    <w:rsid w:val="0014698E"/>
    <w:rsid w:val="001469AF"/>
    <w:rsid w:val="00146C1F"/>
    <w:rsid w:val="00146E36"/>
    <w:rsid w:val="00146E64"/>
    <w:rsid w:val="00146EB7"/>
    <w:rsid w:val="0014714C"/>
    <w:rsid w:val="0014722F"/>
    <w:rsid w:val="001472B6"/>
    <w:rsid w:val="00147386"/>
    <w:rsid w:val="0014751D"/>
    <w:rsid w:val="00147649"/>
    <w:rsid w:val="00147CEF"/>
    <w:rsid w:val="00147FF6"/>
    <w:rsid w:val="001501EE"/>
    <w:rsid w:val="001502BD"/>
    <w:rsid w:val="001502F8"/>
    <w:rsid w:val="001503AA"/>
    <w:rsid w:val="001504BF"/>
    <w:rsid w:val="0015061C"/>
    <w:rsid w:val="00150649"/>
    <w:rsid w:val="00150B90"/>
    <w:rsid w:val="00150D14"/>
    <w:rsid w:val="00150D86"/>
    <w:rsid w:val="00150DE8"/>
    <w:rsid w:val="00150EE7"/>
    <w:rsid w:val="001517E8"/>
    <w:rsid w:val="00151990"/>
    <w:rsid w:val="0015199F"/>
    <w:rsid w:val="001519C4"/>
    <w:rsid w:val="001519DF"/>
    <w:rsid w:val="00151B54"/>
    <w:rsid w:val="00151D64"/>
    <w:rsid w:val="00151DF6"/>
    <w:rsid w:val="00152376"/>
    <w:rsid w:val="0015270E"/>
    <w:rsid w:val="0015288C"/>
    <w:rsid w:val="00152913"/>
    <w:rsid w:val="00152CA9"/>
    <w:rsid w:val="00152F9F"/>
    <w:rsid w:val="001530F0"/>
    <w:rsid w:val="001531C7"/>
    <w:rsid w:val="00153302"/>
    <w:rsid w:val="00153347"/>
    <w:rsid w:val="001533FE"/>
    <w:rsid w:val="00153472"/>
    <w:rsid w:val="001534A4"/>
    <w:rsid w:val="00153ABB"/>
    <w:rsid w:val="00153BB0"/>
    <w:rsid w:val="00153C5E"/>
    <w:rsid w:val="00153F73"/>
    <w:rsid w:val="00153FDF"/>
    <w:rsid w:val="0015412B"/>
    <w:rsid w:val="00154149"/>
    <w:rsid w:val="00154185"/>
    <w:rsid w:val="001542CD"/>
    <w:rsid w:val="001545CC"/>
    <w:rsid w:val="00154664"/>
    <w:rsid w:val="001547AB"/>
    <w:rsid w:val="00154825"/>
    <w:rsid w:val="0015483D"/>
    <w:rsid w:val="001548E7"/>
    <w:rsid w:val="00154B85"/>
    <w:rsid w:val="00154C17"/>
    <w:rsid w:val="00154FBE"/>
    <w:rsid w:val="001550B7"/>
    <w:rsid w:val="0015521B"/>
    <w:rsid w:val="001552AF"/>
    <w:rsid w:val="001553EF"/>
    <w:rsid w:val="00155574"/>
    <w:rsid w:val="0015572D"/>
    <w:rsid w:val="00155EFB"/>
    <w:rsid w:val="00155F9E"/>
    <w:rsid w:val="00156216"/>
    <w:rsid w:val="00156385"/>
    <w:rsid w:val="001565CC"/>
    <w:rsid w:val="001569CD"/>
    <w:rsid w:val="00156D23"/>
    <w:rsid w:val="00156DBF"/>
    <w:rsid w:val="00156F8F"/>
    <w:rsid w:val="00157130"/>
    <w:rsid w:val="00157163"/>
    <w:rsid w:val="0015720E"/>
    <w:rsid w:val="00157217"/>
    <w:rsid w:val="0015756D"/>
    <w:rsid w:val="001575AD"/>
    <w:rsid w:val="001576B1"/>
    <w:rsid w:val="00157741"/>
    <w:rsid w:val="001577F4"/>
    <w:rsid w:val="001578ED"/>
    <w:rsid w:val="00157CDA"/>
    <w:rsid w:val="00157E40"/>
    <w:rsid w:val="0016037D"/>
    <w:rsid w:val="0016047B"/>
    <w:rsid w:val="0016052F"/>
    <w:rsid w:val="00160A4C"/>
    <w:rsid w:val="00160AC7"/>
    <w:rsid w:val="00160C4A"/>
    <w:rsid w:val="00160D36"/>
    <w:rsid w:val="00160D39"/>
    <w:rsid w:val="00160D3A"/>
    <w:rsid w:val="00161237"/>
    <w:rsid w:val="001612F1"/>
    <w:rsid w:val="001613D1"/>
    <w:rsid w:val="0016199D"/>
    <w:rsid w:val="00161D50"/>
    <w:rsid w:val="00161FBE"/>
    <w:rsid w:val="001620A9"/>
    <w:rsid w:val="001620C4"/>
    <w:rsid w:val="001621B7"/>
    <w:rsid w:val="0016228E"/>
    <w:rsid w:val="001622F4"/>
    <w:rsid w:val="0016237C"/>
    <w:rsid w:val="00162593"/>
    <w:rsid w:val="0016273F"/>
    <w:rsid w:val="00162913"/>
    <w:rsid w:val="00162C87"/>
    <w:rsid w:val="00162EE8"/>
    <w:rsid w:val="00163016"/>
    <w:rsid w:val="001630A9"/>
    <w:rsid w:val="001631F0"/>
    <w:rsid w:val="001633FD"/>
    <w:rsid w:val="001634B3"/>
    <w:rsid w:val="001638F0"/>
    <w:rsid w:val="00163AB9"/>
    <w:rsid w:val="00163C64"/>
    <w:rsid w:val="00163E50"/>
    <w:rsid w:val="00163EFF"/>
    <w:rsid w:val="00163F66"/>
    <w:rsid w:val="00163F8E"/>
    <w:rsid w:val="001640A6"/>
    <w:rsid w:val="001640CE"/>
    <w:rsid w:val="00164187"/>
    <w:rsid w:val="001641C8"/>
    <w:rsid w:val="0016445C"/>
    <w:rsid w:val="001646F4"/>
    <w:rsid w:val="0016478E"/>
    <w:rsid w:val="001649A3"/>
    <w:rsid w:val="001649CA"/>
    <w:rsid w:val="00164A28"/>
    <w:rsid w:val="00164A98"/>
    <w:rsid w:val="00164B50"/>
    <w:rsid w:val="00164C69"/>
    <w:rsid w:val="00164DA2"/>
    <w:rsid w:val="00164E62"/>
    <w:rsid w:val="00165484"/>
    <w:rsid w:val="00165700"/>
    <w:rsid w:val="0016597B"/>
    <w:rsid w:val="00165D24"/>
    <w:rsid w:val="00165D92"/>
    <w:rsid w:val="00165E04"/>
    <w:rsid w:val="00165EC4"/>
    <w:rsid w:val="001660F4"/>
    <w:rsid w:val="001661FB"/>
    <w:rsid w:val="001662E8"/>
    <w:rsid w:val="00166627"/>
    <w:rsid w:val="001666DE"/>
    <w:rsid w:val="00166886"/>
    <w:rsid w:val="001668B1"/>
    <w:rsid w:val="00166D4E"/>
    <w:rsid w:val="00166E0E"/>
    <w:rsid w:val="00166EAE"/>
    <w:rsid w:val="00166EC8"/>
    <w:rsid w:val="00166F70"/>
    <w:rsid w:val="00166F98"/>
    <w:rsid w:val="0016713B"/>
    <w:rsid w:val="001671A0"/>
    <w:rsid w:val="00167234"/>
    <w:rsid w:val="00167524"/>
    <w:rsid w:val="001675BE"/>
    <w:rsid w:val="0016767F"/>
    <w:rsid w:val="001679D0"/>
    <w:rsid w:val="00167A69"/>
    <w:rsid w:val="00167A7E"/>
    <w:rsid w:val="00167D0F"/>
    <w:rsid w:val="00167F57"/>
    <w:rsid w:val="00167F7E"/>
    <w:rsid w:val="00170123"/>
    <w:rsid w:val="00170224"/>
    <w:rsid w:val="001703E2"/>
    <w:rsid w:val="00170462"/>
    <w:rsid w:val="00170906"/>
    <w:rsid w:val="00170A52"/>
    <w:rsid w:val="00170A73"/>
    <w:rsid w:val="00170C52"/>
    <w:rsid w:val="00170E2E"/>
    <w:rsid w:val="00170F2F"/>
    <w:rsid w:val="00170FC0"/>
    <w:rsid w:val="00170FF5"/>
    <w:rsid w:val="00171089"/>
    <w:rsid w:val="001712A5"/>
    <w:rsid w:val="00171507"/>
    <w:rsid w:val="001716B4"/>
    <w:rsid w:val="001717CE"/>
    <w:rsid w:val="0017189B"/>
    <w:rsid w:val="0017197B"/>
    <w:rsid w:val="00171A59"/>
    <w:rsid w:val="00171D7F"/>
    <w:rsid w:val="00171EFE"/>
    <w:rsid w:val="001724C1"/>
    <w:rsid w:val="0017253F"/>
    <w:rsid w:val="001725F0"/>
    <w:rsid w:val="001727B3"/>
    <w:rsid w:val="001728D2"/>
    <w:rsid w:val="00172941"/>
    <w:rsid w:val="00172C71"/>
    <w:rsid w:val="001733AA"/>
    <w:rsid w:val="0017352D"/>
    <w:rsid w:val="00173565"/>
    <w:rsid w:val="001736F8"/>
    <w:rsid w:val="00173B07"/>
    <w:rsid w:val="00173B2D"/>
    <w:rsid w:val="001740F9"/>
    <w:rsid w:val="001741D5"/>
    <w:rsid w:val="0017436F"/>
    <w:rsid w:val="001743BF"/>
    <w:rsid w:val="001745BB"/>
    <w:rsid w:val="001745DE"/>
    <w:rsid w:val="001747BE"/>
    <w:rsid w:val="00174840"/>
    <w:rsid w:val="001748EF"/>
    <w:rsid w:val="001748F0"/>
    <w:rsid w:val="00174928"/>
    <w:rsid w:val="00174A29"/>
    <w:rsid w:val="00174B8C"/>
    <w:rsid w:val="00174BC1"/>
    <w:rsid w:val="00174BE6"/>
    <w:rsid w:val="001750A9"/>
    <w:rsid w:val="001751E0"/>
    <w:rsid w:val="001751FA"/>
    <w:rsid w:val="00175351"/>
    <w:rsid w:val="001758A7"/>
    <w:rsid w:val="00175909"/>
    <w:rsid w:val="0017596F"/>
    <w:rsid w:val="00175AE8"/>
    <w:rsid w:val="00175BE3"/>
    <w:rsid w:val="00175DEE"/>
    <w:rsid w:val="00175E95"/>
    <w:rsid w:val="00175F4E"/>
    <w:rsid w:val="0017603A"/>
    <w:rsid w:val="0017604D"/>
    <w:rsid w:val="0017644B"/>
    <w:rsid w:val="0017649D"/>
    <w:rsid w:val="0017653A"/>
    <w:rsid w:val="00176605"/>
    <w:rsid w:val="001766B7"/>
    <w:rsid w:val="001768C3"/>
    <w:rsid w:val="00176AA6"/>
    <w:rsid w:val="00176B3D"/>
    <w:rsid w:val="00176CFC"/>
    <w:rsid w:val="00176DF3"/>
    <w:rsid w:val="00176DF8"/>
    <w:rsid w:val="00176E5B"/>
    <w:rsid w:val="001770A7"/>
    <w:rsid w:val="00177700"/>
    <w:rsid w:val="00177796"/>
    <w:rsid w:val="001777E0"/>
    <w:rsid w:val="001779B8"/>
    <w:rsid w:val="00177A09"/>
    <w:rsid w:val="00177A98"/>
    <w:rsid w:val="00177AF2"/>
    <w:rsid w:val="00177DDB"/>
    <w:rsid w:val="00177F5B"/>
    <w:rsid w:val="00177FEA"/>
    <w:rsid w:val="00177FED"/>
    <w:rsid w:val="001800F1"/>
    <w:rsid w:val="0018033B"/>
    <w:rsid w:val="001805CE"/>
    <w:rsid w:val="001806E2"/>
    <w:rsid w:val="00180870"/>
    <w:rsid w:val="001809AD"/>
    <w:rsid w:val="001809F0"/>
    <w:rsid w:val="00180C95"/>
    <w:rsid w:val="00180EB3"/>
    <w:rsid w:val="00180FB7"/>
    <w:rsid w:val="0018145E"/>
    <w:rsid w:val="0018148A"/>
    <w:rsid w:val="00181687"/>
    <w:rsid w:val="001819A5"/>
    <w:rsid w:val="001819C9"/>
    <w:rsid w:val="00181C10"/>
    <w:rsid w:val="00181D3C"/>
    <w:rsid w:val="00181D9C"/>
    <w:rsid w:val="00181F74"/>
    <w:rsid w:val="00181FD7"/>
    <w:rsid w:val="00182018"/>
    <w:rsid w:val="001821C0"/>
    <w:rsid w:val="00182571"/>
    <w:rsid w:val="00182587"/>
    <w:rsid w:val="001826DB"/>
    <w:rsid w:val="001826F9"/>
    <w:rsid w:val="00182803"/>
    <w:rsid w:val="00182859"/>
    <w:rsid w:val="001828DE"/>
    <w:rsid w:val="00182ADE"/>
    <w:rsid w:val="00182C9C"/>
    <w:rsid w:val="00182F6C"/>
    <w:rsid w:val="00183021"/>
    <w:rsid w:val="00183111"/>
    <w:rsid w:val="00183386"/>
    <w:rsid w:val="00183440"/>
    <w:rsid w:val="00183564"/>
    <w:rsid w:val="001835F6"/>
    <w:rsid w:val="001837FF"/>
    <w:rsid w:val="0018389E"/>
    <w:rsid w:val="00183985"/>
    <w:rsid w:val="00183AD3"/>
    <w:rsid w:val="00183C11"/>
    <w:rsid w:val="00183EFC"/>
    <w:rsid w:val="001841E9"/>
    <w:rsid w:val="0018442D"/>
    <w:rsid w:val="00184534"/>
    <w:rsid w:val="001849EA"/>
    <w:rsid w:val="00184A96"/>
    <w:rsid w:val="00184B0E"/>
    <w:rsid w:val="00184F6D"/>
    <w:rsid w:val="00184F99"/>
    <w:rsid w:val="00184FB0"/>
    <w:rsid w:val="001850C3"/>
    <w:rsid w:val="0018517A"/>
    <w:rsid w:val="00185489"/>
    <w:rsid w:val="001855B9"/>
    <w:rsid w:val="00185964"/>
    <w:rsid w:val="00185A4F"/>
    <w:rsid w:val="00185B13"/>
    <w:rsid w:val="00185B19"/>
    <w:rsid w:val="00185B3E"/>
    <w:rsid w:val="00185C90"/>
    <w:rsid w:val="0018609F"/>
    <w:rsid w:val="001860EC"/>
    <w:rsid w:val="001861BA"/>
    <w:rsid w:val="0018625A"/>
    <w:rsid w:val="00186394"/>
    <w:rsid w:val="001864F4"/>
    <w:rsid w:val="001869D0"/>
    <w:rsid w:val="00186CB9"/>
    <w:rsid w:val="001874E5"/>
    <w:rsid w:val="0018752F"/>
    <w:rsid w:val="00187657"/>
    <w:rsid w:val="001876BC"/>
    <w:rsid w:val="001876EC"/>
    <w:rsid w:val="0018786F"/>
    <w:rsid w:val="0018799C"/>
    <w:rsid w:val="00187EA8"/>
    <w:rsid w:val="0019002D"/>
    <w:rsid w:val="0019007D"/>
    <w:rsid w:val="00190198"/>
    <w:rsid w:val="001901C1"/>
    <w:rsid w:val="001906B9"/>
    <w:rsid w:val="00190731"/>
    <w:rsid w:val="00190838"/>
    <w:rsid w:val="00190879"/>
    <w:rsid w:val="001908A9"/>
    <w:rsid w:val="00190A24"/>
    <w:rsid w:val="00190A8F"/>
    <w:rsid w:val="00190CAB"/>
    <w:rsid w:val="00190D93"/>
    <w:rsid w:val="00190F24"/>
    <w:rsid w:val="00191044"/>
    <w:rsid w:val="0019104E"/>
    <w:rsid w:val="00191510"/>
    <w:rsid w:val="001915D1"/>
    <w:rsid w:val="001915F4"/>
    <w:rsid w:val="001917CA"/>
    <w:rsid w:val="0019181E"/>
    <w:rsid w:val="001918A6"/>
    <w:rsid w:val="001918B7"/>
    <w:rsid w:val="00191C63"/>
    <w:rsid w:val="00191CE3"/>
    <w:rsid w:val="0019203D"/>
    <w:rsid w:val="00192050"/>
    <w:rsid w:val="0019209C"/>
    <w:rsid w:val="001924F0"/>
    <w:rsid w:val="001928A0"/>
    <w:rsid w:val="00192F86"/>
    <w:rsid w:val="00193039"/>
    <w:rsid w:val="001932AA"/>
    <w:rsid w:val="0019378A"/>
    <w:rsid w:val="001937A6"/>
    <w:rsid w:val="00193838"/>
    <w:rsid w:val="00193A20"/>
    <w:rsid w:val="00193D5C"/>
    <w:rsid w:val="00193DBE"/>
    <w:rsid w:val="0019415E"/>
    <w:rsid w:val="00194222"/>
    <w:rsid w:val="0019429A"/>
    <w:rsid w:val="00194401"/>
    <w:rsid w:val="0019487C"/>
    <w:rsid w:val="0019492E"/>
    <w:rsid w:val="00194AD8"/>
    <w:rsid w:val="00194C71"/>
    <w:rsid w:val="00194F7E"/>
    <w:rsid w:val="00195048"/>
    <w:rsid w:val="00195222"/>
    <w:rsid w:val="00195452"/>
    <w:rsid w:val="001959AA"/>
    <w:rsid w:val="00195D0D"/>
    <w:rsid w:val="00195DB6"/>
    <w:rsid w:val="00196073"/>
    <w:rsid w:val="0019609D"/>
    <w:rsid w:val="00196527"/>
    <w:rsid w:val="00196585"/>
    <w:rsid w:val="00196769"/>
    <w:rsid w:val="00196CF1"/>
    <w:rsid w:val="00196D51"/>
    <w:rsid w:val="00196E0D"/>
    <w:rsid w:val="00197011"/>
    <w:rsid w:val="00197170"/>
    <w:rsid w:val="0019747E"/>
    <w:rsid w:val="001974C6"/>
    <w:rsid w:val="001974DB"/>
    <w:rsid w:val="001975C9"/>
    <w:rsid w:val="001975D8"/>
    <w:rsid w:val="001976ED"/>
    <w:rsid w:val="0019788D"/>
    <w:rsid w:val="00197B0E"/>
    <w:rsid w:val="00197CC0"/>
    <w:rsid w:val="00197D1D"/>
    <w:rsid w:val="00197F03"/>
    <w:rsid w:val="001A014E"/>
    <w:rsid w:val="001A0596"/>
    <w:rsid w:val="001A074E"/>
    <w:rsid w:val="001A08D5"/>
    <w:rsid w:val="001A09BA"/>
    <w:rsid w:val="001A0C80"/>
    <w:rsid w:val="001A0CD3"/>
    <w:rsid w:val="001A0CF0"/>
    <w:rsid w:val="001A0DDC"/>
    <w:rsid w:val="001A0E03"/>
    <w:rsid w:val="001A114E"/>
    <w:rsid w:val="001A1298"/>
    <w:rsid w:val="001A12F1"/>
    <w:rsid w:val="001A13AA"/>
    <w:rsid w:val="001A13B7"/>
    <w:rsid w:val="001A15AA"/>
    <w:rsid w:val="001A178E"/>
    <w:rsid w:val="001A19AB"/>
    <w:rsid w:val="001A1AD7"/>
    <w:rsid w:val="001A1B73"/>
    <w:rsid w:val="001A1D88"/>
    <w:rsid w:val="001A1E92"/>
    <w:rsid w:val="001A1EEB"/>
    <w:rsid w:val="001A2013"/>
    <w:rsid w:val="001A2345"/>
    <w:rsid w:val="001A237F"/>
    <w:rsid w:val="001A23A5"/>
    <w:rsid w:val="001A23B3"/>
    <w:rsid w:val="001A2A9A"/>
    <w:rsid w:val="001A2AAE"/>
    <w:rsid w:val="001A2C7C"/>
    <w:rsid w:val="001A2E82"/>
    <w:rsid w:val="001A2FCB"/>
    <w:rsid w:val="001A303B"/>
    <w:rsid w:val="001A3179"/>
    <w:rsid w:val="001A325B"/>
    <w:rsid w:val="001A330C"/>
    <w:rsid w:val="001A3417"/>
    <w:rsid w:val="001A34F8"/>
    <w:rsid w:val="001A35DA"/>
    <w:rsid w:val="001A363F"/>
    <w:rsid w:val="001A36DC"/>
    <w:rsid w:val="001A36F4"/>
    <w:rsid w:val="001A39A3"/>
    <w:rsid w:val="001A39E7"/>
    <w:rsid w:val="001A4143"/>
    <w:rsid w:val="001A422E"/>
    <w:rsid w:val="001A4297"/>
    <w:rsid w:val="001A42EA"/>
    <w:rsid w:val="001A43FA"/>
    <w:rsid w:val="001A4596"/>
    <w:rsid w:val="001A47C5"/>
    <w:rsid w:val="001A49BB"/>
    <w:rsid w:val="001A4A77"/>
    <w:rsid w:val="001A4CAE"/>
    <w:rsid w:val="001A4EC5"/>
    <w:rsid w:val="001A51AC"/>
    <w:rsid w:val="001A53D1"/>
    <w:rsid w:val="001A547E"/>
    <w:rsid w:val="001A59FB"/>
    <w:rsid w:val="001A5B5B"/>
    <w:rsid w:val="001A5D61"/>
    <w:rsid w:val="001A5E9E"/>
    <w:rsid w:val="001A5FD5"/>
    <w:rsid w:val="001A6155"/>
    <w:rsid w:val="001A6354"/>
    <w:rsid w:val="001A6366"/>
    <w:rsid w:val="001A64C0"/>
    <w:rsid w:val="001A664C"/>
    <w:rsid w:val="001A66E9"/>
    <w:rsid w:val="001A6864"/>
    <w:rsid w:val="001A6868"/>
    <w:rsid w:val="001A69F0"/>
    <w:rsid w:val="001A6E5F"/>
    <w:rsid w:val="001A6EBF"/>
    <w:rsid w:val="001A706A"/>
    <w:rsid w:val="001A7116"/>
    <w:rsid w:val="001A7474"/>
    <w:rsid w:val="001A751B"/>
    <w:rsid w:val="001A7657"/>
    <w:rsid w:val="001A7800"/>
    <w:rsid w:val="001A7912"/>
    <w:rsid w:val="001A7A3C"/>
    <w:rsid w:val="001A7AE8"/>
    <w:rsid w:val="001A7DB1"/>
    <w:rsid w:val="001A7F26"/>
    <w:rsid w:val="001A7FDB"/>
    <w:rsid w:val="001B0045"/>
    <w:rsid w:val="001B0266"/>
    <w:rsid w:val="001B046D"/>
    <w:rsid w:val="001B0881"/>
    <w:rsid w:val="001B0A44"/>
    <w:rsid w:val="001B0AE7"/>
    <w:rsid w:val="001B0B25"/>
    <w:rsid w:val="001B0BD3"/>
    <w:rsid w:val="001B0D61"/>
    <w:rsid w:val="001B0F98"/>
    <w:rsid w:val="001B1172"/>
    <w:rsid w:val="001B1179"/>
    <w:rsid w:val="001B123F"/>
    <w:rsid w:val="001B14D5"/>
    <w:rsid w:val="001B156F"/>
    <w:rsid w:val="001B16CD"/>
    <w:rsid w:val="001B172B"/>
    <w:rsid w:val="001B177F"/>
    <w:rsid w:val="001B1B18"/>
    <w:rsid w:val="001B1CCE"/>
    <w:rsid w:val="001B1D4F"/>
    <w:rsid w:val="001B1DB5"/>
    <w:rsid w:val="001B1FD2"/>
    <w:rsid w:val="001B204E"/>
    <w:rsid w:val="001B230E"/>
    <w:rsid w:val="001B2372"/>
    <w:rsid w:val="001B2706"/>
    <w:rsid w:val="001B2726"/>
    <w:rsid w:val="001B27F4"/>
    <w:rsid w:val="001B285E"/>
    <w:rsid w:val="001B291A"/>
    <w:rsid w:val="001B2929"/>
    <w:rsid w:val="001B29B4"/>
    <w:rsid w:val="001B2ABE"/>
    <w:rsid w:val="001B2B41"/>
    <w:rsid w:val="001B2B59"/>
    <w:rsid w:val="001B2F04"/>
    <w:rsid w:val="001B3169"/>
    <w:rsid w:val="001B3242"/>
    <w:rsid w:val="001B3311"/>
    <w:rsid w:val="001B3443"/>
    <w:rsid w:val="001B3530"/>
    <w:rsid w:val="001B35FA"/>
    <w:rsid w:val="001B3842"/>
    <w:rsid w:val="001B3998"/>
    <w:rsid w:val="001B3B99"/>
    <w:rsid w:val="001B3BC6"/>
    <w:rsid w:val="001B3F6E"/>
    <w:rsid w:val="001B40EB"/>
    <w:rsid w:val="001B4420"/>
    <w:rsid w:val="001B44E1"/>
    <w:rsid w:val="001B455B"/>
    <w:rsid w:val="001B46DA"/>
    <w:rsid w:val="001B4758"/>
    <w:rsid w:val="001B494D"/>
    <w:rsid w:val="001B4B27"/>
    <w:rsid w:val="001B4B28"/>
    <w:rsid w:val="001B4BEE"/>
    <w:rsid w:val="001B4D20"/>
    <w:rsid w:val="001B4F92"/>
    <w:rsid w:val="001B4FB9"/>
    <w:rsid w:val="001B4FD9"/>
    <w:rsid w:val="001B50EF"/>
    <w:rsid w:val="001B55FC"/>
    <w:rsid w:val="001B5863"/>
    <w:rsid w:val="001B5BC8"/>
    <w:rsid w:val="001B5BF3"/>
    <w:rsid w:val="001B5F8F"/>
    <w:rsid w:val="001B6023"/>
    <w:rsid w:val="001B65CD"/>
    <w:rsid w:val="001B6813"/>
    <w:rsid w:val="001B6819"/>
    <w:rsid w:val="001B6893"/>
    <w:rsid w:val="001B6C01"/>
    <w:rsid w:val="001B6C8A"/>
    <w:rsid w:val="001B6E89"/>
    <w:rsid w:val="001B6FC5"/>
    <w:rsid w:val="001B727D"/>
    <w:rsid w:val="001B738B"/>
    <w:rsid w:val="001B74BC"/>
    <w:rsid w:val="001B75B2"/>
    <w:rsid w:val="001B7624"/>
    <w:rsid w:val="001B76F1"/>
    <w:rsid w:val="001B7927"/>
    <w:rsid w:val="001B7A88"/>
    <w:rsid w:val="001B7A89"/>
    <w:rsid w:val="001B7DDB"/>
    <w:rsid w:val="001B7DFA"/>
    <w:rsid w:val="001B7F84"/>
    <w:rsid w:val="001B7F9D"/>
    <w:rsid w:val="001C0039"/>
    <w:rsid w:val="001C0179"/>
    <w:rsid w:val="001C02CA"/>
    <w:rsid w:val="001C033A"/>
    <w:rsid w:val="001C0450"/>
    <w:rsid w:val="001C0520"/>
    <w:rsid w:val="001C0854"/>
    <w:rsid w:val="001C08D6"/>
    <w:rsid w:val="001C0ABD"/>
    <w:rsid w:val="001C0EEB"/>
    <w:rsid w:val="001C0F15"/>
    <w:rsid w:val="001C100F"/>
    <w:rsid w:val="001C1030"/>
    <w:rsid w:val="001C113C"/>
    <w:rsid w:val="001C1175"/>
    <w:rsid w:val="001C1203"/>
    <w:rsid w:val="001C14D4"/>
    <w:rsid w:val="001C1576"/>
    <w:rsid w:val="001C15DE"/>
    <w:rsid w:val="001C1A6C"/>
    <w:rsid w:val="001C1B9D"/>
    <w:rsid w:val="001C1D6A"/>
    <w:rsid w:val="001C1DA1"/>
    <w:rsid w:val="001C1F27"/>
    <w:rsid w:val="001C1F73"/>
    <w:rsid w:val="001C20C6"/>
    <w:rsid w:val="001C214C"/>
    <w:rsid w:val="001C217F"/>
    <w:rsid w:val="001C2458"/>
    <w:rsid w:val="001C2772"/>
    <w:rsid w:val="001C2898"/>
    <w:rsid w:val="001C292B"/>
    <w:rsid w:val="001C2A9B"/>
    <w:rsid w:val="001C2C13"/>
    <w:rsid w:val="001C2CD0"/>
    <w:rsid w:val="001C2E4A"/>
    <w:rsid w:val="001C2EA0"/>
    <w:rsid w:val="001C2EDD"/>
    <w:rsid w:val="001C3351"/>
    <w:rsid w:val="001C3396"/>
    <w:rsid w:val="001C3758"/>
    <w:rsid w:val="001C3825"/>
    <w:rsid w:val="001C3972"/>
    <w:rsid w:val="001C3A18"/>
    <w:rsid w:val="001C3A43"/>
    <w:rsid w:val="001C3B20"/>
    <w:rsid w:val="001C3BAC"/>
    <w:rsid w:val="001C3DD6"/>
    <w:rsid w:val="001C3F9C"/>
    <w:rsid w:val="001C4128"/>
    <w:rsid w:val="001C4299"/>
    <w:rsid w:val="001C45E0"/>
    <w:rsid w:val="001C461B"/>
    <w:rsid w:val="001C4867"/>
    <w:rsid w:val="001C4874"/>
    <w:rsid w:val="001C48AA"/>
    <w:rsid w:val="001C4911"/>
    <w:rsid w:val="001C4A03"/>
    <w:rsid w:val="001C4B49"/>
    <w:rsid w:val="001C4B95"/>
    <w:rsid w:val="001C4BDB"/>
    <w:rsid w:val="001C4FB7"/>
    <w:rsid w:val="001C5166"/>
    <w:rsid w:val="001C5172"/>
    <w:rsid w:val="001C5185"/>
    <w:rsid w:val="001C51F2"/>
    <w:rsid w:val="001C5284"/>
    <w:rsid w:val="001C5470"/>
    <w:rsid w:val="001C547A"/>
    <w:rsid w:val="001C5653"/>
    <w:rsid w:val="001C58A0"/>
    <w:rsid w:val="001C598F"/>
    <w:rsid w:val="001C5F94"/>
    <w:rsid w:val="001C5FA2"/>
    <w:rsid w:val="001C6032"/>
    <w:rsid w:val="001C61DE"/>
    <w:rsid w:val="001C65DA"/>
    <w:rsid w:val="001C6761"/>
    <w:rsid w:val="001C6A0A"/>
    <w:rsid w:val="001C6BD3"/>
    <w:rsid w:val="001C6E66"/>
    <w:rsid w:val="001C6E6B"/>
    <w:rsid w:val="001C6F5B"/>
    <w:rsid w:val="001C71A9"/>
    <w:rsid w:val="001C720A"/>
    <w:rsid w:val="001C74B0"/>
    <w:rsid w:val="001C751F"/>
    <w:rsid w:val="001C77AA"/>
    <w:rsid w:val="001C7C10"/>
    <w:rsid w:val="001C7C7D"/>
    <w:rsid w:val="001C7CAD"/>
    <w:rsid w:val="001C7E41"/>
    <w:rsid w:val="001D0157"/>
    <w:rsid w:val="001D0256"/>
    <w:rsid w:val="001D0467"/>
    <w:rsid w:val="001D077E"/>
    <w:rsid w:val="001D0EA5"/>
    <w:rsid w:val="001D0F63"/>
    <w:rsid w:val="001D0F7C"/>
    <w:rsid w:val="001D0FFE"/>
    <w:rsid w:val="001D1100"/>
    <w:rsid w:val="001D1123"/>
    <w:rsid w:val="001D11DE"/>
    <w:rsid w:val="001D1391"/>
    <w:rsid w:val="001D16C4"/>
    <w:rsid w:val="001D17C2"/>
    <w:rsid w:val="001D18C2"/>
    <w:rsid w:val="001D219A"/>
    <w:rsid w:val="001D23E5"/>
    <w:rsid w:val="001D2478"/>
    <w:rsid w:val="001D25D7"/>
    <w:rsid w:val="001D277D"/>
    <w:rsid w:val="001D2960"/>
    <w:rsid w:val="001D2AD8"/>
    <w:rsid w:val="001D2DBF"/>
    <w:rsid w:val="001D2EB0"/>
    <w:rsid w:val="001D2F99"/>
    <w:rsid w:val="001D30E9"/>
    <w:rsid w:val="001D3566"/>
    <w:rsid w:val="001D35A2"/>
    <w:rsid w:val="001D35D3"/>
    <w:rsid w:val="001D35F9"/>
    <w:rsid w:val="001D36F0"/>
    <w:rsid w:val="001D3889"/>
    <w:rsid w:val="001D39BB"/>
    <w:rsid w:val="001D3AD3"/>
    <w:rsid w:val="001D3B33"/>
    <w:rsid w:val="001D3B4D"/>
    <w:rsid w:val="001D3DB1"/>
    <w:rsid w:val="001D3F55"/>
    <w:rsid w:val="001D3FAB"/>
    <w:rsid w:val="001D4022"/>
    <w:rsid w:val="001D409E"/>
    <w:rsid w:val="001D40BC"/>
    <w:rsid w:val="001D4337"/>
    <w:rsid w:val="001D438D"/>
    <w:rsid w:val="001D46AD"/>
    <w:rsid w:val="001D4A88"/>
    <w:rsid w:val="001D4B8B"/>
    <w:rsid w:val="001D4C12"/>
    <w:rsid w:val="001D4C28"/>
    <w:rsid w:val="001D4D09"/>
    <w:rsid w:val="001D4D4A"/>
    <w:rsid w:val="001D4F9F"/>
    <w:rsid w:val="001D50B2"/>
    <w:rsid w:val="001D5159"/>
    <w:rsid w:val="001D5192"/>
    <w:rsid w:val="001D54D8"/>
    <w:rsid w:val="001D5565"/>
    <w:rsid w:val="001D56FA"/>
    <w:rsid w:val="001D5746"/>
    <w:rsid w:val="001D578B"/>
    <w:rsid w:val="001D5830"/>
    <w:rsid w:val="001D595B"/>
    <w:rsid w:val="001D59F8"/>
    <w:rsid w:val="001D5A1D"/>
    <w:rsid w:val="001D605E"/>
    <w:rsid w:val="001D612F"/>
    <w:rsid w:val="001D67B6"/>
    <w:rsid w:val="001D6812"/>
    <w:rsid w:val="001D6A4A"/>
    <w:rsid w:val="001D6D4F"/>
    <w:rsid w:val="001D6E95"/>
    <w:rsid w:val="001D6F71"/>
    <w:rsid w:val="001D71F4"/>
    <w:rsid w:val="001D7645"/>
    <w:rsid w:val="001D77BA"/>
    <w:rsid w:val="001D77D3"/>
    <w:rsid w:val="001D7810"/>
    <w:rsid w:val="001D78D9"/>
    <w:rsid w:val="001D79FD"/>
    <w:rsid w:val="001D7A35"/>
    <w:rsid w:val="001D7A38"/>
    <w:rsid w:val="001D7AF9"/>
    <w:rsid w:val="001D7D5E"/>
    <w:rsid w:val="001D7F05"/>
    <w:rsid w:val="001D7F29"/>
    <w:rsid w:val="001D7F3B"/>
    <w:rsid w:val="001E00E2"/>
    <w:rsid w:val="001E0198"/>
    <w:rsid w:val="001E01C2"/>
    <w:rsid w:val="001E0427"/>
    <w:rsid w:val="001E05A8"/>
    <w:rsid w:val="001E09B2"/>
    <w:rsid w:val="001E0B43"/>
    <w:rsid w:val="001E0BF3"/>
    <w:rsid w:val="001E0D97"/>
    <w:rsid w:val="001E119B"/>
    <w:rsid w:val="001E11F3"/>
    <w:rsid w:val="001E11F4"/>
    <w:rsid w:val="001E135C"/>
    <w:rsid w:val="001E1538"/>
    <w:rsid w:val="001E154F"/>
    <w:rsid w:val="001E1845"/>
    <w:rsid w:val="001E1A8D"/>
    <w:rsid w:val="001E1CD2"/>
    <w:rsid w:val="001E1E86"/>
    <w:rsid w:val="001E234C"/>
    <w:rsid w:val="001E238E"/>
    <w:rsid w:val="001E2483"/>
    <w:rsid w:val="001E2573"/>
    <w:rsid w:val="001E26E1"/>
    <w:rsid w:val="001E2821"/>
    <w:rsid w:val="001E29A9"/>
    <w:rsid w:val="001E29B3"/>
    <w:rsid w:val="001E2A6C"/>
    <w:rsid w:val="001E2AD9"/>
    <w:rsid w:val="001E2B1E"/>
    <w:rsid w:val="001E2CFF"/>
    <w:rsid w:val="001E2E12"/>
    <w:rsid w:val="001E2F24"/>
    <w:rsid w:val="001E300E"/>
    <w:rsid w:val="001E30D4"/>
    <w:rsid w:val="001E3349"/>
    <w:rsid w:val="001E3412"/>
    <w:rsid w:val="001E34DF"/>
    <w:rsid w:val="001E3557"/>
    <w:rsid w:val="001E35A1"/>
    <w:rsid w:val="001E35D5"/>
    <w:rsid w:val="001E378C"/>
    <w:rsid w:val="001E3879"/>
    <w:rsid w:val="001E3D2D"/>
    <w:rsid w:val="001E3D5A"/>
    <w:rsid w:val="001E3E07"/>
    <w:rsid w:val="001E40AD"/>
    <w:rsid w:val="001E43B6"/>
    <w:rsid w:val="001E46EF"/>
    <w:rsid w:val="001E4747"/>
    <w:rsid w:val="001E4780"/>
    <w:rsid w:val="001E4937"/>
    <w:rsid w:val="001E4BBC"/>
    <w:rsid w:val="001E4CE4"/>
    <w:rsid w:val="001E4D1C"/>
    <w:rsid w:val="001E4D67"/>
    <w:rsid w:val="001E4E80"/>
    <w:rsid w:val="001E4F18"/>
    <w:rsid w:val="001E4FF2"/>
    <w:rsid w:val="001E50D9"/>
    <w:rsid w:val="001E52EB"/>
    <w:rsid w:val="001E5771"/>
    <w:rsid w:val="001E57D8"/>
    <w:rsid w:val="001E58D5"/>
    <w:rsid w:val="001E59A5"/>
    <w:rsid w:val="001E5A49"/>
    <w:rsid w:val="001E5A8F"/>
    <w:rsid w:val="001E5C98"/>
    <w:rsid w:val="001E5DE8"/>
    <w:rsid w:val="001E606A"/>
    <w:rsid w:val="001E61D2"/>
    <w:rsid w:val="001E6595"/>
    <w:rsid w:val="001E66FA"/>
    <w:rsid w:val="001E687D"/>
    <w:rsid w:val="001E68BB"/>
    <w:rsid w:val="001E6994"/>
    <w:rsid w:val="001E69CE"/>
    <w:rsid w:val="001E6B38"/>
    <w:rsid w:val="001E7000"/>
    <w:rsid w:val="001E7031"/>
    <w:rsid w:val="001E70C2"/>
    <w:rsid w:val="001E70EC"/>
    <w:rsid w:val="001E7308"/>
    <w:rsid w:val="001E7325"/>
    <w:rsid w:val="001E740C"/>
    <w:rsid w:val="001E74DA"/>
    <w:rsid w:val="001E7541"/>
    <w:rsid w:val="001E7575"/>
    <w:rsid w:val="001E7753"/>
    <w:rsid w:val="001E7936"/>
    <w:rsid w:val="001E79DA"/>
    <w:rsid w:val="001E7CA1"/>
    <w:rsid w:val="001E7E37"/>
    <w:rsid w:val="001E7FB2"/>
    <w:rsid w:val="001F008C"/>
    <w:rsid w:val="001F0267"/>
    <w:rsid w:val="001F026E"/>
    <w:rsid w:val="001F08D3"/>
    <w:rsid w:val="001F0982"/>
    <w:rsid w:val="001F09F2"/>
    <w:rsid w:val="001F0A5C"/>
    <w:rsid w:val="001F0A8A"/>
    <w:rsid w:val="001F0B91"/>
    <w:rsid w:val="001F0C0A"/>
    <w:rsid w:val="001F1235"/>
    <w:rsid w:val="001F18A3"/>
    <w:rsid w:val="001F1B80"/>
    <w:rsid w:val="001F1CB3"/>
    <w:rsid w:val="001F1F04"/>
    <w:rsid w:val="001F1F5F"/>
    <w:rsid w:val="001F21B8"/>
    <w:rsid w:val="001F251D"/>
    <w:rsid w:val="001F26B0"/>
    <w:rsid w:val="001F2910"/>
    <w:rsid w:val="001F2A76"/>
    <w:rsid w:val="001F2A79"/>
    <w:rsid w:val="001F2A7C"/>
    <w:rsid w:val="001F2AD0"/>
    <w:rsid w:val="001F2B87"/>
    <w:rsid w:val="001F2C5A"/>
    <w:rsid w:val="001F2D26"/>
    <w:rsid w:val="001F3191"/>
    <w:rsid w:val="001F3412"/>
    <w:rsid w:val="001F3421"/>
    <w:rsid w:val="001F346A"/>
    <w:rsid w:val="001F3751"/>
    <w:rsid w:val="001F38B5"/>
    <w:rsid w:val="001F38EF"/>
    <w:rsid w:val="001F39BF"/>
    <w:rsid w:val="001F3AAD"/>
    <w:rsid w:val="001F3AEF"/>
    <w:rsid w:val="001F4081"/>
    <w:rsid w:val="001F4267"/>
    <w:rsid w:val="001F427E"/>
    <w:rsid w:val="001F4358"/>
    <w:rsid w:val="001F46CA"/>
    <w:rsid w:val="001F473F"/>
    <w:rsid w:val="001F4792"/>
    <w:rsid w:val="001F480A"/>
    <w:rsid w:val="001F4869"/>
    <w:rsid w:val="001F4971"/>
    <w:rsid w:val="001F4BA5"/>
    <w:rsid w:val="001F4BD1"/>
    <w:rsid w:val="001F4C04"/>
    <w:rsid w:val="001F4D4A"/>
    <w:rsid w:val="001F503F"/>
    <w:rsid w:val="001F51B1"/>
    <w:rsid w:val="001F5220"/>
    <w:rsid w:val="001F5248"/>
    <w:rsid w:val="001F5326"/>
    <w:rsid w:val="001F5447"/>
    <w:rsid w:val="001F545B"/>
    <w:rsid w:val="001F54F6"/>
    <w:rsid w:val="001F55BC"/>
    <w:rsid w:val="001F58DB"/>
    <w:rsid w:val="001F597C"/>
    <w:rsid w:val="001F59AA"/>
    <w:rsid w:val="001F5A0F"/>
    <w:rsid w:val="001F5A70"/>
    <w:rsid w:val="001F5E31"/>
    <w:rsid w:val="001F5E53"/>
    <w:rsid w:val="001F5F49"/>
    <w:rsid w:val="001F6190"/>
    <w:rsid w:val="001F6228"/>
    <w:rsid w:val="001F623B"/>
    <w:rsid w:val="001F66B9"/>
    <w:rsid w:val="001F6760"/>
    <w:rsid w:val="001F6783"/>
    <w:rsid w:val="001F6866"/>
    <w:rsid w:val="001F7183"/>
    <w:rsid w:val="001F71FE"/>
    <w:rsid w:val="001F7272"/>
    <w:rsid w:val="001F7361"/>
    <w:rsid w:val="001F746F"/>
    <w:rsid w:val="001F75CD"/>
    <w:rsid w:val="001F7AD1"/>
    <w:rsid w:val="001F7F98"/>
    <w:rsid w:val="0020012B"/>
    <w:rsid w:val="00200451"/>
    <w:rsid w:val="00200618"/>
    <w:rsid w:val="002009D7"/>
    <w:rsid w:val="00200DAB"/>
    <w:rsid w:val="00200E5C"/>
    <w:rsid w:val="002010F1"/>
    <w:rsid w:val="002011B0"/>
    <w:rsid w:val="00201330"/>
    <w:rsid w:val="002014BE"/>
    <w:rsid w:val="002016B1"/>
    <w:rsid w:val="00201794"/>
    <w:rsid w:val="002019CF"/>
    <w:rsid w:val="00201B13"/>
    <w:rsid w:val="00201BC8"/>
    <w:rsid w:val="00201C9F"/>
    <w:rsid w:val="00201DA9"/>
    <w:rsid w:val="00202092"/>
    <w:rsid w:val="002020C3"/>
    <w:rsid w:val="00202111"/>
    <w:rsid w:val="002023FE"/>
    <w:rsid w:val="0020245B"/>
    <w:rsid w:val="002024D7"/>
    <w:rsid w:val="00202543"/>
    <w:rsid w:val="00202578"/>
    <w:rsid w:val="0020266B"/>
    <w:rsid w:val="00202A43"/>
    <w:rsid w:val="00202B63"/>
    <w:rsid w:val="002030B5"/>
    <w:rsid w:val="00203181"/>
    <w:rsid w:val="002031CE"/>
    <w:rsid w:val="002032A0"/>
    <w:rsid w:val="00203517"/>
    <w:rsid w:val="0020366D"/>
    <w:rsid w:val="0020375D"/>
    <w:rsid w:val="00203783"/>
    <w:rsid w:val="00203811"/>
    <w:rsid w:val="0020385F"/>
    <w:rsid w:val="00203BA5"/>
    <w:rsid w:val="00203CDB"/>
    <w:rsid w:val="00203E7E"/>
    <w:rsid w:val="00204090"/>
    <w:rsid w:val="002040E8"/>
    <w:rsid w:val="002041C3"/>
    <w:rsid w:val="0020465E"/>
    <w:rsid w:val="00204773"/>
    <w:rsid w:val="002048A4"/>
    <w:rsid w:val="00204939"/>
    <w:rsid w:val="002049B0"/>
    <w:rsid w:val="00204B0F"/>
    <w:rsid w:val="00205085"/>
    <w:rsid w:val="00205211"/>
    <w:rsid w:val="002053A4"/>
    <w:rsid w:val="00205434"/>
    <w:rsid w:val="0020557B"/>
    <w:rsid w:val="002055A7"/>
    <w:rsid w:val="00205874"/>
    <w:rsid w:val="00205909"/>
    <w:rsid w:val="00205D2A"/>
    <w:rsid w:val="00205DFF"/>
    <w:rsid w:val="00205E6B"/>
    <w:rsid w:val="00205ECC"/>
    <w:rsid w:val="002061C0"/>
    <w:rsid w:val="002066E2"/>
    <w:rsid w:val="002068A0"/>
    <w:rsid w:val="00206918"/>
    <w:rsid w:val="00206925"/>
    <w:rsid w:val="00206D14"/>
    <w:rsid w:val="00206F74"/>
    <w:rsid w:val="00207021"/>
    <w:rsid w:val="0020732F"/>
    <w:rsid w:val="00207709"/>
    <w:rsid w:val="002077EC"/>
    <w:rsid w:val="002078BC"/>
    <w:rsid w:val="002078EB"/>
    <w:rsid w:val="00207BA1"/>
    <w:rsid w:val="00207C5A"/>
    <w:rsid w:val="00207CD0"/>
    <w:rsid w:val="00207D00"/>
    <w:rsid w:val="00207F82"/>
    <w:rsid w:val="0021029B"/>
    <w:rsid w:val="002103A1"/>
    <w:rsid w:val="00210598"/>
    <w:rsid w:val="0021059D"/>
    <w:rsid w:val="002105C1"/>
    <w:rsid w:val="00210A81"/>
    <w:rsid w:val="00210B42"/>
    <w:rsid w:val="00210DCA"/>
    <w:rsid w:val="00211028"/>
    <w:rsid w:val="00211039"/>
    <w:rsid w:val="002112EC"/>
    <w:rsid w:val="00211552"/>
    <w:rsid w:val="00211560"/>
    <w:rsid w:val="0021168C"/>
    <w:rsid w:val="002116FD"/>
    <w:rsid w:val="002118E9"/>
    <w:rsid w:val="00211BC6"/>
    <w:rsid w:val="00211CB0"/>
    <w:rsid w:val="00211D1B"/>
    <w:rsid w:val="00211D36"/>
    <w:rsid w:val="00211E00"/>
    <w:rsid w:val="00211ED2"/>
    <w:rsid w:val="00211FD8"/>
    <w:rsid w:val="00212205"/>
    <w:rsid w:val="00212334"/>
    <w:rsid w:val="00212474"/>
    <w:rsid w:val="0021274E"/>
    <w:rsid w:val="002127AE"/>
    <w:rsid w:val="00212AAD"/>
    <w:rsid w:val="00212D51"/>
    <w:rsid w:val="0021329A"/>
    <w:rsid w:val="002134E1"/>
    <w:rsid w:val="002135AB"/>
    <w:rsid w:val="0021380E"/>
    <w:rsid w:val="00213830"/>
    <w:rsid w:val="002138D9"/>
    <w:rsid w:val="0021395D"/>
    <w:rsid w:val="002139A6"/>
    <w:rsid w:val="002139EE"/>
    <w:rsid w:val="00213B02"/>
    <w:rsid w:val="00213B92"/>
    <w:rsid w:val="00213D0D"/>
    <w:rsid w:val="00213D4E"/>
    <w:rsid w:val="00213D61"/>
    <w:rsid w:val="00213E89"/>
    <w:rsid w:val="00213EF5"/>
    <w:rsid w:val="00213FC4"/>
    <w:rsid w:val="00214120"/>
    <w:rsid w:val="002141CB"/>
    <w:rsid w:val="00214548"/>
    <w:rsid w:val="00214598"/>
    <w:rsid w:val="00214A9A"/>
    <w:rsid w:val="00214B85"/>
    <w:rsid w:val="00214C5E"/>
    <w:rsid w:val="00214CD2"/>
    <w:rsid w:val="00215184"/>
    <w:rsid w:val="0021544C"/>
    <w:rsid w:val="002157B1"/>
    <w:rsid w:val="0021589E"/>
    <w:rsid w:val="00215CF0"/>
    <w:rsid w:val="00215F39"/>
    <w:rsid w:val="00215F3E"/>
    <w:rsid w:val="00215F88"/>
    <w:rsid w:val="00216416"/>
    <w:rsid w:val="00216458"/>
    <w:rsid w:val="0021659A"/>
    <w:rsid w:val="00216654"/>
    <w:rsid w:val="002166EA"/>
    <w:rsid w:val="00216B72"/>
    <w:rsid w:val="00216BF5"/>
    <w:rsid w:val="00216EEB"/>
    <w:rsid w:val="00216F6A"/>
    <w:rsid w:val="00217257"/>
    <w:rsid w:val="00217298"/>
    <w:rsid w:val="00217341"/>
    <w:rsid w:val="00217407"/>
    <w:rsid w:val="002175BF"/>
    <w:rsid w:val="00217988"/>
    <w:rsid w:val="00217A28"/>
    <w:rsid w:val="00217A5B"/>
    <w:rsid w:val="00217B3A"/>
    <w:rsid w:val="00217CE5"/>
    <w:rsid w:val="002200A0"/>
    <w:rsid w:val="00220381"/>
    <w:rsid w:val="002205B2"/>
    <w:rsid w:val="0022064F"/>
    <w:rsid w:val="002209DE"/>
    <w:rsid w:val="00220B4E"/>
    <w:rsid w:val="00220D4D"/>
    <w:rsid w:val="00220F9D"/>
    <w:rsid w:val="0022101A"/>
    <w:rsid w:val="0022108A"/>
    <w:rsid w:val="002210F2"/>
    <w:rsid w:val="002212F0"/>
    <w:rsid w:val="0022159B"/>
    <w:rsid w:val="0022182F"/>
    <w:rsid w:val="00221900"/>
    <w:rsid w:val="00221C90"/>
    <w:rsid w:val="00221E3A"/>
    <w:rsid w:val="00221E94"/>
    <w:rsid w:val="00221F84"/>
    <w:rsid w:val="00222196"/>
    <w:rsid w:val="00222407"/>
    <w:rsid w:val="002226CC"/>
    <w:rsid w:val="00222C35"/>
    <w:rsid w:val="00222CBA"/>
    <w:rsid w:val="00222CE7"/>
    <w:rsid w:val="00222E07"/>
    <w:rsid w:val="00223203"/>
    <w:rsid w:val="0022325D"/>
    <w:rsid w:val="002234D4"/>
    <w:rsid w:val="0022357A"/>
    <w:rsid w:val="002235C7"/>
    <w:rsid w:val="00223B49"/>
    <w:rsid w:val="00223D5A"/>
    <w:rsid w:val="00223DB3"/>
    <w:rsid w:val="00223E4D"/>
    <w:rsid w:val="00223ED9"/>
    <w:rsid w:val="00223F94"/>
    <w:rsid w:val="002244BC"/>
    <w:rsid w:val="0022451F"/>
    <w:rsid w:val="00224545"/>
    <w:rsid w:val="0022458C"/>
    <w:rsid w:val="0022465C"/>
    <w:rsid w:val="002247C2"/>
    <w:rsid w:val="00224B7E"/>
    <w:rsid w:val="00224CCE"/>
    <w:rsid w:val="00224DD4"/>
    <w:rsid w:val="00225382"/>
    <w:rsid w:val="00225640"/>
    <w:rsid w:val="00225682"/>
    <w:rsid w:val="0022576C"/>
    <w:rsid w:val="00225A11"/>
    <w:rsid w:val="00225A25"/>
    <w:rsid w:val="00225C5B"/>
    <w:rsid w:val="00225D91"/>
    <w:rsid w:val="00227141"/>
    <w:rsid w:val="002272D6"/>
    <w:rsid w:val="00227308"/>
    <w:rsid w:val="0022733D"/>
    <w:rsid w:val="00227571"/>
    <w:rsid w:val="002277A3"/>
    <w:rsid w:val="002278A0"/>
    <w:rsid w:val="002278CD"/>
    <w:rsid w:val="002278F2"/>
    <w:rsid w:val="0022797D"/>
    <w:rsid w:val="00227BD6"/>
    <w:rsid w:val="00227C55"/>
    <w:rsid w:val="00227D5E"/>
    <w:rsid w:val="00227D60"/>
    <w:rsid w:val="00227EAB"/>
    <w:rsid w:val="002304E9"/>
    <w:rsid w:val="002309CC"/>
    <w:rsid w:val="002309FC"/>
    <w:rsid w:val="00230A91"/>
    <w:rsid w:val="00230B1B"/>
    <w:rsid w:val="00230C16"/>
    <w:rsid w:val="00230D48"/>
    <w:rsid w:val="00230E85"/>
    <w:rsid w:val="00230FC3"/>
    <w:rsid w:val="00231059"/>
    <w:rsid w:val="002311C9"/>
    <w:rsid w:val="002311DB"/>
    <w:rsid w:val="00231292"/>
    <w:rsid w:val="00231560"/>
    <w:rsid w:val="00231857"/>
    <w:rsid w:val="00231868"/>
    <w:rsid w:val="00231B69"/>
    <w:rsid w:val="00231BA9"/>
    <w:rsid w:val="0023209F"/>
    <w:rsid w:val="00232135"/>
    <w:rsid w:val="002321AE"/>
    <w:rsid w:val="002321FD"/>
    <w:rsid w:val="00232457"/>
    <w:rsid w:val="0023252C"/>
    <w:rsid w:val="0023280A"/>
    <w:rsid w:val="00232CBD"/>
    <w:rsid w:val="00232F05"/>
    <w:rsid w:val="00232F60"/>
    <w:rsid w:val="00232F98"/>
    <w:rsid w:val="0023302B"/>
    <w:rsid w:val="00233322"/>
    <w:rsid w:val="002336E8"/>
    <w:rsid w:val="002337A5"/>
    <w:rsid w:val="00233C01"/>
    <w:rsid w:val="00233D06"/>
    <w:rsid w:val="00233D4D"/>
    <w:rsid w:val="00233D95"/>
    <w:rsid w:val="00233EDD"/>
    <w:rsid w:val="00233F11"/>
    <w:rsid w:val="0023413C"/>
    <w:rsid w:val="002343AB"/>
    <w:rsid w:val="002343DF"/>
    <w:rsid w:val="00234422"/>
    <w:rsid w:val="002346F0"/>
    <w:rsid w:val="0023475C"/>
    <w:rsid w:val="00234AB7"/>
    <w:rsid w:val="00234AF6"/>
    <w:rsid w:val="00234C66"/>
    <w:rsid w:val="002350C6"/>
    <w:rsid w:val="002350C8"/>
    <w:rsid w:val="00235364"/>
    <w:rsid w:val="002355AB"/>
    <w:rsid w:val="00235711"/>
    <w:rsid w:val="002357C8"/>
    <w:rsid w:val="00235872"/>
    <w:rsid w:val="00235BD5"/>
    <w:rsid w:val="0023629D"/>
    <w:rsid w:val="002362AE"/>
    <w:rsid w:val="00236320"/>
    <w:rsid w:val="002363D9"/>
    <w:rsid w:val="002365A0"/>
    <w:rsid w:val="002365BA"/>
    <w:rsid w:val="0023669E"/>
    <w:rsid w:val="0023682E"/>
    <w:rsid w:val="00236839"/>
    <w:rsid w:val="002368FC"/>
    <w:rsid w:val="00236BCD"/>
    <w:rsid w:val="00236E83"/>
    <w:rsid w:val="00236FA5"/>
    <w:rsid w:val="002371C7"/>
    <w:rsid w:val="00237255"/>
    <w:rsid w:val="002374A4"/>
    <w:rsid w:val="00237593"/>
    <w:rsid w:val="002375A6"/>
    <w:rsid w:val="0023764A"/>
    <w:rsid w:val="00237756"/>
    <w:rsid w:val="00237778"/>
    <w:rsid w:val="00237805"/>
    <w:rsid w:val="00237964"/>
    <w:rsid w:val="00237B20"/>
    <w:rsid w:val="00237B2F"/>
    <w:rsid w:val="00237B4D"/>
    <w:rsid w:val="00237BDF"/>
    <w:rsid w:val="00237C89"/>
    <w:rsid w:val="00237DF5"/>
    <w:rsid w:val="00237ED1"/>
    <w:rsid w:val="00240546"/>
    <w:rsid w:val="00240593"/>
    <w:rsid w:val="002408C2"/>
    <w:rsid w:val="0024096C"/>
    <w:rsid w:val="00240D97"/>
    <w:rsid w:val="00241029"/>
    <w:rsid w:val="00241289"/>
    <w:rsid w:val="0024136A"/>
    <w:rsid w:val="002414E8"/>
    <w:rsid w:val="00241697"/>
    <w:rsid w:val="00241773"/>
    <w:rsid w:val="00241A77"/>
    <w:rsid w:val="00241F5C"/>
    <w:rsid w:val="00242135"/>
    <w:rsid w:val="002424AF"/>
    <w:rsid w:val="002424F7"/>
    <w:rsid w:val="00242519"/>
    <w:rsid w:val="00242743"/>
    <w:rsid w:val="002427F6"/>
    <w:rsid w:val="00242E5E"/>
    <w:rsid w:val="00242EDC"/>
    <w:rsid w:val="0024304C"/>
    <w:rsid w:val="0024310F"/>
    <w:rsid w:val="00243266"/>
    <w:rsid w:val="002432BE"/>
    <w:rsid w:val="0024339E"/>
    <w:rsid w:val="002438EF"/>
    <w:rsid w:val="002439DC"/>
    <w:rsid w:val="002439E1"/>
    <w:rsid w:val="00243A0A"/>
    <w:rsid w:val="00243C0F"/>
    <w:rsid w:val="00243C46"/>
    <w:rsid w:val="00243C69"/>
    <w:rsid w:val="00243D19"/>
    <w:rsid w:val="00243E1D"/>
    <w:rsid w:val="00244187"/>
    <w:rsid w:val="002441D2"/>
    <w:rsid w:val="00244417"/>
    <w:rsid w:val="0024457E"/>
    <w:rsid w:val="00244737"/>
    <w:rsid w:val="00244907"/>
    <w:rsid w:val="00244A76"/>
    <w:rsid w:val="00244DC8"/>
    <w:rsid w:val="0024502A"/>
    <w:rsid w:val="002450B4"/>
    <w:rsid w:val="0024517C"/>
    <w:rsid w:val="0024526E"/>
    <w:rsid w:val="002452B0"/>
    <w:rsid w:val="00245655"/>
    <w:rsid w:val="002458BA"/>
    <w:rsid w:val="00245919"/>
    <w:rsid w:val="00245940"/>
    <w:rsid w:val="0024598B"/>
    <w:rsid w:val="002459CD"/>
    <w:rsid w:val="00245BBA"/>
    <w:rsid w:val="00245CE9"/>
    <w:rsid w:val="00245D95"/>
    <w:rsid w:val="0024636C"/>
    <w:rsid w:val="002465F7"/>
    <w:rsid w:val="00246EE3"/>
    <w:rsid w:val="00246FBB"/>
    <w:rsid w:val="002471D4"/>
    <w:rsid w:val="00247473"/>
    <w:rsid w:val="00247482"/>
    <w:rsid w:val="00247498"/>
    <w:rsid w:val="00247864"/>
    <w:rsid w:val="00247925"/>
    <w:rsid w:val="002479B5"/>
    <w:rsid w:val="00247A71"/>
    <w:rsid w:val="00247ABA"/>
    <w:rsid w:val="00247BC1"/>
    <w:rsid w:val="00247BF7"/>
    <w:rsid w:val="00247C5F"/>
    <w:rsid w:val="00247CD1"/>
    <w:rsid w:val="00247CDB"/>
    <w:rsid w:val="00247DAA"/>
    <w:rsid w:val="00247DB7"/>
    <w:rsid w:val="0025007E"/>
    <w:rsid w:val="00250525"/>
    <w:rsid w:val="00250A60"/>
    <w:rsid w:val="00250A68"/>
    <w:rsid w:val="00250CD0"/>
    <w:rsid w:val="00250F82"/>
    <w:rsid w:val="00251006"/>
    <w:rsid w:val="0025119B"/>
    <w:rsid w:val="002513B5"/>
    <w:rsid w:val="0025153E"/>
    <w:rsid w:val="0025158D"/>
    <w:rsid w:val="00251BCA"/>
    <w:rsid w:val="00251FEE"/>
    <w:rsid w:val="0025206D"/>
    <w:rsid w:val="002520C8"/>
    <w:rsid w:val="002520FB"/>
    <w:rsid w:val="0025225D"/>
    <w:rsid w:val="0025225E"/>
    <w:rsid w:val="002522E9"/>
    <w:rsid w:val="002524D5"/>
    <w:rsid w:val="002525C7"/>
    <w:rsid w:val="002526A1"/>
    <w:rsid w:val="002527C6"/>
    <w:rsid w:val="002527CA"/>
    <w:rsid w:val="00252864"/>
    <w:rsid w:val="00252D88"/>
    <w:rsid w:val="00252EB8"/>
    <w:rsid w:val="00252F74"/>
    <w:rsid w:val="00252FA8"/>
    <w:rsid w:val="0025304C"/>
    <w:rsid w:val="002532BF"/>
    <w:rsid w:val="00253326"/>
    <w:rsid w:val="002533C8"/>
    <w:rsid w:val="00253567"/>
    <w:rsid w:val="002536AF"/>
    <w:rsid w:val="002538A5"/>
    <w:rsid w:val="002539E5"/>
    <w:rsid w:val="00253B1D"/>
    <w:rsid w:val="00253ED7"/>
    <w:rsid w:val="00253F32"/>
    <w:rsid w:val="00254002"/>
    <w:rsid w:val="00254139"/>
    <w:rsid w:val="00254166"/>
    <w:rsid w:val="00254653"/>
    <w:rsid w:val="00254937"/>
    <w:rsid w:val="00254A34"/>
    <w:rsid w:val="00254CAA"/>
    <w:rsid w:val="00254DA4"/>
    <w:rsid w:val="00254DCF"/>
    <w:rsid w:val="00254EC1"/>
    <w:rsid w:val="00254FAE"/>
    <w:rsid w:val="0025524A"/>
    <w:rsid w:val="0025530A"/>
    <w:rsid w:val="0025534B"/>
    <w:rsid w:val="002553E0"/>
    <w:rsid w:val="00255831"/>
    <w:rsid w:val="00255BB7"/>
    <w:rsid w:val="00255BF0"/>
    <w:rsid w:val="00255F34"/>
    <w:rsid w:val="00256031"/>
    <w:rsid w:val="002560A7"/>
    <w:rsid w:val="002562A2"/>
    <w:rsid w:val="002564FA"/>
    <w:rsid w:val="00256553"/>
    <w:rsid w:val="0025659E"/>
    <w:rsid w:val="0025688E"/>
    <w:rsid w:val="002569F3"/>
    <w:rsid w:val="00256D65"/>
    <w:rsid w:val="00256F50"/>
    <w:rsid w:val="0025705C"/>
    <w:rsid w:val="0025714B"/>
    <w:rsid w:val="0025731F"/>
    <w:rsid w:val="00257327"/>
    <w:rsid w:val="00257541"/>
    <w:rsid w:val="002576FB"/>
    <w:rsid w:val="002577AE"/>
    <w:rsid w:val="0025786C"/>
    <w:rsid w:val="00257943"/>
    <w:rsid w:val="0025798B"/>
    <w:rsid w:val="00257A39"/>
    <w:rsid w:val="00257AC4"/>
    <w:rsid w:val="00257BBE"/>
    <w:rsid w:val="00257C4E"/>
    <w:rsid w:val="00257CCD"/>
    <w:rsid w:val="00257CF7"/>
    <w:rsid w:val="00257DF3"/>
    <w:rsid w:val="00257E2C"/>
    <w:rsid w:val="002600AF"/>
    <w:rsid w:val="00260126"/>
    <w:rsid w:val="00260545"/>
    <w:rsid w:val="002608A0"/>
    <w:rsid w:val="00260973"/>
    <w:rsid w:val="00260FB1"/>
    <w:rsid w:val="0026147F"/>
    <w:rsid w:val="00261620"/>
    <w:rsid w:val="0026169D"/>
    <w:rsid w:val="002616E9"/>
    <w:rsid w:val="002617AB"/>
    <w:rsid w:val="00261A83"/>
    <w:rsid w:val="00261AAD"/>
    <w:rsid w:val="00261AFB"/>
    <w:rsid w:val="00261B38"/>
    <w:rsid w:val="00261B90"/>
    <w:rsid w:val="00261C8A"/>
    <w:rsid w:val="00261E83"/>
    <w:rsid w:val="00261EEF"/>
    <w:rsid w:val="002624AC"/>
    <w:rsid w:val="00262511"/>
    <w:rsid w:val="002625E2"/>
    <w:rsid w:val="002626F2"/>
    <w:rsid w:val="002627D4"/>
    <w:rsid w:val="00262A1A"/>
    <w:rsid w:val="00262A87"/>
    <w:rsid w:val="00262BE1"/>
    <w:rsid w:val="00262DFD"/>
    <w:rsid w:val="00262EFB"/>
    <w:rsid w:val="00262EFF"/>
    <w:rsid w:val="0026307B"/>
    <w:rsid w:val="00263094"/>
    <w:rsid w:val="0026326B"/>
    <w:rsid w:val="00263649"/>
    <w:rsid w:val="00263926"/>
    <w:rsid w:val="002639B2"/>
    <w:rsid w:val="00263C03"/>
    <w:rsid w:val="00263C19"/>
    <w:rsid w:val="00263D5D"/>
    <w:rsid w:val="00263F63"/>
    <w:rsid w:val="00263F74"/>
    <w:rsid w:val="00263FB0"/>
    <w:rsid w:val="002640D2"/>
    <w:rsid w:val="002642E9"/>
    <w:rsid w:val="002644AA"/>
    <w:rsid w:val="00264628"/>
    <w:rsid w:val="002648B1"/>
    <w:rsid w:val="00264D1C"/>
    <w:rsid w:val="00264D26"/>
    <w:rsid w:val="00264E2D"/>
    <w:rsid w:val="00264EA0"/>
    <w:rsid w:val="0026522A"/>
    <w:rsid w:val="00265469"/>
    <w:rsid w:val="00265634"/>
    <w:rsid w:val="00265AB9"/>
    <w:rsid w:val="00266326"/>
    <w:rsid w:val="0026672D"/>
    <w:rsid w:val="00266784"/>
    <w:rsid w:val="002667D1"/>
    <w:rsid w:val="0026680D"/>
    <w:rsid w:val="00266A38"/>
    <w:rsid w:val="00267480"/>
    <w:rsid w:val="00267642"/>
    <w:rsid w:val="0026770C"/>
    <w:rsid w:val="00267A4D"/>
    <w:rsid w:val="00267AEA"/>
    <w:rsid w:val="00267C2C"/>
    <w:rsid w:val="00267EEE"/>
    <w:rsid w:val="0027000D"/>
    <w:rsid w:val="0027006F"/>
    <w:rsid w:val="002700E6"/>
    <w:rsid w:val="002701CF"/>
    <w:rsid w:val="00270366"/>
    <w:rsid w:val="00270486"/>
    <w:rsid w:val="00270536"/>
    <w:rsid w:val="00270685"/>
    <w:rsid w:val="0027099E"/>
    <w:rsid w:val="00270C94"/>
    <w:rsid w:val="00270CAB"/>
    <w:rsid w:val="00270FC3"/>
    <w:rsid w:val="00270FFD"/>
    <w:rsid w:val="00271110"/>
    <w:rsid w:val="002711A4"/>
    <w:rsid w:val="0027152B"/>
    <w:rsid w:val="00271572"/>
    <w:rsid w:val="0027189B"/>
    <w:rsid w:val="00271A05"/>
    <w:rsid w:val="00271C38"/>
    <w:rsid w:val="00271D76"/>
    <w:rsid w:val="00271E66"/>
    <w:rsid w:val="00271E87"/>
    <w:rsid w:val="00271F97"/>
    <w:rsid w:val="002721C5"/>
    <w:rsid w:val="00272285"/>
    <w:rsid w:val="00272472"/>
    <w:rsid w:val="0027250D"/>
    <w:rsid w:val="0027272F"/>
    <w:rsid w:val="0027289F"/>
    <w:rsid w:val="0027294B"/>
    <w:rsid w:val="0027295C"/>
    <w:rsid w:val="00272C48"/>
    <w:rsid w:val="00272C74"/>
    <w:rsid w:val="00272E45"/>
    <w:rsid w:val="002731FF"/>
    <w:rsid w:val="0027323C"/>
    <w:rsid w:val="00273381"/>
    <w:rsid w:val="0027368D"/>
    <w:rsid w:val="00273805"/>
    <w:rsid w:val="00273C7F"/>
    <w:rsid w:val="00273D4C"/>
    <w:rsid w:val="00273E73"/>
    <w:rsid w:val="00273EB4"/>
    <w:rsid w:val="00273F4B"/>
    <w:rsid w:val="00273FCF"/>
    <w:rsid w:val="00273FE4"/>
    <w:rsid w:val="00274225"/>
    <w:rsid w:val="00274442"/>
    <w:rsid w:val="00274682"/>
    <w:rsid w:val="00274806"/>
    <w:rsid w:val="00274A8D"/>
    <w:rsid w:val="00274C5B"/>
    <w:rsid w:val="00274CA0"/>
    <w:rsid w:val="00274FA2"/>
    <w:rsid w:val="0027502B"/>
    <w:rsid w:val="00275158"/>
    <w:rsid w:val="0027533C"/>
    <w:rsid w:val="002753BB"/>
    <w:rsid w:val="002754CD"/>
    <w:rsid w:val="0027598A"/>
    <w:rsid w:val="00275B6F"/>
    <w:rsid w:val="00275BF8"/>
    <w:rsid w:val="00275C5A"/>
    <w:rsid w:val="00275D68"/>
    <w:rsid w:val="00275DEB"/>
    <w:rsid w:val="00275E67"/>
    <w:rsid w:val="00275E68"/>
    <w:rsid w:val="00275EC5"/>
    <w:rsid w:val="00276362"/>
    <w:rsid w:val="00276377"/>
    <w:rsid w:val="002763B3"/>
    <w:rsid w:val="002765B9"/>
    <w:rsid w:val="00276609"/>
    <w:rsid w:val="002767F3"/>
    <w:rsid w:val="002768E2"/>
    <w:rsid w:val="00276950"/>
    <w:rsid w:val="002769AE"/>
    <w:rsid w:val="00276AD7"/>
    <w:rsid w:val="00276D7C"/>
    <w:rsid w:val="00276FF0"/>
    <w:rsid w:val="002771AA"/>
    <w:rsid w:val="00277257"/>
    <w:rsid w:val="002772CA"/>
    <w:rsid w:val="00277381"/>
    <w:rsid w:val="002774AF"/>
    <w:rsid w:val="002776C1"/>
    <w:rsid w:val="002778FA"/>
    <w:rsid w:val="00277C60"/>
    <w:rsid w:val="00277D7E"/>
    <w:rsid w:val="002803E3"/>
    <w:rsid w:val="00280460"/>
    <w:rsid w:val="002806DC"/>
    <w:rsid w:val="00280748"/>
    <w:rsid w:val="002808F2"/>
    <w:rsid w:val="00280986"/>
    <w:rsid w:val="00280AE8"/>
    <w:rsid w:val="00280F77"/>
    <w:rsid w:val="00280FA6"/>
    <w:rsid w:val="00281014"/>
    <w:rsid w:val="002812BE"/>
    <w:rsid w:val="00281671"/>
    <w:rsid w:val="00281943"/>
    <w:rsid w:val="00281944"/>
    <w:rsid w:val="0028198A"/>
    <w:rsid w:val="00281CE3"/>
    <w:rsid w:val="00281D73"/>
    <w:rsid w:val="00281F2D"/>
    <w:rsid w:val="002820F4"/>
    <w:rsid w:val="002821A4"/>
    <w:rsid w:val="00282230"/>
    <w:rsid w:val="002824B1"/>
    <w:rsid w:val="0028253F"/>
    <w:rsid w:val="00282A04"/>
    <w:rsid w:val="00282A3C"/>
    <w:rsid w:val="00282B28"/>
    <w:rsid w:val="00282B36"/>
    <w:rsid w:val="00282C33"/>
    <w:rsid w:val="0028324E"/>
    <w:rsid w:val="002832F3"/>
    <w:rsid w:val="00283317"/>
    <w:rsid w:val="00283695"/>
    <w:rsid w:val="002837AE"/>
    <w:rsid w:val="00283AEC"/>
    <w:rsid w:val="00283B58"/>
    <w:rsid w:val="00283C5C"/>
    <w:rsid w:val="00283D5B"/>
    <w:rsid w:val="00283F64"/>
    <w:rsid w:val="00284020"/>
    <w:rsid w:val="0028404C"/>
    <w:rsid w:val="002840FB"/>
    <w:rsid w:val="0028411E"/>
    <w:rsid w:val="0028419C"/>
    <w:rsid w:val="002842D5"/>
    <w:rsid w:val="00284362"/>
    <w:rsid w:val="00284571"/>
    <w:rsid w:val="0028466D"/>
    <w:rsid w:val="00284811"/>
    <w:rsid w:val="00284975"/>
    <w:rsid w:val="00284F0B"/>
    <w:rsid w:val="0028505C"/>
    <w:rsid w:val="002855B3"/>
    <w:rsid w:val="00285635"/>
    <w:rsid w:val="0028563C"/>
    <w:rsid w:val="002857C7"/>
    <w:rsid w:val="00285ABB"/>
    <w:rsid w:val="00285B08"/>
    <w:rsid w:val="00285BB0"/>
    <w:rsid w:val="00285BCE"/>
    <w:rsid w:val="0028604C"/>
    <w:rsid w:val="002861A9"/>
    <w:rsid w:val="00286287"/>
    <w:rsid w:val="00286348"/>
    <w:rsid w:val="0028646E"/>
    <w:rsid w:val="0028665D"/>
    <w:rsid w:val="0028667E"/>
    <w:rsid w:val="00286992"/>
    <w:rsid w:val="00286ADA"/>
    <w:rsid w:val="00286BB8"/>
    <w:rsid w:val="00286DBD"/>
    <w:rsid w:val="00286ED6"/>
    <w:rsid w:val="00287207"/>
    <w:rsid w:val="00287323"/>
    <w:rsid w:val="0028740D"/>
    <w:rsid w:val="00287882"/>
    <w:rsid w:val="00287AF1"/>
    <w:rsid w:val="00287C6A"/>
    <w:rsid w:val="00287D01"/>
    <w:rsid w:val="002905B8"/>
    <w:rsid w:val="00290861"/>
    <w:rsid w:val="002909CA"/>
    <w:rsid w:val="00290C4D"/>
    <w:rsid w:val="00290DB4"/>
    <w:rsid w:val="00290FF9"/>
    <w:rsid w:val="002911F9"/>
    <w:rsid w:val="00291505"/>
    <w:rsid w:val="00291570"/>
    <w:rsid w:val="002919BA"/>
    <w:rsid w:val="00291C5E"/>
    <w:rsid w:val="00291E2E"/>
    <w:rsid w:val="00292013"/>
    <w:rsid w:val="00292315"/>
    <w:rsid w:val="002924E3"/>
    <w:rsid w:val="00292874"/>
    <w:rsid w:val="00292B0E"/>
    <w:rsid w:val="00293078"/>
    <w:rsid w:val="00293160"/>
    <w:rsid w:val="00293344"/>
    <w:rsid w:val="00293384"/>
    <w:rsid w:val="002935EA"/>
    <w:rsid w:val="00293BAA"/>
    <w:rsid w:val="00293CB2"/>
    <w:rsid w:val="00293FFD"/>
    <w:rsid w:val="002942C5"/>
    <w:rsid w:val="0029431F"/>
    <w:rsid w:val="002943EB"/>
    <w:rsid w:val="002945EB"/>
    <w:rsid w:val="0029476E"/>
    <w:rsid w:val="0029484B"/>
    <w:rsid w:val="00294DCC"/>
    <w:rsid w:val="00294FC2"/>
    <w:rsid w:val="002950CB"/>
    <w:rsid w:val="00295266"/>
    <w:rsid w:val="0029543A"/>
    <w:rsid w:val="0029552E"/>
    <w:rsid w:val="00295833"/>
    <w:rsid w:val="00295AAB"/>
    <w:rsid w:val="00295B03"/>
    <w:rsid w:val="00295B0A"/>
    <w:rsid w:val="00295B5D"/>
    <w:rsid w:val="00295C80"/>
    <w:rsid w:val="00295FFD"/>
    <w:rsid w:val="00296104"/>
    <w:rsid w:val="002962F8"/>
    <w:rsid w:val="00296384"/>
    <w:rsid w:val="0029667C"/>
    <w:rsid w:val="002966F4"/>
    <w:rsid w:val="00296782"/>
    <w:rsid w:val="002967B6"/>
    <w:rsid w:val="00296A7A"/>
    <w:rsid w:val="00296C51"/>
    <w:rsid w:val="00296D6B"/>
    <w:rsid w:val="00296DA0"/>
    <w:rsid w:val="00296E1F"/>
    <w:rsid w:val="00296F7A"/>
    <w:rsid w:val="00296FF4"/>
    <w:rsid w:val="00297266"/>
    <w:rsid w:val="002973F8"/>
    <w:rsid w:val="002975E3"/>
    <w:rsid w:val="00297632"/>
    <w:rsid w:val="00297ACB"/>
    <w:rsid w:val="00297B0E"/>
    <w:rsid w:val="00297C1B"/>
    <w:rsid w:val="00297D6B"/>
    <w:rsid w:val="00297E4E"/>
    <w:rsid w:val="00297E62"/>
    <w:rsid w:val="00297E9B"/>
    <w:rsid w:val="00297F55"/>
    <w:rsid w:val="00297FC6"/>
    <w:rsid w:val="002A01A5"/>
    <w:rsid w:val="002A0208"/>
    <w:rsid w:val="002A028C"/>
    <w:rsid w:val="002A031E"/>
    <w:rsid w:val="002A0591"/>
    <w:rsid w:val="002A0D68"/>
    <w:rsid w:val="002A0DDD"/>
    <w:rsid w:val="002A0F8F"/>
    <w:rsid w:val="002A1015"/>
    <w:rsid w:val="002A1191"/>
    <w:rsid w:val="002A129B"/>
    <w:rsid w:val="002A13F8"/>
    <w:rsid w:val="002A144C"/>
    <w:rsid w:val="002A146F"/>
    <w:rsid w:val="002A14AB"/>
    <w:rsid w:val="002A1AEA"/>
    <w:rsid w:val="002A1EBB"/>
    <w:rsid w:val="002A210C"/>
    <w:rsid w:val="002A2193"/>
    <w:rsid w:val="002A2232"/>
    <w:rsid w:val="002A2264"/>
    <w:rsid w:val="002A242D"/>
    <w:rsid w:val="002A244A"/>
    <w:rsid w:val="002A24EE"/>
    <w:rsid w:val="002A28F8"/>
    <w:rsid w:val="002A2A01"/>
    <w:rsid w:val="002A2A2F"/>
    <w:rsid w:val="002A2ADE"/>
    <w:rsid w:val="002A2B04"/>
    <w:rsid w:val="002A2F50"/>
    <w:rsid w:val="002A3087"/>
    <w:rsid w:val="002A30BB"/>
    <w:rsid w:val="002A357E"/>
    <w:rsid w:val="002A3659"/>
    <w:rsid w:val="002A3DA1"/>
    <w:rsid w:val="002A40C8"/>
    <w:rsid w:val="002A4118"/>
    <w:rsid w:val="002A44E1"/>
    <w:rsid w:val="002A452E"/>
    <w:rsid w:val="002A4627"/>
    <w:rsid w:val="002A47ED"/>
    <w:rsid w:val="002A4841"/>
    <w:rsid w:val="002A4B2B"/>
    <w:rsid w:val="002A4BEA"/>
    <w:rsid w:val="002A4D06"/>
    <w:rsid w:val="002A4E13"/>
    <w:rsid w:val="002A4F7C"/>
    <w:rsid w:val="002A4FBC"/>
    <w:rsid w:val="002A4FF3"/>
    <w:rsid w:val="002A4FFC"/>
    <w:rsid w:val="002A5043"/>
    <w:rsid w:val="002A5506"/>
    <w:rsid w:val="002A5815"/>
    <w:rsid w:val="002A5BCF"/>
    <w:rsid w:val="002A5D68"/>
    <w:rsid w:val="002A5D98"/>
    <w:rsid w:val="002A5DB6"/>
    <w:rsid w:val="002A61E3"/>
    <w:rsid w:val="002A6222"/>
    <w:rsid w:val="002A6844"/>
    <w:rsid w:val="002A685F"/>
    <w:rsid w:val="002A6C0A"/>
    <w:rsid w:val="002A6C27"/>
    <w:rsid w:val="002A6E80"/>
    <w:rsid w:val="002A73D1"/>
    <w:rsid w:val="002A7596"/>
    <w:rsid w:val="002A7825"/>
    <w:rsid w:val="002A7943"/>
    <w:rsid w:val="002A7A38"/>
    <w:rsid w:val="002A7A79"/>
    <w:rsid w:val="002A7BCE"/>
    <w:rsid w:val="002A7D35"/>
    <w:rsid w:val="002A7D6C"/>
    <w:rsid w:val="002B0000"/>
    <w:rsid w:val="002B003A"/>
    <w:rsid w:val="002B0049"/>
    <w:rsid w:val="002B04D3"/>
    <w:rsid w:val="002B05A1"/>
    <w:rsid w:val="002B07B9"/>
    <w:rsid w:val="002B09A4"/>
    <w:rsid w:val="002B0B52"/>
    <w:rsid w:val="002B0C14"/>
    <w:rsid w:val="002B0DA2"/>
    <w:rsid w:val="002B0DD8"/>
    <w:rsid w:val="002B0FF3"/>
    <w:rsid w:val="002B108A"/>
    <w:rsid w:val="002B13F2"/>
    <w:rsid w:val="002B14F7"/>
    <w:rsid w:val="002B155B"/>
    <w:rsid w:val="002B15A8"/>
    <w:rsid w:val="002B1664"/>
    <w:rsid w:val="002B172D"/>
    <w:rsid w:val="002B182D"/>
    <w:rsid w:val="002B1A5D"/>
    <w:rsid w:val="002B1A8A"/>
    <w:rsid w:val="002B1B91"/>
    <w:rsid w:val="002B1BBD"/>
    <w:rsid w:val="002B1BBF"/>
    <w:rsid w:val="002B1C1F"/>
    <w:rsid w:val="002B1D2F"/>
    <w:rsid w:val="002B2335"/>
    <w:rsid w:val="002B2858"/>
    <w:rsid w:val="002B2901"/>
    <w:rsid w:val="002B2C15"/>
    <w:rsid w:val="002B2CF6"/>
    <w:rsid w:val="002B2FB4"/>
    <w:rsid w:val="002B3678"/>
    <w:rsid w:val="002B3BD1"/>
    <w:rsid w:val="002B3C12"/>
    <w:rsid w:val="002B3E03"/>
    <w:rsid w:val="002B3EF5"/>
    <w:rsid w:val="002B3F1C"/>
    <w:rsid w:val="002B3F69"/>
    <w:rsid w:val="002B3F87"/>
    <w:rsid w:val="002B40F2"/>
    <w:rsid w:val="002B432F"/>
    <w:rsid w:val="002B43A0"/>
    <w:rsid w:val="002B47E7"/>
    <w:rsid w:val="002B4B9E"/>
    <w:rsid w:val="002B4C23"/>
    <w:rsid w:val="002B5067"/>
    <w:rsid w:val="002B5575"/>
    <w:rsid w:val="002B58EB"/>
    <w:rsid w:val="002B59B2"/>
    <w:rsid w:val="002B5B23"/>
    <w:rsid w:val="002B5C3C"/>
    <w:rsid w:val="002B601D"/>
    <w:rsid w:val="002B60AC"/>
    <w:rsid w:val="002B625B"/>
    <w:rsid w:val="002B62B3"/>
    <w:rsid w:val="002B6461"/>
    <w:rsid w:val="002B6464"/>
    <w:rsid w:val="002B664D"/>
    <w:rsid w:val="002B66AD"/>
    <w:rsid w:val="002B6754"/>
    <w:rsid w:val="002B67B1"/>
    <w:rsid w:val="002B687E"/>
    <w:rsid w:val="002B6B68"/>
    <w:rsid w:val="002B6C02"/>
    <w:rsid w:val="002B6C11"/>
    <w:rsid w:val="002B6C82"/>
    <w:rsid w:val="002B6CCE"/>
    <w:rsid w:val="002B6F0B"/>
    <w:rsid w:val="002B7127"/>
    <w:rsid w:val="002B71B9"/>
    <w:rsid w:val="002B7542"/>
    <w:rsid w:val="002B75DE"/>
    <w:rsid w:val="002B763C"/>
    <w:rsid w:val="002B78A1"/>
    <w:rsid w:val="002B7B92"/>
    <w:rsid w:val="002B7C4F"/>
    <w:rsid w:val="002B7CD0"/>
    <w:rsid w:val="002B7CFA"/>
    <w:rsid w:val="002B7DC9"/>
    <w:rsid w:val="002B7F10"/>
    <w:rsid w:val="002C06E2"/>
    <w:rsid w:val="002C0759"/>
    <w:rsid w:val="002C095B"/>
    <w:rsid w:val="002C0ABE"/>
    <w:rsid w:val="002C0B47"/>
    <w:rsid w:val="002C0B72"/>
    <w:rsid w:val="002C0DD3"/>
    <w:rsid w:val="002C0EE3"/>
    <w:rsid w:val="002C1435"/>
    <w:rsid w:val="002C149D"/>
    <w:rsid w:val="002C193D"/>
    <w:rsid w:val="002C19F0"/>
    <w:rsid w:val="002C1B40"/>
    <w:rsid w:val="002C1C2D"/>
    <w:rsid w:val="002C1C47"/>
    <w:rsid w:val="002C1CA2"/>
    <w:rsid w:val="002C1D66"/>
    <w:rsid w:val="002C1DE3"/>
    <w:rsid w:val="002C2139"/>
    <w:rsid w:val="002C22B9"/>
    <w:rsid w:val="002C22CA"/>
    <w:rsid w:val="002C2510"/>
    <w:rsid w:val="002C2567"/>
    <w:rsid w:val="002C26B8"/>
    <w:rsid w:val="002C26EA"/>
    <w:rsid w:val="002C2775"/>
    <w:rsid w:val="002C27C1"/>
    <w:rsid w:val="002C2A6E"/>
    <w:rsid w:val="002C2E72"/>
    <w:rsid w:val="002C302A"/>
    <w:rsid w:val="002C309C"/>
    <w:rsid w:val="002C30E5"/>
    <w:rsid w:val="002C3335"/>
    <w:rsid w:val="002C3360"/>
    <w:rsid w:val="002C3384"/>
    <w:rsid w:val="002C33B7"/>
    <w:rsid w:val="002C343E"/>
    <w:rsid w:val="002C364C"/>
    <w:rsid w:val="002C36AC"/>
    <w:rsid w:val="002C36E3"/>
    <w:rsid w:val="002C37E4"/>
    <w:rsid w:val="002C3AAB"/>
    <w:rsid w:val="002C3AF9"/>
    <w:rsid w:val="002C422A"/>
    <w:rsid w:val="002C4264"/>
    <w:rsid w:val="002C42C7"/>
    <w:rsid w:val="002C4414"/>
    <w:rsid w:val="002C45D7"/>
    <w:rsid w:val="002C4712"/>
    <w:rsid w:val="002C48CD"/>
    <w:rsid w:val="002C48F0"/>
    <w:rsid w:val="002C4B12"/>
    <w:rsid w:val="002C4BDC"/>
    <w:rsid w:val="002C5099"/>
    <w:rsid w:val="002C547C"/>
    <w:rsid w:val="002C5678"/>
    <w:rsid w:val="002C568A"/>
    <w:rsid w:val="002C5889"/>
    <w:rsid w:val="002C5B6D"/>
    <w:rsid w:val="002C5B88"/>
    <w:rsid w:val="002C5CB1"/>
    <w:rsid w:val="002C5D5B"/>
    <w:rsid w:val="002C5FE0"/>
    <w:rsid w:val="002C6017"/>
    <w:rsid w:val="002C654E"/>
    <w:rsid w:val="002C676B"/>
    <w:rsid w:val="002C6A45"/>
    <w:rsid w:val="002C6A98"/>
    <w:rsid w:val="002C6EED"/>
    <w:rsid w:val="002C71CE"/>
    <w:rsid w:val="002C7303"/>
    <w:rsid w:val="002C750F"/>
    <w:rsid w:val="002C75AA"/>
    <w:rsid w:val="002C75DC"/>
    <w:rsid w:val="002C7951"/>
    <w:rsid w:val="002C7963"/>
    <w:rsid w:val="002C7D05"/>
    <w:rsid w:val="002C7E54"/>
    <w:rsid w:val="002C7E60"/>
    <w:rsid w:val="002D001E"/>
    <w:rsid w:val="002D0254"/>
    <w:rsid w:val="002D0308"/>
    <w:rsid w:val="002D0586"/>
    <w:rsid w:val="002D07CA"/>
    <w:rsid w:val="002D086B"/>
    <w:rsid w:val="002D08F8"/>
    <w:rsid w:val="002D0A92"/>
    <w:rsid w:val="002D0B6D"/>
    <w:rsid w:val="002D1162"/>
    <w:rsid w:val="002D1401"/>
    <w:rsid w:val="002D1699"/>
    <w:rsid w:val="002D181F"/>
    <w:rsid w:val="002D1C56"/>
    <w:rsid w:val="002D1C5C"/>
    <w:rsid w:val="002D1FCD"/>
    <w:rsid w:val="002D1FD0"/>
    <w:rsid w:val="002D1FFD"/>
    <w:rsid w:val="002D2270"/>
    <w:rsid w:val="002D252D"/>
    <w:rsid w:val="002D260C"/>
    <w:rsid w:val="002D271C"/>
    <w:rsid w:val="002D2866"/>
    <w:rsid w:val="002D299C"/>
    <w:rsid w:val="002D2BA2"/>
    <w:rsid w:val="002D2DF8"/>
    <w:rsid w:val="002D325F"/>
    <w:rsid w:val="002D3401"/>
    <w:rsid w:val="002D34A5"/>
    <w:rsid w:val="002D352A"/>
    <w:rsid w:val="002D3569"/>
    <w:rsid w:val="002D368C"/>
    <w:rsid w:val="002D371C"/>
    <w:rsid w:val="002D3793"/>
    <w:rsid w:val="002D3B98"/>
    <w:rsid w:val="002D3BBD"/>
    <w:rsid w:val="002D3F94"/>
    <w:rsid w:val="002D3FA8"/>
    <w:rsid w:val="002D4111"/>
    <w:rsid w:val="002D45C2"/>
    <w:rsid w:val="002D4882"/>
    <w:rsid w:val="002D48D6"/>
    <w:rsid w:val="002D49C4"/>
    <w:rsid w:val="002D4A42"/>
    <w:rsid w:val="002D4AA8"/>
    <w:rsid w:val="002D4BC3"/>
    <w:rsid w:val="002D4DCF"/>
    <w:rsid w:val="002D4E02"/>
    <w:rsid w:val="002D4F6D"/>
    <w:rsid w:val="002D50C4"/>
    <w:rsid w:val="002D5193"/>
    <w:rsid w:val="002D564B"/>
    <w:rsid w:val="002D56DD"/>
    <w:rsid w:val="002D577C"/>
    <w:rsid w:val="002D5DEE"/>
    <w:rsid w:val="002D5ED4"/>
    <w:rsid w:val="002D65C6"/>
    <w:rsid w:val="002D693F"/>
    <w:rsid w:val="002D6A89"/>
    <w:rsid w:val="002D6C4B"/>
    <w:rsid w:val="002D6D5F"/>
    <w:rsid w:val="002D719A"/>
    <w:rsid w:val="002D7278"/>
    <w:rsid w:val="002D7442"/>
    <w:rsid w:val="002D747B"/>
    <w:rsid w:val="002D756A"/>
    <w:rsid w:val="002D7604"/>
    <w:rsid w:val="002D76C2"/>
    <w:rsid w:val="002D76E0"/>
    <w:rsid w:val="002D7832"/>
    <w:rsid w:val="002D790D"/>
    <w:rsid w:val="002D79F6"/>
    <w:rsid w:val="002D7D4B"/>
    <w:rsid w:val="002E0018"/>
    <w:rsid w:val="002E046A"/>
    <w:rsid w:val="002E077E"/>
    <w:rsid w:val="002E0C99"/>
    <w:rsid w:val="002E0E66"/>
    <w:rsid w:val="002E0FCD"/>
    <w:rsid w:val="002E1071"/>
    <w:rsid w:val="002E10C8"/>
    <w:rsid w:val="002E1375"/>
    <w:rsid w:val="002E1580"/>
    <w:rsid w:val="002E15B9"/>
    <w:rsid w:val="002E16D2"/>
    <w:rsid w:val="002E1913"/>
    <w:rsid w:val="002E197A"/>
    <w:rsid w:val="002E19F7"/>
    <w:rsid w:val="002E1AC7"/>
    <w:rsid w:val="002E2158"/>
    <w:rsid w:val="002E273E"/>
    <w:rsid w:val="002E2B18"/>
    <w:rsid w:val="002E2BE6"/>
    <w:rsid w:val="002E2D14"/>
    <w:rsid w:val="002E3232"/>
    <w:rsid w:val="002E3290"/>
    <w:rsid w:val="002E32A0"/>
    <w:rsid w:val="002E3355"/>
    <w:rsid w:val="002E3783"/>
    <w:rsid w:val="002E3807"/>
    <w:rsid w:val="002E3B01"/>
    <w:rsid w:val="002E3B04"/>
    <w:rsid w:val="002E3B9F"/>
    <w:rsid w:val="002E3BCB"/>
    <w:rsid w:val="002E3CE4"/>
    <w:rsid w:val="002E3CE5"/>
    <w:rsid w:val="002E3D57"/>
    <w:rsid w:val="002E3D60"/>
    <w:rsid w:val="002E3E1E"/>
    <w:rsid w:val="002E3F78"/>
    <w:rsid w:val="002E4597"/>
    <w:rsid w:val="002E489A"/>
    <w:rsid w:val="002E4B23"/>
    <w:rsid w:val="002E4CE3"/>
    <w:rsid w:val="002E4F02"/>
    <w:rsid w:val="002E5058"/>
    <w:rsid w:val="002E528F"/>
    <w:rsid w:val="002E5438"/>
    <w:rsid w:val="002E5492"/>
    <w:rsid w:val="002E56A7"/>
    <w:rsid w:val="002E57E8"/>
    <w:rsid w:val="002E57F8"/>
    <w:rsid w:val="002E58C1"/>
    <w:rsid w:val="002E5966"/>
    <w:rsid w:val="002E5A59"/>
    <w:rsid w:val="002E5C79"/>
    <w:rsid w:val="002E5CE6"/>
    <w:rsid w:val="002E5EB5"/>
    <w:rsid w:val="002E5F28"/>
    <w:rsid w:val="002E6036"/>
    <w:rsid w:val="002E647F"/>
    <w:rsid w:val="002E65C8"/>
    <w:rsid w:val="002E66FD"/>
    <w:rsid w:val="002E692B"/>
    <w:rsid w:val="002E6A05"/>
    <w:rsid w:val="002E6A07"/>
    <w:rsid w:val="002E6BE1"/>
    <w:rsid w:val="002E6C54"/>
    <w:rsid w:val="002E6E04"/>
    <w:rsid w:val="002E708C"/>
    <w:rsid w:val="002E7519"/>
    <w:rsid w:val="002E751E"/>
    <w:rsid w:val="002E764D"/>
    <w:rsid w:val="002E7722"/>
    <w:rsid w:val="002E798C"/>
    <w:rsid w:val="002E7E73"/>
    <w:rsid w:val="002E7ED4"/>
    <w:rsid w:val="002F0501"/>
    <w:rsid w:val="002F069D"/>
    <w:rsid w:val="002F06CD"/>
    <w:rsid w:val="002F0797"/>
    <w:rsid w:val="002F07BA"/>
    <w:rsid w:val="002F07FF"/>
    <w:rsid w:val="002F0839"/>
    <w:rsid w:val="002F08B5"/>
    <w:rsid w:val="002F0A30"/>
    <w:rsid w:val="002F0A84"/>
    <w:rsid w:val="002F0BD3"/>
    <w:rsid w:val="002F0D6B"/>
    <w:rsid w:val="002F0DA9"/>
    <w:rsid w:val="002F0F3D"/>
    <w:rsid w:val="002F0F7B"/>
    <w:rsid w:val="002F1014"/>
    <w:rsid w:val="002F10B5"/>
    <w:rsid w:val="002F148F"/>
    <w:rsid w:val="002F15E2"/>
    <w:rsid w:val="002F1732"/>
    <w:rsid w:val="002F174F"/>
    <w:rsid w:val="002F19FE"/>
    <w:rsid w:val="002F1D47"/>
    <w:rsid w:val="002F1D78"/>
    <w:rsid w:val="002F1DF3"/>
    <w:rsid w:val="002F1E3B"/>
    <w:rsid w:val="002F211D"/>
    <w:rsid w:val="002F24EE"/>
    <w:rsid w:val="002F2723"/>
    <w:rsid w:val="002F2960"/>
    <w:rsid w:val="002F2D1E"/>
    <w:rsid w:val="002F30D7"/>
    <w:rsid w:val="002F3130"/>
    <w:rsid w:val="002F32C2"/>
    <w:rsid w:val="002F362C"/>
    <w:rsid w:val="002F3A96"/>
    <w:rsid w:val="002F3D81"/>
    <w:rsid w:val="002F3DC6"/>
    <w:rsid w:val="002F3E84"/>
    <w:rsid w:val="002F40BA"/>
    <w:rsid w:val="002F4124"/>
    <w:rsid w:val="002F41FF"/>
    <w:rsid w:val="002F453D"/>
    <w:rsid w:val="002F459C"/>
    <w:rsid w:val="002F4674"/>
    <w:rsid w:val="002F46AA"/>
    <w:rsid w:val="002F48B1"/>
    <w:rsid w:val="002F4D2B"/>
    <w:rsid w:val="002F4E98"/>
    <w:rsid w:val="002F4F93"/>
    <w:rsid w:val="002F5099"/>
    <w:rsid w:val="002F52F8"/>
    <w:rsid w:val="002F568B"/>
    <w:rsid w:val="002F57D7"/>
    <w:rsid w:val="002F5F04"/>
    <w:rsid w:val="002F5F97"/>
    <w:rsid w:val="002F5FB6"/>
    <w:rsid w:val="002F600B"/>
    <w:rsid w:val="002F6331"/>
    <w:rsid w:val="002F6372"/>
    <w:rsid w:val="002F643C"/>
    <w:rsid w:val="002F6462"/>
    <w:rsid w:val="002F679B"/>
    <w:rsid w:val="002F687E"/>
    <w:rsid w:val="002F68C1"/>
    <w:rsid w:val="002F6965"/>
    <w:rsid w:val="002F6A0A"/>
    <w:rsid w:val="002F6B53"/>
    <w:rsid w:val="002F6C78"/>
    <w:rsid w:val="002F6D61"/>
    <w:rsid w:val="002F7064"/>
    <w:rsid w:val="002F70B5"/>
    <w:rsid w:val="002F71C0"/>
    <w:rsid w:val="002F74F1"/>
    <w:rsid w:val="002F7600"/>
    <w:rsid w:val="002F7739"/>
    <w:rsid w:val="002F7AC5"/>
    <w:rsid w:val="002F7AE6"/>
    <w:rsid w:val="002F7BAF"/>
    <w:rsid w:val="002F7BB3"/>
    <w:rsid w:val="002F7CAF"/>
    <w:rsid w:val="002F7D06"/>
    <w:rsid w:val="002F7D49"/>
    <w:rsid w:val="002F7E78"/>
    <w:rsid w:val="002F7F7D"/>
    <w:rsid w:val="00300011"/>
    <w:rsid w:val="003001DB"/>
    <w:rsid w:val="003001E9"/>
    <w:rsid w:val="003002E8"/>
    <w:rsid w:val="003005A4"/>
    <w:rsid w:val="003007D5"/>
    <w:rsid w:val="00300869"/>
    <w:rsid w:val="00300BD6"/>
    <w:rsid w:val="00300D60"/>
    <w:rsid w:val="00300D98"/>
    <w:rsid w:val="00300FE3"/>
    <w:rsid w:val="00301017"/>
    <w:rsid w:val="003013A8"/>
    <w:rsid w:val="003014D0"/>
    <w:rsid w:val="00301544"/>
    <w:rsid w:val="0030155F"/>
    <w:rsid w:val="003017A0"/>
    <w:rsid w:val="00301A5B"/>
    <w:rsid w:val="00301B1E"/>
    <w:rsid w:val="00301BC1"/>
    <w:rsid w:val="00301C7E"/>
    <w:rsid w:val="00301ECA"/>
    <w:rsid w:val="00301F99"/>
    <w:rsid w:val="00301FE9"/>
    <w:rsid w:val="00302032"/>
    <w:rsid w:val="00302164"/>
    <w:rsid w:val="0030255E"/>
    <w:rsid w:val="0030256C"/>
    <w:rsid w:val="003026E3"/>
    <w:rsid w:val="003026FE"/>
    <w:rsid w:val="003027E5"/>
    <w:rsid w:val="0030292C"/>
    <w:rsid w:val="00302B7C"/>
    <w:rsid w:val="00302BBA"/>
    <w:rsid w:val="00302C02"/>
    <w:rsid w:val="00302F4D"/>
    <w:rsid w:val="00303375"/>
    <w:rsid w:val="00303396"/>
    <w:rsid w:val="00303461"/>
    <w:rsid w:val="00303644"/>
    <w:rsid w:val="003036CD"/>
    <w:rsid w:val="00303AF6"/>
    <w:rsid w:val="00303C86"/>
    <w:rsid w:val="00303E60"/>
    <w:rsid w:val="00303F10"/>
    <w:rsid w:val="00303F4D"/>
    <w:rsid w:val="003040C9"/>
    <w:rsid w:val="003046F5"/>
    <w:rsid w:val="00304755"/>
    <w:rsid w:val="00304841"/>
    <w:rsid w:val="00304A00"/>
    <w:rsid w:val="00304DA8"/>
    <w:rsid w:val="00305241"/>
    <w:rsid w:val="00305562"/>
    <w:rsid w:val="003055BB"/>
    <w:rsid w:val="0030562A"/>
    <w:rsid w:val="0030571B"/>
    <w:rsid w:val="0030574B"/>
    <w:rsid w:val="00305863"/>
    <w:rsid w:val="00305878"/>
    <w:rsid w:val="0030587B"/>
    <w:rsid w:val="0030590D"/>
    <w:rsid w:val="00305A63"/>
    <w:rsid w:val="00305B5F"/>
    <w:rsid w:val="00305CBC"/>
    <w:rsid w:val="00305D51"/>
    <w:rsid w:val="00305E57"/>
    <w:rsid w:val="0030602D"/>
    <w:rsid w:val="00306087"/>
    <w:rsid w:val="0030652D"/>
    <w:rsid w:val="00306685"/>
    <w:rsid w:val="0030682C"/>
    <w:rsid w:val="00306942"/>
    <w:rsid w:val="00306D09"/>
    <w:rsid w:val="00306D37"/>
    <w:rsid w:val="00306D98"/>
    <w:rsid w:val="003070FF"/>
    <w:rsid w:val="003073F9"/>
    <w:rsid w:val="003074E3"/>
    <w:rsid w:val="00307516"/>
    <w:rsid w:val="0030786C"/>
    <w:rsid w:val="00307888"/>
    <w:rsid w:val="00307952"/>
    <w:rsid w:val="00307A20"/>
    <w:rsid w:val="00307ACF"/>
    <w:rsid w:val="00307AE6"/>
    <w:rsid w:val="00307F2D"/>
    <w:rsid w:val="003101E3"/>
    <w:rsid w:val="003102A9"/>
    <w:rsid w:val="0031031A"/>
    <w:rsid w:val="003103D9"/>
    <w:rsid w:val="003103F4"/>
    <w:rsid w:val="00310406"/>
    <w:rsid w:val="0031048B"/>
    <w:rsid w:val="0031056F"/>
    <w:rsid w:val="00310671"/>
    <w:rsid w:val="003107E0"/>
    <w:rsid w:val="0031090D"/>
    <w:rsid w:val="00310981"/>
    <w:rsid w:val="00310BD4"/>
    <w:rsid w:val="00310D7F"/>
    <w:rsid w:val="00310E35"/>
    <w:rsid w:val="003111F1"/>
    <w:rsid w:val="00311219"/>
    <w:rsid w:val="0031125A"/>
    <w:rsid w:val="0031136F"/>
    <w:rsid w:val="003114AB"/>
    <w:rsid w:val="003114C8"/>
    <w:rsid w:val="0031186A"/>
    <w:rsid w:val="00311946"/>
    <w:rsid w:val="00311B1E"/>
    <w:rsid w:val="00311D9B"/>
    <w:rsid w:val="00311E1A"/>
    <w:rsid w:val="00311E2B"/>
    <w:rsid w:val="00311F89"/>
    <w:rsid w:val="00311FF1"/>
    <w:rsid w:val="003121ED"/>
    <w:rsid w:val="00312226"/>
    <w:rsid w:val="003122B3"/>
    <w:rsid w:val="003122EB"/>
    <w:rsid w:val="003124D9"/>
    <w:rsid w:val="00312594"/>
    <w:rsid w:val="003125FD"/>
    <w:rsid w:val="0031264D"/>
    <w:rsid w:val="003127D4"/>
    <w:rsid w:val="003127E0"/>
    <w:rsid w:val="003129D2"/>
    <w:rsid w:val="00312A15"/>
    <w:rsid w:val="00312A4D"/>
    <w:rsid w:val="00312BDD"/>
    <w:rsid w:val="00312BE9"/>
    <w:rsid w:val="00312C1C"/>
    <w:rsid w:val="00312E8A"/>
    <w:rsid w:val="00313027"/>
    <w:rsid w:val="0031305A"/>
    <w:rsid w:val="0031324E"/>
    <w:rsid w:val="003132D8"/>
    <w:rsid w:val="00313333"/>
    <w:rsid w:val="00313573"/>
    <w:rsid w:val="003135CB"/>
    <w:rsid w:val="00313702"/>
    <w:rsid w:val="0031371C"/>
    <w:rsid w:val="00313720"/>
    <w:rsid w:val="00313758"/>
    <w:rsid w:val="00313808"/>
    <w:rsid w:val="00313AB4"/>
    <w:rsid w:val="00313AFB"/>
    <w:rsid w:val="00313B0E"/>
    <w:rsid w:val="00313B7B"/>
    <w:rsid w:val="00313D80"/>
    <w:rsid w:val="00313ED0"/>
    <w:rsid w:val="00314152"/>
    <w:rsid w:val="00314386"/>
    <w:rsid w:val="003147D6"/>
    <w:rsid w:val="00314989"/>
    <w:rsid w:val="00314AC7"/>
    <w:rsid w:val="00314D7A"/>
    <w:rsid w:val="00314FE8"/>
    <w:rsid w:val="003152C6"/>
    <w:rsid w:val="003152C9"/>
    <w:rsid w:val="0031530C"/>
    <w:rsid w:val="00315498"/>
    <w:rsid w:val="00315948"/>
    <w:rsid w:val="00315A8D"/>
    <w:rsid w:val="00315A9D"/>
    <w:rsid w:val="00315E07"/>
    <w:rsid w:val="003162A7"/>
    <w:rsid w:val="00316422"/>
    <w:rsid w:val="00316474"/>
    <w:rsid w:val="0031679B"/>
    <w:rsid w:val="00316912"/>
    <w:rsid w:val="00316BC9"/>
    <w:rsid w:val="00316EED"/>
    <w:rsid w:val="00316F01"/>
    <w:rsid w:val="00317095"/>
    <w:rsid w:val="00317143"/>
    <w:rsid w:val="003171A4"/>
    <w:rsid w:val="00317329"/>
    <w:rsid w:val="003173DE"/>
    <w:rsid w:val="003173E2"/>
    <w:rsid w:val="0031765F"/>
    <w:rsid w:val="003176D9"/>
    <w:rsid w:val="0031782F"/>
    <w:rsid w:val="003178B4"/>
    <w:rsid w:val="00317B38"/>
    <w:rsid w:val="00320012"/>
    <w:rsid w:val="00320020"/>
    <w:rsid w:val="00320200"/>
    <w:rsid w:val="0032064F"/>
    <w:rsid w:val="0032099C"/>
    <w:rsid w:val="00320A78"/>
    <w:rsid w:val="00320C30"/>
    <w:rsid w:val="00320EF8"/>
    <w:rsid w:val="00320F80"/>
    <w:rsid w:val="003210CA"/>
    <w:rsid w:val="003217EB"/>
    <w:rsid w:val="003219A7"/>
    <w:rsid w:val="00321A00"/>
    <w:rsid w:val="00321A35"/>
    <w:rsid w:val="00321C99"/>
    <w:rsid w:val="00321EB9"/>
    <w:rsid w:val="00321EE0"/>
    <w:rsid w:val="003220B2"/>
    <w:rsid w:val="00322107"/>
    <w:rsid w:val="00322355"/>
    <w:rsid w:val="003223B1"/>
    <w:rsid w:val="00322457"/>
    <w:rsid w:val="003225D9"/>
    <w:rsid w:val="00322795"/>
    <w:rsid w:val="00322846"/>
    <w:rsid w:val="00322D64"/>
    <w:rsid w:val="00322E1D"/>
    <w:rsid w:val="00322F7C"/>
    <w:rsid w:val="003234F1"/>
    <w:rsid w:val="00323559"/>
    <w:rsid w:val="003235E3"/>
    <w:rsid w:val="0032369A"/>
    <w:rsid w:val="003236AA"/>
    <w:rsid w:val="003237B9"/>
    <w:rsid w:val="003238DC"/>
    <w:rsid w:val="00323B26"/>
    <w:rsid w:val="0032400C"/>
    <w:rsid w:val="00324083"/>
    <w:rsid w:val="003241DD"/>
    <w:rsid w:val="003242DC"/>
    <w:rsid w:val="00324357"/>
    <w:rsid w:val="00324526"/>
    <w:rsid w:val="00324878"/>
    <w:rsid w:val="00324982"/>
    <w:rsid w:val="003249D6"/>
    <w:rsid w:val="00324D80"/>
    <w:rsid w:val="00324DC5"/>
    <w:rsid w:val="00324E2B"/>
    <w:rsid w:val="00324F89"/>
    <w:rsid w:val="00325222"/>
    <w:rsid w:val="00325459"/>
    <w:rsid w:val="003254B4"/>
    <w:rsid w:val="00325509"/>
    <w:rsid w:val="003259E1"/>
    <w:rsid w:val="00325D26"/>
    <w:rsid w:val="00325F56"/>
    <w:rsid w:val="00325F7D"/>
    <w:rsid w:val="00326252"/>
    <w:rsid w:val="00326432"/>
    <w:rsid w:val="003264DC"/>
    <w:rsid w:val="0032659A"/>
    <w:rsid w:val="003266D1"/>
    <w:rsid w:val="00326833"/>
    <w:rsid w:val="0032684E"/>
    <w:rsid w:val="0032689D"/>
    <w:rsid w:val="00326911"/>
    <w:rsid w:val="0032697E"/>
    <w:rsid w:val="00326B13"/>
    <w:rsid w:val="00326DA7"/>
    <w:rsid w:val="00326EEB"/>
    <w:rsid w:val="00326EF8"/>
    <w:rsid w:val="00326F1F"/>
    <w:rsid w:val="003270E4"/>
    <w:rsid w:val="003270F3"/>
    <w:rsid w:val="00327255"/>
    <w:rsid w:val="003279AE"/>
    <w:rsid w:val="00327A8E"/>
    <w:rsid w:val="00327AFC"/>
    <w:rsid w:val="00327B31"/>
    <w:rsid w:val="00330014"/>
    <w:rsid w:val="0033009F"/>
    <w:rsid w:val="00330494"/>
    <w:rsid w:val="00330567"/>
    <w:rsid w:val="003307FA"/>
    <w:rsid w:val="00330A95"/>
    <w:rsid w:val="00330CF2"/>
    <w:rsid w:val="00330D86"/>
    <w:rsid w:val="00330DAA"/>
    <w:rsid w:val="00330F5C"/>
    <w:rsid w:val="00331165"/>
    <w:rsid w:val="003313A0"/>
    <w:rsid w:val="003313E7"/>
    <w:rsid w:val="00331574"/>
    <w:rsid w:val="003317CB"/>
    <w:rsid w:val="00331857"/>
    <w:rsid w:val="003318F7"/>
    <w:rsid w:val="003319F6"/>
    <w:rsid w:val="00331A2C"/>
    <w:rsid w:val="00331A3E"/>
    <w:rsid w:val="00331AEF"/>
    <w:rsid w:val="00331C67"/>
    <w:rsid w:val="00331C7F"/>
    <w:rsid w:val="003320E1"/>
    <w:rsid w:val="0033237D"/>
    <w:rsid w:val="00332425"/>
    <w:rsid w:val="00332548"/>
    <w:rsid w:val="00332B36"/>
    <w:rsid w:val="00332BE2"/>
    <w:rsid w:val="00332DA8"/>
    <w:rsid w:val="00332FFF"/>
    <w:rsid w:val="00333383"/>
    <w:rsid w:val="003334EA"/>
    <w:rsid w:val="003335B9"/>
    <w:rsid w:val="00333C27"/>
    <w:rsid w:val="00333CBA"/>
    <w:rsid w:val="00333D1E"/>
    <w:rsid w:val="00333EF5"/>
    <w:rsid w:val="00333F1A"/>
    <w:rsid w:val="00334356"/>
    <w:rsid w:val="0033447B"/>
    <w:rsid w:val="0033455C"/>
    <w:rsid w:val="0033457F"/>
    <w:rsid w:val="00334CFF"/>
    <w:rsid w:val="00335501"/>
    <w:rsid w:val="00335702"/>
    <w:rsid w:val="003358F4"/>
    <w:rsid w:val="00335931"/>
    <w:rsid w:val="0033596D"/>
    <w:rsid w:val="0033596E"/>
    <w:rsid w:val="00335BE2"/>
    <w:rsid w:val="00335C24"/>
    <w:rsid w:val="00335C57"/>
    <w:rsid w:val="00335D0C"/>
    <w:rsid w:val="003360C4"/>
    <w:rsid w:val="00336156"/>
    <w:rsid w:val="00336241"/>
    <w:rsid w:val="00336303"/>
    <w:rsid w:val="00336311"/>
    <w:rsid w:val="0033662B"/>
    <w:rsid w:val="0033665D"/>
    <w:rsid w:val="003366C9"/>
    <w:rsid w:val="0033672B"/>
    <w:rsid w:val="003367C5"/>
    <w:rsid w:val="003369A6"/>
    <w:rsid w:val="00336BE6"/>
    <w:rsid w:val="00336C3C"/>
    <w:rsid w:val="003370C2"/>
    <w:rsid w:val="003371B0"/>
    <w:rsid w:val="003375FB"/>
    <w:rsid w:val="00337B05"/>
    <w:rsid w:val="00337BD9"/>
    <w:rsid w:val="00337C8E"/>
    <w:rsid w:val="00337D94"/>
    <w:rsid w:val="00337E94"/>
    <w:rsid w:val="0034000C"/>
    <w:rsid w:val="0034007F"/>
    <w:rsid w:val="0034019E"/>
    <w:rsid w:val="00340317"/>
    <w:rsid w:val="003403AB"/>
    <w:rsid w:val="003406DA"/>
    <w:rsid w:val="00340872"/>
    <w:rsid w:val="00340957"/>
    <w:rsid w:val="00340C0B"/>
    <w:rsid w:val="00340DF1"/>
    <w:rsid w:val="00340E95"/>
    <w:rsid w:val="00340EEE"/>
    <w:rsid w:val="0034116C"/>
    <w:rsid w:val="003418AC"/>
    <w:rsid w:val="00341B64"/>
    <w:rsid w:val="00341E64"/>
    <w:rsid w:val="00341FE4"/>
    <w:rsid w:val="003421BF"/>
    <w:rsid w:val="003422CF"/>
    <w:rsid w:val="003423D3"/>
    <w:rsid w:val="00342540"/>
    <w:rsid w:val="003425C3"/>
    <w:rsid w:val="003425F2"/>
    <w:rsid w:val="0034263E"/>
    <w:rsid w:val="00342885"/>
    <w:rsid w:val="00342C7B"/>
    <w:rsid w:val="00342E60"/>
    <w:rsid w:val="003431B8"/>
    <w:rsid w:val="003431EC"/>
    <w:rsid w:val="003432EA"/>
    <w:rsid w:val="0034347B"/>
    <w:rsid w:val="003434B0"/>
    <w:rsid w:val="003435D2"/>
    <w:rsid w:val="003436E7"/>
    <w:rsid w:val="0034387D"/>
    <w:rsid w:val="00343ACE"/>
    <w:rsid w:val="00343E4C"/>
    <w:rsid w:val="00343FFD"/>
    <w:rsid w:val="003441A4"/>
    <w:rsid w:val="0034426C"/>
    <w:rsid w:val="003442D9"/>
    <w:rsid w:val="00344360"/>
    <w:rsid w:val="00344A04"/>
    <w:rsid w:val="00344B41"/>
    <w:rsid w:val="00344C98"/>
    <w:rsid w:val="00344CDA"/>
    <w:rsid w:val="00344E33"/>
    <w:rsid w:val="00344EBE"/>
    <w:rsid w:val="00345260"/>
    <w:rsid w:val="00345559"/>
    <w:rsid w:val="00345699"/>
    <w:rsid w:val="003456BB"/>
    <w:rsid w:val="003456BD"/>
    <w:rsid w:val="003458F0"/>
    <w:rsid w:val="00345C3C"/>
    <w:rsid w:val="00345E61"/>
    <w:rsid w:val="00345F22"/>
    <w:rsid w:val="00345FB5"/>
    <w:rsid w:val="00345FFB"/>
    <w:rsid w:val="0034611E"/>
    <w:rsid w:val="00346189"/>
    <w:rsid w:val="00346640"/>
    <w:rsid w:val="0034687D"/>
    <w:rsid w:val="003468DE"/>
    <w:rsid w:val="00346A31"/>
    <w:rsid w:val="00346C2A"/>
    <w:rsid w:val="00346F7A"/>
    <w:rsid w:val="00347248"/>
    <w:rsid w:val="00347281"/>
    <w:rsid w:val="0034747A"/>
    <w:rsid w:val="00347687"/>
    <w:rsid w:val="0034776F"/>
    <w:rsid w:val="00347940"/>
    <w:rsid w:val="00347B9A"/>
    <w:rsid w:val="00347BA9"/>
    <w:rsid w:val="00347D74"/>
    <w:rsid w:val="00347EDD"/>
    <w:rsid w:val="00347F85"/>
    <w:rsid w:val="00350322"/>
    <w:rsid w:val="003505A7"/>
    <w:rsid w:val="00350827"/>
    <w:rsid w:val="0035082C"/>
    <w:rsid w:val="003509FA"/>
    <w:rsid w:val="00350C57"/>
    <w:rsid w:val="0035112A"/>
    <w:rsid w:val="003513A1"/>
    <w:rsid w:val="0035148C"/>
    <w:rsid w:val="003517B9"/>
    <w:rsid w:val="003517F9"/>
    <w:rsid w:val="00351A86"/>
    <w:rsid w:val="00351BA9"/>
    <w:rsid w:val="00351C2C"/>
    <w:rsid w:val="00351CBE"/>
    <w:rsid w:val="00352149"/>
    <w:rsid w:val="003522EC"/>
    <w:rsid w:val="003525C0"/>
    <w:rsid w:val="00352654"/>
    <w:rsid w:val="0035265D"/>
    <w:rsid w:val="003527B5"/>
    <w:rsid w:val="003527D8"/>
    <w:rsid w:val="00352A58"/>
    <w:rsid w:val="00352B15"/>
    <w:rsid w:val="00352B5A"/>
    <w:rsid w:val="00352B94"/>
    <w:rsid w:val="00352C30"/>
    <w:rsid w:val="00352DE8"/>
    <w:rsid w:val="00352F99"/>
    <w:rsid w:val="0035324F"/>
    <w:rsid w:val="0035325E"/>
    <w:rsid w:val="003532A4"/>
    <w:rsid w:val="00353322"/>
    <w:rsid w:val="0035342D"/>
    <w:rsid w:val="0035347D"/>
    <w:rsid w:val="003534C6"/>
    <w:rsid w:val="003534DD"/>
    <w:rsid w:val="00353557"/>
    <w:rsid w:val="00353745"/>
    <w:rsid w:val="003537C7"/>
    <w:rsid w:val="0035383A"/>
    <w:rsid w:val="003538B5"/>
    <w:rsid w:val="00353CF5"/>
    <w:rsid w:val="00353F4B"/>
    <w:rsid w:val="00354147"/>
    <w:rsid w:val="003542DC"/>
    <w:rsid w:val="00354358"/>
    <w:rsid w:val="0035440F"/>
    <w:rsid w:val="00354410"/>
    <w:rsid w:val="0035477F"/>
    <w:rsid w:val="0035484A"/>
    <w:rsid w:val="00354A1F"/>
    <w:rsid w:val="00354A61"/>
    <w:rsid w:val="00354A69"/>
    <w:rsid w:val="00354BA8"/>
    <w:rsid w:val="00354CA4"/>
    <w:rsid w:val="00354F64"/>
    <w:rsid w:val="00354F9D"/>
    <w:rsid w:val="00355019"/>
    <w:rsid w:val="00355270"/>
    <w:rsid w:val="00355332"/>
    <w:rsid w:val="00355483"/>
    <w:rsid w:val="003554AA"/>
    <w:rsid w:val="003556C7"/>
    <w:rsid w:val="003556DC"/>
    <w:rsid w:val="00355A78"/>
    <w:rsid w:val="00355AEB"/>
    <w:rsid w:val="00355CBF"/>
    <w:rsid w:val="00355CE7"/>
    <w:rsid w:val="00355D07"/>
    <w:rsid w:val="00355D4F"/>
    <w:rsid w:val="00355DDB"/>
    <w:rsid w:val="00355ED1"/>
    <w:rsid w:val="0035620E"/>
    <w:rsid w:val="003562AC"/>
    <w:rsid w:val="0035632F"/>
    <w:rsid w:val="003566F4"/>
    <w:rsid w:val="003566F6"/>
    <w:rsid w:val="0035672B"/>
    <w:rsid w:val="0035675A"/>
    <w:rsid w:val="00356882"/>
    <w:rsid w:val="00356A5B"/>
    <w:rsid w:val="00356DA0"/>
    <w:rsid w:val="00356DD7"/>
    <w:rsid w:val="00356F34"/>
    <w:rsid w:val="003570AC"/>
    <w:rsid w:val="00357109"/>
    <w:rsid w:val="00357144"/>
    <w:rsid w:val="0035714E"/>
    <w:rsid w:val="00357339"/>
    <w:rsid w:val="00357510"/>
    <w:rsid w:val="003575BE"/>
    <w:rsid w:val="003575D1"/>
    <w:rsid w:val="003576D4"/>
    <w:rsid w:val="0035791F"/>
    <w:rsid w:val="00357B9A"/>
    <w:rsid w:val="00357C0B"/>
    <w:rsid w:val="00357F8F"/>
    <w:rsid w:val="00360087"/>
    <w:rsid w:val="0036009A"/>
    <w:rsid w:val="003600AB"/>
    <w:rsid w:val="0036016F"/>
    <w:rsid w:val="00360225"/>
    <w:rsid w:val="00360238"/>
    <w:rsid w:val="0036025C"/>
    <w:rsid w:val="00360345"/>
    <w:rsid w:val="00360491"/>
    <w:rsid w:val="0036094F"/>
    <w:rsid w:val="003609C5"/>
    <w:rsid w:val="00360B63"/>
    <w:rsid w:val="00360C06"/>
    <w:rsid w:val="00360D81"/>
    <w:rsid w:val="00361203"/>
    <w:rsid w:val="003614FF"/>
    <w:rsid w:val="0036172D"/>
    <w:rsid w:val="00361817"/>
    <w:rsid w:val="00361858"/>
    <w:rsid w:val="00361A05"/>
    <w:rsid w:val="00361BCA"/>
    <w:rsid w:val="00361E43"/>
    <w:rsid w:val="00361E8C"/>
    <w:rsid w:val="00361EF4"/>
    <w:rsid w:val="003624C4"/>
    <w:rsid w:val="003625C0"/>
    <w:rsid w:val="00362737"/>
    <w:rsid w:val="00362957"/>
    <w:rsid w:val="003629A5"/>
    <w:rsid w:val="00362BE5"/>
    <w:rsid w:val="00362E14"/>
    <w:rsid w:val="00362E37"/>
    <w:rsid w:val="00362E9F"/>
    <w:rsid w:val="003632B9"/>
    <w:rsid w:val="003634A4"/>
    <w:rsid w:val="00363724"/>
    <w:rsid w:val="00363959"/>
    <w:rsid w:val="00363A14"/>
    <w:rsid w:val="00363A6A"/>
    <w:rsid w:val="00363B00"/>
    <w:rsid w:val="00363B9E"/>
    <w:rsid w:val="00363BBE"/>
    <w:rsid w:val="00363BE1"/>
    <w:rsid w:val="00363E09"/>
    <w:rsid w:val="003642DB"/>
    <w:rsid w:val="00364306"/>
    <w:rsid w:val="003643EB"/>
    <w:rsid w:val="003644B9"/>
    <w:rsid w:val="003647FF"/>
    <w:rsid w:val="003648D3"/>
    <w:rsid w:val="003649D7"/>
    <w:rsid w:val="00364C19"/>
    <w:rsid w:val="00364CA1"/>
    <w:rsid w:val="00364CAF"/>
    <w:rsid w:val="00364D6F"/>
    <w:rsid w:val="00365108"/>
    <w:rsid w:val="003654AC"/>
    <w:rsid w:val="00365530"/>
    <w:rsid w:val="003657C6"/>
    <w:rsid w:val="00365A80"/>
    <w:rsid w:val="00365B50"/>
    <w:rsid w:val="00365E1D"/>
    <w:rsid w:val="00365E8A"/>
    <w:rsid w:val="0036603A"/>
    <w:rsid w:val="00366053"/>
    <w:rsid w:val="003660F2"/>
    <w:rsid w:val="003661BC"/>
    <w:rsid w:val="003662E5"/>
    <w:rsid w:val="00366347"/>
    <w:rsid w:val="003669FD"/>
    <w:rsid w:val="00366A42"/>
    <w:rsid w:val="00366D85"/>
    <w:rsid w:val="003674CF"/>
    <w:rsid w:val="00367573"/>
    <w:rsid w:val="0036769D"/>
    <w:rsid w:val="00367B09"/>
    <w:rsid w:val="00367C09"/>
    <w:rsid w:val="00367E7F"/>
    <w:rsid w:val="00367FB4"/>
    <w:rsid w:val="003701E8"/>
    <w:rsid w:val="0037027B"/>
    <w:rsid w:val="003703B4"/>
    <w:rsid w:val="00370410"/>
    <w:rsid w:val="00370484"/>
    <w:rsid w:val="003705AF"/>
    <w:rsid w:val="003706E1"/>
    <w:rsid w:val="00370899"/>
    <w:rsid w:val="003708D9"/>
    <w:rsid w:val="0037097C"/>
    <w:rsid w:val="00370B16"/>
    <w:rsid w:val="0037107F"/>
    <w:rsid w:val="003710CF"/>
    <w:rsid w:val="00371101"/>
    <w:rsid w:val="0037135A"/>
    <w:rsid w:val="00371480"/>
    <w:rsid w:val="00371563"/>
    <w:rsid w:val="0037166D"/>
    <w:rsid w:val="00371734"/>
    <w:rsid w:val="003717D1"/>
    <w:rsid w:val="00371894"/>
    <w:rsid w:val="00371BBD"/>
    <w:rsid w:val="00371C0A"/>
    <w:rsid w:val="00371EF7"/>
    <w:rsid w:val="00371F12"/>
    <w:rsid w:val="00371F15"/>
    <w:rsid w:val="00371F50"/>
    <w:rsid w:val="00371FC8"/>
    <w:rsid w:val="00371FCB"/>
    <w:rsid w:val="00371FFC"/>
    <w:rsid w:val="00372156"/>
    <w:rsid w:val="003723CD"/>
    <w:rsid w:val="00372683"/>
    <w:rsid w:val="00372DE3"/>
    <w:rsid w:val="0037358A"/>
    <w:rsid w:val="003736A9"/>
    <w:rsid w:val="003736E2"/>
    <w:rsid w:val="00373752"/>
    <w:rsid w:val="00373787"/>
    <w:rsid w:val="00373A3E"/>
    <w:rsid w:val="00373E6D"/>
    <w:rsid w:val="0037403F"/>
    <w:rsid w:val="00374212"/>
    <w:rsid w:val="00374588"/>
    <w:rsid w:val="00374696"/>
    <w:rsid w:val="00374B56"/>
    <w:rsid w:val="003750F6"/>
    <w:rsid w:val="00375294"/>
    <w:rsid w:val="00375327"/>
    <w:rsid w:val="0037533C"/>
    <w:rsid w:val="00375A99"/>
    <w:rsid w:val="00375D11"/>
    <w:rsid w:val="00375F50"/>
    <w:rsid w:val="00375FB9"/>
    <w:rsid w:val="00375FBC"/>
    <w:rsid w:val="003760FC"/>
    <w:rsid w:val="003763EC"/>
    <w:rsid w:val="00376400"/>
    <w:rsid w:val="0037646F"/>
    <w:rsid w:val="00376807"/>
    <w:rsid w:val="00376820"/>
    <w:rsid w:val="00376869"/>
    <w:rsid w:val="003768BE"/>
    <w:rsid w:val="00376F36"/>
    <w:rsid w:val="00376F39"/>
    <w:rsid w:val="003771F5"/>
    <w:rsid w:val="00377258"/>
    <w:rsid w:val="003776D7"/>
    <w:rsid w:val="003777AB"/>
    <w:rsid w:val="00377A0D"/>
    <w:rsid w:val="00377B9C"/>
    <w:rsid w:val="00377C76"/>
    <w:rsid w:val="00377DAA"/>
    <w:rsid w:val="00377E64"/>
    <w:rsid w:val="00377F97"/>
    <w:rsid w:val="00380004"/>
    <w:rsid w:val="003801A2"/>
    <w:rsid w:val="003803B2"/>
    <w:rsid w:val="003807F1"/>
    <w:rsid w:val="003808EC"/>
    <w:rsid w:val="0038099B"/>
    <w:rsid w:val="00380A2C"/>
    <w:rsid w:val="00380A83"/>
    <w:rsid w:val="00380B8A"/>
    <w:rsid w:val="00380C4D"/>
    <w:rsid w:val="00380CCD"/>
    <w:rsid w:val="00380EA8"/>
    <w:rsid w:val="00380F88"/>
    <w:rsid w:val="00381035"/>
    <w:rsid w:val="003811AA"/>
    <w:rsid w:val="00381278"/>
    <w:rsid w:val="00381366"/>
    <w:rsid w:val="00381463"/>
    <w:rsid w:val="003814A1"/>
    <w:rsid w:val="003814A4"/>
    <w:rsid w:val="003816CB"/>
    <w:rsid w:val="003816D2"/>
    <w:rsid w:val="0038179D"/>
    <w:rsid w:val="0038181B"/>
    <w:rsid w:val="00381CAC"/>
    <w:rsid w:val="00381D5E"/>
    <w:rsid w:val="0038213E"/>
    <w:rsid w:val="003824A5"/>
    <w:rsid w:val="00382B33"/>
    <w:rsid w:val="00382E63"/>
    <w:rsid w:val="00383263"/>
    <w:rsid w:val="0038345B"/>
    <w:rsid w:val="00383465"/>
    <w:rsid w:val="003834E7"/>
    <w:rsid w:val="0038365C"/>
    <w:rsid w:val="0038369B"/>
    <w:rsid w:val="00383B1E"/>
    <w:rsid w:val="00383B78"/>
    <w:rsid w:val="00383B87"/>
    <w:rsid w:val="00383C11"/>
    <w:rsid w:val="00383CD3"/>
    <w:rsid w:val="00383DC0"/>
    <w:rsid w:val="00383F7D"/>
    <w:rsid w:val="003844C1"/>
    <w:rsid w:val="0038474C"/>
    <w:rsid w:val="0038482D"/>
    <w:rsid w:val="0038486B"/>
    <w:rsid w:val="00384AA5"/>
    <w:rsid w:val="00384AE0"/>
    <w:rsid w:val="00384B75"/>
    <w:rsid w:val="00384C45"/>
    <w:rsid w:val="00384CAD"/>
    <w:rsid w:val="00384CC4"/>
    <w:rsid w:val="00384D6D"/>
    <w:rsid w:val="00384ECD"/>
    <w:rsid w:val="00385147"/>
    <w:rsid w:val="00385200"/>
    <w:rsid w:val="00385631"/>
    <w:rsid w:val="0038591E"/>
    <w:rsid w:val="00385A59"/>
    <w:rsid w:val="00385A7C"/>
    <w:rsid w:val="00385A9D"/>
    <w:rsid w:val="00385C85"/>
    <w:rsid w:val="00385CBB"/>
    <w:rsid w:val="00385E97"/>
    <w:rsid w:val="00385EC6"/>
    <w:rsid w:val="0038623C"/>
    <w:rsid w:val="0038624E"/>
    <w:rsid w:val="00386326"/>
    <w:rsid w:val="0038635F"/>
    <w:rsid w:val="0038645C"/>
    <w:rsid w:val="0038668D"/>
    <w:rsid w:val="003866F2"/>
    <w:rsid w:val="0038699F"/>
    <w:rsid w:val="003869D6"/>
    <w:rsid w:val="003869DA"/>
    <w:rsid w:val="00386AEF"/>
    <w:rsid w:val="00386BCF"/>
    <w:rsid w:val="00386C37"/>
    <w:rsid w:val="00386FFE"/>
    <w:rsid w:val="0038701D"/>
    <w:rsid w:val="0038709C"/>
    <w:rsid w:val="00387121"/>
    <w:rsid w:val="003871E0"/>
    <w:rsid w:val="00387449"/>
    <w:rsid w:val="00387537"/>
    <w:rsid w:val="003876E0"/>
    <w:rsid w:val="003877CC"/>
    <w:rsid w:val="00387801"/>
    <w:rsid w:val="00387A2B"/>
    <w:rsid w:val="00387B8D"/>
    <w:rsid w:val="00387C44"/>
    <w:rsid w:val="00387D4B"/>
    <w:rsid w:val="00387EC2"/>
    <w:rsid w:val="00387FD6"/>
    <w:rsid w:val="00387FF4"/>
    <w:rsid w:val="0039005C"/>
    <w:rsid w:val="0039017B"/>
    <w:rsid w:val="003901D0"/>
    <w:rsid w:val="003902B1"/>
    <w:rsid w:val="00390382"/>
    <w:rsid w:val="00390967"/>
    <w:rsid w:val="00390A77"/>
    <w:rsid w:val="00390C0A"/>
    <w:rsid w:val="00390DF3"/>
    <w:rsid w:val="00390EB5"/>
    <w:rsid w:val="0039102D"/>
    <w:rsid w:val="00391090"/>
    <w:rsid w:val="00391177"/>
    <w:rsid w:val="0039132A"/>
    <w:rsid w:val="0039157B"/>
    <w:rsid w:val="0039177D"/>
    <w:rsid w:val="0039179C"/>
    <w:rsid w:val="00391884"/>
    <w:rsid w:val="00391A52"/>
    <w:rsid w:val="00391B7F"/>
    <w:rsid w:val="00391F45"/>
    <w:rsid w:val="003921C3"/>
    <w:rsid w:val="00392538"/>
    <w:rsid w:val="00392682"/>
    <w:rsid w:val="0039273D"/>
    <w:rsid w:val="003929DD"/>
    <w:rsid w:val="00392A09"/>
    <w:rsid w:val="00392AC8"/>
    <w:rsid w:val="00392B0A"/>
    <w:rsid w:val="00392BAE"/>
    <w:rsid w:val="00392F09"/>
    <w:rsid w:val="0039317B"/>
    <w:rsid w:val="003935A8"/>
    <w:rsid w:val="00393686"/>
    <w:rsid w:val="003937A8"/>
    <w:rsid w:val="00393BFD"/>
    <w:rsid w:val="00393C7A"/>
    <w:rsid w:val="00393EA0"/>
    <w:rsid w:val="00393F99"/>
    <w:rsid w:val="00394065"/>
    <w:rsid w:val="0039435C"/>
    <w:rsid w:val="0039456E"/>
    <w:rsid w:val="003945DA"/>
    <w:rsid w:val="003946D7"/>
    <w:rsid w:val="00394717"/>
    <w:rsid w:val="003947AD"/>
    <w:rsid w:val="003947FB"/>
    <w:rsid w:val="00394A08"/>
    <w:rsid w:val="00394A1C"/>
    <w:rsid w:val="00394DEE"/>
    <w:rsid w:val="00394FE5"/>
    <w:rsid w:val="0039506C"/>
    <w:rsid w:val="00395293"/>
    <w:rsid w:val="003954BB"/>
    <w:rsid w:val="003957AE"/>
    <w:rsid w:val="003958F9"/>
    <w:rsid w:val="00395A7D"/>
    <w:rsid w:val="003961F5"/>
    <w:rsid w:val="003961FB"/>
    <w:rsid w:val="0039627C"/>
    <w:rsid w:val="00396283"/>
    <w:rsid w:val="00396354"/>
    <w:rsid w:val="0039645D"/>
    <w:rsid w:val="003964BF"/>
    <w:rsid w:val="0039656D"/>
    <w:rsid w:val="00396601"/>
    <w:rsid w:val="00396606"/>
    <w:rsid w:val="0039681D"/>
    <w:rsid w:val="00396896"/>
    <w:rsid w:val="00396A30"/>
    <w:rsid w:val="00396A43"/>
    <w:rsid w:val="00396F36"/>
    <w:rsid w:val="00396FD0"/>
    <w:rsid w:val="003970EA"/>
    <w:rsid w:val="00397487"/>
    <w:rsid w:val="00397491"/>
    <w:rsid w:val="003976D4"/>
    <w:rsid w:val="0039777A"/>
    <w:rsid w:val="00397946"/>
    <w:rsid w:val="00397AC5"/>
    <w:rsid w:val="003A0501"/>
    <w:rsid w:val="003A0707"/>
    <w:rsid w:val="003A0725"/>
    <w:rsid w:val="003A08BA"/>
    <w:rsid w:val="003A0982"/>
    <w:rsid w:val="003A0AA0"/>
    <w:rsid w:val="003A0CC4"/>
    <w:rsid w:val="003A1209"/>
    <w:rsid w:val="003A1520"/>
    <w:rsid w:val="003A1742"/>
    <w:rsid w:val="003A188E"/>
    <w:rsid w:val="003A195C"/>
    <w:rsid w:val="003A1A7A"/>
    <w:rsid w:val="003A1B6C"/>
    <w:rsid w:val="003A1D3A"/>
    <w:rsid w:val="003A1FFC"/>
    <w:rsid w:val="003A22BD"/>
    <w:rsid w:val="003A22DE"/>
    <w:rsid w:val="003A2392"/>
    <w:rsid w:val="003A23AF"/>
    <w:rsid w:val="003A25A4"/>
    <w:rsid w:val="003A2631"/>
    <w:rsid w:val="003A2732"/>
    <w:rsid w:val="003A2782"/>
    <w:rsid w:val="003A2831"/>
    <w:rsid w:val="003A291B"/>
    <w:rsid w:val="003A2A82"/>
    <w:rsid w:val="003A2CF9"/>
    <w:rsid w:val="003A2DA8"/>
    <w:rsid w:val="003A2E68"/>
    <w:rsid w:val="003A2E87"/>
    <w:rsid w:val="003A2EA1"/>
    <w:rsid w:val="003A2F9D"/>
    <w:rsid w:val="003A302A"/>
    <w:rsid w:val="003A3143"/>
    <w:rsid w:val="003A3371"/>
    <w:rsid w:val="003A3581"/>
    <w:rsid w:val="003A3603"/>
    <w:rsid w:val="003A3647"/>
    <w:rsid w:val="003A36FF"/>
    <w:rsid w:val="003A3AAB"/>
    <w:rsid w:val="003A3CB6"/>
    <w:rsid w:val="003A3E99"/>
    <w:rsid w:val="003A3ED1"/>
    <w:rsid w:val="003A413F"/>
    <w:rsid w:val="003A4330"/>
    <w:rsid w:val="003A4467"/>
    <w:rsid w:val="003A4469"/>
    <w:rsid w:val="003A44DB"/>
    <w:rsid w:val="003A48A9"/>
    <w:rsid w:val="003A4BA4"/>
    <w:rsid w:val="003A4C14"/>
    <w:rsid w:val="003A4F1E"/>
    <w:rsid w:val="003A4F90"/>
    <w:rsid w:val="003A4FCE"/>
    <w:rsid w:val="003A50CB"/>
    <w:rsid w:val="003A5230"/>
    <w:rsid w:val="003A52BE"/>
    <w:rsid w:val="003A59B2"/>
    <w:rsid w:val="003A5A7E"/>
    <w:rsid w:val="003A5D30"/>
    <w:rsid w:val="003A5EC4"/>
    <w:rsid w:val="003A60B3"/>
    <w:rsid w:val="003A617F"/>
    <w:rsid w:val="003A676B"/>
    <w:rsid w:val="003A6857"/>
    <w:rsid w:val="003A6AD1"/>
    <w:rsid w:val="003A6F8F"/>
    <w:rsid w:val="003A7401"/>
    <w:rsid w:val="003A7433"/>
    <w:rsid w:val="003A748B"/>
    <w:rsid w:val="003A7911"/>
    <w:rsid w:val="003A7C71"/>
    <w:rsid w:val="003A7E43"/>
    <w:rsid w:val="003B02DF"/>
    <w:rsid w:val="003B0406"/>
    <w:rsid w:val="003B057A"/>
    <w:rsid w:val="003B0867"/>
    <w:rsid w:val="003B08BD"/>
    <w:rsid w:val="003B0943"/>
    <w:rsid w:val="003B0AA6"/>
    <w:rsid w:val="003B0C49"/>
    <w:rsid w:val="003B0D06"/>
    <w:rsid w:val="003B0D13"/>
    <w:rsid w:val="003B0FA6"/>
    <w:rsid w:val="003B1184"/>
    <w:rsid w:val="003B12D0"/>
    <w:rsid w:val="003B140E"/>
    <w:rsid w:val="003B1B30"/>
    <w:rsid w:val="003B1C20"/>
    <w:rsid w:val="003B1DC4"/>
    <w:rsid w:val="003B1F0E"/>
    <w:rsid w:val="003B20B9"/>
    <w:rsid w:val="003B22EC"/>
    <w:rsid w:val="003B2463"/>
    <w:rsid w:val="003B2693"/>
    <w:rsid w:val="003B27EA"/>
    <w:rsid w:val="003B2832"/>
    <w:rsid w:val="003B2A16"/>
    <w:rsid w:val="003B2D52"/>
    <w:rsid w:val="003B2D8D"/>
    <w:rsid w:val="003B2E4B"/>
    <w:rsid w:val="003B2F23"/>
    <w:rsid w:val="003B2FA5"/>
    <w:rsid w:val="003B2FAC"/>
    <w:rsid w:val="003B323E"/>
    <w:rsid w:val="003B32AC"/>
    <w:rsid w:val="003B352D"/>
    <w:rsid w:val="003B37D4"/>
    <w:rsid w:val="003B391B"/>
    <w:rsid w:val="003B3971"/>
    <w:rsid w:val="003B3977"/>
    <w:rsid w:val="003B3C2E"/>
    <w:rsid w:val="003B3EE3"/>
    <w:rsid w:val="003B3F5C"/>
    <w:rsid w:val="003B3F92"/>
    <w:rsid w:val="003B4542"/>
    <w:rsid w:val="003B45E1"/>
    <w:rsid w:val="003B45F8"/>
    <w:rsid w:val="003B460B"/>
    <w:rsid w:val="003B4620"/>
    <w:rsid w:val="003B4735"/>
    <w:rsid w:val="003B484A"/>
    <w:rsid w:val="003B49FC"/>
    <w:rsid w:val="003B4AAE"/>
    <w:rsid w:val="003B4BDB"/>
    <w:rsid w:val="003B4D73"/>
    <w:rsid w:val="003B4EF8"/>
    <w:rsid w:val="003B4FA6"/>
    <w:rsid w:val="003B506C"/>
    <w:rsid w:val="003B50BC"/>
    <w:rsid w:val="003B55D1"/>
    <w:rsid w:val="003B5649"/>
    <w:rsid w:val="003B571E"/>
    <w:rsid w:val="003B58B2"/>
    <w:rsid w:val="003B591D"/>
    <w:rsid w:val="003B5976"/>
    <w:rsid w:val="003B5ACE"/>
    <w:rsid w:val="003B5B61"/>
    <w:rsid w:val="003B5C04"/>
    <w:rsid w:val="003B6483"/>
    <w:rsid w:val="003B66DF"/>
    <w:rsid w:val="003B6841"/>
    <w:rsid w:val="003B68B6"/>
    <w:rsid w:val="003B69A3"/>
    <w:rsid w:val="003B6AA0"/>
    <w:rsid w:val="003B6CE6"/>
    <w:rsid w:val="003B6E26"/>
    <w:rsid w:val="003B6F2F"/>
    <w:rsid w:val="003B702C"/>
    <w:rsid w:val="003B71DE"/>
    <w:rsid w:val="003B73A5"/>
    <w:rsid w:val="003B7B14"/>
    <w:rsid w:val="003B7B6B"/>
    <w:rsid w:val="003B7D9D"/>
    <w:rsid w:val="003B7E68"/>
    <w:rsid w:val="003B7E71"/>
    <w:rsid w:val="003B7E93"/>
    <w:rsid w:val="003B7EE2"/>
    <w:rsid w:val="003C0171"/>
    <w:rsid w:val="003C04DE"/>
    <w:rsid w:val="003C0571"/>
    <w:rsid w:val="003C0589"/>
    <w:rsid w:val="003C06CD"/>
    <w:rsid w:val="003C08BA"/>
    <w:rsid w:val="003C0C01"/>
    <w:rsid w:val="003C0CB7"/>
    <w:rsid w:val="003C0DC9"/>
    <w:rsid w:val="003C0E7C"/>
    <w:rsid w:val="003C0ECC"/>
    <w:rsid w:val="003C127C"/>
    <w:rsid w:val="003C12BC"/>
    <w:rsid w:val="003C12E9"/>
    <w:rsid w:val="003C1495"/>
    <w:rsid w:val="003C1511"/>
    <w:rsid w:val="003C1654"/>
    <w:rsid w:val="003C173F"/>
    <w:rsid w:val="003C1853"/>
    <w:rsid w:val="003C1893"/>
    <w:rsid w:val="003C1974"/>
    <w:rsid w:val="003C19A3"/>
    <w:rsid w:val="003C1D7A"/>
    <w:rsid w:val="003C1FA2"/>
    <w:rsid w:val="003C20A8"/>
    <w:rsid w:val="003C21E9"/>
    <w:rsid w:val="003C21F4"/>
    <w:rsid w:val="003C22D0"/>
    <w:rsid w:val="003C2345"/>
    <w:rsid w:val="003C2C0D"/>
    <w:rsid w:val="003C30D6"/>
    <w:rsid w:val="003C33C4"/>
    <w:rsid w:val="003C3480"/>
    <w:rsid w:val="003C363B"/>
    <w:rsid w:val="003C3913"/>
    <w:rsid w:val="003C3B77"/>
    <w:rsid w:val="003C3CDB"/>
    <w:rsid w:val="003C3D34"/>
    <w:rsid w:val="003C3DEE"/>
    <w:rsid w:val="003C3FD3"/>
    <w:rsid w:val="003C4060"/>
    <w:rsid w:val="003C4100"/>
    <w:rsid w:val="003C4545"/>
    <w:rsid w:val="003C4823"/>
    <w:rsid w:val="003C48DF"/>
    <w:rsid w:val="003C4B9D"/>
    <w:rsid w:val="003C4DC8"/>
    <w:rsid w:val="003C4E52"/>
    <w:rsid w:val="003C501F"/>
    <w:rsid w:val="003C5079"/>
    <w:rsid w:val="003C5542"/>
    <w:rsid w:val="003C573C"/>
    <w:rsid w:val="003C5882"/>
    <w:rsid w:val="003C59C2"/>
    <w:rsid w:val="003C5C31"/>
    <w:rsid w:val="003C5CCD"/>
    <w:rsid w:val="003C5F46"/>
    <w:rsid w:val="003C5F5B"/>
    <w:rsid w:val="003C62CD"/>
    <w:rsid w:val="003C63E3"/>
    <w:rsid w:val="003C6443"/>
    <w:rsid w:val="003C68B1"/>
    <w:rsid w:val="003C68F7"/>
    <w:rsid w:val="003C6FB7"/>
    <w:rsid w:val="003C7234"/>
    <w:rsid w:val="003C733D"/>
    <w:rsid w:val="003C75E7"/>
    <w:rsid w:val="003C778C"/>
    <w:rsid w:val="003C796C"/>
    <w:rsid w:val="003C7ADD"/>
    <w:rsid w:val="003C7B54"/>
    <w:rsid w:val="003C7C15"/>
    <w:rsid w:val="003C7C7D"/>
    <w:rsid w:val="003C7D19"/>
    <w:rsid w:val="003C7D2F"/>
    <w:rsid w:val="003D0160"/>
    <w:rsid w:val="003D02A1"/>
    <w:rsid w:val="003D040F"/>
    <w:rsid w:val="003D0464"/>
    <w:rsid w:val="003D070A"/>
    <w:rsid w:val="003D083C"/>
    <w:rsid w:val="003D090B"/>
    <w:rsid w:val="003D0983"/>
    <w:rsid w:val="003D0C5A"/>
    <w:rsid w:val="003D0C7F"/>
    <w:rsid w:val="003D0EE5"/>
    <w:rsid w:val="003D0F99"/>
    <w:rsid w:val="003D1471"/>
    <w:rsid w:val="003D1828"/>
    <w:rsid w:val="003D19CD"/>
    <w:rsid w:val="003D1B54"/>
    <w:rsid w:val="003D1DE4"/>
    <w:rsid w:val="003D1DF5"/>
    <w:rsid w:val="003D1E9A"/>
    <w:rsid w:val="003D1EA7"/>
    <w:rsid w:val="003D20FA"/>
    <w:rsid w:val="003D21D7"/>
    <w:rsid w:val="003D2388"/>
    <w:rsid w:val="003D2422"/>
    <w:rsid w:val="003D2534"/>
    <w:rsid w:val="003D26F9"/>
    <w:rsid w:val="003D279A"/>
    <w:rsid w:val="003D27CF"/>
    <w:rsid w:val="003D2A0C"/>
    <w:rsid w:val="003D2AEB"/>
    <w:rsid w:val="003D2C6A"/>
    <w:rsid w:val="003D2CC7"/>
    <w:rsid w:val="003D2D2D"/>
    <w:rsid w:val="003D2D54"/>
    <w:rsid w:val="003D3236"/>
    <w:rsid w:val="003D3882"/>
    <w:rsid w:val="003D39A1"/>
    <w:rsid w:val="003D3C98"/>
    <w:rsid w:val="003D3FBF"/>
    <w:rsid w:val="003D4056"/>
    <w:rsid w:val="003D4076"/>
    <w:rsid w:val="003D414A"/>
    <w:rsid w:val="003D42C9"/>
    <w:rsid w:val="003D48A8"/>
    <w:rsid w:val="003D4978"/>
    <w:rsid w:val="003D4A30"/>
    <w:rsid w:val="003D4EA4"/>
    <w:rsid w:val="003D4F6A"/>
    <w:rsid w:val="003D4FA5"/>
    <w:rsid w:val="003D5287"/>
    <w:rsid w:val="003D53C2"/>
    <w:rsid w:val="003D5426"/>
    <w:rsid w:val="003D5462"/>
    <w:rsid w:val="003D54A3"/>
    <w:rsid w:val="003D5592"/>
    <w:rsid w:val="003D598D"/>
    <w:rsid w:val="003D5C13"/>
    <w:rsid w:val="003D5CE4"/>
    <w:rsid w:val="003D5E6B"/>
    <w:rsid w:val="003D5F39"/>
    <w:rsid w:val="003D63A0"/>
    <w:rsid w:val="003D640B"/>
    <w:rsid w:val="003D6446"/>
    <w:rsid w:val="003D647A"/>
    <w:rsid w:val="003D6690"/>
    <w:rsid w:val="003D66F6"/>
    <w:rsid w:val="003D6B3F"/>
    <w:rsid w:val="003D6BBE"/>
    <w:rsid w:val="003D6C8F"/>
    <w:rsid w:val="003D6E2F"/>
    <w:rsid w:val="003D7047"/>
    <w:rsid w:val="003D7081"/>
    <w:rsid w:val="003D7452"/>
    <w:rsid w:val="003D76C2"/>
    <w:rsid w:val="003D77CC"/>
    <w:rsid w:val="003D79BB"/>
    <w:rsid w:val="003D7AD1"/>
    <w:rsid w:val="003D7B4E"/>
    <w:rsid w:val="003D7C1D"/>
    <w:rsid w:val="003D7C81"/>
    <w:rsid w:val="003D7C98"/>
    <w:rsid w:val="003D7D3F"/>
    <w:rsid w:val="003D7D9D"/>
    <w:rsid w:val="003D7F6D"/>
    <w:rsid w:val="003E0049"/>
    <w:rsid w:val="003E0135"/>
    <w:rsid w:val="003E013F"/>
    <w:rsid w:val="003E0189"/>
    <w:rsid w:val="003E01A2"/>
    <w:rsid w:val="003E0252"/>
    <w:rsid w:val="003E0422"/>
    <w:rsid w:val="003E0543"/>
    <w:rsid w:val="003E055D"/>
    <w:rsid w:val="003E0975"/>
    <w:rsid w:val="003E0CEF"/>
    <w:rsid w:val="003E0D9B"/>
    <w:rsid w:val="003E0DC4"/>
    <w:rsid w:val="003E0DEE"/>
    <w:rsid w:val="003E1088"/>
    <w:rsid w:val="003E17C3"/>
    <w:rsid w:val="003E1880"/>
    <w:rsid w:val="003E1C45"/>
    <w:rsid w:val="003E1CC8"/>
    <w:rsid w:val="003E1CF9"/>
    <w:rsid w:val="003E1D6E"/>
    <w:rsid w:val="003E1E9B"/>
    <w:rsid w:val="003E1F4D"/>
    <w:rsid w:val="003E1F78"/>
    <w:rsid w:val="003E2095"/>
    <w:rsid w:val="003E209B"/>
    <w:rsid w:val="003E2380"/>
    <w:rsid w:val="003E2513"/>
    <w:rsid w:val="003E267A"/>
    <w:rsid w:val="003E26B6"/>
    <w:rsid w:val="003E27BE"/>
    <w:rsid w:val="003E2E67"/>
    <w:rsid w:val="003E3064"/>
    <w:rsid w:val="003E310B"/>
    <w:rsid w:val="003E321F"/>
    <w:rsid w:val="003E329D"/>
    <w:rsid w:val="003E35FA"/>
    <w:rsid w:val="003E35FD"/>
    <w:rsid w:val="003E3917"/>
    <w:rsid w:val="003E3E03"/>
    <w:rsid w:val="003E3EBA"/>
    <w:rsid w:val="003E3F23"/>
    <w:rsid w:val="003E419E"/>
    <w:rsid w:val="003E4213"/>
    <w:rsid w:val="003E4412"/>
    <w:rsid w:val="003E4625"/>
    <w:rsid w:val="003E4640"/>
    <w:rsid w:val="003E46FE"/>
    <w:rsid w:val="003E47D0"/>
    <w:rsid w:val="003E47EE"/>
    <w:rsid w:val="003E4863"/>
    <w:rsid w:val="003E486F"/>
    <w:rsid w:val="003E48C2"/>
    <w:rsid w:val="003E4A1F"/>
    <w:rsid w:val="003E4B10"/>
    <w:rsid w:val="003E4C0D"/>
    <w:rsid w:val="003E4DE4"/>
    <w:rsid w:val="003E5311"/>
    <w:rsid w:val="003E5585"/>
    <w:rsid w:val="003E5603"/>
    <w:rsid w:val="003E5678"/>
    <w:rsid w:val="003E56D8"/>
    <w:rsid w:val="003E5950"/>
    <w:rsid w:val="003E5A9E"/>
    <w:rsid w:val="003E5BD8"/>
    <w:rsid w:val="003E5C37"/>
    <w:rsid w:val="003E5DBB"/>
    <w:rsid w:val="003E5ECE"/>
    <w:rsid w:val="003E64C2"/>
    <w:rsid w:val="003E6593"/>
    <w:rsid w:val="003E681E"/>
    <w:rsid w:val="003E69B9"/>
    <w:rsid w:val="003E6B26"/>
    <w:rsid w:val="003E6B37"/>
    <w:rsid w:val="003E6D93"/>
    <w:rsid w:val="003E6EB6"/>
    <w:rsid w:val="003E6ED0"/>
    <w:rsid w:val="003E710A"/>
    <w:rsid w:val="003E7146"/>
    <w:rsid w:val="003E749E"/>
    <w:rsid w:val="003E7639"/>
    <w:rsid w:val="003E76AB"/>
    <w:rsid w:val="003E7E82"/>
    <w:rsid w:val="003F067B"/>
    <w:rsid w:val="003F0A46"/>
    <w:rsid w:val="003F0A97"/>
    <w:rsid w:val="003F0CAC"/>
    <w:rsid w:val="003F0F38"/>
    <w:rsid w:val="003F13AD"/>
    <w:rsid w:val="003F17E8"/>
    <w:rsid w:val="003F1E0C"/>
    <w:rsid w:val="003F1E5C"/>
    <w:rsid w:val="003F1F35"/>
    <w:rsid w:val="003F1F6E"/>
    <w:rsid w:val="003F20B0"/>
    <w:rsid w:val="003F20E7"/>
    <w:rsid w:val="003F2264"/>
    <w:rsid w:val="003F25C8"/>
    <w:rsid w:val="003F2FED"/>
    <w:rsid w:val="003F3160"/>
    <w:rsid w:val="003F3318"/>
    <w:rsid w:val="003F3452"/>
    <w:rsid w:val="003F36FF"/>
    <w:rsid w:val="003F3937"/>
    <w:rsid w:val="003F39FC"/>
    <w:rsid w:val="003F3C24"/>
    <w:rsid w:val="003F4124"/>
    <w:rsid w:val="003F4156"/>
    <w:rsid w:val="003F4158"/>
    <w:rsid w:val="003F4180"/>
    <w:rsid w:val="003F41C0"/>
    <w:rsid w:val="003F421B"/>
    <w:rsid w:val="003F42B6"/>
    <w:rsid w:val="003F4319"/>
    <w:rsid w:val="003F443E"/>
    <w:rsid w:val="003F4617"/>
    <w:rsid w:val="003F4700"/>
    <w:rsid w:val="003F4735"/>
    <w:rsid w:val="003F484D"/>
    <w:rsid w:val="003F488B"/>
    <w:rsid w:val="003F4981"/>
    <w:rsid w:val="003F4BD5"/>
    <w:rsid w:val="003F4BF0"/>
    <w:rsid w:val="003F4DE4"/>
    <w:rsid w:val="003F5081"/>
    <w:rsid w:val="003F5114"/>
    <w:rsid w:val="003F524E"/>
    <w:rsid w:val="003F53BB"/>
    <w:rsid w:val="003F5664"/>
    <w:rsid w:val="003F575C"/>
    <w:rsid w:val="003F5783"/>
    <w:rsid w:val="003F5902"/>
    <w:rsid w:val="003F59E0"/>
    <w:rsid w:val="003F5ADF"/>
    <w:rsid w:val="003F5BC1"/>
    <w:rsid w:val="003F5C16"/>
    <w:rsid w:val="003F5CD7"/>
    <w:rsid w:val="003F5CE3"/>
    <w:rsid w:val="003F5E5E"/>
    <w:rsid w:val="003F5EFD"/>
    <w:rsid w:val="003F5F56"/>
    <w:rsid w:val="003F602F"/>
    <w:rsid w:val="003F60CC"/>
    <w:rsid w:val="003F66AE"/>
    <w:rsid w:val="003F672B"/>
    <w:rsid w:val="003F68DB"/>
    <w:rsid w:val="003F6996"/>
    <w:rsid w:val="003F6C37"/>
    <w:rsid w:val="003F70DD"/>
    <w:rsid w:val="003F75BB"/>
    <w:rsid w:val="003F793C"/>
    <w:rsid w:val="003F7A79"/>
    <w:rsid w:val="003F7B27"/>
    <w:rsid w:val="003F7BE4"/>
    <w:rsid w:val="003F7F4C"/>
    <w:rsid w:val="003F7FFC"/>
    <w:rsid w:val="0040021B"/>
    <w:rsid w:val="0040027C"/>
    <w:rsid w:val="0040061E"/>
    <w:rsid w:val="004008D1"/>
    <w:rsid w:val="00400A41"/>
    <w:rsid w:val="00400A70"/>
    <w:rsid w:val="00400B29"/>
    <w:rsid w:val="00400CE0"/>
    <w:rsid w:val="00400E8D"/>
    <w:rsid w:val="00401022"/>
    <w:rsid w:val="004011A4"/>
    <w:rsid w:val="00401450"/>
    <w:rsid w:val="00401612"/>
    <w:rsid w:val="00401742"/>
    <w:rsid w:val="00401797"/>
    <w:rsid w:val="00401861"/>
    <w:rsid w:val="00401A8B"/>
    <w:rsid w:val="00401CC9"/>
    <w:rsid w:val="00401DC2"/>
    <w:rsid w:val="0040201C"/>
    <w:rsid w:val="00402114"/>
    <w:rsid w:val="004023B1"/>
    <w:rsid w:val="004023E7"/>
    <w:rsid w:val="004024E3"/>
    <w:rsid w:val="004025F3"/>
    <w:rsid w:val="00402659"/>
    <w:rsid w:val="00402812"/>
    <w:rsid w:val="004028E9"/>
    <w:rsid w:val="00402A3A"/>
    <w:rsid w:val="00402D55"/>
    <w:rsid w:val="00402DE3"/>
    <w:rsid w:val="00402DE4"/>
    <w:rsid w:val="00402E35"/>
    <w:rsid w:val="00402F00"/>
    <w:rsid w:val="00403334"/>
    <w:rsid w:val="00403437"/>
    <w:rsid w:val="00403539"/>
    <w:rsid w:val="00403885"/>
    <w:rsid w:val="004039E2"/>
    <w:rsid w:val="00403A2B"/>
    <w:rsid w:val="00403A8D"/>
    <w:rsid w:val="00403CC9"/>
    <w:rsid w:val="00403D1D"/>
    <w:rsid w:val="00404147"/>
    <w:rsid w:val="00404459"/>
    <w:rsid w:val="00404FA4"/>
    <w:rsid w:val="00405019"/>
    <w:rsid w:val="0040504B"/>
    <w:rsid w:val="004050EA"/>
    <w:rsid w:val="00405113"/>
    <w:rsid w:val="0040519A"/>
    <w:rsid w:val="004054E8"/>
    <w:rsid w:val="00405618"/>
    <w:rsid w:val="00405820"/>
    <w:rsid w:val="004058C8"/>
    <w:rsid w:val="00405913"/>
    <w:rsid w:val="004059F4"/>
    <w:rsid w:val="00405B5B"/>
    <w:rsid w:val="00405CA0"/>
    <w:rsid w:val="00405CD9"/>
    <w:rsid w:val="00405D13"/>
    <w:rsid w:val="00405D3C"/>
    <w:rsid w:val="004060AD"/>
    <w:rsid w:val="004063D3"/>
    <w:rsid w:val="004063F7"/>
    <w:rsid w:val="004064B3"/>
    <w:rsid w:val="00406501"/>
    <w:rsid w:val="004067D7"/>
    <w:rsid w:val="00406932"/>
    <w:rsid w:val="00406947"/>
    <w:rsid w:val="00406C2F"/>
    <w:rsid w:val="00406C7A"/>
    <w:rsid w:val="00406FAE"/>
    <w:rsid w:val="0040750C"/>
    <w:rsid w:val="00407BA8"/>
    <w:rsid w:val="00407BBA"/>
    <w:rsid w:val="00407BC5"/>
    <w:rsid w:val="00407C1B"/>
    <w:rsid w:val="00407C58"/>
    <w:rsid w:val="00407E30"/>
    <w:rsid w:val="00407FE5"/>
    <w:rsid w:val="0041002A"/>
    <w:rsid w:val="00410169"/>
    <w:rsid w:val="004101B0"/>
    <w:rsid w:val="004101BC"/>
    <w:rsid w:val="004102F8"/>
    <w:rsid w:val="00410326"/>
    <w:rsid w:val="0041055B"/>
    <w:rsid w:val="004105FE"/>
    <w:rsid w:val="004106DD"/>
    <w:rsid w:val="00410708"/>
    <w:rsid w:val="00410D8C"/>
    <w:rsid w:val="00410EC7"/>
    <w:rsid w:val="00410EDF"/>
    <w:rsid w:val="00411050"/>
    <w:rsid w:val="00411250"/>
    <w:rsid w:val="0041137C"/>
    <w:rsid w:val="0041142A"/>
    <w:rsid w:val="004114A4"/>
    <w:rsid w:val="004114C4"/>
    <w:rsid w:val="0041166C"/>
    <w:rsid w:val="0041184C"/>
    <w:rsid w:val="004119AB"/>
    <w:rsid w:val="00411B39"/>
    <w:rsid w:val="00411C53"/>
    <w:rsid w:val="00412297"/>
    <w:rsid w:val="004126D5"/>
    <w:rsid w:val="004127A7"/>
    <w:rsid w:val="00412984"/>
    <w:rsid w:val="004129C4"/>
    <w:rsid w:val="00412A70"/>
    <w:rsid w:val="00412D20"/>
    <w:rsid w:val="0041302D"/>
    <w:rsid w:val="004130C4"/>
    <w:rsid w:val="00413196"/>
    <w:rsid w:val="00413443"/>
    <w:rsid w:val="004136A0"/>
    <w:rsid w:val="0041373D"/>
    <w:rsid w:val="00413862"/>
    <w:rsid w:val="004138C2"/>
    <w:rsid w:val="00413A1E"/>
    <w:rsid w:val="00413B44"/>
    <w:rsid w:val="00413DEE"/>
    <w:rsid w:val="00413E4A"/>
    <w:rsid w:val="00414102"/>
    <w:rsid w:val="00414476"/>
    <w:rsid w:val="004144B8"/>
    <w:rsid w:val="00414B95"/>
    <w:rsid w:val="00414C2E"/>
    <w:rsid w:val="00414CAD"/>
    <w:rsid w:val="004151BF"/>
    <w:rsid w:val="004151CF"/>
    <w:rsid w:val="004152E3"/>
    <w:rsid w:val="00415503"/>
    <w:rsid w:val="00415776"/>
    <w:rsid w:val="004159B3"/>
    <w:rsid w:val="00415D49"/>
    <w:rsid w:val="004160E2"/>
    <w:rsid w:val="00416364"/>
    <w:rsid w:val="00416571"/>
    <w:rsid w:val="004168A9"/>
    <w:rsid w:val="004169FD"/>
    <w:rsid w:val="00416B21"/>
    <w:rsid w:val="00416BA9"/>
    <w:rsid w:val="00416D01"/>
    <w:rsid w:val="00416E61"/>
    <w:rsid w:val="00417072"/>
    <w:rsid w:val="00417254"/>
    <w:rsid w:val="004172E7"/>
    <w:rsid w:val="0041742C"/>
    <w:rsid w:val="004176EB"/>
    <w:rsid w:val="00417E33"/>
    <w:rsid w:val="00420083"/>
    <w:rsid w:val="004202B3"/>
    <w:rsid w:val="004203FC"/>
    <w:rsid w:val="0042040B"/>
    <w:rsid w:val="0042047F"/>
    <w:rsid w:val="0042054C"/>
    <w:rsid w:val="00420659"/>
    <w:rsid w:val="004206A8"/>
    <w:rsid w:val="004207A2"/>
    <w:rsid w:val="004208F4"/>
    <w:rsid w:val="00420AA6"/>
    <w:rsid w:val="00420B9F"/>
    <w:rsid w:val="00420C1C"/>
    <w:rsid w:val="00420DD1"/>
    <w:rsid w:val="004213E9"/>
    <w:rsid w:val="00421463"/>
    <w:rsid w:val="004214D0"/>
    <w:rsid w:val="00421582"/>
    <w:rsid w:val="0042192C"/>
    <w:rsid w:val="004219E1"/>
    <w:rsid w:val="00421B58"/>
    <w:rsid w:val="00421B8D"/>
    <w:rsid w:val="00421CFB"/>
    <w:rsid w:val="00421D26"/>
    <w:rsid w:val="00421DDE"/>
    <w:rsid w:val="00421EC9"/>
    <w:rsid w:val="00421ED7"/>
    <w:rsid w:val="00421FC4"/>
    <w:rsid w:val="00422260"/>
    <w:rsid w:val="00422453"/>
    <w:rsid w:val="00422455"/>
    <w:rsid w:val="00422702"/>
    <w:rsid w:val="00422A32"/>
    <w:rsid w:val="00422A8F"/>
    <w:rsid w:val="00422BA6"/>
    <w:rsid w:val="00422CDC"/>
    <w:rsid w:val="00422F16"/>
    <w:rsid w:val="00422F4D"/>
    <w:rsid w:val="00423113"/>
    <w:rsid w:val="00423646"/>
    <w:rsid w:val="0042367D"/>
    <w:rsid w:val="00423A0D"/>
    <w:rsid w:val="00423A6E"/>
    <w:rsid w:val="00423E38"/>
    <w:rsid w:val="00423F8C"/>
    <w:rsid w:val="0042413F"/>
    <w:rsid w:val="0042418F"/>
    <w:rsid w:val="004246CA"/>
    <w:rsid w:val="0042473A"/>
    <w:rsid w:val="00424AD8"/>
    <w:rsid w:val="00424DB7"/>
    <w:rsid w:val="00424E66"/>
    <w:rsid w:val="00425089"/>
    <w:rsid w:val="00425342"/>
    <w:rsid w:val="004253D5"/>
    <w:rsid w:val="004253FA"/>
    <w:rsid w:val="0042571E"/>
    <w:rsid w:val="0042587B"/>
    <w:rsid w:val="00425B87"/>
    <w:rsid w:val="00425DDA"/>
    <w:rsid w:val="004260D5"/>
    <w:rsid w:val="0042616A"/>
    <w:rsid w:val="0042630F"/>
    <w:rsid w:val="00426595"/>
    <w:rsid w:val="004266D6"/>
    <w:rsid w:val="00426C31"/>
    <w:rsid w:val="00426D23"/>
    <w:rsid w:val="00426ED1"/>
    <w:rsid w:val="00426ED5"/>
    <w:rsid w:val="00426F7E"/>
    <w:rsid w:val="00426F9A"/>
    <w:rsid w:val="00426FF5"/>
    <w:rsid w:val="00427057"/>
    <w:rsid w:val="0042710E"/>
    <w:rsid w:val="0042724E"/>
    <w:rsid w:val="004273F2"/>
    <w:rsid w:val="004274DC"/>
    <w:rsid w:val="0042757C"/>
    <w:rsid w:val="004276FB"/>
    <w:rsid w:val="0042790B"/>
    <w:rsid w:val="00427938"/>
    <w:rsid w:val="00427CD8"/>
    <w:rsid w:val="00427CF8"/>
    <w:rsid w:val="0043039C"/>
    <w:rsid w:val="00430601"/>
    <w:rsid w:val="004306C0"/>
    <w:rsid w:val="00430A4B"/>
    <w:rsid w:val="00430B2A"/>
    <w:rsid w:val="00430F9F"/>
    <w:rsid w:val="0043100A"/>
    <w:rsid w:val="0043135E"/>
    <w:rsid w:val="0043137A"/>
    <w:rsid w:val="00431402"/>
    <w:rsid w:val="004314CB"/>
    <w:rsid w:val="004319F8"/>
    <w:rsid w:val="00431B16"/>
    <w:rsid w:val="00431DED"/>
    <w:rsid w:val="00431E55"/>
    <w:rsid w:val="00431F43"/>
    <w:rsid w:val="00431F87"/>
    <w:rsid w:val="004321DB"/>
    <w:rsid w:val="004321F6"/>
    <w:rsid w:val="00432258"/>
    <w:rsid w:val="004322BA"/>
    <w:rsid w:val="004324C9"/>
    <w:rsid w:val="00432740"/>
    <w:rsid w:val="00432788"/>
    <w:rsid w:val="00432A20"/>
    <w:rsid w:val="00432D45"/>
    <w:rsid w:val="00432D77"/>
    <w:rsid w:val="00432EBB"/>
    <w:rsid w:val="00432FA6"/>
    <w:rsid w:val="00433044"/>
    <w:rsid w:val="0043321F"/>
    <w:rsid w:val="004332C0"/>
    <w:rsid w:val="00433763"/>
    <w:rsid w:val="00433764"/>
    <w:rsid w:val="0043381B"/>
    <w:rsid w:val="00433AAD"/>
    <w:rsid w:val="00433BB1"/>
    <w:rsid w:val="00433EA4"/>
    <w:rsid w:val="00433FB8"/>
    <w:rsid w:val="00434088"/>
    <w:rsid w:val="00434179"/>
    <w:rsid w:val="0043446F"/>
    <w:rsid w:val="0043461F"/>
    <w:rsid w:val="00434CFD"/>
    <w:rsid w:val="00434D5E"/>
    <w:rsid w:val="0043559D"/>
    <w:rsid w:val="004357EF"/>
    <w:rsid w:val="004358BC"/>
    <w:rsid w:val="004358C2"/>
    <w:rsid w:val="004359DA"/>
    <w:rsid w:val="00435C15"/>
    <w:rsid w:val="00435C81"/>
    <w:rsid w:val="00435DC3"/>
    <w:rsid w:val="0043661A"/>
    <w:rsid w:val="00436717"/>
    <w:rsid w:val="004367B1"/>
    <w:rsid w:val="00436914"/>
    <w:rsid w:val="00436A58"/>
    <w:rsid w:val="00436A59"/>
    <w:rsid w:val="00436A6A"/>
    <w:rsid w:val="00436A8C"/>
    <w:rsid w:val="00436E27"/>
    <w:rsid w:val="00436E4E"/>
    <w:rsid w:val="0043702B"/>
    <w:rsid w:val="004370AB"/>
    <w:rsid w:val="004370CC"/>
    <w:rsid w:val="0043716D"/>
    <w:rsid w:val="004371C7"/>
    <w:rsid w:val="004375B9"/>
    <w:rsid w:val="0043762F"/>
    <w:rsid w:val="0043763F"/>
    <w:rsid w:val="004376D1"/>
    <w:rsid w:val="004377A0"/>
    <w:rsid w:val="00437871"/>
    <w:rsid w:val="004378EB"/>
    <w:rsid w:val="00437C27"/>
    <w:rsid w:val="00437C29"/>
    <w:rsid w:val="00437CE4"/>
    <w:rsid w:val="00437F1D"/>
    <w:rsid w:val="0044026B"/>
    <w:rsid w:val="004402B3"/>
    <w:rsid w:val="00440490"/>
    <w:rsid w:val="004404CA"/>
    <w:rsid w:val="00440545"/>
    <w:rsid w:val="00440696"/>
    <w:rsid w:val="004407DC"/>
    <w:rsid w:val="0044112F"/>
    <w:rsid w:val="0044132D"/>
    <w:rsid w:val="00441620"/>
    <w:rsid w:val="004417E5"/>
    <w:rsid w:val="0044190F"/>
    <w:rsid w:val="0044192C"/>
    <w:rsid w:val="00441938"/>
    <w:rsid w:val="00441993"/>
    <w:rsid w:val="00441A09"/>
    <w:rsid w:val="00441ADB"/>
    <w:rsid w:val="00441BC8"/>
    <w:rsid w:val="00441BE7"/>
    <w:rsid w:val="00441F7F"/>
    <w:rsid w:val="0044202F"/>
    <w:rsid w:val="0044220D"/>
    <w:rsid w:val="004423BE"/>
    <w:rsid w:val="004423EE"/>
    <w:rsid w:val="00442441"/>
    <w:rsid w:val="004424AA"/>
    <w:rsid w:val="0044271B"/>
    <w:rsid w:val="0044275A"/>
    <w:rsid w:val="004428D0"/>
    <w:rsid w:val="004429F8"/>
    <w:rsid w:val="00442BB1"/>
    <w:rsid w:val="00442CCE"/>
    <w:rsid w:val="00442D28"/>
    <w:rsid w:val="00442FC0"/>
    <w:rsid w:val="00443024"/>
    <w:rsid w:val="004433C9"/>
    <w:rsid w:val="004434A2"/>
    <w:rsid w:val="00443584"/>
    <w:rsid w:val="00443689"/>
    <w:rsid w:val="004436F2"/>
    <w:rsid w:val="0044374B"/>
    <w:rsid w:val="00443A2E"/>
    <w:rsid w:val="00443FDA"/>
    <w:rsid w:val="00444168"/>
    <w:rsid w:val="00444185"/>
    <w:rsid w:val="0044434C"/>
    <w:rsid w:val="004443A7"/>
    <w:rsid w:val="0044442C"/>
    <w:rsid w:val="00444589"/>
    <w:rsid w:val="0044461E"/>
    <w:rsid w:val="0044476C"/>
    <w:rsid w:val="004447BD"/>
    <w:rsid w:val="0044495D"/>
    <w:rsid w:val="00444E03"/>
    <w:rsid w:val="00445050"/>
    <w:rsid w:val="00445381"/>
    <w:rsid w:val="00445450"/>
    <w:rsid w:val="004454DD"/>
    <w:rsid w:val="00445577"/>
    <w:rsid w:val="004455DF"/>
    <w:rsid w:val="00445941"/>
    <w:rsid w:val="004459CF"/>
    <w:rsid w:val="00445A2E"/>
    <w:rsid w:val="00445A49"/>
    <w:rsid w:val="00445CE7"/>
    <w:rsid w:val="0044602D"/>
    <w:rsid w:val="00446227"/>
    <w:rsid w:val="004464EB"/>
    <w:rsid w:val="0044654D"/>
    <w:rsid w:val="004469D9"/>
    <w:rsid w:val="00446A95"/>
    <w:rsid w:val="00446AEC"/>
    <w:rsid w:val="00446D25"/>
    <w:rsid w:val="00446E2C"/>
    <w:rsid w:val="00446E59"/>
    <w:rsid w:val="00447004"/>
    <w:rsid w:val="0044719D"/>
    <w:rsid w:val="0044734E"/>
    <w:rsid w:val="0044746A"/>
    <w:rsid w:val="004475E1"/>
    <w:rsid w:val="00447620"/>
    <w:rsid w:val="00447655"/>
    <w:rsid w:val="004477EA"/>
    <w:rsid w:val="00447B39"/>
    <w:rsid w:val="00447B9D"/>
    <w:rsid w:val="00447D26"/>
    <w:rsid w:val="00447D9C"/>
    <w:rsid w:val="00447DBF"/>
    <w:rsid w:val="00447DFC"/>
    <w:rsid w:val="004501D3"/>
    <w:rsid w:val="00450242"/>
    <w:rsid w:val="0045053E"/>
    <w:rsid w:val="004505A0"/>
    <w:rsid w:val="00450973"/>
    <w:rsid w:val="00450BD6"/>
    <w:rsid w:val="00450C8C"/>
    <w:rsid w:val="00450CE9"/>
    <w:rsid w:val="004510BB"/>
    <w:rsid w:val="004515CF"/>
    <w:rsid w:val="004516EF"/>
    <w:rsid w:val="004518D3"/>
    <w:rsid w:val="0045198A"/>
    <w:rsid w:val="00451B0E"/>
    <w:rsid w:val="00451C49"/>
    <w:rsid w:val="00451D4E"/>
    <w:rsid w:val="00451D8E"/>
    <w:rsid w:val="004520AE"/>
    <w:rsid w:val="00452188"/>
    <w:rsid w:val="00452255"/>
    <w:rsid w:val="00452496"/>
    <w:rsid w:val="004524B9"/>
    <w:rsid w:val="004524C8"/>
    <w:rsid w:val="00452885"/>
    <w:rsid w:val="0045293A"/>
    <w:rsid w:val="00452C80"/>
    <w:rsid w:val="00452DF7"/>
    <w:rsid w:val="00452E8E"/>
    <w:rsid w:val="004534C1"/>
    <w:rsid w:val="004534F8"/>
    <w:rsid w:val="004535BC"/>
    <w:rsid w:val="00453642"/>
    <w:rsid w:val="00453852"/>
    <w:rsid w:val="004538FF"/>
    <w:rsid w:val="00453991"/>
    <w:rsid w:val="00453A00"/>
    <w:rsid w:val="00453DCE"/>
    <w:rsid w:val="00453F0B"/>
    <w:rsid w:val="0045404D"/>
    <w:rsid w:val="00454351"/>
    <w:rsid w:val="00454393"/>
    <w:rsid w:val="0045490D"/>
    <w:rsid w:val="0045494B"/>
    <w:rsid w:val="0045499E"/>
    <w:rsid w:val="00454B50"/>
    <w:rsid w:val="00454E21"/>
    <w:rsid w:val="00455026"/>
    <w:rsid w:val="0045511E"/>
    <w:rsid w:val="00455348"/>
    <w:rsid w:val="00455437"/>
    <w:rsid w:val="00455486"/>
    <w:rsid w:val="00455558"/>
    <w:rsid w:val="004558DE"/>
    <w:rsid w:val="00455A95"/>
    <w:rsid w:val="00455D45"/>
    <w:rsid w:val="00455D81"/>
    <w:rsid w:val="00455FF5"/>
    <w:rsid w:val="00456074"/>
    <w:rsid w:val="00456112"/>
    <w:rsid w:val="00456298"/>
    <w:rsid w:val="004562BF"/>
    <w:rsid w:val="004562E1"/>
    <w:rsid w:val="00456429"/>
    <w:rsid w:val="00456B64"/>
    <w:rsid w:val="00456C2C"/>
    <w:rsid w:val="00456DEE"/>
    <w:rsid w:val="00456F75"/>
    <w:rsid w:val="00457292"/>
    <w:rsid w:val="00457338"/>
    <w:rsid w:val="004573DB"/>
    <w:rsid w:val="00457434"/>
    <w:rsid w:val="00457862"/>
    <w:rsid w:val="00457D07"/>
    <w:rsid w:val="004600ED"/>
    <w:rsid w:val="004600FD"/>
    <w:rsid w:val="00460359"/>
    <w:rsid w:val="004606F5"/>
    <w:rsid w:val="00460749"/>
    <w:rsid w:val="004607C2"/>
    <w:rsid w:val="0046082C"/>
    <w:rsid w:val="00460B85"/>
    <w:rsid w:val="00460CA5"/>
    <w:rsid w:val="00460CF7"/>
    <w:rsid w:val="00460D01"/>
    <w:rsid w:val="00460E22"/>
    <w:rsid w:val="004610E9"/>
    <w:rsid w:val="0046131A"/>
    <w:rsid w:val="004613D3"/>
    <w:rsid w:val="004616A3"/>
    <w:rsid w:val="0046178A"/>
    <w:rsid w:val="00461C7E"/>
    <w:rsid w:val="00461D15"/>
    <w:rsid w:val="00461F7B"/>
    <w:rsid w:val="00461FD8"/>
    <w:rsid w:val="0046202F"/>
    <w:rsid w:val="0046218E"/>
    <w:rsid w:val="00462293"/>
    <w:rsid w:val="0046250D"/>
    <w:rsid w:val="00462525"/>
    <w:rsid w:val="0046252A"/>
    <w:rsid w:val="004627D0"/>
    <w:rsid w:val="004627DF"/>
    <w:rsid w:val="00462CED"/>
    <w:rsid w:val="00462D17"/>
    <w:rsid w:val="00462DDA"/>
    <w:rsid w:val="004632E5"/>
    <w:rsid w:val="00463BAD"/>
    <w:rsid w:val="00463E24"/>
    <w:rsid w:val="00464358"/>
    <w:rsid w:val="0046438C"/>
    <w:rsid w:val="00464595"/>
    <w:rsid w:val="0046459D"/>
    <w:rsid w:val="0046466E"/>
    <w:rsid w:val="004646DD"/>
    <w:rsid w:val="00464881"/>
    <w:rsid w:val="00464CE4"/>
    <w:rsid w:val="00465338"/>
    <w:rsid w:val="004657C3"/>
    <w:rsid w:val="004658B5"/>
    <w:rsid w:val="004658C0"/>
    <w:rsid w:val="00465A15"/>
    <w:rsid w:val="00465B45"/>
    <w:rsid w:val="00465D04"/>
    <w:rsid w:val="00465DDC"/>
    <w:rsid w:val="00465E46"/>
    <w:rsid w:val="0046623B"/>
    <w:rsid w:val="00466299"/>
    <w:rsid w:val="0046635C"/>
    <w:rsid w:val="004663AF"/>
    <w:rsid w:val="004666FA"/>
    <w:rsid w:val="0046682B"/>
    <w:rsid w:val="00466ADD"/>
    <w:rsid w:val="00466D94"/>
    <w:rsid w:val="00466E61"/>
    <w:rsid w:val="00466EC5"/>
    <w:rsid w:val="00466EF8"/>
    <w:rsid w:val="004670F6"/>
    <w:rsid w:val="00467116"/>
    <w:rsid w:val="0046714E"/>
    <w:rsid w:val="00467179"/>
    <w:rsid w:val="0046726E"/>
    <w:rsid w:val="0046735B"/>
    <w:rsid w:val="004674C0"/>
    <w:rsid w:val="004674EB"/>
    <w:rsid w:val="004678B6"/>
    <w:rsid w:val="004678E4"/>
    <w:rsid w:val="00467926"/>
    <w:rsid w:val="00470116"/>
    <w:rsid w:val="004701D5"/>
    <w:rsid w:val="004702CD"/>
    <w:rsid w:val="0047047A"/>
    <w:rsid w:val="004704E5"/>
    <w:rsid w:val="004705DF"/>
    <w:rsid w:val="004707AA"/>
    <w:rsid w:val="00470F3D"/>
    <w:rsid w:val="00470F99"/>
    <w:rsid w:val="00470FA7"/>
    <w:rsid w:val="0047105B"/>
    <w:rsid w:val="00471061"/>
    <w:rsid w:val="00471074"/>
    <w:rsid w:val="0047108B"/>
    <w:rsid w:val="0047110B"/>
    <w:rsid w:val="00471130"/>
    <w:rsid w:val="0047126F"/>
    <w:rsid w:val="0047127D"/>
    <w:rsid w:val="004714C6"/>
    <w:rsid w:val="0047150A"/>
    <w:rsid w:val="0047152E"/>
    <w:rsid w:val="00471543"/>
    <w:rsid w:val="00471619"/>
    <w:rsid w:val="00471957"/>
    <w:rsid w:val="00471967"/>
    <w:rsid w:val="00471A8A"/>
    <w:rsid w:val="00471AB9"/>
    <w:rsid w:val="00471C81"/>
    <w:rsid w:val="00471DCF"/>
    <w:rsid w:val="00471EA5"/>
    <w:rsid w:val="00471FD0"/>
    <w:rsid w:val="0047213A"/>
    <w:rsid w:val="0047234F"/>
    <w:rsid w:val="00472502"/>
    <w:rsid w:val="00472689"/>
    <w:rsid w:val="004727FE"/>
    <w:rsid w:val="00472A11"/>
    <w:rsid w:val="00472A79"/>
    <w:rsid w:val="00472BA1"/>
    <w:rsid w:val="00472DAD"/>
    <w:rsid w:val="00472DFD"/>
    <w:rsid w:val="00472F4B"/>
    <w:rsid w:val="004733B4"/>
    <w:rsid w:val="00473489"/>
    <w:rsid w:val="0047352B"/>
    <w:rsid w:val="004739DE"/>
    <w:rsid w:val="004739F3"/>
    <w:rsid w:val="00473D22"/>
    <w:rsid w:val="00473E5A"/>
    <w:rsid w:val="00473F19"/>
    <w:rsid w:val="00473FC4"/>
    <w:rsid w:val="004740FC"/>
    <w:rsid w:val="004743EA"/>
    <w:rsid w:val="00474587"/>
    <w:rsid w:val="00474754"/>
    <w:rsid w:val="0047475F"/>
    <w:rsid w:val="0047479D"/>
    <w:rsid w:val="004749B0"/>
    <w:rsid w:val="00474AF0"/>
    <w:rsid w:val="00474D37"/>
    <w:rsid w:val="00474E35"/>
    <w:rsid w:val="00474EE0"/>
    <w:rsid w:val="0047557A"/>
    <w:rsid w:val="00475C9A"/>
    <w:rsid w:val="00475E22"/>
    <w:rsid w:val="00475FF1"/>
    <w:rsid w:val="0047606A"/>
    <w:rsid w:val="00476237"/>
    <w:rsid w:val="0047626D"/>
    <w:rsid w:val="0047636B"/>
    <w:rsid w:val="004764B0"/>
    <w:rsid w:val="00476588"/>
    <w:rsid w:val="004768D3"/>
    <w:rsid w:val="00476AE3"/>
    <w:rsid w:val="00476BE9"/>
    <w:rsid w:val="00476D14"/>
    <w:rsid w:val="00476DD8"/>
    <w:rsid w:val="00476DDC"/>
    <w:rsid w:val="00476E1B"/>
    <w:rsid w:val="004770BE"/>
    <w:rsid w:val="00477491"/>
    <w:rsid w:val="004774A1"/>
    <w:rsid w:val="004775B2"/>
    <w:rsid w:val="004775F9"/>
    <w:rsid w:val="0047772A"/>
    <w:rsid w:val="004778E2"/>
    <w:rsid w:val="00477901"/>
    <w:rsid w:val="00477A90"/>
    <w:rsid w:val="00477B2B"/>
    <w:rsid w:val="00477CBF"/>
    <w:rsid w:val="00477F67"/>
    <w:rsid w:val="004802EB"/>
    <w:rsid w:val="0048072F"/>
    <w:rsid w:val="0048088E"/>
    <w:rsid w:val="00480C4E"/>
    <w:rsid w:val="00480DC1"/>
    <w:rsid w:val="00480F2B"/>
    <w:rsid w:val="0048127E"/>
    <w:rsid w:val="004812FC"/>
    <w:rsid w:val="004816DD"/>
    <w:rsid w:val="00481ADC"/>
    <w:rsid w:val="00481B8D"/>
    <w:rsid w:val="00481B97"/>
    <w:rsid w:val="00481D17"/>
    <w:rsid w:val="00481D57"/>
    <w:rsid w:val="00481D73"/>
    <w:rsid w:val="00481FCB"/>
    <w:rsid w:val="00482005"/>
    <w:rsid w:val="0048212B"/>
    <w:rsid w:val="00482349"/>
    <w:rsid w:val="00482380"/>
    <w:rsid w:val="004823FC"/>
    <w:rsid w:val="00482491"/>
    <w:rsid w:val="004824ED"/>
    <w:rsid w:val="00482720"/>
    <w:rsid w:val="00482AF6"/>
    <w:rsid w:val="00482B61"/>
    <w:rsid w:val="00482CC4"/>
    <w:rsid w:val="00482DD0"/>
    <w:rsid w:val="00482FE5"/>
    <w:rsid w:val="004830ED"/>
    <w:rsid w:val="00483212"/>
    <w:rsid w:val="004832B2"/>
    <w:rsid w:val="00483377"/>
    <w:rsid w:val="004833A2"/>
    <w:rsid w:val="004835E7"/>
    <w:rsid w:val="004839DC"/>
    <w:rsid w:val="00483A73"/>
    <w:rsid w:val="00483AAF"/>
    <w:rsid w:val="00483DAC"/>
    <w:rsid w:val="0048402F"/>
    <w:rsid w:val="0048443D"/>
    <w:rsid w:val="00484486"/>
    <w:rsid w:val="004846EA"/>
    <w:rsid w:val="00484895"/>
    <w:rsid w:val="00484AF7"/>
    <w:rsid w:val="00484BF1"/>
    <w:rsid w:val="00484C44"/>
    <w:rsid w:val="00484C59"/>
    <w:rsid w:val="00484CF7"/>
    <w:rsid w:val="00484D5B"/>
    <w:rsid w:val="00484F47"/>
    <w:rsid w:val="00484F4F"/>
    <w:rsid w:val="004850A7"/>
    <w:rsid w:val="0048517A"/>
    <w:rsid w:val="004851E8"/>
    <w:rsid w:val="004854C7"/>
    <w:rsid w:val="004854CD"/>
    <w:rsid w:val="004854FD"/>
    <w:rsid w:val="004859A7"/>
    <w:rsid w:val="004859E1"/>
    <w:rsid w:val="00485A75"/>
    <w:rsid w:val="00485B56"/>
    <w:rsid w:val="00485D13"/>
    <w:rsid w:val="004862B3"/>
    <w:rsid w:val="004866A8"/>
    <w:rsid w:val="004867E2"/>
    <w:rsid w:val="004867EA"/>
    <w:rsid w:val="004868EA"/>
    <w:rsid w:val="00486A84"/>
    <w:rsid w:val="00486BCF"/>
    <w:rsid w:val="00486C35"/>
    <w:rsid w:val="00486C56"/>
    <w:rsid w:val="00486C80"/>
    <w:rsid w:val="00486CC0"/>
    <w:rsid w:val="00486D54"/>
    <w:rsid w:val="00486E3B"/>
    <w:rsid w:val="00486F7B"/>
    <w:rsid w:val="00487054"/>
    <w:rsid w:val="00487150"/>
    <w:rsid w:val="004871AC"/>
    <w:rsid w:val="0048724C"/>
    <w:rsid w:val="0048753F"/>
    <w:rsid w:val="00487934"/>
    <w:rsid w:val="00487B1B"/>
    <w:rsid w:val="00487BDE"/>
    <w:rsid w:val="00487BFE"/>
    <w:rsid w:val="00487D60"/>
    <w:rsid w:val="00487DA7"/>
    <w:rsid w:val="004900E7"/>
    <w:rsid w:val="0049040C"/>
    <w:rsid w:val="004905B5"/>
    <w:rsid w:val="004905C1"/>
    <w:rsid w:val="004907AF"/>
    <w:rsid w:val="00490837"/>
    <w:rsid w:val="00490A01"/>
    <w:rsid w:val="00490B17"/>
    <w:rsid w:val="00490C33"/>
    <w:rsid w:val="00490C38"/>
    <w:rsid w:val="00490CD3"/>
    <w:rsid w:val="00490E10"/>
    <w:rsid w:val="00490E1D"/>
    <w:rsid w:val="004911E7"/>
    <w:rsid w:val="00491608"/>
    <w:rsid w:val="004916AE"/>
    <w:rsid w:val="004918AC"/>
    <w:rsid w:val="00491B3A"/>
    <w:rsid w:val="00491D04"/>
    <w:rsid w:val="00491E4D"/>
    <w:rsid w:val="00491F9A"/>
    <w:rsid w:val="00492170"/>
    <w:rsid w:val="004922A2"/>
    <w:rsid w:val="004923DB"/>
    <w:rsid w:val="00492484"/>
    <w:rsid w:val="0049260A"/>
    <w:rsid w:val="0049262B"/>
    <w:rsid w:val="0049284F"/>
    <w:rsid w:val="004929B3"/>
    <w:rsid w:val="00492C9D"/>
    <w:rsid w:val="00492CDF"/>
    <w:rsid w:val="00492CFD"/>
    <w:rsid w:val="00492E25"/>
    <w:rsid w:val="00492EF1"/>
    <w:rsid w:val="00493001"/>
    <w:rsid w:val="0049319D"/>
    <w:rsid w:val="00493354"/>
    <w:rsid w:val="004935EF"/>
    <w:rsid w:val="0049362D"/>
    <w:rsid w:val="00493640"/>
    <w:rsid w:val="0049375D"/>
    <w:rsid w:val="00493956"/>
    <w:rsid w:val="00493B73"/>
    <w:rsid w:val="00493C9C"/>
    <w:rsid w:val="00493E86"/>
    <w:rsid w:val="00494068"/>
    <w:rsid w:val="00494125"/>
    <w:rsid w:val="0049419F"/>
    <w:rsid w:val="004941FE"/>
    <w:rsid w:val="00494207"/>
    <w:rsid w:val="00494DD5"/>
    <w:rsid w:val="0049522F"/>
    <w:rsid w:val="004954AA"/>
    <w:rsid w:val="0049559A"/>
    <w:rsid w:val="004959EA"/>
    <w:rsid w:val="00495CB0"/>
    <w:rsid w:val="00495E4C"/>
    <w:rsid w:val="00496188"/>
    <w:rsid w:val="004961F2"/>
    <w:rsid w:val="0049625F"/>
    <w:rsid w:val="004962D2"/>
    <w:rsid w:val="0049638C"/>
    <w:rsid w:val="004963BF"/>
    <w:rsid w:val="004963CC"/>
    <w:rsid w:val="004965E2"/>
    <w:rsid w:val="004965F3"/>
    <w:rsid w:val="00496650"/>
    <w:rsid w:val="004966E3"/>
    <w:rsid w:val="00496705"/>
    <w:rsid w:val="004968BA"/>
    <w:rsid w:val="0049692C"/>
    <w:rsid w:val="0049697D"/>
    <w:rsid w:val="00496F73"/>
    <w:rsid w:val="004970D2"/>
    <w:rsid w:val="00497217"/>
    <w:rsid w:val="00497685"/>
    <w:rsid w:val="004978B8"/>
    <w:rsid w:val="004978C5"/>
    <w:rsid w:val="00497A22"/>
    <w:rsid w:val="00497CD0"/>
    <w:rsid w:val="00497CD3"/>
    <w:rsid w:val="00497EE2"/>
    <w:rsid w:val="00497FE3"/>
    <w:rsid w:val="004A02B6"/>
    <w:rsid w:val="004A030A"/>
    <w:rsid w:val="004A0759"/>
    <w:rsid w:val="004A0809"/>
    <w:rsid w:val="004A099B"/>
    <w:rsid w:val="004A0C80"/>
    <w:rsid w:val="004A0CDE"/>
    <w:rsid w:val="004A0CFF"/>
    <w:rsid w:val="004A0DA1"/>
    <w:rsid w:val="004A0E74"/>
    <w:rsid w:val="004A0FED"/>
    <w:rsid w:val="004A103B"/>
    <w:rsid w:val="004A1197"/>
    <w:rsid w:val="004A1380"/>
    <w:rsid w:val="004A13B5"/>
    <w:rsid w:val="004A13D6"/>
    <w:rsid w:val="004A146A"/>
    <w:rsid w:val="004A14B7"/>
    <w:rsid w:val="004A15BA"/>
    <w:rsid w:val="004A181B"/>
    <w:rsid w:val="004A1941"/>
    <w:rsid w:val="004A1A32"/>
    <w:rsid w:val="004A1A89"/>
    <w:rsid w:val="004A1B10"/>
    <w:rsid w:val="004A1FDB"/>
    <w:rsid w:val="004A2123"/>
    <w:rsid w:val="004A21D6"/>
    <w:rsid w:val="004A221D"/>
    <w:rsid w:val="004A2625"/>
    <w:rsid w:val="004A2730"/>
    <w:rsid w:val="004A29F3"/>
    <w:rsid w:val="004A2A81"/>
    <w:rsid w:val="004A2B45"/>
    <w:rsid w:val="004A2BBA"/>
    <w:rsid w:val="004A2C2F"/>
    <w:rsid w:val="004A2D3E"/>
    <w:rsid w:val="004A2D46"/>
    <w:rsid w:val="004A2D4F"/>
    <w:rsid w:val="004A2EA6"/>
    <w:rsid w:val="004A2F5E"/>
    <w:rsid w:val="004A2FD5"/>
    <w:rsid w:val="004A33BD"/>
    <w:rsid w:val="004A350C"/>
    <w:rsid w:val="004A3609"/>
    <w:rsid w:val="004A3677"/>
    <w:rsid w:val="004A37A4"/>
    <w:rsid w:val="004A38DB"/>
    <w:rsid w:val="004A39ED"/>
    <w:rsid w:val="004A3AF3"/>
    <w:rsid w:val="004A3B8D"/>
    <w:rsid w:val="004A3C0A"/>
    <w:rsid w:val="004A3D19"/>
    <w:rsid w:val="004A431E"/>
    <w:rsid w:val="004A4350"/>
    <w:rsid w:val="004A4461"/>
    <w:rsid w:val="004A44B4"/>
    <w:rsid w:val="004A4664"/>
    <w:rsid w:val="004A46BC"/>
    <w:rsid w:val="004A48B1"/>
    <w:rsid w:val="004A4948"/>
    <w:rsid w:val="004A4B69"/>
    <w:rsid w:val="004A4CC7"/>
    <w:rsid w:val="004A4F87"/>
    <w:rsid w:val="004A5035"/>
    <w:rsid w:val="004A503F"/>
    <w:rsid w:val="004A52C0"/>
    <w:rsid w:val="004A52E9"/>
    <w:rsid w:val="004A54DC"/>
    <w:rsid w:val="004A561E"/>
    <w:rsid w:val="004A5919"/>
    <w:rsid w:val="004A5D9C"/>
    <w:rsid w:val="004A5EAD"/>
    <w:rsid w:val="004A6040"/>
    <w:rsid w:val="004A64C6"/>
    <w:rsid w:val="004A6597"/>
    <w:rsid w:val="004A66A2"/>
    <w:rsid w:val="004A6893"/>
    <w:rsid w:val="004A68AB"/>
    <w:rsid w:val="004A690F"/>
    <w:rsid w:val="004A6A4F"/>
    <w:rsid w:val="004A6D61"/>
    <w:rsid w:val="004A749B"/>
    <w:rsid w:val="004A760E"/>
    <w:rsid w:val="004A7763"/>
    <w:rsid w:val="004A77A1"/>
    <w:rsid w:val="004A7848"/>
    <w:rsid w:val="004A793B"/>
    <w:rsid w:val="004A79B9"/>
    <w:rsid w:val="004A7A75"/>
    <w:rsid w:val="004B0011"/>
    <w:rsid w:val="004B006C"/>
    <w:rsid w:val="004B0326"/>
    <w:rsid w:val="004B0327"/>
    <w:rsid w:val="004B04C6"/>
    <w:rsid w:val="004B07BC"/>
    <w:rsid w:val="004B13C7"/>
    <w:rsid w:val="004B1BD2"/>
    <w:rsid w:val="004B1C65"/>
    <w:rsid w:val="004B1CB4"/>
    <w:rsid w:val="004B1E15"/>
    <w:rsid w:val="004B2A4D"/>
    <w:rsid w:val="004B2A94"/>
    <w:rsid w:val="004B2AD1"/>
    <w:rsid w:val="004B2BBF"/>
    <w:rsid w:val="004B2BF9"/>
    <w:rsid w:val="004B2C69"/>
    <w:rsid w:val="004B2DCF"/>
    <w:rsid w:val="004B2EBB"/>
    <w:rsid w:val="004B2F18"/>
    <w:rsid w:val="004B2F68"/>
    <w:rsid w:val="004B2FBF"/>
    <w:rsid w:val="004B33BD"/>
    <w:rsid w:val="004B3551"/>
    <w:rsid w:val="004B363A"/>
    <w:rsid w:val="004B3938"/>
    <w:rsid w:val="004B39FF"/>
    <w:rsid w:val="004B3AD3"/>
    <w:rsid w:val="004B3C99"/>
    <w:rsid w:val="004B3DDB"/>
    <w:rsid w:val="004B3F73"/>
    <w:rsid w:val="004B3FD5"/>
    <w:rsid w:val="004B417B"/>
    <w:rsid w:val="004B4189"/>
    <w:rsid w:val="004B43AE"/>
    <w:rsid w:val="004B44FD"/>
    <w:rsid w:val="004B4582"/>
    <w:rsid w:val="004B49C6"/>
    <w:rsid w:val="004B4ADA"/>
    <w:rsid w:val="004B4D03"/>
    <w:rsid w:val="004B5267"/>
    <w:rsid w:val="004B52ED"/>
    <w:rsid w:val="004B54A4"/>
    <w:rsid w:val="004B56FA"/>
    <w:rsid w:val="004B5769"/>
    <w:rsid w:val="004B57BB"/>
    <w:rsid w:val="004B5815"/>
    <w:rsid w:val="004B5850"/>
    <w:rsid w:val="004B58E7"/>
    <w:rsid w:val="004B5B8E"/>
    <w:rsid w:val="004B5C62"/>
    <w:rsid w:val="004B5CFC"/>
    <w:rsid w:val="004B609A"/>
    <w:rsid w:val="004B60BD"/>
    <w:rsid w:val="004B61A2"/>
    <w:rsid w:val="004B61EA"/>
    <w:rsid w:val="004B6278"/>
    <w:rsid w:val="004B6381"/>
    <w:rsid w:val="004B64C4"/>
    <w:rsid w:val="004B693E"/>
    <w:rsid w:val="004B6CB6"/>
    <w:rsid w:val="004B6EF8"/>
    <w:rsid w:val="004B6F5D"/>
    <w:rsid w:val="004B6F77"/>
    <w:rsid w:val="004B6F79"/>
    <w:rsid w:val="004B7024"/>
    <w:rsid w:val="004B7030"/>
    <w:rsid w:val="004B704C"/>
    <w:rsid w:val="004B70C2"/>
    <w:rsid w:val="004B7724"/>
    <w:rsid w:val="004B774D"/>
    <w:rsid w:val="004B7886"/>
    <w:rsid w:val="004B79D6"/>
    <w:rsid w:val="004B7C1D"/>
    <w:rsid w:val="004B7E1C"/>
    <w:rsid w:val="004B7EB4"/>
    <w:rsid w:val="004C00AB"/>
    <w:rsid w:val="004C01C2"/>
    <w:rsid w:val="004C02CB"/>
    <w:rsid w:val="004C02DB"/>
    <w:rsid w:val="004C04BF"/>
    <w:rsid w:val="004C0567"/>
    <w:rsid w:val="004C05F9"/>
    <w:rsid w:val="004C075C"/>
    <w:rsid w:val="004C0886"/>
    <w:rsid w:val="004C0B16"/>
    <w:rsid w:val="004C0E2B"/>
    <w:rsid w:val="004C117A"/>
    <w:rsid w:val="004C127A"/>
    <w:rsid w:val="004C12A0"/>
    <w:rsid w:val="004C12FF"/>
    <w:rsid w:val="004C141B"/>
    <w:rsid w:val="004C1498"/>
    <w:rsid w:val="004C15D5"/>
    <w:rsid w:val="004C1755"/>
    <w:rsid w:val="004C18D3"/>
    <w:rsid w:val="004C18D5"/>
    <w:rsid w:val="004C1AFD"/>
    <w:rsid w:val="004C1B1D"/>
    <w:rsid w:val="004C1E95"/>
    <w:rsid w:val="004C1F59"/>
    <w:rsid w:val="004C20F0"/>
    <w:rsid w:val="004C29EB"/>
    <w:rsid w:val="004C2A1C"/>
    <w:rsid w:val="004C2AC2"/>
    <w:rsid w:val="004C2C00"/>
    <w:rsid w:val="004C2C16"/>
    <w:rsid w:val="004C2D82"/>
    <w:rsid w:val="004C2F99"/>
    <w:rsid w:val="004C2FBD"/>
    <w:rsid w:val="004C30B5"/>
    <w:rsid w:val="004C3290"/>
    <w:rsid w:val="004C3294"/>
    <w:rsid w:val="004C3382"/>
    <w:rsid w:val="004C348D"/>
    <w:rsid w:val="004C350B"/>
    <w:rsid w:val="004C3893"/>
    <w:rsid w:val="004C3B02"/>
    <w:rsid w:val="004C3E2A"/>
    <w:rsid w:val="004C3FCE"/>
    <w:rsid w:val="004C405E"/>
    <w:rsid w:val="004C441C"/>
    <w:rsid w:val="004C45E9"/>
    <w:rsid w:val="004C46DA"/>
    <w:rsid w:val="004C4903"/>
    <w:rsid w:val="004C490A"/>
    <w:rsid w:val="004C4AED"/>
    <w:rsid w:val="004C4FCA"/>
    <w:rsid w:val="004C53FA"/>
    <w:rsid w:val="004C546C"/>
    <w:rsid w:val="004C56AE"/>
    <w:rsid w:val="004C5936"/>
    <w:rsid w:val="004C5C36"/>
    <w:rsid w:val="004C5D0A"/>
    <w:rsid w:val="004C5E25"/>
    <w:rsid w:val="004C60F3"/>
    <w:rsid w:val="004C61FF"/>
    <w:rsid w:val="004C657A"/>
    <w:rsid w:val="004C67E5"/>
    <w:rsid w:val="004C699D"/>
    <w:rsid w:val="004C6AFB"/>
    <w:rsid w:val="004C6BF6"/>
    <w:rsid w:val="004C6C66"/>
    <w:rsid w:val="004C6EF0"/>
    <w:rsid w:val="004C6F62"/>
    <w:rsid w:val="004C7179"/>
    <w:rsid w:val="004C720B"/>
    <w:rsid w:val="004C7278"/>
    <w:rsid w:val="004C7978"/>
    <w:rsid w:val="004C7AE9"/>
    <w:rsid w:val="004C7BD3"/>
    <w:rsid w:val="004C7C0C"/>
    <w:rsid w:val="004C7C85"/>
    <w:rsid w:val="004C7D08"/>
    <w:rsid w:val="004C7E6C"/>
    <w:rsid w:val="004C7FA2"/>
    <w:rsid w:val="004C7FCE"/>
    <w:rsid w:val="004D032E"/>
    <w:rsid w:val="004D03BA"/>
    <w:rsid w:val="004D04D9"/>
    <w:rsid w:val="004D04E8"/>
    <w:rsid w:val="004D04F2"/>
    <w:rsid w:val="004D0517"/>
    <w:rsid w:val="004D05F9"/>
    <w:rsid w:val="004D0754"/>
    <w:rsid w:val="004D0A52"/>
    <w:rsid w:val="004D0E46"/>
    <w:rsid w:val="004D0FA0"/>
    <w:rsid w:val="004D117F"/>
    <w:rsid w:val="004D11DE"/>
    <w:rsid w:val="004D128C"/>
    <w:rsid w:val="004D129C"/>
    <w:rsid w:val="004D1486"/>
    <w:rsid w:val="004D1527"/>
    <w:rsid w:val="004D159D"/>
    <w:rsid w:val="004D15CC"/>
    <w:rsid w:val="004D1A59"/>
    <w:rsid w:val="004D1BE7"/>
    <w:rsid w:val="004D1C5D"/>
    <w:rsid w:val="004D20EB"/>
    <w:rsid w:val="004D218A"/>
    <w:rsid w:val="004D2330"/>
    <w:rsid w:val="004D245B"/>
    <w:rsid w:val="004D2472"/>
    <w:rsid w:val="004D27A3"/>
    <w:rsid w:val="004D283F"/>
    <w:rsid w:val="004D2B40"/>
    <w:rsid w:val="004D2C2D"/>
    <w:rsid w:val="004D2CF1"/>
    <w:rsid w:val="004D2D97"/>
    <w:rsid w:val="004D303A"/>
    <w:rsid w:val="004D32AC"/>
    <w:rsid w:val="004D3328"/>
    <w:rsid w:val="004D3509"/>
    <w:rsid w:val="004D3A52"/>
    <w:rsid w:val="004D3A7D"/>
    <w:rsid w:val="004D3ACD"/>
    <w:rsid w:val="004D3B59"/>
    <w:rsid w:val="004D4088"/>
    <w:rsid w:val="004D4337"/>
    <w:rsid w:val="004D445A"/>
    <w:rsid w:val="004D47B6"/>
    <w:rsid w:val="004D48DF"/>
    <w:rsid w:val="004D498D"/>
    <w:rsid w:val="004D49A2"/>
    <w:rsid w:val="004D4CE9"/>
    <w:rsid w:val="004D4D1C"/>
    <w:rsid w:val="004D4D64"/>
    <w:rsid w:val="004D4DD0"/>
    <w:rsid w:val="004D4F85"/>
    <w:rsid w:val="004D5070"/>
    <w:rsid w:val="004D5224"/>
    <w:rsid w:val="004D5624"/>
    <w:rsid w:val="004D5A53"/>
    <w:rsid w:val="004D5C9A"/>
    <w:rsid w:val="004D5DA4"/>
    <w:rsid w:val="004D5E26"/>
    <w:rsid w:val="004D5EDE"/>
    <w:rsid w:val="004D609D"/>
    <w:rsid w:val="004D63DD"/>
    <w:rsid w:val="004D654A"/>
    <w:rsid w:val="004D664F"/>
    <w:rsid w:val="004D69B5"/>
    <w:rsid w:val="004D6AA3"/>
    <w:rsid w:val="004D6E68"/>
    <w:rsid w:val="004D6ED0"/>
    <w:rsid w:val="004D702D"/>
    <w:rsid w:val="004D7227"/>
    <w:rsid w:val="004D73A9"/>
    <w:rsid w:val="004D76C9"/>
    <w:rsid w:val="004D771B"/>
    <w:rsid w:val="004D7AF8"/>
    <w:rsid w:val="004D7B5E"/>
    <w:rsid w:val="004D7C96"/>
    <w:rsid w:val="004D7D26"/>
    <w:rsid w:val="004E005F"/>
    <w:rsid w:val="004E00D8"/>
    <w:rsid w:val="004E00D9"/>
    <w:rsid w:val="004E0125"/>
    <w:rsid w:val="004E030C"/>
    <w:rsid w:val="004E05CB"/>
    <w:rsid w:val="004E06C5"/>
    <w:rsid w:val="004E07AB"/>
    <w:rsid w:val="004E0936"/>
    <w:rsid w:val="004E09C7"/>
    <w:rsid w:val="004E0B1A"/>
    <w:rsid w:val="004E0BF1"/>
    <w:rsid w:val="004E0CC5"/>
    <w:rsid w:val="004E0DAD"/>
    <w:rsid w:val="004E0DC3"/>
    <w:rsid w:val="004E0E1C"/>
    <w:rsid w:val="004E0E7F"/>
    <w:rsid w:val="004E0EB8"/>
    <w:rsid w:val="004E14F6"/>
    <w:rsid w:val="004E15B4"/>
    <w:rsid w:val="004E1682"/>
    <w:rsid w:val="004E18E6"/>
    <w:rsid w:val="004E18E9"/>
    <w:rsid w:val="004E1B91"/>
    <w:rsid w:val="004E1C01"/>
    <w:rsid w:val="004E1D98"/>
    <w:rsid w:val="004E1E39"/>
    <w:rsid w:val="004E1E49"/>
    <w:rsid w:val="004E209B"/>
    <w:rsid w:val="004E23FF"/>
    <w:rsid w:val="004E270D"/>
    <w:rsid w:val="004E27CB"/>
    <w:rsid w:val="004E2A19"/>
    <w:rsid w:val="004E2ADC"/>
    <w:rsid w:val="004E2C80"/>
    <w:rsid w:val="004E2CA9"/>
    <w:rsid w:val="004E2D57"/>
    <w:rsid w:val="004E32A0"/>
    <w:rsid w:val="004E34B8"/>
    <w:rsid w:val="004E3529"/>
    <w:rsid w:val="004E3704"/>
    <w:rsid w:val="004E3809"/>
    <w:rsid w:val="004E3955"/>
    <w:rsid w:val="004E3E59"/>
    <w:rsid w:val="004E3E73"/>
    <w:rsid w:val="004E3EF7"/>
    <w:rsid w:val="004E41B5"/>
    <w:rsid w:val="004E43B2"/>
    <w:rsid w:val="004E456C"/>
    <w:rsid w:val="004E4645"/>
    <w:rsid w:val="004E473A"/>
    <w:rsid w:val="004E4833"/>
    <w:rsid w:val="004E4864"/>
    <w:rsid w:val="004E4A2B"/>
    <w:rsid w:val="004E4D3B"/>
    <w:rsid w:val="004E4D59"/>
    <w:rsid w:val="004E4F19"/>
    <w:rsid w:val="004E50F3"/>
    <w:rsid w:val="004E52B0"/>
    <w:rsid w:val="004E5394"/>
    <w:rsid w:val="004E553D"/>
    <w:rsid w:val="004E597C"/>
    <w:rsid w:val="004E5A70"/>
    <w:rsid w:val="004E5AF1"/>
    <w:rsid w:val="004E5D22"/>
    <w:rsid w:val="004E5E1E"/>
    <w:rsid w:val="004E5E39"/>
    <w:rsid w:val="004E5ED9"/>
    <w:rsid w:val="004E6055"/>
    <w:rsid w:val="004E613F"/>
    <w:rsid w:val="004E6193"/>
    <w:rsid w:val="004E6206"/>
    <w:rsid w:val="004E6267"/>
    <w:rsid w:val="004E6274"/>
    <w:rsid w:val="004E6308"/>
    <w:rsid w:val="004E63D7"/>
    <w:rsid w:val="004E6471"/>
    <w:rsid w:val="004E6676"/>
    <w:rsid w:val="004E68E7"/>
    <w:rsid w:val="004E6B5E"/>
    <w:rsid w:val="004E6D99"/>
    <w:rsid w:val="004E70BE"/>
    <w:rsid w:val="004E723E"/>
    <w:rsid w:val="004E73D5"/>
    <w:rsid w:val="004E777D"/>
    <w:rsid w:val="004E78CF"/>
    <w:rsid w:val="004F0041"/>
    <w:rsid w:val="004F00E1"/>
    <w:rsid w:val="004F02DA"/>
    <w:rsid w:val="004F02E8"/>
    <w:rsid w:val="004F056F"/>
    <w:rsid w:val="004F06E4"/>
    <w:rsid w:val="004F0744"/>
    <w:rsid w:val="004F07F5"/>
    <w:rsid w:val="004F0854"/>
    <w:rsid w:val="004F0905"/>
    <w:rsid w:val="004F0A90"/>
    <w:rsid w:val="004F0A97"/>
    <w:rsid w:val="004F0B00"/>
    <w:rsid w:val="004F0C45"/>
    <w:rsid w:val="004F0C53"/>
    <w:rsid w:val="004F0FBC"/>
    <w:rsid w:val="004F11DD"/>
    <w:rsid w:val="004F12E9"/>
    <w:rsid w:val="004F134B"/>
    <w:rsid w:val="004F1369"/>
    <w:rsid w:val="004F14A4"/>
    <w:rsid w:val="004F1517"/>
    <w:rsid w:val="004F158E"/>
    <w:rsid w:val="004F16C5"/>
    <w:rsid w:val="004F1A10"/>
    <w:rsid w:val="004F1A2C"/>
    <w:rsid w:val="004F1C5F"/>
    <w:rsid w:val="004F1D02"/>
    <w:rsid w:val="004F1D72"/>
    <w:rsid w:val="004F1DD6"/>
    <w:rsid w:val="004F1EAE"/>
    <w:rsid w:val="004F21A5"/>
    <w:rsid w:val="004F221E"/>
    <w:rsid w:val="004F227B"/>
    <w:rsid w:val="004F25BD"/>
    <w:rsid w:val="004F2679"/>
    <w:rsid w:val="004F275D"/>
    <w:rsid w:val="004F290F"/>
    <w:rsid w:val="004F297D"/>
    <w:rsid w:val="004F2B55"/>
    <w:rsid w:val="004F2BC0"/>
    <w:rsid w:val="004F2BEC"/>
    <w:rsid w:val="004F2C4A"/>
    <w:rsid w:val="004F2E0F"/>
    <w:rsid w:val="004F2EE5"/>
    <w:rsid w:val="004F2F21"/>
    <w:rsid w:val="004F30B4"/>
    <w:rsid w:val="004F3278"/>
    <w:rsid w:val="004F38D8"/>
    <w:rsid w:val="004F3936"/>
    <w:rsid w:val="004F3A39"/>
    <w:rsid w:val="004F3DE5"/>
    <w:rsid w:val="004F3E4B"/>
    <w:rsid w:val="004F3ECA"/>
    <w:rsid w:val="004F4164"/>
    <w:rsid w:val="004F41F7"/>
    <w:rsid w:val="004F4333"/>
    <w:rsid w:val="004F43F7"/>
    <w:rsid w:val="004F48F2"/>
    <w:rsid w:val="004F4B01"/>
    <w:rsid w:val="004F4C50"/>
    <w:rsid w:val="004F4CBC"/>
    <w:rsid w:val="004F4FEF"/>
    <w:rsid w:val="004F5235"/>
    <w:rsid w:val="004F5244"/>
    <w:rsid w:val="004F524B"/>
    <w:rsid w:val="004F52EA"/>
    <w:rsid w:val="004F538C"/>
    <w:rsid w:val="004F56A2"/>
    <w:rsid w:val="004F56B2"/>
    <w:rsid w:val="004F575F"/>
    <w:rsid w:val="004F5799"/>
    <w:rsid w:val="004F5924"/>
    <w:rsid w:val="004F5B1E"/>
    <w:rsid w:val="004F5C84"/>
    <w:rsid w:val="004F5E40"/>
    <w:rsid w:val="004F5EF9"/>
    <w:rsid w:val="004F6001"/>
    <w:rsid w:val="004F6304"/>
    <w:rsid w:val="004F632A"/>
    <w:rsid w:val="004F66B0"/>
    <w:rsid w:val="004F66B8"/>
    <w:rsid w:val="004F6858"/>
    <w:rsid w:val="004F68F2"/>
    <w:rsid w:val="004F6913"/>
    <w:rsid w:val="004F6C16"/>
    <w:rsid w:val="004F6F7E"/>
    <w:rsid w:val="004F72B4"/>
    <w:rsid w:val="004F73CF"/>
    <w:rsid w:val="004F7526"/>
    <w:rsid w:val="004F7551"/>
    <w:rsid w:val="004F76B9"/>
    <w:rsid w:val="004F7713"/>
    <w:rsid w:val="004F7865"/>
    <w:rsid w:val="004F7884"/>
    <w:rsid w:val="004F7966"/>
    <w:rsid w:val="004F7A8A"/>
    <w:rsid w:val="004F7B88"/>
    <w:rsid w:val="004F7BC9"/>
    <w:rsid w:val="004F7CA9"/>
    <w:rsid w:val="004F7DC4"/>
    <w:rsid w:val="00500091"/>
    <w:rsid w:val="005001F6"/>
    <w:rsid w:val="00500284"/>
    <w:rsid w:val="0050098F"/>
    <w:rsid w:val="00500AB6"/>
    <w:rsid w:val="00500D0A"/>
    <w:rsid w:val="00500FE8"/>
    <w:rsid w:val="0050149C"/>
    <w:rsid w:val="0050174E"/>
    <w:rsid w:val="00501854"/>
    <w:rsid w:val="0050188B"/>
    <w:rsid w:val="005018BC"/>
    <w:rsid w:val="00501B54"/>
    <w:rsid w:val="00501D16"/>
    <w:rsid w:val="00501D4C"/>
    <w:rsid w:val="00501D59"/>
    <w:rsid w:val="00501DA0"/>
    <w:rsid w:val="005020E1"/>
    <w:rsid w:val="0050219B"/>
    <w:rsid w:val="00502295"/>
    <w:rsid w:val="00502375"/>
    <w:rsid w:val="005023C5"/>
    <w:rsid w:val="00502680"/>
    <w:rsid w:val="00502869"/>
    <w:rsid w:val="005028D9"/>
    <w:rsid w:val="005028FA"/>
    <w:rsid w:val="0050295C"/>
    <w:rsid w:val="00502A6C"/>
    <w:rsid w:val="00502C01"/>
    <w:rsid w:val="00502D34"/>
    <w:rsid w:val="00502E6E"/>
    <w:rsid w:val="00502EE8"/>
    <w:rsid w:val="00503305"/>
    <w:rsid w:val="00503426"/>
    <w:rsid w:val="0050348C"/>
    <w:rsid w:val="0050355B"/>
    <w:rsid w:val="0050361F"/>
    <w:rsid w:val="005036FA"/>
    <w:rsid w:val="0050392F"/>
    <w:rsid w:val="00503A41"/>
    <w:rsid w:val="00503B28"/>
    <w:rsid w:val="00503B31"/>
    <w:rsid w:val="00503D96"/>
    <w:rsid w:val="00503F17"/>
    <w:rsid w:val="00503F3A"/>
    <w:rsid w:val="00504231"/>
    <w:rsid w:val="00504287"/>
    <w:rsid w:val="0050456F"/>
    <w:rsid w:val="005045D2"/>
    <w:rsid w:val="00504631"/>
    <w:rsid w:val="00504F9B"/>
    <w:rsid w:val="00505069"/>
    <w:rsid w:val="0050557B"/>
    <w:rsid w:val="0050576C"/>
    <w:rsid w:val="0050581D"/>
    <w:rsid w:val="00505844"/>
    <w:rsid w:val="00505A9B"/>
    <w:rsid w:val="00505EAD"/>
    <w:rsid w:val="00505F1E"/>
    <w:rsid w:val="00506096"/>
    <w:rsid w:val="00506124"/>
    <w:rsid w:val="0050632F"/>
    <w:rsid w:val="00506332"/>
    <w:rsid w:val="00506378"/>
    <w:rsid w:val="00506928"/>
    <w:rsid w:val="0050708F"/>
    <w:rsid w:val="005070A2"/>
    <w:rsid w:val="005071F1"/>
    <w:rsid w:val="005073D8"/>
    <w:rsid w:val="00507419"/>
    <w:rsid w:val="005074C2"/>
    <w:rsid w:val="0050751C"/>
    <w:rsid w:val="00507573"/>
    <w:rsid w:val="005077EF"/>
    <w:rsid w:val="005077F7"/>
    <w:rsid w:val="005078FA"/>
    <w:rsid w:val="00507D8C"/>
    <w:rsid w:val="00507EBF"/>
    <w:rsid w:val="00507FB5"/>
    <w:rsid w:val="005102B9"/>
    <w:rsid w:val="00510323"/>
    <w:rsid w:val="0051074E"/>
    <w:rsid w:val="00510B19"/>
    <w:rsid w:val="00510B62"/>
    <w:rsid w:val="00511075"/>
    <w:rsid w:val="00511711"/>
    <w:rsid w:val="005118F2"/>
    <w:rsid w:val="00511989"/>
    <w:rsid w:val="00511A18"/>
    <w:rsid w:val="00511AD5"/>
    <w:rsid w:val="00511D59"/>
    <w:rsid w:val="00511DC7"/>
    <w:rsid w:val="00511EE4"/>
    <w:rsid w:val="005121D5"/>
    <w:rsid w:val="005124A9"/>
    <w:rsid w:val="005126EF"/>
    <w:rsid w:val="0051271B"/>
    <w:rsid w:val="005128FD"/>
    <w:rsid w:val="0051291F"/>
    <w:rsid w:val="00512AAC"/>
    <w:rsid w:val="00512B75"/>
    <w:rsid w:val="00512EF8"/>
    <w:rsid w:val="005130F8"/>
    <w:rsid w:val="00513127"/>
    <w:rsid w:val="00513241"/>
    <w:rsid w:val="00513264"/>
    <w:rsid w:val="00513293"/>
    <w:rsid w:val="005133D0"/>
    <w:rsid w:val="005134F9"/>
    <w:rsid w:val="00513519"/>
    <w:rsid w:val="0051355A"/>
    <w:rsid w:val="005135AD"/>
    <w:rsid w:val="00513773"/>
    <w:rsid w:val="0051389F"/>
    <w:rsid w:val="00513916"/>
    <w:rsid w:val="00513A98"/>
    <w:rsid w:val="00513D08"/>
    <w:rsid w:val="00514290"/>
    <w:rsid w:val="005142C5"/>
    <w:rsid w:val="005145CE"/>
    <w:rsid w:val="0051479B"/>
    <w:rsid w:val="005148CA"/>
    <w:rsid w:val="005149E3"/>
    <w:rsid w:val="00514A38"/>
    <w:rsid w:val="00514D0C"/>
    <w:rsid w:val="00514D2C"/>
    <w:rsid w:val="00514E33"/>
    <w:rsid w:val="00514EB5"/>
    <w:rsid w:val="00514FCE"/>
    <w:rsid w:val="0051501B"/>
    <w:rsid w:val="00515156"/>
    <w:rsid w:val="005152B5"/>
    <w:rsid w:val="00515427"/>
    <w:rsid w:val="00515436"/>
    <w:rsid w:val="005154EA"/>
    <w:rsid w:val="00515591"/>
    <w:rsid w:val="005155D3"/>
    <w:rsid w:val="0051575D"/>
    <w:rsid w:val="00515886"/>
    <w:rsid w:val="005159B8"/>
    <w:rsid w:val="00515A99"/>
    <w:rsid w:val="00515B40"/>
    <w:rsid w:val="00515E23"/>
    <w:rsid w:val="00516260"/>
    <w:rsid w:val="00516359"/>
    <w:rsid w:val="00516415"/>
    <w:rsid w:val="005166C7"/>
    <w:rsid w:val="0051673B"/>
    <w:rsid w:val="00516822"/>
    <w:rsid w:val="005168EE"/>
    <w:rsid w:val="00516C2A"/>
    <w:rsid w:val="00516C33"/>
    <w:rsid w:val="00516C4F"/>
    <w:rsid w:val="00516D11"/>
    <w:rsid w:val="00516EF3"/>
    <w:rsid w:val="00517023"/>
    <w:rsid w:val="005170AB"/>
    <w:rsid w:val="0051741A"/>
    <w:rsid w:val="00517870"/>
    <w:rsid w:val="00517C65"/>
    <w:rsid w:val="00517D19"/>
    <w:rsid w:val="00517EFA"/>
    <w:rsid w:val="00520107"/>
    <w:rsid w:val="005202B3"/>
    <w:rsid w:val="005203FA"/>
    <w:rsid w:val="00520604"/>
    <w:rsid w:val="00520694"/>
    <w:rsid w:val="005206B8"/>
    <w:rsid w:val="0052090E"/>
    <w:rsid w:val="0052091E"/>
    <w:rsid w:val="00520A27"/>
    <w:rsid w:val="00520DFC"/>
    <w:rsid w:val="00520EEE"/>
    <w:rsid w:val="0052106E"/>
    <w:rsid w:val="0052123C"/>
    <w:rsid w:val="005212E8"/>
    <w:rsid w:val="00521319"/>
    <w:rsid w:val="00521531"/>
    <w:rsid w:val="00521559"/>
    <w:rsid w:val="00521632"/>
    <w:rsid w:val="0052165E"/>
    <w:rsid w:val="0052167A"/>
    <w:rsid w:val="0052185C"/>
    <w:rsid w:val="00521879"/>
    <w:rsid w:val="00521A72"/>
    <w:rsid w:val="00522016"/>
    <w:rsid w:val="00522086"/>
    <w:rsid w:val="00522290"/>
    <w:rsid w:val="005225EA"/>
    <w:rsid w:val="005227E8"/>
    <w:rsid w:val="00522801"/>
    <w:rsid w:val="00522884"/>
    <w:rsid w:val="005228B6"/>
    <w:rsid w:val="00522944"/>
    <w:rsid w:val="00522A6A"/>
    <w:rsid w:val="00522BC8"/>
    <w:rsid w:val="00523028"/>
    <w:rsid w:val="005234C2"/>
    <w:rsid w:val="005235E7"/>
    <w:rsid w:val="005237D3"/>
    <w:rsid w:val="005238E2"/>
    <w:rsid w:val="0052395E"/>
    <w:rsid w:val="005239C8"/>
    <w:rsid w:val="00523C28"/>
    <w:rsid w:val="00523D8C"/>
    <w:rsid w:val="00523E3A"/>
    <w:rsid w:val="00523F50"/>
    <w:rsid w:val="00524112"/>
    <w:rsid w:val="005241B7"/>
    <w:rsid w:val="005241CA"/>
    <w:rsid w:val="005242B8"/>
    <w:rsid w:val="005244F3"/>
    <w:rsid w:val="0052452A"/>
    <w:rsid w:val="0052476E"/>
    <w:rsid w:val="005247A3"/>
    <w:rsid w:val="00524816"/>
    <w:rsid w:val="00524ADC"/>
    <w:rsid w:val="00525351"/>
    <w:rsid w:val="00525385"/>
    <w:rsid w:val="005254D8"/>
    <w:rsid w:val="00525574"/>
    <w:rsid w:val="0052578C"/>
    <w:rsid w:val="00525A72"/>
    <w:rsid w:val="00525C85"/>
    <w:rsid w:val="00525E1F"/>
    <w:rsid w:val="00525EF4"/>
    <w:rsid w:val="00526444"/>
    <w:rsid w:val="00526802"/>
    <w:rsid w:val="0052686C"/>
    <w:rsid w:val="00526A20"/>
    <w:rsid w:val="00526AF7"/>
    <w:rsid w:val="00526B9D"/>
    <w:rsid w:val="00526C0D"/>
    <w:rsid w:val="00526C89"/>
    <w:rsid w:val="00526E63"/>
    <w:rsid w:val="00526ECE"/>
    <w:rsid w:val="005275DA"/>
    <w:rsid w:val="0052765C"/>
    <w:rsid w:val="00527716"/>
    <w:rsid w:val="0052776C"/>
    <w:rsid w:val="00527958"/>
    <w:rsid w:val="00527A37"/>
    <w:rsid w:val="00527B6A"/>
    <w:rsid w:val="00527CC3"/>
    <w:rsid w:val="00527EC0"/>
    <w:rsid w:val="00530039"/>
    <w:rsid w:val="00530195"/>
    <w:rsid w:val="005302C4"/>
    <w:rsid w:val="0053051B"/>
    <w:rsid w:val="00530B3F"/>
    <w:rsid w:val="00530E40"/>
    <w:rsid w:val="00530F51"/>
    <w:rsid w:val="00531052"/>
    <w:rsid w:val="00531097"/>
    <w:rsid w:val="00531162"/>
    <w:rsid w:val="005311B5"/>
    <w:rsid w:val="00531218"/>
    <w:rsid w:val="0053122B"/>
    <w:rsid w:val="005316A8"/>
    <w:rsid w:val="0053173E"/>
    <w:rsid w:val="0053176B"/>
    <w:rsid w:val="00531835"/>
    <w:rsid w:val="005319BD"/>
    <w:rsid w:val="005319DC"/>
    <w:rsid w:val="00531CBD"/>
    <w:rsid w:val="00531D03"/>
    <w:rsid w:val="005320BB"/>
    <w:rsid w:val="00532188"/>
    <w:rsid w:val="005322F4"/>
    <w:rsid w:val="0053247A"/>
    <w:rsid w:val="00532681"/>
    <w:rsid w:val="005327B0"/>
    <w:rsid w:val="005328A8"/>
    <w:rsid w:val="00532DEE"/>
    <w:rsid w:val="0053321D"/>
    <w:rsid w:val="00533246"/>
    <w:rsid w:val="00533493"/>
    <w:rsid w:val="005337D7"/>
    <w:rsid w:val="00533816"/>
    <w:rsid w:val="00533BB9"/>
    <w:rsid w:val="00533EA4"/>
    <w:rsid w:val="005341B3"/>
    <w:rsid w:val="00534363"/>
    <w:rsid w:val="005343B9"/>
    <w:rsid w:val="005343EA"/>
    <w:rsid w:val="0053447A"/>
    <w:rsid w:val="0053461C"/>
    <w:rsid w:val="00534898"/>
    <w:rsid w:val="00534C59"/>
    <w:rsid w:val="00534E7B"/>
    <w:rsid w:val="00534EA2"/>
    <w:rsid w:val="00534FB1"/>
    <w:rsid w:val="00535029"/>
    <w:rsid w:val="00535358"/>
    <w:rsid w:val="005354CE"/>
    <w:rsid w:val="00535654"/>
    <w:rsid w:val="00535811"/>
    <w:rsid w:val="00535A3E"/>
    <w:rsid w:val="00535C1C"/>
    <w:rsid w:val="00535EB6"/>
    <w:rsid w:val="00535F42"/>
    <w:rsid w:val="00535FC3"/>
    <w:rsid w:val="0053630B"/>
    <w:rsid w:val="00536395"/>
    <w:rsid w:val="005363EA"/>
    <w:rsid w:val="005366DA"/>
    <w:rsid w:val="0053687A"/>
    <w:rsid w:val="005368FC"/>
    <w:rsid w:val="005369AC"/>
    <w:rsid w:val="00536AC7"/>
    <w:rsid w:val="00536AF0"/>
    <w:rsid w:val="00536C37"/>
    <w:rsid w:val="00536C44"/>
    <w:rsid w:val="00536CE8"/>
    <w:rsid w:val="00536D50"/>
    <w:rsid w:val="00536D60"/>
    <w:rsid w:val="00536EA6"/>
    <w:rsid w:val="00536F42"/>
    <w:rsid w:val="0053700E"/>
    <w:rsid w:val="00537182"/>
    <w:rsid w:val="005372EC"/>
    <w:rsid w:val="00537329"/>
    <w:rsid w:val="005373E2"/>
    <w:rsid w:val="00537415"/>
    <w:rsid w:val="0053786F"/>
    <w:rsid w:val="005379C6"/>
    <w:rsid w:val="00537B43"/>
    <w:rsid w:val="0054049B"/>
    <w:rsid w:val="005406B8"/>
    <w:rsid w:val="00540931"/>
    <w:rsid w:val="00540A4B"/>
    <w:rsid w:val="00540B82"/>
    <w:rsid w:val="00540E15"/>
    <w:rsid w:val="00540EE6"/>
    <w:rsid w:val="005415B8"/>
    <w:rsid w:val="005416E9"/>
    <w:rsid w:val="00541CDB"/>
    <w:rsid w:val="00541CE3"/>
    <w:rsid w:val="00541D3A"/>
    <w:rsid w:val="00541E87"/>
    <w:rsid w:val="00541EDD"/>
    <w:rsid w:val="00542186"/>
    <w:rsid w:val="005421B2"/>
    <w:rsid w:val="00542306"/>
    <w:rsid w:val="00542400"/>
    <w:rsid w:val="005424FB"/>
    <w:rsid w:val="005425DD"/>
    <w:rsid w:val="0054265D"/>
    <w:rsid w:val="00542743"/>
    <w:rsid w:val="0054279B"/>
    <w:rsid w:val="0054288F"/>
    <w:rsid w:val="00542B30"/>
    <w:rsid w:val="00542B80"/>
    <w:rsid w:val="00542C2D"/>
    <w:rsid w:val="00542C73"/>
    <w:rsid w:val="00542E96"/>
    <w:rsid w:val="00542FAF"/>
    <w:rsid w:val="005432B3"/>
    <w:rsid w:val="0054335D"/>
    <w:rsid w:val="00543484"/>
    <w:rsid w:val="00543873"/>
    <w:rsid w:val="005438E8"/>
    <w:rsid w:val="005438FF"/>
    <w:rsid w:val="005439C4"/>
    <w:rsid w:val="005439F4"/>
    <w:rsid w:val="00543BE3"/>
    <w:rsid w:val="00543EE0"/>
    <w:rsid w:val="00544058"/>
    <w:rsid w:val="005441DA"/>
    <w:rsid w:val="0054428C"/>
    <w:rsid w:val="0054488C"/>
    <w:rsid w:val="0054491B"/>
    <w:rsid w:val="00544AF9"/>
    <w:rsid w:val="00544B4D"/>
    <w:rsid w:val="00545029"/>
    <w:rsid w:val="005450E5"/>
    <w:rsid w:val="00545418"/>
    <w:rsid w:val="00545439"/>
    <w:rsid w:val="005454F4"/>
    <w:rsid w:val="005458CD"/>
    <w:rsid w:val="00545B67"/>
    <w:rsid w:val="00545EB5"/>
    <w:rsid w:val="00545F37"/>
    <w:rsid w:val="0054647B"/>
    <w:rsid w:val="00546574"/>
    <w:rsid w:val="00546940"/>
    <w:rsid w:val="00546B01"/>
    <w:rsid w:val="00546BB6"/>
    <w:rsid w:val="00546BC2"/>
    <w:rsid w:val="00546C45"/>
    <w:rsid w:val="00546D8D"/>
    <w:rsid w:val="00546DEE"/>
    <w:rsid w:val="00546EF0"/>
    <w:rsid w:val="005470D9"/>
    <w:rsid w:val="005472FD"/>
    <w:rsid w:val="005473EA"/>
    <w:rsid w:val="005474C8"/>
    <w:rsid w:val="00547638"/>
    <w:rsid w:val="0054781F"/>
    <w:rsid w:val="00547860"/>
    <w:rsid w:val="005478BD"/>
    <w:rsid w:val="005479E3"/>
    <w:rsid w:val="00547A6D"/>
    <w:rsid w:val="00547F02"/>
    <w:rsid w:val="00550172"/>
    <w:rsid w:val="0055025F"/>
    <w:rsid w:val="0055027E"/>
    <w:rsid w:val="005503EF"/>
    <w:rsid w:val="005506C0"/>
    <w:rsid w:val="00550A6A"/>
    <w:rsid w:val="00550B78"/>
    <w:rsid w:val="00551065"/>
    <w:rsid w:val="005517B4"/>
    <w:rsid w:val="00551985"/>
    <w:rsid w:val="00551B5E"/>
    <w:rsid w:val="00551DE5"/>
    <w:rsid w:val="00551ECB"/>
    <w:rsid w:val="00552157"/>
    <w:rsid w:val="00552224"/>
    <w:rsid w:val="00552233"/>
    <w:rsid w:val="005523A4"/>
    <w:rsid w:val="00552410"/>
    <w:rsid w:val="00552A78"/>
    <w:rsid w:val="00552AE5"/>
    <w:rsid w:val="00552BD3"/>
    <w:rsid w:val="00552D2C"/>
    <w:rsid w:val="005532A0"/>
    <w:rsid w:val="005532CE"/>
    <w:rsid w:val="0055362D"/>
    <w:rsid w:val="005536DF"/>
    <w:rsid w:val="0055373E"/>
    <w:rsid w:val="00553750"/>
    <w:rsid w:val="005537C9"/>
    <w:rsid w:val="0055398B"/>
    <w:rsid w:val="00554050"/>
    <w:rsid w:val="00554062"/>
    <w:rsid w:val="0055441D"/>
    <w:rsid w:val="0055446D"/>
    <w:rsid w:val="0055475C"/>
    <w:rsid w:val="00554C03"/>
    <w:rsid w:val="00554CAE"/>
    <w:rsid w:val="00554D8F"/>
    <w:rsid w:val="00554EAE"/>
    <w:rsid w:val="00555109"/>
    <w:rsid w:val="00555167"/>
    <w:rsid w:val="0055523F"/>
    <w:rsid w:val="0055527B"/>
    <w:rsid w:val="005552C2"/>
    <w:rsid w:val="0055547A"/>
    <w:rsid w:val="005556C5"/>
    <w:rsid w:val="005558F5"/>
    <w:rsid w:val="0055593F"/>
    <w:rsid w:val="00555AF3"/>
    <w:rsid w:val="00555BAA"/>
    <w:rsid w:val="00555D79"/>
    <w:rsid w:val="00555F43"/>
    <w:rsid w:val="005561A2"/>
    <w:rsid w:val="0055621D"/>
    <w:rsid w:val="00556709"/>
    <w:rsid w:val="00556B35"/>
    <w:rsid w:val="00556B8B"/>
    <w:rsid w:val="00556C8D"/>
    <w:rsid w:val="00556CE9"/>
    <w:rsid w:val="00556D96"/>
    <w:rsid w:val="00556EDC"/>
    <w:rsid w:val="0055728A"/>
    <w:rsid w:val="005573A9"/>
    <w:rsid w:val="0055741A"/>
    <w:rsid w:val="00557789"/>
    <w:rsid w:val="005577E7"/>
    <w:rsid w:val="00557966"/>
    <w:rsid w:val="00557A2B"/>
    <w:rsid w:val="00557AB6"/>
    <w:rsid w:val="00557B75"/>
    <w:rsid w:val="00557D67"/>
    <w:rsid w:val="00557E9F"/>
    <w:rsid w:val="00560001"/>
    <w:rsid w:val="005600D5"/>
    <w:rsid w:val="005601EB"/>
    <w:rsid w:val="00560246"/>
    <w:rsid w:val="005607A6"/>
    <w:rsid w:val="005608E6"/>
    <w:rsid w:val="00560990"/>
    <w:rsid w:val="00560A55"/>
    <w:rsid w:val="00560B74"/>
    <w:rsid w:val="00560BD2"/>
    <w:rsid w:val="00560C44"/>
    <w:rsid w:val="00560E35"/>
    <w:rsid w:val="00560E72"/>
    <w:rsid w:val="00560EDB"/>
    <w:rsid w:val="005610D9"/>
    <w:rsid w:val="005611B7"/>
    <w:rsid w:val="005611B9"/>
    <w:rsid w:val="0056144D"/>
    <w:rsid w:val="0056147F"/>
    <w:rsid w:val="005614A7"/>
    <w:rsid w:val="00561515"/>
    <w:rsid w:val="005615D6"/>
    <w:rsid w:val="00561742"/>
    <w:rsid w:val="005618D4"/>
    <w:rsid w:val="00561905"/>
    <w:rsid w:val="0056191C"/>
    <w:rsid w:val="00561944"/>
    <w:rsid w:val="00561A9F"/>
    <w:rsid w:val="00561D43"/>
    <w:rsid w:val="00562138"/>
    <w:rsid w:val="00562218"/>
    <w:rsid w:val="00562499"/>
    <w:rsid w:val="00562600"/>
    <w:rsid w:val="005628A7"/>
    <w:rsid w:val="0056356F"/>
    <w:rsid w:val="00563767"/>
    <w:rsid w:val="0056377F"/>
    <w:rsid w:val="005639F5"/>
    <w:rsid w:val="00563ABB"/>
    <w:rsid w:val="00563AE3"/>
    <w:rsid w:val="00563B09"/>
    <w:rsid w:val="00563C1D"/>
    <w:rsid w:val="00563C28"/>
    <w:rsid w:val="00563E1F"/>
    <w:rsid w:val="0056462F"/>
    <w:rsid w:val="00564867"/>
    <w:rsid w:val="00564880"/>
    <w:rsid w:val="00564900"/>
    <w:rsid w:val="00564920"/>
    <w:rsid w:val="00564A0C"/>
    <w:rsid w:val="00564B78"/>
    <w:rsid w:val="00564BE5"/>
    <w:rsid w:val="00564F31"/>
    <w:rsid w:val="00564F5F"/>
    <w:rsid w:val="0056516C"/>
    <w:rsid w:val="0056543B"/>
    <w:rsid w:val="005655BE"/>
    <w:rsid w:val="0056589B"/>
    <w:rsid w:val="005659CA"/>
    <w:rsid w:val="00565A31"/>
    <w:rsid w:val="00565C79"/>
    <w:rsid w:val="00565CD6"/>
    <w:rsid w:val="00565DF0"/>
    <w:rsid w:val="00565EA2"/>
    <w:rsid w:val="00565F9C"/>
    <w:rsid w:val="00566056"/>
    <w:rsid w:val="0056612B"/>
    <w:rsid w:val="00566383"/>
    <w:rsid w:val="0056657B"/>
    <w:rsid w:val="00566679"/>
    <w:rsid w:val="0056694E"/>
    <w:rsid w:val="0056696F"/>
    <w:rsid w:val="00566970"/>
    <w:rsid w:val="0056697F"/>
    <w:rsid w:val="00566C06"/>
    <w:rsid w:val="00566F3D"/>
    <w:rsid w:val="00566FCD"/>
    <w:rsid w:val="00567066"/>
    <w:rsid w:val="0056747E"/>
    <w:rsid w:val="005674BE"/>
    <w:rsid w:val="0056778B"/>
    <w:rsid w:val="005677FF"/>
    <w:rsid w:val="005678A3"/>
    <w:rsid w:val="00567AB2"/>
    <w:rsid w:val="00567AD9"/>
    <w:rsid w:val="00567B04"/>
    <w:rsid w:val="00567C64"/>
    <w:rsid w:val="00567E3C"/>
    <w:rsid w:val="00570000"/>
    <w:rsid w:val="00570183"/>
    <w:rsid w:val="00570261"/>
    <w:rsid w:val="00570380"/>
    <w:rsid w:val="005703FB"/>
    <w:rsid w:val="00570603"/>
    <w:rsid w:val="00570753"/>
    <w:rsid w:val="005709B7"/>
    <w:rsid w:val="00570C36"/>
    <w:rsid w:val="00570C49"/>
    <w:rsid w:val="00570DF3"/>
    <w:rsid w:val="00571096"/>
    <w:rsid w:val="005711F8"/>
    <w:rsid w:val="00571250"/>
    <w:rsid w:val="005712ED"/>
    <w:rsid w:val="00571328"/>
    <w:rsid w:val="00571554"/>
    <w:rsid w:val="005715FD"/>
    <w:rsid w:val="00571BFA"/>
    <w:rsid w:val="00571E01"/>
    <w:rsid w:val="00571EA7"/>
    <w:rsid w:val="00571F93"/>
    <w:rsid w:val="00571FF8"/>
    <w:rsid w:val="00572197"/>
    <w:rsid w:val="005721B5"/>
    <w:rsid w:val="00572269"/>
    <w:rsid w:val="00572358"/>
    <w:rsid w:val="0057240B"/>
    <w:rsid w:val="0057244A"/>
    <w:rsid w:val="005725EF"/>
    <w:rsid w:val="0057260F"/>
    <w:rsid w:val="005727A9"/>
    <w:rsid w:val="00572879"/>
    <w:rsid w:val="00572A1C"/>
    <w:rsid w:val="00572A9B"/>
    <w:rsid w:val="00572DDA"/>
    <w:rsid w:val="00572F1F"/>
    <w:rsid w:val="00572F26"/>
    <w:rsid w:val="0057305B"/>
    <w:rsid w:val="005732D3"/>
    <w:rsid w:val="00573374"/>
    <w:rsid w:val="005733DE"/>
    <w:rsid w:val="00573412"/>
    <w:rsid w:val="005735A4"/>
    <w:rsid w:val="00573D0D"/>
    <w:rsid w:val="00573E88"/>
    <w:rsid w:val="00573F31"/>
    <w:rsid w:val="00574028"/>
    <w:rsid w:val="0057435F"/>
    <w:rsid w:val="005743E0"/>
    <w:rsid w:val="0057442E"/>
    <w:rsid w:val="00574497"/>
    <w:rsid w:val="0057452F"/>
    <w:rsid w:val="00574BAD"/>
    <w:rsid w:val="00574CE2"/>
    <w:rsid w:val="00574DC1"/>
    <w:rsid w:val="00574ECB"/>
    <w:rsid w:val="005750C5"/>
    <w:rsid w:val="005751E5"/>
    <w:rsid w:val="005752DE"/>
    <w:rsid w:val="005753C9"/>
    <w:rsid w:val="005754E2"/>
    <w:rsid w:val="00575982"/>
    <w:rsid w:val="00575B97"/>
    <w:rsid w:val="00575D60"/>
    <w:rsid w:val="00575D7B"/>
    <w:rsid w:val="00575D8D"/>
    <w:rsid w:val="0057658A"/>
    <w:rsid w:val="00576631"/>
    <w:rsid w:val="005766AF"/>
    <w:rsid w:val="005768C0"/>
    <w:rsid w:val="00576972"/>
    <w:rsid w:val="005769D9"/>
    <w:rsid w:val="00576C89"/>
    <w:rsid w:val="00576D51"/>
    <w:rsid w:val="00576DBA"/>
    <w:rsid w:val="00576FD9"/>
    <w:rsid w:val="005771CD"/>
    <w:rsid w:val="00577248"/>
    <w:rsid w:val="00577281"/>
    <w:rsid w:val="00577395"/>
    <w:rsid w:val="005773C7"/>
    <w:rsid w:val="0057759A"/>
    <w:rsid w:val="005775F9"/>
    <w:rsid w:val="0057761E"/>
    <w:rsid w:val="005776D3"/>
    <w:rsid w:val="0057787B"/>
    <w:rsid w:val="0057788B"/>
    <w:rsid w:val="0057793D"/>
    <w:rsid w:val="00577971"/>
    <w:rsid w:val="00577AEB"/>
    <w:rsid w:val="00577B6D"/>
    <w:rsid w:val="00577C3F"/>
    <w:rsid w:val="00577C48"/>
    <w:rsid w:val="00577D16"/>
    <w:rsid w:val="00577F44"/>
    <w:rsid w:val="00580026"/>
    <w:rsid w:val="00580133"/>
    <w:rsid w:val="0058023F"/>
    <w:rsid w:val="005803D1"/>
    <w:rsid w:val="00580428"/>
    <w:rsid w:val="00580735"/>
    <w:rsid w:val="00580C61"/>
    <w:rsid w:val="00580FB2"/>
    <w:rsid w:val="00580FD1"/>
    <w:rsid w:val="00581066"/>
    <w:rsid w:val="005812B2"/>
    <w:rsid w:val="005813EC"/>
    <w:rsid w:val="00581580"/>
    <w:rsid w:val="005816A9"/>
    <w:rsid w:val="00581875"/>
    <w:rsid w:val="0058195D"/>
    <w:rsid w:val="0058208E"/>
    <w:rsid w:val="005820BA"/>
    <w:rsid w:val="00582272"/>
    <w:rsid w:val="00582288"/>
    <w:rsid w:val="005823DD"/>
    <w:rsid w:val="005824F1"/>
    <w:rsid w:val="0058256F"/>
    <w:rsid w:val="00582675"/>
    <w:rsid w:val="0058269D"/>
    <w:rsid w:val="00582724"/>
    <w:rsid w:val="00582804"/>
    <w:rsid w:val="00582873"/>
    <w:rsid w:val="00582B34"/>
    <w:rsid w:val="00582B47"/>
    <w:rsid w:val="00582FDE"/>
    <w:rsid w:val="0058321D"/>
    <w:rsid w:val="00583431"/>
    <w:rsid w:val="005834A4"/>
    <w:rsid w:val="00583699"/>
    <w:rsid w:val="00583A91"/>
    <w:rsid w:val="00583AF7"/>
    <w:rsid w:val="00583BCD"/>
    <w:rsid w:val="00583D0F"/>
    <w:rsid w:val="005840B0"/>
    <w:rsid w:val="0058443E"/>
    <w:rsid w:val="00584688"/>
    <w:rsid w:val="00584E7F"/>
    <w:rsid w:val="00585023"/>
    <w:rsid w:val="005855D5"/>
    <w:rsid w:val="005856EC"/>
    <w:rsid w:val="005857E2"/>
    <w:rsid w:val="005857EF"/>
    <w:rsid w:val="00585810"/>
    <w:rsid w:val="005858B7"/>
    <w:rsid w:val="00585A98"/>
    <w:rsid w:val="00585CDD"/>
    <w:rsid w:val="00585CF2"/>
    <w:rsid w:val="00585DF6"/>
    <w:rsid w:val="00585EF2"/>
    <w:rsid w:val="00585EFA"/>
    <w:rsid w:val="005860B8"/>
    <w:rsid w:val="00586292"/>
    <w:rsid w:val="005863B1"/>
    <w:rsid w:val="0058645D"/>
    <w:rsid w:val="0058656D"/>
    <w:rsid w:val="00586755"/>
    <w:rsid w:val="00586764"/>
    <w:rsid w:val="005867EC"/>
    <w:rsid w:val="005868E8"/>
    <w:rsid w:val="00586D47"/>
    <w:rsid w:val="00587058"/>
    <w:rsid w:val="005871E4"/>
    <w:rsid w:val="005871F8"/>
    <w:rsid w:val="00587288"/>
    <w:rsid w:val="0058732A"/>
    <w:rsid w:val="00587387"/>
    <w:rsid w:val="00587A1C"/>
    <w:rsid w:val="00587A7E"/>
    <w:rsid w:val="00587CD4"/>
    <w:rsid w:val="00587DC5"/>
    <w:rsid w:val="00587DD0"/>
    <w:rsid w:val="00587DFD"/>
    <w:rsid w:val="005901AB"/>
    <w:rsid w:val="005901B9"/>
    <w:rsid w:val="005901BE"/>
    <w:rsid w:val="00590241"/>
    <w:rsid w:val="0059047E"/>
    <w:rsid w:val="0059054C"/>
    <w:rsid w:val="0059054F"/>
    <w:rsid w:val="00590C60"/>
    <w:rsid w:val="00590EF9"/>
    <w:rsid w:val="00591204"/>
    <w:rsid w:val="005913C0"/>
    <w:rsid w:val="005915D6"/>
    <w:rsid w:val="00591623"/>
    <w:rsid w:val="00591957"/>
    <w:rsid w:val="00591A36"/>
    <w:rsid w:val="00591AA0"/>
    <w:rsid w:val="00591EA5"/>
    <w:rsid w:val="00591FE6"/>
    <w:rsid w:val="005920B6"/>
    <w:rsid w:val="0059211A"/>
    <w:rsid w:val="005922F5"/>
    <w:rsid w:val="0059293C"/>
    <w:rsid w:val="00592B6B"/>
    <w:rsid w:val="00592D42"/>
    <w:rsid w:val="00592DF9"/>
    <w:rsid w:val="00592EA1"/>
    <w:rsid w:val="00592F97"/>
    <w:rsid w:val="00592FFA"/>
    <w:rsid w:val="00593116"/>
    <w:rsid w:val="00593355"/>
    <w:rsid w:val="00593452"/>
    <w:rsid w:val="00593685"/>
    <w:rsid w:val="005937E0"/>
    <w:rsid w:val="00593A62"/>
    <w:rsid w:val="00593A68"/>
    <w:rsid w:val="00593AB3"/>
    <w:rsid w:val="00593BAC"/>
    <w:rsid w:val="00593EA2"/>
    <w:rsid w:val="00593FF9"/>
    <w:rsid w:val="00594033"/>
    <w:rsid w:val="005943AD"/>
    <w:rsid w:val="005945AA"/>
    <w:rsid w:val="0059465B"/>
    <w:rsid w:val="00594778"/>
    <w:rsid w:val="0059483D"/>
    <w:rsid w:val="00594898"/>
    <w:rsid w:val="00594BFB"/>
    <w:rsid w:val="005950AC"/>
    <w:rsid w:val="00595305"/>
    <w:rsid w:val="00595330"/>
    <w:rsid w:val="00595548"/>
    <w:rsid w:val="00595701"/>
    <w:rsid w:val="00595870"/>
    <w:rsid w:val="00595A90"/>
    <w:rsid w:val="00595ADE"/>
    <w:rsid w:val="00595B45"/>
    <w:rsid w:val="00595B85"/>
    <w:rsid w:val="00595C91"/>
    <w:rsid w:val="00595D85"/>
    <w:rsid w:val="00595DB3"/>
    <w:rsid w:val="00595DBF"/>
    <w:rsid w:val="00595E76"/>
    <w:rsid w:val="00595EC3"/>
    <w:rsid w:val="00595FDC"/>
    <w:rsid w:val="00596532"/>
    <w:rsid w:val="0059653B"/>
    <w:rsid w:val="00596741"/>
    <w:rsid w:val="005967EC"/>
    <w:rsid w:val="0059691F"/>
    <w:rsid w:val="00596BDB"/>
    <w:rsid w:val="00596CFC"/>
    <w:rsid w:val="00596D55"/>
    <w:rsid w:val="005970B3"/>
    <w:rsid w:val="0059723A"/>
    <w:rsid w:val="0059747D"/>
    <w:rsid w:val="00597686"/>
    <w:rsid w:val="005977B3"/>
    <w:rsid w:val="00597802"/>
    <w:rsid w:val="00597A1D"/>
    <w:rsid w:val="00597BF9"/>
    <w:rsid w:val="00597C9C"/>
    <w:rsid w:val="00597CD8"/>
    <w:rsid w:val="00597CEF"/>
    <w:rsid w:val="00597F17"/>
    <w:rsid w:val="005A044A"/>
    <w:rsid w:val="005A05B5"/>
    <w:rsid w:val="005A05BF"/>
    <w:rsid w:val="005A0675"/>
    <w:rsid w:val="005A06AA"/>
    <w:rsid w:val="005A06CF"/>
    <w:rsid w:val="005A08AA"/>
    <w:rsid w:val="005A0ABE"/>
    <w:rsid w:val="005A0B2B"/>
    <w:rsid w:val="005A0BAA"/>
    <w:rsid w:val="005A0C11"/>
    <w:rsid w:val="005A0E7D"/>
    <w:rsid w:val="005A0F52"/>
    <w:rsid w:val="005A114B"/>
    <w:rsid w:val="005A14A0"/>
    <w:rsid w:val="005A177A"/>
    <w:rsid w:val="005A17B1"/>
    <w:rsid w:val="005A1F4C"/>
    <w:rsid w:val="005A1F75"/>
    <w:rsid w:val="005A2001"/>
    <w:rsid w:val="005A2093"/>
    <w:rsid w:val="005A2198"/>
    <w:rsid w:val="005A21E9"/>
    <w:rsid w:val="005A22E3"/>
    <w:rsid w:val="005A2308"/>
    <w:rsid w:val="005A2336"/>
    <w:rsid w:val="005A25FA"/>
    <w:rsid w:val="005A26A6"/>
    <w:rsid w:val="005A29C7"/>
    <w:rsid w:val="005A2B0F"/>
    <w:rsid w:val="005A2CC6"/>
    <w:rsid w:val="005A2E9B"/>
    <w:rsid w:val="005A2FA7"/>
    <w:rsid w:val="005A2FEF"/>
    <w:rsid w:val="005A309A"/>
    <w:rsid w:val="005A30E9"/>
    <w:rsid w:val="005A3132"/>
    <w:rsid w:val="005A3162"/>
    <w:rsid w:val="005A321B"/>
    <w:rsid w:val="005A32AD"/>
    <w:rsid w:val="005A35EC"/>
    <w:rsid w:val="005A35FE"/>
    <w:rsid w:val="005A373D"/>
    <w:rsid w:val="005A38D6"/>
    <w:rsid w:val="005A3B49"/>
    <w:rsid w:val="005A3C11"/>
    <w:rsid w:val="005A3CC5"/>
    <w:rsid w:val="005A3F60"/>
    <w:rsid w:val="005A40C4"/>
    <w:rsid w:val="005A438B"/>
    <w:rsid w:val="005A4399"/>
    <w:rsid w:val="005A43DB"/>
    <w:rsid w:val="005A4625"/>
    <w:rsid w:val="005A4630"/>
    <w:rsid w:val="005A463B"/>
    <w:rsid w:val="005A4661"/>
    <w:rsid w:val="005A46F3"/>
    <w:rsid w:val="005A48F1"/>
    <w:rsid w:val="005A49E6"/>
    <w:rsid w:val="005A4B5F"/>
    <w:rsid w:val="005A4B96"/>
    <w:rsid w:val="005A4E0C"/>
    <w:rsid w:val="005A5183"/>
    <w:rsid w:val="005A53BD"/>
    <w:rsid w:val="005A5708"/>
    <w:rsid w:val="005A5718"/>
    <w:rsid w:val="005A5A2C"/>
    <w:rsid w:val="005A5BB1"/>
    <w:rsid w:val="005A5CDC"/>
    <w:rsid w:val="005A5E06"/>
    <w:rsid w:val="005A62B2"/>
    <w:rsid w:val="005A6564"/>
    <w:rsid w:val="005A6702"/>
    <w:rsid w:val="005A6798"/>
    <w:rsid w:val="005A6859"/>
    <w:rsid w:val="005A69A7"/>
    <w:rsid w:val="005A6C60"/>
    <w:rsid w:val="005A6D9E"/>
    <w:rsid w:val="005A6E9D"/>
    <w:rsid w:val="005A6EA5"/>
    <w:rsid w:val="005A6EB4"/>
    <w:rsid w:val="005A7779"/>
    <w:rsid w:val="005A78C4"/>
    <w:rsid w:val="005A79B7"/>
    <w:rsid w:val="005A7CC4"/>
    <w:rsid w:val="005B01CD"/>
    <w:rsid w:val="005B0371"/>
    <w:rsid w:val="005B0403"/>
    <w:rsid w:val="005B04EE"/>
    <w:rsid w:val="005B0613"/>
    <w:rsid w:val="005B06CC"/>
    <w:rsid w:val="005B0B58"/>
    <w:rsid w:val="005B0B88"/>
    <w:rsid w:val="005B0BD7"/>
    <w:rsid w:val="005B0C56"/>
    <w:rsid w:val="005B1400"/>
    <w:rsid w:val="005B1A08"/>
    <w:rsid w:val="005B1C4D"/>
    <w:rsid w:val="005B1D11"/>
    <w:rsid w:val="005B1D80"/>
    <w:rsid w:val="005B1F01"/>
    <w:rsid w:val="005B1F9B"/>
    <w:rsid w:val="005B23CE"/>
    <w:rsid w:val="005B23FE"/>
    <w:rsid w:val="005B2718"/>
    <w:rsid w:val="005B2A63"/>
    <w:rsid w:val="005B2C8D"/>
    <w:rsid w:val="005B2D13"/>
    <w:rsid w:val="005B2D2C"/>
    <w:rsid w:val="005B2F5C"/>
    <w:rsid w:val="005B3026"/>
    <w:rsid w:val="005B31D2"/>
    <w:rsid w:val="005B34C7"/>
    <w:rsid w:val="005B357E"/>
    <w:rsid w:val="005B37A9"/>
    <w:rsid w:val="005B37DF"/>
    <w:rsid w:val="005B3879"/>
    <w:rsid w:val="005B38F9"/>
    <w:rsid w:val="005B3A73"/>
    <w:rsid w:val="005B3ACF"/>
    <w:rsid w:val="005B3CA9"/>
    <w:rsid w:val="005B3EC2"/>
    <w:rsid w:val="005B4064"/>
    <w:rsid w:val="005B412C"/>
    <w:rsid w:val="005B439D"/>
    <w:rsid w:val="005B43A3"/>
    <w:rsid w:val="005B4466"/>
    <w:rsid w:val="005B45AB"/>
    <w:rsid w:val="005B45CC"/>
    <w:rsid w:val="005B4643"/>
    <w:rsid w:val="005B465B"/>
    <w:rsid w:val="005B485C"/>
    <w:rsid w:val="005B4932"/>
    <w:rsid w:val="005B4ABB"/>
    <w:rsid w:val="005B4BF8"/>
    <w:rsid w:val="005B4E53"/>
    <w:rsid w:val="005B4F7E"/>
    <w:rsid w:val="005B4FDF"/>
    <w:rsid w:val="005B506E"/>
    <w:rsid w:val="005B518D"/>
    <w:rsid w:val="005B535F"/>
    <w:rsid w:val="005B539D"/>
    <w:rsid w:val="005B54C5"/>
    <w:rsid w:val="005B550F"/>
    <w:rsid w:val="005B5544"/>
    <w:rsid w:val="005B55E9"/>
    <w:rsid w:val="005B5649"/>
    <w:rsid w:val="005B57FC"/>
    <w:rsid w:val="005B5857"/>
    <w:rsid w:val="005B58CF"/>
    <w:rsid w:val="005B5A06"/>
    <w:rsid w:val="005B5E31"/>
    <w:rsid w:val="005B5EA4"/>
    <w:rsid w:val="005B6011"/>
    <w:rsid w:val="005B61B4"/>
    <w:rsid w:val="005B64B2"/>
    <w:rsid w:val="005B66A6"/>
    <w:rsid w:val="005B6A15"/>
    <w:rsid w:val="005B6ABA"/>
    <w:rsid w:val="005B6B6D"/>
    <w:rsid w:val="005B6B70"/>
    <w:rsid w:val="005B6F00"/>
    <w:rsid w:val="005B711D"/>
    <w:rsid w:val="005B71B2"/>
    <w:rsid w:val="005B7501"/>
    <w:rsid w:val="005B771B"/>
    <w:rsid w:val="005B7814"/>
    <w:rsid w:val="005B79B0"/>
    <w:rsid w:val="005B7A16"/>
    <w:rsid w:val="005B7A37"/>
    <w:rsid w:val="005B7DC5"/>
    <w:rsid w:val="005B7E28"/>
    <w:rsid w:val="005C011F"/>
    <w:rsid w:val="005C0287"/>
    <w:rsid w:val="005C0444"/>
    <w:rsid w:val="005C0482"/>
    <w:rsid w:val="005C0C1D"/>
    <w:rsid w:val="005C0C91"/>
    <w:rsid w:val="005C0E2A"/>
    <w:rsid w:val="005C0E69"/>
    <w:rsid w:val="005C100C"/>
    <w:rsid w:val="005C1092"/>
    <w:rsid w:val="005C10B3"/>
    <w:rsid w:val="005C12F1"/>
    <w:rsid w:val="005C1571"/>
    <w:rsid w:val="005C1743"/>
    <w:rsid w:val="005C19C4"/>
    <w:rsid w:val="005C1AA0"/>
    <w:rsid w:val="005C1B83"/>
    <w:rsid w:val="005C1DF1"/>
    <w:rsid w:val="005C1E5B"/>
    <w:rsid w:val="005C21BA"/>
    <w:rsid w:val="005C2212"/>
    <w:rsid w:val="005C2292"/>
    <w:rsid w:val="005C2478"/>
    <w:rsid w:val="005C24CC"/>
    <w:rsid w:val="005C25FF"/>
    <w:rsid w:val="005C292F"/>
    <w:rsid w:val="005C29D4"/>
    <w:rsid w:val="005C2B61"/>
    <w:rsid w:val="005C2D55"/>
    <w:rsid w:val="005C2E27"/>
    <w:rsid w:val="005C2F14"/>
    <w:rsid w:val="005C3022"/>
    <w:rsid w:val="005C3412"/>
    <w:rsid w:val="005C3455"/>
    <w:rsid w:val="005C346B"/>
    <w:rsid w:val="005C360E"/>
    <w:rsid w:val="005C366B"/>
    <w:rsid w:val="005C3793"/>
    <w:rsid w:val="005C3CB2"/>
    <w:rsid w:val="005C4017"/>
    <w:rsid w:val="005C402A"/>
    <w:rsid w:val="005C42A1"/>
    <w:rsid w:val="005C4941"/>
    <w:rsid w:val="005C4F3D"/>
    <w:rsid w:val="005C5164"/>
    <w:rsid w:val="005C536D"/>
    <w:rsid w:val="005C541F"/>
    <w:rsid w:val="005C56B2"/>
    <w:rsid w:val="005C5745"/>
    <w:rsid w:val="005C58BF"/>
    <w:rsid w:val="005C58F9"/>
    <w:rsid w:val="005C5ABC"/>
    <w:rsid w:val="005C6384"/>
    <w:rsid w:val="005C68B9"/>
    <w:rsid w:val="005C68C0"/>
    <w:rsid w:val="005C6D11"/>
    <w:rsid w:val="005C6F27"/>
    <w:rsid w:val="005C707E"/>
    <w:rsid w:val="005C7130"/>
    <w:rsid w:val="005C71AB"/>
    <w:rsid w:val="005C72A8"/>
    <w:rsid w:val="005C732A"/>
    <w:rsid w:val="005C7631"/>
    <w:rsid w:val="005C79B3"/>
    <w:rsid w:val="005C7A64"/>
    <w:rsid w:val="005C7B2B"/>
    <w:rsid w:val="005C7D0D"/>
    <w:rsid w:val="005C7F6A"/>
    <w:rsid w:val="005C7F6E"/>
    <w:rsid w:val="005C7F93"/>
    <w:rsid w:val="005D0266"/>
    <w:rsid w:val="005D044D"/>
    <w:rsid w:val="005D08C2"/>
    <w:rsid w:val="005D0953"/>
    <w:rsid w:val="005D0ABD"/>
    <w:rsid w:val="005D0B8F"/>
    <w:rsid w:val="005D0CFA"/>
    <w:rsid w:val="005D0ED4"/>
    <w:rsid w:val="005D11EE"/>
    <w:rsid w:val="005D15E0"/>
    <w:rsid w:val="005D1642"/>
    <w:rsid w:val="005D1692"/>
    <w:rsid w:val="005D18AD"/>
    <w:rsid w:val="005D18E0"/>
    <w:rsid w:val="005D19B5"/>
    <w:rsid w:val="005D1B4F"/>
    <w:rsid w:val="005D1EDB"/>
    <w:rsid w:val="005D205D"/>
    <w:rsid w:val="005D21FD"/>
    <w:rsid w:val="005D2231"/>
    <w:rsid w:val="005D233F"/>
    <w:rsid w:val="005D2471"/>
    <w:rsid w:val="005D26B4"/>
    <w:rsid w:val="005D272D"/>
    <w:rsid w:val="005D2AD4"/>
    <w:rsid w:val="005D2ADF"/>
    <w:rsid w:val="005D2C06"/>
    <w:rsid w:val="005D2C6E"/>
    <w:rsid w:val="005D2D9D"/>
    <w:rsid w:val="005D2E88"/>
    <w:rsid w:val="005D2E98"/>
    <w:rsid w:val="005D3169"/>
    <w:rsid w:val="005D31CF"/>
    <w:rsid w:val="005D32E9"/>
    <w:rsid w:val="005D3389"/>
    <w:rsid w:val="005D341C"/>
    <w:rsid w:val="005D3629"/>
    <w:rsid w:val="005D36B6"/>
    <w:rsid w:val="005D37D8"/>
    <w:rsid w:val="005D38D6"/>
    <w:rsid w:val="005D38DC"/>
    <w:rsid w:val="005D3CE6"/>
    <w:rsid w:val="005D3E9D"/>
    <w:rsid w:val="005D3F9A"/>
    <w:rsid w:val="005D4227"/>
    <w:rsid w:val="005D43DC"/>
    <w:rsid w:val="005D47BA"/>
    <w:rsid w:val="005D480B"/>
    <w:rsid w:val="005D4894"/>
    <w:rsid w:val="005D48F5"/>
    <w:rsid w:val="005D4BD9"/>
    <w:rsid w:val="005D507C"/>
    <w:rsid w:val="005D5081"/>
    <w:rsid w:val="005D52F7"/>
    <w:rsid w:val="005D53A2"/>
    <w:rsid w:val="005D5446"/>
    <w:rsid w:val="005D5490"/>
    <w:rsid w:val="005D5665"/>
    <w:rsid w:val="005D574D"/>
    <w:rsid w:val="005D5BB7"/>
    <w:rsid w:val="005D6026"/>
    <w:rsid w:val="005D60A4"/>
    <w:rsid w:val="005D61A1"/>
    <w:rsid w:val="005D61C4"/>
    <w:rsid w:val="005D645A"/>
    <w:rsid w:val="005D6683"/>
    <w:rsid w:val="005D67D2"/>
    <w:rsid w:val="005D685F"/>
    <w:rsid w:val="005D68B5"/>
    <w:rsid w:val="005D6AC3"/>
    <w:rsid w:val="005D6C06"/>
    <w:rsid w:val="005D6C5F"/>
    <w:rsid w:val="005D6C9B"/>
    <w:rsid w:val="005D6D02"/>
    <w:rsid w:val="005D6D63"/>
    <w:rsid w:val="005D70AE"/>
    <w:rsid w:val="005D71EE"/>
    <w:rsid w:val="005D722F"/>
    <w:rsid w:val="005D726E"/>
    <w:rsid w:val="005D7464"/>
    <w:rsid w:val="005D7495"/>
    <w:rsid w:val="005D7559"/>
    <w:rsid w:val="005D76F0"/>
    <w:rsid w:val="005D79BE"/>
    <w:rsid w:val="005D7AA2"/>
    <w:rsid w:val="005D7AFD"/>
    <w:rsid w:val="005D7D76"/>
    <w:rsid w:val="005D7E27"/>
    <w:rsid w:val="005D7E4C"/>
    <w:rsid w:val="005D7EA5"/>
    <w:rsid w:val="005D7F54"/>
    <w:rsid w:val="005E00A2"/>
    <w:rsid w:val="005E013F"/>
    <w:rsid w:val="005E027B"/>
    <w:rsid w:val="005E032F"/>
    <w:rsid w:val="005E0626"/>
    <w:rsid w:val="005E0694"/>
    <w:rsid w:val="005E06BC"/>
    <w:rsid w:val="005E06D3"/>
    <w:rsid w:val="005E0803"/>
    <w:rsid w:val="005E0841"/>
    <w:rsid w:val="005E0856"/>
    <w:rsid w:val="005E0C85"/>
    <w:rsid w:val="005E0EF3"/>
    <w:rsid w:val="005E0F0C"/>
    <w:rsid w:val="005E13A5"/>
    <w:rsid w:val="005E14C2"/>
    <w:rsid w:val="005E173D"/>
    <w:rsid w:val="005E1920"/>
    <w:rsid w:val="005E1995"/>
    <w:rsid w:val="005E1B5B"/>
    <w:rsid w:val="005E1B76"/>
    <w:rsid w:val="005E1D61"/>
    <w:rsid w:val="005E212E"/>
    <w:rsid w:val="005E22BD"/>
    <w:rsid w:val="005E2405"/>
    <w:rsid w:val="005E243B"/>
    <w:rsid w:val="005E25DC"/>
    <w:rsid w:val="005E2780"/>
    <w:rsid w:val="005E2804"/>
    <w:rsid w:val="005E2997"/>
    <w:rsid w:val="005E29A4"/>
    <w:rsid w:val="005E2A73"/>
    <w:rsid w:val="005E2ACC"/>
    <w:rsid w:val="005E2E16"/>
    <w:rsid w:val="005E2F72"/>
    <w:rsid w:val="005E319E"/>
    <w:rsid w:val="005E31D0"/>
    <w:rsid w:val="005E3247"/>
    <w:rsid w:val="005E3276"/>
    <w:rsid w:val="005E3373"/>
    <w:rsid w:val="005E3515"/>
    <w:rsid w:val="005E375A"/>
    <w:rsid w:val="005E382F"/>
    <w:rsid w:val="005E38C5"/>
    <w:rsid w:val="005E38FC"/>
    <w:rsid w:val="005E3920"/>
    <w:rsid w:val="005E3C09"/>
    <w:rsid w:val="005E3C63"/>
    <w:rsid w:val="005E3DF9"/>
    <w:rsid w:val="005E3E15"/>
    <w:rsid w:val="005E3E60"/>
    <w:rsid w:val="005E3EDE"/>
    <w:rsid w:val="005E4080"/>
    <w:rsid w:val="005E421D"/>
    <w:rsid w:val="005E4AEE"/>
    <w:rsid w:val="005E4B1B"/>
    <w:rsid w:val="005E4DC3"/>
    <w:rsid w:val="005E51ED"/>
    <w:rsid w:val="005E531E"/>
    <w:rsid w:val="005E5456"/>
    <w:rsid w:val="005E5550"/>
    <w:rsid w:val="005E5620"/>
    <w:rsid w:val="005E572F"/>
    <w:rsid w:val="005E575E"/>
    <w:rsid w:val="005E582F"/>
    <w:rsid w:val="005E5B68"/>
    <w:rsid w:val="005E5BE7"/>
    <w:rsid w:val="005E5CF2"/>
    <w:rsid w:val="005E5D5D"/>
    <w:rsid w:val="005E5E6F"/>
    <w:rsid w:val="005E5F46"/>
    <w:rsid w:val="005E6238"/>
    <w:rsid w:val="005E633D"/>
    <w:rsid w:val="005E64E2"/>
    <w:rsid w:val="005E67F4"/>
    <w:rsid w:val="005E6896"/>
    <w:rsid w:val="005E6AA2"/>
    <w:rsid w:val="005E6CBC"/>
    <w:rsid w:val="005E6F05"/>
    <w:rsid w:val="005E7084"/>
    <w:rsid w:val="005E72FF"/>
    <w:rsid w:val="005E7379"/>
    <w:rsid w:val="005E73A2"/>
    <w:rsid w:val="005E73C0"/>
    <w:rsid w:val="005E74A8"/>
    <w:rsid w:val="005E7701"/>
    <w:rsid w:val="005E79A7"/>
    <w:rsid w:val="005E79C1"/>
    <w:rsid w:val="005E7A40"/>
    <w:rsid w:val="005E7C5C"/>
    <w:rsid w:val="005E7E7D"/>
    <w:rsid w:val="005E7EBC"/>
    <w:rsid w:val="005E7F1E"/>
    <w:rsid w:val="005E7F68"/>
    <w:rsid w:val="005F025C"/>
    <w:rsid w:val="005F0460"/>
    <w:rsid w:val="005F0628"/>
    <w:rsid w:val="005F07E1"/>
    <w:rsid w:val="005F07ED"/>
    <w:rsid w:val="005F085F"/>
    <w:rsid w:val="005F0C38"/>
    <w:rsid w:val="005F0CDC"/>
    <w:rsid w:val="005F0E5A"/>
    <w:rsid w:val="005F0FAF"/>
    <w:rsid w:val="005F124A"/>
    <w:rsid w:val="005F178A"/>
    <w:rsid w:val="005F2025"/>
    <w:rsid w:val="005F2221"/>
    <w:rsid w:val="005F2608"/>
    <w:rsid w:val="005F26DD"/>
    <w:rsid w:val="005F2706"/>
    <w:rsid w:val="005F2849"/>
    <w:rsid w:val="005F2932"/>
    <w:rsid w:val="005F29DC"/>
    <w:rsid w:val="005F2A85"/>
    <w:rsid w:val="005F2B34"/>
    <w:rsid w:val="005F2C38"/>
    <w:rsid w:val="005F2D1C"/>
    <w:rsid w:val="005F2F8C"/>
    <w:rsid w:val="005F2FFA"/>
    <w:rsid w:val="005F3042"/>
    <w:rsid w:val="005F327B"/>
    <w:rsid w:val="005F330E"/>
    <w:rsid w:val="005F344D"/>
    <w:rsid w:val="005F3628"/>
    <w:rsid w:val="005F3961"/>
    <w:rsid w:val="005F3991"/>
    <w:rsid w:val="005F3A39"/>
    <w:rsid w:val="005F3AB5"/>
    <w:rsid w:val="005F3B14"/>
    <w:rsid w:val="005F3EB0"/>
    <w:rsid w:val="005F415C"/>
    <w:rsid w:val="005F4271"/>
    <w:rsid w:val="005F4551"/>
    <w:rsid w:val="005F477B"/>
    <w:rsid w:val="005F4823"/>
    <w:rsid w:val="005F49FE"/>
    <w:rsid w:val="005F4B7E"/>
    <w:rsid w:val="005F4D51"/>
    <w:rsid w:val="005F5112"/>
    <w:rsid w:val="005F5149"/>
    <w:rsid w:val="005F547A"/>
    <w:rsid w:val="005F550D"/>
    <w:rsid w:val="005F56FB"/>
    <w:rsid w:val="005F5BCA"/>
    <w:rsid w:val="005F5BF5"/>
    <w:rsid w:val="005F5CD9"/>
    <w:rsid w:val="005F5DBE"/>
    <w:rsid w:val="005F5F4B"/>
    <w:rsid w:val="005F5F4F"/>
    <w:rsid w:val="005F5F73"/>
    <w:rsid w:val="005F6159"/>
    <w:rsid w:val="005F61B1"/>
    <w:rsid w:val="005F61D5"/>
    <w:rsid w:val="005F648F"/>
    <w:rsid w:val="005F6763"/>
    <w:rsid w:val="005F67C9"/>
    <w:rsid w:val="005F683E"/>
    <w:rsid w:val="005F68C1"/>
    <w:rsid w:val="005F68CF"/>
    <w:rsid w:val="005F6A8F"/>
    <w:rsid w:val="005F6BB7"/>
    <w:rsid w:val="005F6E04"/>
    <w:rsid w:val="005F6E2D"/>
    <w:rsid w:val="005F6F49"/>
    <w:rsid w:val="005F70DB"/>
    <w:rsid w:val="005F7288"/>
    <w:rsid w:val="005F73CF"/>
    <w:rsid w:val="005F7588"/>
    <w:rsid w:val="005F79E2"/>
    <w:rsid w:val="005F7E46"/>
    <w:rsid w:val="005F7EEA"/>
    <w:rsid w:val="0060054E"/>
    <w:rsid w:val="0060071C"/>
    <w:rsid w:val="006009D8"/>
    <w:rsid w:val="00600B56"/>
    <w:rsid w:val="00600B8F"/>
    <w:rsid w:val="00600DA8"/>
    <w:rsid w:val="00600ED9"/>
    <w:rsid w:val="00600FA6"/>
    <w:rsid w:val="00600FD3"/>
    <w:rsid w:val="006011A0"/>
    <w:rsid w:val="00601239"/>
    <w:rsid w:val="006012DF"/>
    <w:rsid w:val="0060131E"/>
    <w:rsid w:val="006013F2"/>
    <w:rsid w:val="00601605"/>
    <w:rsid w:val="006016F5"/>
    <w:rsid w:val="00601821"/>
    <w:rsid w:val="0060196B"/>
    <w:rsid w:val="00601D29"/>
    <w:rsid w:val="00601EF9"/>
    <w:rsid w:val="006021B6"/>
    <w:rsid w:val="006022C2"/>
    <w:rsid w:val="00602379"/>
    <w:rsid w:val="00602712"/>
    <w:rsid w:val="006028D3"/>
    <w:rsid w:val="00602BE7"/>
    <w:rsid w:val="00602D9F"/>
    <w:rsid w:val="00602E64"/>
    <w:rsid w:val="0060307E"/>
    <w:rsid w:val="006030C7"/>
    <w:rsid w:val="006031AA"/>
    <w:rsid w:val="006031B0"/>
    <w:rsid w:val="0060343B"/>
    <w:rsid w:val="00603567"/>
    <w:rsid w:val="00603853"/>
    <w:rsid w:val="00603878"/>
    <w:rsid w:val="00603A8E"/>
    <w:rsid w:val="00603DB9"/>
    <w:rsid w:val="00603E9B"/>
    <w:rsid w:val="00604197"/>
    <w:rsid w:val="006044A7"/>
    <w:rsid w:val="006045D5"/>
    <w:rsid w:val="00604AAA"/>
    <w:rsid w:val="00604D67"/>
    <w:rsid w:val="00604ED0"/>
    <w:rsid w:val="00605386"/>
    <w:rsid w:val="006053F2"/>
    <w:rsid w:val="00605418"/>
    <w:rsid w:val="0060545D"/>
    <w:rsid w:val="0060546A"/>
    <w:rsid w:val="00605702"/>
    <w:rsid w:val="0060580A"/>
    <w:rsid w:val="00605810"/>
    <w:rsid w:val="00605F4B"/>
    <w:rsid w:val="00606045"/>
    <w:rsid w:val="006060D9"/>
    <w:rsid w:val="00606228"/>
    <w:rsid w:val="006063B2"/>
    <w:rsid w:val="006068A1"/>
    <w:rsid w:val="006068E9"/>
    <w:rsid w:val="0060692A"/>
    <w:rsid w:val="006069D9"/>
    <w:rsid w:val="00606A6F"/>
    <w:rsid w:val="00606A87"/>
    <w:rsid w:val="00606AE9"/>
    <w:rsid w:val="00606D70"/>
    <w:rsid w:val="00606D74"/>
    <w:rsid w:val="00606D7F"/>
    <w:rsid w:val="00606FBA"/>
    <w:rsid w:val="00607072"/>
    <w:rsid w:val="006070FD"/>
    <w:rsid w:val="0060730E"/>
    <w:rsid w:val="0060754A"/>
    <w:rsid w:val="00607669"/>
    <w:rsid w:val="006076F4"/>
    <w:rsid w:val="00607804"/>
    <w:rsid w:val="0060799B"/>
    <w:rsid w:val="006079EB"/>
    <w:rsid w:val="00607AFD"/>
    <w:rsid w:val="00607B6A"/>
    <w:rsid w:val="00607D14"/>
    <w:rsid w:val="00607D16"/>
    <w:rsid w:val="00607E97"/>
    <w:rsid w:val="006101BC"/>
    <w:rsid w:val="006102B0"/>
    <w:rsid w:val="006102F4"/>
    <w:rsid w:val="006105D2"/>
    <w:rsid w:val="006106BC"/>
    <w:rsid w:val="0061075A"/>
    <w:rsid w:val="0061089B"/>
    <w:rsid w:val="006109C5"/>
    <w:rsid w:val="00610A14"/>
    <w:rsid w:val="00610D0E"/>
    <w:rsid w:val="00611040"/>
    <w:rsid w:val="006110A0"/>
    <w:rsid w:val="00611145"/>
    <w:rsid w:val="006111CA"/>
    <w:rsid w:val="006112AE"/>
    <w:rsid w:val="006113BA"/>
    <w:rsid w:val="00611402"/>
    <w:rsid w:val="0061169A"/>
    <w:rsid w:val="00611786"/>
    <w:rsid w:val="006117BC"/>
    <w:rsid w:val="00611867"/>
    <w:rsid w:val="00611905"/>
    <w:rsid w:val="00611A05"/>
    <w:rsid w:val="00611B0B"/>
    <w:rsid w:val="00611B12"/>
    <w:rsid w:val="00611C7C"/>
    <w:rsid w:val="0061223F"/>
    <w:rsid w:val="00612368"/>
    <w:rsid w:val="0061244D"/>
    <w:rsid w:val="00612641"/>
    <w:rsid w:val="0061267D"/>
    <w:rsid w:val="00612717"/>
    <w:rsid w:val="006127F7"/>
    <w:rsid w:val="006128A1"/>
    <w:rsid w:val="006128DE"/>
    <w:rsid w:val="00612F97"/>
    <w:rsid w:val="00613235"/>
    <w:rsid w:val="006132E7"/>
    <w:rsid w:val="006132E8"/>
    <w:rsid w:val="0061341B"/>
    <w:rsid w:val="0061345D"/>
    <w:rsid w:val="0061362C"/>
    <w:rsid w:val="00613824"/>
    <w:rsid w:val="00613832"/>
    <w:rsid w:val="00613CE4"/>
    <w:rsid w:val="00613D3A"/>
    <w:rsid w:val="00613D63"/>
    <w:rsid w:val="00613FD2"/>
    <w:rsid w:val="006143B4"/>
    <w:rsid w:val="00614521"/>
    <w:rsid w:val="0061455B"/>
    <w:rsid w:val="00614D8E"/>
    <w:rsid w:val="00614DE7"/>
    <w:rsid w:val="00614F70"/>
    <w:rsid w:val="00615048"/>
    <w:rsid w:val="0061510E"/>
    <w:rsid w:val="00615337"/>
    <w:rsid w:val="0061549B"/>
    <w:rsid w:val="006154B4"/>
    <w:rsid w:val="00615587"/>
    <w:rsid w:val="00615678"/>
    <w:rsid w:val="00615A79"/>
    <w:rsid w:val="00615B40"/>
    <w:rsid w:val="00615D0E"/>
    <w:rsid w:val="00615E6D"/>
    <w:rsid w:val="00616223"/>
    <w:rsid w:val="006163B4"/>
    <w:rsid w:val="00616802"/>
    <w:rsid w:val="00616B1C"/>
    <w:rsid w:val="00616C65"/>
    <w:rsid w:val="00616F9E"/>
    <w:rsid w:val="00617009"/>
    <w:rsid w:val="00617145"/>
    <w:rsid w:val="00617154"/>
    <w:rsid w:val="006172EC"/>
    <w:rsid w:val="0061731C"/>
    <w:rsid w:val="0061738E"/>
    <w:rsid w:val="006173EE"/>
    <w:rsid w:val="0061758F"/>
    <w:rsid w:val="006175C7"/>
    <w:rsid w:val="006176D7"/>
    <w:rsid w:val="00617742"/>
    <w:rsid w:val="00617950"/>
    <w:rsid w:val="00617A5A"/>
    <w:rsid w:val="00617D07"/>
    <w:rsid w:val="00617E12"/>
    <w:rsid w:val="00620063"/>
    <w:rsid w:val="006202E9"/>
    <w:rsid w:val="00620320"/>
    <w:rsid w:val="00620493"/>
    <w:rsid w:val="00620727"/>
    <w:rsid w:val="006208A2"/>
    <w:rsid w:val="0062096E"/>
    <w:rsid w:val="00620B3C"/>
    <w:rsid w:val="00620C25"/>
    <w:rsid w:val="00620E43"/>
    <w:rsid w:val="00620F42"/>
    <w:rsid w:val="00621403"/>
    <w:rsid w:val="00621477"/>
    <w:rsid w:val="00621480"/>
    <w:rsid w:val="00621658"/>
    <w:rsid w:val="00621669"/>
    <w:rsid w:val="006216A9"/>
    <w:rsid w:val="0062193C"/>
    <w:rsid w:val="00621A50"/>
    <w:rsid w:val="00621ADA"/>
    <w:rsid w:val="00621B2D"/>
    <w:rsid w:val="00621C36"/>
    <w:rsid w:val="00621CF3"/>
    <w:rsid w:val="00621D4D"/>
    <w:rsid w:val="006220DB"/>
    <w:rsid w:val="00622306"/>
    <w:rsid w:val="00622484"/>
    <w:rsid w:val="0062264B"/>
    <w:rsid w:val="006226FA"/>
    <w:rsid w:val="0062285E"/>
    <w:rsid w:val="00622CE2"/>
    <w:rsid w:val="00623295"/>
    <w:rsid w:val="006232E3"/>
    <w:rsid w:val="006234E6"/>
    <w:rsid w:val="00623615"/>
    <w:rsid w:val="0062384B"/>
    <w:rsid w:val="00623F1A"/>
    <w:rsid w:val="00623F7B"/>
    <w:rsid w:val="006240EB"/>
    <w:rsid w:val="0062443D"/>
    <w:rsid w:val="00624982"/>
    <w:rsid w:val="00624A00"/>
    <w:rsid w:val="00624BD4"/>
    <w:rsid w:val="00624C7D"/>
    <w:rsid w:val="00624F50"/>
    <w:rsid w:val="00624F9B"/>
    <w:rsid w:val="00625067"/>
    <w:rsid w:val="0062506E"/>
    <w:rsid w:val="006250E4"/>
    <w:rsid w:val="006250F8"/>
    <w:rsid w:val="00625146"/>
    <w:rsid w:val="00625383"/>
    <w:rsid w:val="006253B0"/>
    <w:rsid w:val="00625436"/>
    <w:rsid w:val="006256D1"/>
    <w:rsid w:val="0062592E"/>
    <w:rsid w:val="00626085"/>
    <w:rsid w:val="0062623E"/>
    <w:rsid w:val="0062625D"/>
    <w:rsid w:val="006263DF"/>
    <w:rsid w:val="00626570"/>
    <w:rsid w:val="0062671C"/>
    <w:rsid w:val="00626962"/>
    <w:rsid w:val="00626A2A"/>
    <w:rsid w:val="00626CA8"/>
    <w:rsid w:val="00626E5B"/>
    <w:rsid w:val="00626EFD"/>
    <w:rsid w:val="006270A4"/>
    <w:rsid w:val="006273E3"/>
    <w:rsid w:val="0062775F"/>
    <w:rsid w:val="00627B0C"/>
    <w:rsid w:val="00630047"/>
    <w:rsid w:val="0063029E"/>
    <w:rsid w:val="006302C2"/>
    <w:rsid w:val="006302F1"/>
    <w:rsid w:val="00630391"/>
    <w:rsid w:val="006303B4"/>
    <w:rsid w:val="006305B1"/>
    <w:rsid w:val="006307D8"/>
    <w:rsid w:val="006309C0"/>
    <w:rsid w:val="00630BB6"/>
    <w:rsid w:val="00630C36"/>
    <w:rsid w:val="00630D11"/>
    <w:rsid w:val="00630F46"/>
    <w:rsid w:val="00630F98"/>
    <w:rsid w:val="00630FDD"/>
    <w:rsid w:val="0063101B"/>
    <w:rsid w:val="0063158F"/>
    <w:rsid w:val="00631621"/>
    <w:rsid w:val="00631689"/>
    <w:rsid w:val="006316C7"/>
    <w:rsid w:val="006318C1"/>
    <w:rsid w:val="0063191C"/>
    <w:rsid w:val="00631A4C"/>
    <w:rsid w:val="00631D6B"/>
    <w:rsid w:val="00631F95"/>
    <w:rsid w:val="00631FFC"/>
    <w:rsid w:val="00632183"/>
    <w:rsid w:val="006321F6"/>
    <w:rsid w:val="00632211"/>
    <w:rsid w:val="00632685"/>
    <w:rsid w:val="00632705"/>
    <w:rsid w:val="00632799"/>
    <w:rsid w:val="00632808"/>
    <w:rsid w:val="00632A59"/>
    <w:rsid w:val="00632B30"/>
    <w:rsid w:val="006330A1"/>
    <w:rsid w:val="006332CB"/>
    <w:rsid w:val="006333A3"/>
    <w:rsid w:val="00633435"/>
    <w:rsid w:val="00633551"/>
    <w:rsid w:val="006336BB"/>
    <w:rsid w:val="00633A57"/>
    <w:rsid w:val="00633B43"/>
    <w:rsid w:val="00633CE0"/>
    <w:rsid w:val="00633D05"/>
    <w:rsid w:val="00633EC8"/>
    <w:rsid w:val="00634357"/>
    <w:rsid w:val="00634377"/>
    <w:rsid w:val="00634440"/>
    <w:rsid w:val="0063479F"/>
    <w:rsid w:val="0063480F"/>
    <w:rsid w:val="00634AA8"/>
    <w:rsid w:val="00634BA6"/>
    <w:rsid w:val="00634D17"/>
    <w:rsid w:val="00634D93"/>
    <w:rsid w:val="00634DD4"/>
    <w:rsid w:val="00634F5A"/>
    <w:rsid w:val="00634F7E"/>
    <w:rsid w:val="00635023"/>
    <w:rsid w:val="0063504A"/>
    <w:rsid w:val="00635050"/>
    <w:rsid w:val="00635391"/>
    <w:rsid w:val="006353F0"/>
    <w:rsid w:val="006357B5"/>
    <w:rsid w:val="00635930"/>
    <w:rsid w:val="00635A3E"/>
    <w:rsid w:val="00635DBB"/>
    <w:rsid w:val="00635E19"/>
    <w:rsid w:val="00635E42"/>
    <w:rsid w:val="00635ECA"/>
    <w:rsid w:val="00636396"/>
    <w:rsid w:val="006364A1"/>
    <w:rsid w:val="0063678E"/>
    <w:rsid w:val="00636812"/>
    <w:rsid w:val="00636AEA"/>
    <w:rsid w:val="00636B32"/>
    <w:rsid w:val="006370E3"/>
    <w:rsid w:val="00637123"/>
    <w:rsid w:val="00637537"/>
    <w:rsid w:val="00637692"/>
    <w:rsid w:val="00637859"/>
    <w:rsid w:val="006378E4"/>
    <w:rsid w:val="006378F0"/>
    <w:rsid w:val="00637963"/>
    <w:rsid w:val="00637B98"/>
    <w:rsid w:val="00637BFD"/>
    <w:rsid w:val="00637C5C"/>
    <w:rsid w:val="00637DEB"/>
    <w:rsid w:val="00637E27"/>
    <w:rsid w:val="00637F40"/>
    <w:rsid w:val="00637F43"/>
    <w:rsid w:val="00640142"/>
    <w:rsid w:val="006402CE"/>
    <w:rsid w:val="00640457"/>
    <w:rsid w:val="00640879"/>
    <w:rsid w:val="00640A66"/>
    <w:rsid w:val="00640C39"/>
    <w:rsid w:val="00640C91"/>
    <w:rsid w:val="00640DBC"/>
    <w:rsid w:val="0064164D"/>
    <w:rsid w:val="006416EB"/>
    <w:rsid w:val="0064184A"/>
    <w:rsid w:val="00641BB6"/>
    <w:rsid w:val="00641C4E"/>
    <w:rsid w:val="00641CDC"/>
    <w:rsid w:val="00641D92"/>
    <w:rsid w:val="00641F75"/>
    <w:rsid w:val="00641FB3"/>
    <w:rsid w:val="00642003"/>
    <w:rsid w:val="006423B0"/>
    <w:rsid w:val="00642448"/>
    <w:rsid w:val="00642565"/>
    <w:rsid w:val="006429E3"/>
    <w:rsid w:val="00642A87"/>
    <w:rsid w:val="00642CEF"/>
    <w:rsid w:val="00642D37"/>
    <w:rsid w:val="00642E61"/>
    <w:rsid w:val="0064305F"/>
    <w:rsid w:val="00643217"/>
    <w:rsid w:val="006433F9"/>
    <w:rsid w:val="0064352D"/>
    <w:rsid w:val="00643609"/>
    <w:rsid w:val="00643875"/>
    <w:rsid w:val="00643905"/>
    <w:rsid w:val="00643CD6"/>
    <w:rsid w:val="00643EA1"/>
    <w:rsid w:val="00643F28"/>
    <w:rsid w:val="00644061"/>
    <w:rsid w:val="00644263"/>
    <w:rsid w:val="006442BA"/>
    <w:rsid w:val="006442CF"/>
    <w:rsid w:val="0064434C"/>
    <w:rsid w:val="006445E3"/>
    <w:rsid w:val="0064497F"/>
    <w:rsid w:val="006449A5"/>
    <w:rsid w:val="00644A52"/>
    <w:rsid w:val="00644C87"/>
    <w:rsid w:val="00644D36"/>
    <w:rsid w:val="00644DDB"/>
    <w:rsid w:val="00644F7E"/>
    <w:rsid w:val="00645174"/>
    <w:rsid w:val="00645460"/>
    <w:rsid w:val="006455AE"/>
    <w:rsid w:val="00645EC7"/>
    <w:rsid w:val="0064642B"/>
    <w:rsid w:val="0064643D"/>
    <w:rsid w:val="0064652E"/>
    <w:rsid w:val="00646AAF"/>
    <w:rsid w:val="00646C3E"/>
    <w:rsid w:val="00646D64"/>
    <w:rsid w:val="00646E9F"/>
    <w:rsid w:val="00646F1A"/>
    <w:rsid w:val="00647142"/>
    <w:rsid w:val="006471CC"/>
    <w:rsid w:val="006472FE"/>
    <w:rsid w:val="00647357"/>
    <w:rsid w:val="006473FE"/>
    <w:rsid w:val="00647444"/>
    <w:rsid w:val="006474E7"/>
    <w:rsid w:val="00647537"/>
    <w:rsid w:val="00647A29"/>
    <w:rsid w:val="00647BBF"/>
    <w:rsid w:val="00647C19"/>
    <w:rsid w:val="00647C1C"/>
    <w:rsid w:val="00647E4F"/>
    <w:rsid w:val="00647ECA"/>
    <w:rsid w:val="00647F1C"/>
    <w:rsid w:val="006501B6"/>
    <w:rsid w:val="0065029D"/>
    <w:rsid w:val="006505A6"/>
    <w:rsid w:val="006505D7"/>
    <w:rsid w:val="00650698"/>
    <w:rsid w:val="00650775"/>
    <w:rsid w:val="0065079F"/>
    <w:rsid w:val="00650996"/>
    <w:rsid w:val="006509C8"/>
    <w:rsid w:val="00650A2B"/>
    <w:rsid w:val="00650AB4"/>
    <w:rsid w:val="00650C14"/>
    <w:rsid w:val="00650C67"/>
    <w:rsid w:val="00650CD5"/>
    <w:rsid w:val="00650EA5"/>
    <w:rsid w:val="00650F65"/>
    <w:rsid w:val="00650FAF"/>
    <w:rsid w:val="0065106E"/>
    <w:rsid w:val="006511EB"/>
    <w:rsid w:val="006513E7"/>
    <w:rsid w:val="00651483"/>
    <w:rsid w:val="006517C8"/>
    <w:rsid w:val="006518F6"/>
    <w:rsid w:val="00651E6E"/>
    <w:rsid w:val="00651EAD"/>
    <w:rsid w:val="00652071"/>
    <w:rsid w:val="006520BC"/>
    <w:rsid w:val="00652361"/>
    <w:rsid w:val="006523FF"/>
    <w:rsid w:val="0065243C"/>
    <w:rsid w:val="00652461"/>
    <w:rsid w:val="006525BC"/>
    <w:rsid w:val="00652A28"/>
    <w:rsid w:val="00652B09"/>
    <w:rsid w:val="00652E75"/>
    <w:rsid w:val="00652F96"/>
    <w:rsid w:val="00653179"/>
    <w:rsid w:val="0065349D"/>
    <w:rsid w:val="006534F7"/>
    <w:rsid w:val="0065379F"/>
    <w:rsid w:val="00653AEE"/>
    <w:rsid w:val="00653BB1"/>
    <w:rsid w:val="00653BE6"/>
    <w:rsid w:val="0065441E"/>
    <w:rsid w:val="006544F3"/>
    <w:rsid w:val="006548FA"/>
    <w:rsid w:val="006549AA"/>
    <w:rsid w:val="006549E8"/>
    <w:rsid w:val="00654B6C"/>
    <w:rsid w:val="00654F0F"/>
    <w:rsid w:val="00654FF8"/>
    <w:rsid w:val="006550D0"/>
    <w:rsid w:val="00655447"/>
    <w:rsid w:val="006555EF"/>
    <w:rsid w:val="006557CD"/>
    <w:rsid w:val="006557E4"/>
    <w:rsid w:val="00655804"/>
    <w:rsid w:val="00655929"/>
    <w:rsid w:val="00655C2E"/>
    <w:rsid w:val="00655CD3"/>
    <w:rsid w:val="00655E3F"/>
    <w:rsid w:val="00655F3C"/>
    <w:rsid w:val="00655F62"/>
    <w:rsid w:val="00656188"/>
    <w:rsid w:val="0065648C"/>
    <w:rsid w:val="00656591"/>
    <w:rsid w:val="0065692B"/>
    <w:rsid w:val="00656B6F"/>
    <w:rsid w:val="0065707E"/>
    <w:rsid w:val="00657123"/>
    <w:rsid w:val="0065715A"/>
    <w:rsid w:val="006573A1"/>
    <w:rsid w:val="0065764B"/>
    <w:rsid w:val="0065770D"/>
    <w:rsid w:val="0065798A"/>
    <w:rsid w:val="00657B09"/>
    <w:rsid w:val="00657C49"/>
    <w:rsid w:val="00657C5B"/>
    <w:rsid w:val="0066018D"/>
    <w:rsid w:val="00660478"/>
    <w:rsid w:val="006604EB"/>
    <w:rsid w:val="006604F0"/>
    <w:rsid w:val="0066087B"/>
    <w:rsid w:val="00660886"/>
    <w:rsid w:val="00660BFD"/>
    <w:rsid w:val="00660CFC"/>
    <w:rsid w:val="00660D15"/>
    <w:rsid w:val="00660E54"/>
    <w:rsid w:val="00660FB1"/>
    <w:rsid w:val="006610B9"/>
    <w:rsid w:val="006610F1"/>
    <w:rsid w:val="0066114D"/>
    <w:rsid w:val="0066126C"/>
    <w:rsid w:val="0066137A"/>
    <w:rsid w:val="0066144D"/>
    <w:rsid w:val="00661525"/>
    <w:rsid w:val="0066157F"/>
    <w:rsid w:val="0066161C"/>
    <w:rsid w:val="00661AE7"/>
    <w:rsid w:val="00661C28"/>
    <w:rsid w:val="00661C6B"/>
    <w:rsid w:val="00661E69"/>
    <w:rsid w:val="0066215F"/>
    <w:rsid w:val="00662207"/>
    <w:rsid w:val="006622E9"/>
    <w:rsid w:val="0066231F"/>
    <w:rsid w:val="0066238F"/>
    <w:rsid w:val="00662679"/>
    <w:rsid w:val="006627BC"/>
    <w:rsid w:val="00662836"/>
    <w:rsid w:val="00662D3E"/>
    <w:rsid w:val="00662F23"/>
    <w:rsid w:val="006630C8"/>
    <w:rsid w:val="006631EF"/>
    <w:rsid w:val="00663254"/>
    <w:rsid w:val="006632DA"/>
    <w:rsid w:val="006633CC"/>
    <w:rsid w:val="0066372C"/>
    <w:rsid w:val="00663A09"/>
    <w:rsid w:val="00663AC0"/>
    <w:rsid w:val="00663B32"/>
    <w:rsid w:val="00663B73"/>
    <w:rsid w:val="00663B98"/>
    <w:rsid w:val="00663C64"/>
    <w:rsid w:val="00663D5F"/>
    <w:rsid w:val="00664017"/>
    <w:rsid w:val="006640F1"/>
    <w:rsid w:val="0066454C"/>
    <w:rsid w:val="00664627"/>
    <w:rsid w:val="006649B9"/>
    <w:rsid w:val="00664A2D"/>
    <w:rsid w:val="00664B2A"/>
    <w:rsid w:val="00664BD3"/>
    <w:rsid w:val="00664E18"/>
    <w:rsid w:val="00664F2E"/>
    <w:rsid w:val="00664FC5"/>
    <w:rsid w:val="006653C5"/>
    <w:rsid w:val="006654A9"/>
    <w:rsid w:val="006655CB"/>
    <w:rsid w:val="00665758"/>
    <w:rsid w:val="006657F2"/>
    <w:rsid w:val="0066586D"/>
    <w:rsid w:val="00665CEB"/>
    <w:rsid w:val="00665E94"/>
    <w:rsid w:val="00665ED4"/>
    <w:rsid w:val="00665FA8"/>
    <w:rsid w:val="00666150"/>
    <w:rsid w:val="00666363"/>
    <w:rsid w:val="00666448"/>
    <w:rsid w:val="00666527"/>
    <w:rsid w:val="00666599"/>
    <w:rsid w:val="006667AF"/>
    <w:rsid w:val="006667C6"/>
    <w:rsid w:val="006668C0"/>
    <w:rsid w:val="00666956"/>
    <w:rsid w:val="00666A67"/>
    <w:rsid w:val="00666B96"/>
    <w:rsid w:val="00666E6F"/>
    <w:rsid w:val="00667056"/>
    <w:rsid w:val="006671DA"/>
    <w:rsid w:val="0066729B"/>
    <w:rsid w:val="00667480"/>
    <w:rsid w:val="006674D0"/>
    <w:rsid w:val="006676EA"/>
    <w:rsid w:val="00667959"/>
    <w:rsid w:val="00667BE3"/>
    <w:rsid w:val="00667C30"/>
    <w:rsid w:val="00670071"/>
    <w:rsid w:val="00670087"/>
    <w:rsid w:val="006702D1"/>
    <w:rsid w:val="00670346"/>
    <w:rsid w:val="006703BE"/>
    <w:rsid w:val="00670459"/>
    <w:rsid w:val="00670526"/>
    <w:rsid w:val="0067061E"/>
    <w:rsid w:val="0067075B"/>
    <w:rsid w:val="00670775"/>
    <w:rsid w:val="00670C79"/>
    <w:rsid w:val="00671004"/>
    <w:rsid w:val="00671090"/>
    <w:rsid w:val="0067169F"/>
    <w:rsid w:val="00671840"/>
    <w:rsid w:val="00671A83"/>
    <w:rsid w:val="00671F26"/>
    <w:rsid w:val="00671F46"/>
    <w:rsid w:val="00672096"/>
    <w:rsid w:val="00672181"/>
    <w:rsid w:val="006721B1"/>
    <w:rsid w:val="006722CE"/>
    <w:rsid w:val="006722E6"/>
    <w:rsid w:val="006725E1"/>
    <w:rsid w:val="00672646"/>
    <w:rsid w:val="006726FE"/>
    <w:rsid w:val="00672775"/>
    <w:rsid w:val="00672915"/>
    <w:rsid w:val="00672C4B"/>
    <w:rsid w:val="00672D43"/>
    <w:rsid w:val="00672F92"/>
    <w:rsid w:val="006730D0"/>
    <w:rsid w:val="00673104"/>
    <w:rsid w:val="0067313E"/>
    <w:rsid w:val="00673179"/>
    <w:rsid w:val="006731CA"/>
    <w:rsid w:val="006733D1"/>
    <w:rsid w:val="006736FE"/>
    <w:rsid w:val="0067377C"/>
    <w:rsid w:val="0067379E"/>
    <w:rsid w:val="006739A7"/>
    <w:rsid w:val="00673A08"/>
    <w:rsid w:val="00673AD6"/>
    <w:rsid w:val="006743CB"/>
    <w:rsid w:val="006744CB"/>
    <w:rsid w:val="00674629"/>
    <w:rsid w:val="00674709"/>
    <w:rsid w:val="0067471F"/>
    <w:rsid w:val="00674735"/>
    <w:rsid w:val="00674847"/>
    <w:rsid w:val="006749B1"/>
    <w:rsid w:val="00674DA5"/>
    <w:rsid w:val="00674DE7"/>
    <w:rsid w:val="00674E2D"/>
    <w:rsid w:val="00674E42"/>
    <w:rsid w:val="00674F0D"/>
    <w:rsid w:val="00674FB9"/>
    <w:rsid w:val="00674FF5"/>
    <w:rsid w:val="0067504C"/>
    <w:rsid w:val="0067514A"/>
    <w:rsid w:val="006752C7"/>
    <w:rsid w:val="00675360"/>
    <w:rsid w:val="006754FF"/>
    <w:rsid w:val="006755C9"/>
    <w:rsid w:val="006755FE"/>
    <w:rsid w:val="00675D84"/>
    <w:rsid w:val="00675DAB"/>
    <w:rsid w:val="00675F37"/>
    <w:rsid w:val="00675F55"/>
    <w:rsid w:val="00676166"/>
    <w:rsid w:val="0067638A"/>
    <w:rsid w:val="006763B1"/>
    <w:rsid w:val="0067648F"/>
    <w:rsid w:val="00676563"/>
    <w:rsid w:val="006765BA"/>
    <w:rsid w:val="00676777"/>
    <w:rsid w:val="006767E6"/>
    <w:rsid w:val="00676F40"/>
    <w:rsid w:val="006770BB"/>
    <w:rsid w:val="006771C0"/>
    <w:rsid w:val="006776BB"/>
    <w:rsid w:val="00677774"/>
    <w:rsid w:val="006777E8"/>
    <w:rsid w:val="00677861"/>
    <w:rsid w:val="006778EB"/>
    <w:rsid w:val="00677993"/>
    <w:rsid w:val="00677D11"/>
    <w:rsid w:val="00677D9F"/>
    <w:rsid w:val="00677F3C"/>
    <w:rsid w:val="00680149"/>
    <w:rsid w:val="00680231"/>
    <w:rsid w:val="00680449"/>
    <w:rsid w:val="0068058D"/>
    <w:rsid w:val="00680635"/>
    <w:rsid w:val="00680764"/>
    <w:rsid w:val="00680A88"/>
    <w:rsid w:val="00680B26"/>
    <w:rsid w:val="00680B38"/>
    <w:rsid w:val="00680D79"/>
    <w:rsid w:val="0068114A"/>
    <w:rsid w:val="006811F3"/>
    <w:rsid w:val="00681245"/>
    <w:rsid w:val="00681307"/>
    <w:rsid w:val="00681317"/>
    <w:rsid w:val="0068136C"/>
    <w:rsid w:val="006813F8"/>
    <w:rsid w:val="006814B7"/>
    <w:rsid w:val="00681505"/>
    <w:rsid w:val="0068156C"/>
    <w:rsid w:val="0068167C"/>
    <w:rsid w:val="0068178B"/>
    <w:rsid w:val="00681892"/>
    <w:rsid w:val="00681A64"/>
    <w:rsid w:val="00681AA1"/>
    <w:rsid w:val="00681B41"/>
    <w:rsid w:val="00681DA7"/>
    <w:rsid w:val="00681F84"/>
    <w:rsid w:val="00682057"/>
    <w:rsid w:val="00682083"/>
    <w:rsid w:val="00682112"/>
    <w:rsid w:val="0068211C"/>
    <w:rsid w:val="00682272"/>
    <w:rsid w:val="00682632"/>
    <w:rsid w:val="0068264F"/>
    <w:rsid w:val="00682757"/>
    <w:rsid w:val="006828C0"/>
    <w:rsid w:val="006828C4"/>
    <w:rsid w:val="00682BA6"/>
    <w:rsid w:val="00682C1E"/>
    <w:rsid w:val="00682E2B"/>
    <w:rsid w:val="00683122"/>
    <w:rsid w:val="006839FE"/>
    <w:rsid w:val="00683A30"/>
    <w:rsid w:val="00683C94"/>
    <w:rsid w:val="00683D04"/>
    <w:rsid w:val="00683DD5"/>
    <w:rsid w:val="00683EA3"/>
    <w:rsid w:val="00683ECC"/>
    <w:rsid w:val="006841D8"/>
    <w:rsid w:val="006842C0"/>
    <w:rsid w:val="00684406"/>
    <w:rsid w:val="00684417"/>
    <w:rsid w:val="0068444D"/>
    <w:rsid w:val="0068451A"/>
    <w:rsid w:val="00684847"/>
    <w:rsid w:val="00684937"/>
    <w:rsid w:val="00684A27"/>
    <w:rsid w:val="00684A7E"/>
    <w:rsid w:val="00684B9F"/>
    <w:rsid w:val="00684DC7"/>
    <w:rsid w:val="00684F66"/>
    <w:rsid w:val="00685045"/>
    <w:rsid w:val="00685060"/>
    <w:rsid w:val="006851D8"/>
    <w:rsid w:val="006852DB"/>
    <w:rsid w:val="006854E6"/>
    <w:rsid w:val="0068562E"/>
    <w:rsid w:val="0068574E"/>
    <w:rsid w:val="0068576D"/>
    <w:rsid w:val="0068591B"/>
    <w:rsid w:val="00685A60"/>
    <w:rsid w:val="00685C16"/>
    <w:rsid w:val="00685DC7"/>
    <w:rsid w:val="00685EFB"/>
    <w:rsid w:val="006860F4"/>
    <w:rsid w:val="0068620F"/>
    <w:rsid w:val="00686282"/>
    <w:rsid w:val="006863F3"/>
    <w:rsid w:val="0068643F"/>
    <w:rsid w:val="006866E9"/>
    <w:rsid w:val="006868E4"/>
    <w:rsid w:val="006868EE"/>
    <w:rsid w:val="00686957"/>
    <w:rsid w:val="006869AF"/>
    <w:rsid w:val="00686C50"/>
    <w:rsid w:val="00686CEE"/>
    <w:rsid w:val="00686D0D"/>
    <w:rsid w:val="00686DD9"/>
    <w:rsid w:val="006870C3"/>
    <w:rsid w:val="006872BA"/>
    <w:rsid w:val="006872C1"/>
    <w:rsid w:val="00687494"/>
    <w:rsid w:val="00687562"/>
    <w:rsid w:val="00687611"/>
    <w:rsid w:val="006876F0"/>
    <w:rsid w:val="00687711"/>
    <w:rsid w:val="00687737"/>
    <w:rsid w:val="00687759"/>
    <w:rsid w:val="00687B2F"/>
    <w:rsid w:val="00687E8C"/>
    <w:rsid w:val="00690342"/>
    <w:rsid w:val="00690347"/>
    <w:rsid w:val="006904FF"/>
    <w:rsid w:val="00690549"/>
    <w:rsid w:val="00690795"/>
    <w:rsid w:val="006908B3"/>
    <w:rsid w:val="006908EC"/>
    <w:rsid w:val="00690A8C"/>
    <w:rsid w:val="00690AAA"/>
    <w:rsid w:val="00690B7E"/>
    <w:rsid w:val="00690C3D"/>
    <w:rsid w:val="00690CC3"/>
    <w:rsid w:val="00690D6A"/>
    <w:rsid w:val="00691047"/>
    <w:rsid w:val="0069112C"/>
    <w:rsid w:val="00691535"/>
    <w:rsid w:val="00691645"/>
    <w:rsid w:val="00691648"/>
    <w:rsid w:val="0069168D"/>
    <w:rsid w:val="006917D7"/>
    <w:rsid w:val="00691E23"/>
    <w:rsid w:val="00691F59"/>
    <w:rsid w:val="00692204"/>
    <w:rsid w:val="006923C9"/>
    <w:rsid w:val="0069250D"/>
    <w:rsid w:val="00692765"/>
    <w:rsid w:val="0069290C"/>
    <w:rsid w:val="006929C0"/>
    <w:rsid w:val="006929F6"/>
    <w:rsid w:val="00692BAC"/>
    <w:rsid w:val="00692D1C"/>
    <w:rsid w:val="00693067"/>
    <w:rsid w:val="006931B9"/>
    <w:rsid w:val="00693273"/>
    <w:rsid w:val="006932EA"/>
    <w:rsid w:val="0069342B"/>
    <w:rsid w:val="00693629"/>
    <w:rsid w:val="00693A04"/>
    <w:rsid w:val="00693F88"/>
    <w:rsid w:val="00694152"/>
    <w:rsid w:val="00694292"/>
    <w:rsid w:val="006942EB"/>
    <w:rsid w:val="0069434C"/>
    <w:rsid w:val="00694544"/>
    <w:rsid w:val="006945A2"/>
    <w:rsid w:val="006945FE"/>
    <w:rsid w:val="00694A1C"/>
    <w:rsid w:val="00694D6C"/>
    <w:rsid w:val="00694F13"/>
    <w:rsid w:val="00694F44"/>
    <w:rsid w:val="00694FC6"/>
    <w:rsid w:val="00695170"/>
    <w:rsid w:val="0069560E"/>
    <w:rsid w:val="0069566F"/>
    <w:rsid w:val="006959F2"/>
    <w:rsid w:val="00695A16"/>
    <w:rsid w:val="00695A52"/>
    <w:rsid w:val="00695B7C"/>
    <w:rsid w:val="00695C2D"/>
    <w:rsid w:val="00695C7C"/>
    <w:rsid w:val="00695DCE"/>
    <w:rsid w:val="00695E12"/>
    <w:rsid w:val="00695F0C"/>
    <w:rsid w:val="00696397"/>
    <w:rsid w:val="00696622"/>
    <w:rsid w:val="00696775"/>
    <w:rsid w:val="00696A04"/>
    <w:rsid w:val="00696B22"/>
    <w:rsid w:val="00696C37"/>
    <w:rsid w:val="00696C95"/>
    <w:rsid w:val="00696DDF"/>
    <w:rsid w:val="00696E54"/>
    <w:rsid w:val="00696EF9"/>
    <w:rsid w:val="00696F51"/>
    <w:rsid w:val="006975F4"/>
    <w:rsid w:val="00697635"/>
    <w:rsid w:val="00697651"/>
    <w:rsid w:val="006976F7"/>
    <w:rsid w:val="006979A5"/>
    <w:rsid w:val="00697A47"/>
    <w:rsid w:val="00697BC6"/>
    <w:rsid w:val="006A016F"/>
    <w:rsid w:val="006A030E"/>
    <w:rsid w:val="006A044E"/>
    <w:rsid w:val="006A0457"/>
    <w:rsid w:val="006A04E7"/>
    <w:rsid w:val="006A07F1"/>
    <w:rsid w:val="006A0B99"/>
    <w:rsid w:val="006A0D58"/>
    <w:rsid w:val="006A0D77"/>
    <w:rsid w:val="006A0DF7"/>
    <w:rsid w:val="006A0F41"/>
    <w:rsid w:val="006A10F3"/>
    <w:rsid w:val="006A1120"/>
    <w:rsid w:val="006A13BA"/>
    <w:rsid w:val="006A154D"/>
    <w:rsid w:val="006A1553"/>
    <w:rsid w:val="006A1717"/>
    <w:rsid w:val="006A1A1F"/>
    <w:rsid w:val="006A1B8E"/>
    <w:rsid w:val="006A1CE6"/>
    <w:rsid w:val="006A1CFB"/>
    <w:rsid w:val="006A2188"/>
    <w:rsid w:val="006A21F5"/>
    <w:rsid w:val="006A22CA"/>
    <w:rsid w:val="006A28B7"/>
    <w:rsid w:val="006A2FD7"/>
    <w:rsid w:val="006A34F1"/>
    <w:rsid w:val="006A35F1"/>
    <w:rsid w:val="006A3619"/>
    <w:rsid w:val="006A371F"/>
    <w:rsid w:val="006A38CF"/>
    <w:rsid w:val="006A3926"/>
    <w:rsid w:val="006A3D6C"/>
    <w:rsid w:val="006A4143"/>
    <w:rsid w:val="006A4321"/>
    <w:rsid w:val="006A432C"/>
    <w:rsid w:val="006A43D9"/>
    <w:rsid w:val="006A4425"/>
    <w:rsid w:val="006A4638"/>
    <w:rsid w:val="006A4676"/>
    <w:rsid w:val="006A47BE"/>
    <w:rsid w:val="006A47E9"/>
    <w:rsid w:val="006A4B68"/>
    <w:rsid w:val="006A4BEA"/>
    <w:rsid w:val="006A4ED2"/>
    <w:rsid w:val="006A4F92"/>
    <w:rsid w:val="006A5184"/>
    <w:rsid w:val="006A52B5"/>
    <w:rsid w:val="006A53C8"/>
    <w:rsid w:val="006A5662"/>
    <w:rsid w:val="006A566C"/>
    <w:rsid w:val="006A57A3"/>
    <w:rsid w:val="006A59BB"/>
    <w:rsid w:val="006A59E1"/>
    <w:rsid w:val="006A5AAD"/>
    <w:rsid w:val="006A5B9F"/>
    <w:rsid w:val="006A5ECC"/>
    <w:rsid w:val="006A5FC5"/>
    <w:rsid w:val="006A5FE5"/>
    <w:rsid w:val="006A6152"/>
    <w:rsid w:val="006A63FD"/>
    <w:rsid w:val="006A63FE"/>
    <w:rsid w:val="006A642A"/>
    <w:rsid w:val="006A6492"/>
    <w:rsid w:val="006A67DF"/>
    <w:rsid w:val="006A6A81"/>
    <w:rsid w:val="006A6B4F"/>
    <w:rsid w:val="006A6B99"/>
    <w:rsid w:val="006A6BC3"/>
    <w:rsid w:val="006A6C85"/>
    <w:rsid w:val="006A6DE3"/>
    <w:rsid w:val="006A7026"/>
    <w:rsid w:val="006A716A"/>
    <w:rsid w:val="006A7244"/>
    <w:rsid w:val="006A73B6"/>
    <w:rsid w:val="006A73EE"/>
    <w:rsid w:val="006A75F9"/>
    <w:rsid w:val="006A779F"/>
    <w:rsid w:val="006A7B1B"/>
    <w:rsid w:val="006A7BF2"/>
    <w:rsid w:val="006A7CCB"/>
    <w:rsid w:val="006A7E5F"/>
    <w:rsid w:val="006B0394"/>
    <w:rsid w:val="006B03AD"/>
    <w:rsid w:val="006B03CE"/>
    <w:rsid w:val="006B03EA"/>
    <w:rsid w:val="006B054C"/>
    <w:rsid w:val="006B0665"/>
    <w:rsid w:val="006B067F"/>
    <w:rsid w:val="006B07E9"/>
    <w:rsid w:val="006B0805"/>
    <w:rsid w:val="006B080C"/>
    <w:rsid w:val="006B0D64"/>
    <w:rsid w:val="006B0DCF"/>
    <w:rsid w:val="006B0E6E"/>
    <w:rsid w:val="006B0FA2"/>
    <w:rsid w:val="006B146A"/>
    <w:rsid w:val="006B1642"/>
    <w:rsid w:val="006B1663"/>
    <w:rsid w:val="006B1748"/>
    <w:rsid w:val="006B1A8D"/>
    <w:rsid w:val="006B1A97"/>
    <w:rsid w:val="006B1C58"/>
    <w:rsid w:val="006B1E5B"/>
    <w:rsid w:val="006B21AC"/>
    <w:rsid w:val="006B2239"/>
    <w:rsid w:val="006B261B"/>
    <w:rsid w:val="006B281C"/>
    <w:rsid w:val="006B29AF"/>
    <w:rsid w:val="006B2C90"/>
    <w:rsid w:val="006B2D61"/>
    <w:rsid w:val="006B2F8A"/>
    <w:rsid w:val="006B2FD8"/>
    <w:rsid w:val="006B309E"/>
    <w:rsid w:val="006B30B7"/>
    <w:rsid w:val="006B31E8"/>
    <w:rsid w:val="006B333A"/>
    <w:rsid w:val="006B354A"/>
    <w:rsid w:val="006B35E6"/>
    <w:rsid w:val="006B37C1"/>
    <w:rsid w:val="006B3807"/>
    <w:rsid w:val="006B383E"/>
    <w:rsid w:val="006B3B0E"/>
    <w:rsid w:val="006B3B40"/>
    <w:rsid w:val="006B3C86"/>
    <w:rsid w:val="006B3E13"/>
    <w:rsid w:val="006B3E34"/>
    <w:rsid w:val="006B3ECC"/>
    <w:rsid w:val="006B3F56"/>
    <w:rsid w:val="006B40BF"/>
    <w:rsid w:val="006B40C8"/>
    <w:rsid w:val="006B4185"/>
    <w:rsid w:val="006B465A"/>
    <w:rsid w:val="006B498F"/>
    <w:rsid w:val="006B4B12"/>
    <w:rsid w:val="006B4B13"/>
    <w:rsid w:val="006B4C51"/>
    <w:rsid w:val="006B4E0D"/>
    <w:rsid w:val="006B52C9"/>
    <w:rsid w:val="006B5527"/>
    <w:rsid w:val="006B5693"/>
    <w:rsid w:val="006B56B1"/>
    <w:rsid w:val="006B5887"/>
    <w:rsid w:val="006B5AB3"/>
    <w:rsid w:val="006B5BF7"/>
    <w:rsid w:val="006B5BFE"/>
    <w:rsid w:val="006B6135"/>
    <w:rsid w:val="006B6502"/>
    <w:rsid w:val="006B661D"/>
    <w:rsid w:val="006B66E5"/>
    <w:rsid w:val="006B67EF"/>
    <w:rsid w:val="006B69E7"/>
    <w:rsid w:val="006B6B08"/>
    <w:rsid w:val="006B6C24"/>
    <w:rsid w:val="006B6DD0"/>
    <w:rsid w:val="006B6E26"/>
    <w:rsid w:val="006B72C7"/>
    <w:rsid w:val="006B7302"/>
    <w:rsid w:val="006B7380"/>
    <w:rsid w:val="006B74BA"/>
    <w:rsid w:val="006B75D6"/>
    <w:rsid w:val="006B7671"/>
    <w:rsid w:val="006B7673"/>
    <w:rsid w:val="006B783F"/>
    <w:rsid w:val="006B7DB1"/>
    <w:rsid w:val="006B7E4F"/>
    <w:rsid w:val="006C007A"/>
    <w:rsid w:val="006C027D"/>
    <w:rsid w:val="006C0399"/>
    <w:rsid w:val="006C0446"/>
    <w:rsid w:val="006C05EC"/>
    <w:rsid w:val="006C0731"/>
    <w:rsid w:val="006C095C"/>
    <w:rsid w:val="006C096E"/>
    <w:rsid w:val="006C0A15"/>
    <w:rsid w:val="006C0D33"/>
    <w:rsid w:val="006C0F79"/>
    <w:rsid w:val="006C10C1"/>
    <w:rsid w:val="006C1411"/>
    <w:rsid w:val="006C1506"/>
    <w:rsid w:val="006C1554"/>
    <w:rsid w:val="006C1591"/>
    <w:rsid w:val="006C16B5"/>
    <w:rsid w:val="006C1708"/>
    <w:rsid w:val="006C1763"/>
    <w:rsid w:val="006C1982"/>
    <w:rsid w:val="006C1A9B"/>
    <w:rsid w:val="006C1DD4"/>
    <w:rsid w:val="006C1E31"/>
    <w:rsid w:val="006C1E7D"/>
    <w:rsid w:val="006C1F1A"/>
    <w:rsid w:val="006C2722"/>
    <w:rsid w:val="006C27C7"/>
    <w:rsid w:val="006C2822"/>
    <w:rsid w:val="006C2925"/>
    <w:rsid w:val="006C299D"/>
    <w:rsid w:val="006C2A2A"/>
    <w:rsid w:val="006C2A8E"/>
    <w:rsid w:val="006C2BCE"/>
    <w:rsid w:val="006C2CBA"/>
    <w:rsid w:val="006C2CE9"/>
    <w:rsid w:val="006C2ED9"/>
    <w:rsid w:val="006C30D5"/>
    <w:rsid w:val="006C31DC"/>
    <w:rsid w:val="006C324F"/>
    <w:rsid w:val="006C3255"/>
    <w:rsid w:val="006C326F"/>
    <w:rsid w:val="006C33A7"/>
    <w:rsid w:val="006C3417"/>
    <w:rsid w:val="006C37DC"/>
    <w:rsid w:val="006C3813"/>
    <w:rsid w:val="006C397F"/>
    <w:rsid w:val="006C3B56"/>
    <w:rsid w:val="006C3EB1"/>
    <w:rsid w:val="006C3F26"/>
    <w:rsid w:val="006C4432"/>
    <w:rsid w:val="006C48B7"/>
    <w:rsid w:val="006C498C"/>
    <w:rsid w:val="006C4CCE"/>
    <w:rsid w:val="006C4DDF"/>
    <w:rsid w:val="006C4E0E"/>
    <w:rsid w:val="006C4F54"/>
    <w:rsid w:val="006C4F9D"/>
    <w:rsid w:val="006C4FF2"/>
    <w:rsid w:val="006C5347"/>
    <w:rsid w:val="006C5474"/>
    <w:rsid w:val="006C57C1"/>
    <w:rsid w:val="006C5907"/>
    <w:rsid w:val="006C5A91"/>
    <w:rsid w:val="006C5AD1"/>
    <w:rsid w:val="006C5F19"/>
    <w:rsid w:val="006C5F94"/>
    <w:rsid w:val="006C627E"/>
    <w:rsid w:val="006C63C6"/>
    <w:rsid w:val="006C6640"/>
    <w:rsid w:val="006C670B"/>
    <w:rsid w:val="006C6752"/>
    <w:rsid w:val="006C6D98"/>
    <w:rsid w:val="006C6DDA"/>
    <w:rsid w:val="006C6E71"/>
    <w:rsid w:val="006C6F61"/>
    <w:rsid w:val="006C6F78"/>
    <w:rsid w:val="006C7561"/>
    <w:rsid w:val="006C7D18"/>
    <w:rsid w:val="006C7E4B"/>
    <w:rsid w:val="006D00F1"/>
    <w:rsid w:val="006D01AB"/>
    <w:rsid w:val="006D0355"/>
    <w:rsid w:val="006D0441"/>
    <w:rsid w:val="006D04B9"/>
    <w:rsid w:val="006D0713"/>
    <w:rsid w:val="006D0797"/>
    <w:rsid w:val="006D07C4"/>
    <w:rsid w:val="006D0953"/>
    <w:rsid w:val="006D0A65"/>
    <w:rsid w:val="006D0A92"/>
    <w:rsid w:val="006D0D17"/>
    <w:rsid w:val="006D0E72"/>
    <w:rsid w:val="006D12D4"/>
    <w:rsid w:val="006D1383"/>
    <w:rsid w:val="006D143F"/>
    <w:rsid w:val="006D16A0"/>
    <w:rsid w:val="006D16CD"/>
    <w:rsid w:val="006D172B"/>
    <w:rsid w:val="006D1912"/>
    <w:rsid w:val="006D19AD"/>
    <w:rsid w:val="006D1A5F"/>
    <w:rsid w:val="006D1E18"/>
    <w:rsid w:val="006D20BB"/>
    <w:rsid w:val="006D2125"/>
    <w:rsid w:val="006D2181"/>
    <w:rsid w:val="006D2229"/>
    <w:rsid w:val="006D22FE"/>
    <w:rsid w:val="006D2345"/>
    <w:rsid w:val="006D23F6"/>
    <w:rsid w:val="006D2428"/>
    <w:rsid w:val="006D242E"/>
    <w:rsid w:val="006D2585"/>
    <w:rsid w:val="006D280D"/>
    <w:rsid w:val="006D2842"/>
    <w:rsid w:val="006D28B1"/>
    <w:rsid w:val="006D2B41"/>
    <w:rsid w:val="006D2CBA"/>
    <w:rsid w:val="006D2E4D"/>
    <w:rsid w:val="006D2E8D"/>
    <w:rsid w:val="006D2F64"/>
    <w:rsid w:val="006D3126"/>
    <w:rsid w:val="006D31D1"/>
    <w:rsid w:val="006D325F"/>
    <w:rsid w:val="006D3311"/>
    <w:rsid w:val="006D333A"/>
    <w:rsid w:val="006D338A"/>
    <w:rsid w:val="006D345B"/>
    <w:rsid w:val="006D37C4"/>
    <w:rsid w:val="006D391C"/>
    <w:rsid w:val="006D3B47"/>
    <w:rsid w:val="006D3C7D"/>
    <w:rsid w:val="006D3E6C"/>
    <w:rsid w:val="006D3FA3"/>
    <w:rsid w:val="006D4139"/>
    <w:rsid w:val="006D417C"/>
    <w:rsid w:val="006D433C"/>
    <w:rsid w:val="006D4435"/>
    <w:rsid w:val="006D4560"/>
    <w:rsid w:val="006D4659"/>
    <w:rsid w:val="006D4878"/>
    <w:rsid w:val="006D4BB6"/>
    <w:rsid w:val="006D4BC0"/>
    <w:rsid w:val="006D4BD1"/>
    <w:rsid w:val="006D4C39"/>
    <w:rsid w:val="006D4EE8"/>
    <w:rsid w:val="006D5015"/>
    <w:rsid w:val="006D506E"/>
    <w:rsid w:val="006D5773"/>
    <w:rsid w:val="006D57A2"/>
    <w:rsid w:val="006D580A"/>
    <w:rsid w:val="006D5899"/>
    <w:rsid w:val="006D5ABA"/>
    <w:rsid w:val="006D5AE7"/>
    <w:rsid w:val="006D5D5F"/>
    <w:rsid w:val="006D5DE6"/>
    <w:rsid w:val="006D5F74"/>
    <w:rsid w:val="006D641D"/>
    <w:rsid w:val="006D6667"/>
    <w:rsid w:val="006D6679"/>
    <w:rsid w:val="006D67B2"/>
    <w:rsid w:val="006D67DD"/>
    <w:rsid w:val="006D68FB"/>
    <w:rsid w:val="006D6B39"/>
    <w:rsid w:val="006D6B45"/>
    <w:rsid w:val="006D6FD7"/>
    <w:rsid w:val="006D7179"/>
    <w:rsid w:val="006D71F5"/>
    <w:rsid w:val="006D72D9"/>
    <w:rsid w:val="006D752C"/>
    <w:rsid w:val="006D7533"/>
    <w:rsid w:val="006D769C"/>
    <w:rsid w:val="006D7703"/>
    <w:rsid w:val="006D7704"/>
    <w:rsid w:val="006D7705"/>
    <w:rsid w:val="006D775E"/>
    <w:rsid w:val="006D77C8"/>
    <w:rsid w:val="006D787A"/>
    <w:rsid w:val="006D7918"/>
    <w:rsid w:val="006D7CC7"/>
    <w:rsid w:val="006D7DEC"/>
    <w:rsid w:val="006D7F5F"/>
    <w:rsid w:val="006E05B3"/>
    <w:rsid w:val="006E0635"/>
    <w:rsid w:val="006E073D"/>
    <w:rsid w:val="006E079D"/>
    <w:rsid w:val="006E0AB4"/>
    <w:rsid w:val="006E0B60"/>
    <w:rsid w:val="006E0B9D"/>
    <w:rsid w:val="006E0C62"/>
    <w:rsid w:val="006E0FC0"/>
    <w:rsid w:val="006E1085"/>
    <w:rsid w:val="006E12D9"/>
    <w:rsid w:val="006E15E3"/>
    <w:rsid w:val="006E1A78"/>
    <w:rsid w:val="006E1BA2"/>
    <w:rsid w:val="006E1BCF"/>
    <w:rsid w:val="006E1F58"/>
    <w:rsid w:val="006E203A"/>
    <w:rsid w:val="006E21AF"/>
    <w:rsid w:val="006E24D9"/>
    <w:rsid w:val="006E26B3"/>
    <w:rsid w:val="006E26DB"/>
    <w:rsid w:val="006E2868"/>
    <w:rsid w:val="006E286B"/>
    <w:rsid w:val="006E290E"/>
    <w:rsid w:val="006E29EB"/>
    <w:rsid w:val="006E2A0D"/>
    <w:rsid w:val="006E2A20"/>
    <w:rsid w:val="006E2AA2"/>
    <w:rsid w:val="006E2C03"/>
    <w:rsid w:val="006E2FD4"/>
    <w:rsid w:val="006E3130"/>
    <w:rsid w:val="006E3480"/>
    <w:rsid w:val="006E34FE"/>
    <w:rsid w:val="006E35A3"/>
    <w:rsid w:val="006E3ED2"/>
    <w:rsid w:val="006E41FB"/>
    <w:rsid w:val="006E4219"/>
    <w:rsid w:val="006E421D"/>
    <w:rsid w:val="006E4374"/>
    <w:rsid w:val="006E438B"/>
    <w:rsid w:val="006E473C"/>
    <w:rsid w:val="006E4763"/>
    <w:rsid w:val="006E4A2B"/>
    <w:rsid w:val="006E4B24"/>
    <w:rsid w:val="006E4B57"/>
    <w:rsid w:val="006E4C7C"/>
    <w:rsid w:val="006E4D38"/>
    <w:rsid w:val="006E5084"/>
    <w:rsid w:val="006E5407"/>
    <w:rsid w:val="006E54BE"/>
    <w:rsid w:val="006E5607"/>
    <w:rsid w:val="006E5A99"/>
    <w:rsid w:val="006E5C03"/>
    <w:rsid w:val="006E5CFB"/>
    <w:rsid w:val="006E6396"/>
    <w:rsid w:val="006E65A2"/>
    <w:rsid w:val="006E669C"/>
    <w:rsid w:val="006E66BC"/>
    <w:rsid w:val="006E66FD"/>
    <w:rsid w:val="006E6826"/>
    <w:rsid w:val="006E6860"/>
    <w:rsid w:val="006E6A35"/>
    <w:rsid w:val="006E6AD6"/>
    <w:rsid w:val="006E6D44"/>
    <w:rsid w:val="006E6F13"/>
    <w:rsid w:val="006E6F23"/>
    <w:rsid w:val="006E7405"/>
    <w:rsid w:val="006E74E8"/>
    <w:rsid w:val="006E7813"/>
    <w:rsid w:val="006E79B7"/>
    <w:rsid w:val="006E7CD2"/>
    <w:rsid w:val="006F00D1"/>
    <w:rsid w:val="006F059B"/>
    <w:rsid w:val="006F0763"/>
    <w:rsid w:val="006F0792"/>
    <w:rsid w:val="006F07DF"/>
    <w:rsid w:val="006F093C"/>
    <w:rsid w:val="006F098E"/>
    <w:rsid w:val="006F0F7F"/>
    <w:rsid w:val="006F10C9"/>
    <w:rsid w:val="006F10CF"/>
    <w:rsid w:val="006F1293"/>
    <w:rsid w:val="006F1337"/>
    <w:rsid w:val="006F133A"/>
    <w:rsid w:val="006F15D0"/>
    <w:rsid w:val="006F184D"/>
    <w:rsid w:val="006F18E3"/>
    <w:rsid w:val="006F194E"/>
    <w:rsid w:val="006F1EE2"/>
    <w:rsid w:val="006F206A"/>
    <w:rsid w:val="006F2B00"/>
    <w:rsid w:val="006F2BB9"/>
    <w:rsid w:val="006F3067"/>
    <w:rsid w:val="006F306C"/>
    <w:rsid w:val="006F31C1"/>
    <w:rsid w:val="006F3355"/>
    <w:rsid w:val="006F3576"/>
    <w:rsid w:val="006F359D"/>
    <w:rsid w:val="006F383C"/>
    <w:rsid w:val="006F40A2"/>
    <w:rsid w:val="006F41DA"/>
    <w:rsid w:val="006F4216"/>
    <w:rsid w:val="006F424D"/>
    <w:rsid w:val="006F4262"/>
    <w:rsid w:val="006F426A"/>
    <w:rsid w:val="006F42C4"/>
    <w:rsid w:val="006F432E"/>
    <w:rsid w:val="006F43B7"/>
    <w:rsid w:val="006F43B9"/>
    <w:rsid w:val="006F43EF"/>
    <w:rsid w:val="006F4680"/>
    <w:rsid w:val="006F49D3"/>
    <w:rsid w:val="006F4B8D"/>
    <w:rsid w:val="006F5071"/>
    <w:rsid w:val="006F50B6"/>
    <w:rsid w:val="006F51CC"/>
    <w:rsid w:val="006F52A0"/>
    <w:rsid w:val="006F52B7"/>
    <w:rsid w:val="006F53BC"/>
    <w:rsid w:val="006F542D"/>
    <w:rsid w:val="006F5711"/>
    <w:rsid w:val="006F5837"/>
    <w:rsid w:val="006F595B"/>
    <w:rsid w:val="006F5AF2"/>
    <w:rsid w:val="006F5B04"/>
    <w:rsid w:val="006F5D7C"/>
    <w:rsid w:val="006F5F86"/>
    <w:rsid w:val="006F63A5"/>
    <w:rsid w:val="006F63CE"/>
    <w:rsid w:val="006F64CA"/>
    <w:rsid w:val="006F650E"/>
    <w:rsid w:val="006F6C23"/>
    <w:rsid w:val="006F6CD4"/>
    <w:rsid w:val="006F6D28"/>
    <w:rsid w:val="006F6D94"/>
    <w:rsid w:val="006F6EE7"/>
    <w:rsid w:val="006F7084"/>
    <w:rsid w:val="006F7238"/>
    <w:rsid w:val="006F750A"/>
    <w:rsid w:val="006F7A1E"/>
    <w:rsid w:val="006F7B2B"/>
    <w:rsid w:val="006F7B3A"/>
    <w:rsid w:val="006F7C54"/>
    <w:rsid w:val="0070023B"/>
    <w:rsid w:val="00700446"/>
    <w:rsid w:val="00700539"/>
    <w:rsid w:val="00700590"/>
    <w:rsid w:val="007008BA"/>
    <w:rsid w:val="00700928"/>
    <w:rsid w:val="0070096E"/>
    <w:rsid w:val="007009FD"/>
    <w:rsid w:val="00700B63"/>
    <w:rsid w:val="00701273"/>
    <w:rsid w:val="007012BC"/>
    <w:rsid w:val="0070142B"/>
    <w:rsid w:val="00701540"/>
    <w:rsid w:val="007015E6"/>
    <w:rsid w:val="00701683"/>
    <w:rsid w:val="00701B21"/>
    <w:rsid w:val="00701BE8"/>
    <w:rsid w:val="00701C7C"/>
    <w:rsid w:val="00701CA9"/>
    <w:rsid w:val="00701CD4"/>
    <w:rsid w:val="00701D8C"/>
    <w:rsid w:val="00701E22"/>
    <w:rsid w:val="00701EE7"/>
    <w:rsid w:val="0070202E"/>
    <w:rsid w:val="00702204"/>
    <w:rsid w:val="0070227D"/>
    <w:rsid w:val="0070234D"/>
    <w:rsid w:val="00702559"/>
    <w:rsid w:val="0070276E"/>
    <w:rsid w:val="0070288A"/>
    <w:rsid w:val="00702A38"/>
    <w:rsid w:val="00702A93"/>
    <w:rsid w:val="00702F8F"/>
    <w:rsid w:val="00703526"/>
    <w:rsid w:val="007035BE"/>
    <w:rsid w:val="0070366C"/>
    <w:rsid w:val="00703723"/>
    <w:rsid w:val="0070436B"/>
    <w:rsid w:val="007043B0"/>
    <w:rsid w:val="007044C0"/>
    <w:rsid w:val="00704636"/>
    <w:rsid w:val="00704675"/>
    <w:rsid w:val="00704876"/>
    <w:rsid w:val="007049A3"/>
    <w:rsid w:val="00704A9E"/>
    <w:rsid w:val="00704AD9"/>
    <w:rsid w:val="00704C67"/>
    <w:rsid w:val="00704DF9"/>
    <w:rsid w:val="0070501C"/>
    <w:rsid w:val="00705149"/>
    <w:rsid w:val="0070534F"/>
    <w:rsid w:val="00705378"/>
    <w:rsid w:val="0070552E"/>
    <w:rsid w:val="00705829"/>
    <w:rsid w:val="00705951"/>
    <w:rsid w:val="00705C35"/>
    <w:rsid w:val="007061AB"/>
    <w:rsid w:val="0070628E"/>
    <w:rsid w:val="007064FE"/>
    <w:rsid w:val="00706637"/>
    <w:rsid w:val="007069B9"/>
    <w:rsid w:val="00706A46"/>
    <w:rsid w:val="00706A56"/>
    <w:rsid w:val="00706F6E"/>
    <w:rsid w:val="0070724B"/>
    <w:rsid w:val="00707275"/>
    <w:rsid w:val="0070732C"/>
    <w:rsid w:val="007075C7"/>
    <w:rsid w:val="007076CD"/>
    <w:rsid w:val="0070786A"/>
    <w:rsid w:val="007079FC"/>
    <w:rsid w:val="00707B29"/>
    <w:rsid w:val="00707D5A"/>
    <w:rsid w:val="00707F2D"/>
    <w:rsid w:val="00710360"/>
    <w:rsid w:val="00710378"/>
    <w:rsid w:val="0071041F"/>
    <w:rsid w:val="0071046E"/>
    <w:rsid w:val="00710582"/>
    <w:rsid w:val="007107AD"/>
    <w:rsid w:val="00710ABD"/>
    <w:rsid w:val="00710CA7"/>
    <w:rsid w:val="00710F79"/>
    <w:rsid w:val="0071107A"/>
    <w:rsid w:val="00711163"/>
    <w:rsid w:val="00711164"/>
    <w:rsid w:val="007111E0"/>
    <w:rsid w:val="00711259"/>
    <w:rsid w:val="007112EF"/>
    <w:rsid w:val="0071160C"/>
    <w:rsid w:val="007116A5"/>
    <w:rsid w:val="00711A1A"/>
    <w:rsid w:val="00711A36"/>
    <w:rsid w:val="00711AC9"/>
    <w:rsid w:val="00711EAC"/>
    <w:rsid w:val="0071208C"/>
    <w:rsid w:val="00712199"/>
    <w:rsid w:val="0071232D"/>
    <w:rsid w:val="007125D3"/>
    <w:rsid w:val="0071263B"/>
    <w:rsid w:val="00712C6D"/>
    <w:rsid w:val="00712C8F"/>
    <w:rsid w:val="00712CAA"/>
    <w:rsid w:val="00712CAF"/>
    <w:rsid w:val="00712D02"/>
    <w:rsid w:val="00712F13"/>
    <w:rsid w:val="00712F31"/>
    <w:rsid w:val="007135C5"/>
    <w:rsid w:val="0071381F"/>
    <w:rsid w:val="0071383A"/>
    <w:rsid w:val="00713A73"/>
    <w:rsid w:val="00713D1A"/>
    <w:rsid w:val="00713E6F"/>
    <w:rsid w:val="00713EA0"/>
    <w:rsid w:val="00713EF3"/>
    <w:rsid w:val="0071406F"/>
    <w:rsid w:val="007142A6"/>
    <w:rsid w:val="007144D6"/>
    <w:rsid w:val="007145D8"/>
    <w:rsid w:val="007145ED"/>
    <w:rsid w:val="00714A0D"/>
    <w:rsid w:val="00714C26"/>
    <w:rsid w:val="00714F75"/>
    <w:rsid w:val="00714F87"/>
    <w:rsid w:val="00715097"/>
    <w:rsid w:val="007150EF"/>
    <w:rsid w:val="0071529C"/>
    <w:rsid w:val="00715351"/>
    <w:rsid w:val="007155F6"/>
    <w:rsid w:val="00715B65"/>
    <w:rsid w:val="007164BB"/>
    <w:rsid w:val="00716524"/>
    <w:rsid w:val="0071652A"/>
    <w:rsid w:val="00716667"/>
    <w:rsid w:val="00716679"/>
    <w:rsid w:val="00716778"/>
    <w:rsid w:val="00716819"/>
    <w:rsid w:val="00716CA2"/>
    <w:rsid w:val="0071707C"/>
    <w:rsid w:val="007170DA"/>
    <w:rsid w:val="0071714D"/>
    <w:rsid w:val="007171E0"/>
    <w:rsid w:val="00717284"/>
    <w:rsid w:val="007172AD"/>
    <w:rsid w:val="007172CB"/>
    <w:rsid w:val="0071730F"/>
    <w:rsid w:val="007173AE"/>
    <w:rsid w:val="007174DA"/>
    <w:rsid w:val="00717546"/>
    <w:rsid w:val="007175EA"/>
    <w:rsid w:val="007177C8"/>
    <w:rsid w:val="00717B5D"/>
    <w:rsid w:val="00717BBD"/>
    <w:rsid w:val="00717E4E"/>
    <w:rsid w:val="007200B1"/>
    <w:rsid w:val="007202A4"/>
    <w:rsid w:val="007202AE"/>
    <w:rsid w:val="00720325"/>
    <w:rsid w:val="00720478"/>
    <w:rsid w:val="00720801"/>
    <w:rsid w:val="00720931"/>
    <w:rsid w:val="00720A4D"/>
    <w:rsid w:val="00720AD9"/>
    <w:rsid w:val="00720AFF"/>
    <w:rsid w:val="00720E11"/>
    <w:rsid w:val="007216A6"/>
    <w:rsid w:val="007216A9"/>
    <w:rsid w:val="007218B5"/>
    <w:rsid w:val="00721942"/>
    <w:rsid w:val="0072196E"/>
    <w:rsid w:val="00721BE2"/>
    <w:rsid w:val="00721C36"/>
    <w:rsid w:val="00721C52"/>
    <w:rsid w:val="00721D9A"/>
    <w:rsid w:val="00721F05"/>
    <w:rsid w:val="00721F7B"/>
    <w:rsid w:val="00722022"/>
    <w:rsid w:val="00722093"/>
    <w:rsid w:val="00722233"/>
    <w:rsid w:val="00722462"/>
    <w:rsid w:val="007224AB"/>
    <w:rsid w:val="007226D7"/>
    <w:rsid w:val="00722A62"/>
    <w:rsid w:val="00722A7E"/>
    <w:rsid w:val="00722B1B"/>
    <w:rsid w:val="00722BE7"/>
    <w:rsid w:val="00722D30"/>
    <w:rsid w:val="00722D92"/>
    <w:rsid w:val="00723075"/>
    <w:rsid w:val="00723089"/>
    <w:rsid w:val="0072315D"/>
    <w:rsid w:val="00723309"/>
    <w:rsid w:val="00723321"/>
    <w:rsid w:val="00723657"/>
    <w:rsid w:val="00723699"/>
    <w:rsid w:val="007236A8"/>
    <w:rsid w:val="007237BF"/>
    <w:rsid w:val="00723AA4"/>
    <w:rsid w:val="00723AF6"/>
    <w:rsid w:val="00723E9C"/>
    <w:rsid w:val="0072416F"/>
    <w:rsid w:val="0072428A"/>
    <w:rsid w:val="00724726"/>
    <w:rsid w:val="00724788"/>
    <w:rsid w:val="0072484D"/>
    <w:rsid w:val="007248F5"/>
    <w:rsid w:val="00724C0D"/>
    <w:rsid w:val="00724D97"/>
    <w:rsid w:val="00724E06"/>
    <w:rsid w:val="00724FA9"/>
    <w:rsid w:val="00725143"/>
    <w:rsid w:val="00725200"/>
    <w:rsid w:val="0072535A"/>
    <w:rsid w:val="00725696"/>
    <w:rsid w:val="007257FB"/>
    <w:rsid w:val="00725939"/>
    <w:rsid w:val="00726066"/>
    <w:rsid w:val="007261A8"/>
    <w:rsid w:val="00726481"/>
    <w:rsid w:val="00726485"/>
    <w:rsid w:val="007265C3"/>
    <w:rsid w:val="007266A5"/>
    <w:rsid w:val="00726962"/>
    <w:rsid w:val="007277EE"/>
    <w:rsid w:val="007278E6"/>
    <w:rsid w:val="00727BCC"/>
    <w:rsid w:val="00727BDE"/>
    <w:rsid w:val="00727C94"/>
    <w:rsid w:val="00727E86"/>
    <w:rsid w:val="007300AA"/>
    <w:rsid w:val="007300B4"/>
    <w:rsid w:val="007303F4"/>
    <w:rsid w:val="007304F1"/>
    <w:rsid w:val="00730588"/>
    <w:rsid w:val="007306A8"/>
    <w:rsid w:val="00730809"/>
    <w:rsid w:val="0073093A"/>
    <w:rsid w:val="00730946"/>
    <w:rsid w:val="00730FC8"/>
    <w:rsid w:val="00731745"/>
    <w:rsid w:val="00731776"/>
    <w:rsid w:val="00731AEB"/>
    <w:rsid w:val="00731B0A"/>
    <w:rsid w:val="00731CBE"/>
    <w:rsid w:val="00731DEE"/>
    <w:rsid w:val="00731EAE"/>
    <w:rsid w:val="00731F2C"/>
    <w:rsid w:val="007322D7"/>
    <w:rsid w:val="00732468"/>
    <w:rsid w:val="007324F6"/>
    <w:rsid w:val="00732530"/>
    <w:rsid w:val="007326D3"/>
    <w:rsid w:val="0073282A"/>
    <w:rsid w:val="00732CB8"/>
    <w:rsid w:val="00732CFD"/>
    <w:rsid w:val="00732DBC"/>
    <w:rsid w:val="00732DC4"/>
    <w:rsid w:val="00732E41"/>
    <w:rsid w:val="00732EB3"/>
    <w:rsid w:val="00732F3E"/>
    <w:rsid w:val="00732F60"/>
    <w:rsid w:val="00732FA1"/>
    <w:rsid w:val="00732FC6"/>
    <w:rsid w:val="00733073"/>
    <w:rsid w:val="007332A6"/>
    <w:rsid w:val="0073377D"/>
    <w:rsid w:val="007337AF"/>
    <w:rsid w:val="00733861"/>
    <w:rsid w:val="00733A15"/>
    <w:rsid w:val="00733F24"/>
    <w:rsid w:val="00734170"/>
    <w:rsid w:val="0073447D"/>
    <w:rsid w:val="00734578"/>
    <w:rsid w:val="00734631"/>
    <w:rsid w:val="00734C3D"/>
    <w:rsid w:val="00735033"/>
    <w:rsid w:val="00735098"/>
    <w:rsid w:val="0073528A"/>
    <w:rsid w:val="00735328"/>
    <w:rsid w:val="00735714"/>
    <w:rsid w:val="00735963"/>
    <w:rsid w:val="00735E0A"/>
    <w:rsid w:val="00736169"/>
    <w:rsid w:val="007363EE"/>
    <w:rsid w:val="007364A8"/>
    <w:rsid w:val="007365DF"/>
    <w:rsid w:val="0073660B"/>
    <w:rsid w:val="00736706"/>
    <w:rsid w:val="0073685B"/>
    <w:rsid w:val="00736862"/>
    <w:rsid w:val="0073699F"/>
    <w:rsid w:val="00736A6E"/>
    <w:rsid w:val="00736DA3"/>
    <w:rsid w:val="00736F46"/>
    <w:rsid w:val="0073721D"/>
    <w:rsid w:val="00737238"/>
    <w:rsid w:val="007372AE"/>
    <w:rsid w:val="00737409"/>
    <w:rsid w:val="00737D75"/>
    <w:rsid w:val="0074009E"/>
    <w:rsid w:val="0074048D"/>
    <w:rsid w:val="007404D9"/>
    <w:rsid w:val="00740612"/>
    <w:rsid w:val="00740633"/>
    <w:rsid w:val="00740871"/>
    <w:rsid w:val="00740A9A"/>
    <w:rsid w:val="00740BD8"/>
    <w:rsid w:val="00740D08"/>
    <w:rsid w:val="00740D7B"/>
    <w:rsid w:val="00740F52"/>
    <w:rsid w:val="00741146"/>
    <w:rsid w:val="007411AE"/>
    <w:rsid w:val="007411EE"/>
    <w:rsid w:val="007412B2"/>
    <w:rsid w:val="007414F0"/>
    <w:rsid w:val="00741597"/>
    <w:rsid w:val="00741804"/>
    <w:rsid w:val="0074182C"/>
    <w:rsid w:val="0074185B"/>
    <w:rsid w:val="00741996"/>
    <w:rsid w:val="007419C2"/>
    <w:rsid w:val="00741E39"/>
    <w:rsid w:val="007420B7"/>
    <w:rsid w:val="00742188"/>
    <w:rsid w:val="0074228F"/>
    <w:rsid w:val="007423F5"/>
    <w:rsid w:val="00742496"/>
    <w:rsid w:val="0074249F"/>
    <w:rsid w:val="007425B2"/>
    <w:rsid w:val="007427C5"/>
    <w:rsid w:val="00742825"/>
    <w:rsid w:val="00742BC2"/>
    <w:rsid w:val="00742BE0"/>
    <w:rsid w:val="00742E93"/>
    <w:rsid w:val="00742FC3"/>
    <w:rsid w:val="00742FE0"/>
    <w:rsid w:val="00742FF0"/>
    <w:rsid w:val="007430A0"/>
    <w:rsid w:val="007432A1"/>
    <w:rsid w:val="00743406"/>
    <w:rsid w:val="007434EA"/>
    <w:rsid w:val="00743656"/>
    <w:rsid w:val="00743849"/>
    <w:rsid w:val="00743995"/>
    <w:rsid w:val="00743B4B"/>
    <w:rsid w:val="00743C78"/>
    <w:rsid w:val="00743DFE"/>
    <w:rsid w:val="00743E44"/>
    <w:rsid w:val="00743F53"/>
    <w:rsid w:val="00743FD2"/>
    <w:rsid w:val="00744297"/>
    <w:rsid w:val="00744788"/>
    <w:rsid w:val="00744941"/>
    <w:rsid w:val="0074496F"/>
    <w:rsid w:val="007449BF"/>
    <w:rsid w:val="007449FE"/>
    <w:rsid w:val="00744ABA"/>
    <w:rsid w:val="00744CE5"/>
    <w:rsid w:val="00744D09"/>
    <w:rsid w:val="00744D11"/>
    <w:rsid w:val="00744EAA"/>
    <w:rsid w:val="007452D6"/>
    <w:rsid w:val="0074533E"/>
    <w:rsid w:val="007453F3"/>
    <w:rsid w:val="0074557C"/>
    <w:rsid w:val="00745ABB"/>
    <w:rsid w:val="00745AC1"/>
    <w:rsid w:val="00745DFE"/>
    <w:rsid w:val="00745FF1"/>
    <w:rsid w:val="00746057"/>
    <w:rsid w:val="007460C7"/>
    <w:rsid w:val="00746132"/>
    <w:rsid w:val="007463FE"/>
    <w:rsid w:val="00746B45"/>
    <w:rsid w:val="00746BC0"/>
    <w:rsid w:val="00746ED9"/>
    <w:rsid w:val="00746EEA"/>
    <w:rsid w:val="007476A6"/>
    <w:rsid w:val="0074770B"/>
    <w:rsid w:val="00747731"/>
    <w:rsid w:val="00747A1B"/>
    <w:rsid w:val="00747B8F"/>
    <w:rsid w:val="00747DD6"/>
    <w:rsid w:val="0075013D"/>
    <w:rsid w:val="007501E7"/>
    <w:rsid w:val="0075025E"/>
    <w:rsid w:val="00750337"/>
    <w:rsid w:val="0075092D"/>
    <w:rsid w:val="00750C10"/>
    <w:rsid w:val="00750D94"/>
    <w:rsid w:val="007510B4"/>
    <w:rsid w:val="00751287"/>
    <w:rsid w:val="007516EA"/>
    <w:rsid w:val="007517B0"/>
    <w:rsid w:val="00751B8A"/>
    <w:rsid w:val="00751BF5"/>
    <w:rsid w:val="007520A4"/>
    <w:rsid w:val="00752142"/>
    <w:rsid w:val="007523F9"/>
    <w:rsid w:val="0075287F"/>
    <w:rsid w:val="00752C82"/>
    <w:rsid w:val="00752DB5"/>
    <w:rsid w:val="00752E6F"/>
    <w:rsid w:val="00752F18"/>
    <w:rsid w:val="007530FD"/>
    <w:rsid w:val="007531B2"/>
    <w:rsid w:val="00753351"/>
    <w:rsid w:val="007533D3"/>
    <w:rsid w:val="0075345D"/>
    <w:rsid w:val="0075357E"/>
    <w:rsid w:val="007537B3"/>
    <w:rsid w:val="00753AD1"/>
    <w:rsid w:val="00753B29"/>
    <w:rsid w:val="00753BCC"/>
    <w:rsid w:val="00753BDD"/>
    <w:rsid w:val="00753CF9"/>
    <w:rsid w:val="00753DA8"/>
    <w:rsid w:val="00754062"/>
    <w:rsid w:val="0075429E"/>
    <w:rsid w:val="0075438E"/>
    <w:rsid w:val="00754398"/>
    <w:rsid w:val="007544D6"/>
    <w:rsid w:val="00754879"/>
    <w:rsid w:val="00754AAA"/>
    <w:rsid w:val="00754B9B"/>
    <w:rsid w:val="00754E16"/>
    <w:rsid w:val="00754EB5"/>
    <w:rsid w:val="00754F64"/>
    <w:rsid w:val="0075507C"/>
    <w:rsid w:val="007552CD"/>
    <w:rsid w:val="00755332"/>
    <w:rsid w:val="007553FF"/>
    <w:rsid w:val="0075549E"/>
    <w:rsid w:val="00755536"/>
    <w:rsid w:val="00755680"/>
    <w:rsid w:val="00755AAE"/>
    <w:rsid w:val="00755AE6"/>
    <w:rsid w:val="00755D95"/>
    <w:rsid w:val="00755E94"/>
    <w:rsid w:val="00756035"/>
    <w:rsid w:val="007560B8"/>
    <w:rsid w:val="00756241"/>
    <w:rsid w:val="007564E5"/>
    <w:rsid w:val="00756719"/>
    <w:rsid w:val="00756879"/>
    <w:rsid w:val="00756896"/>
    <w:rsid w:val="00756B2A"/>
    <w:rsid w:val="00756B47"/>
    <w:rsid w:val="00756C3B"/>
    <w:rsid w:val="00756D53"/>
    <w:rsid w:val="00756E26"/>
    <w:rsid w:val="00756E3D"/>
    <w:rsid w:val="007570C1"/>
    <w:rsid w:val="007571BC"/>
    <w:rsid w:val="0075723F"/>
    <w:rsid w:val="0075727B"/>
    <w:rsid w:val="0075733B"/>
    <w:rsid w:val="007573E8"/>
    <w:rsid w:val="00757462"/>
    <w:rsid w:val="007575BB"/>
    <w:rsid w:val="00757695"/>
    <w:rsid w:val="00757CEF"/>
    <w:rsid w:val="00757DDA"/>
    <w:rsid w:val="00757FC3"/>
    <w:rsid w:val="00760533"/>
    <w:rsid w:val="00760914"/>
    <w:rsid w:val="00760AE1"/>
    <w:rsid w:val="00760BB8"/>
    <w:rsid w:val="00760C4E"/>
    <w:rsid w:val="00760DDD"/>
    <w:rsid w:val="00760E0D"/>
    <w:rsid w:val="00760EEE"/>
    <w:rsid w:val="00760F04"/>
    <w:rsid w:val="00760F9E"/>
    <w:rsid w:val="00760FEB"/>
    <w:rsid w:val="00761061"/>
    <w:rsid w:val="00761297"/>
    <w:rsid w:val="00761592"/>
    <w:rsid w:val="007616E6"/>
    <w:rsid w:val="00761B2E"/>
    <w:rsid w:val="00761B3F"/>
    <w:rsid w:val="00761D75"/>
    <w:rsid w:val="007621EE"/>
    <w:rsid w:val="007622A1"/>
    <w:rsid w:val="00762332"/>
    <w:rsid w:val="007627BE"/>
    <w:rsid w:val="007627CA"/>
    <w:rsid w:val="00762978"/>
    <w:rsid w:val="00762A2B"/>
    <w:rsid w:val="00762C49"/>
    <w:rsid w:val="00762C4F"/>
    <w:rsid w:val="00762C8F"/>
    <w:rsid w:val="00762CF7"/>
    <w:rsid w:val="00763080"/>
    <w:rsid w:val="007630E7"/>
    <w:rsid w:val="007631D3"/>
    <w:rsid w:val="0076326F"/>
    <w:rsid w:val="00763489"/>
    <w:rsid w:val="00763662"/>
    <w:rsid w:val="00763856"/>
    <w:rsid w:val="00763966"/>
    <w:rsid w:val="00763AF6"/>
    <w:rsid w:val="00763CB7"/>
    <w:rsid w:val="00763D49"/>
    <w:rsid w:val="00763DDB"/>
    <w:rsid w:val="0076403F"/>
    <w:rsid w:val="00764207"/>
    <w:rsid w:val="007644E9"/>
    <w:rsid w:val="00764555"/>
    <w:rsid w:val="00764596"/>
    <w:rsid w:val="007645F9"/>
    <w:rsid w:val="0076491A"/>
    <w:rsid w:val="007649AA"/>
    <w:rsid w:val="00764A42"/>
    <w:rsid w:val="00764B8F"/>
    <w:rsid w:val="00764F03"/>
    <w:rsid w:val="00764F4A"/>
    <w:rsid w:val="007650D9"/>
    <w:rsid w:val="0076529C"/>
    <w:rsid w:val="007652CA"/>
    <w:rsid w:val="007655C1"/>
    <w:rsid w:val="00765945"/>
    <w:rsid w:val="00765977"/>
    <w:rsid w:val="007659C1"/>
    <w:rsid w:val="00765B1A"/>
    <w:rsid w:val="00765DC1"/>
    <w:rsid w:val="007662CD"/>
    <w:rsid w:val="007663A4"/>
    <w:rsid w:val="00766A85"/>
    <w:rsid w:val="00766B8A"/>
    <w:rsid w:val="00766BEB"/>
    <w:rsid w:val="00766D70"/>
    <w:rsid w:val="00766F85"/>
    <w:rsid w:val="0076705C"/>
    <w:rsid w:val="007670D2"/>
    <w:rsid w:val="00767265"/>
    <w:rsid w:val="007673BF"/>
    <w:rsid w:val="00767513"/>
    <w:rsid w:val="0076754A"/>
    <w:rsid w:val="0076767E"/>
    <w:rsid w:val="00767730"/>
    <w:rsid w:val="007677D1"/>
    <w:rsid w:val="00767A1F"/>
    <w:rsid w:val="00767B07"/>
    <w:rsid w:val="00767CE9"/>
    <w:rsid w:val="00767F08"/>
    <w:rsid w:val="00770021"/>
    <w:rsid w:val="00770093"/>
    <w:rsid w:val="007700CD"/>
    <w:rsid w:val="007703B0"/>
    <w:rsid w:val="0077083B"/>
    <w:rsid w:val="007709E3"/>
    <w:rsid w:val="00770A5E"/>
    <w:rsid w:val="00770A95"/>
    <w:rsid w:val="00770BA2"/>
    <w:rsid w:val="00770C03"/>
    <w:rsid w:val="00770C0B"/>
    <w:rsid w:val="00770D38"/>
    <w:rsid w:val="00770DD6"/>
    <w:rsid w:val="00770EDD"/>
    <w:rsid w:val="007712D8"/>
    <w:rsid w:val="00771368"/>
    <w:rsid w:val="007716B4"/>
    <w:rsid w:val="0077172D"/>
    <w:rsid w:val="00771780"/>
    <w:rsid w:val="007718E6"/>
    <w:rsid w:val="0077195D"/>
    <w:rsid w:val="00771BB5"/>
    <w:rsid w:val="00772185"/>
    <w:rsid w:val="0077221B"/>
    <w:rsid w:val="00772264"/>
    <w:rsid w:val="0077226A"/>
    <w:rsid w:val="00772304"/>
    <w:rsid w:val="0077242E"/>
    <w:rsid w:val="00772578"/>
    <w:rsid w:val="007727DD"/>
    <w:rsid w:val="00772A10"/>
    <w:rsid w:val="00772A3A"/>
    <w:rsid w:val="00772B24"/>
    <w:rsid w:val="00772B4E"/>
    <w:rsid w:val="00772C9E"/>
    <w:rsid w:val="00772D3C"/>
    <w:rsid w:val="00772DC1"/>
    <w:rsid w:val="00772F32"/>
    <w:rsid w:val="007735DA"/>
    <w:rsid w:val="007736E4"/>
    <w:rsid w:val="007737C7"/>
    <w:rsid w:val="0077389B"/>
    <w:rsid w:val="007739AC"/>
    <w:rsid w:val="00773BC7"/>
    <w:rsid w:val="00773C2A"/>
    <w:rsid w:val="007742BC"/>
    <w:rsid w:val="00774371"/>
    <w:rsid w:val="007743DB"/>
    <w:rsid w:val="007743EE"/>
    <w:rsid w:val="007746B8"/>
    <w:rsid w:val="0077478E"/>
    <w:rsid w:val="0077499A"/>
    <w:rsid w:val="00774B33"/>
    <w:rsid w:val="00774D8E"/>
    <w:rsid w:val="00774D92"/>
    <w:rsid w:val="00774DA8"/>
    <w:rsid w:val="00774E00"/>
    <w:rsid w:val="00774E03"/>
    <w:rsid w:val="00775003"/>
    <w:rsid w:val="0077522A"/>
    <w:rsid w:val="00775273"/>
    <w:rsid w:val="007752EF"/>
    <w:rsid w:val="007758A0"/>
    <w:rsid w:val="00775A35"/>
    <w:rsid w:val="00775BD3"/>
    <w:rsid w:val="00775F39"/>
    <w:rsid w:val="00775F6A"/>
    <w:rsid w:val="0077611C"/>
    <w:rsid w:val="007766B4"/>
    <w:rsid w:val="00776982"/>
    <w:rsid w:val="007769AF"/>
    <w:rsid w:val="00776A29"/>
    <w:rsid w:val="00776C7F"/>
    <w:rsid w:val="00776CFE"/>
    <w:rsid w:val="00776D94"/>
    <w:rsid w:val="00776E26"/>
    <w:rsid w:val="00776F92"/>
    <w:rsid w:val="00776FE7"/>
    <w:rsid w:val="0077713C"/>
    <w:rsid w:val="00777182"/>
    <w:rsid w:val="007771A7"/>
    <w:rsid w:val="00777335"/>
    <w:rsid w:val="0077742A"/>
    <w:rsid w:val="0077755C"/>
    <w:rsid w:val="00777708"/>
    <w:rsid w:val="00777775"/>
    <w:rsid w:val="007777E4"/>
    <w:rsid w:val="007778B8"/>
    <w:rsid w:val="00777A46"/>
    <w:rsid w:val="00777B22"/>
    <w:rsid w:val="00777C81"/>
    <w:rsid w:val="00777E45"/>
    <w:rsid w:val="00777E71"/>
    <w:rsid w:val="00777F85"/>
    <w:rsid w:val="0078002E"/>
    <w:rsid w:val="007800A5"/>
    <w:rsid w:val="00780122"/>
    <w:rsid w:val="0078020E"/>
    <w:rsid w:val="007802E1"/>
    <w:rsid w:val="00780B51"/>
    <w:rsid w:val="00780BE0"/>
    <w:rsid w:val="00780C19"/>
    <w:rsid w:val="00780C27"/>
    <w:rsid w:val="0078126F"/>
    <w:rsid w:val="00781316"/>
    <w:rsid w:val="007814DC"/>
    <w:rsid w:val="00781643"/>
    <w:rsid w:val="00781A02"/>
    <w:rsid w:val="00781C09"/>
    <w:rsid w:val="00781C85"/>
    <w:rsid w:val="00781CFC"/>
    <w:rsid w:val="00781D00"/>
    <w:rsid w:val="00781DD0"/>
    <w:rsid w:val="00781E8A"/>
    <w:rsid w:val="00781EAD"/>
    <w:rsid w:val="007821AC"/>
    <w:rsid w:val="007821EB"/>
    <w:rsid w:val="00782589"/>
    <w:rsid w:val="007825F4"/>
    <w:rsid w:val="00782675"/>
    <w:rsid w:val="007826D9"/>
    <w:rsid w:val="007828D5"/>
    <w:rsid w:val="0078296C"/>
    <w:rsid w:val="00782AD9"/>
    <w:rsid w:val="00782C41"/>
    <w:rsid w:val="00782CC2"/>
    <w:rsid w:val="00782F6E"/>
    <w:rsid w:val="0078302D"/>
    <w:rsid w:val="007830F3"/>
    <w:rsid w:val="007834EC"/>
    <w:rsid w:val="007835BB"/>
    <w:rsid w:val="007835EF"/>
    <w:rsid w:val="00783616"/>
    <w:rsid w:val="0078382C"/>
    <w:rsid w:val="00783C5E"/>
    <w:rsid w:val="00783E3A"/>
    <w:rsid w:val="00783F1E"/>
    <w:rsid w:val="00783F21"/>
    <w:rsid w:val="00784076"/>
    <w:rsid w:val="00784116"/>
    <w:rsid w:val="007843F2"/>
    <w:rsid w:val="007844B0"/>
    <w:rsid w:val="007844C8"/>
    <w:rsid w:val="007844FB"/>
    <w:rsid w:val="00784532"/>
    <w:rsid w:val="007845DE"/>
    <w:rsid w:val="007846C7"/>
    <w:rsid w:val="007846FA"/>
    <w:rsid w:val="00784717"/>
    <w:rsid w:val="0078484C"/>
    <w:rsid w:val="00784862"/>
    <w:rsid w:val="00784C30"/>
    <w:rsid w:val="00784D47"/>
    <w:rsid w:val="00784D59"/>
    <w:rsid w:val="00784E6D"/>
    <w:rsid w:val="00785408"/>
    <w:rsid w:val="007855F0"/>
    <w:rsid w:val="007858E8"/>
    <w:rsid w:val="00785994"/>
    <w:rsid w:val="00785A97"/>
    <w:rsid w:val="00785A9F"/>
    <w:rsid w:val="00785ADD"/>
    <w:rsid w:val="00785C20"/>
    <w:rsid w:val="00785E59"/>
    <w:rsid w:val="0078607B"/>
    <w:rsid w:val="007860CE"/>
    <w:rsid w:val="00786110"/>
    <w:rsid w:val="007861A0"/>
    <w:rsid w:val="00786238"/>
    <w:rsid w:val="00786350"/>
    <w:rsid w:val="007863DE"/>
    <w:rsid w:val="007864EF"/>
    <w:rsid w:val="00786530"/>
    <w:rsid w:val="007869C5"/>
    <w:rsid w:val="00786BA0"/>
    <w:rsid w:val="00786BCC"/>
    <w:rsid w:val="00786C74"/>
    <w:rsid w:val="00787228"/>
    <w:rsid w:val="007873EE"/>
    <w:rsid w:val="0078753D"/>
    <w:rsid w:val="00787714"/>
    <w:rsid w:val="00787CE8"/>
    <w:rsid w:val="00790077"/>
    <w:rsid w:val="00790204"/>
    <w:rsid w:val="0079021F"/>
    <w:rsid w:val="0079048F"/>
    <w:rsid w:val="0079071B"/>
    <w:rsid w:val="00790A3F"/>
    <w:rsid w:val="00790B42"/>
    <w:rsid w:val="00791213"/>
    <w:rsid w:val="00791794"/>
    <w:rsid w:val="0079183D"/>
    <w:rsid w:val="0079198E"/>
    <w:rsid w:val="00792012"/>
    <w:rsid w:val="007924DF"/>
    <w:rsid w:val="0079258F"/>
    <w:rsid w:val="007925DF"/>
    <w:rsid w:val="007925E3"/>
    <w:rsid w:val="00792763"/>
    <w:rsid w:val="0079276F"/>
    <w:rsid w:val="00792DA1"/>
    <w:rsid w:val="00793048"/>
    <w:rsid w:val="007934A2"/>
    <w:rsid w:val="00793558"/>
    <w:rsid w:val="00793768"/>
    <w:rsid w:val="00793834"/>
    <w:rsid w:val="00793B73"/>
    <w:rsid w:val="00793D0A"/>
    <w:rsid w:val="00793D3E"/>
    <w:rsid w:val="00793DBE"/>
    <w:rsid w:val="00793FD1"/>
    <w:rsid w:val="00794003"/>
    <w:rsid w:val="00794289"/>
    <w:rsid w:val="007942B4"/>
    <w:rsid w:val="007942F7"/>
    <w:rsid w:val="00794402"/>
    <w:rsid w:val="007944F3"/>
    <w:rsid w:val="0079456F"/>
    <w:rsid w:val="007946B4"/>
    <w:rsid w:val="0079478E"/>
    <w:rsid w:val="0079480D"/>
    <w:rsid w:val="00794AD4"/>
    <w:rsid w:val="00794E1D"/>
    <w:rsid w:val="00795014"/>
    <w:rsid w:val="0079524B"/>
    <w:rsid w:val="0079527B"/>
    <w:rsid w:val="0079572D"/>
    <w:rsid w:val="007957E6"/>
    <w:rsid w:val="0079598D"/>
    <w:rsid w:val="00795A54"/>
    <w:rsid w:val="00795E4D"/>
    <w:rsid w:val="00795E59"/>
    <w:rsid w:val="007960BD"/>
    <w:rsid w:val="007963D6"/>
    <w:rsid w:val="00796420"/>
    <w:rsid w:val="0079642F"/>
    <w:rsid w:val="0079651B"/>
    <w:rsid w:val="0079674D"/>
    <w:rsid w:val="00796787"/>
    <w:rsid w:val="007968F1"/>
    <w:rsid w:val="007969D1"/>
    <w:rsid w:val="00796A56"/>
    <w:rsid w:val="00796B7A"/>
    <w:rsid w:val="00796E45"/>
    <w:rsid w:val="00796EC1"/>
    <w:rsid w:val="00796EEB"/>
    <w:rsid w:val="007970CA"/>
    <w:rsid w:val="007970F9"/>
    <w:rsid w:val="00797352"/>
    <w:rsid w:val="007973E5"/>
    <w:rsid w:val="0079747B"/>
    <w:rsid w:val="00797A47"/>
    <w:rsid w:val="007A0070"/>
    <w:rsid w:val="007A00E6"/>
    <w:rsid w:val="007A024F"/>
    <w:rsid w:val="007A02FF"/>
    <w:rsid w:val="007A0460"/>
    <w:rsid w:val="007A0466"/>
    <w:rsid w:val="007A0470"/>
    <w:rsid w:val="007A0616"/>
    <w:rsid w:val="007A06EB"/>
    <w:rsid w:val="007A07EE"/>
    <w:rsid w:val="007A08AA"/>
    <w:rsid w:val="007A0907"/>
    <w:rsid w:val="007A0969"/>
    <w:rsid w:val="007A0A12"/>
    <w:rsid w:val="007A0B43"/>
    <w:rsid w:val="007A0BD9"/>
    <w:rsid w:val="007A0C5F"/>
    <w:rsid w:val="007A132D"/>
    <w:rsid w:val="007A1345"/>
    <w:rsid w:val="007A13D6"/>
    <w:rsid w:val="007A1A5A"/>
    <w:rsid w:val="007A1E22"/>
    <w:rsid w:val="007A202B"/>
    <w:rsid w:val="007A2205"/>
    <w:rsid w:val="007A271D"/>
    <w:rsid w:val="007A28E0"/>
    <w:rsid w:val="007A2912"/>
    <w:rsid w:val="007A2B6D"/>
    <w:rsid w:val="007A2B96"/>
    <w:rsid w:val="007A2CEA"/>
    <w:rsid w:val="007A2DDB"/>
    <w:rsid w:val="007A308F"/>
    <w:rsid w:val="007A30CB"/>
    <w:rsid w:val="007A349B"/>
    <w:rsid w:val="007A34D2"/>
    <w:rsid w:val="007A3516"/>
    <w:rsid w:val="007A3591"/>
    <w:rsid w:val="007A359E"/>
    <w:rsid w:val="007A3926"/>
    <w:rsid w:val="007A3B7C"/>
    <w:rsid w:val="007A4269"/>
    <w:rsid w:val="007A433A"/>
    <w:rsid w:val="007A43C8"/>
    <w:rsid w:val="007A4420"/>
    <w:rsid w:val="007A4443"/>
    <w:rsid w:val="007A48AD"/>
    <w:rsid w:val="007A4979"/>
    <w:rsid w:val="007A4B7A"/>
    <w:rsid w:val="007A4D3D"/>
    <w:rsid w:val="007A4EAA"/>
    <w:rsid w:val="007A526D"/>
    <w:rsid w:val="007A5349"/>
    <w:rsid w:val="007A538B"/>
    <w:rsid w:val="007A5417"/>
    <w:rsid w:val="007A548E"/>
    <w:rsid w:val="007A57D3"/>
    <w:rsid w:val="007A5AAE"/>
    <w:rsid w:val="007A5FAD"/>
    <w:rsid w:val="007A6203"/>
    <w:rsid w:val="007A63C0"/>
    <w:rsid w:val="007A651C"/>
    <w:rsid w:val="007A6527"/>
    <w:rsid w:val="007A672D"/>
    <w:rsid w:val="007A70BA"/>
    <w:rsid w:val="007A7255"/>
    <w:rsid w:val="007A72FB"/>
    <w:rsid w:val="007A747C"/>
    <w:rsid w:val="007A759C"/>
    <w:rsid w:val="007A7657"/>
    <w:rsid w:val="007A770C"/>
    <w:rsid w:val="007A79CF"/>
    <w:rsid w:val="007A7B15"/>
    <w:rsid w:val="007A7C0D"/>
    <w:rsid w:val="007A7D84"/>
    <w:rsid w:val="007B00F8"/>
    <w:rsid w:val="007B05B9"/>
    <w:rsid w:val="007B0689"/>
    <w:rsid w:val="007B06DA"/>
    <w:rsid w:val="007B0981"/>
    <w:rsid w:val="007B0A87"/>
    <w:rsid w:val="007B0CF4"/>
    <w:rsid w:val="007B0D68"/>
    <w:rsid w:val="007B0E25"/>
    <w:rsid w:val="007B0EB3"/>
    <w:rsid w:val="007B1041"/>
    <w:rsid w:val="007B11B9"/>
    <w:rsid w:val="007B1521"/>
    <w:rsid w:val="007B15A3"/>
    <w:rsid w:val="007B1625"/>
    <w:rsid w:val="007B1635"/>
    <w:rsid w:val="007B16EE"/>
    <w:rsid w:val="007B174C"/>
    <w:rsid w:val="007B1A49"/>
    <w:rsid w:val="007B1A94"/>
    <w:rsid w:val="007B1AD6"/>
    <w:rsid w:val="007B1B3A"/>
    <w:rsid w:val="007B1D92"/>
    <w:rsid w:val="007B1EA4"/>
    <w:rsid w:val="007B1F7F"/>
    <w:rsid w:val="007B250C"/>
    <w:rsid w:val="007B251D"/>
    <w:rsid w:val="007B2597"/>
    <w:rsid w:val="007B25F7"/>
    <w:rsid w:val="007B266B"/>
    <w:rsid w:val="007B269A"/>
    <w:rsid w:val="007B27F9"/>
    <w:rsid w:val="007B2801"/>
    <w:rsid w:val="007B306A"/>
    <w:rsid w:val="007B31DC"/>
    <w:rsid w:val="007B338C"/>
    <w:rsid w:val="007B347E"/>
    <w:rsid w:val="007B3533"/>
    <w:rsid w:val="007B37E2"/>
    <w:rsid w:val="007B3CE9"/>
    <w:rsid w:val="007B3FD1"/>
    <w:rsid w:val="007B46CF"/>
    <w:rsid w:val="007B485C"/>
    <w:rsid w:val="007B49EE"/>
    <w:rsid w:val="007B4CAA"/>
    <w:rsid w:val="007B4D21"/>
    <w:rsid w:val="007B4D8D"/>
    <w:rsid w:val="007B4F58"/>
    <w:rsid w:val="007B4FD1"/>
    <w:rsid w:val="007B506A"/>
    <w:rsid w:val="007B50D3"/>
    <w:rsid w:val="007B5155"/>
    <w:rsid w:val="007B51CC"/>
    <w:rsid w:val="007B528D"/>
    <w:rsid w:val="007B54FE"/>
    <w:rsid w:val="007B5538"/>
    <w:rsid w:val="007B5600"/>
    <w:rsid w:val="007B5719"/>
    <w:rsid w:val="007B5A80"/>
    <w:rsid w:val="007B5E8E"/>
    <w:rsid w:val="007B5FB0"/>
    <w:rsid w:val="007B61C1"/>
    <w:rsid w:val="007B62CE"/>
    <w:rsid w:val="007B63CA"/>
    <w:rsid w:val="007B6564"/>
    <w:rsid w:val="007B6958"/>
    <w:rsid w:val="007B698F"/>
    <w:rsid w:val="007B6AC6"/>
    <w:rsid w:val="007B6DB8"/>
    <w:rsid w:val="007B707A"/>
    <w:rsid w:val="007B7210"/>
    <w:rsid w:val="007B74AD"/>
    <w:rsid w:val="007B74D8"/>
    <w:rsid w:val="007B75DF"/>
    <w:rsid w:val="007B7676"/>
    <w:rsid w:val="007B7697"/>
    <w:rsid w:val="007B76AB"/>
    <w:rsid w:val="007B77D1"/>
    <w:rsid w:val="007B7A30"/>
    <w:rsid w:val="007B7A3F"/>
    <w:rsid w:val="007C000E"/>
    <w:rsid w:val="007C00FA"/>
    <w:rsid w:val="007C01E8"/>
    <w:rsid w:val="007C045C"/>
    <w:rsid w:val="007C07C7"/>
    <w:rsid w:val="007C09B9"/>
    <w:rsid w:val="007C0A2C"/>
    <w:rsid w:val="007C0C77"/>
    <w:rsid w:val="007C0FA3"/>
    <w:rsid w:val="007C12B9"/>
    <w:rsid w:val="007C148E"/>
    <w:rsid w:val="007C160F"/>
    <w:rsid w:val="007C164A"/>
    <w:rsid w:val="007C16C3"/>
    <w:rsid w:val="007C1818"/>
    <w:rsid w:val="007C1A08"/>
    <w:rsid w:val="007C1CD9"/>
    <w:rsid w:val="007C1F78"/>
    <w:rsid w:val="007C1FD9"/>
    <w:rsid w:val="007C2124"/>
    <w:rsid w:val="007C22D8"/>
    <w:rsid w:val="007C2342"/>
    <w:rsid w:val="007C23AF"/>
    <w:rsid w:val="007C2582"/>
    <w:rsid w:val="007C265A"/>
    <w:rsid w:val="007C271E"/>
    <w:rsid w:val="007C27F1"/>
    <w:rsid w:val="007C2A86"/>
    <w:rsid w:val="007C2AA2"/>
    <w:rsid w:val="007C2AB3"/>
    <w:rsid w:val="007C2AEF"/>
    <w:rsid w:val="007C2B09"/>
    <w:rsid w:val="007C2DC7"/>
    <w:rsid w:val="007C302F"/>
    <w:rsid w:val="007C3041"/>
    <w:rsid w:val="007C3210"/>
    <w:rsid w:val="007C32EF"/>
    <w:rsid w:val="007C3328"/>
    <w:rsid w:val="007C343E"/>
    <w:rsid w:val="007C361D"/>
    <w:rsid w:val="007C3992"/>
    <w:rsid w:val="007C3E42"/>
    <w:rsid w:val="007C3F05"/>
    <w:rsid w:val="007C3FAE"/>
    <w:rsid w:val="007C400F"/>
    <w:rsid w:val="007C4066"/>
    <w:rsid w:val="007C41A7"/>
    <w:rsid w:val="007C4423"/>
    <w:rsid w:val="007C46ED"/>
    <w:rsid w:val="007C4704"/>
    <w:rsid w:val="007C471B"/>
    <w:rsid w:val="007C4788"/>
    <w:rsid w:val="007C4B84"/>
    <w:rsid w:val="007C4CC7"/>
    <w:rsid w:val="007C4F0E"/>
    <w:rsid w:val="007C5047"/>
    <w:rsid w:val="007C54BB"/>
    <w:rsid w:val="007C5514"/>
    <w:rsid w:val="007C5714"/>
    <w:rsid w:val="007C574F"/>
    <w:rsid w:val="007C5F44"/>
    <w:rsid w:val="007C6109"/>
    <w:rsid w:val="007C6178"/>
    <w:rsid w:val="007C6418"/>
    <w:rsid w:val="007C646D"/>
    <w:rsid w:val="007C65D3"/>
    <w:rsid w:val="007C65EE"/>
    <w:rsid w:val="007C66A7"/>
    <w:rsid w:val="007C6A74"/>
    <w:rsid w:val="007C6C6E"/>
    <w:rsid w:val="007C6C9F"/>
    <w:rsid w:val="007C6CF0"/>
    <w:rsid w:val="007C6E0A"/>
    <w:rsid w:val="007C70FF"/>
    <w:rsid w:val="007C7180"/>
    <w:rsid w:val="007C718B"/>
    <w:rsid w:val="007C747E"/>
    <w:rsid w:val="007C75B3"/>
    <w:rsid w:val="007C76FF"/>
    <w:rsid w:val="007C773F"/>
    <w:rsid w:val="007C7A9A"/>
    <w:rsid w:val="007C7C25"/>
    <w:rsid w:val="007C7F4A"/>
    <w:rsid w:val="007D004F"/>
    <w:rsid w:val="007D035F"/>
    <w:rsid w:val="007D05B9"/>
    <w:rsid w:val="007D06B2"/>
    <w:rsid w:val="007D07B2"/>
    <w:rsid w:val="007D0895"/>
    <w:rsid w:val="007D09CA"/>
    <w:rsid w:val="007D0AED"/>
    <w:rsid w:val="007D0B38"/>
    <w:rsid w:val="007D0E7D"/>
    <w:rsid w:val="007D111F"/>
    <w:rsid w:val="007D1191"/>
    <w:rsid w:val="007D15FF"/>
    <w:rsid w:val="007D1612"/>
    <w:rsid w:val="007D175B"/>
    <w:rsid w:val="007D19FB"/>
    <w:rsid w:val="007D1A2F"/>
    <w:rsid w:val="007D1A52"/>
    <w:rsid w:val="007D1BF0"/>
    <w:rsid w:val="007D1BF3"/>
    <w:rsid w:val="007D1C3B"/>
    <w:rsid w:val="007D1DC0"/>
    <w:rsid w:val="007D1FE1"/>
    <w:rsid w:val="007D21EB"/>
    <w:rsid w:val="007D22CF"/>
    <w:rsid w:val="007D22E0"/>
    <w:rsid w:val="007D23D5"/>
    <w:rsid w:val="007D267B"/>
    <w:rsid w:val="007D2863"/>
    <w:rsid w:val="007D30A5"/>
    <w:rsid w:val="007D339C"/>
    <w:rsid w:val="007D3436"/>
    <w:rsid w:val="007D3C6C"/>
    <w:rsid w:val="007D3FF5"/>
    <w:rsid w:val="007D4164"/>
    <w:rsid w:val="007D42CC"/>
    <w:rsid w:val="007D4837"/>
    <w:rsid w:val="007D4958"/>
    <w:rsid w:val="007D49B0"/>
    <w:rsid w:val="007D49C9"/>
    <w:rsid w:val="007D4B95"/>
    <w:rsid w:val="007D4F87"/>
    <w:rsid w:val="007D4FB6"/>
    <w:rsid w:val="007D4FE3"/>
    <w:rsid w:val="007D505D"/>
    <w:rsid w:val="007D5440"/>
    <w:rsid w:val="007D554D"/>
    <w:rsid w:val="007D5556"/>
    <w:rsid w:val="007D5681"/>
    <w:rsid w:val="007D5751"/>
    <w:rsid w:val="007D57C5"/>
    <w:rsid w:val="007D57D9"/>
    <w:rsid w:val="007D57F2"/>
    <w:rsid w:val="007D5846"/>
    <w:rsid w:val="007D58FB"/>
    <w:rsid w:val="007D59BE"/>
    <w:rsid w:val="007D5B8D"/>
    <w:rsid w:val="007D5C13"/>
    <w:rsid w:val="007D5CDB"/>
    <w:rsid w:val="007D6060"/>
    <w:rsid w:val="007D60C8"/>
    <w:rsid w:val="007D6426"/>
    <w:rsid w:val="007D643B"/>
    <w:rsid w:val="007D649B"/>
    <w:rsid w:val="007D69EB"/>
    <w:rsid w:val="007D6ED9"/>
    <w:rsid w:val="007D6EE7"/>
    <w:rsid w:val="007D7110"/>
    <w:rsid w:val="007D727B"/>
    <w:rsid w:val="007D7363"/>
    <w:rsid w:val="007D7703"/>
    <w:rsid w:val="007D78FB"/>
    <w:rsid w:val="007D799B"/>
    <w:rsid w:val="007D7BF3"/>
    <w:rsid w:val="007D7C1E"/>
    <w:rsid w:val="007E0021"/>
    <w:rsid w:val="007E01DA"/>
    <w:rsid w:val="007E038F"/>
    <w:rsid w:val="007E0553"/>
    <w:rsid w:val="007E05D4"/>
    <w:rsid w:val="007E0758"/>
    <w:rsid w:val="007E09A8"/>
    <w:rsid w:val="007E0B25"/>
    <w:rsid w:val="007E0D65"/>
    <w:rsid w:val="007E0DAC"/>
    <w:rsid w:val="007E0E94"/>
    <w:rsid w:val="007E0FD3"/>
    <w:rsid w:val="007E105E"/>
    <w:rsid w:val="007E128F"/>
    <w:rsid w:val="007E1366"/>
    <w:rsid w:val="007E16DB"/>
    <w:rsid w:val="007E170F"/>
    <w:rsid w:val="007E181A"/>
    <w:rsid w:val="007E186E"/>
    <w:rsid w:val="007E18D0"/>
    <w:rsid w:val="007E18E9"/>
    <w:rsid w:val="007E1AF3"/>
    <w:rsid w:val="007E2090"/>
    <w:rsid w:val="007E23DE"/>
    <w:rsid w:val="007E2491"/>
    <w:rsid w:val="007E24DE"/>
    <w:rsid w:val="007E2670"/>
    <w:rsid w:val="007E297C"/>
    <w:rsid w:val="007E2AC3"/>
    <w:rsid w:val="007E2B70"/>
    <w:rsid w:val="007E2C26"/>
    <w:rsid w:val="007E2DE0"/>
    <w:rsid w:val="007E2EE1"/>
    <w:rsid w:val="007E2FCA"/>
    <w:rsid w:val="007E33B2"/>
    <w:rsid w:val="007E35E6"/>
    <w:rsid w:val="007E36DF"/>
    <w:rsid w:val="007E386E"/>
    <w:rsid w:val="007E3876"/>
    <w:rsid w:val="007E387A"/>
    <w:rsid w:val="007E38CF"/>
    <w:rsid w:val="007E3924"/>
    <w:rsid w:val="007E3A12"/>
    <w:rsid w:val="007E3C10"/>
    <w:rsid w:val="007E3C49"/>
    <w:rsid w:val="007E475B"/>
    <w:rsid w:val="007E4867"/>
    <w:rsid w:val="007E4CC8"/>
    <w:rsid w:val="007E4E9D"/>
    <w:rsid w:val="007E4F08"/>
    <w:rsid w:val="007E5216"/>
    <w:rsid w:val="007E53F9"/>
    <w:rsid w:val="007E5449"/>
    <w:rsid w:val="007E5504"/>
    <w:rsid w:val="007E5644"/>
    <w:rsid w:val="007E56FF"/>
    <w:rsid w:val="007E5789"/>
    <w:rsid w:val="007E5972"/>
    <w:rsid w:val="007E5B07"/>
    <w:rsid w:val="007E5BA3"/>
    <w:rsid w:val="007E5BD8"/>
    <w:rsid w:val="007E614A"/>
    <w:rsid w:val="007E6193"/>
    <w:rsid w:val="007E68C0"/>
    <w:rsid w:val="007E6980"/>
    <w:rsid w:val="007E6D10"/>
    <w:rsid w:val="007E6D14"/>
    <w:rsid w:val="007E6E74"/>
    <w:rsid w:val="007E71B2"/>
    <w:rsid w:val="007E733F"/>
    <w:rsid w:val="007E73D3"/>
    <w:rsid w:val="007E75B5"/>
    <w:rsid w:val="007E7651"/>
    <w:rsid w:val="007E7669"/>
    <w:rsid w:val="007E766C"/>
    <w:rsid w:val="007E7D85"/>
    <w:rsid w:val="007E7DAE"/>
    <w:rsid w:val="007E7E08"/>
    <w:rsid w:val="007E7E98"/>
    <w:rsid w:val="007E7FCF"/>
    <w:rsid w:val="007E7FF9"/>
    <w:rsid w:val="007F0209"/>
    <w:rsid w:val="007F0538"/>
    <w:rsid w:val="007F05AC"/>
    <w:rsid w:val="007F0869"/>
    <w:rsid w:val="007F0934"/>
    <w:rsid w:val="007F0A35"/>
    <w:rsid w:val="007F0C0F"/>
    <w:rsid w:val="007F0C2C"/>
    <w:rsid w:val="007F0C77"/>
    <w:rsid w:val="007F0D4B"/>
    <w:rsid w:val="007F0D5E"/>
    <w:rsid w:val="007F0E1E"/>
    <w:rsid w:val="007F0FE7"/>
    <w:rsid w:val="007F1015"/>
    <w:rsid w:val="007F1017"/>
    <w:rsid w:val="007F102D"/>
    <w:rsid w:val="007F103C"/>
    <w:rsid w:val="007F1326"/>
    <w:rsid w:val="007F1395"/>
    <w:rsid w:val="007F1F4F"/>
    <w:rsid w:val="007F1FC2"/>
    <w:rsid w:val="007F2346"/>
    <w:rsid w:val="007F27AE"/>
    <w:rsid w:val="007F29F7"/>
    <w:rsid w:val="007F2A24"/>
    <w:rsid w:val="007F2EC0"/>
    <w:rsid w:val="007F302C"/>
    <w:rsid w:val="007F34F0"/>
    <w:rsid w:val="007F35EB"/>
    <w:rsid w:val="007F3679"/>
    <w:rsid w:val="007F367A"/>
    <w:rsid w:val="007F375D"/>
    <w:rsid w:val="007F377F"/>
    <w:rsid w:val="007F3851"/>
    <w:rsid w:val="007F38A6"/>
    <w:rsid w:val="007F3BF0"/>
    <w:rsid w:val="007F3BFF"/>
    <w:rsid w:val="007F3C16"/>
    <w:rsid w:val="007F3D9A"/>
    <w:rsid w:val="007F451A"/>
    <w:rsid w:val="007F467F"/>
    <w:rsid w:val="007F47B3"/>
    <w:rsid w:val="007F4A3F"/>
    <w:rsid w:val="007F4A61"/>
    <w:rsid w:val="007F4E30"/>
    <w:rsid w:val="007F4E3F"/>
    <w:rsid w:val="007F4FB0"/>
    <w:rsid w:val="007F4FF9"/>
    <w:rsid w:val="007F5255"/>
    <w:rsid w:val="007F53A6"/>
    <w:rsid w:val="007F56CC"/>
    <w:rsid w:val="007F57D1"/>
    <w:rsid w:val="007F57DD"/>
    <w:rsid w:val="007F5816"/>
    <w:rsid w:val="007F582A"/>
    <w:rsid w:val="007F5A2E"/>
    <w:rsid w:val="007F5B13"/>
    <w:rsid w:val="007F5EF5"/>
    <w:rsid w:val="007F61C2"/>
    <w:rsid w:val="007F623B"/>
    <w:rsid w:val="007F64EE"/>
    <w:rsid w:val="007F67AE"/>
    <w:rsid w:val="007F684E"/>
    <w:rsid w:val="007F6936"/>
    <w:rsid w:val="007F6D04"/>
    <w:rsid w:val="007F6E99"/>
    <w:rsid w:val="007F7488"/>
    <w:rsid w:val="007F756C"/>
    <w:rsid w:val="007F7993"/>
    <w:rsid w:val="007F7A4F"/>
    <w:rsid w:val="007F7A75"/>
    <w:rsid w:val="007F7FFD"/>
    <w:rsid w:val="008000AF"/>
    <w:rsid w:val="00800151"/>
    <w:rsid w:val="00800306"/>
    <w:rsid w:val="008007DC"/>
    <w:rsid w:val="00800A40"/>
    <w:rsid w:val="00800AFF"/>
    <w:rsid w:val="00800C30"/>
    <w:rsid w:val="00800CD9"/>
    <w:rsid w:val="00800FE9"/>
    <w:rsid w:val="00801103"/>
    <w:rsid w:val="008011F4"/>
    <w:rsid w:val="00801357"/>
    <w:rsid w:val="0080148A"/>
    <w:rsid w:val="008014AD"/>
    <w:rsid w:val="008015E4"/>
    <w:rsid w:val="00801906"/>
    <w:rsid w:val="00801A2C"/>
    <w:rsid w:val="00801E06"/>
    <w:rsid w:val="00802103"/>
    <w:rsid w:val="008022F7"/>
    <w:rsid w:val="00802407"/>
    <w:rsid w:val="00802599"/>
    <w:rsid w:val="008027C4"/>
    <w:rsid w:val="008027F0"/>
    <w:rsid w:val="00802C73"/>
    <w:rsid w:val="00802D13"/>
    <w:rsid w:val="00802D68"/>
    <w:rsid w:val="008030F0"/>
    <w:rsid w:val="008031D2"/>
    <w:rsid w:val="008031E0"/>
    <w:rsid w:val="008032FE"/>
    <w:rsid w:val="00803690"/>
    <w:rsid w:val="008036AC"/>
    <w:rsid w:val="0080378B"/>
    <w:rsid w:val="008037C9"/>
    <w:rsid w:val="00803AB3"/>
    <w:rsid w:val="00803BDF"/>
    <w:rsid w:val="00803C8D"/>
    <w:rsid w:val="00803F86"/>
    <w:rsid w:val="0080412C"/>
    <w:rsid w:val="00804438"/>
    <w:rsid w:val="008044CF"/>
    <w:rsid w:val="00804A73"/>
    <w:rsid w:val="00804A7F"/>
    <w:rsid w:val="00804B04"/>
    <w:rsid w:val="00804DF1"/>
    <w:rsid w:val="008050B5"/>
    <w:rsid w:val="00805142"/>
    <w:rsid w:val="0080533A"/>
    <w:rsid w:val="0080535A"/>
    <w:rsid w:val="008054B6"/>
    <w:rsid w:val="00805516"/>
    <w:rsid w:val="0080566B"/>
    <w:rsid w:val="00805735"/>
    <w:rsid w:val="0080578A"/>
    <w:rsid w:val="0080590B"/>
    <w:rsid w:val="00805950"/>
    <w:rsid w:val="00805DD7"/>
    <w:rsid w:val="00805EBC"/>
    <w:rsid w:val="00805F48"/>
    <w:rsid w:val="00805F7B"/>
    <w:rsid w:val="00805FCE"/>
    <w:rsid w:val="008063F6"/>
    <w:rsid w:val="00806833"/>
    <w:rsid w:val="008068E9"/>
    <w:rsid w:val="00806962"/>
    <w:rsid w:val="00806B8A"/>
    <w:rsid w:val="00806BAC"/>
    <w:rsid w:val="00807035"/>
    <w:rsid w:val="00807070"/>
    <w:rsid w:val="008071D5"/>
    <w:rsid w:val="00807319"/>
    <w:rsid w:val="008075A6"/>
    <w:rsid w:val="008075E0"/>
    <w:rsid w:val="00807906"/>
    <w:rsid w:val="00807A8B"/>
    <w:rsid w:val="0081018A"/>
    <w:rsid w:val="008104F2"/>
    <w:rsid w:val="00810679"/>
    <w:rsid w:val="0081097D"/>
    <w:rsid w:val="00810B1C"/>
    <w:rsid w:val="00810DBA"/>
    <w:rsid w:val="0081117D"/>
    <w:rsid w:val="008112DE"/>
    <w:rsid w:val="008112F4"/>
    <w:rsid w:val="00811362"/>
    <w:rsid w:val="00811375"/>
    <w:rsid w:val="00811383"/>
    <w:rsid w:val="008114B0"/>
    <w:rsid w:val="00811AFD"/>
    <w:rsid w:val="00811C56"/>
    <w:rsid w:val="00811F0B"/>
    <w:rsid w:val="0081213C"/>
    <w:rsid w:val="00812149"/>
    <w:rsid w:val="008121CC"/>
    <w:rsid w:val="0081237A"/>
    <w:rsid w:val="008124BD"/>
    <w:rsid w:val="008124C0"/>
    <w:rsid w:val="00812CAC"/>
    <w:rsid w:val="00812CB3"/>
    <w:rsid w:val="00812D57"/>
    <w:rsid w:val="00812E49"/>
    <w:rsid w:val="0081341B"/>
    <w:rsid w:val="0081347C"/>
    <w:rsid w:val="0081368A"/>
    <w:rsid w:val="0081371C"/>
    <w:rsid w:val="00813D12"/>
    <w:rsid w:val="00813E86"/>
    <w:rsid w:val="00814076"/>
    <w:rsid w:val="008141F8"/>
    <w:rsid w:val="00814393"/>
    <w:rsid w:val="00814610"/>
    <w:rsid w:val="0081464C"/>
    <w:rsid w:val="0081480D"/>
    <w:rsid w:val="00814960"/>
    <w:rsid w:val="00814A2A"/>
    <w:rsid w:val="00814BE1"/>
    <w:rsid w:val="00814D08"/>
    <w:rsid w:val="00815256"/>
    <w:rsid w:val="008158CB"/>
    <w:rsid w:val="008159F5"/>
    <w:rsid w:val="00815A1B"/>
    <w:rsid w:val="008160A1"/>
    <w:rsid w:val="0081611E"/>
    <w:rsid w:val="00816361"/>
    <w:rsid w:val="008166EF"/>
    <w:rsid w:val="0081678A"/>
    <w:rsid w:val="00816824"/>
    <w:rsid w:val="0081684E"/>
    <w:rsid w:val="008168B8"/>
    <w:rsid w:val="0081690F"/>
    <w:rsid w:val="00816A87"/>
    <w:rsid w:val="00816B21"/>
    <w:rsid w:val="00816DAD"/>
    <w:rsid w:val="00816DF2"/>
    <w:rsid w:val="00816E88"/>
    <w:rsid w:val="00816FEF"/>
    <w:rsid w:val="0081701D"/>
    <w:rsid w:val="00817351"/>
    <w:rsid w:val="0081740B"/>
    <w:rsid w:val="0081744D"/>
    <w:rsid w:val="00817530"/>
    <w:rsid w:val="008176B7"/>
    <w:rsid w:val="00817800"/>
    <w:rsid w:val="0081796C"/>
    <w:rsid w:val="00817A32"/>
    <w:rsid w:val="00817A3F"/>
    <w:rsid w:val="00817C2C"/>
    <w:rsid w:val="00817C3B"/>
    <w:rsid w:val="00817DBA"/>
    <w:rsid w:val="00817E19"/>
    <w:rsid w:val="00817F14"/>
    <w:rsid w:val="00817F8F"/>
    <w:rsid w:val="008200FE"/>
    <w:rsid w:val="00820222"/>
    <w:rsid w:val="0082025F"/>
    <w:rsid w:val="00820A8C"/>
    <w:rsid w:val="00820E87"/>
    <w:rsid w:val="00820E8E"/>
    <w:rsid w:val="00820F35"/>
    <w:rsid w:val="00820FD6"/>
    <w:rsid w:val="0082122F"/>
    <w:rsid w:val="00821302"/>
    <w:rsid w:val="008215FB"/>
    <w:rsid w:val="00821A3B"/>
    <w:rsid w:val="00821A4E"/>
    <w:rsid w:val="00821B7B"/>
    <w:rsid w:val="00821D18"/>
    <w:rsid w:val="00821D19"/>
    <w:rsid w:val="00821D38"/>
    <w:rsid w:val="00821E95"/>
    <w:rsid w:val="00821FF6"/>
    <w:rsid w:val="008220CC"/>
    <w:rsid w:val="00822240"/>
    <w:rsid w:val="008222EC"/>
    <w:rsid w:val="00822458"/>
    <w:rsid w:val="0082245C"/>
    <w:rsid w:val="008224EA"/>
    <w:rsid w:val="00822507"/>
    <w:rsid w:val="00822872"/>
    <w:rsid w:val="00822B5E"/>
    <w:rsid w:val="00822D7D"/>
    <w:rsid w:val="00822EE4"/>
    <w:rsid w:val="008230A1"/>
    <w:rsid w:val="008230BF"/>
    <w:rsid w:val="00823174"/>
    <w:rsid w:val="008231A2"/>
    <w:rsid w:val="00823385"/>
    <w:rsid w:val="0082370A"/>
    <w:rsid w:val="00823B16"/>
    <w:rsid w:val="00823BA8"/>
    <w:rsid w:val="00823BCF"/>
    <w:rsid w:val="00823C55"/>
    <w:rsid w:val="00823D0B"/>
    <w:rsid w:val="00823E40"/>
    <w:rsid w:val="00824256"/>
    <w:rsid w:val="008244E3"/>
    <w:rsid w:val="00824534"/>
    <w:rsid w:val="00824577"/>
    <w:rsid w:val="00824830"/>
    <w:rsid w:val="008249BF"/>
    <w:rsid w:val="00824A31"/>
    <w:rsid w:val="00824A50"/>
    <w:rsid w:val="00824B23"/>
    <w:rsid w:val="008252D9"/>
    <w:rsid w:val="00825312"/>
    <w:rsid w:val="00825353"/>
    <w:rsid w:val="008255A5"/>
    <w:rsid w:val="00825751"/>
    <w:rsid w:val="008257A0"/>
    <w:rsid w:val="008257B8"/>
    <w:rsid w:val="00825B6D"/>
    <w:rsid w:val="00825BF8"/>
    <w:rsid w:val="008264AA"/>
    <w:rsid w:val="008264EB"/>
    <w:rsid w:val="00826639"/>
    <w:rsid w:val="008266DE"/>
    <w:rsid w:val="008268CE"/>
    <w:rsid w:val="00826A1C"/>
    <w:rsid w:val="00826C71"/>
    <w:rsid w:val="00826EB8"/>
    <w:rsid w:val="0082724C"/>
    <w:rsid w:val="00827524"/>
    <w:rsid w:val="008278FF"/>
    <w:rsid w:val="00827C23"/>
    <w:rsid w:val="00827C72"/>
    <w:rsid w:val="0083009B"/>
    <w:rsid w:val="0083011D"/>
    <w:rsid w:val="00830236"/>
    <w:rsid w:val="0083027D"/>
    <w:rsid w:val="008302E6"/>
    <w:rsid w:val="0083044B"/>
    <w:rsid w:val="008304FF"/>
    <w:rsid w:val="008305C8"/>
    <w:rsid w:val="0083083C"/>
    <w:rsid w:val="0083088D"/>
    <w:rsid w:val="008309EC"/>
    <w:rsid w:val="00830AB4"/>
    <w:rsid w:val="00830BCE"/>
    <w:rsid w:val="00830F9A"/>
    <w:rsid w:val="00831232"/>
    <w:rsid w:val="0083127A"/>
    <w:rsid w:val="008313C7"/>
    <w:rsid w:val="0083148F"/>
    <w:rsid w:val="008314CF"/>
    <w:rsid w:val="008316BB"/>
    <w:rsid w:val="008316C5"/>
    <w:rsid w:val="00831709"/>
    <w:rsid w:val="0083176B"/>
    <w:rsid w:val="0083181D"/>
    <w:rsid w:val="00831942"/>
    <w:rsid w:val="00831F2E"/>
    <w:rsid w:val="00831FCD"/>
    <w:rsid w:val="0083205D"/>
    <w:rsid w:val="00832331"/>
    <w:rsid w:val="00832447"/>
    <w:rsid w:val="00832610"/>
    <w:rsid w:val="00832915"/>
    <w:rsid w:val="0083298D"/>
    <w:rsid w:val="00832AA4"/>
    <w:rsid w:val="00832B5E"/>
    <w:rsid w:val="00832F27"/>
    <w:rsid w:val="0083385F"/>
    <w:rsid w:val="0083393F"/>
    <w:rsid w:val="008339B7"/>
    <w:rsid w:val="00833B05"/>
    <w:rsid w:val="00833B62"/>
    <w:rsid w:val="00833DB4"/>
    <w:rsid w:val="0083442D"/>
    <w:rsid w:val="0083445A"/>
    <w:rsid w:val="008344A8"/>
    <w:rsid w:val="00834880"/>
    <w:rsid w:val="008348B6"/>
    <w:rsid w:val="0083494B"/>
    <w:rsid w:val="00834A9D"/>
    <w:rsid w:val="00834B91"/>
    <w:rsid w:val="00834C69"/>
    <w:rsid w:val="008350C1"/>
    <w:rsid w:val="0083522C"/>
    <w:rsid w:val="008353A8"/>
    <w:rsid w:val="008353EC"/>
    <w:rsid w:val="008355A5"/>
    <w:rsid w:val="0083567A"/>
    <w:rsid w:val="0083595B"/>
    <w:rsid w:val="008359AF"/>
    <w:rsid w:val="00835A68"/>
    <w:rsid w:val="00835C6E"/>
    <w:rsid w:val="00835DED"/>
    <w:rsid w:val="008362B4"/>
    <w:rsid w:val="008362F6"/>
    <w:rsid w:val="008365B3"/>
    <w:rsid w:val="00836629"/>
    <w:rsid w:val="008367D2"/>
    <w:rsid w:val="008367ED"/>
    <w:rsid w:val="00836DDB"/>
    <w:rsid w:val="00836DF8"/>
    <w:rsid w:val="00836ED2"/>
    <w:rsid w:val="0083708D"/>
    <w:rsid w:val="00837257"/>
    <w:rsid w:val="00837680"/>
    <w:rsid w:val="00837B72"/>
    <w:rsid w:val="00837FEF"/>
    <w:rsid w:val="008400EA"/>
    <w:rsid w:val="00840179"/>
    <w:rsid w:val="00840309"/>
    <w:rsid w:val="008403B7"/>
    <w:rsid w:val="008405A7"/>
    <w:rsid w:val="008409A9"/>
    <w:rsid w:val="00840CA2"/>
    <w:rsid w:val="00840D13"/>
    <w:rsid w:val="00840D76"/>
    <w:rsid w:val="008411FE"/>
    <w:rsid w:val="0084129B"/>
    <w:rsid w:val="0084147C"/>
    <w:rsid w:val="0084189B"/>
    <w:rsid w:val="008418EC"/>
    <w:rsid w:val="00841A84"/>
    <w:rsid w:val="00841AF8"/>
    <w:rsid w:val="00841DFB"/>
    <w:rsid w:val="00842294"/>
    <w:rsid w:val="008423AE"/>
    <w:rsid w:val="008423DF"/>
    <w:rsid w:val="0084263E"/>
    <w:rsid w:val="008426F6"/>
    <w:rsid w:val="00842980"/>
    <w:rsid w:val="008429ED"/>
    <w:rsid w:val="008429F0"/>
    <w:rsid w:val="00842A29"/>
    <w:rsid w:val="00842B6A"/>
    <w:rsid w:val="00842B76"/>
    <w:rsid w:val="00842CE8"/>
    <w:rsid w:val="00842EB0"/>
    <w:rsid w:val="0084301C"/>
    <w:rsid w:val="00843478"/>
    <w:rsid w:val="0084347C"/>
    <w:rsid w:val="00843515"/>
    <w:rsid w:val="00843561"/>
    <w:rsid w:val="0084374F"/>
    <w:rsid w:val="00843A0A"/>
    <w:rsid w:val="00843D7B"/>
    <w:rsid w:val="00843FFA"/>
    <w:rsid w:val="0084404D"/>
    <w:rsid w:val="008440EB"/>
    <w:rsid w:val="00844125"/>
    <w:rsid w:val="0084413D"/>
    <w:rsid w:val="008441E3"/>
    <w:rsid w:val="00844306"/>
    <w:rsid w:val="00844422"/>
    <w:rsid w:val="008444EA"/>
    <w:rsid w:val="00844574"/>
    <w:rsid w:val="0084461C"/>
    <w:rsid w:val="0084469A"/>
    <w:rsid w:val="0084469D"/>
    <w:rsid w:val="00844A22"/>
    <w:rsid w:val="00844B7E"/>
    <w:rsid w:val="00844CAD"/>
    <w:rsid w:val="00845487"/>
    <w:rsid w:val="008459DC"/>
    <w:rsid w:val="00845AE9"/>
    <w:rsid w:val="00845CBD"/>
    <w:rsid w:val="00845D40"/>
    <w:rsid w:val="00845E34"/>
    <w:rsid w:val="0084601E"/>
    <w:rsid w:val="0084618D"/>
    <w:rsid w:val="00846199"/>
    <w:rsid w:val="0084619B"/>
    <w:rsid w:val="00846260"/>
    <w:rsid w:val="008464FE"/>
    <w:rsid w:val="0084656F"/>
    <w:rsid w:val="008466DC"/>
    <w:rsid w:val="00846787"/>
    <w:rsid w:val="00846797"/>
    <w:rsid w:val="0084686A"/>
    <w:rsid w:val="0084693C"/>
    <w:rsid w:val="00846ACA"/>
    <w:rsid w:val="00846D0A"/>
    <w:rsid w:val="0084719C"/>
    <w:rsid w:val="00847451"/>
    <w:rsid w:val="0084749B"/>
    <w:rsid w:val="00847703"/>
    <w:rsid w:val="00847838"/>
    <w:rsid w:val="00847885"/>
    <w:rsid w:val="008479B6"/>
    <w:rsid w:val="008479D5"/>
    <w:rsid w:val="00847C86"/>
    <w:rsid w:val="00847D63"/>
    <w:rsid w:val="00847DF5"/>
    <w:rsid w:val="00847E30"/>
    <w:rsid w:val="00847E4F"/>
    <w:rsid w:val="00847E8F"/>
    <w:rsid w:val="00847F67"/>
    <w:rsid w:val="00847FE7"/>
    <w:rsid w:val="00850010"/>
    <w:rsid w:val="008501CE"/>
    <w:rsid w:val="008502D4"/>
    <w:rsid w:val="008504C2"/>
    <w:rsid w:val="00850A7A"/>
    <w:rsid w:val="00850A8F"/>
    <w:rsid w:val="00850B17"/>
    <w:rsid w:val="00850C52"/>
    <w:rsid w:val="00850FA9"/>
    <w:rsid w:val="00851226"/>
    <w:rsid w:val="008512CF"/>
    <w:rsid w:val="00851316"/>
    <w:rsid w:val="0085141A"/>
    <w:rsid w:val="008517F0"/>
    <w:rsid w:val="0085187B"/>
    <w:rsid w:val="0085194E"/>
    <w:rsid w:val="00851B02"/>
    <w:rsid w:val="00851D42"/>
    <w:rsid w:val="00851DC6"/>
    <w:rsid w:val="00851F23"/>
    <w:rsid w:val="0085207B"/>
    <w:rsid w:val="008521F2"/>
    <w:rsid w:val="00852211"/>
    <w:rsid w:val="00852525"/>
    <w:rsid w:val="00852550"/>
    <w:rsid w:val="008525B3"/>
    <w:rsid w:val="008525D8"/>
    <w:rsid w:val="00852652"/>
    <w:rsid w:val="008528B0"/>
    <w:rsid w:val="00852901"/>
    <w:rsid w:val="00852B8A"/>
    <w:rsid w:val="00852C27"/>
    <w:rsid w:val="00852C9B"/>
    <w:rsid w:val="00852D2E"/>
    <w:rsid w:val="00852D83"/>
    <w:rsid w:val="00852E8A"/>
    <w:rsid w:val="00852E9D"/>
    <w:rsid w:val="00852F04"/>
    <w:rsid w:val="0085300F"/>
    <w:rsid w:val="0085309D"/>
    <w:rsid w:val="008531C9"/>
    <w:rsid w:val="008532AB"/>
    <w:rsid w:val="00853348"/>
    <w:rsid w:val="00853434"/>
    <w:rsid w:val="008534FD"/>
    <w:rsid w:val="00853973"/>
    <w:rsid w:val="00853C5B"/>
    <w:rsid w:val="00853DBF"/>
    <w:rsid w:val="00853DE5"/>
    <w:rsid w:val="00853F12"/>
    <w:rsid w:val="00853FB8"/>
    <w:rsid w:val="008540FB"/>
    <w:rsid w:val="00854170"/>
    <w:rsid w:val="008541FA"/>
    <w:rsid w:val="008544B4"/>
    <w:rsid w:val="0085455E"/>
    <w:rsid w:val="008546B8"/>
    <w:rsid w:val="00854E8C"/>
    <w:rsid w:val="00854F69"/>
    <w:rsid w:val="00855078"/>
    <w:rsid w:val="00855136"/>
    <w:rsid w:val="00855394"/>
    <w:rsid w:val="008556AB"/>
    <w:rsid w:val="00855A04"/>
    <w:rsid w:val="00855D61"/>
    <w:rsid w:val="00855ECA"/>
    <w:rsid w:val="00856198"/>
    <w:rsid w:val="008561F2"/>
    <w:rsid w:val="00856217"/>
    <w:rsid w:val="00856329"/>
    <w:rsid w:val="008563EE"/>
    <w:rsid w:val="008564C5"/>
    <w:rsid w:val="0085661D"/>
    <w:rsid w:val="00856897"/>
    <w:rsid w:val="00856A47"/>
    <w:rsid w:val="00856A64"/>
    <w:rsid w:val="00856D10"/>
    <w:rsid w:val="00856E9A"/>
    <w:rsid w:val="008572BA"/>
    <w:rsid w:val="008574F8"/>
    <w:rsid w:val="008575E4"/>
    <w:rsid w:val="008577FC"/>
    <w:rsid w:val="0085794E"/>
    <w:rsid w:val="00857B0C"/>
    <w:rsid w:val="00857B6C"/>
    <w:rsid w:val="00857D75"/>
    <w:rsid w:val="00860036"/>
    <w:rsid w:val="0086018B"/>
    <w:rsid w:val="00860220"/>
    <w:rsid w:val="0086075D"/>
    <w:rsid w:val="008608FC"/>
    <w:rsid w:val="0086095B"/>
    <w:rsid w:val="00860A8B"/>
    <w:rsid w:val="00860B36"/>
    <w:rsid w:val="00860BB4"/>
    <w:rsid w:val="00860DF2"/>
    <w:rsid w:val="00860EF9"/>
    <w:rsid w:val="00860FC7"/>
    <w:rsid w:val="0086112B"/>
    <w:rsid w:val="008612AB"/>
    <w:rsid w:val="0086146C"/>
    <w:rsid w:val="00861490"/>
    <w:rsid w:val="0086155C"/>
    <w:rsid w:val="008617BA"/>
    <w:rsid w:val="00861843"/>
    <w:rsid w:val="008618E7"/>
    <w:rsid w:val="0086192E"/>
    <w:rsid w:val="008619B2"/>
    <w:rsid w:val="00861B38"/>
    <w:rsid w:val="00861F99"/>
    <w:rsid w:val="0086212F"/>
    <w:rsid w:val="00862502"/>
    <w:rsid w:val="00862993"/>
    <w:rsid w:val="008629EC"/>
    <w:rsid w:val="00862AF0"/>
    <w:rsid w:val="00862CC1"/>
    <w:rsid w:val="00862CFB"/>
    <w:rsid w:val="00862F2B"/>
    <w:rsid w:val="00862F3A"/>
    <w:rsid w:val="00862F3D"/>
    <w:rsid w:val="00862F5D"/>
    <w:rsid w:val="0086313F"/>
    <w:rsid w:val="00863336"/>
    <w:rsid w:val="008637ED"/>
    <w:rsid w:val="00863913"/>
    <w:rsid w:val="008639BA"/>
    <w:rsid w:val="008639BB"/>
    <w:rsid w:val="00863B16"/>
    <w:rsid w:val="00863FC0"/>
    <w:rsid w:val="008640CA"/>
    <w:rsid w:val="008642A7"/>
    <w:rsid w:val="00864374"/>
    <w:rsid w:val="00864391"/>
    <w:rsid w:val="00864548"/>
    <w:rsid w:val="008645F8"/>
    <w:rsid w:val="0086461A"/>
    <w:rsid w:val="00864664"/>
    <w:rsid w:val="0086466F"/>
    <w:rsid w:val="008646A2"/>
    <w:rsid w:val="008647C9"/>
    <w:rsid w:val="00864907"/>
    <w:rsid w:val="00864AC7"/>
    <w:rsid w:val="00864DE6"/>
    <w:rsid w:val="00864EE5"/>
    <w:rsid w:val="008654B5"/>
    <w:rsid w:val="008654D7"/>
    <w:rsid w:val="008655CF"/>
    <w:rsid w:val="00865778"/>
    <w:rsid w:val="008657E4"/>
    <w:rsid w:val="0086581D"/>
    <w:rsid w:val="00865B2E"/>
    <w:rsid w:val="00865B97"/>
    <w:rsid w:val="00865C2A"/>
    <w:rsid w:val="00865CFF"/>
    <w:rsid w:val="00865D81"/>
    <w:rsid w:val="008660D4"/>
    <w:rsid w:val="008661B4"/>
    <w:rsid w:val="00866210"/>
    <w:rsid w:val="008662C0"/>
    <w:rsid w:val="0086633A"/>
    <w:rsid w:val="008663A6"/>
    <w:rsid w:val="0086661E"/>
    <w:rsid w:val="0086664F"/>
    <w:rsid w:val="008668D7"/>
    <w:rsid w:val="00866CFB"/>
    <w:rsid w:val="008675AA"/>
    <w:rsid w:val="008677B4"/>
    <w:rsid w:val="00867A91"/>
    <w:rsid w:val="00867AAA"/>
    <w:rsid w:val="008702FE"/>
    <w:rsid w:val="008706D4"/>
    <w:rsid w:val="00870763"/>
    <w:rsid w:val="0087093A"/>
    <w:rsid w:val="00870BAC"/>
    <w:rsid w:val="00870BE0"/>
    <w:rsid w:val="00870C77"/>
    <w:rsid w:val="00870D37"/>
    <w:rsid w:val="00870D8B"/>
    <w:rsid w:val="00870E6D"/>
    <w:rsid w:val="00870F57"/>
    <w:rsid w:val="00871032"/>
    <w:rsid w:val="00871599"/>
    <w:rsid w:val="0087159B"/>
    <w:rsid w:val="00871608"/>
    <w:rsid w:val="0087172A"/>
    <w:rsid w:val="00871855"/>
    <w:rsid w:val="00871A1C"/>
    <w:rsid w:val="00871BB9"/>
    <w:rsid w:val="00871FA9"/>
    <w:rsid w:val="00871FB7"/>
    <w:rsid w:val="008722C2"/>
    <w:rsid w:val="00872301"/>
    <w:rsid w:val="00872332"/>
    <w:rsid w:val="00872875"/>
    <w:rsid w:val="008728E9"/>
    <w:rsid w:val="00872BE0"/>
    <w:rsid w:val="00872BFA"/>
    <w:rsid w:val="00872DE8"/>
    <w:rsid w:val="00872E89"/>
    <w:rsid w:val="00872EE2"/>
    <w:rsid w:val="00872EF7"/>
    <w:rsid w:val="00872F03"/>
    <w:rsid w:val="00872F9E"/>
    <w:rsid w:val="00873327"/>
    <w:rsid w:val="0087353F"/>
    <w:rsid w:val="008738F7"/>
    <w:rsid w:val="00873C7A"/>
    <w:rsid w:val="00873DB9"/>
    <w:rsid w:val="00873F6F"/>
    <w:rsid w:val="008741FF"/>
    <w:rsid w:val="00874200"/>
    <w:rsid w:val="00874262"/>
    <w:rsid w:val="008742FC"/>
    <w:rsid w:val="008743EC"/>
    <w:rsid w:val="00874409"/>
    <w:rsid w:val="00874486"/>
    <w:rsid w:val="0087478C"/>
    <w:rsid w:val="00874794"/>
    <w:rsid w:val="00874937"/>
    <w:rsid w:val="00874945"/>
    <w:rsid w:val="00874ADF"/>
    <w:rsid w:val="00874BE1"/>
    <w:rsid w:val="00874F0A"/>
    <w:rsid w:val="00875138"/>
    <w:rsid w:val="00875476"/>
    <w:rsid w:val="00875877"/>
    <w:rsid w:val="00875914"/>
    <w:rsid w:val="00875A19"/>
    <w:rsid w:val="00875A29"/>
    <w:rsid w:val="00875CF0"/>
    <w:rsid w:val="0087605B"/>
    <w:rsid w:val="0087621C"/>
    <w:rsid w:val="008763F8"/>
    <w:rsid w:val="00876542"/>
    <w:rsid w:val="008768F7"/>
    <w:rsid w:val="00876991"/>
    <w:rsid w:val="00876A3E"/>
    <w:rsid w:val="00876B48"/>
    <w:rsid w:val="00876CBF"/>
    <w:rsid w:val="00876FDC"/>
    <w:rsid w:val="008771EB"/>
    <w:rsid w:val="0087728F"/>
    <w:rsid w:val="008772CB"/>
    <w:rsid w:val="008776D3"/>
    <w:rsid w:val="008777A7"/>
    <w:rsid w:val="008778C1"/>
    <w:rsid w:val="00877CBA"/>
    <w:rsid w:val="00877DB2"/>
    <w:rsid w:val="00877F1D"/>
    <w:rsid w:val="00877FA0"/>
    <w:rsid w:val="008801B5"/>
    <w:rsid w:val="00880347"/>
    <w:rsid w:val="0088057C"/>
    <w:rsid w:val="008805E2"/>
    <w:rsid w:val="008807AF"/>
    <w:rsid w:val="00880800"/>
    <w:rsid w:val="00880A20"/>
    <w:rsid w:val="00880D7E"/>
    <w:rsid w:val="00880F10"/>
    <w:rsid w:val="00881270"/>
    <w:rsid w:val="0088141B"/>
    <w:rsid w:val="008817CA"/>
    <w:rsid w:val="00881BFF"/>
    <w:rsid w:val="00881C7D"/>
    <w:rsid w:val="00881FA9"/>
    <w:rsid w:val="008821CB"/>
    <w:rsid w:val="008821E3"/>
    <w:rsid w:val="00882211"/>
    <w:rsid w:val="00882314"/>
    <w:rsid w:val="0088271E"/>
    <w:rsid w:val="00882737"/>
    <w:rsid w:val="00882874"/>
    <w:rsid w:val="00882897"/>
    <w:rsid w:val="00882B32"/>
    <w:rsid w:val="00882B97"/>
    <w:rsid w:val="00882BBD"/>
    <w:rsid w:val="00882CF9"/>
    <w:rsid w:val="00882D0F"/>
    <w:rsid w:val="00882E3C"/>
    <w:rsid w:val="00882E6F"/>
    <w:rsid w:val="00882EA7"/>
    <w:rsid w:val="00882F97"/>
    <w:rsid w:val="0088308A"/>
    <w:rsid w:val="008832C2"/>
    <w:rsid w:val="0088344E"/>
    <w:rsid w:val="00883787"/>
    <w:rsid w:val="00883974"/>
    <w:rsid w:val="00883AE1"/>
    <w:rsid w:val="00883C5C"/>
    <w:rsid w:val="00883CFE"/>
    <w:rsid w:val="00883E6B"/>
    <w:rsid w:val="00883F98"/>
    <w:rsid w:val="00883FEE"/>
    <w:rsid w:val="00884067"/>
    <w:rsid w:val="0088409C"/>
    <w:rsid w:val="0088444A"/>
    <w:rsid w:val="008844FC"/>
    <w:rsid w:val="00884783"/>
    <w:rsid w:val="008847EB"/>
    <w:rsid w:val="00884A34"/>
    <w:rsid w:val="00884B6C"/>
    <w:rsid w:val="00884D4B"/>
    <w:rsid w:val="008854A6"/>
    <w:rsid w:val="0088555C"/>
    <w:rsid w:val="008855E4"/>
    <w:rsid w:val="0088565B"/>
    <w:rsid w:val="008857CD"/>
    <w:rsid w:val="0088599E"/>
    <w:rsid w:val="008859F5"/>
    <w:rsid w:val="00885A51"/>
    <w:rsid w:val="00885CD0"/>
    <w:rsid w:val="00885CD3"/>
    <w:rsid w:val="0088651B"/>
    <w:rsid w:val="00886808"/>
    <w:rsid w:val="00886B8A"/>
    <w:rsid w:val="00886BF7"/>
    <w:rsid w:val="00886CD2"/>
    <w:rsid w:val="00886D41"/>
    <w:rsid w:val="00886E18"/>
    <w:rsid w:val="00886F05"/>
    <w:rsid w:val="00886F41"/>
    <w:rsid w:val="00887127"/>
    <w:rsid w:val="00887217"/>
    <w:rsid w:val="00887320"/>
    <w:rsid w:val="008875F2"/>
    <w:rsid w:val="0088778A"/>
    <w:rsid w:val="008877D1"/>
    <w:rsid w:val="00887832"/>
    <w:rsid w:val="00887BF0"/>
    <w:rsid w:val="00887DDE"/>
    <w:rsid w:val="00887E2A"/>
    <w:rsid w:val="00890008"/>
    <w:rsid w:val="00890063"/>
    <w:rsid w:val="0089064B"/>
    <w:rsid w:val="00890734"/>
    <w:rsid w:val="00890854"/>
    <w:rsid w:val="00890986"/>
    <w:rsid w:val="00890CB8"/>
    <w:rsid w:val="00890EF5"/>
    <w:rsid w:val="00890F49"/>
    <w:rsid w:val="00890FB1"/>
    <w:rsid w:val="008910BD"/>
    <w:rsid w:val="00891264"/>
    <w:rsid w:val="008912D5"/>
    <w:rsid w:val="00891520"/>
    <w:rsid w:val="0089163B"/>
    <w:rsid w:val="00891695"/>
    <w:rsid w:val="008919B0"/>
    <w:rsid w:val="00891A05"/>
    <w:rsid w:val="00891E6F"/>
    <w:rsid w:val="00891E7B"/>
    <w:rsid w:val="0089211D"/>
    <w:rsid w:val="008922C9"/>
    <w:rsid w:val="008922FC"/>
    <w:rsid w:val="0089231A"/>
    <w:rsid w:val="0089238D"/>
    <w:rsid w:val="00892412"/>
    <w:rsid w:val="0089248D"/>
    <w:rsid w:val="00892591"/>
    <w:rsid w:val="0089273C"/>
    <w:rsid w:val="0089275D"/>
    <w:rsid w:val="008929B4"/>
    <w:rsid w:val="00892A36"/>
    <w:rsid w:val="00892B4F"/>
    <w:rsid w:val="00892E8A"/>
    <w:rsid w:val="00893017"/>
    <w:rsid w:val="0089318B"/>
    <w:rsid w:val="00893239"/>
    <w:rsid w:val="0089375C"/>
    <w:rsid w:val="008939B4"/>
    <w:rsid w:val="00893E54"/>
    <w:rsid w:val="00893F1B"/>
    <w:rsid w:val="008941F9"/>
    <w:rsid w:val="0089420E"/>
    <w:rsid w:val="008942A0"/>
    <w:rsid w:val="00894489"/>
    <w:rsid w:val="008945D8"/>
    <w:rsid w:val="008947B5"/>
    <w:rsid w:val="0089490E"/>
    <w:rsid w:val="00894AB0"/>
    <w:rsid w:val="00894BA1"/>
    <w:rsid w:val="00894CD6"/>
    <w:rsid w:val="00894FB0"/>
    <w:rsid w:val="00895008"/>
    <w:rsid w:val="008950C5"/>
    <w:rsid w:val="008953F1"/>
    <w:rsid w:val="008957A4"/>
    <w:rsid w:val="00895960"/>
    <w:rsid w:val="00895C6C"/>
    <w:rsid w:val="00895D57"/>
    <w:rsid w:val="00895E69"/>
    <w:rsid w:val="00895EAE"/>
    <w:rsid w:val="00895F87"/>
    <w:rsid w:val="008960C1"/>
    <w:rsid w:val="0089611D"/>
    <w:rsid w:val="00896317"/>
    <w:rsid w:val="00896390"/>
    <w:rsid w:val="008963A5"/>
    <w:rsid w:val="00896ACA"/>
    <w:rsid w:val="00896C8C"/>
    <w:rsid w:val="00896CA2"/>
    <w:rsid w:val="00896CED"/>
    <w:rsid w:val="00896D5D"/>
    <w:rsid w:val="00896F95"/>
    <w:rsid w:val="00897423"/>
    <w:rsid w:val="00897440"/>
    <w:rsid w:val="0089758B"/>
    <w:rsid w:val="00897B19"/>
    <w:rsid w:val="00897BA4"/>
    <w:rsid w:val="008A0049"/>
    <w:rsid w:val="008A00B8"/>
    <w:rsid w:val="008A018C"/>
    <w:rsid w:val="008A0347"/>
    <w:rsid w:val="008A04F5"/>
    <w:rsid w:val="008A050E"/>
    <w:rsid w:val="008A0684"/>
    <w:rsid w:val="008A0892"/>
    <w:rsid w:val="008A0BC5"/>
    <w:rsid w:val="008A102E"/>
    <w:rsid w:val="008A1307"/>
    <w:rsid w:val="008A142C"/>
    <w:rsid w:val="008A16E2"/>
    <w:rsid w:val="008A172C"/>
    <w:rsid w:val="008A1744"/>
    <w:rsid w:val="008A18E3"/>
    <w:rsid w:val="008A19E0"/>
    <w:rsid w:val="008A1B96"/>
    <w:rsid w:val="008A1BBB"/>
    <w:rsid w:val="008A215D"/>
    <w:rsid w:val="008A21D0"/>
    <w:rsid w:val="008A237E"/>
    <w:rsid w:val="008A23C4"/>
    <w:rsid w:val="008A248F"/>
    <w:rsid w:val="008A24A6"/>
    <w:rsid w:val="008A2A9B"/>
    <w:rsid w:val="008A2DC6"/>
    <w:rsid w:val="008A2E6E"/>
    <w:rsid w:val="008A2FD5"/>
    <w:rsid w:val="008A3158"/>
    <w:rsid w:val="008A3345"/>
    <w:rsid w:val="008A3363"/>
    <w:rsid w:val="008A3371"/>
    <w:rsid w:val="008A33B1"/>
    <w:rsid w:val="008A343D"/>
    <w:rsid w:val="008A3C3E"/>
    <w:rsid w:val="008A3CED"/>
    <w:rsid w:val="008A3DFC"/>
    <w:rsid w:val="008A3E0E"/>
    <w:rsid w:val="008A3EBC"/>
    <w:rsid w:val="008A455E"/>
    <w:rsid w:val="008A4659"/>
    <w:rsid w:val="008A4DF9"/>
    <w:rsid w:val="008A5036"/>
    <w:rsid w:val="008A51D2"/>
    <w:rsid w:val="008A53C7"/>
    <w:rsid w:val="008A54A2"/>
    <w:rsid w:val="008A5754"/>
    <w:rsid w:val="008A58B9"/>
    <w:rsid w:val="008A58E4"/>
    <w:rsid w:val="008A598D"/>
    <w:rsid w:val="008A5D95"/>
    <w:rsid w:val="008A6178"/>
    <w:rsid w:val="008A6234"/>
    <w:rsid w:val="008A630E"/>
    <w:rsid w:val="008A6529"/>
    <w:rsid w:val="008A652E"/>
    <w:rsid w:val="008A66D6"/>
    <w:rsid w:val="008A6783"/>
    <w:rsid w:val="008A6922"/>
    <w:rsid w:val="008A6AD5"/>
    <w:rsid w:val="008A7014"/>
    <w:rsid w:val="008A70F3"/>
    <w:rsid w:val="008A72B7"/>
    <w:rsid w:val="008A72DA"/>
    <w:rsid w:val="008A7398"/>
    <w:rsid w:val="008A7477"/>
    <w:rsid w:val="008A74AE"/>
    <w:rsid w:val="008A7592"/>
    <w:rsid w:val="008A7838"/>
    <w:rsid w:val="008A79DE"/>
    <w:rsid w:val="008A7AFC"/>
    <w:rsid w:val="008A7AFD"/>
    <w:rsid w:val="008A7D21"/>
    <w:rsid w:val="008B01BD"/>
    <w:rsid w:val="008B01DD"/>
    <w:rsid w:val="008B0423"/>
    <w:rsid w:val="008B043D"/>
    <w:rsid w:val="008B04B9"/>
    <w:rsid w:val="008B07A3"/>
    <w:rsid w:val="008B07BE"/>
    <w:rsid w:val="008B0912"/>
    <w:rsid w:val="008B09DB"/>
    <w:rsid w:val="008B0B2A"/>
    <w:rsid w:val="008B0BCA"/>
    <w:rsid w:val="008B10BD"/>
    <w:rsid w:val="008B1514"/>
    <w:rsid w:val="008B156E"/>
    <w:rsid w:val="008B1757"/>
    <w:rsid w:val="008B1C33"/>
    <w:rsid w:val="008B2056"/>
    <w:rsid w:val="008B209F"/>
    <w:rsid w:val="008B2197"/>
    <w:rsid w:val="008B2563"/>
    <w:rsid w:val="008B27F1"/>
    <w:rsid w:val="008B290E"/>
    <w:rsid w:val="008B2D26"/>
    <w:rsid w:val="008B2D4F"/>
    <w:rsid w:val="008B2E9F"/>
    <w:rsid w:val="008B2FFD"/>
    <w:rsid w:val="008B3224"/>
    <w:rsid w:val="008B36AF"/>
    <w:rsid w:val="008B36C6"/>
    <w:rsid w:val="008B3729"/>
    <w:rsid w:val="008B37B1"/>
    <w:rsid w:val="008B3CBF"/>
    <w:rsid w:val="008B3DB7"/>
    <w:rsid w:val="008B4000"/>
    <w:rsid w:val="008B40DC"/>
    <w:rsid w:val="008B468B"/>
    <w:rsid w:val="008B4774"/>
    <w:rsid w:val="008B4900"/>
    <w:rsid w:val="008B4B6F"/>
    <w:rsid w:val="008B4B86"/>
    <w:rsid w:val="008B4D02"/>
    <w:rsid w:val="008B4F84"/>
    <w:rsid w:val="008B51D8"/>
    <w:rsid w:val="008B5456"/>
    <w:rsid w:val="008B5469"/>
    <w:rsid w:val="008B56B9"/>
    <w:rsid w:val="008B5788"/>
    <w:rsid w:val="008B5801"/>
    <w:rsid w:val="008B5AC8"/>
    <w:rsid w:val="008B5B61"/>
    <w:rsid w:val="008B62F9"/>
    <w:rsid w:val="008B6617"/>
    <w:rsid w:val="008B6727"/>
    <w:rsid w:val="008B6797"/>
    <w:rsid w:val="008B688F"/>
    <w:rsid w:val="008B6909"/>
    <w:rsid w:val="008B694E"/>
    <w:rsid w:val="008B6A60"/>
    <w:rsid w:val="008B6B1B"/>
    <w:rsid w:val="008B6B8D"/>
    <w:rsid w:val="008B6F0C"/>
    <w:rsid w:val="008B72FC"/>
    <w:rsid w:val="008B73B9"/>
    <w:rsid w:val="008B7649"/>
    <w:rsid w:val="008B766F"/>
    <w:rsid w:val="008B7680"/>
    <w:rsid w:val="008B7708"/>
    <w:rsid w:val="008B7780"/>
    <w:rsid w:val="008B7992"/>
    <w:rsid w:val="008B7BAD"/>
    <w:rsid w:val="008B7BF2"/>
    <w:rsid w:val="008B7C6F"/>
    <w:rsid w:val="008B7D7E"/>
    <w:rsid w:val="008B7DB1"/>
    <w:rsid w:val="008B7F20"/>
    <w:rsid w:val="008B7FCB"/>
    <w:rsid w:val="008C001B"/>
    <w:rsid w:val="008C01FC"/>
    <w:rsid w:val="008C0274"/>
    <w:rsid w:val="008C039F"/>
    <w:rsid w:val="008C059B"/>
    <w:rsid w:val="008C0684"/>
    <w:rsid w:val="008C0984"/>
    <w:rsid w:val="008C0B3F"/>
    <w:rsid w:val="008C0C2F"/>
    <w:rsid w:val="008C0D09"/>
    <w:rsid w:val="008C0D2B"/>
    <w:rsid w:val="008C0E0D"/>
    <w:rsid w:val="008C0E34"/>
    <w:rsid w:val="008C0E90"/>
    <w:rsid w:val="008C0FD1"/>
    <w:rsid w:val="008C118F"/>
    <w:rsid w:val="008C12C2"/>
    <w:rsid w:val="008C12E1"/>
    <w:rsid w:val="008C1855"/>
    <w:rsid w:val="008C1F88"/>
    <w:rsid w:val="008C1F99"/>
    <w:rsid w:val="008C25DA"/>
    <w:rsid w:val="008C2A28"/>
    <w:rsid w:val="008C2C2E"/>
    <w:rsid w:val="008C2C57"/>
    <w:rsid w:val="008C2CF0"/>
    <w:rsid w:val="008C2F6E"/>
    <w:rsid w:val="008C3185"/>
    <w:rsid w:val="008C32EE"/>
    <w:rsid w:val="008C3325"/>
    <w:rsid w:val="008C3335"/>
    <w:rsid w:val="008C3594"/>
    <w:rsid w:val="008C3885"/>
    <w:rsid w:val="008C3ABD"/>
    <w:rsid w:val="008C3C59"/>
    <w:rsid w:val="008C3CCB"/>
    <w:rsid w:val="008C3E57"/>
    <w:rsid w:val="008C40E2"/>
    <w:rsid w:val="008C412B"/>
    <w:rsid w:val="008C437E"/>
    <w:rsid w:val="008C447A"/>
    <w:rsid w:val="008C45F3"/>
    <w:rsid w:val="008C46AB"/>
    <w:rsid w:val="008C46FF"/>
    <w:rsid w:val="008C49CF"/>
    <w:rsid w:val="008C4B43"/>
    <w:rsid w:val="008C4D71"/>
    <w:rsid w:val="008C52BC"/>
    <w:rsid w:val="008C52CA"/>
    <w:rsid w:val="008C5326"/>
    <w:rsid w:val="008C5521"/>
    <w:rsid w:val="008C5610"/>
    <w:rsid w:val="008C5719"/>
    <w:rsid w:val="008C5739"/>
    <w:rsid w:val="008C5BB3"/>
    <w:rsid w:val="008C5D52"/>
    <w:rsid w:val="008C5E0C"/>
    <w:rsid w:val="008C603C"/>
    <w:rsid w:val="008C63A0"/>
    <w:rsid w:val="008C6902"/>
    <w:rsid w:val="008C6980"/>
    <w:rsid w:val="008C6B68"/>
    <w:rsid w:val="008C6BDE"/>
    <w:rsid w:val="008C6E4C"/>
    <w:rsid w:val="008C6E50"/>
    <w:rsid w:val="008C7259"/>
    <w:rsid w:val="008C7282"/>
    <w:rsid w:val="008C72C4"/>
    <w:rsid w:val="008C7828"/>
    <w:rsid w:val="008C7A86"/>
    <w:rsid w:val="008C7AA8"/>
    <w:rsid w:val="008C7E34"/>
    <w:rsid w:val="008C7ECB"/>
    <w:rsid w:val="008C7EE5"/>
    <w:rsid w:val="008D0218"/>
    <w:rsid w:val="008D048D"/>
    <w:rsid w:val="008D04FB"/>
    <w:rsid w:val="008D0512"/>
    <w:rsid w:val="008D0611"/>
    <w:rsid w:val="008D0632"/>
    <w:rsid w:val="008D0725"/>
    <w:rsid w:val="008D090B"/>
    <w:rsid w:val="008D0FDA"/>
    <w:rsid w:val="008D101E"/>
    <w:rsid w:val="008D1037"/>
    <w:rsid w:val="008D13D6"/>
    <w:rsid w:val="008D17C0"/>
    <w:rsid w:val="008D1852"/>
    <w:rsid w:val="008D1A07"/>
    <w:rsid w:val="008D1A1A"/>
    <w:rsid w:val="008D1AE0"/>
    <w:rsid w:val="008D1CB9"/>
    <w:rsid w:val="008D1CE3"/>
    <w:rsid w:val="008D20E8"/>
    <w:rsid w:val="008D2106"/>
    <w:rsid w:val="008D261F"/>
    <w:rsid w:val="008D268D"/>
    <w:rsid w:val="008D2874"/>
    <w:rsid w:val="008D2B69"/>
    <w:rsid w:val="008D2BA7"/>
    <w:rsid w:val="008D2D16"/>
    <w:rsid w:val="008D2D28"/>
    <w:rsid w:val="008D2D8E"/>
    <w:rsid w:val="008D2DEA"/>
    <w:rsid w:val="008D311E"/>
    <w:rsid w:val="008D38A4"/>
    <w:rsid w:val="008D3B85"/>
    <w:rsid w:val="008D3B86"/>
    <w:rsid w:val="008D3B8B"/>
    <w:rsid w:val="008D3C13"/>
    <w:rsid w:val="008D3CB1"/>
    <w:rsid w:val="008D3D21"/>
    <w:rsid w:val="008D3D8C"/>
    <w:rsid w:val="008D3DE0"/>
    <w:rsid w:val="008D3E8F"/>
    <w:rsid w:val="008D3F47"/>
    <w:rsid w:val="008D40D0"/>
    <w:rsid w:val="008D421B"/>
    <w:rsid w:val="008D43F7"/>
    <w:rsid w:val="008D43FD"/>
    <w:rsid w:val="008D4755"/>
    <w:rsid w:val="008D4845"/>
    <w:rsid w:val="008D4923"/>
    <w:rsid w:val="008D4A70"/>
    <w:rsid w:val="008D4A92"/>
    <w:rsid w:val="008D4C3D"/>
    <w:rsid w:val="008D4CB9"/>
    <w:rsid w:val="008D4D8C"/>
    <w:rsid w:val="008D5397"/>
    <w:rsid w:val="008D53B0"/>
    <w:rsid w:val="008D55A3"/>
    <w:rsid w:val="008D57A7"/>
    <w:rsid w:val="008D5AD6"/>
    <w:rsid w:val="008D5B59"/>
    <w:rsid w:val="008D5BAC"/>
    <w:rsid w:val="008D6106"/>
    <w:rsid w:val="008D61BD"/>
    <w:rsid w:val="008D624F"/>
    <w:rsid w:val="008D63F3"/>
    <w:rsid w:val="008D6685"/>
    <w:rsid w:val="008D66D3"/>
    <w:rsid w:val="008D6957"/>
    <w:rsid w:val="008D6A42"/>
    <w:rsid w:val="008D6AEA"/>
    <w:rsid w:val="008D6DA8"/>
    <w:rsid w:val="008D6DCB"/>
    <w:rsid w:val="008D6EFD"/>
    <w:rsid w:val="008D7033"/>
    <w:rsid w:val="008D70FD"/>
    <w:rsid w:val="008D7427"/>
    <w:rsid w:val="008D743C"/>
    <w:rsid w:val="008D7468"/>
    <w:rsid w:val="008D74B7"/>
    <w:rsid w:val="008D78FD"/>
    <w:rsid w:val="008D7A64"/>
    <w:rsid w:val="008D7AFF"/>
    <w:rsid w:val="008D7B7C"/>
    <w:rsid w:val="008D7B92"/>
    <w:rsid w:val="008D7C77"/>
    <w:rsid w:val="008D7FB0"/>
    <w:rsid w:val="008E00B4"/>
    <w:rsid w:val="008E03EF"/>
    <w:rsid w:val="008E04B8"/>
    <w:rsid w:val="008E0720"/>
    <w:rsid w:val="008E07DA"/>
    <w:rsid w:val="008E0D3C"/>
    <w:rsid w:val="008E0E9C"/>
    <w:rsid w:val="008E0F16"/>
    <w:rsid w:val="008E10AD"/>
    <w:rsid w:val="008E11E4"/>
    <w:rsid w:val="008E14E4"/>
    <w:rsid w:val="008E1673"/>
    <w:rsid w:val="008E1751"/>
    <w:rsid w:val="008E18C7"/>
    <w:rsid w:val="008E194E"/>
    <w:rsid w:val="008E19E2"/>
    <w:rsid w:val="008E1B47"/>
    <w:rsid w:val="008E1B9E"/>
    <w:rsid w:val="008E1D5A"/>
    <w:rsid w:val="008E1D61"/>
    <w:rsid w:val="008E1D64"/>
    <w:rsid w:val="008E1F2A"/>
    <w:rsid w:val="008E21A1"/>
    <w:rsid w:val="008E23A0"/>
    <w:rsid w:val="008E23F4"/>
    <w:rsid w:val="008E241E"/>
    <w:rsid w:val="008E2710"/>
    <w:rsid w:val="008E27EC"/>
    <w:rsid w:val="008E27FA"/>
    <w:rsid w:val="008E2AE5"/>
    <w:rsid w:val="008E2B8D"/>
    <w:rsid w:val="008E2C53"/>
    <w:rsid w:val="008E2F07"/>
    <w:rsid w:val="008E3420"/>
    <w:rsid w:val="008E3649"/>
    <w:rsid w:val="008E375C"/>
    <w:rsid w:val="008E3A4E"/>
    <w:rsid w:val="008E3D47"/>
    <w:rsid w:val="008E3D87"/>
    <w:rsid w:val="008E3E6B"/>
    <w:rsid w:val="008E3E8D"/>
    <w:rsid w:val="008E3EC8"/>
    <w:rsid w:val="008E3FB5"/>
    <w:rsid w:val="008E4080"/>
    <w:rsid w:val="008E4170"/>
    <w:rsid w:val="008E43C8"/>
    <w:rsid w:val="008E4419"/>
    <w:rsid w:val="008E4AB0"/>
    <w:rsid w:val="008E4D2A"/>
    <w:rsid w:val="008E4D58"/>
    <w:rsid w:val="008E4F0C"/>
    <w:rsid w:val="008E501E"/>
    <w:rsid w:val="008E55AB"/>
    <w:rsid w:val="008E587E"/>
    <w:rsid w:val="008E5901"/>
    <w:rsid w:val="008E5914"/>
    <w:rsid w:val="008E5D16"/>
    <w:rsid w:val="008E5FF4"/>
    <w:rsid w:val="008E6223"/>
    <w:rsid w:val="008E6253"/>
    <w:rsid w:val="008E6295"/>
    <w:rsid w:val="008E64F7"/>
    <w:rsid w:val="008E67CA"/>
    <w:rsid w:val="008E69CA"/>
    <w:rsid w:val="008E69E9"/>
    <w:rsid w:val="008E6AC7"/>
    <w:rsid w:val="008E6C93"/>
    <w:rsid w:val="008E6D43"/>
    <w:rsid w:val="008E7030"/>
    <w:rsid w:val="008E7409"/>
    <w:rsid w:val="008E786A"/>
    <w:rsid w:val="008E7B96"/>
    <w:rsid w:val="008E7D27"/>
    <w:rsid w:val="008E7F09"/>
    <w:rsid w:val="008F00C5"/>
    <w:rsid w:val="008F025D"/>
    <w:rsid w:val="008F04BD"/>
    <w:rsid w:val="008F054D"/>
    <w:rsid w:val="008F05C8"/>
    <w:rsid w:val="008F06DE"/>
    <w:rsid w:val="008F088B"/>
    <w:rsid w:val="008F0947"/>
    <w:rsid w:val="008F09B1"/>
    <w:rsid w:val="008F0C11"/>
    <w:rsid w:val="008F0E42"/>
    <w:rsid w:val="008F0F6C"/>
    <w:rsid w:val="008F10F7"/>
    <w:rsid w:val="008F1124"/>
    <w:rsid w:val="008F120A"/>
    <w:rsid w:val="008F1375"/>
    <w:rsid w:val="008F1726"/>
    <w:rsid w:val="008F1E58"/>
    <w:rsid w:val="008F1F82"/>
    <w:rsid w:val="008F20C3"/>
    <w:rsid w:val="008F2173"/>
    <w:rsid w:val="008F2249"/>
    <w:rsid w:val="008F239D"/>
    <w:rsid w:val="008F2564"/>
    <w:rsid w:val="008F26A0"/>
    <w:rsid w:val="008F27E0"/>
    <w:rsid w:val="008F27E3"/>
    <w:rsid w:val="008F2915"/>
    <w:rsid w:val="008F2A2E"/>
    <w:rsid w:val="008F2AF6"/>
    <w:rsid w:val="008F2B31"/>
    <w:rsid w:val="008F2C3D"/>
    <w:rsid w:val="008F319E"/>
    <w:rsid w:val="008F3393"/>
    <w:rsid w:val="008F3480"/>
    <w:rsid w:val="008F34DB"/>
    <w:rsid w:val="008F34FA"/>
    <w:rsid w:val="008F3620"/>
    <w:rsid w:val="008F3690"/>
    <w:rsid w:val="008F3AC2"/>
    <w:rsid w:val="008F3B21"/>
    <w:rsid w:val="008F3BD5"/>
    <w:rsid w:val="008F3C0E"/>
    <w:rsid w:val="008F3C50"/>
    <w:rsid w:val="008F41DB"/>
    <w:rsid w:val="008F44DD"/>
    <w:rsid w:val="008F4546"/>
    <w:rsid w:val="008F456F"/>
    <w:rsid w:val="008F45D0"/>
    <w:rsid w:val="008F4654"/>
    <w:rsid w:val="008F48EB"/>
    <w:rsid w:val="008F4B47"/>
    <w:rsid w:val="008F4C37"/>
    <w:rsid w:val="008F4C88"/>
    <w:rsid w:val="008F4D8F"/>
    <w:rsid w:val="008F4F0B"/>
    <w:rsid w:val="008F5061"/>
    <w:rsid w:val="008F5087"/>
    <w:rsid w:val="008F5474"/>
    <w:rsid w:val="008F55FB"/>
    <w:rsid w:val="008F56DC"/>
    <w:rsid w:val="008F5863"/>
    <w:rsid w:val="008F59BB"/>
    <w:rsid w:val="008F5D08"/>
    <w:rsid w:val="008F5D85"/>
    <w:rsid w:val="008F5E35"/>
    <w:rsid w:val="008F5F02"/>
    <w:rsid w:val="008F5F7F"/>
    <w:rsid w:val="008F61DF"/>
    <w:rsid w:val="008F68FB"/>
    <w:rsid w:val="008F69E6"/>
    <w:rsid w:val="008F6C5C"/>
    <w:rsid w:val="008F6CBE"/>
    <w:rsid w:val="008F70E4"/>
    <w:rsid w:val="008F714C"/>
    <w:rsid w:val="008F719A"/>
    <w:rsid w:val="008F71EA"/>
    <w:rsid w:val="008F7278"/>
    <w:rsid w:val="008F7BFD"/>
    <w:rsid w:val="008F7C69"/>
    <w:rsid w:val="008F7CAD"/>
    <w:rsid w:val="008F7E11"/>
    <w:rsid w:val="009002D3"/>
    <w:rsid w:val="00900328"/>
    <w:rsid w:val="009004A4"/>
    <w:rsid w:val="00900512"/>
    <w:rsid w:val="009005C5"/>
    <w:rsid w:val="0090071B"/>
    <w:rsid w:val="00900760"/>
    <w:rsid w:val="009007CA"/>
    <w:rsid w:val="00900C62"/>
    <w:rsid w:val="00900E8E"/>
    <w:rsid w:val="00900EF9"/>
    <w:rsid w:val="00900F49"/>
    <w:rsid w:val="00901007"/>
    <w:rsid w:val="00901066"/>
    <w:rsid w:val="00901100"/>
    <w:rsid w:val="009011A7"/>
    <w:rsid w:val="009011F6"/>
    <w:rsid w:val="009012DB"/>
    <w:rsid w:val="009013D8"/>
    <w:rsid w:val="00901527"/>
    <w:rsid w:val="00901561"/>
    <w:rsid w:val="0090168F"/>
    <w:rsid w:val="00901810"/>
    <w:rsid w:val="009018CA"/>
    <w:rsid w:val="00901ABF"/>
    <w:rsid w:val="00901B12"/>
    <w:rsid w:val="00901BEB"/>
    <w:rsid w:val="00901D81"/>
    <w:rsid w:val="00902232"/>
    <w:rsid w:val="00902632"/>
    <w:rsid w:val="009027B8"/>
    <w:rsid w:val="0090283F"/>
    <w:rsid w:val="00902850"/>
    <w:rsid w:val="00902C77"/>
    <w:rsid w:val="00902CBB"/>
    <w:rsid w:val="00902CDD"/>
    <w:rsid w:val="00902E2A"/>
    <w:rsid w:val="009034CE"/>
    <w:rsid w:val="00903589"/>
    <w:rsid w:val="009039B3"/>
    <w:rsid w:val="00903AD1"/>
    <w:rsid w:val="00903B93"/>
    <w:rsid w:val="00903C49"/>
    <w:rsid w:val="00903DF7"/>
    <w:rsid w:val="00904130"/>
    <w:rsid w:val="0090434B"/>
    <w:rsid w:val="009043F3"/>
    <w:rsid w:val="00904565"/>
    <w:rsid w:val="009046C4"/>
    <w:rsid w:val="00904880"/>
    <w:rsid w:val="00904AEB"/>
    <w:rsid w:val="00904D27"/>
    <w:rsid w:val="00904E21"/>
    <w:rsid w:val="00904F97"/>
    <w:rsid w:val="00905152"/>
    <w:rsid w:val="00905466"/>
    <w:rsid w:val="00905516"/>
    <w:rsid w:val="00905746"/>
    <w:rsid w:val="00905819"/>
    <w:rsid w:val="0090598F"/>
    <w:rsid w:val="00905C5D"/>
    <w:rsid w:val="00905DBF"/>
    <w:rsid w:val="00905E6D"/>
    <w:rsid w:val="009062A5"/>
    <w:rsid w:val="009062E1"/>
    <w:rsid w:val="00906480"/>
    <w:rsid w:val="009068B0"/>
    <w:rsid w:val="009069D9"/>
    <w:rsid w:val="00906A55"/>
    <w:rsid w:val="00906AB8"/>
    <w:rsid w:val="00906D30"/>
    <w:rsid w:val="00906F4D"/>
    <w:rsid w:val="00906FB0"/>
    <w:rsid w:val="00907206"/>
    <w:rsid w:val="00907699"/>
    <w:rsid w:val="009077B0"/>
    <w:rsid w:val="009077BC"/>
    <w:rsid w:val="0090783D"/>
    <w:rsid w:val="00907E93"/>
    <w:rsid w:val="00907F21"/>
    <w:rsid w:val="009102D8"/>
    <w:rsid w:val="00910531"/>
    <w:rsid w:val="009105B1"/>
    <w:rsid w:val="009105E4"/>
    <w:rsid w:val="00910737"/>
    <w:rsid w:val="00910769"/>
    <w:rsid w:val="00910869"/>
    <w:rsid w:val="009108E0"/>
    <w:rsid w:val="00910B96"/>
    <w:rsid w:val="00910BBE"/>
    <w:rsid w:val="00910C7D"/>
    <w:rsid w:val="00910DC5"/>
    <w:rsid w:val="00910E60"/>
    <w:rsid w:val="00910FA7"/>
    <w:rsid w:val="00911254"/>
    <w:rsid w:val="00911272"/>
    <w:rsid w:val="00911299"/>
    <w:rsid w:val="00911339"/>
    <w:rsid w:val="009114E0"/>
    <w:rsid w:val="00911631"/>
    <w:rsid w:val="009117D1"/>
    <w:rsid w:val="0091187C"/>
    <w:rsid w:val="009119E9"/>
    <w:rsid w:val="00911B10"/>
    <w:rsid w:val="00911B4E"/>
    <w:rsid w:val="00911D1E"/>
    <w:rsid w:val="00911D99"/>
    <w:rsid w:val="00911E9A"/>
    <w:rsid w:val="00912064"/>
    <w:rsid w:val="00912146"/>
    <w:rsid w:val="0091218B"/>
    <w:rsid w:val="0091233B"/>
    <w:rsid w:val="009123AD"/>
    <w:rsid w:val="00912540"/>
    <w:rsid w:val="00912661"/>
    <w:rsid w:val="00912940"/>
    <w:rsid w:val="009129BB"/>
    <w:rsid w:val="009129EF"/>
    <w:rsid w:val="00912C35"/>
    <w:rsid w:val="00913076"/>
    <w:rsid w:val="00913316"/>
    <w:rsid w:val="009135D6"/>
    <w:rsid w:val="00913869"/>
    <w:rsid w:val="00913BF6"/>
    <w:rsid w:val="00913D9F"/>
    <w:rsid w:val="009143C8"/>
    <w:rsid w:val="0091457B"/>
    <w:rsid w:val="009145C3"/>
    <w:rsid w:val="009147B6"/>
    <w:rsid w:val="00914A01"/>
    <w:rsid w:val="00914B66"/>
    <w:rsid w:val="00914C77"/>
    <w:rsid w:val="00914C98"/>
    <w:rsid w:val="00914DC6"/>
    <w:rsid w:val="00914FB4"/>
    <w:rsid w:val="0091531B"/>
    <w:rsid w:val="009153A3"/>
    <w:rsid w:val="00915538"/>
    <w:rsid w:val="009155C1"/>
    <w:rsid w:val="00915877"/>
    <w:rsid w:val="00915888"/>
    <w:rsid w:val="00915945"/>
    <w:rsid w:val="00915BBE"/>
    <w:rsid w:val="00915EEE"/>
    <w:rsid w:val="00915F12"/>
    <w:rsid w:val="00915F46"/>
    <w:rsid w:val="009161AD"/>
    <w:rsid w:val="0091632B"/>
    <w:rsid w:val="0091681F"/>
    <w:rsid w:val="00916B0E"/>
    <w:rsid w:val="00916F2C"/>
    <w:rsid w:val="00916FD9"/>
    <w:rsid w:val="009172AD"/>
    <w:rsid w:val="009173E7"/>
    <w:rsid w:val="00917475"/>
    <w:rsid w:val="009174F4"/>
    <w:rsid w:val="00917577"/>
    <w:rsid w:val="009175A8"/>
    <w:rsid w:val="009176D9"/>
    <w:rsid w:val="00917842"/>
    <w:rsid w:val="009178B0"/>
    <w:rsid w:val="00917BDE"/>
    <w:rsid w:val="00917C22"/>
    <w:rsid w:val="00917D89"/>
    <w:rsid w:val="00917DEF"/>
    <w:rsid w:val="0092037B"/>
    <w:rsid w:val="009204A5"/>
    <w:rsid w:val="00920776"/>
    <w:rsid w:val="00920A79"/>
    <w:rsid w:val="00920ABB"/>
    <w:rsid w:val="00920B14"/>
    <w:rsid w:val="00920B2A"/>
    <w:rsid w:val="00920FA5"/>
    <w:rsid w:val="0092122D"/>
    <w:rsid w:val="00921412"/>
    <w:rsid w:val="00921491"/>
    <w:rsid w:val="00921798"/>
    <w:rsid w:val="00921892"/>
    <w:rsid w:val="009218A5"/>
    <w:rsid w:val="00921AB0"/>
    <w:rsid w:val="00921ACB"/>
    <w:rsid w:val="00921B41"/>
    <w:rsid w:val="00921BBB"/>
    <w:rsid w:val="00921CA8"/>
    <w:rsid w:val="00921CE7"/>
    <w:rsid w:val="00921D07"/>
    <w:rsid w:val="00921D08"/>
    <w:rsid w:val="00921E6D"/>
    <w:rsid w:val="00921F38"/>
    <w:rsid w:val="00922066"/>
    <w:rsid w:val="0092213E"/>
    <w:rsid w:val="00922357"/>
    <w:rsid w:val="0092265C"/>
    <w:rsid w:val="009226F8"/>
    <w:rsid w:val="00922A4E"/>
    <w:rsid w:val="00922BA1"/>
    <w:rsid w:val="00922CF2"/>
    <w:rsid w:val="0092322C"/>
    <w:rsid w:val="009233BC"/>
    <w:rsid w:val="009234E4"/>
    <w:rsid w:val="009235E6"/>
    <w:rsid w:val="0092369B"/>
    <w:rsid w:val="009237AC"/>
    <w:rsid w:val="00923867"/>
    <w:rsid w:val="00923AA3"/>
    <w:rsid w:val="00923B53"/>
    <w:rsid w:val="00923CD6"/>
    <w:rsid w:val="00923DDB"/>
    <w:rsid w:val="00923F90"/>
    <w:rsid w:val="009241A3"/>
    <w:rsid w:val="00924415"/>
    <w:rsid w:val="00924504"/>
    <w:rsid w:val="00924554"/>
    <w:rsid w:val="0092480E"/>
    <w:rsid w:val="00924A4A"/>
    <w:rsid w:val="00925174"/>
    <w:rsid w:val="009252FA"/>
    <w:rsid w:val="009255AF"/>
    <w:rsid w:val="009259D5"/>
    <w:rsid w:val="00925D06"/>
    <w:rsid w:val="009263D8"/>
    <w:rsid w:val="009269F7"/>
    <w:rsid w:val="00926A5C"/>
    <w:rsid w:val="00926A60"/>
    <w:rsid w:val="00926BD8"/>
    <w:rsid w:val="00926C75"/>
    <w:rsid w:val="00926D89"/>
    <w:rsid w:val="00926DB7"/>
    <w:rsid w:val="00926E08"/>
    <w:rsid w:val="00926F7B"/>
    <w:rsid w:val="00927156"/>
    <w:rsid w:val="00927754"/>
    <w:rsid w:val="009277BE"/>
    <w:rsid w:val="0092795E"/>
    <w:rsid w:val="00927AAE"/>
    <w:rsid w:val="00927C97"/>
    <w:rsid w:val="00927D00"/>
    <w:rsid w:val="00927DF7"/>
    <w:rsid w:val="00927E7E"/>
    <w:rsid w:val="00927F63"/>
    <w:rsid w:val="00930117"/>
    <w:rsid w:val="00930999"/>
    <w:rsid w:val="00930E7C"/>
    <w:rsid w:val="00931372"/>
    <w:rsid w:val="00931450"/>
    <w:rsid w:val="00931762"/>
    <w:rsid w:val="009317EF"/>
    <w:rsid w:val="0093180C"/>
    <w:rsid w:val="00931CB0"/>
    <w:rsid w:val="00931D1E"/>
    <w:rsid w:val="00931DB1"/>
    <w:rsid w:val="00931DC8"/>
    <w:rsid w:val="00932129"/>
    <w:rsid w:val="009323A7"/>
    <w:rsid w:val="00932428"/>
    <w:rsid w:val="0093275C"/>
    <w:rsid w:val="00932764"/>
    <w:rsid w:val="00932B15"/>
    <w:rsid w:val="00932D35"/>
    <w:rsid w:val="00932F04"/>
    <w:rsid w:val="009332D0"/>
    <w:rsid w:val="009332E1"/>
    <w:rsid w:val="009332EA"/>
    <w:rsid w:val="00933453"/>
    <w:rsid w:val="00933552"/>
    <w:rsid w:val="009336EB"/>
    <w:rsid w:val="00933922"/>
    <w:rsid w:val="00933A25"/>
    <w:rsid w:val="00934125"/>
    <w:rsid w:val="0093424E"/>
    <w:rsid w:val="009342E0"/>
    <w:rsid w:val="0093438C"/>
    <w:rsid w:val="009343D4"/>
    <w:rsid w:val="0093445B"/>
    <w:rsid w:val="00934733"/>
    <w:rsid w:val="00934833"/>
    <w:rsid w:val="00934988"/>
    <w:rsid w:val="00934993"/>
    <w:rsid w:val="00934AB7"/>
    <w:rsid w:val="00934BDC"/>
    <w:rsid w:val="00934E27"/>
    <w:rsid w:val="00934F5B"/>
    <w:rsid w:val="00934FE2"/>
    <w:rsid w:val="009356A0"/>
    <w:rsid w:val="009356DA"/>
    <w:rsid w:val="009357D5"/>
    <w:rsid w:val="0093596A"/>
    <w:rsid w:val="009359C4"/>
    <w:rsid w:val="00935AE4"/>
    <w:rsid w:val="00935C68"/>
    <w:rsid w:val="00935E6F"/>
    <w:rsid w:val="00935FA4"/>
    <w:rsid w:val="0093634E"/>
    <w:rsid w:val="00936380"/>
    <w:rsid w:val="00936868"/>
    <w:rsid w:val="0093689C"/>
    <w:rsid w:val="00936934"/>
    <w:rsid w:val="00936CDA"/>
    <w:rsid w:val="00936D86"/>
    <w:rsid w:val="00937058"/>
    <w:rsid w:val="00937089"/>
    <w:rsid w:val="0093736F"/>
    <w:rsid w:val="009373E7"/>
    <w:rsid w:val="0093740C"/>
    <w:rsid w:val="00937427"/>
    <w:rsid w:val="00937463"/>
    <w:rsid w:val="009375EE"/>
    <w:rsid w:val="00937654"/>
    <w:rsid w:val="0093783E"/>
    <w:rsid w:val="009378A2"/>
    <w:rsid w:val="00937C5F"/>
    <w:rsid w:val="00937CFD"/>
    <w:rsid w:val="00937FC7"/>
    <w:rsid w:val="009403B2"/>
    <w:rsid w:val="00940AA6"/>
    <w:rsid w:val="00940B44"/>
    <w:rsid w:val="00940BF2"/>
    <w:rsid w:val="00940C09"/>
    <w:rsid w:val="00940C28"/>
    <w:rsid w:val="00940C2B"/>
    <w:rsid w:val="00940E8F"/>
    <w:rsid w:val="00940F44"/>
    <w:rsid w:val="00940FD7"/>
    <w:rsid w:val="00941047"/>
    <w:rsid w:val="009411DE"/>
    <w:rsid w:val="00941542"/>
    <w:rsid w:val="00941716"/>
    <w:rsid w:val="009417BA"/>
    <w:rsid w:val="009418C1"/>
    <w:rsid w:val="00941B5E"/>
    <w:rsid w:val="00941DF4"/>
    <w:rsid w:val="00941E46"/>
    <w:rsid w:val="0094214C"/>
    <w:rsid w:val="00942186"/>
    <w:rsid w:val="009421E9"/>
    <w:rsid w:val="00942862"/>
    <w:rsid w:val="00942A4D"/>
    <w:rsid w:val="00942AD1"/>
    <w:rsid w:val="00942C41"/>
    <w:rsid w:val="00942D8D"/>
    <w:rsid w:val="00942E51"/>
    <w:rsid w:val="009430BC"/>
    <w:rsid w:val="009431DB"/>
    <w:rsid w:val="0094328D"/>
    <w:rsid w:val="00943321"/>
    <w:rsid w:val="00943563"/>
    <w:rsid w:val="009437FC"/>
    <w:rsid w:val="009439F4"/>
    <w:rsid w:val="00943A42"/>
    <w:rsid w:val="00943A92"/>
    <w:rsid w:val="00943E54"/>
    <w:rsid w:val="00944247"/>
    <w:rsid w:val="00944340"/>
    <w:rsid w:val="00944378"/>
    <w:rsid w:val="009445C0"/>
    <w:rsid w:val="009447A9"/>
    <w:rsid w:val="00944D3A"/>
    <w:rsid w:val="00944E5C"/>
    <w:rsid w:val="00944F8A"/>
    <w:rsid w:val="00945188"/>
    <w:rsid w:val="00945381"/>
    <w:rsid w:val="00945447"/>
    <w:rsid w:val="009455CF"/>
    <w:rsid w:val="0094564F"/>
    <w:rsid w:val="00945B6F"/>
    <w:rsid w:val="00945BED"/>
    <w:rsid w:val="00945C65"/>
    <w:rsid w:val="00945D34"/>
    <w:rsid w:val="00945D79"/>
    <w:rsid w:val="00945DA8"/>
    <w:rsid w:val="00945E61"/>
    <w:rsid w:val="00945EDE"/>
    <w:rsid w:val="00945FE1"/>
    <w:rsid w:val="00945FFF"/>
    <w:rsid w:val="009463A7"/>
    <w:rsid w:val="00946673"/>
    <w:rsid w:val="009466C7"/>
    <w:rsid w:val="009467E9"/>
    <w:rsid w:val="00946D3F"/>
    <w:rsid w:val="00946EF8"/>
    <w:rsid w:val="0094730D"/>
    <w:rsid w:val="00947352"/>
    <w:rsid w:val="009473A0"/>
    <w:rsid w:val="00947459"/>
    <w:rsid w:val="00947501"/>
    <w:rsid w:val="009475D4"/>
    <w:rsid w:val="00947824"/>
    <w:rsid w:val="00947969"/>
    <w:rsid w:val="00947A73"/>
    <w:rsid w:val="00947DD9"/>
    <w:rsid w:val="00947ECC"/>
    <w:rsid w:val="00947F45"/>
    <w:rsid w:val="00947F88"/>
    <w:rsid w:val="0095007A"/>
    <w:rsid w:val="009505BA"/>
    <w:rsid w:val="00950A00"/>
    <w:rsid w:val="00950A04"/>
    <w:rsid w:val="00950B12"/>
    <w:rsid w:val="00950BE1"/>
    <w:rsid w:val="00950EDB"/>
    <w:rsid w:val="0095103F"/>
    <w:rsid w:val="00951051"/>
    <w:rsid w:val="009510A2"/>
    <w:rsid w:val="0095119D"/>
    <w:rsid w:val="00951330"/>
    <w:rsid w:val="00951386"/>
    <w:rsid w:val="009513DC"/>
    <w:rsid w:val="0095164A"/>
    <w:rsid w:val="0095164F"/>
    <w:rsid w:val="0095167D"/>
    <w:rsid w:val="00951752"/>
    <w:rsid w:val="00951A35"/>
    <w:rsid w:val="00951B76"/>
    <w:rsid w:val="00951D67"/>
    <w:rsid w:val="00951E34"/>
    <w:rsid w:val="00951FF2"/>
    <w:rsid w:val="009520F3"/>
    <w:rsid w:val="009520F6"/>
    <w:rsid w:val="009521E8"/>
    <w:rsid w:val="00952248"/>
    <w:rsid w:val="00952283"/>
    <w:rsid w:val="009522B0"/>
    <w:rsid w:val="00952411"/>
    <w:rsid w:val="009525ED"/>
    <w:rsid w:val="009526C6"/>
    <w:rsid w:val="00952707"/>
    <w:rsid w:val="00952719"/>
    <w:rsid w:val="009529AC"/>
    <w:rsid w:val="00952A44"/>
    <w:rsid w:val="00952A69"/>
    <w:rsid w:val="00952A6A"/>
    <w:rsid w:val="00952AF7"/>
    <w:rsid w:val="00952BA7"/>
    <w:rsid w:val="00953189"/>
    <w:rsid w:val="00953257"/>
    <w:rsid w:val="009533BA"/>
    <w:rsid w:val="00953594"/>
    <w:rsid w:val="00953606"/>
    <w:rsid w:val="0095362E"/>
    <w:rsid w:val="009537F0"/>
    <w:rsid w:val="00953883"/>
    <w:rsid w:val="00953E3C"/>
    <w:rsid w:val="00953E9C"/>
    <w:rsid w:val="00953EA9"/>
    <w:rsid w:val="009543C3"/>
    <w:rsid w:val="00954440"/>
    <w:rsid w:val="009546D1"/>
    <w:rsid w:val="0095474C"/>
    <w:rsid w:val="0095478B"/>
    <w:rsid w:val="0095485F"/>
    <w:rsid w:val="00954870"/>
    <w:rsid w:val="00954FA5"/>
    <w:rsid w:val="009553E6"/>
    <w:rsid w:val="00955805"/>
    <w:rsid w:val="009558C2"/>
    <w:rsid w:val="00955AD9"/>
    <w:rsid w:val="0095602F"/>
    <w:rsid w:val="00956135"/>
    <w:rsid w:val="00956867"/>
    <w:rsid w:val="00956A20"/>
    <w:rsid w:val="009570C6"/>
    <w:rsid w:val="00957337"/>
    <w:rsid w:val="009573D8"/>
    <w:rsid w:val="009576A8"/>
    <w:rsid w:val="009576F3"/>
    <w:rsid w:val="00957827"/>
    <w:rsid w:val="0095789A"/>
    <w:rsid w:val="00957995"/>
    <w:rsid w:val="00957C51"/>
    <w:rsid w:val="00957D92"/>
    <w:rsid w:val="00960054"/>
    <w:rsid w:val="0096012F"/>
    <w:rsid w:val="009602A3"/>
    <w:rsid w:val="009606B9"/>
    <w:rsid w:val="009606BC"/>
    <w:rsid w:val="0096074A"/>
    <w:rsid w:val="0096099B"/>
    <w:rsid w:val="009609D9"/>
    <w:rsid w:val="00960B99"/>
    <w:rsid w:val="00960FF6"/>
    <w:rsid w:val="009614B3"/>
    <w:rsid w:val="009619E9"/>
    <w:rsid w:val="009619F7"/>
    <w:rsid w:val="00961CE6"/>
    <w:rsid w:val="00961E4F"/>
    <w:rsid w:val="00961F75"/>
    <w:rsid w:val="0096223C"/>
    <w:rsid w:val="009622A2"/>
    <w:rsid w:val="009626B4"/>
    <w:rsid w:val="0096295A"/>
    <w:rsid w:val="00962BFD"/>
    <w:rsid w:val="00962CB9"/>
    <w:rsid w:val="00962D84"/>
    <w:rsid w:val="00962DA5"/>
    <w:rsid w:val="00962F4E"/>
    <w:rsid w:val="00963046"/>
    <w:rsid w:val="009633B1"/>
    <w:rsid w:val="0096384F"/>
    <w:rsid w:val="009638D7"/>
    <w:rsid w:val="00963937"/>
    <w:rsid w:val="00963D52"/>
    <w:rsid w:val="00964029"/>
    <w:rsid w:val="009642FD"/>
    <w:rsid w:val="00964312"/>
    <w:rsid w:val="00964531"/>
    <w:rsid w:val="00964AF7"/>
    <w:rsid w:val="00964BBC"/>
    <w:rsid w:val="00964C61"/>
    <w:rsid w:val="00964E9D"/>
    <w:rsid w:val="009651F2"/>
    <w:rsid w:val="00965264"/>
    <w:rsid w:val="0096529E"/>
    <w:rsid w:val="0096533C"/>
    <w:rsid w:val="00965382"/>
    <w:rsid w:val="009653E0"/>
    <w:rsid w:val="00965474"/>
    <w:rsid w:val="00965558"/>
    <w:rsid w:val="009656AF"/>
    <w:rsid w:val="00965873"/>
    <w:rsid w:val="009658D8"/>
    <w:rsid w:val="00965B8A"/>
    <w:rsid w:val="00965F8E"/>
    <w:rsid w:val="00965FDE"/>
    <w:rsid w:val="009660D0"/>
    <w:rsid w:val="0096627A"/>
    <w:rsid w:val="009666D3"/>
    <w:rsid w:val="00966B5D"/>
    <w:rsid w:val="00966BB8"/>
    <w:rsid w:val="00966D34"/>
    <w:rsid w:val="00966F68"/>
    <w:rsid w:val="009673BB"/>
    <w:rsid w:val="009675F9"/>
    <w:rsid w:val="0096769E"/>
    <w:rsid w:val="00967760"/>
    <w:rsid w:val="00967802"/>
    <w:rsid w:val="00967B90"/>
    <w:rsid w:val="00967E86"/>
    <w:rsid w:val="009700C6"/>
    <w:rsid w:val="0097044E"/>
    <w:rsid w:val="009706B4"/>
    <w:rsid w:val="0097071F"/>
    <w:rsid w:val="0097089A"/>
    <w:rsid w:val="009709F3"/>
    <w:rsid w:val="00970ABC"/>
    <w:rsid w:val="00970B1A"/>
    <w:rsid w:val="00970B95"/>
    <w:rsid w:val="00970B9D"/>
    <w:rsid w:val="00970D99"/>
    <w:rsid w:val="00970E5F"/>
    <w:rsid w:val="00970EFE"/>
    <w:rsid w:val="00971041"/>
    <w:rsid w:val="00971476"/>
    <w:rsid w:val="0097150D"/>
    <w:rsid w:val="0097157D"/>
    <w:rsid w:val="009715E1"/>
    <w:rsid w:val="009717AC"/>
    <w:rsid w:val="00971A47"/>
    <w:rsid w:val="00971C7E"/>
    <w:rsid w:val="00971D78"/>
    <w:rsid w:val="00972006"/>
    <w:rsid w:val="009720F3"/>
    <w:rsid w:val="009721D1"/>
    <w:rsid w:val="009722D4"/>
    <w:rsid w:val="009723F8"/>
    <w:rsid w:val="00972703"/>
    <w:rsid w:val="00972727"/>
    <w:rsid w:val="00972830"/>
    <w:rsid w:val="0097283F"/>
    <w:rsid w:val="00972906"/>
    <w:rsid w:val="00972AEC"/>
    <w:rsid w:val="00972D4D"/>
    <w:rsid w:val="00972DFF"/>
    <w:rsid w:val="00972EC6"/>
    <w:rsid w:val="00972F89"/>
    <w:rsid w:val="00973100"/>
    <w:rsid w:val="0097310D"/>
    <w:rsid w:val="009736B0"/>
    <w:rsid w:val="009736B7"/>
    <w:rsid w:val="0097370D"/>
    <w:rsid w:val="00973C1B"/>
    <w:rsid w:val="00973CC4"/>
    <w:rsid w:val="00973D0B"/>
    <w:rsid w:val="00973D45"/>
    <w:rsid w:val="00974023"/>
    <w:rsid w:val="0097426C"/>
    <w:rsid w:val="009743C4"/>
    <w:rsid w:val="0097440B"/>
    <w:rsid w:val="00974464"/>
    <w:rsid w:val="009744D1"/>
    <w:rsid w:val="00974508"/>
    <w:rsid w:val="00974617"/>
    <w:rsid w:val="009746E3"/>
    <w:rsid w:val="00974807"/>
    <w:rsid w:val="00974932"/>
    <w:rsid w:val="00974965"/>
    <w:rsid w:val="00974B68"/>
    <w:rsid w:val="00974D39"/>
    <w:rsid w:val="00974EE1"/>
    <w:rsid w:val="009751C1"/>
    <w:rsid w:val="009751DB"/>
    <w:rsid w:val="0097528B"/>
    <w:rsid w:val="00975558"/>
    <w:rsid w:val="009755BB"/>
    <w:rsid w:val="009755FB"/>
    <w:rsid w:val="0097599F"/>
    <w:rsid w:val="009759AD"/>
    <w:rsid w:val="00975AB1"/>
    <w:rsid w:val="00975ACE"/>
    <w:rsid w:val="00975CDD"/>
    <w:rsid w:val="00975D7C"/>
    <w:rsid w:val="009764E5"/>
    <w:rsid w:val="0097687E"/>
    <w:rsid w:val="0097696E"/>
    <w:rsid w:val="00976D85"/>
    <w:rsid w:val="00976E52"/>
    <w:rsid w:val="009770AE"/>
    <w:rsid w:val="009771C5"/>
    <w:rsid w:val="009772F2"/>
    <w:rsid w:val="0097734E"/>
    <w:rsid w:val="0097738C"/>
    <w:rsid w:val="00977584"/>
    <w:rsid w:val="0097786E"/>
    <w:rsid w:val="00977BC9"/>
    <w:rsid w:val="00977BF7"/>
    <w:rsid w:val="00977C6E"/>
    <w:rsid w:val="00977CF3"/>
    <w:rsid w:val="00977DA6"/>
    <w:rsid w:val="00977FB2"/>
    <w:rsid w:val="00977FDE"/>
    <w:rsid w:val="0098030C"/>
    <w:rsid w:val="009803A7"/>
    <w:rsid w:val="00980577"/>
    <w:rsid w:val="009805C6"/>
    <w:rsid w:val="0098083D"/>
    <w:rsid w:val="009808DA"/>
    <w:rsid w:val="00980916"/>
    <w:rsid w:val="00980A1C"/>
    <w:rsid w:val="00980D50"/>
    <w:rsid w:val="00980D84"/>
    <w:rsid w:val="00980EBD"/>
    <w:rsid w:val="00980F2D"/>
    <w:rsid w:val="009811F1"/>
    <w:rsid w:val="009812DB"/>
    <w:rsid w:val="00981464"/>
    <w:rsid w:val="0098172A"/>
    <w:rsid w:val="00981996"/>
    <w:rsid w:val="009820EF"/>
    <w:rsid w:val="00982170"/>
    <w:rsid w:val="009821EA"/>
    <w:rsid w:val="00982439"/>
    <w:rsid w:val="00982541"/>
    <w:rsid w:val="009825D0"/>
    <w:rsid w:val="0098262F"/>
    <w:rsid w:val="009829A8"/>
    <w:rsid w:val="009829E6"/>
    <w:rsid w:val="00982C50"/>
    <w:rsid w:val="00982DD5"/>
    <w:rsid w:val="00982E05"/>
    <w:rsid w:val="00982F8C"/>
    <w:rsid w:val="00983434"/>
    <w:rsid w:val="009838BD"/>
    <w:rsid w:val="00983A03"/>
    <w:rsid w:val="00983A8A"/>
    <w:rsid w:val="00983B00"/>
    <w:rsid w:val="00983B74"/>
    <w:rsid w:val="00983CCB"/>
    <w:rsid w:val="00983D36"/>
    <w:rsid w:val="00983E57"/>
    <w:rsid w:val="0098407B"/>
    <w:rsid w:val="00984346"/>
    <w:rsid w:val="00984448"/>
    <w:rsid w:val="0098447B"/>
    <w:rsid w:val="0098451F"/>
    <w:rsid w:val="00984629"/>
    <w:rsid w:val="00984808"/>
    <w:rsid w:val="00984A62"/>
    <w:rsid w:val="00984ABF"/>
    <w:rsid w:val="00984BCB"/>
    <w:rsid w:val="00985051"/>
    <w:rsid w:val="009850B0"/>
    <w:rsid w:val="00985A28"/>
    <w:rsid w:val="00985B04"/>
    <w:rsid w:val="00985BB5"/>
    <w:rsid w:val="00985DE2"/>
    <w:rsid w:val="00985F8E"/>
    <w:rsid w:val="009861E8"/>
    <w:rsid w:val="009861EB"/>
    <w:rsid w:val="00986323"/>
    <w:rsid w:val="00986343"/>
    <w:rsid w:val="009863A0"/>
    <w:rsid w:val="009866C5"/>
    <w:rsid w:val="0098675D"/>
    <w:rsid w:val="00986D0E"/>
    <w:rsid w:val="00986E0B"/>
    <w:rsid w:val="00986FA9"/>
    <w:rsid w:val="00987076"/>
    <w:rsid w:val="00987232"/>
    <w:rsid w:val="00987582"/>
    <w:rsid w:val="00987680"/>
    <w:rsid w:val="009879B4"/>
    <w:rsid w:val="00987BA4"/>
    <w:rsid w:val="00987BCF"/>
    <w:rsid w:val="00987E07"/>
    <w:rsid w:val="00987EE1"/>
    <w:rsid w:val="00990820"/>
    <w:rsid w:val="009909D0"/>
    <w:rsid w:val="00990ABE"/>
    <w:rsid w:val="0099120F"/>
    <w:rsid w:val="00991497"/>
    <w:rsid w:val="00991751"/>
    <w:rsid w:val="0099176F"/>
    <w:rsid w:val="00991D7D"/>
    <w:rsid w:val="00992166"/>
    <w:rsid w:val="00992167"/>
    <w:rsid w:val="00992290"/>
    <w:rsid w:val="00992569"/>
    <w:rsid w:val="00992610"/>
    <w:rsid w:val="00992625"/>
    <w:rsid w:val="009926C6"/>
    <w:rsid w:val="009926E0"/>
    <w:rsid w:val="009927AB"/>
    <w:rsid w:val="00992870"/>
    <w:rsid w:val="0099294B"/>
    <w:rsid w:val="0099313A"/>
    <w:rsid w:val="009935A7"/>
    <w:rsid w:val="009936EA"/>
    <w:rsid w:val="009937C0"/>
    <w:rsid w:val="00993FA9"/>
    <w:rsid w:val="0099405B"/>
    <w:rsid w:val="00994396"/>
    <w:rsid w:val="0099451E"/>
    <w:rsid w:val="00994A61"/>
    <w:rsid w:val="00994C4A"/>
    <w:rsid w:val="00994D3B"/>
    <w:rsid w:val="00994F92"/>
    <w:rsid w:val="009950DA"/>
    <w:rsid w:val="009950F7"/>
    <w:rsid w:val="00995296"/>
    <w:rsid w:val="00995539"/>
    <w:rsid w:val="00995600"/>
    <w:rsid w:val="009958BD"/>
    <w:rsid w:val="009958CC"/>
    <w:rsid w:val="00995901"/>
    <w:rsid w:val="0099599C"/>
    <w:rsid w:val="00995BE1"/>
    <w:rsid w:val="00995E88"/>
    <w:rsid w:val="00995EFA"/>
    <w:rsid w:val="009960DF"/>
    <w:rsid w:val="009961F2"/>
    <w:rsid w:val="00996217"/>
    <w:rsid w:val="009963F3"/>
    <w:rsid w:val="009964B1"/>
    <w:rsid w:val="00996575"/>
    <w:rsid w:val="00996653"/>
    <w:rsid w:val="0099673F"/>
    <w:rsid w:val="009967F9"/>
    <w:rsid w:val="00996B1A"/>
    <w:rsid w:val="00996C5C"/>
    <w:rsid w:val="0099721B"/>
    <w:rsid w:val="0099732B"/>
    <w:rsid w:val="0099733E"/>
    <w:rsid w:val="00997545"/>
    <w:rsid w:val="009975DD"/>
    <w:rsid w:val="00997848"/>
    <w:rsid w:val="0099789F"/>
    <w:rsid w:val="00997968"/>
    <w:rsid w:val="00997C2B"/>
    <w:rsid w:val="00997D3C"/>
    <w:rsid w:val="00997F22"/>
    <w:rsid w:val="009A0302"/>
    <w:rsid w:val="009A0424"/>
    <w:rsid w:val="009A06BA"/>
    <w:rsid w:val="009A0B45"/>
    <w:rsid w:val="009A0CB1"/>
    <w:rsid w:val="009A0DED"/>
    <w:rsid w:val="009A11D5"/>
    <w:rsid w:val="009A1248"/>
    <w:rsid w:val="009A1443"/>
    <w:rsid w:val="009A161F"/>
    <w:rsid w:val="009A183F"/>
    <w:rsid w:val="009A18F6"/>
    <w:rsid w:val="009A197C"/>
    <w:rsid w:val="009A19B0"/>
    <w:rsid w:val="009A1C1E"/>
    <w:rsid w:val="009A2241"/>
    <w:rsid w:val="009A2787"/>
    <w:rsid w:val="009A2A3C"/>
    <w:rsid w:val="009A2BF1"/>
    <w:rsid w:val="009A2D58"/>
    <w:rsid w:val="009A2DCC"/>
    <w:rsid w:val="009A2F3C"/>
    <w:rsid w:val="009A2F66"/>
    <w:rsid w:val="009A2F84"/>
    <w:rsid w:val="009A3079"/>
    <w:rsid w:val="009A30A0"/>
    <w:rsid w:val="009A3717"/>
    <w:rsid w:val="009A38F3"/>
    <w:rsid w:val="009A3B1C"/>
    <w:rsid w:val="009A3BF1"/>
    <w:rsid w:val="009A3CAE"/>
    <w:rsid w:val="009A3F7B"/>
    <w:rsid w:val="009A40AA"/>
    <w:rsid w:val="009A4245"/>
    <w:rsid w:val="009A4308"/>
    <w:rsid w:val="009A43EA"/>
    <w:rsid w:val="009A4599"/>
    <w:rsid w:val="009A4799"/>
    <w:rsid w:val="009A47DC"/>
    <w:rsid w:val="009A4882"/>
    <w:rsid w:val="009A48A5"/>
    <w:rsid w:val="009A4909"/>
    <w:rsid w:val="009A4B28"/>
    <w:rsid w:val="009A4C5F"/>
    <w:rsid w:val="009A4DD5"/>
    <w:rsid w:val="009A504F"/>
    <w:rsid w:val="009A50DD"/>
    <w:rsid w:val="009A52C4"/>
    <w:rsid w:val="009A5365"/>
    <w:rsid w:val="009A58CB"/>
    <w:rsid w:val="009A5901"/>
    <w:rsid w:val="009A5993"/>
    <w:rsid w:val="009A5A16"/>
    <w:rsid w:val="009A5ABC"/>
    <w:rsid w:val="009A5AFE"/>
    <w:rsid w:val="009A5D87"/>
    <w:rsid w:val="009A6166"/>
    <w:rsid w:val="009A6209"/>
    <w:rsid w:val="009A6485"/>
    <w:rsid w:val="009A64F9"/>
    <w:rsid w:val="009A662D"/>
    <w:rsid w:val="009A6E7F"/>
    <w:rsid w:val="009A6F47"/>
    <w:rsid w:val="009A706A"/>
    <w:rsid w:val="009A7170"/>
    <w:rsid w:val="009A72B8"/>
    <w:rsid w:val="009A748B"/>
    <w:rsid w:val="009A7ADF"/>
    <w:rsid w:val="009A7C7E"/>
    <w:rsid w:val="009A7E17"/>
    <w:rsid w:val="009A7E9C"/>
    <w:rsid w:val="009A7EE0"/>
    <w:rsid w:val="009A7F10"/>
    <w:rsid w:val="009B011A"/>
    <w:rsid w:val="009B019A"/>
    <w:rsid w:val="009B01BC"/>
    <w:rsid w:val="009B0511"/>
    <w:rsid w:val="009B0519"/>
    <w:rsid w:val="009B0656"/>
    <w:rsid w:val="009B07A0"/>
    <w:rsid w:val="009B07E2"/>
    <w:rsid w:val="009B099B"/>
    <w:rsid w:val="009B0A20"/>
    <w:rsid w:val="009B0AB8"/>
    <w:rsid w:val="009B1006"/>
    <w:rsid w:val="009B1661"/>
    <w:rsid w:val="009B16AC"/>
    <w:rsid w:val="009B1BC2"/>
    <w:rsid w:val="009B1EC0"/>
    <w:rsid w:val="009B1F24"/>
    <w:rsid w:val="009B1FB2"/>
    <w:rsid w:val="009B21CC"/>
    <w:rsid w:val="009B228F"/>
    <w:rsid w:val="009B253D"/>
    <w:rsid w:val="009B253F"/>
    <w:rsid w:val="009B27C3"/>
    <w:rsid w:val="009B288F"/>
    <w:rsid w:val="009B2B04"/>
    <w:rsid w:val="009B2CF2"/>
    <w:rsid w:val="009B2ECB"/>
    <w:rsid w:val="009B3067"/>
    <w:rsid w:val="009B34E5"/>
    <w:rsid w:val="009B3656"/>
    <w:rsid w:val="009B377D"/>
    <w:rsid w:val="009B3B97"/>
    <w:rsid w:val="009B3C49"/>
    <w:rsid w:val="009B3E26"/>
    <w:rsid w:val="009B3E30"/>
    <w:rsid w:val="009B41E3"/>
    <w:rsid w:val="009B45AB"/>
    <w:rsid w:val="009B4881"/>
    <w:rsid w:val="009B490D"/>
    <w:rsid w:val="009B4925"/>
    <w:rsid w:val="009B4A9C"/>
    <w:rsid w:val="009B4C5A"/>
    <w:rsid w:val="009B4C92"/>
    <w:rsid w:val="009B4E35"/>
    <w:rsid w:val="009B4ED2"/>
    <w:rsid w:val="009B4F4A"/>
    <w:rsid w:val="009B500F"/>
    <w:rsid w:val="009B5197"/>
    <w:rsid w:val="009B5450"/>
    <w:rsid w:val="009B54DB"/>
    <w:rsid w:val="009B5599"/>
    <w:rsid w:val="009B56A6"/>
    <w:rsid w:val="009B56CE"/>
    <w:rsid w:val="009B5772"/>
    <w:rsid w:val="009B58EB"/>
    <w:rsid w:val="009B5910"/>
    <w:rsid w:val="009B5B5D"/>
    <w:rsid w:val="009B5B72"/>
    <w:rsid w:val="009B5BEA"/>
    <w:rsid w:val="009B5CB6"/>
    <w:rsid w:val="009B5CE8"/>
    <w:rsid w:val="009B62B2"/>
    <w:rsid w:val="009B660F"/>
    <w:rsid w:val="009B66E8"/>
    <w:rsid w:val="009B6768"/>
    <w:rsid w:val="009B6841"/>
    <w:rsid w:val="009B695B"/>
    <w:rsid w:val="009B6A31"/>
    <w:rsid w:val="009B6F88"/>
    <w:rsid w:val="009B6F98"/>
    <w:rsid w:val="009B70A7"/>
    <w:rsid w:val="009B70B9"/>
    <w:rsid w:val="009B7352"/>
    <w:rsid w:val="009B7369"/>
    <w:rsid w:val="009B7517"/>
    <w:rsid w:val="009B78CE"/>
    <w:rsid w:val="009B799B"/>
    <w:rsid w:val="009B7BED"/>
    <w:rsid w:val="009B7C06"/>
    <w:rsid w:val="009B7CDF"/>
    <w:rsid w:val="009B7E5D"/>
    <w:rsid w:val="009B7F71"/>
    <w:rsid w:val="009B7FC1"/>
    <w:rsid w:val="009C00BD"/>
    <w:rsid w:val="009C0179"/>
    <w:rsid w:val="009C0202"/>
    <w:rsid w:val="009C025A"/>
    <w:rsid w:val="009C0521"/>
    <w:rsid w:val="009C0584"/>
    <w:rsid w:val="009C05D0"/>
    <w:rsid w:val="009C0689"/>
    <w:rsid w:val="009C0714"/>
    <w:rsid w:val="009C07B6"/>
    <w:rsid w:val="009C07FE"/>
    <w:rsid w:val="009C0970"/>
    <w:rsid w:val="009C09B8"/>
    <w:rsid w:val="009C09DD"/>
    <w:rsid w:val="009C0B1E"/>
    <w:rsid w:val="009C0BB2"/>
    <w:rsid w:val="009C0E27"/>
    <w:rsid w:val="009C0F4E"/>
    <w:rsid w:val="009C1113"/>
    <w:rsid w:val="009C1271"/>
    <w:rsid w:val="009C18EF"/>
    <w:rsid w:val="009C1908"/>
    <w:rsid w:val="009C1C63"/>
    <w:rsid w:val="009C204B"/>
    <w:rsid w:val="009C205B"/>
    <w:rsid w:val="009C21F3"/>
    <w:rsid w:val="009C22A0"/>
    <w:rsid w:val="009C2348"/>
    <w:rsid w:val="009C2904"/>
    <w:rsid w:val="009C2911"/>
    <w:rsid w:val="009C2A31"/>
    <w:rsid w:val="009C2A54"/>
    <w:rsid w:val="009C2BF3"/>
    <w:rsid w:val="009C2E7A"/>
    <w:rsid w:val="009C2EBD"/>
    <w:rsid w:val="009C2F68"/>
    <w:rsid w:val="009C30DC"/>
    <w:rsid w:val="009C3706"/>
    <w:rsid w:val="009C3A2E"/>
    <w:rsid w:val="009C3A3A"/>
    <w:rsid w:val="009C3AC5"/>
    <w:rsid w:val="009C3B30"/>
    <w:rsid w:val="009C3D08"/>
    <w:rsid w:val="009C3D73"/>
    <w:rsid w:val="009C3DAE"/>
    <w:rsid w:val="009C3E66"/>
    <w:rsid w:val="009C3FB6"/>
    <w:rsid w:val="009C4036"/>
    <w:rsid w:val="009C407E"/>
    <w:rsid w:val="009C412F"/>
    <w:rsid w:val="009C4130"/>
    <w:rsid w:val="009C426B"/>
    <w:rsid w:val="009C473C"/>
    <w:rsid w:val="009C475C"/>
    <w:rsid w:val="009C47A9"/>
    <w:rsid w:val="009C480D"/>
    <w:rsid w:val="009C4AA3"/>
    <w:rsid w:val="009C4AEF"/>
    <w:rsid w:val="009C4B3A"/>
    <w:rsid w:val="009C4C52"/>
    <w:rsid w:val="009C4D08"/>
    <w:rsid w:val="009C4DA5"/>
    <w:rsid w:val="009C4E4C"/>
    <w:rsid w:val="009C4E68"/>
    <w:rsid w:val="009C4FAA"/>
    <w:rsid w:val="009C599F"/>
    <w:rsid w:val="009C59EE"/>
    <w:rsid w:val="009C5AC5"/>
    <w:rsid w:val="009C5E72"/>
    <w:rsid w:val="009C5F16"/>
    <w:rsid w:val="009C6169"/>
    <w:rsid w:val="009C626F"/>
    <w:rsid w:val="009C62AE"/>
    <w:rsid w:val="009C630D"/>
    <w:rsid w:val="009C64FC"/>
    <w:rsid w:val="009C668B"/>
    <w:rsid w:val="009C66C2"/>
    <w:rsid w:val="009C66FB"/>
    <w:rsid w:val="009C6AF7"/>
    <w:rsid w:val="009C6BA0"/>
    <w:rsid w:val="009C6CEA"/>
    <w:rsid w:val="009C6E96"/>
    <w:rsid w:val="009C6ECB"/>
    <w:rsid w:val="009C7017"/>
    <w:rsid w:val="009C7207"/>
    <w:rsid w:val="009C72B0"/>
    <w:rsid w:val="009C74F4"/>
    <w:rsid w:val="009C7853"/>
    <w:rsid w:val="009C797D"/>
    <w:rsid w:val="009C7B85"/>
    <w:rsid w:val="009C7CE1"/>
    <w:rsid w:val="009C7DF8"/>
    <w:rsid w:val="009C7E19"/>
    <w:rsid w:val="009C7EF9"/>
    <w:rsid w:val="009C7F1B"/>
    <w:rsid w:val="009C7F90"/>
    <w:rsid w:val="009D0156"/>
    <w:rsid w:val="009D0254"/>
    <w:rsid w:val="009D0318"/>
    <w:rsid w:val="009D0760"/>
    <w:rsid w:val="009D07DB"/>
    <w:rsid w:val="009D081D"/>
    <w:rsid w:val="009D08AE"/>
    <w:rsid w:val="009D09DA"/>
    <w:rsid w:val="009D0A33"/>
    <w:rsid w:val="009D10FB"/>
    <w:rsid w:val="009D1409"/>
    <w:rsid w:val="009D159C"/>
    <w:rsid w:val="009D16C5"/>
    <w:rsid w:val="009D1942"/>
    <w:rsid w:val="009D1A4C"/>
    <w:rsid w:val="009D1A64"/>
    <w:rsid w:val="009D1CBF"/>
    <w:rsid w:val="009D1D1D"/>
    <w:rsid w:val="009D1E46"/>
    <w:rsid w:val="009D220D"/>
    <w:rsid w:val="009D25B7"/>
    <w:rsid w:val="009D28E9"/>
    <w:rsid w:val="009D2A6D"/>
    <w:rsid w:val="009D2B9F"/>
    <w:rsid w:val="009D2BDA"/>
    <w:rsid w:val="009D2F40"/>
    <w:rsid w:val="009D2F78"/>
    <w:rsid w:val="009D2FAC"/>
    <w:rsid w:val="009D3067"/>
    <w:rsid w:val="009D30A5"/>
    <w:rsid w:val="009D3258"/>
    <w:rsid w:val="009D3299"/>
    <w:rsid w:val="009D339F"/>
    <w:rsid w:val="009D345C"/>
    <w:rsid w:val="009D3F48"/>
    <w:rsid w:val="009D3F94"/>
    <w:rsid w:val="009D440E"/>
    <w:rsid w:val="009D452E"/>
    <w:rsid w:val="009D46B8"/>
    <w:rsid w:val="009D474F"/>
    <w:rsid w:val="009D4A33"/>
    <w:rsid w:val="009D4D74"/>
    <w:rsid w:val="009D4ED5"/>
    <w:rsid w:val="009D5082"/>
    <w:rsid w:val="009D50C0"/>
    <w:rsid w:val="009D523A"/>
    <w:rsid w:val="009D53BD"/>
    <w:rsid w:val="009D560F"/>
    <w:rsid w:val="009D59DB"/>
    <w:rsid w:val="009D5AA2"/>
    <w:rsid w:val="009D5ACA"/>
    <w:rsid w:val="009D5B91"/>
    <w:rsid w:val="009D5F60"/>
    <w:rsid w:val="009D5FE8"/>
    <w:rsid w:val="009D6123"/>
    <w:rsid w:val="009D63A1"/>
    <w:rsid w:val="009D641C"/>
    <w:rsid w:val="009D64F3"/>
    <w:rsid w:val="009D6522"/>
    <w:rsid w:val="009D6677"/>
    <w:rsid w:val="009D6683"/>
    <w:rsid w:val="009D67B1"/>
    <w:rsid w:val="009D6C23"/>
    <w:rsid w:val="009D6CF1"/>
    <w:rsid w:val="009D6D09"/>
    <w:rsid w:val="009D6F99"/>
    <w:rsid w:val="009D718E"/>
    <w:rsid w:val="009D71C8"/>
    <w:rsid w:val="009D74AE"/>
    <w:rsid w:val="009D75F9"/>
    <w:rsid w:val="009D792E"/>
    <w:rsid w:val="009D79D4"/>
    <w:rsid w:val="009D7D14"/>
    <w:rsid w:val="009D7E2A"/>
    <w:rsid w:val="009D7E32"/>
    <w:rsid w:val="009E0256"/>
    <w:rsid w:val="009E042C"/>
    <w:rsid w:val="009E04A1"/>
    <w:rsid w:val="009E0767"/>
    <w:rsid w:val="009E09AC"/>
    <w:rsid w:val="009E0C50"/>
    <w:rsid w:val="009E0DFE"/>
    <w:rsid w:val="009E101B"/>
    <w:rsid w:val="009E1092"/>
    <w:rsid w:val="009E123D"/>
    <w:rsid w:val="009E16A9"/>
    <w:rsid w:val="009E16AC"/>
    <w:rsid w:val="009E173C"/>
    <w:rsid w:val="009E173E"/>
    <w:rsid w:val="009E1743"/>
    <w:rsid w:val="009E17C6"/>
    <w:rsid w:val="009E1979"/>
    <w:rsid w:val="009E19C6"/>
    <w:rsid w:val="009E1A6B"/>
    <w:rsid w:val="009E1BCC"/>
    <w:rsid w:val="009E1BE1"/>
    <w:rsid w:val="009E1F3A"/>
    <w:rsid w:val="009E2088"/>
    <w:rsid w:val="009E2230"/>
    <w:rsid w:val="009E227E"/>
    <w:rsid w:val="009E2290"/>
    <w:rsid w:val="009E24E0"/>
    <w:rsid w:val="009E2641"/>
    <w:rsid w:val="009E2ABE"/>
    <w:rsid w:val="009E2B8A"/>
    <w:rsid w:val="009E2CB7"/>
    <w:rsid w:val="009E2ED1"/>
    <w:rsid w:val="009E2F33"/>
    <w:rsid w:val="009E2F37"/>
    <w:rsid w:val="009E318F"/>
    <w:rsid w:val="009E31F6"/>
    <w:rsid w:val="009E349A"/>
    <w:rsid w:val="009E36D1"/>
    <w:rsid w:val="009E381B"/>
    <w:rsid w:val="009E3A1D"/>
    <w:rsid w:val="009E3AAB"/>
    <w:rsid w:val="009E3C22"/>
    <w:rsid w:val="009E3D41"/>
    <w:rsid w:val="009E409C"/>
    <w:rsid w:val="009E4177"/>
    <w:rsid w:val="009E41BB"/>
    <w:rsid w:val="009E44F2"/>
    <w:rsid w:val="009E4533"/>
    <w:rsid w:val="009E455E"/>
    <w:rsid w:val="009E4889"/>
    <w:rsid w:val="009E494F"/>
    <w:rsid w:val="009E4A3D"/>
    <w:rsid w:val="009E4A4E"/>
    <w:rsid w:val="009E4A6C"/>
    <w:rsid w:val="009E4B01"/>
    <w:rsid w:val="009E4C07"/>
    <w:rsid w:val="009E4C8D"/>
    <w:rsid w:val="009E5083"/>
    <w:rsid w:val="009E51B8"/>
    <w:rsid w:val="009E5359"/>
    <w:rsid w:val="009E55C3"/>
    <w:rsid w:val="009E5832"/>
    <w:rsid w:val="009E5874"/>
    <w:rsid w:val="009E5A83"/>
    <w:rsid w:val="009E5C04"/>
    <w:rsid w:val="009E5C1D"/>
    <w:rsid w:val="009E5C33"/>
    <w:rsid w:val="009E6134"/>
    <w:rsid w:val="009E6269"/>
    <w:rsid w:val="009E6365"/>
    <w:rsid w:val="009E642A"/>
    <w:rsid w:val="009E6555"/>
    <w:rsid w:val="009E68E6"/>
    <w:rsid w:val="009E6B57"/>
    <w:rsid w:val="009E6B74"/>
    <w:rsid w:val="009E7066"/>
    <w:rsid w:val="009E71BA"/>
    <w:rsid w:val="009E72B1"/>
    <w:rsid w:val="009E72B3"/>
    <w:rsid w:val="009E74F4"/>
    <w:rsid w:val="009E7569"/>
    <w:rsid w:val="009E777F"/>
    <w:rsid w:val="009E7A9C"/>
    <w:rsid w:val="009E7E6A"/>
    <w:rsid w:val="009E7EDB"/>
    <w:rsid w:val="009E7EE9"/>
    <w:rsid w:val="009E7F20"/>
    <w:rsid w:val="009E7F93"/>
    <w:rsid w:val="009F00F7"/>
    <w:rsid w:val="009F02B1"/>
    <w:rsid w:val="009F02BC"/>
    <w:rsid w:val="009F0373"/>
    <w:rsid w:val="009F0693"/>
    <w:rsid w:val="009F0CBC"/>
    <w:rsid w:val="009F0D5F"/>
    <w:rsid w:val="009F12C2"/>
    <w:rsid w:val="009F1490"/>
    <w:rsid w:val="009F14DF"/>
    <w:rsid w:val="009F1582"/>
    <w:rsid w:val="009F1BD0"/>
    <w:rsid w:val="009F1BD4"/>
    <w:rsid w:val="009F1ECC"/>
    <w:rsid w:val="009F1EF5"/>
    <w:rsid w:val="009F1FBC"/>
    <w:rsid w:val="009F2168"/>
    <w:rsid w:val="009F21CF"/>
    <w:rsid w:val="009F22AE"/>
    <w:rsid w:val="009F235A"/>
    <w:rsid w:val="009F23C0"/>
    <w:rsid w:val="009F27F4"/>
    <w:rsid w:val="009F2948"/>
    <w:rsid w:val="009F2A64"/>
    <w:rsid w:val="009F2A68"/>
    <w:rsid w:val="009F2AE5"/>
    <w:rsid w:val="009F2B7C"/>
    <w:rsid w:val="009F3080"/>
    <w:rsid w:val="009F30A0"/>
    <w:rsid w:val="009F3138"/>
    <w:rsid w:val="009F322B"/>
    <w:rsid w:val="009F32D1"/>
    <w:rsid w:val="009F32FF"/>
    <w:rsid w:val="009F3922"/>
    <w:rsid w:val="009F39B9"/>
    <w:rsid w:val="009F39E8"/>
    <w:rsid w:val="009F3DA3"/>
    <w:rsid w:val="009F3E54"/>
    <w:rsid w:val="009F3FEF"/>
    <w:rsid w:val="009F4026"/>
    <w:rsid w:val="009F40BC"/>
    <w:rsid w:val="009F4148"/>
    <w:rsid w:val="009F4485"/>
    <w:rsid w:val="009F4510"/>
    <w:rsid w:val="009F4829"/>
    <w:rsid w:val="009F4887"/>
    <w:rsid w:val="009F4B06"/>
    <w:rsid w:val="009F4B21"/>
    <w:rsid w:val="009F4C5F"/>
    <w:rsid w:val="009F4DFF"/>
    <w:rsid w:val="009F4F09"/>
    <w:rsid w:val="009F50CC"/>
    <w:rsid w:val="009F515B"/>
    <w:rsid w:val="009F55E5"/>
    <w:rsid w:val="009F57BF"/>
    <w:rsid w:val="009F59D5"/>
    <w:rsid w:val="009F5C7A"/>
    <w:rsid w:val="009F5C99"/>
    <w:rsid w:val="009F5DE8"/>
    <w:rsid w:val="009F5DFC"/>
    <w:rsid w:val="009F605B"/>
    <w:rsid w:val="009F6064"/>
    <w:rsid w:val="009F6105"/>
    <w:rsid w:val="009F6120"/>
    <w:rsid w:val="009F682A"/>
    <w:rsid w:val="009F6F11"/>
    <w:rsid w:val="009F703C"/>
    <w:rsid w:val="009F7324"/>
    <w:rsid w:val="009F75CF"/>
    <w:rsid w:val="009F7947"/>
    <w:rsid w:val="00A00001"/>
    <w:rsid w:val="00A0006E"/>
    <w:rsid w:val="00A000C4"/>
    <w:rsid w:val="00A0040F"/>
    <w:rsid w:val="00A005FF"/>
    <w:rsid w:val="00A00743"/>
    <w:rsid w:val="00A0075F"/>
    <w:rsid w:val="00A00A1E"/>
    <w:rsid w:val="00A00B1D"/>
    <w:rsid w:val="00A00C72"/>
    <w:rsid w:val="00A00C91"/>
    <w:rsid w:val="00A00D76"/>
    <w:rsid w:val="00A01184"/>
    <w:rsid w:val="00A011C9"/>
    <w:rsid w:val="00A011F5"/>
    <w:rsid w:val="00A012C8"/>
    <w:rsid w:val="00A01448"/>
    <w:rsid w:val="00A01449"/>
    <w:rsid w:val="00A0152D"/>
    <w:rsid w:val="00A01E20"/>
    <w:rsid w:val="00A01FD2"/>
    <w:rsid w:val="00A0221E"/>
    <w:rsid w:val="00A02313"/>
    <w:rsid w:val="00A02324"/>
    <w:rsid w:val="00A0237C"/>
    <w:rsid w:val="00A023EB"/>
    <w:rsid w:val="00A0245E"/>
    <w:rsid w:val="00A0274E"/>
    <w:rsid w:val="00A02780"/>
    <w:rsid w:val="00A02AA8"/>
    <w:rsid w:val="00A02C83"/>
    <w:rsid w:val="00A03003"/>
    <w:rsid w:val="00A03113"/>
    <w:rsid w:val="00A033EC"/>
    <w:rsid w:val="00A0353A"/>
    <w:rsid w:val="00A0363C"/>
    <w:rsid w:val="00A036D3"/>
    <w:rsid w:val="00A037C2"/>
    <w:rsid w:val="00A0391F"/>
    <w:rsid w:val="00A039C9"/>
    <w:rsid w:val="00A03A2E"/>
    <w:rsid w:val="00A03B34"/>
    <w:rsid w:val="00A03B79"/>
    <w:rsid w:val="00A03C1A"/>
    <w:rsid w:val="00A03D43"/>
    <w:rsid w:val="00A03D47"/>
    <w:rsid w:val="00A0421C"/>
    <w:rsid w:val="00A04259"/>
    <w:rsid w:val="00A04263"/>
    <w:rsid w:val="00A042DF"/>
    <w:rsid w:val="00A042FD"/>
    <w:rsid w:val="00A04300"/>
    <w:rsid w:val="00A04329"/>
    <w:rsid w:val="00A04380"/>
    <w:rsid w:val="00A04786"/>
    <w:rsid w:val="00A048B6"/>
    <w:rsid w:val="00A049C1"/>
    <w:rsid w:val="00A04A22"/>
    <w:rsid w:val="00A04A32"/>
    <w:rsid w:val="00A04EF4"/>
    <w:rsid w:val="00A05192"/>
    <w:rsid w:val="00A05198"/>
    <w:rsid w:val="00A053F1"/>
    <w:rsid w:val="00A05472"/>
    <w:rsid w:val="00A0593D"/>
    <w:rsid w:val="00A05A9D"/>
    <w:rsid w:val="00A05B04"/>
    <w:rsid w:val="00A05C07"/>
    <w:rsid w:val="00A05C32"/>
    <w:rsid w:val="00A05DD3"/>
    <w:rsid w:val="00A06094"/>
    <w:rsid w:val="00A0609E"/>
    <w:rsid w:val="00A060AE"/>
    <w:rsid w:val="00A06294"/>
    <w:rsid w:val="00A06467"/>
    <w:rsid w:val="00A0653F"/>
    <w:rsid w:val="00A0657D"/>
    <w:rsid w:val="00A06842"/>
    <w:rsid w:val="00A068C4"/>
    <w:rsid w:val="00A06992"/>
    <w:rsid w:val="00A069A1"/>
    <w:rsid w:val="00A069E9"/>
    <w:rsid w:val="00A06E1F"/>
    <w:rsid w:val="00A06F18"/>
    <w:rsid w:val="00A06F5B"/>
    <w:rsid w:val="00A07034"/>
    <w:rsid w:val="00A070BF"/>
    <w:rsid w:val="00A0742B"/>
    <w:rsid w:val="00A07706"/>
    <w:rsid w:val="00A07C9F"/>
    <w:rsid w:val="00A07F16"/>
    <w:rsid w:val="00A1018D"/>
    <w:rsid w:val="00A101E6"/>
    <w:rsid w:val="00A105D6"/>
    <w:rsid w:val="00A10813"/>
    <w:rsid w:val="00A10CAA"/>
    <w:rsid w:val="00A10CED"/>
    <w:rsid w:val="00A10D3A"/>
    <w:rsid w:val="00A10D44"/>
    <w:rsid w:val="00A10DA1"/>
    <w:rsid w:val="00A10E9B"/>
    <w:rsid w:val="00A10EE8"/>
    <w:rsid w:val="00A110F5"/>
    <w:rsid w:val="00A11152"/>
    <w:rsid w:val="00A111A9"/>
    <w:rsid w:val="00A11258"/>
    <w:rsid w:val="00A1144D"/>
    <w:rsid w:val="00A1154F"/>
    <w:rsid w:val="00A11561"/>
    <w:rsid w:val="00A117BE"/>
    <w:rsid w:val="00A1189A"/>
    <w:rsid w:val="00A118FA"/>
    <w:rsid w:val="00A11A00"/>
    <w:rsid w:val="00A11CD0"/>
    <w:rsid w:val="00A11D18"/>
    <w:rsid w:val="00A11E37"/>
    <w:rsid w:val="00A11F5D"/>
    <w:rsid w:val="00A123A4"/>
    <w:rsid w:val="00A124A7"/>
    <w:rsid w:val="00A124D3"/>
    <w:rsid w:val="00A125F1"/>
    <w:rsid w:val="00A1262B"/>
    <w:rsid w:val="00A128C7"/>
    <w:rsid w:val="00A12900"/>
    <w:rsid w:val="00A12D8F"/>
    <w:rsid w:val="00A13401"/>
    <w:rsid w:val="00A13496"/>
    <w:rsid w:val="00A13948"/>
    <w:rsid w:val="00A13A17"/>
    <w:rsid w:val="00A13B3A"/>
    <w:rsid w:val="00A13D54"/>
    <w:rsid w:val="00A1453B"/>
    <w:rsid w:val="00A145ED"/>
    <w:rsid w:val="00A14813"/>
    <w:rsid w:val="00A14845"/>
    <w:rsid w:val="00A14E37"/>
    <w:rsid w:val="00A14F38"/>
    <w:rsid w:val="00A150BB"/>
    <w:rsid w:val="00A15103"/>
    <w:rsid w:val="00A152AE"/>
    <w:rsid w:val="00A154C5"/>
    <w:rsid w:val="00A15510"/>
    <w:rsid w:val="00A1555B"/>
    <w:rsid w:val="00A155C5"/>
    <w:rsid w:val="00A156CB"/>
    <w:rsid w:val="00A158B8"/>
    <w:rsid w:val="00A15994"/>
    <w:rsid w:val="00A15D97"/>
    <w:rsid w:val="00A15F3B"/>
    <w:rsid w:val="00A16338"/>
    <w:rsid w:val="00A1672D"/>
    <w:rsid w:val="00A16A19"/>
    <w:rsid w:val="00A16AD8"/>
    <w:rsid w:val="00A16B5C"/>
    <w:rsid w:val="00A16BE3"/>
    <w:rsid w:val="00A16BEE"/>
    <w:rsid w:val="00A16BF6"/>
    <w:rsid w:val="00A16CDD"/>
    <w:rsid w:val="00A16E73"/>
    <w:rsid w:val="00A16EAB"/>
    <w:rsid w:val="00A16F58"/>
    <w:rsid w:val="00A172EA"/>
    <w:rsid w:val="00A176B1"/>
    <w:rsid w:val="00A178F8"/>
    <w:rsid w:val="00A17A2D"/>
    <w:rsid w:val="00A17BB8"/>
    <w:rsid w:val="00A17C78"/>
    <w:rsid w:val="00A17C7B"/>
    <w:rsid w:val="00A17EA0"/>
    <w:rsid w:val="00A17EE7"/>
    <w:rsid w:val="00A2021E"/>
    <w:rsid w:val="00A20277"/>
    <w:rsid w:val="00A2030C"/>
    <w:rsid w:val="00A206AE"/>
    <w:rsid w:val="00A20834"/>
    <w:rsid w:val="00A20ACB"/>
    <w:rsid w:val="00A20BEB"/>
    <w:rsid w:val="00A20E99"/>
    <w:rsid w:val="00A20F86"/>
    <w:rsid w:val="00A20FA2"/>
    <w:rsid w:val="00A21449"/>
    <w:rsid w:val="00A2173A"/>
    <w:rsid w:val="00A217AA"/>
    <w:rsid w:val="00A21A22"/>
    <w:rsid w:val="00A21C95"/>
    <w:rsid w:val="00A21CF3"/>
    <w:rsid w:val="00A21FF3"/>
    <w:rsid w:val="00A22203"/>
    <w:rsid w:val="00A222D2"/>
    <w:rsid w:val="00A228B9"/>
    <w:rsid w:val="00A22B28"/>
    <w:rsid w:val="00A22ED5"/>
    <w:rsid w:val="00A2312E"/>
    <w:rsid w:val="00A2329F"/>
    <w:rsid w:val="00A232A2"/>
    <w:rsid w:val="00A23412"/>
    <w:rsid w:val="00A23440"/>
    <w:rsid w:val="00A235F4"/>
    <w:rsid w:val="00A23D1D"/>
    <w:rsid w:val="00A23FD4"/>
    <w:rsid w:val="00A2462F"/>
    <w:rsid w:val="00A24813"/>
    <w:rsid w:val="00A248CD"/>
    <w:rsid w:val="00A24975"/>
    <w:rsid w:val="00A24A56"/>
    <w:rsid w:val="00A24AD2"/>
    <w:rsid w:val="00A24C3F"/>
    <w:rsid w:val="00A25382"/>
    <w:rsid w:val="00A2576A"/>
    <w:rsid w:val="00A25827"/>
    <w:rsid w:val="00A259B4"/>
    <w:rsid w:val="00A25A37"/>
    <w:rsid w:val="00A25AAC"/>
    <w:rsid w:val="00A25AC4"/>
    <w:rsid w:val="00A25B6D"/>
    <w:rsid w:val="00A25C27"/>
    <w:rsid w:val="00A25C5C"/>
    <w:rsid w:val="00A25D1E"/>
    <w:rsid w:val="00A25DF7"/>
    <w:rsid w:val="00A25F31"/>
    <w:rsid w:val="00A26054"/>
    <w:rsid w:val="00A2624A"/>
    <w:rsid w:val="00A262D9"/>
    <w:rsid w:val="00A2635F"/>
    <w:rsid w:val="00A2662B"/>
    <w:rsid w:val="00A26886"/>
    <w:rsid w:val="00A268D4"/>
    <w:rsid w:val="00A26915"/>
    <w:rsid w:val="00A26979"/>
    <w:rsid w:val="00A269DC"/>
    <w:rsid w:val="00A26A90"/>
    <w:rsid w:val="00A26B83"/>
    <w:rsid w:val="00A26BC4"/>
    <w:rsid w:val="00A26F72"/>
    <w:rsid w:val="00A26FD1"/>
    <w:rsid w:val="00A27099"/>
    <w:rsid w:val="00A27443"/>
    <w:rsid w:val="00A275C3"/>
    <w:rsid w:val="00A27989"/>
    <w:rsid w:val="00A27ADB"/>
    <w:rsid w:val="00A27AEC"/>
    <w:rsid w:val="00A27B1E"/>
    <w:rsid w:val="00A27C1F"/>
    <w:rsid w:val="00A27CD6"/>
    <w:rsid w:val="00A27E45"/>
    <w:rsid w:val="00A27F92"/>
    <w:rsid w:val="00A30078"/>
    <w:rsid w:val="00A302D7"/>
    <w:rsid w:val="00A30307"/>
    <w:rsid w:val="00A3051D"/>
    <w:rsid w:val="00A307ED"/>
    <w:rsid w:val="00A30A92"/>
    <w:rsid w:val="00A30C62"/>
    <w:rsid w:val="00A30E84"/>
    <w:rsid w:val="00A311FA"/>
    <w:rsid w:val="00A31242"/>
    <w:rsid w:val="00A31612"/>
    <w:rsid w:val="00A316A1"/>
    <w:rsid w:val="00A31833"/>
    <w:rsid w:val="00A3191A"/>
    <w:rsid w:val="00A31AC8"/>
    <w:rsid w:val="00A31D0D"/>
    <w:rsid w:val="00A31DFB"/>
    <w:rsid w:val="00A31FED"/>
    <w:rsid w:val="00A320DB"/>
    <w:rsid w:val="00A3244B"/>
    <w:rsid w:val="00A32541"/>
    <w:rsid w:val="00A32635"/>
    <w:rsid w:val="00A3291A"/>
    <w:rsid w:val="00A32AA5"/>
    <w:rsid w:val="00A32E87"/>
    <w:rsid w:val="00A32E8A"/>
    <w:rsid w:val="00A32FC3"/>
    <w:rsid w:val="00A33022"/>
    <w:rsid w:val="00A33221"/>
    <w:rsid w:val="00A3323F"/>
    <w:rsid w:val="00A333E9"/>
    <w:rsid w:val="00A3340E"/>
    <w:rsid w:val="00A3375B"/>
    <w:rsid w:val="00A3376C"/>
    <w:rsid w:val="00A337A0"/>
    <w:rsid w:val="00A339C6"/>
    <w:rsid w:val="00A33CDF"/>
    <w:rsid w:val="00A34248"/>
    <w:rsid w:val="00A3428B"/>
    <w:rsid w:val="00A343CE"/>
    <w:rsid w:val="00A3467B"/>
    <w:rsid w:val="00A34707"/>
    <w:rsid w:val="00A3473B"/>
    <w:rsid w:val="00A34A6E"/>
    <w:rsid w:val="00A34AC5"/>
    <w:rsid w:val="00A34C20"/>
    <w:rsid w:val="00A34CA2"/>
    <w:rsid w:val="00A34FAB"/>
    <w:rsid w:val="00A34FC5"/>
    <w:rsid w:val="00A3556C"/>
    <w:rsid w:val="00A355E9"/>
    <w:rsid w:val="00A357ED"/>
    <w:rsid w:val="00A358A7"/>
    <w:rsid w:val="00A35A24"/>
    <w:rsid w:val="00A35B4A"/>
    <w:rsid w:val="00A35D16"/>
    <w:rsid w:val="00A35E0B"/>
    <w:rsid w:val="00A35E33"/>
    <w:rsid w:val="00A36604"/>
    <w:rsid w:val="00A368A7"/>
    <w:rsid w:val="00A369A0"/>
    <w:rsid w:val="00A36A05"/>
    <w:rsid w:val="00A36CEC"/>
    <w:rsid w:val="00A36D78"/>
    <w:rsid w:val="00A36DD0"/>
    <w:rsid w:val="00A36E8D"/>
    <w:rsid w:val="00A3700B"/>
    <w:rsid w:val="00A3704E"/>
    <w:rsid w:val="00A37122"/>
    <w:rsid w:val="00A3719B"/>
    <w:rsid w:val="00A372B2"/>
    <w:rsid w:val="00A375E2"/>
    <w:rsid w:val="00A378D6"/>
    <w:rsid w:val="00A37BCD"/>
    <w:rsid w:val="00A37E41"/>
    <w:rsid w:val="00A37EFF"/>
    <w:rsid w:val="00A400DF"/>
    <w:rsid w:val="00A40124"/>
    <w:rsid w:val="00A4013B"/>
    <w:rsid w:val="00A40382"/>
    <w:rsid w:val="00A4045B"/>
    <w:rsid w:val="00A4054D"/>
    <w:rsid w:val="00A40B86"/>
    <w:rsid w:val="00A40EE4"/>
    <w:rsid w:val="00A41034"/>
    <w:rsid w:val="00A41200"/>
    <w:rsid w:val="00A413F5"/>
    <w:rsid w:val="00A41689"/>
    <w:rsid w:val="00A417FA"/>
    <w:rsid w:val="00A418FB"/>
    <w:rsid w:val="00A41944"/>
    <w:rsid w:val="00A41B1E"/>
    <w:rsid w:val="00A41F15"/>
    <w:rsid w:val="00A41F3D"/>
    <w:rsid w:val="00A41FAB"/>
    <w:rsid w:val="00A41FB4"/>
    <w:rsid w:val="00A42000"/>
    <w:rsid w:val="00A42019"/>
    <w:rsid w:val="00A42323"/>
    <w:rsid w:val="00A424A9"/>
    <w:rsid w:val="00A42592"/>
    <w:rsid w:val="00A4263C"/>
    <w:rsid w:val="00A42979"/>
    <w:rsid w:val="00A42E82"/>
    <w:rsid w:val="00A42EAA"/>
    <w:rsid w:val="00A43097"/>
    <w:rsid w:val="00A432BF"/>
    <w:rsid w:val="00A432E8"/>
    <w:rsid w:val="00A4362A"/>
    <w:rsid w:val="00A4369F"/>
    <w:rsid w:val="00A43748"/>
    <w:rsid w:val="00A437B0"/>
    <w:rsid w:val="00A439B5"/>
    <w:rsid w:val="00A43A74"/>
    <w:rsid w:val="00A43C59"/>
    <w:rsid w:val="00A43EA4"/>
    <w:rsid w:val="00A43F1D"/>
    <w:rsid w:val="00A444AB"/>
    <w:rsid w:val="00A4457A"/>
    <w:rsid w:val="00A445DB"/>
    <w:rsid w:val="00A4462F"/>
    <w:rsid w:val="00A4463E"/>
    <w:rsid w:val="00A4490F"/>
    <w:rsid w:val="00A4492C"/>
    <w:rsid w:val="00A44A0E"/>
    <w:rsid w:val="00A44A6D"/>
    <w:rsid w:val="00A44B64"/>
    <w:rsid w:val="00A44BA5"/>
    <w:rsid w:val="00A44C47"/>
    <w:rsid w:val="00A44DE3"/>
    <w:rsid w:val="00A45135"/>
    <w:rsid w:val="00A45172"/>
    <w:rsid w:val="00A453F4"/>
    <w:rsid w:val="00A456D5"/>
    <w:rsid w:val="00A4575C"/>
    <w:rsid w:val="00A45771"/>
    <w:rsid w:val="00A45794"/>
    <w:rsid w:val="00A457B2"/>
    <w:rsid w:val="00A45B80"/>
    <w:rsid w:val="00A45CC3"/>
    <w:rsid w:val="00A45E8D"/>
    <w:rsid w:val="00A45F00"/>
    <w:rsid w:val="00A462A7"/>
    <w:rsid w:val="00A46526"/>
    <w:rsid w:val="00A465FB"/>
    <w:rsid w:val="00A46785"/>
    <w:rsid w:val="00A467CA"/>
    <w:rsid w:val="00A469A2"/>
    <w:rsid w:val="00A46A75"/>
    <w:rsid w:val="00A46AB4"/>
    <w:rsid w:val="00A46C4F"/>
    <w:rsid w:val="00A46D97"/>
    <w:rsid w:val="00A47334"/>
    <w:rsid w:val="00A47451"/>
    <w:rsid w:val="00A47531"/>
    <w:rsid w:val="00A475F9"/>
    <w:rsid w:val="00A476FE"/>
    <w:rsid w:val="00A47B49"/>
    <w:rsid w:val="00A47C6F"/>
    <w:rsid w:val="00A47E11"/>
    <w:rsid w:val="00A501CA"/>
    <w:rsid w:val="00A503A2"/>
    <w:rsid w:val="00A5048C"/>
    <w:rsid w:val="00A50514"/>
    <w:rsid w:val="00A507AC"/>
    <w:rsid w:val="00A5086C"/>
    <w:rsid w:val="00A50953"/>
    <w:rsid w:val="00A50A80"/>
    <w:rsid w:val="00A50BB8"/>
    <w:rsid w:val="00A50BFF"/>
    <w:rsid w:val="00A50ECD"/>
    <w:rsid w:val="00A50F93"/>
    <w:rsid w:val="00A5117C"/>
    <w:rsid w:val="00A5125D"/>
    <w:rsid w:val="00A51369"/>
    <w:rsid w:val="00A518A9"/>
    <w:rsid w:val="00A518F3"/>
    <w:rsid w:val="00A51AA1"/>
    <w:rsid w:val="00A51BDE"/>
    <w:rsid w:val="00A51D57"/>
    <w:rsid w:val="00A51D66"/>
    <w:rsid w:val="00A51E09"/>
    <w:rsid w:val="00A51E43"/>
    <w:rsid w:val="00A51F00"/>
    <w:rsid w:val="00A51F22"/>
    <w:rsid w:val="00A51FBB"/>
    <w:rsid w:val="00A5213F"/>
    <w:rsid w:val="00A52193"/>
    <w:rsid w:val="00A523D6"/>
    <w:rsid w:val="00A52412"/>
    <w:rsid w:val="00A52724"/>
    <w:rsid w:val="00A52729"/>
    <w:rsid w:val="00A527B4"/>
    <w:rsid w:val="00A528F0"/>
    <w:rsid w:val="00A52B83"/>
    <w:rsid w:val="00A52C9D"/>
    <w:rsid w:val="00A53413"/>
    <w:rsid w:val="00A53675"/>
    <w:rsid w:val="00A5368E"/>
    <w:rsid w:val="00A536BB"/>
    <w:rsid w:val="00A536F9"/>
    <w:rsid w:val="00A5387D"/>
    <w:rsid w:val="00A53F00"/>
    <w:rsid w:val="00A5430C"/>
    <w:rsid w:val="00A5439B"/>
    <w:rsid w:val="00A54495"/>
    <w:rsid w:val="00A544E4"/>
    <w:rsid w:val="00A5477F"/>
    <w:rsid w:val="00A54979"/>
    <w:rsid w:val="00A54B13"/>
    <w:rsid w:val="00A54B43"/>
    <w:rsid w:val="00A54CF1"/>
    <w:rsid w:val="00A54D3B"/>
    <w:rsid w:val="00A55162"/>
    <w:rsid w:val="00A55453"/>
    <w:rsid w:val="00A554DD"/>
    <w:rsid w:val="00A5552D"/>
    <w:rsid w:val="00A5568E"/>
    <w:rsid w:val="00A55796"/>
    <w:rsid w:val="00A55827"/>
    <w:rsid w:val="00A55832"/>
    <w:rsid w:val="00A5592B"/>
    <w:rsid w:val="00A55C0D"/>
    <w:rsid w:val="00A55DA9"/>
    <w:rsid w:val="00A5605D"/>
    <w:rsid w:val="00A560B1"/>
    <w:rsid w:val="00A563D0"/>
    <w:rsid w:val="00A5648D"/>
    <w:rsid w:val="00A564D7"/>
    <w:rsid w:val="00A56653"/>
    <w:rsid w:val="00A5677F"/>
    <w:rsid w:val="00A56809"/>
    <w:rsid w:val="00A56811"/>
    <w:rsid w:val="00A568B1"/>
    <w:rsid w:val="00A56A88"/>
    <w:rsid w:val="00A56B6A"/>
    <w:rsid w:val="00A56DC8"/>
    <w:rsid w:val="00A56E87"/>
    <w:rsid w:val="00A56EA8"/>
    <w:rsid w:val="00A5709E"/>
    <w:rsid w:val="00A577B4"/>
    <w:rsid w:val="00A578DC"/>
    <w:rsid w:val="00A57AAC"/>
    <w:rsid w:val="00A57C7F"/>
    <w:rsid w:val="00A6037E"/>
    <w:rsid w:val="00A6043B"/>
    <w:rsid w:val="00A60525"/>
    <w:rsid w:val="00A6075A"/>
    <w:rsid w:val="00A60B3A"/>
    <w:rsid w:val="00A6128A"/>
    <w:rsid w:val="00A61344"/>
    <w:rsid w:val="00A61480"/>
    <w:rsid w:val="00A61A5B"/>
    <w:rsid w:val="00A61A64"/>
    <w:rsid w:val="00A61CDE"/>
    <w:rsid w:val="00A61F86"/>
    <w:rsid w:val="00A62019"/>
    <w:rsid w:val="00A62331"/>
    <w:rsid w:val="00A623DA"/>
    <w:rsid w:val="00A625B9"/>
    <w:rsid w:val="00A62661"/>
    <w:rsid w:val="00A62953"/>
    <w:rsid w:val="00A629B6"/>
    <w:rsid w:val="00A62A56"/>
    <w:rsid w:val="00A62AB0"/>
    <w:rsid w:val="00A62D5A"/>
    <w:rsid w:val="00A62D8D"/>
    <w:rsid w:val="00A6303C"/>
    <w:rsid w:val="00A6314C"/>
    <w:rsid w:val="00A63220"/>
    <w:rsid w:val="00A6333B"/>
    <w:rsid w:val="00A63373"/>
    <w:rsid w:val="00A633A0"/>
    <w:rsid w:val="00A63548"/>
    <w:rsid w:val="00A639C4"/>
    <w:rsid w:val="00A63AC3"/>
    <w:rsid w:val="00A63ADA"/>
    <w:rsid w:val="00A63BBB"/>
    <w:rsid w:val="00A63C64"/>
    <w:rsid w:val="00A63CB4"/>
    <w:rsid w:val="00A6400B"/>
    <w:rsid w:val="00A64071"/>
    <w:rsid w:val="00A640E2"/>
    <w:rsid w:val="00A6462C"/>
    <w:rsid w:val="00A6469A"/>
    <w:rsid w:val="00A6472D"/>
    <w:rsid w:val="00A64773"/>
    <w:rsid w:val="00A64811"/>
    <w:rsid w:val="00A64816"/>
    <w:rsid w:val="00A64B7D"/>
    <w:rsid w:val="00A64D65"/>
    <w:rsid w:val="00A64FBD"/>
    <w:rsid w:val="00A650EF"/>
    <w:rsid w:val="00A651D5"/>
    <w:rsid w:val="00A65246"/>
    <w:rsid w:val="00A6529D"/>
    <w:rsid w:val="00A655F9"/>
    <w:rsid w:val="00A6575B"/>
    <w:rsid w:val="00A6591E"/>
    <w:rsid w:val="00A65991"/>
    <w:rsid w:val="00A65A5F"/>
    <w:rsid w:val="00A65C59"/>
    <w:rsid w:val="00A65C64"/>
    <w:rsid w:val="00A65CB0"/>
    <w:rsid w:val="00A65CC0"/>
    <w:rsid w:val="00A65D1F"/>
    <w:rsid w:val="00A65DE5"/>
    <w:rsid w:val="00A65FF1"/>
    <w:rsid w:val="00A660B5"/>
    <w:rsid w:val="00A660D9"/>
    <w:rsid w:val="00A660E6"/>
    <w:rsid w:val="00A660E8"/>
    <w:rsid w:val="00A662A0"/>
    <w:rsid w:val="00A6648A"/>
    <w:rsid w:val="00A665B5"/>
    <w:rsid w:val="00A66699"/>
    <w:rsid w:val="00A666D6"/>
    <w:rsid w:val="00A66770"/>
    <w:rsid w:val="00A66BBE"/>
    <w:rsid w:val="00A66C76"/>
    <w:rsid w:val="00A66DD1"/>
    <w:rsid w:val="00A66E0E"/>
    <w:rsid w:val="00A66F86"/>
    <w:rsid w:val="00A6725B"/>
    <w:rsid w:val="00A67270"/>
    <w:rsid w:val="00A673E0"/>
    <w:rsid w:val="00A674A5"/>
    <w:rsid w:val="00A67612"/>
    <w:rsid w:val="00A67645"/>
    <w:rsid w:val="00A6773A"/>
    <w:rsid w:val="00A67931"/>
    <w:rsid w:val="00A67B63"/>
    <w:rsid w:val="00A67BBB"/>
    <w:rsid w:val="00A67D26"/>
    <w:rsid w:val="00A67DD6"/>
    <w:rsid w:val="00A67E6E"/>
    <w:rsid w:val="00A67E82"/>
    <w:rsid w:val="00A70039"/>
    <w:rsid w:val="00A7008B"/>
    <w:rsid w:val="00A7010E"/>
    <w:rsid w:val="00A701A7"/>
    <w:rsid w:val="00A70307"/>
    <w:rsid w:val="00A703E3"/>
    <w:rsid w:val="00A70553"/>
    <w:rsid w:val="00A70580"/>
    <w:rsid w:val="00A70605"/>
    <w:rsid w:val="00A70733"/>
    <w:rsid w:val="00A70870"/>
    <w:rsid w:val="00A70A6E"/>
    <w:rsid w:val="00A70CB8"/>
    <w:rsid w:val="00A70CF8"/>
    <w:rsid w:val="00A70FE7"/>
    <w:rsid w:val="00A71016"/>
    <w:rsid w:val="00A713A0"/>
    <w:rsid w:val="00A7148B"/>
    <w:rsid w:val="00A71626"/>
    <w:rsid w:val="00A7199D"/>
    <w:rsid w:val="00A71C6E"/>
    <w:rsid w:val="00A71C96"/>
    <w:rsid w:val="00A71EC7"/>
    <w:rsid w:val="00A71ECC"/>
    <w:rsid w:val="00A7200D"/>
    <w:rsid w:val="00A7213F"/>
    <w:rsid w:val="00A721BB"/>
    <w:rsid w:val="00A721D9"/>
    <w:rsid w:val="00A7232B"/>
    <w:rsid w:val="00A724FE"/>
    <w:rsid w:val="00A72507"/>
    <w:rsid w:val="00A72605"/>
    <w:rsid w:val="00A727D6"/>
    <w:rsid w:val="00A728B3"/>
    <w:rsid w:val="00A72984"/>
    <w:rsid w:val="00A72A5A"/>
    <w:rsid w:val="00A72AF8"/>
    <w:rsid w:val="00A72BCE"/>
    <w:rsid w:val="00A72BD2"/>
    <w:rsid w:val="00A72EE6"/>
    <w:rsid w:val="00A73134"/>
    <w:rsid w:val="00A7320C"/>
    <w:rsid w:val="00A73250"/>
    <w:rsid w:val="00A732CE"/>
    <w:rsid w:val="00A73320"/>
    <w:rsid w:val="00A73393"/>
    <w:rsid w:val="00A73405"/>
    <w:rsid w:val="00A73599"/>
    <w:rsid w:val="00A7365A"/>
    <w:rsid w:val="00A73692"/>
    <w:rsid w:val="00A7381E"/>
    <w:rsid w:val="00A73B98"/>
    <w:rsid w:val="00A73B9E"/>
    <w:rsid w:val="00A73CC5"/>
    <w:rsid w:val="00A73E1A"/>
    <w:rsid w:val="00A73EC5"/>
    <w:rsid w:val="00A7463B"/>
    <w:rsid w:val="00A74742"/>
    <w:rsid w:val="00A74F26"/>
    <w:rsid w:val="00A74FA4"/>
    <w:rsid w:val="00A75544"/>
    <w:rsid w:val="00A755AC"/>
    <w:rsid w:val="00A757AA"/>
    <w:rsid w:val="00A757DE"/>
    <w:rsid w:val="00A7589B"/>
    <w:rsid w:val="00A75942"/>
    <w:rsid w:val="00A75B0E"/>
    <w:rsid w:val="00A75D5C"/>
    <w:rsid w:val="00A75F7B"/>
    <w:rsid w:val="00A76001"/>
    <w:rsid w:val="00A761B3"/>
    <w:rsid w:val="00A7629E"/>
    <w:rsid w:val="00A763B6"/>
    <w:rsid w:val="00A765C0"/>
    <w:rsid w:val="00A76694"/>
    <w:rsid w:val="00A76F5B"/>
    <w:rsid w:val="00A77288"/>
    <w:rsid w:val="00A77707"/>
    <w:rsid w:val="00A777B2"/>
    <w:rsid w:val="00A77809"/>
    <w:rsid w:val="00A778A6"/>
    <w:rsid w:val="00A77B74"/>
    <w:rsid w:val="00A77C25"/>
    <w:rsid w:val="00A77F3B"/>
    <w:rsid w:val="00A8008A"/>
    <w:rsid w:val="00A80270"/>
    <w:rsid w:val="00A8057A"/>
    <w:rsid w:val="00A808A6"/>
    <w:rsid w:val="00A80E35"/>
    <w:rsid w:val="00A81061"/>
    <w:rsid w:val="00A811B0"/>
    <w:rsid w:val="00A8174A"/>
    <w:rsid w:val="00A81ABE"/>
    <w:rsid w:val="00A81BCF"/>
    <w:rsid w:val="00A81BD4"/>
    <w:rsid w:val="00A81BEC"/>
    <w:rsid w:val="00A81FE2"/>
    <w:rsid w:val="00A820DC"/>
    <w:rsid w:val="00A8212D"/>
    <w:rsid w:val="00A82588"/>
    <w:rsid w:val="00A825D4"/>
    <w:rsid w:val="00A827D1"/>
    <w:rsid w:val="00A828F6"/>
    <w:rsid w:val="00A829F8"/>
    <w:rsid w:val="00A829F9"/>
    <w:rsid w:val="00A82B73"/>
    <w:rsid w:val="00A82C6B"/>
    <w:rsid w:val="00A82D2B"/>
    <w:rsid w:val="00A82D50"/>
    <w:rsid w:val="00A8306A"/>
    <w:rsid w:val="00A8309D"/>
    <w:rsid w:val="00A83349"/>
    <w:rsid w:val="00A83387"/>
    <w:rsid w:val="00A83497"/>
    <w:rsid w:val="00A83501"/>
    <w:rsid w:val="00A835B4"/>
    <w:rsid w:val="00A83695"/>
    <w:rsid w:val="00A83A2A"/>
    <w:rsid w:val="00A83CAD"/>
    <w:rsid w:val="00A840F2"/>
    <w:rsid w:val="00A841A8"/>
    <w:rsid w:val="00A84232"/>
    <w:rsid w:val="00A842CC"/>
    <w:rsid w:val="00A84320"/>
    <w:rsid w:val="00A8439B"/>
    <w:rsid w:val="00A843AC"/>
    <w:rsid w:val="00A843F5"/>
    <w:rsid w:val="00A8464F"/>
    <w:rsid w:val="00A846C2"/>
    <w:rsid w:val="00A84C88"/>
    <w:rsid w:val="00A84CC9"/>
    <w:rsid w:val="00A84CD4"/>
    <w:rsid w:val="00A85039"/>
    <w:rsid w:val="00A85360"/>
    <w:rsid w:val="00A85521"/>
    <w:rsid w:val="00A85C81"/>
    <w:rsid w:val="00A85DF7"/>
    <w:rsid w:val="00A85E49"/>
    <w:rsid w:val="00A86753"/>
    <w:rsid w:val="00A86799"/>
    <w:rsid w:val="00A868FC"/>
    <w:rsid w:val="00A86A29"/>
    <w:rsid w:val="00A86A6B"/>
    <w:rsid w:val="00A86B94"/>
    <w:rsid w:val="00A86C76"/>
    <w:rsid w:val="00A86DBE"/>
    <w:rsid w:val="00A86E8B"/>
    <w:rsid w:val="00A87154"/>
    <w:rsid w:val="00A87164"/>
    <w:rsid w:val="00A871A9"/>
    <w:rsid w:val="00A87628"/>
    <w:rsid w:val="00A87AD3"/>
    <w:rsid w:val="00A87BC0"/>
    <w:rsid w:val="00A87BD9"/>
    <w:rsid w:val="00A87D88"/>
    <w:rsid w:val="00A9012F"/>
    <w:rsid w:val="00A90144"/>
    <w:rsid w:val="00A901E2"/>
    <w:rsid w:val="00A90307"/>
    <w:rsid w:val="00A90411"/>
    <w:rsid w:val="00A90516"/>
    <w:rsid w:val="00A9075B"/>
    <w:rsid w:val="00A9076D"/>
    <w:rsid w:val="00A907B9"/>
    <w:rsid w:val="00A907BA"/>
    <w:rsid w:val="00A90858"/>
    <w:rsid w:val="00A908CB"/>
    <w:rsid w:val="00A90926"/>
    <w:rsid w:val="00A9094A"/>
    <w:rsid w:val="00A909F7"/>
    <w:rsid w:val="00A90A51"/>
    <w:rsid w:val="00A90ADF"/>
    <w:rsid w:val="00A90DAC"/>
    <w:rsid w:val="00A90E16"/>
    <w:rsid w:val="00A91092"/>
    <w:rsid w:val="00A910B0"/>
    <w:rsid w:val="00A91283"/>
    <w:rsid w:val="00A9158F"/>
    <w:rsid w:val="00A91653"/>
    <w:rsid w:val="00A91674"/>
    <w:rsid w:val="00A917C8"/>
    <w:rsid w:val="00A91A1C"/>
    <w:rsid w:val="00A91A74"/>
    <w:rsid w:val="00A91A96"/>
    <w:rsid w:val="00A91BEA"/>
    <w:rsid w:val="00A92422"/>
    <w:rsid w:val="00A9245B"/>
    <w:rsid w:val="00A926F8"/>
    <w:rsid w:val="00A92B8E"/>
    <w:rsid w:val="00A93072"/>
    <w:rsid w:val="00A93089"/>
    <w:rsid w:val="00A9333B"/>
    <w:rsid w:val="00A937EE"/>
    <w:rsid w:val="00A938BD"/>
    <w:rsid w:val="00A93953"/>
    <w:rsid w:val="00A93D2D"/>
    <w:rsid w:val="00A93E72"/>
    <w:rsid w:val="00A94268"/>
    <w:rsid w:val="00A94530"/>
    <w:rsid w:val="00A94779"/>
    <w:rsid w:val="00A9491F"/>
    <w:rsid w:val="00A94A3F"/>
    <w:rsid w:val="00A94A4F"/>
    <w:rsid w:val="00A94DB3"/>
    <w:rsid w:val="00A9513D"/>
    <w:rsid w:val="00A95143"/>
    <w:rsid w:val="00A951C5"/>
    <w:rsid w:val="00A9520A"/>
    <w:rsid w:val="00A9589C"/>
    <w:rsid w:val="00A959D8"/>
    <w:rsid w:val="00A95A2F"/>
    <w:rsid w:val="00A95C42"/>
    <w:rsid w:val="00A95D5F"/>
    <w:rsid w:val="00A95D7F"/>
    <w:rsid w:val="00A95E98"/>
    <w:rsid w:val="00A96337"/>
    <w:rsid w:val="00A965B0"/>
    <w:rsid w:val="00A9664D"/>
    <w:rsid w:val="00A967D5"/>
    <w:rsid w:val="00A969BD"/>
    <w:rsid w:val="00A96F65"/>
    <w:rsid w:val="00A97076"/>
    <w:rsid w:val="00A9724F"/>
    <w:rsid w:val="00A97324"/>
    <w:rsid w:val="00A97595"/>
    <w:rsid w:val="00A97664"/>
    <w:rsid w:val="00A979C3"/>
    <w:rsid w:val="00A97B91"/>
    <w:rsid w:val="00A97BD8"/>
    <w:rsid w:val="00A97BF9"/>
    <w:rsid w:val="00A97EBD"/>
    <w:rsid w:val="00A97EF7"/>
    <w:rsid w:val="00AA01F6"/>
    <w:rsid w:val="00AA02C4"/>
    <w:rsid w:val="00AA06D7"/>
    <w:rsid w:val="00AA06F9"/>
    <w:rsid w:val="00AA09A9"/>
    <w:rsid w:val="00AA0C63"/>
    <w:rsid w:val="00AA0CAB"/>
    <w:rsid w:val="00AA0E5E"/>
    <w:rsid w:val="00AA0EA2"/>
    <w:rsid w:val="00AA0F57"/>
    <w:rsid w:val="00AA113D"/>
    <w:rsid w:val="00AA1669"/>
    <w:rsid w:val="00AA166C"/>
    <w:rsid w:val="00AA172C"/>
    <w:rsid w:val="00AA1876"/>
    <w:rsid w:val="00AA18F6"/>
    <w:rsid w:val="00AA1AE6"/>
    <w:rsid w:val="00AA1BDA"/>
    <w:rsid w:val="00AA1C2C"/>
    <w:rsid w:val="00AA1F08"/>
    <w:rsid w:val="00AA20A3"/>
    <w:rsid w:val="00AA24EC"/>
    <w:rsid w:val="00AA253C"/>
    <w:rsid w:val="00AA2559"/>
    <w:rsid w:val="00AA2632"/>
    <w:rsid w:val="00AA2732"/>
    <w:rsid w:val="00AA27AD"/>
    <w:rsid w:val="00AA2A4E"/>
    <w:rsid w:val="00AA2D0F"/>
    <w:rsid w:val="00AA2E5D"/>
    <w:rsid w:val="00AA2E8B"/>
    <w:rsid w:val="00AA3051"/>
    <w:rsid w:val="00AA3168"/>
    <w:rsid w:val="00AA32F7"/>
    <w:rsid w:val="00AA330C"/>
    <w:rsid w:val="00AA36D6"/>
    <w:rsid w:val="00AA3798"/>
    <w:rsid w:val="00AA3A47"/>
    <w:rsid w:val="00AA3BEA"/>
    <w:rsid w:val="00AA3C7D"/>
    <w:rsid w:val="00AA3EAF"/>
    <w:rsid w:val="00AA3FD5"/>
    <w:rsid w:val="00AA47F1"/>
    <w:rsid w:val="00AA482A"/>
    <w:rsid w:val="00AA491B"/>
    <w:rsid w:val="00AA49D4"/>
    <w:rsid w:val="00AA49EC"/>
    <w:rsid w:val="00AA4C66"/>
    <w:rsid w:val="00AA4E00"/>
    <w:rsid w:val="00AA4E1E"/>
    <w:rsid w:val="00AA4F66"/>
    <w:rsid w:val="00AA502B"/>
    <w:rsid w:val="00AA52E1"/>
    <w:rsid w:val="00AA5386"/>
    <w:rsid w:val="00AA55ED"/>
    <w:rsid w:val="00AA5636"/>
    <w:rsid w:val="00AA574F"/>
    <w:rsid w:val="00AA58D6"/>
    <w:rsid w:val="00AA5AF1"/>
    <w:rsid w:val="00AA5B56"/>
    <w:rsid w:val="00AA5C30"/>
    <w:rsid w:val="00AA5DC3"/>
    <w:rsid w:val="00AA5EBC"/>
    <w:rsid w:val="00AA5F6B"/>
    <w:rsid w:val="00AA6046"/>
    <w:rsid w:val="00AA642E"/>
    <w:rsid w:val="00AA6468"/>
    <w:rsid w:val="00AA64F9"/>
    <w:rsid w:val="00AA6A4E"/>
    <w:rsid w:val="00AA6BD5"/>
    <w:rsid w:val="00AA6BD8"/>
    <w:rsid w:val="00AA6C52"/>
    <w:rsid w:val="00AA6C7D"/>
    <w:rsid w:val="00AA6EB2"/>
    <w:rsid w:val="00AA6F2B"/>
    <w:rsid w:val="00AA70AC"/>
    <w:rsid w:val="00AA7172"/>
    <w:rsid w:val="00AA7297"/>
    <w:rsid w:val="00AA7323"/>
    <w:rsid w:val="00AA7376"/>
    <w:rsid w:val="00AA747E"/>
    <w:rsid w:val="00AA749B"/>
    <w:rsid w:val="00AA7A23"/>
    <w:rsid w:val="00AA7AFE"/>
    <w:rsid w:val="00AA7BF0"/>
    <w:rsid w:val="00AA7C0B"/>
    <w:rsid w:val="00AA7ED5"/>
    <w:rsid w:val="00AA7F3F"/>
    <w:rsid w:val="00AA7FD6"/>
    <w:rsid w:val="00AB0239"/>
    <w:rsid w:val="00AB042A"/>
    <w:rsid w:val="00AB055A"/>
    <w:rsid w:val="00AB06A2"/>
    <w:rsid w:val="00AB0B36"/>
    <w:rsid w:val="00AB0C45"/>
    <w:rsid w:val="00AB0FB1"/>
    <w:rsid w:val="00AB10EF"/>
    <w:rsid w:val="00AB11AD"/>
    <w:rsid w:val="00AB11B5"/>
    <w:rsid w:val="00AB168A"/>
    <w:rsid w:val="00AB16B9"/>
    <w:rsid w:val="00AB18C2"/>
    <w:rsid w:val="00AB1933"/>
    <w:rsid w:val="00AB19EF"/>
    <w:rsid w:val="00AB1B8A"/>
    <w:rsid w:val="00AB1FBD"/>
    <w:rsid w:val="00AB20DB"/>
    <w:rsid w:val="00AB22FD"/>
    <w:rsid w:val="00AB2495"/>
    <w:rsid w:val="00AB26B7"/>
    <w:rsid w:val="00AB28D6"/>
    <w:rsid w:val="00AB2AD4"/>
    <w:rsid w:val="00AB2C64"/>
    <w:rsid w:val="00AB2D34"/>
    <w:rsid w:val="00AB2F36"/>
    <w:rsid w:val="00AB2F8A"/>
    <w:rsid w:val="00AB3127"/>
    <w:rsid w:val="00AB31AD"/>
    <w:rsid w:val="00AB31BE"/>
    <w:rsid w:val="00AB3430"/>
    <w:rsid w:val="00AB3508"/>
    <w:rsid w:val="00AB3545"/>
    <w:rsid w:val="00AB3747"/>
    <w:rsid w:val="00AB37B9"/>
    <w:rsid w:val="00AB397C"/>
    <w:rsid w:val="00AB3CA1"/>
    <w:rsid w:val="00AB3EA0"/>
    <w:rsid w:val="00AB3FFA"/>
    <w:rsid w:val="00AB4450"/>
    <w:rsid w:val="00AB49F3"/>
    <w:rsid w:val="00AB4AD1"/>
    <w:rsid w:val="00AB4AD4"/>
    <w:rsid w:val="00AB5082"/>
    <w:rsid w:val="00AB5299"/>
    <w:rsid w:val="00AB5399"/>
    <w:rsid w:val="00AB5403"/>
    <w:rsid w:val="00AB553E"/>
    <w:rsid w:val="00AB57F3"/>
    <w:rsid w:val="00AB5BC8"/>
    <w:rsid w:val="00AB5E07"/>
    <w:rsid w:val="00AB600A"/>
    <w:rsid w:val="00AB616E"/>
    <w:rsid w:val="00AB6272"/>
    <w:rsid w:val="00AB63C1"/>
    <w:rsid w:val="00AB6771"/>
    <w:rsid w:val="00AB684E"/>
    <w:rsid w:val="00AB6C0A"/>
    <w:rsid w:val="00AB6D55"/>
    <w:rsid w:val="00AB705E"/>
    <w:rsid w:val="00AB70E2"/>
    <w:rsid w:val="00AB717C"/>
    <w:rsid w:val="00AB71CB"/>
    <w:rsid w:val="00AB7202"/>
    <w:rsid w:val="00AB7241"/>
    <w:rsid w:val="00AB72ED"/>
    <w:rsid w:val="00AB745D"/>
    <w:rsid w:val="00AB7571"/>
    <w:rsid w:val="00AB7661"/>
    <w:rsid w:val="00AB7AC5"/>
    <w:rsid w:val="00AB7BA6"/>
    <w:rsid w:val="00AB7CFA"/>
    <w:rsid w:val="00AB7D43"/>
    <w:rsid w:val="00AB7DF2"/>
    <w:rsid w:val="00AB7E55"/>
    <w:rsid w:val="00AB7FD9"/>
    <w:rsid w:val="00AC0229"/>
    <w:rsid w:val="00AC0239"/>
    <w:rsid w:val="00AC02F1"/>
    <w:rsid w:val="00AC0509"/>
    <w:rsid w:val="00AC0557"/>
    <w:rsid w:val="00AC0812"/>
    <w:rsid w:val="00AC0A75"/>
    <w:rsid w:val="00AC114C"/>
    <w:rsid w:val="00AC13FD"/>
    <w:rsid w:val="00AC14C2"/>
    <w:rsid w:val="00AC15FC"/>
    <w:rsid w:val="00AC18CB"/>
    <w:rsid w:val="00AC1AB9"/>
    <w:rsid w:val="00AC1B27"/>
    <w:rsid w:val="00AC1CCA"/>
    <w:rsid w:val="00AC1CEE"/>
    <w:rsid w:val="00AC1D7F"/>
    <w:rsid w:val="00AC1EE1"/>
    <w:rsid w:val="00AC1F03"/>
    <w:rsid w:val="00AC1FFD"/>
    <w:rsid w:val="00AC20CB"/>
    <w:rsid w:val="00AC22E9"/>
    <w:rsid w:val="00AC2320"/>
    <w:rsid w:val="00AC2717"/>
    <w:rsid w:val="00AC27E5"/>
    <w:rsid w:val="00AC281C"/>
    <w:rsid w:val="00AC2C72"/>
    <w:rsid w:val="00AC2CBA"/>
    <w:rsid w:val="00AC2D67"/>
    <w:rsid w:val="00AC33C7"/>
    <w:rsid w:val="00AC377D"/>
    <w:rsid w:val="00AC394C"/>
    <w:rsid w:val="00AC39A1"/>
    <w:rsid w:val="00AC3D70"/>
    <w:rsid w:val="00AC42E2"/>
    <w:rsid w:val="00AC4412"/>
    <w:rsid w:val="00AC4754"/>
    <w:rsid w:val="00AC4894"/>
    <w:rsid w:val="00AC5134"/>
    <w:rsid w:val="00AC5339"/>
    <w:rsid w:val="00AC54CD"/>
    <w:rsid w:val="00AC5691"/>
    <w:rsid w:val="00AC57E6"/>
    <w:rsid w:val="00AC5982"/>
    <w:rsid w:val="00AC5B0F"/>
    <w:rsid w:val="00AC5B42"/>
    <w:rsid w:val="00AC5B48"/>
    <w:rsid w:val="00AC5BBB"/>
    <w:rsid w:val="00AC5C20"/>
    <w:rsid w:val="00AC5C57"/>
    <w:rsid w:val="00AC5C7B"/>
    <w:rsid w:val="00AC5DD0"/>
    <w:rsid w:val="00AC5DFD"/>
    <w:rsid w:val="00AC5F57"/>
    <w:rsid w:val="00AC62AD"/>
    <w:rsid w:val="00AC63C5"/>
    <w:rsid w:val="00AC63C8"/>
    <w:rsid w:val="00AC65E5"/>
    <w:rsid w:val="00AC671C"/>
    <w:rsid w:val="00AC6BCA"/>
    <w:rsid w:val="00AC6CB6"/>
    <w:rsid w:val="00AC6E2F"/>
    <w:rsid w:val="00AC6E50"/>
    <w:rsid w:val="00AC6FAE"/>
    <w:rsid w:val="00AC701B"/>
    <w:rsid w:val="00AC7053"/>
    <w:rsid w:val="00AC70C4"/>
    <w:rsid w:val="00AC738C"/>
    <w:rsid w:val="00AC774E"/>
    <w:rsid w:val="00AC77A4"/>
    <w:rsid w:val="00AC7913"/>
    <w:rsid w:val="00AC79B0"/>
    <w:rsid w:val="00AC7C10"/>
    <w:rsid w:val="00AC7C94"/>
    <w:rsid w:val="00AD0758"/>
    <w:rsid w:val="00AD07B5"/>
    <w:rsid w:val="00AD07D4"/>
    <w:rsid w:val="00AD0819"/>
    <w:rsid w:val="00AD0A74"/>
    <w:rsid w:val="00AD0D39"/>
    <w:rsid w:val="00AD0F2F"/>
    <w:rsid w:val="00AD1045"/>
    <w:rsid w:val="00AD123F"/>
    <w:rsid w:val="00AD12D1"/>
    <w:rsid w:val="00AD1390"/>
    <w:rsid w:val="00AD13FF"/>
    <w:rsid w:val="00AD1431"/>
    <w:rsid w:val="00AD1450"/>
    <w:rsid w:val="00AD1479"/>
    <w:rsid w:val="00AD14EC"/>
    <w:rsid w:val="00AD15E8"/>
    <w:rsid w:val="00AD15EB"/>
    <w:rsid w:val="00AD187D"/>
    <w:rsid w:val="00AD1C3D"/>
    <w:rsid w:val="00AD1EC8"/>
    <w:rsid w:val="00AD1FBB"/>
    <w:rsid w:val="00AD1FE5"/>
    <w:rsid w:val="00AD28AE"/>
    <w:rsid w:val="00AD299D"/>
    <w:rsid w:val="00AD2A3D"/>
    <w:rsid w:val="00AD2B1D"/>
    <w:rsid w:val="00AD2BC6"/>
    <w:rsid w:val="00AD2C44"/>
    <w:rsid w:val="00AD2C89"/>
    <w:rsid w:val="00AD2DEF"/>
    <w:rsid w:val="00AD2E2A"/>
    <w:rsid w:val="00AD318D"/>
    <w:rsid w:val="00AD356D"/>
    <w:rsid w:val="00AD358A"/>
    <w:rsid w:val="00AD3755"/>
    <w:rsid w:val="00AD3991"/>
    <w:rsid w:val="00AD3C18"/>
    <w:rsid w:val="00AD3C59"/>
    <w:rsid w:val="00AD495D"/>
    <w:rsid w:val="00AD4BD5"/>
    <w:rsid w:val="00AD4C58"/>
    <w:rsid w:val="00AD4EF9"/>
    <w:rsid w:val="00AD5017"/>
    <w:rsid w:val="00AD5110"/>
    <w:rsid w:val="00AD513A"/>
    <w:rsid w:val="00AD52C8"/>
    <w:rsid w:val="00AD53B1"/>
    <w:rsid w:val="00AD557F"/>
    <w:rsid w:val="00AD592F"/>
    <w:rsid w:val="00AD59B0"/>
    <w:rsid w:val="00AD59F5"/>
    <w:rsid w:val="00AD5A25"/>
    <w:rsid w:val="00AD5D00"/>
    <w:rsid w:val="00AD6024"/>
    <w:rsid w:val="00AD60B9"/>
    <w:rsid w:val="00AD6447"/>
    <w:rsid w:val="00AD644C"/>
    <w:rsid w:val="00AD6502"/>
    <w:rsid w:val="00AD6647"/>
    <w:rsid w:val="00AD66CF"/>
    <w:rsid w:val="00AD676B"/>
    <w:rsid w:val="00AD6C40"/>
    <w:rsid w:val="00AD6CD0"/>
    <w:rsid w:val="00AD6EEC"/>
    <w:rsid w:val="00AD6F89"/>
    <w:rsid w:val="00AD71CD"/>
    <w:rsid w:val="00AD7263"/>
    <w:rsid w:val="00AD72C0"/>
    <w:rsid w:val="00AD72EE"/>
    <w:rsid w:val="00AD7310"/>
    <w:rsid w:val="00AD7354"/>
    <w:rsid w:val="00AD73C5"/>
    <w:rsid w:val="00AD74EE"/>
    <w:rsid w:val="00AD7514"/>
    <w:rsid w:val="00AD76A3"/>
    <w:rsid w:val="00AD7BFB"/>
    <w:rsid w:val="00AE007D"/>
    <w:rsid w:val="00AE015C"/>
    <w:rsid w:val="00AE015E"/>
    <w:rsid w:val="00AE02A8"/>
    <w:rsid w:val="00AE0398"/>
    <w:rsid w:val="00AE040D"/>
    <w:rsid w:val="00AE0695"/>
    <w:rsid w:val="00AE072A"/>
    <w:rsid w:val="00AE099D"/>
    <w:rsid w:val="00AE0A8E"/>
    <w:rsid w:val="00AE0AC9"/>
    <w:rsid w:val="00AE0ADC"/>
    <w:rsid w:val="00AE0C06"/>
    <w:rsid w:val="00AE0E59"/>
    <w:rsid w:val="00AE0E9B"/>
    <w:rsid w:val="00AE125E"/>
    <w:rsid w:val="00AE1597"/>
    <w:rsid w:val="00AE1775"/>
    <w:rsid w:val="00AE18DD"/>
    <w:rsid w:val="00AE19B1"/>
    <w:rsid w:val="00AE1BA8"/>
    <w:rsid w:val="00AE1BE1"/>
    <w:rsid w:val="00AE1DBB"/>
    <w:rsid w:val="00AE1DBF"/>
    <w:rsid w:val="00AE1F40"/>
    <w:rsid w:val="00AE1FA3"/>
    <w:rsid w:val="00AE20D0"/>
    <w:rsid w:val="00AE221A"/>
    <w:rsid w:val="00AE226D"/>
    <w:rsid w:val="00AE2318"/>
    <w:rsid w:val="00AE250E"/>
    <w:rsid w:val="00AE2594"/>
    <w:rsid w:val="00AE25BB"/>
    <w:rsid w:val="00AE26DC"/>
    <w:rsid w:val="00AE2763"/>
    <w:rsid w:val="00AE27FD"/>
    <w:rsid w:val="00AE2AEB"/>
    <w:rsid w:val="00AE2B04"/>
    <w:rsid w:val="00AE2E3C"/>
    <w:rsid w:val="00AE2E79"/>
    <w:rsid w:val="00AE2FEE"/>
    <w:rsid w:val="00AE3206"/>
    <w:rsid w:val="00AE321A"/>
    <w:rsid w:val="00AE337F"/>
    <w:rsid w:val="00AE3661"/>
    <w:rsid w:val="00AE368A"/>
    <w:rsid w:val="00AE3994"/>
    <w:rsid w:val="00AE3A3F"/>
    <w:rsid w:val="00AE3A7A"/>
    <w:rsid w:val="00AE3CFB"/>
    <w:rsid w:val="00AE3E7E"/>
    <w:rsid w:val="00AE3E9F"/>
    <w:rsid w:val="00AE3ED5"/>
    <w:rsid w:val="00AE3FFF"/>
    <w:rsid w:val="00AE4446"/>
    <w:rsid w:val="00AE451C"/>
    <w:rsid w:val="00AE45E3"/>
    <w:rsid w:val="00AE46C7"/>
    <w:rsid w:val="00AE4713"/>
    <w:rsid w:val="00AE483D"/>
    <w:rsid w:val="00AE4FA1"/>
    <w:rsid w:val="00AE4FAB"/>
    <w:rsid w:val="00AE4FC5"/>
    <w:rsid w:val="00AE5098"/>
    <w:rsid w:val="00AE509B"/>
    <w:rsid w:val="00AE511B"/>
    <w:rsid w:val="00AE5265"/>
    <w:rsid w:val="00AE535B"/>
    <w:rsid w:val="00AE54E5"/>
    <w:rsid w:val="00AE5544"/>
    <w:rsid w:val="00AE57AC"/>
    <w:rsid w:val="00AE57E1"/>
    <w:rsid w:val="00AE5A55"/>
    <w:rsid w:val="00AE5BDB"/>
    <w:rsid w:val="00AE5C4F"/>
    <w:rsid w:val="00AE5DF1"/>
    <w:rsid w:val="00AE5E57"/>
    <w:rsid w:val="00AE60AD"/>
    <w:rsid w:val="00AE6108"/>
    <w:rsid w:val="00AE6299"/>
    <w:rsid w:val="00AE63AA"/>
    <w:rsid w:val="00AE6522"/>
    <w:rsid w:val="00AE6733"/>
    <w:rsid w:val="00AE6AAE"/>
    <w:rsid w:val="00AE6BBA"/>
    <w:rsid w:val="00AE6CE3"/>
    <w:rsid w:val="00AE6CF8"/>
    <w:rsid w:val="00AE6FDA"/>
    <w:rsid w:val="00AE704A"/>
    <w:rsid w:val="00AE7592"/>
    <w:rsid w:val="00AE7630"/>
    <w:rsid w:val="00AE7897"/>
    <w:rsid w:val="00AE798C"/>
    <w:rsid w:val="00AE79EB"/>
    <w:rsid w:val="00AE7AE8"/>
    <w:rsid w:val="00AE7CA7"/>
    <w:rsid w:val="00AE7E53"/>
    <w:rsid w:val="00AE7F78"/>
    <w:rsid w:val="00AF03DC"/>
    <w:rsid w:val="00AF0D53"/>
    <w:rsid w:val="00AF10AB"/>
    <w:rsid w:val="00AF11E4"/>
    <w:rsid w:val="00AF1315"/>
    <w:rsid w:val="00AF139A"/>
    <w:rsid w:val="00AF18CD"/>
    <w:rsid w:val="00AF191C"/>
    <w:rsid w:val="00AF19BF"/>
    <w:rsid w:val="00AF19D0"/>
    <w:rsid w:val="00AF19D8"/>
    <w:rsid w:val="00AF1ADD"/>
    <w:rsid w:val="00AF1D2E"/>
    <w:rsid w:val="00AF1D85"/>
    <w:rsid w:val="00AF1F6D"/>
    <w:rsid w:val="00AF1F87"/>
    <w:rsid w:val="00AF1FB6"/>
    <w:rsid w:val="00AF1FEE"/>
    <w:rsid w:val="00AF2072"/>
    <w:rsid w:val="00AF216A"/>
    <w:rsid w:val="00AF2265"/>
    <w:rsid w:val="00AF260A"/>
    <w:rsid w:val="00AF279E"/>
    <w:rsid w:val="00AF2DC3"/>
    <w:rsid w:val="00AF2F9B"/>
    <w:rsid w:val="00AF30D3"/>
    <w:rsid w:val="00AF3104"/>
    <w:rsid w:val="00AF318F"/>
    <w:rsid w:val="00AF337C"/>
    <w:rsid w:val="00AF359B"/>
    <w:rsid w:val="00AF3987"/>
    <w:rsid w:val="00AF3A14"/>
    <w:rsid w:val="00AF3A6F"/>
    <w:rsid w:val="00AF3AA6"/>
    <w:rsid w:val="00AF3C0A"/>
    <w:rsid w:val="00AF3CE1"/>
    <w:rsid w:val="00AF3D43"/>
    <w:rsid w:val="00AF3D71"/>
    <w:rsid w:val="00AF410A"/>
    <w:rsid w:val="00AF4137"/>
    <w:rsid w:val="00AF4411"/>
    <w:rsid w:val="00AF471E"/>
    <w:rsid w:val="00AF48AE"/>
    <w:rsid w:val="00AF4A63"/>
    <w:rsid w:val="00AF4B73"/>
    <w:rsid w:val="00AF4C98"/>
    <w:rsid w:val="00AF4E58"/>
    <w:rsid w:val="00AF5051"/>
    <w:rsid w:val="00AF5106"/>
    <w:rsid w:val="00AF5169"/>
    <w:rsid w:val="00AF5201"/>
    <w:rsid w:val="00AF5277"/>
    <w:rsid w:val="00AF545B"/>
    <w:rsid w:val="00AF549B"/>
    <w:rsid w:val="00AF561C"/>
    <w:rsid w:val="00AF5796"/>
    <w:rsid w:val="00AF583F"/>
    <w:rsid w:val="00AF5E3E"/>
    <w:rsid w:val="00AF5F72"/>
    <w:rsid w:val="00AF6137"/>
    <w:rsid w:val="00AF61C8"/>
    <w:rsid w:val="00AF621B"/>
    <w:rsid w:val="00AF62EF"/>
    <w:rsid w:val="00AF66BA"/>
    <w:rsid w:val="00AF67FE"/>
    <w:rsid w:val="00AF6814"/>
    <w:rsid w:val="00AF6835"/>
    <w:rsid w:val="00AF691F"/>
    <w:rsid w:val="00AF697F"/>
    <w:rsid w:val="00AF6A28"/>
    <w:rsid w:val="00AF6F28"/>
    <w:rsid w:val="00AF6F42"/>
    <w:rsid w:val="00AF6FE5"/>
    <w:rsid w:val="00AF7281"/>
    <w:rsid w:val="00AF7494"/>
    <w:rsid w:val="00AF74E5"/>
    <w:rsid w:val="00AF7564"/>
    <w:rsid w:val="00AF7B5A"/>
    <w:rsid w:val="00AF7C41"/>
    <w:rsid w:val="00B00299"/>
    <w:rsid w:val="00B00383"/>
    <w:rsid w:val="00B0053C"/>
    <w:rsid w:val="00B007AB"/>
    <w:rsid w:val="00B00827"/>
    <w:rsid w:val="00B009BB"/>
    <w:rsid w:val="00B00E9A"/>
    <w:rsid w:val="00B00FAE"/>
    <w:rsid w:val="00B011A6"/>
    <w:rsid w:val="00B01407"/>
    <w:rsid w:val="00B014AF"/>
    <w:rsid w:val="00B01968"/>
    <w:rsid w:val="00B01ACE"/>
    <w:rsid w:val="00B01B6A"/>
    <w:rsid w:val="00B01C19"/>
    <w:rsid w:val="00B01C59"/>
    <w:rsid w:val="00B01E00"/>
    <w:rsid w:val="00B02016"/>
    <w:rsid w:val="00B02124"/>
    <w:rsid w:val="00B02216"/>
    <w:rsid w:val="00B022C8"/>
    <w:rsid w:val="00B02614"/>
    <w:rsid w:val="00B027A4"/>
    <w:rsid w:val="00B02811"/>
    <w:rsid w:val="00B02878"/>
    <w:rsid w:val="00B02A1F"/>
    <w:rsid w:val="00B02AB9"/>
    <w:rsid w:val="00B02DCD"/>
    <w:rsid w:val="00B02E92"/>
    <w:rsid w:val="00B033E5"/>
    <w:rsid w:val="00B03873"/>
    <w:rsid w:val="00B0392E"/>
    <w:rsid w:val="00B03A63"/>
    <w:rsid w:val="00B03BFF"/>
    <w:rsid w:val="00B03C3D"/>
    <w:rsid w:val="00B03D07"/>
    <w:rsid w:val="00B03E75"/>
    <w:rsid w:val="00B03F54"/>
    <w:rsid w:val="00B03F83"/>
    <w:rsid w:val="00B042FB"/>
    <w:rsid w:val="00B04412"/>
    <w:rsid w:val="00B04694"/>
    <w:rsid w:val="00B04A2C"/>
    <w:rsid w:val="00B04A53"/>
    <w:rsid w:val="00B04C43"/>
    <w:rsid w:val="00B04D4D"/>
    <w:rsid w:val="00B05046"/>
    <w:rsid w:val="00B051F6"/>
    <w:rsid w:val="00B05413"/>
    <w:rsid w:val="00B0570E"/>
    <w:rsid w:val="00B05741"/>
    <w:rsid w:val="00B058CD"/>
    <w:rsid w:val="00B05AC2"/>
    <w:rsid w:val="00B05B10"/>
    <w:rsid w:val="00B05C5E"/>
    <w:rsid w:val="00B05EB9"/>
    <w:rsid w:val="00B05EBF"/>
    <w:rsid w:val="00B05FA8"/>
    <w:rsid w:val="00B0602F"/>
    <w:rsid w:val="00B060D0"/>
    <w:rsid w:val="00B062FE"/>
    <w:rsid w:val="00B06373"/>
    <w:rsid w:val="00B06437"/>
    <w:rsid w:val="00B0668D"/>
    <w:rsid w:val="00B06812"/>
    <w:rsid w:val="00B0681D"/>
    <w:rsid w:val="00B06889"/>
    <w:rsid w:val="00B06975"/>
    <w:rsid w:val="00B06B24"/>
    <w:rsid w:val="00B06C19"/>
    <w:rsid w:val="00B06CE7"/>
    <w:rsid w:val="00B06EE9"/>
    <w:rsid w:val="00B0716E"/>
    <w:rsid w:val="00B07618"/>
    <w:rsid w:val="00B077D9"/>
    <w:rsid w:val="00B077EF"/>
    <w:rsid w:val="00B0780B"/>
    <w:rsid w:val="00B079B8"/>
    <w:rsid w:val="00B07A83"/>
    <w:rsid w:val="00B07DDE"/>
    <w:rsid w:val="00B07EB2"/>
    <w:rsid w:val="00B07F38"/>
    <w:rsid w:val="00B10395"/>
    <w:rsid w:val="00B1054F"/>
    <w:rsid w:val="00B10574"/>
    <w:rsid w:val="00B10766"/>
    <w:rsid w:val="00B10E06"/>
    <w:rsid w:val="00B11224"/>
    <w:rsid w:val="00B1132A"/>
    <w:rsid w:val="00B11347"/>
    <w:rsid w:val="00B1147B"/>
    <w:rsid w:val="00B1157E"/>
    <w:rsid w:val="00B11777"/>
    <w:rsid w:val="00B1177E"/>
    <w:rsid w:val="00B1189F"/>
    <w:rsid w:val="00B11B72"/>
    <w:rsid w:val="00B11D1A"/>
    <w:rsid w:val="00B11F97"/>
    <w:rsid w:val="00B12035"/>
    <w:rsid w:val="00B12409"/>
    <w:rsid w:val="00B124CA"/>
    <w:rsid w:val="00B12872"/>
    <w:rsid w:val="00B12925"/>
    <w:rsid w:val="00B12941"/>
    <w:rsid w:val="00B129A4"/>
    <w:rsid w:val="00B12B6D"/>
    <w:rsid w:val="00B12D09"/>
    <w:rsid w:val="00B12DD0"/>
    <w:rsid w:val="00B13116"/>
    <w:rsid w:val="00B131CD"/>
    <w:rsid w:val="00B1346C"/>
    <w:rsid w:val="00B1368D"/>
    <w:rsid w:val="00B13A1D"/>
    <w:rsid w:val="00B13A72"/>
    <w:rsid w:val="00B13AE6"/>
    <w:rsid w:val="00B13B19"/>
    <w:rsid w:val="00B13B26"/>
    <w:rsid w:val="00B13B75"/>
    <w:rsid w:val="00B13C5B"/>
    <w:rsid w:val="00B13E07"/>
    <w:rsid w:val="00B140AF"/>
    <w:rsid w:val="00B1428F"/>
    <w:rsid w:val="00B148A2"/>
    <w:rsid w:val="00B148E1"/>
    <w:rsid w:val="00B14946"/>
    <w:rsid w:val="00B14A85"/>
    <w:rsid w:val="00B15152"/>
    <w:rsid w:val="00B15228"/>
    <w:rsid w:val="00B1522F"/>
    <w:rsid w:val="00B1524B"/>
    <w:rsid w:val="00B15595"/>
    <w:rsid w:val="00B15B94"/>
    <w:rsid w:val="00B15BD4"/>
    <w:rsid w:val="00B15EA2"/>
    <w:rsid w:val="00B15F48"/>
    <w:rsid w:val="00B16086"/>
    <w:rsid w:val="00B16212"/>
    <w:rsid w:val="00B1630C"/>
    <w:rsid w:val="00B16524"/>
    <w:rsid w:val="00B16794"/>
    <w:rsid w:val="00B16853"/>
    <w:rsid w:val="00B16882"/>
    <w:rsid w:val="00B1694A"/>
    <w:rsid w:val="00B16E25"/>
    <w:rsid w:val="00B16FE7"/>
    <w:rsid w:val="00B1771A"/>
    <w:rsid w:val="00B177C7"/>
    <w:rsid w:val="00B179BA"/>
    <w:rsid w:val="00B17DB2"/>
    <w:rsid w:val="00B17F35"/>
    <w:rsid w:val="00B20095"/>
    <w:rsid w:val="00B201A4"/>
    <w:rsid w:val="00B201D1"/>
    <w:rsid w:val="00B2038D"/>
    <w:rsid w:val="00B204D4"/>
    <w:rsid w:val="00B20797"/>
    <w:rsid w:val="00B208D9"/>
    <w:rsid w:val="00B209A0"/>
    <w:rsid w:val="00B20C7C"/>
    <w:rsid w:val="00B213A6"/>
    <w:rsid w:val="00B213B5"/>
    <w:rsid w:val="00B2191E"/>
    <w:rsid w:val="00B219F5"/>
    <w:rsid w:val="00B21CC2"/>
    <w:rsid w:val="00B21F52"/>
    <w:rsid w:val="00B22346"/>
    <w:rsid w:val="00B22458"/>
    <w:rsid w:val="00B224AA"/>
    <w:rsid w:val="00B22611"/>
    <w:rsid w:val="00B22692"/>
    <w:rsid w:val="00B2299D"/>
    <w:rsid w:val="00B22AE6"/>
    <w:rsid w:val="00B22B8A"/>
    <w:rsid w:val="00B23152"/>
    <w:rsid w:val="00B23352"/>
    <w:rsid w:val="00B2339F"/>
    <w:rsid w:val="00B23579"/>
    <w:rsid w:val="00B2357A"/>
    <w:rsid w:val="00B235B0"/>
    <w:rsid w:val="00B2375A"/>
    <w:rsid w:val="00B23840"/>
    <w:rsid w:val="00B238FB"/>
    <w:rsid w:val="00B23903"/>
    <w:rsid w:val="00B23A33"/>
    <w:rsid w:val="00B23D6D"/>
    <w:rsid w:val="00B23DAB"/>
    <w:rsid w:val="00B23E7A"/>
    <w:rsid w:val="00B24339"/>
    <w:rsid w:val="00B243AB"/>
    <w:rsid w:val="00B243DC"/>
    <w:rsid w:val="00B24581"/>
    <w:rsid w:val="00B245C7"/>
    <w:rsid w:val="00B24807"/>
    <w:rsid w:val="00B248B0"/>
    <w:rsid w:val="00B24BB1"/>
    <w:rsid w:val="00B24DD3"/>
    <w:rsid w:val="00B24DF6"/>
    <w:rsid w:val="00B250B6"/>
    <w:rsid w:val="00B25287"/>
    <w:rsid w:val="00B25975"/>
    <w:rsid w:val="00B25A1D"/>
    <w:rsid w:val="00B25C29"/>
    <w:rsid w:val="00B25C52"/>
    <w:rsid w:val="00B25D10"/>
    <w:rsid w:val="00B25DDF"/>
    <w:rsid w:val="00B262CB"/>
    <w:rsid w:val="00B26315"/>
    <w:rsid w:val="00B26391"/>
    <w:rsid w:val="00B26769"/>
    <w:rsid w:val="00B2693E"/>
    <w:rsid w:val="00B26AFE"/>
    <w:rsid w:val="00B26B17"/>
    <w:rsid w:val="00B26CAE"/>
    <w:rsid w:val="00B26E32"/>
    <w:rsid w:val="00B270DE"/>
    <w:rsid w:val="00B2714A"/>
    <w:rsid w:val="00B274D7"/>
    <w:rsid w:val="00B275F0"/>
    <w:rsid w:val="00B27606"/>
    <w:rsid w:val="00B27647"/>
    <w:rsid w:val="00B27698"/>
    <w:rsid w:val="00B278AF"/>
    <w:rsid w:val="00B27A61"/>
    <w:rsid w:val="00B27A72"/>
    <w:rsid w:val="00B27B8C"/>
    <w:rsid w:val="00B27C9B"/>
    <w:rsid w:val="00B27E6D"/>
    <w:rsid w:val="00B3066A"/>
    <w:rsid w:val="00B30A43"/>
    <w:rsid w:val="00B30A7D"/>
    <w:rsid w:val="00B30B6E"/>
    <w:rsid w:val="00B30D52"/>
    <w:rsid w:val="00B30D55"/>
    <w:rsid w:val="00B30EB2"/>
    <w:rsid w:val="00B311BF"/>
    <w:rsid w:val="00B3179F"/>
    <w:rsid w:val="00B31B32"/>
    <w:rsid w:val="00B31C0D"/>
    <w:rsid w:val="00B322A5"/>
    <w:rsid w:val="00B322AD"/>
    <w:rsid w:val="00B324DB"/>
    <w:rsid w:val="00B3266D"/>
    <w:rsid w:val="00B32684"/>
    <w:rsid w:val="00B32A5A"/>
    <w:rsid w:val="00B32DDE"/>
    <w:rsid w:val="00B32F84"/>
    <w:rsid w:val="00B331A8"/>
    <w:rsid w:val="00B3321D"/>
    <w:rsid w:val="00B3365D"/>
    <w:rsid w:val="00B3376F"/>
    <w:rsid w:val="00B33854"/>
    <w:rsid w:val="00B3396C"/>
    <w:rsid w:val="00B33A2E"/>
    <w:rsid w:val="00B33BA5"/>
    <w:rsid w:val="00B33D9E"/>
    <w:rsid w:val="00B33EB7"/>
    <w:rsid w:val="00B34245"/>
    <w:rsid w:val="00B347AD"/>
    <w:rsid w:val="00B34896"/>
    <w:rsid w:val="00B348D1"/>
    <w:rsid w:val="00B3497D"/>
    <w:rsid w:val="00B34E92"/>
    <w:rsid w:val="00B34FE2"/>
    <w:rsid w:val="00B35166"/>
    <w:rsid w:val="00B351B5"/>
    <w:rsid w:val="00B3526E"/>
    <w:rsid w:val="00B35299"/>
    <w:rsid w:val="00B352BF"/>
    <w:rsid w:val="00B353A4"/>
    <w:rsid w:val="00B35469"/>
    <w:rsid w:val="00B35610"/>
    <w:rsid w:val="00B356B9"/>
    <w:rsid w:val="00B357D8"/>
    <w:rsid w:val="00B35A6E"/>
    <w:rsid w:val="00B35E25"/>
    <w:rsid w:val="00B360F4"/>
    <w:rsid w:val="00B36362"/>
    <w:rsid w:val="00B36A00"/>
    <w:rsid w:val="00B36A7E"/>
    <w:rsid w:val="00B36A8C"/>
    <w:rsid w:val="00B36AD4"/>
    <w:rsid w:val="00B36B4E"/>
    <w:rsid w:val="00B36B95"/>
    <w:rsid w:val="00B36D3E"/>
    <w:rsid w:val="00B3705D"/>
    <w:rsid w:val="00B37184"/>
    <w:rsid w:val="00B37206"/>
    <w:rsid w:val="00B372E1"/>
    <w:rsid w:val="00B37501"/>
    <w:rsid w:val="00B375A8"/>
    <w:rsid w:val="00B376D4"/>
    <w:rsid w:val="00B37813"/>
    <w:rsid w:val="00B3792B"/>
    <w:rsid w:val="00B37939"/>
    <w:rsid w:val="00B37AB8"/>
    <w:rsid w:val="00B37BFC"/>
    <w:rsid w:val="00B37D60"/>
    <w:rsid w:val="00B37EA3"/>
    <w:rsid w:val="00B37EF8"/>
    <w:rsid w:val="00B37F24"/>
    <w:rsid w:val="00B37FB0"/>
    <w:rsid w:val="00B400B0"/>
    <w:rsid w:val="00B401D6"/>
    <w:rsid w:val="00B40294"/>
    <w:rsid w:val="00B402FD"/>
    <w:rsid w:val="00B40358"/>
    <w:rsid w:val="00B403C8"/>
    <w:rsid w:val="00B40437"/>
    <w:rsid w:val="00B40445"/>
    <w:rsid w:val="00B405C6"/>
    <w:rsid w:val="00B40753"/>
    <w:rsid w:val="00B407DC"/>
    <w:rsid w:val="00B40B66"/>
    <w:rsid w:val="00B40BDE"/>
    <w:rsid w:val="00B40C3A"/>
    <w:rsid w:val="00B4100F"/>
    <w:rsid w:val="00B4107A"/>
    <w:rsid w:val="00B4142C"/>
    <w:rsid w:val="00B41539"/>
    <w:rsid w:val="00B41614"/>
    <w:rsid w:val="00B4175C"/>
    <w:rsid w:val="00B41F07"/>
    <w:rsid w:val="00B41F3B"/>
    <w:rsid w:val="00B4205F"/>
    <w:rsid w:val="00B42124"/>
    <w:rsid w:val="00B4235C"/>
    <w:rsid w:val="00B42367"/>
    <w:rsid w:val="00B424D0"/>
    <w:rsid w:val="00B42527"/>
    <w:rsid w:val="00B42542"/>
    <w:rsid w:val="00B427D5"/>
    <w:rsid w:val="00B42851"/>
    <w:rsid w:val="00B42A6B"/>
    <w:rsid w:val="00B42F80"/>
    <w:rsid w:val="00B4316F"/>
    <w:rsid w:val="00B431DB"/>
    <w:rsid w:val="00B43325"/>
    <w:rsid w:val="00B43389"/>
    <w:rsid w:val="00B433FA"/>
    <w:rsid w:val="00B435CB"/>
    <w:rsid w:val="00B435F4"/>
    <w:rsid w:val="00B4380E"/>
    <w:rsid w:val="00B43BD1"/>
    <w:rsid w:val="00B43BEB"/>
    <w:rsid w:val="00B43C62"/>
    <w:rsid w:val="00B43C99"/>
    <w:rsid w:val="00B43E1E"/>
    <w:rsid w:val="00B448B7"/>
    <w:rsid w:val="00B44E90"/>
    <w:rsid w:val="00B44EC4"/>
    <w:rsid w:val="00B4505F"/>
    <w:rsid w:val="00B45174"/>
    <w:rsid w:val="00B45462"/>
    <w:rsid w:val="00B45A40"/>
    <w:rsid w:val="00B45EBE"/>
    <w:rsid w:val="00B46104"/>
    <w:rsid w:val="00B4629E"/>
    <w:rsid w:val="00B465A9"/>
    <w:rsid w:val="00B465EC"/>
    <w:rsid w:val="00B4698E"/>
    <w:rsid w:val="00B469BF"/>
    <w:rsid w:val="00B46C7F"/>
    <w:rsid w:val="00B46CE9"/>
    <w:rsid w:val="00B46D98"/>
    <w:rsid w:val="00B46E40"/>
    <w:rsid w:val="00B46E82"/>
    <w:rsid w:val="00B470DE"/>
    <w:rsid w:val="00B47160"/>
    <w:rsid w:val="00B47389"/>
    <w:rsid w:val="00B4739D"/>
    <w:rsid w:val="00B473F7"/>
    <w:rsid w:val="00B47507"/>
    <w:rsid w:val="00B4753D"/>
    <w:rsid w:val="00B475F6"/>
    <w:rsid w:val="00B47949"/>
    <w:rsid w:val="00B4796E"/>
    <w:rsid w:val="00B47ABB"/>
    <w:rsid w:val="00B47D30"/>
    <w:rsid w:val="00B47E06"/>
    <w:rsid w:val="00B47E79"/>
    <w:rsid w:val="00B47EF8"/>
    <w:rsid w:val="00B47F4D"/>
    <w:rsid w:val="00B47FFC"/>
    <w:rsid w:val="00B5010B"/>
    <w:rsid w:val="00B5013A"/>
    <w:rsid w:val="00B5024B"/>
    <w:rsid w:val="00B5029E"/>
    <w:rsid w:val="00B50596"/>
    <w:rsid w:val="00B505C8"/>
    <w:rsid w:val="00B50837"/>
    <w:rsid w:val="00B50935"/>
    <w:rsid w:val="00B509F0"/>
    <w:rsid w:val="00B50D5B"/>
    <w:rsid w:val="00B50DB8"/>
    <w:rsid w:val="00B50E05"/>
    <w:rsid w:val="00B50E51"/>
    <w:rsid w:val="00B50F94"/>
    <w:rsid w:val="00B512D6"/>
    <w:rsid w:val="00B51343"/>
    <w:rsid w:val="00B5151D"/>
    <w:rsid w:val="00B51640"/>
    <w:rsid w:val="00B5176F"/>
    <w:rsid w:val="00B51860"/>
    <w:rsid w:val="00B51898"/>
    <w:rsid w:val="00B518B8"/>
    <w:rsid w:val="00B5192A"/>
    <w:rsid w:val="00B519C3"/>
    <w:rsid w:val="00B51BE0"/>
    <w:rsid w:val="00B51DBF"/>
    <w:rsid w:val="00B51F12"/>
    <w:rsid w:val="00B51F82"/>
    <w:rsid w:val="00B522E1"/>
    <w:rsid w:val="00B5237C"/>
    <w:rsid w:val="00B523A7"/>
    <w:rsid w:val="00B52682"/>
    <w:rsid w:val="00B527B4"/>
    <w:rsid w:val="00B52AE7"/>
    <w:rsid w:val="00B530EA"/>
    <w:rsid w:val="00B53172"/>
    <w:rsid w:val="00B531B6"/>
    <w:rsid w:val="00B5333B"/>
    <w:rsid w:val="00B53469"/>
    <w:rsid w:val="00B53654"/>
    <w:rsid w:val="00B53672"/>
    <w:rsid w:val="00B53905"/>
    <w:rsid w:val="00B5393A"/>
    <w:rsid w:val="00B53D96"/>
    <w:rsid w:val="00B53DA9"/>
    <w:rsid w:val="00B53F8E"/>
    <w:rsid w:val="00B53FCE"/>
    <w:rsid w:val="00B5401B"/>
    <w:rsid w:val="00B5409F"/>
    <w:rsid w:val="00B54266"/>
    <w:rsid w:val="00B5450D"/>
    <w:rsid w:val="00B545C2"/>
    <w:rsid w:val="00B546DB"/>
    <w:rsid w:val="00B54840"/>
    <w:rsid w:val="00B54842"/>
    <w:rsid w:val="00B54A1E"/>
    <w:rsid w:val="00B54B5B"/>
    <w:rsid w:val="00B54BBA"/>
    <w:rsid w:val="00B54D85"/>
    <w:rsid w:val="00B54F4E"/>
    <w:rsid w:val="00B550A6"/>
    <w:rsid w:val="00B552AE"/>
    <w:rsid w:val="00B5532F"/>
    <w:rsid w:val="00B5562E"/>
    <w:rsid w:val="00B557B7"/>
    <w:rsid w:val="00B55862"/>
    <w:rsid w:val="00B559A0"/>
    <w:rsid w:val="00B559E5"/>
    <w:rsid w:val="00B55A4E"/>
    <w:rsid w:val="00B55BB6"/>
    <w:rsid w:val="00B55D65"/>
    <w:rsid w:val="00B55E3B"/>
    <w:rsid w:val="00B55EC1"/>
    <w:rsid w:val="00B560F6"/>
    <w:rsid w:val="00B562B0"/>
    <w:rsid w:val="00B562E6"/>
    <w:rsid w:val="00B56305"/>
    <w:rsid w:val="00B5638D"/>
    <w:rsid w:val="00B56453"/>
    <w:rsid w:val="00B5645A"/>
    <w:rsid w:val="00B564D0"/>
    <w:rsid w:val="00B56714"/>
    <w:rsid w:val="00B5677B"/>
    <w:rsid w:val="00B56791"/>
    <w:rsid w:val="00B56792"/>
    <w:rsid w:val="00B5689A"/>
    <w:rsid w:val="00B56EB1"/>
    <w:rsid w:val="00B57000"/>
    <w:rsid w:val="00B5702F"/>
    <w:rsid w:val="00B57260"/>
    <w:rsid w:val="00B57281"/>
    <w:rsid w:val="00B575E7"/>
    <w:rsid w:val="00B57677"/>
    <w:rsid w:val="00B576F0"/>
    <w:rsid w:val="00B5788D"/>
    <w:rsid w:val="00B57A53"/>
    <w:rsid w:val="00B57B7B"/>
    <w:rsid w:val="00B57B83"/>
    <w:rsid w:val="00B57DE4"/>
    <w:rsid w:val="00B57E0F"/>
    <w:rsid w:val="00B57E39"/>
    <w:rsid w:val="00B57EE5"/>
    <w:rsid w:val="00B600D8"/>
    <w:rsid w:val="00B60560"/>
    <w:rsid w:val="00B606F1"/>
    <w:rsid w:val="00B6080E"/>
    <w:rsid w:val="00B60939"/>
    <w:rsid w:val="00B60A14"/>
    <w:rsid w:val="00B60AFD"/>
    <w:rsid w:val="00B60B3A"/>
    <w:rsid w:val="00B60C6B"/>
    <w:rsid w:val="00B60E87"/>
    <w:rsid w:val="00B60EA4"/>
    <w:rsid w:val="00B61024"/>
    <w:rsid w:val="00B61109"/>
    <w:rsid w:val="00B61174"/>
    <w:rsid w:val="00B6147D"/>
    <w:rsid w:val="00B6150F"/>
    <w:rsid w:val="00B61CB4"/>
    <w:rsid w:val="00B61CD0"/>
    <w:rsid w:val="00B61D92"/>
    <w:rsid w:val="00B61E07"/>
    <w:rsid w:val="00B61E3D"/>
    <w:rsid w:val="00B61F7B"/>
    <w:rsid w:val="00B622D9"/>
    <w:rsid w:val="00B62543"/>
    <w:rsid w:val="00B62565"/>
    <w:rsid w:val="00B62659"/>
    <w:rsid w:val="00B62715"/>
    <w:rsid w:val="00B62B1C"/>
    <w:rsid w:val="00B62BF0"/>
    <w:rsid w:val="00B62C57"/>
    <w:rsid w:val="00B62F36"/>
    <w:rsid w:val="00B634CD"/>
    <w:rsid w:val="00B6350C"/>
    <w:rsid w:val="00B6419D"/>
    <w:rsid w:val="00B64435"/>
    <w:rsid w:val="00B645EB"/>
    <w:rsid w:val="00B64B9F"/>
    <w:rsid w:val="00B64C08"/>
    <w:rsid w:val="00B64FE2"/>
    <w:rsid w:val="00B651DD"/>
    <w:rsid w:val="00B652C3"/>
    <w:rsid w:val="00B65352"/>
    <w:rsid w:val="00B65611"/>
    <w:rsid w:val="00B657B7"/>
    <w:rsid w:val="00B657C5"/>
    <w:rsid w:val="00B65811"/>
    <w:rsid w:val="00B65896"/>
    <w:rsid w:val="00B65991"/>
    <w:rsid w:val="00B65A8C"/>
    <w:rsid w:val="00B65D77"/>
    <w:rsid w:val="00B66009"/>
    <w:rsid w:val="00B66430"/>
    <w:rsid w:val="00B664FF"/>
    <w:rsid w:val="00B66606"/>
    <w:rsid w:val="00B6660D"/>
    <w:rsid w:val="00B666A4"/>
    <w:rsid w:val="00B66DE1"/>
    <w:rsid w:val="00B66E2C"/>
    <w:rsid w:val="00B671FC"/>
    <w:rsid w:val="00B673AE"/>
    <w:rsid w:val="00B673B1"/>
    <w:rsid w:val="00B673D8"/>
    <w:rsid w:val="00B67540"/>
    <w:rsid w:val="00B6754C"/>
    <w:rsid w:val="00B67656"/>
    <w:rsid w:val="00B6778B"/>
    <w:rsid w:val="00B677A1"/>
    <w:rsid w:val="00B67942"/>
    <w:rsid w:val="00B67DC9"/>
    <w:rsid w:val="00B67E0C"/>
    <w:rsid w:val="00B67E47"/>
    <w:rsid w:val="00B67F39"/>
    <w:rsid w:val="00B67F4D"/>
    <w:rsid w:val="00B70291"/>
    <w:rsid w:val="00B703DB"/>
    <w:rsid w:val="00B7044B"/>
    <w:rsid w:val="00B707B4"/>
    <w:rsid w:val="00B70B77"/>
    <w:rsid w:val="00B70BC8"/>
    <w:rsid w:val="00B70D83"/>
    <w:rsid w:val="00B70E8E"/>
    <w:rsid w:val="00B70EAB"/>
    <w:rsid w:val="00B70EC8"/>
    <w:rsid w:val="00B70EDA"/>
    <w:rsid w:val="00B7139E"/>
    <w:rsid w:val="00B71675"/>
    <w:rsid w:val="00B717DB"/>
    <w:rsid w:val="00B71BCF"/>
    <w:rsid w:val="00B71C18"/>
    <w:rsid w:val="00B71CC0"/>
    <w:rsid w:val="00B71D0C"/>
    <w:rsid w:val="00B721A1"/>
    <w:rsid w:val="00B721FF"/>
    <w:rsid w:val="00B724EE"/>
    <w:rsid w:val="00B7254D"/>
    <w:rsid w:val="00B72960"/>
    <w:rsid w:val="00B72F07"/>
    <w:rsid w:val="00B731DB"/>
    <w:rsid w:val="00B73241"/>
    <w:rsid w:val="00B73388"/>
    <w:rsid w:val="00B733D7"/>
    <w:rsid w:val="00B7351F"/>
    <w:rsid w:val="00B737C4"/>
    <w:rsid w:val="00B7389A"/>
    <w:rsid w:val="00B73A64"/>
    <w:rsid w:val="00B74224"/>
    <w:rsid w:val="00B7432E"/>
    <w:rsid w:val="00B74495"/>
    <w:rsid w:val="00B74533"/>
    <w:rsid w:val="00B747CA"/>
    <w:rsid w:val="00B749FE"/>
    <w:rsid w:val="00B74B1A"/>
    <w:rsid w:val="00B74E46"/>
    <w:rsid w:val="00B75421"/>
    <w:rsid w:val="00B75425"/>
    <w:rsid w:val="00B7551C"/>
    <w:rsid w:val="00B75670"/>
    <w:rsid w:val="00B758B2"/>
    <w:rsid w:val="00B75B10"/>
    <w:rsid w:val="00B75CDD"/>
    <w:rsid w:val="00B75EF6"/>
    <w:rsid w:val="00B76263"/>
    <w:rsid w:val="00B763C2"/>
    <w:rsid w:val="00B7651A"/>
    <w:rsid w:val="00B7672E"/>
    <w:rsid w:val="00B76771"/>
    <w:rsid w:val="00B767FB"/>
    <w:rsid w:val="00B7691D"/>
    <w:rsid w:val="00B7692F"/>
    <w:rsid w:val="00B76AE6"/>
    <w:rsid w:val="00B76B60"/>
    <w:rsid w:val="00B76B7A"/>
    <w:rsid w:val="00B76C92"/>
    <w:rsid w:val="00B76FC8"/>
    <w:rsid w:val="00B76FF8"/>
    <w:rsid w:val="00B77026"/>
    <w:rsid w:val="00B770C5"/>
    <w:rsid w:val="00B77510"/>
    <w:rsid w:val="00B7771D"/>
    <w:rsid w:val="00B77786"/>
    <w:rsid w:val="00B777B5"/>
    <w:rsid w:val="00B778C3"/>
    <w:rsid w:val="00B778D7"/>
    <w:rsid w:val="00B77F25"/>
    <w:rsid w:val="00B8009F"/>
    <w:rsid w:val="00B804A6"/>
    <w:rsid w:val="00B804B8"/>
    <w:rsid w:val="00B806F9"/>
    <w:rsid w:val="00B80891"/>
    <w:rsid w:val="00B80A91"/>
    <w:rsid w:val="00B80E41"/>
    <w:rsid w:val="00B80E54"/>
    <w:rsid w:val="00B80EFD"/>
    <w:rsid w:val="00B80F4D"/>
    <w:rsid w:val="00B80F7A"/>
    <w:rsid w:val="00B80FFE"/>
    <w:rsid w:val="00B8105E"/>
    <w:rsid w:val="00B81323"/>
    <w:rsid w:val="00B814D7"/>
    <w:rsid w:val="00B8168C"/>
    <w:rsid w:val="00B818A4"/>
    <w:rsid w:val="00B81965"/>
    <w:rsid w:val="00B81A5F"/>
    <w:rsid w:val="00B81CDB"/>
    <w:rsid w:val="00B81F52"/>
    <w:rsid w:val="00B81FA3"/>
    <w:rsid w:val="00B8218D"/>
    <w:rsid w:val="00B8219E"/>
    <w:rsid w:val="00B82282"/>
    <w:rsid w:val="00B82522"/>
    <w:rsid w:val="00B82573"/>
    <w:rsid w:val="00B825AB"/>
    <w:rsid w:val="00B82656"/>
    <w:rsid w:val="00B826DD"/>
    <w:rsid w:val="00B828D3"/>
    <w:rsid w:val="00B82A23"/>
    <w:rsid w:val="00B82BDE"/>
    <w:rsid w:val="00B82CD0"/>
    <w:rsid w:val="00B82F11"/>
    <w:rsid w:val="00B831A5"/>
    <w:rsid w:val="00B83203"/>
    <w:rsid w:val="00B832A3"/>
    <w:rsid w:val="00B83413"/>
    <w:rsid w:val="00B836E6"/>
    <w:rsid w:val="00B83739"/>
    <w:rsid w:val="00B83867"/>
    <w:rsid w:val="00B839B8"/>
    <w:rsid w:val="00B83C85"/>
    <w:rsid w:val="00B83DDF"/>
    <w:rsid w:val="00B83E06"/>
    <w:rsid w:val="00B83E58"/>
    <w:rsid w:val="00B83EB9"/>
    <w:rsid w:val="00B83F50"/>
    <w:rsid w:val="00B84117"/>
    <w:rsid w:val="00B843AB"/>
    <w:rsid w:val="00B843BF"/>
    <w:rsid w:val="00B84486"/>
    <w:rsid w:val="00B844C2"/>
    <w:rsid w:val="00B845CD"/>
    <w:rsid w:val="00B846C4"/>
    <w:rsid w:val="00B8497F"/>
    <w:rsid w:val="00B84ADE"/>
    <w:rsid w:val="00B84DD7"/>
    <w:rsid w:val="00B85413"/>
    <w:rsid w:val="00B85423"/>
    <w:rsid w:val="00B8553C"/>
    <w:rsid w:val="00B8564D"/>
    <w:rsid w:val="00B8575F"/>
    <w:rsid w:val="00B85780"/>
    <w:rsid w:val="00B858F0"/>
    <w:rsid w:val="00B85AA2"/>
    <w:rsid w:val="00B85AE3"/>
    <w:rsid w:val="00B85FE9"/>
    <w:rsid w:val="00B86095"/>
    <w:rsid w:val="00B86155"/>
    <w:rsid w:val="00B8617D"/>
    <w:rsid w:val="00B8649C"/>
    <w:rsid w:val="00B8695D"/>
    <w:rsid w:val="00B869DD"/>
    <w:rsid w:val="00B86AB0"/>
    <w:rsid w:val="00B86B28"/>
    <w:rsid w:val="00B86B8E"/>
    <w:rsid w:val="00B86C21"/>
    <w:rsid w:val="00B86CAC"/>
    <w:rsid w:val="00B86EDD"/>
    <w:rsid w:val="00B86FF0"/>
    <w:rsid w:val="00B8718C"/>
    <w:rsid w:val="00B872F3"/>
    <w:rsid w:val="00B8751F"/>
    <w:rsid w:val="00B8771F"/>
    <w:rsid w:val="00B87828"/>
    <w:rsid w:val="00B87C5F"/>
    <w:rsid w:val="00B87C91"/>
    <w:rsid w:val="00B87E0C"/>
    <w:rsid w:val="00B87F0A"/>
    <w:rsid w:val="00B87F39"/>
    <w:rsid w:val="00B87F5E"/>
    <w:rsid w:val="00B87F68"/>
    <w:rsid w:val="00B90230"/>
    <w:rsid w:val="00B902EF"/>
    <w:rsid w:val="00B9077E"/>
    <w:rsid w:val="00B90840"/>
    <w:rsid w:val="00B90911"/>
    <w:rsid w:val="00B90969"/>
    <w:rsid w:val="00B90BF4"/>
    <w:rsid w:val="00B90C58"/>
    <w:rsid w:val="00B90E3E"/>
    <w:rsid w:val="00B90E9A"/>
    <w:rsid w:val="00B910EA"/>
    <w:rsid w:val="00B91201"/>
    <w:rsid w:val="00B9126D"/>
    <w:rsid w:val="00B912F8"/>
    <w:rsid w:val="00B916C3"/>
    <w:rsid w:val="00B918B2"/>
    <w:rsid w:val="00B91962"/>
    <w:rsid w:val="00B919DC"/>
    <w:rsid w:val="00B91ADA"/>
    <w:rsid w:val="00B91B26"/>
    <w:rsid w:val="00B91B7B"/>
    <w:rsid w:val="00B920DD"/>
    <w:rsid w:val="00B920FD"/>
    <w:rsid w:val="00B92105"/>
    <w:rsid w:val="00B922E3"/>
    <w:rsid w:val="00B92427"/>
    <w:rsid w:val="00B924B7"/>
    <w:rsid w:val="00B925BC"/>
    <w:rsid w:val="00B92894"/>
    <w:rsid w:val="00B928F5"/>
    <w:rsid w:val="00B92BE8"/>
    <w:rsid w:val="00B92D0B"/>
    <w:rsid w:val="00B93113"/>
    <w:rsid w:val="00B9344A"/>
    <w:rsid w:val="00B93789"/>
    <w:rsid w:val="00B93833"/>
    <w:rsid w:val="00B938F1"/>
    <w:rsid w:val="00B93D14"/>
    <w:rsid w:val="00B9444E"/>
    <w:rsid w:val="00B9456E"/>
    <w:rsid w:val="00B947C6"/>
    <w:rsid w:val="00B94945"/>
    <w:rsid w:val="00B94A9F"/>
    <w:rsid w:val="00B94ADB"/>
    <w:rsid w:val="00B94B67"/>
    <w:rsid w:val="00B94DD6"/>
    <w:rsid w:val="00B94EEF"/>
    <w:rsid w:val="00B95050"/>
    <w:rsid w:val="00B950C6"/>
    <w:rsid w:val="00B954B2"/>
    <w:rsid w:val="00B955CB"/>
    <w:rsid w:val="00B9560F"/>
    <w:rsid w:val="00B95686"/>
    <w:rsid w:val="00B9576B"/>
    <w:rsid w:val="00B959FE"/>
    <w:rsid w:val="00B95C5C"/>
    <w:rsid w:val="00B95EA3"/>
    <w:rsid w:val="00B95FB6"/>
    <w:rsid w:val="00B962B0"/>
    <w:rsid w:val="00B96889"/>
    <w:rsid w:val="00B9688E"/>
    <w:rsid w:val="00B96942"/>
    <w:rsid w:val="00B96A10"/>
    <w:rsid w:val="00B96A2F"/>
    <w:rsid w:val="00B96AF0"/>
    <w:rsid w:val="00B9701C"/>
    <w:rsid w:val="00B9702A"/>
    <w:rsid w:val="00B972CD"/>
    <w:rsid w:val="00B9734E"/>
    <w:rsid w:val="00B9735E"/>
    <w:rsid w:val="00B97401"/>
    <w:rsid w:val="00B97432"/>
    <w:rsid w:val="00B9757E"/>
    <w:rsid w:val="00B976F8"/>
    <w:rsid w:val="00B97AB5"/>
    <w:rsid w:val="00B97BB0"/>
    <w:rsid w:val="00B97C61"/>
    <w:rsid w:val="00B97D85"/>
    <w:rsid w:val="00B97DEF"/>
    <w:rsid w:val="00B97F67"/>
    <w:rsid w:val="00B97FC2"/>
    <w:rsid w:val="00BA0066"/>
    <w:rsid w:val="00BA04C2"/>
    <w:rsid w:val="00BA06F7"/>
    <w:rsid w:val="00BA0797"/>
    <w:rsid w:val="00BA09E1"/>
    <w:rsid w:val="00BA0A2D"/>
    <w:rsid w:val="00BA0A86"/>
    <w:rsid w:val="00BA0B1A"/>
    <w:rsid w:val="00BA0B7B"/>
    <w:rsid w:val="00BA0D34"/>
    <w:rsid w:val="00BA10BC"/>
    <w:rsid w:val="00BA10C7"/>
    <w:rsid w:val="00BA1137"/>
    <w:rsid w:val="00BA11A6"/>
    <w:rsid w:val="00BA11D8"/>
    <w:rsid w:val="00BA1375"/>
    <w:rsid w:val="00BA143B"/>
    <w:rsid w:val="00BA1644"/>
    <w:rsid w:val="00BA1747"/>
    <w:rsid w:val="00BA1886"/>
    <w:rsid w:val="00BA195A"/>
    <w:rsid w:val="00BA1AB3"/>
    <w:rsid w:val="00BA1C79"/>
    <w:rsid w:val="00BA1F80"/>
    <w:rsid w:val="00BA21B5"/>
    <w:rsid w:val="00BA23FD"/>
    <w:rsid w:val="00BA2898"/>
    <w:rsid w:val="00BA2A44"/>
    <w:rsid w:val="00BA2D71"/>
    <w:rsid w:val="00BA2DE3"/>
    <w:rsid w:val="00BA2FA5"/>
    <w:rsid w:val="00BA3049"/>
    <w:rsid w:val="00BA3175"/>
    <w:rsid w:val="00BA322D"/>
    <w:rsid w:val="00BA3401"/>
    <w:rsid w:val="00BA3634"/>
    <w:rsid w:val="00BA3650"/>
    <w:rsid w:val="00BA382E"/>
    <w:rsid w:val="00BA3AD9"/>
    <w:rsid w:val="00BA3D5F"/>
    <w:rsid w:val="00BA3F02"/>
    <w:rsid w:val="00BA42A2"/>
    <w:rsid w:val="00BA4391"/>
    <w:rsid w:val="00BA43C9"/>
    <w:rsid w:val="00BA43F4"/>
    <w:rsid w:val="00BA43FC"/>
    <w:rsid w:val="00BA4438"/>
    <w:rsid w:val="00BA44C7"/>
    <w:rsid w:val="00BA45E0"/>
    <w:rsid w:val="00BA4669"/>
    <w:rsid w:val="00BA4926"/>
    <w:rsid w:val="00BA4AEB"/>
    <w:rsid w:val="00BA4B06"/>
    <w:rsid w:val="00BA4C00"/>
    <w:rsid w:val="00BA4C9E"/>
    <w:rsid w:val="00BA4D3E"/>
    <w:rsid w:val="00BA4FF1"/>
    <w:rsid w:val="00BA50E9"/>
    <w:rsid w:val="00BA50EE"/>
    <w:rsid w:val="00BA5469"/>
    <w:rsid w:val="00BA555C"/>
    <w:rsid w:val="00BA5666"/>
    <w:rsid w:val="00BA5C60"/>
    <w:rsid w:val="00BA5C8D"/>
    <w:rsid w:val="00BA5D73"/>
    <w:rsid w:val="00BA5E51"/>
    <w:rsid w:val="00BA5FF8"/>
    <w:rsid w:val="00BA6112"/>
    <w:rsid w:val="00BA63B8"/>
    <w:rsid w:val="00BA63E1"/>
    <w:rsid w:val="00BA63FA"/>
    <w:rsid w:val="00BA63FC"/>
    <w:rsid w:val="00BA6593"/>
    <w:rsid w:val="00BA677E"/>
    <w:rsid w:val="00BA67D3"/>
    <w:rsid w:val="00BA6923"/>
    <w:rsid w:val="00BA6987"/>
    <w:rsid w:val="00BA6BC6"/>
    <w:rsid w:val="00BA702A"/>
    <w:rsid w:val="00BA7155"/>
    <w:rsid w:val="00BA71E9"/>
    <w:rsid w:val="00BA7243"/>
    <w:rsid w:val="00BA7475"/>
    <w:rsid w:val="00BA75E2"/>
    <w:rsid w:val="00BA798E"/>
    <w:rsid w:val="00BA7C18"/>
    <w:rsid w:val="00BA7EA6"/>
    <w:rsid w:val="00BA7EA7"/>
    <w:rsid w:val="00BA7F7D"/>
    <w:rsid w:val="00BB00B3"/>
    <w:rsid w:val="00BB0321"/>
    <w:rsid w:val="00BB03A7"/>
    <w:rsid w:val="00BB03B7"/>
    <w:rsid w:val="00BB0861"/>
    <w:rsid w:val="00BB0BDD"/>
    <w:rsid w:val="00BB1406"/>
    <w:rsid w:val="00BB14BC"/>
    <w:rsid w:val="00BB159C"/>
    <w:rsid w:val="00BB164D"/>
    <w:rsid w:val="00BB16C4"/>
    <w:rsid w:val="00BB176C"/>
    <w:rsid w:val="00BB176D"/>
    <w:rsid w:val="00BB178B"/>
    <w:rsid w:val="00BB1AD5"/>
    <w:rsid w:val="00BB1BD3"/>
    <w:rsid w:val="00BB1BD4"/>
    <w:rsid w:val="00BB1C60"/>
    <w:rsid w:val="00BB1F74"/>
    <w:rsid w:val="00BB21BE"/>
    <w:rsid w:val="00BB21D3"/>
    <w:rsid w:val="00BB221D"/>
    <w:rsid w:val="00BB23B3"/>
    <w:rsid w:val="00BB2589"/>
    <w:rsid w:val="00BB25C9"/>
    <w:rsid w:val="00BB25FF"/>
    <w:rsid w:val="00BB2623"/>
    <w:rsid w:val="00BB2672"/>
    <w:rsid w:val="00BB2A0A"/>
    <w:rsid w:val="00BB2A5E"/>
    <w:rsid w:val="00BB2A73"/>
    <w:rsid w:val="00BB2B0E"/>
    <w:rsid w:val="00BB2B41"/>
    <w:rsid w:val="00BB2DA3"/>
    <w:rsid w:val="00BB2F83"/>
    <w:rsid w:val="00BB2FAF"/>
    <w:rsid w:val="00BB32C2"/>
    <w:rsid w:val="00BB3373"/>
    <w:rsid w:val="00BB3410"/>
    <w:rsid w:val="00BB3695"/>
    <w:rsid w:val="00BB3A45"/>
    <w:rsid w:val="00BB3DE2"/>
    <w:rsid w:val="00BB4149"/>
    <w:rsid w:val="00BB4165"/>
    <w:rsid w:val="00BB425C"/>
    <w:rsid w:val="00BB4321"/>
    <w:rsid w:val="00BB44B4"/>
    <w:rsid w:val="00BB4ACC"/>
    <w:rsid w:val="00BB4BEB"/>
    <w:rsid w:val="00BB4C33"/>
    <w:rsid w:val="00BB4C89"/>
    <w:rsid w:val="00BB4D61"/>
    <w:rsid w:val="00BB4DBD"/>
    <w:rsid w:val="00BB4EAE"/>
    <w:rsid w:val="00BB515C"/>
    <w:rsid w:val="00BB59DD"/>
    <w:rsid w:val="00BB5A4F"/>
    <w:rsid w:val="00BB5C2F"/>
    <w:rsid w:val="00BB5D4D"/>
    <w:rsid w:val="00BB5E98"/>
    <w:rsid w:val="00BB612D"/>
    <w:rsid w:val="00BB631C"/>
    <w:rsid w:val="00BB651E"/>
    <w:rsid w:val="00BB6625"/>
    <w:rsid w:val="00BB6890"/>
    <w:rsid w:val="00BB6CE9"/>
    <w:rsid w:val="00BB6E36"/>
    <w:rsid w:val="00BB703E"/>
    <w:rsid w:val="00BB71A8"/>
    <w:rsid w:val="00BB7232"/>
    <w:rsid w:val="00BB72AF"/>
    <w:rsid w:val="00BB732D"/>
    <w:rsid w:val="00BB7338"/>
    <w:rsid w:val="00BB736E"/>
    <w:rsid w:val="00BB7405"/>
    <w:rsid w:val="00BB79C1"/>
    <w:rsid w:val="00BB79C5"/>
    <w:rsid w:val="00BB7B03"/>
    <w:rsid w:val="00BB7B0E"/>
    <w:rsid w:val="00BB7BB0"/>
    <w:rsid w:val="00BB7CB1"/>
    <w:rsid w:val="00BB7DE7"/>
    <w:rsid w:val="00BC0065"/>
    <w:rsid w:val="00BC017A"/>
    <w:rsid w:val="00BC0518"/>
    <w:rsid w:val="00BC0B88"/>
    <w:rsid w:val="00BC0DC7"/>
    <w:rsid w:val="00BC0E18"/>
    <w:rsid w:val="00BC0E24"/>
    <w:rsid w:val="00BC0E26"/>
    <w:rsid w:val="00BC0E63"/>
    <w:rsid w:val="00BC0E8B"/>
    <w:rsid w:val="00BC1359"/>
    <w:rsid w:val="00BC146D"/>
    <w:rsid w:val="00BC153E"/>
    <w:rsid w:val="00BC1589"/>
    <w:rsid w:val="00BC1636"/>
    <w:rsid w:val="00BC16DB"/>
    <w:rsid w:val="00BC1783"/>
    <w:rsid w:val="00BC18D5"/>
    <w:rsid w:val="00BC1A3B"/>
    <w:rsid w:val="00BC1C14"/>
    <w:rsid w:val="00BC1C7D"/>
    <w:rsid w:val="00BC1CBC"/>
    <w:rsid w:val="00BC1DC1"/>
    <w:rsid w:val="00BC1DE3"/>
    <w:rsid w:val="00BC1F91"/>
    <w:rsid w:val="00BC203A"/>
    <w:rsid w:val="00BC2163"/>
    <w:rsid w:val="00BC223F"/>
    <w:rsid w:val="00BC23C3"/>
    <w:rsid w:val="00BC26CE"/>
    <w:rsid w:val="00BC2780"/>
    <w:rsid w:val="00BC2C6A"/>
    <w:rsid w:val="00BC2E55"/>
    <w:rsid w:val="00BC2FCE"/>
    <w:rsid w:val="00BC3125"/>
    <w:rsid w:val="00BC355B"/>
    <w:rsid w:val="00BC3631"/>
    <w:rsid w:val="00BC36E9"/>
    <w:rsid w:val="00BC388F"/>
    <w:rsid w:val="00BC38CF"/>
    <w:rsid w:val="00BC393E"/>
    <w:rsid w:val="00BC3C43"/>
    <w:rsid w:val="00BC3C68"/>
    <w:rsid w:val="00BC3C7B"/>
    <w:rsid w:val="00BC3F11"/>
    <w:rsid w:val="00BC3FFF"/>
    <w:rsid w:val="00BC406D"/>
    <w:rsid w:val="00BC4233"/>
    <w:rsid w:val="00BC4398"/>
    <w:rsid w:val="00BC464E"/>
    <w:rsid w:val="00BC4665"/>
    <w:rsid w:val="00BC493A"/>
    <w:rsid w:val="00BC4995"/>
    <w:rsid w:val="00BC49F6"/>
    <w:rsid w:val="00BC4CA4"/>
    <w:rsid w:val="00BC4CBF"/>
    <w:rsid w:val="00BC4FEB"/>
    <w:rsid w:val="00BC52F8"/>
    <w:rsid w:val="00BC532D"/>
    <w:rsid w:val="00BC5404"/>
    <w:rsid w:val="00BC571D"/>
    <w:rsid w:val="00BC5757"/>
    <w:rsid w:val="00BC591F"/>
    <w:rsid w:val="00BC5A09"/>
    <w:rsid w:val="00BC5DF6"/>
    <w:rsid w:val="00BC5E0D"/>
    <w:rsid w:val="00BC5ED1"/>
    <w:rsid w:val="00BC5FF3"/>
    <w:rsid w:val="00BC632C"/>
    <w:rsid w:val="00BC6758"/>
    <w:rsid w:val="00BC6901"/>
    <w:rsid w:val="00BC6AAC"/>
    <w:rsid w:val="00BC6D93"/>
    <w:rsid w:val="00BC6D9C"/>
    <w:rsid w:val="00BC6E31"/>
    <w:rsid w:val="00BC6E61"/>
    <w:rsid w:val="00BC704A"/>
    <w:rsid w:val="00BC7648"/>
    <w:rsid w:val="00BC7A7B"/>
    <w:rsid w:val="00BC7D6D"/>
    <w:rsid w:val="00BC7DF2"/>
    <w:rsid w:val="00BC7E3B"/>
    <w:rsid w:val="00BD006C"/>
    <w:rsid w:val="00BD04CC"/>
    <w:rsid w:val="00BD0681"/>
    <w:rsid w:val="00BD0758"/>
    <w:rsid w:val="00BD07B9"/>
    <w:rsid w:val="00BD07C6"/>
    <w:rsid w:val="00BD0810"/>
    <w:rsid w:val="00BD09C6"/>
    <w:rsid w:val="00BD0A45"/>
    <w:rsid w:val="00BD0B99"/>
    <w:rsid w:val="00BD0D44"/>
    <w:rsid w:val="00BD113A"/>
    <w:rsid w:val="00BD1206"/>
    <w:rsid w:val="00BD12DD"/>
    <w:rsid w:val="00BD13A5"/>
    <w:rsid w:val="00BD13F9"/>
    <w:rsid w:val="00BD1440"/>
    <w:rsid w:val="00BD14C1"/>
    <w:rsid w:val="00BD17CA"/>
    <w:rsid w:val="00BD1935"/>
    <w:rsid w:val="00BD1ACF"/>
    <w:rsid w:val="00BD1D00"/>
    <w:rsid w:val="00BD1D14"/>
    <w:rsid w:val="00BD1D20"/>
    <w:rsid w:val="00BD1F8D"/>
    <w:rsid w:val="00BD1FAD"/>
    <w:rsid w:val="00BD20FD"/>
    <w:rsid w:val="00BD2108"/>
    <w:rsid w:val="00BD2251"/>
    <w:rsid w:val="00BD24DE"/>
    <w:rsid w:val="00BD256D"/>
    <w:rsid w:val="00BD2957"/>
    <w:rsid w:val="00BD2A1D"/>
    <w:rsid w:val="00BD2ACA"/>
    <w:rsid w:val="00BD2C5C"/>
    <w:rsid w:val="00BD2D0A"/>
    <w:rsid w:val="00BD2D55"/>
    <w:rsid w:val="00BD2EAD"/>
    <w:rsid w:val="00BD2F27"/>
    <w:rsid w:val="00BD369C"/>
    <w:rsid w:val="00BD36AD"/>
    <w:rsid w:val="00BD3AB7"/>
    <w:rsid w:val="00BD3F96"/>
    <w:rsid w:val="00BD3FB0"/>
    <w:rsid w:val="00BD3FDF"/>
    <w:rsid w:val="00BD421C"/>
    <w:rsid w:val="00BD4308"/>
    <w:rsid w:val="00BD447A"/>
    <w:rsid w:val="00BD4563"/>
    <w:rsid w:val="00BD4DA6"/>
    <w:rsid w:val="00BD4F8A"/>
    <w:rsid w:val="00BD516C"/>
    <w:rsid w:val="00BD537D"/>
    <w:rsid w:val="00BD5465"/>
    <w:rsid w:val="00BD5814"/>
    <w:rsid w:val="00BD5925"/>
    <w:rsid w:val="00BD5C34"/>
    <w:rsid w:val="00BD5DD8"/>
    <w:rsid w:val="00BD603B"/>
    <w:rsid w:val="00BD6239"/>
    <w:rsid w:val="00BD62B3"/>
    <w:rsid w:val="00BD6336"/>
    <w:rsid w:val="00BD635E"/>
    <w:rsid w:val="00BD6489"/>
    <w:rsid w:val="00BD663D"/>
    <w:rsid w:val="00BD68A3"/>
    <w:rsid w:val="00BD6938"/>
    <w:rsid w:val="00BD69A1"/>
    <w:rsid w:val="00BD6CF3"/>
    <w:rsid w:val="00BD6D7A"/>
    <w:rsid w:val="00BD7196"/>
    <w:rsid w:val="00BD71C2"/>
    <w:rsid w:val="00BD741F"/>
    <w:rsid w:val="00BD7439"/>
    <w:rsid w:val="00BD74F8"/>
    <w:rsid w:val="00BD7504"/>
    <w:rsid w:val="00BD776B"/>
    <w:rsid w:val="00BD7D31"/>
    <w:rsid w:val="00BD7F72"/>
    <w:rsid w:val="00BE000A"/>
    <w:rsid w:val="00BE009D"/>
    <w:rsid w:val="00BE0375"/>
    <w:rsid w:val="00BE067D"/>
    <w:rsid w:val="00BE0695"/>
    <w:rsid w:val="00BE09CA"/>
    <w:rsid w:val="00BE0A07"/>
    <w:rsid w:val="00BE0A9A"/>
    <w:rsid w:val="00BE0C7C"/>
    <w:rsid w:val="00BE0ECA"/>
    <w:rsid w:val="00BE0FA3"/>
    <w:rsid w:val="00BE10DF"/>
    <w:rsid w:val="00BE1161"/>
    <w:rsid w:val="00BE1189"/>
    <w:rsid w:val="00BE1339"/>
    <w:rsid w:val="00BE1474"/>
    <w:rsid w:val="00BE1931"/>
    <w:rsid w:val="00BE1AB1"/>
    <w:rsid w:val="00BE1FB1"/>
    <w:rsid w:val="00BE2068"/>
    <w:rsid w:val="00BE2180"/>
    <w:rsid w:val="00BE21F2"/>
    <w:rsid w:val="00BE2326"/>
    <w:rsid w:val="00BE23E6"/>
    <w:rsid w:val="00BE2487"/>
    <w:rsid w:val="00BE26E9"/>
    <w:rsid w:val="00BE2745"/>
    <w:rsid w:val="00BE2764"/>
    <w:rsid w:val="00BE277C"/>
    <w:rsid w:val="00BE27C0"/>
    <w:rsid w:val="00BE2B5B"/>
    <w:rsid w:val="00BE2D61"/>
    <w:rsid w:val="00BE333F"/>
    <w:rsid w:val="00BE338B"/>
    <w:rsid w:val="00BE34FE"/>
    <w:rsid w:val="00BE36B7"/>
    <w:rsid w:val="00BE3999"/>
    <w:rsid w:val="00BE3B82"/>
    <w:rsid w:val="00BE3CB2"/>
    <w:rsid w:val="00BE3D94"/>
    <w:rsid w:val="00BE3E8B"/>
    <w:rsid w:val="00BE3F1D"/>
    <w:rsid w:val="00BE4025"/>
    <w:rsid w:val="00BE4108"/>
    <w:rsid w:val="00BE4275"/>
    <w:rsid w:val="00BE43D1"/>
    <w:rsid w:val="00BE476A"/>
    <w:rsid w:val="00BE4836"/>
    <w:rsid w:val="00BE483A"/>
    <w:rsid w:val="00BE4AFB"/>
    <w:rsid w:val="00BE4BEF"/>
    <w:rsid w:val="00BE4CA2"/>
    <w:rsid w:val="00BE4E16"/>
    <w:rsid w:val="00BE4E5D"/>
    <w:rsid w:val="00BE5220"/>
    <w:rsid w:val="00BE524A"/>
    <w:rsid w:val="00BE5455"/>
    <w:rsid w:val="00BE54D9"/>
    <w:rsid w:val="00BE570B"/>
    <w:rsid w:val="00BE57D6"/>
    <w:rsid w:val="00BE57F5"/>
    <w:rsid w:val="00BE5C26"/>
    <w:rsid w:val="00BE5E04"/>
    <w:rsid w:val="00BE5EB8"/>
    <w:rsid w:val="00BE623B"/>
    <w:rsid w:val="00BE636C"/>
    <w:rsid w:val="00BE6479"/>
    <w:rsid w:val="00BE6806"/>
    <w:rsid w:val="00BE696A"/>
    <w:rsid w:val="00BE6AA0"/>
    <w:rsid w:val="00BE6B68"/>
    <w:rsid w:val="00BE6E54"/>
    <w:rsid w:val="00BE6E5F"/>
    <w:rsid w:val="00BE719B"/>
    <w:rsid w:val="00BE74FA"/>
    <w:rsid w:val="00BE77EB"/>
    <w:rsid w:val="00BE7845"/>
    <w:rsid w:val="00BE7D01"/>
    <w:rsid w:val="00BE7E13"/>
    <w:rsid w:val="00BE7E2F"/>
    <w:rsid w:val="00BE7ECB"/>
    <w:rsid w:val="00BF004D"/>
    <w:rsid w:val="00BF00C8"/>
    <w:rsid w:val="00BF0193"/>
    <w:rsid w:val="00BF01C9"/>
    <w:rsid w:val="00BF0204"/>
    <w:rsid w:val="00BF063D"/>
    <w:rsid w:val="00BF06AE"/>
    <w:rsid w:val="00BF07CF"/>
    <w:rsid w:val="00BF0870"/>
    <w:rsid w:val="00BF08FB"/>
    <w:rsid w:val="00BF0DCF"/>
    <w:rsid w:val="00BF0F54"/>
    <w:rsid w:val="00BF0F95"/>
    <w:rsid w:val="00BF1044"/>
    <w:rsid w:val="00BF145D"/>
    <w:rsid w:val="00BF1590"/>
    <w:rsid w:val="00BF15B8"/>
    <w:rsid w:val="00BF1995"/>
    <w:rsid w:val="00BF1AD0"/>
    <w:rsid w:val="00BF1C7C"/>
    <w:rsid w:val="00BF1EBE"/>
    <w:rsid w:val="00BF2433"/>
    <w:rsid w:val="00BF2436"/>
    <w:rsid w:val="00BF2528"/>
    <w:rsid w:val="00BF28A6"/>
    <w:rsid w:val="00BF2930"/>
    <w:rsid w:val="00BF29AC"/>
    <w:rsid w:val="00BF29B2"/>
    <w:rsid w:val="00BF2A7F"/>
    <w:rsid w:val="00BF2E45"/>
    <w:rsid w:val="00BF2E6E"/>
    <w:rsid w:val="00BF319B"/>
    <w:rsid w:val="00BF3212"/>
    <w:rsid w:val="00BF327F"/>
    <w:rsid w:val="00BF33A5"/>
    <w:rsid w:val="00BF34DF"/>
    <w:rsid w:val="00BF3619"/>
    <w:rsid w:val="00BF3620"/>
    <w:rsid w:val="00BF3644"/>
    <w:rsid w:val="00BF3802"/>
    <w:rsid w:val="00BF3872"/>
    <w:rsid w:val="00BF38EC"/>
    <w:rsid w:val="00BF3EC7"/>
    <w:rsid w:val="00BF41F5"/>
    <w:rsid w:val="00BF4234"/>
    <w:rsid w:val="00BF44E8"/>
    <w:rsid w:val="00BF4665"/>
    <w:rsid w:val="00BF47A7"/>
    <w:rsid w:val="00BF4A08"/>
    <w:rsid w:val="00BF4AC7"/>
    <w:rsid w:val="00BF4C44"/>
    <w:rsid w:val="00BF4D53"/>
    <w:rsid w:val="00BF4E0B"/>
    <w:rsid w:val="00BF4FCD"/>
    <w:rsid w:val="00BF517A"/>
    <w:rsid w:val="00BF51D7"/>
    <w:rsid w:val="00BF5233"/>
    <w:rsid w:val="00BF59E2"/>
    <w:rsid w:val="00BF5F3B"/>
    <w:rsid w:val="00BF6033"/>
    <w:rsid w:val="00BF611A"/>
    <w:rsid w:val="00BF6130"/>
    <w:rsid w:val="00BF61C9"/>
    <w:rsid w:val="00BF622D"/>
    <w:rsid w:val="00BF630D"/>
    <w:rsid w:val="00BF6C94"/>
    <w:rsid w:val="00BF6D16"/>
    <w:rsid w:val="00BF6E1C"/>
    <w:rsid w:val="00BF6ED6"/>
    <w:rsid w:val="00BF6F47"/>
    <w:rsid w:val="00BF7026"/>
    <w:rsid w:val="00BF7164"/>
    <w:rsid w:val="00BF73F9"/>
    <w:rsid w:val="00BF7621"/>
    <w:rsid w:val="00BF77B1"/>
    <w:rsid w:val="00BF79C8"/>
    <w:rsid w:val="00BF7A17"/>
    <w:rsid w:val="00BF7B1E"/>
    <w:rsid w:val="00BF7B41"/>
    <w:rsid w:val="00BF7B99"/>
    <w:rsid w:val="00BF7F6B"/>
    <w:rsid w:val="00C0024D"/>
    <w:rsid w:val="00C00424"/>
    <w:rsid w:val="00C005CE"/>
    <w:rsid w:val="00C009C4"/>
    <w:rsid w:val="00C00BB0"/>
    <w:rsid w:val="00C01180"/>
    <w:rsid w:val="00C014F1"/>
    <w:rsid w:val="00C015C8"/>
    <w:rsid w:val="00C01733"/>
    <w:rsid w:val="00C01764"/>
    <w:rsid w:val="00C017F0"/>
    <w:rsid w:val="00C01FF1"/>
    <w:rsid w:val="00C02277"/>
    <w:rsid w:val="00C023F9"/>
    <w:rsid w:val="00C024A9"/>
    <w:rsid w:val="00C024CE"/>
    <w:rsid w:val="00C028DE"/>
    <w:rsid w:val="00C02B52"/>
    <w:rsid w:val="00C02BAC"/>
    <w:rsid w:val="00C02E25"/>
    <w:rsid w:val="00C03197"/>
    <w:rsid w:val="00C031B2"/>
    <w:rsid w:val="00C031EE"/>
    <w:rsid w:val="00C03521"/>
    <w:rsid w:val="00C035BE"/>
    <w:rsid w:val="00C03646"/>
    <w:rsid w:val="00C03727"/>
    <w:rsid w:val="00C03734"/>
    <w:rsid w:val="00C037D9"/>
    <w:rsid w:val="00C03893"/>
    <w:rsid w:val="00C03919"/>
    <w:rsid w:val="00C03F8F"/>
    <w:rsid w:val="00C03FC1"/>
    <w:rsid w:val="00C0436F"/>
    <w:rsid w:val="00C04B72"/>
    <w:rsid w:val="00C04B83"/>
    <w:rsid w:val="00C04C5B"/>
    <w:rsid w:val="00C052B6"/>
    <w:rsid w:val="00C055DE"/>
    <w:rsid w:val="00C0564E"/>
    <w:rsid w:val="00C056E7"/>
    <w:rsid w:val="00C0580E"/>
    <w:rsid w:val="00C058AD"/>
    <w:rsid w:val="00C05A7F"/>
    <w:rsid w:val="00C05D68"/>
    <w:rsid w:val="00C05D82"/>
    <w:rsid w:val="00C05F45"/>
    <w:rsid w:val="00C05FBA"/>
    <w:rsid w:val="00C062B2"/>
    <w:rsid w:val="00C063AE"/>
    <w:rsid w:val="00C06575"/>
    <w:rsid w:val="00C06654"/>
    <w:rsid w:val="00C06686"/>
    <w:rsid w:val="00C0676D"/>
    <w:rsid w:val="00C0695B"/>
    <w:rsid w:val="00C069CA"/>
    <w:rsid w:val="00C069EB"/>
    <w:rsid w:val="00C06DF1"/>
    <w:rsid w:val="00C06E21"/>
    <w:rsid w:val="00C06E54"/>
    <w:rsid w:val="00C06F0B"/>
    <w:rsid w:val="00C0717A"/>
    <w:rsid w:val="00C07193"/>
    <w:rsid w:val="00C071BB"/>
    <w:rsid w:val="00C07770"/>
    <w:rsid w:val="00C07917"/>
    <w:rsid w:val="00C07950"/>
    <w:rsid w:val="00C07A82"/>
    <w:rsid w:val="00C07A96"/>
    <w:rsid w:val="00C07A99"/>
    <w:rsid w:val="00C07AA5"/>
    <w:rsid w:val="00C07B94"/>
    <w:rsid w:val="00C07E54"/>
    <w:rsid w:val="00C10036"/>
    <w:rsid w:val="00C1008A"/>
    <w:rsid w:val="00C100D0"/>
    <w:rsid w:val="00C101C2"/>
    <w:rsid w:val="00C10271"/>
    <w:rsid w:val="00C102A6"/>
    <w:rsid w:val="00C10842"/>
    <w:rsid w:val="00C10905"/>
    <w:rsid w:val="00C10A75"/>
    <w:rsid w:val="00C10C5B"/>
    <w:rsid w:val="00C10C8E"/>
    <w:rsid w:val="00C10CDF"/>
    <w:rsid w:val="00C10CEF"/>
    <w:rsid w:val="00C10F56"/>
    <w:rsid w:val="00C116AC"/>
    <w:rsid w:val="00C1179F"/>
    <w:rsid w:val="00C11EAF"/>
    <w:rsid w:val="00C12080"/>
    <w:rsid w:val="00C122D2"/>
    <w:rsid w:val="00C1260B"/>
    <w:rsid w:val="00C127B5"/>
    <w:rsid w:val="00C127B9"/>
    <w:rsid w:val="00C12827"/>
    <w:rsid w:val="00C12885"/>
    <w:rsid w:val="00C128B3"/>
    <w:rsid w:val="00C128FA"/>
    <w:rsid w:val="00C12C14"/>
    <w:rsid w:val="00C12F09"/>
    <w:rsid w:val="00C12F10"/>
    <w:rsid w:val="00C1302F"/>
    <w:rsid w:val="00C13062"/>
    <w:rsid w:val="00C13304"/>
    <w:rsid w:val="00C13339"/>
    <w:rsid w:val="00C1371A"/>
    <w:rsid w:val="00C1395F"/>
    <w:rsid w:val="00C13AC8"/>
    <w:rsid w:val="00C13B11"/>
    <w:rsid w:val="00C13B75"/>
    <w:rsid w:val="00C13C19"/>
    <w:rsid w:val="00C13F10"/>
    <w:rsid w:val="00C13FC3"/>
    <w:rsid w:val="00C13FE4"/>
    <w:rsid w:val="00C1418A"/>
    <w:rsid w:val="00C142FA"/>
    <w:rsid w:val="00C14467"/>
    <w:rsid w:val="00C1472D"/>
    <w:rsid w:val="00C14B06"/>
    <w:rsid w:val="00C14B15"/>
    <w:rsid w:val="00C14CDF"/>
    <w:rsid w:val="00C14ECE"/>
    <w:rsid w:val="00C154F6"/>
    <w:rsid w:val="00C1551B"/>
    <w:rsid w:val="00C155AE"/>
    <w:rsid w:val="00C15750"/>
    <w:rsid w:val="00C15F04"/>
    <w:rsid w:val="00C16137"/>
    <w:rsid w:val="00C161E3"/>
    <w:rsid w:val="00C162C4"/>
    <w:rsid w:val="00C16398"/>
    <w:rsid w:val="00C16632"/>
    <w:rsid w:val="00C1682A"/>
    <w:rsid w:val="00C16B7C"/>
    <w:rsid w:val="00C16EE8"/>
    <w:rsid w:val="00C16F03"/>
    <w:rsid w:val="00C16F58"/>
    <w:rsid w:val="00C170B5"/>
    <w:rsid w:val="00C170F6"/>
    <w:rsid w:val="00C17398"/>
    <w:rsid w:val="00C174E3"/>
    <w:rsid w:val="00C1763E"/>
    <w:rsid w:val="00C176B2"/>
    <w:rsid w:val="00C17846"/>
    <w:rsid w:val="00C17963"/>
    <w:rsid w:val="00C179B3"/>
    <w:rsid w:val="00C17D2C"/>
    <w:rsid w:val="00C17D89"/>
    <w:rsid w:val="00C17E3F"/>
    <w:rsid w:val="00C200AA"/>
    <w:rsid w:val="00C201D5"/>
    <w:rsid w:val="00C20596"/>
    <w:rsid w:val="00C209BE"/>
    <w:rsid w:val="00C20CEC"/>
    <w:rsid w:val="00C20DA3"/>
    <w:rsid w:val="00C20F22"/>
    <w:rsid w:val="00C212F1"/>
    <w:rsid w:val="00C2144A"/>
    <w:rsid w:val="00C2148D"/>
    <w:rsid w:val="00C21586"/>
    <w:rsid w:val="00C216EA"/>
    <w:rsid w:val="00C216EB"/>
    <w:rsid w:val="00C21794"/>
    <w:rsid w:val="00C2187E"/>
    <w:rsid w:val="00C21973"/>
    <w:rsid w:val="00C21AEB"/>
    <w:rsid w:val="00C21F0C"/>
    <w:rsid w:val="00C22638"/>
    <w:rsid w:val="00C22D30"/>
    <w:rsid w:val="00C22EC2"/>
    <w:rsid w:val="00C2302C"/>
    <w:rsid w:val="00C230BE"/>
    <w:rsid w:val="00C236A5"/>
    <w:rsid w:val="00C237ED"/>
    <w:rsid w:val="00C2393B"/>
    <w:rsid w:val="00C23AC0"/>
    <w:rsid w:val="00C23C15"/>
    <w:rsid w:val="00C23DCF"/>
    <w:rsid w:val="00C24468"/>
    <w:rsid w:val="00C245FA"/>
    <w:rsid w:val="00C24632"/>
    <w:rsid w:val="00C24635"/>
    <w:rsid w:val="00C2467B"/>
    <w:rsid w:val="00C24690"/>
    <w:rsid w:val="00C248C9"/>
    <w:rsid w:val="00C249A6"/>
    <w:rsid w:val="00C249CE"/>
    <w:rsid w:val="00C249DB"/>
    <w:rsid w:val="00C24A50"/>
    <w:rsid w:val="00C24B22"/>
    <w:rsid w:val="00C24B3A"/>
    <w:rsid w:val="00C24C03"/>
    <w:rsid w:val="00C24C19"/>
    <w:rsid w:val="00C24CE2"/>
    <w:rsid w:val="00C24CFE"/>
    <w:rsid w:val="00C24D84"/>
    <w:rsid w:val="00C24EA4"/>
    <w:rsid w:val="00C25051"/>
    <w:rsid w:val="00C25063"/>
    <w:rsid w:val="00C25089"/>
    <w:rsid w:val="00C25243"/>
    <w:rsid w:val="00C2524D"/>
    <w:rsid w:val="00C2538C"/>
    <w:rsid w:val="00C25418"/>
    <w:rsid w:val="00C2555F"/>
    <w:rsid w:val="00C25560"/>
    <w:rsid w:val="00C255C4"/>
    <w:rsid w:val="00C256E3"/>
    <w:rsid w:val="00C257E2"/>
    <w:rsid w:val="00C25C96"/>
    <w:rsid w:val="00C25D9C"/>
    <w:rsid w:val="00C25DEA"/>
    <w:rsid w:val="00C25E0C"/>
    <w:rsid w:val="00C25EAA"/>
    <w:rsid w:val="00C25F9B"/>
    <w:rsid w:val="00C26257"/>
    <w:rsid w:val="00C2626C"/>
    <w:rsid w:val="00C264D6"/>
    <w:rsid w:val="00C2666D"/>
    <w:rsid w:val="00C26725"/>
    <w:rsid w:val="00C26BC2"/>
    <w:rsid w:val="00C26CEB"/>
    <w:rsid w:val="00C26E89"/>
    <w:rsid w:val="00C26F8A"/>
    <w:rsid w:val="00C2706D"/>
    <w:rsid w:val="00C274F2"/>
    <w:rsid w:val="00C274FB"/>
    <w:rsid w:val="00C2778B"/>
    <w:rsid w:val="00C27A5D"/>
    <w:rsid w:val="00C27F03"/>
    <w:rsid w:val="00C30002"/>
    <w:rsid w:val="00C30017"/>
    <w:rsid w:val="00C301CA"/>
    <w:rsid w:val="00C3034B"/>
    <w:rsid w:val="00C3050F"/>
    <w:rsid w:val="00C30585"/>
    <w:rsid w:val="00C30699"/>
    <w:rsid w:val="00C3073F"/>
    <w:rsid w:val="00C307BE"/>
    <w:rsid w:val="00C30833"/>
    <w:rsid w:val="00C30B05"/>
    <w:rsid w:val="00C30CDC"/>
    <w:rsid w:val="00C30DFA"/>
    <w:rsid w:val="00C30E65"/>
    <w:rsid w:val="00C30EFF"/>
    <w:rsid w:val="00C31245"/>
    <w:rsid w:val="00C31312"/>
    <w:rsid w:val="00C31450"/>
    <w:rsid w:val="00C31474"/>
    <w:rsid w:val="00C315AE"/>
    <w:rsid w:val="00C31624"/>
    <w:rsid w:val="00C31649"/>
    <w:rsid w:val="00C31682"/>
    <w:rsid w:val="00C318B6"/>
    <w:rsid w:val="00C31A28"/>
    <w:rsid w:val="00C31ACD"/>
    <w:rsid w:val="00C31AE2"/>
    <w:rsid w:val="00C31C9C"/>
    <w:rsid w:val="00C32018"/>
    <w:rsid w:val="00C322CB"/>
    <w:rsid w:val="00C32368"/>
    <w:rsid w:val="00C32466"/>
    <w:rsid w:val="00C32605"/>
    <w:rsid w:val="00C32980"/>
    <w:rsid w:val="00C329C9"/>
    <w:rsid w:val="00C32E79"/>
    <w:rsid w:val="00C32FA6"/>
    <w:rsid w:val="00C3304D"/>
    <w:rsid w:val="00C33102"/>
    <w:rsid w:val="00C332BA"/>
    <w:rsid w:val="00C33337"/>
    <w:rsid w:val="00C333B4"/>
    <w:rsid w:val="00C3345C"/>
    <w:rsid w:val="00C334BB"/>
    <w:rsid w:val="00C3358E"/>
    <w:rsid w:val="00C3396A"/>
    <w:rsid w:val="00C33C67"/>
    <w:rsid w:val="00C33F14"/>
    <w:rsid w:val="00C3434C"/>
    <w:rsid w:val="00C34388"/>
    <w:rsid w:val="00C346EC"/>
    <w:rsid w:val="00C347E5"/>
    <w:rsid w:val="00C34A07"/>
    <w:rsid w:val="00C34C42"/>
    <w:rsid w:val="00C34CA0"/>
    <w:rsid w:val="00C34F62"/>
    <w:rsid w:val="00C3518F"/>
    <w:rsid w:val="00C352BD"/>
    <w:rsid w:val="00C35317"/>
    <w:rsid w:val="00C35479"/>
    <w:rsid w:val="00C35490"/>
    <w:rsid w:val="00C35547"/>
    <w:rsid w:val="00C35754"/>
    <w:rsid w:val="00C359A1"/>
    <w:rsid w:val="00C35B15"/>
    <w:rsid w:val="00C35E01"/>
    <w:rsid w:val="00C3627E"/>
    <w:rsid w:val="00C36433"/>
    <w:rsid w:val="00C364BE"/>
    <w:rsid w:val="00C3662F"/>
    <w:rsid w:val="00C3666D"/>
    <w:rsid w:val="00C369D7"/>
    <w:rsid w:val="00C36A96"/>
    <w:rsid w:val="00C36B2C"/>
    <w:rsid w:val="00C36B9D"/>
    <w:rsid w:val="00C36E72"/>
    <w:rsid w:val="00C370BB"/>
    <w:rsid w:val="00C3736B"/>
    <w:rsid w:val="00C373CB"/>
    <w:rsid w:val="00C37418"/>
    <w:rsid w:val="00C37577"/>
    <w:rsid w:val="00C37633"/>
    <w:rsid w:val="00C3767D"/>
    <w:rsid w:val="00C376C2"/>
    <w:rsid w:val="00C377BD"/>
    <w:rsid w:val="00C37C89"/>
    <w:rsid w:val="00C37E16"/>
    <w:rsid w:val="00C37F08"/>
    <w:rsid w:val="00C40001"/>
    <w:rsid w:val="00C401A5"/>
    <w:rsid w:val="00C40293"/>
    <w:rsid w:val="00C40385"/>
    <w:rsid w:val="00C4043C"/>
    <w:rsid w:val="00C40723"/>
    <w:rsid w:val="00C4081C"/>
    <w:rsid w:val="00C40A19"/>
    <w:rsid w:val="00C40F69"/>
    <w:rsid w:val="00C41307"/>
    <w:rsid w:val="00C41357"/>
    <w:rsid w:val="00C41429"/>
    <w:rsid w:val="00C41768"/>
    <w:rsid w:val="00C41779"/>
    <w:rsid w:val="00C417CA"/>
    <w:rsid w:val="00C418D7"/>
    <w:rsid w:val="00C41974"/>
    <w:rsid w:val="00C41997"/>
    <w:rsid w:val="00C41CDD"/>
    <w:rsid w:val="00C41D2B"/>
    <w:rsid w:val="00C41F1D"/>
    <w:rsid w:val="00C41F31"/>
    <w:rsid w:val="00C4200F"/>
    <w:rsid w:val="00C4213F"/>
    <w:rsid w:val="00C42330"/>
    <w:rsid w:val="00C42647"/>
    <w:rsid w:val="00C4278A"/>
    <w:rsid w:val="00C42A1A"/>
    <w:rsid w:val="00C42E52"/>
    <w:rsid w:val="00C42E9B"/>
    <w:rsid w:val="00C42F96"/>
    <w:rsid w:val="00C433C7"/>
    <w:rsid w:val="00C434D2"/>
    <w:rsid w:val="00C434F2"/>
    <w:rsid w:val="00C436C6"/>
    <w:rsid w:val="00C436E4"/>
    <w:rsid w:val="00C438FC"/>
    <w:rsid w:val="00C43905"/>
    <w:rsid w:val="00C43B3E"/>
    <w:rsid w:val="00C43D84"/>
    <w:rsid w:val="00C43F2A"/>
    <w:rsid w:val="00C4426B"/>
    <w:rsid w:val="00C442CE"/>
    <w:rsid w:val="00C444D3"/>
    <w:rsid w:val="00C44583"/>
    <w:rsid w:val="00C445F7"/>
    <w:rsid w:val="00C44777"/>
    <w:rsid w:val="00C44866"/>
    <w:rsid w:val="00C449BA"/>
    <w:rsid w:val="00C44A4D"/>
    <w:rsid w:val="00C44B63"/>
    <w:rsid w:val="00C44DB9"/>
    <w:rsid w:val="00C44E3E"/>
    <w:rsid w:val="00C44F5A"/>
    <w:rsid w:val="00C44FE2"/>
    <w:rsid w:val="00C45288"/>
    <w:rsid w:val="00C454E5"/>
    <w:rsid w:val="00C458B5"/>
    <w:rsid w:val="00C45BEB"/>
    <w:rsid w:val="00C45D02"/>
    <w:rsid w:val="00C45DA5"/>
    <w:rsid w:val="00C45E21"/>
    <w:rsid w:val="00C45E7F"/>
    <w:rsid w:val="00C4611B"/>
    <w:rsid w:val="00C46535"/>
    <w:rsid w:val="00C46733"/>
    <w:rsid w:val="00C467E0"/>
    <w:rsid w:val="00C467FD"/>
    <w:rsid w:val="00C46CBC"/>
    <w:rsid w:val="00C470CA"/>
    <w:rsid w:val="00C473CF"/>
    <w:rsid w:val="00C4747D"/>
    <w:rsid w:val="00C475AA"/>
    <w:rsid w:val="00C477A7"/>
    <w:rsid w:val="00C47828"/>
    <w:rsid w:val="00C47C38"/>
    <w:rsid w:val="00C50292"/>
    <w:rsid w:val="00C50301"/>
    <w:rsid w:val="00C503E3"/>
    <w:rsid w:val="00C50488"/>
    <w:rsid w:val="00C50503"/>
    <w:rsid w:val="00C505AC"/>
    <w:rsid w:val="00C507AE"/>
    <w:rsid w:val="00C507EC"/>
    <w:rsid w:val="00C50D5F"/>
    <w:rsid w:val="00C50DA5"/>
    <w:rsid w:val="00C50DCE"/>
    <w:rsid w:val="00C51205"/>
    <w:rsid w:val="00C5124C"/>
    <w:rsid w:val="00C5163F"/>
    <w:rsid w:val="00C51807"/>
    <w:rsid w:val="00C51A30"/>
    <w:rsid w:val="00C51FD9"/>
    <w:rsid w:val="00C51FFF"/>
    <w:rsid w:val="00C52342"/>
    <w:rsid w:val="00C52467"/>
    <w:rsid w:val="00C52477"/>
    <w:rsid w:val="00C5271F"/>
    <w:rsid w:val="00C527C7"/>
    <w:rsid w:val="00C52ED5"/>
    <w:rsid w:val="00C52FAD"/>
    <w:rsid w:val="00C530CB"/>
    <w:rsid w:val="00C5332C"/>
    <w:rsid w:val="00C536A9"/>
    <w:rsid w:val="00C536E2"/>
    <w:rsid w:val="00C5375F"/>
    <w:rsid w:val="00C537C7"/>
    <w:rsid w:val="00C53A39"/>
    <w:rsid w:val="00C53A75"/>
    <w:rsid w:val="00C53B1A"/>
    <w:rsid w:val="00C53C98"/>
    <w:rsid w:val="00C53D0D"/>
    <w:rsid w:val="00C53E1C"/>
    <w:rsid w:val="00C53F8B"/>
    <w:rsid w:val="00C53FF8"/>
    <w:rsid w:val="00C540EE"/>
    <w:rsid w:val="00C540FB"/>
    <w:rsid w:val="00C547EA"/>
    <w:rsid w:val="00C5484C"/>
    <w:rsid w:val="00C54977"/>
    <w:rsid w:val="00C54BB0"/>
    <w:rsid w:val="00C54D64"/>
    <w:rsid w:val="00C54EB4"/>
    <w:rsid w:val="00C551F7"/>
    <w:rsid w:val="00C553F6"/>
    <w:rsid w:val="00C55567"/>
    <w:rsid w:val="00C5577C"/>
    <w:rsid w:val="00C558E4"/>
    <w:rsid w:val="00C559DB"/>
    <w:rsid w:val="00C55C28"/>
    <w:rsid w:val="00C55D20"/>
    <w:rsid w:val="00C55D21"/>
    <w:rsid w:val="00C56407"/>
    <w:rsid w:val="00C565EC"/>
    <w:rsid w:val="00C56729"/>
    <w:rsid w:val="00C56B7F"/>
    <w:rsid w:val="00C56BB7"/>
    <w:rsid w:val="00C56C39"/>
    <w:rsid w:val="00C56C81"/>
    <w:rsid w:val="00C56CC0"/>
    <w:rsid w:val="00C56E70"/>
    <w:rsid w:val="00C56FB0"/>
    <w:rsid w:val="00C56FC8"/>
    <w:rsid w:val="00C56FCF"/>
    <w:rsid w:val="00C5711F"/>
    <w:rsid w:val="00C57143"/>
    <w:rsid w:val="00C5714E"/>
    <w:rsid w:val="00C572F6"/>
    <w:rsid w:val="00C57344"/>
    <w:rsid w:val="00C57460"/>
    <w:rsid w:val="00C57618"/>
    <w:rsid w:val="00C57800"/>
    <w:rsid w:val="00C578A5"/>
    <w:rsid w:val="00C578BF"/>
    <w:rsid w:val="00C57902"/>
    <w:rsid w:val="00C57AF8"/>
    <w:rsid w:val="00C57B3D"/>
    <w:rsid w:val="00C57B6C"/>
    <w:rsid w:val="00C57BD0"/>
    <w:rsid w:val="00C60127"/>
    <w:rsid w:val="00C602AE"/>
    <w:rsid w:val="00C603AF"/>
    <w:rsid w:val="00C6041D"/>
    <w:rsid w:val="00C6043F"/>
    <w:rsid w:val="00C6044B"/>
    <w:rsid w:val="00C604E4"/>
    <w:rsid w:val="00C607D3"/>
    <w:rsid w:val="00C6108E"/>
    <w:rsid w:val="00C61246"/>
    <w:rsid w:val="00C61401"/>
    <w:rsid w:val="00C6186A"/>
    <w:rsid w:val="00C618A6"/>
    <w:rsid w:val="00C618D1"/>
    <w:rsid w:val="00C61A2E"/>
    <w:rsid w:val="00C61A59"/>
    <w:rsid w:val="00C61ACB"/>
    <w:rsid w:val="00C61CE7"/>
    <w:rsid w:val="00C61D7A"/>
    <w:rsid w:val="00C61EFE"/>
    <w:rsid w:val="00C62001"/>
    <w:rsid w:val="00C62438"/>
    <w:rsid w:val="00C624FD"/>
    <w:rsid w:val="00C628A6"/>
    <w:rsid w:val="00C6292E"/>
    <w:rsid w:val="00C62A3E"/>
    <w:rsid w:val="00C62AC5"/>
    <w:rsid w:val="00C62BD5"/>
    <w:rsid w:val="00C62C6B"/>
    <w:rsid w:val="00C62C9B"/>
    <w:rsid w:val="00C62DC1"/>
    <w:rsid w:val="00C62EBB"/>
    <w:rsid w:val="00C62FB3"/>
    <w:rsid w:val="00C63078"/>
    <w:rsid w:val="00C633B5"/>
    <w:rsid w:val="00C6347F"/>
    <w:rsid w:val="00C6349B"/>
    <w:rsid w:val="00C6361B"/>
    <w:rsid w:val="00C63754"/>
    <w:rsid w:val="00C63915"/>
    <w:rsid w:val="00C63A4E"/>
    <w:rsid w:val="00C63B49"/>
    <w:rsid w:val="00C63E49"/>
    <w:rsid w:val="00C642C3"/>
    <w:rsid w:val="00C64344"/>
    <w:rsid w:val="00C6436B"/>
    <w:rsid w:val="00C64450"/>
    <w:rsid w:val="00C64483"/>
    <w:rsid w:val="00C646D5"/>
    <w:rsid w:val="00C6484D"/>
    <w:rsid w:val="00C64B66"/>
    <w:rsid w:val="00C64F50"/>
    <w:rsid w:val="00C65108"/>
    <w:rsid w:val="00C65131"/>
    <w:rsid w:val="00C651EA"/>
    <w:rsid w:val="00C652DF"/>
    <w:rsid w:val="00C65314"/>
    <w:rsid w:val="00C653E5"/>
    <w:rsid w:val="00C65490"/>
    <w:rsid w:val="00C65534"/>
    <w:rsid w:val="00C65576"/>
    <w:rsid w:val="00C658AB"/>
    <w:rsid w:val="00C658C6"/>
    <w:rsid w:val="00C65927"/>
    <w:rsid w:val="00C65A4F"/>
    <w:rsid w:val="00C65A85"/>
    <w:rsid w:val="00C65C64"/>
    <w:rsid w:val="00C65E5A"/>
    <w:rsid w:val="00C66165"/>
    <w:rsid w:val="00C661CA"/>
    <w:rsid w:val="00C6629C"/>
    <w:rsid w:val="00C664AC"/>
    <w:rsid w:val="00C66650"/>
    <w:rsid w:val="00C6679D"/>
    <w:rsid w:val="00C668AE"/>
    <w:rsid w:val="00C66999"/>
    <w:rsid w:val="00C66A82"/>
    <w:rsid w:val="00C66B22"/>
    <w:rsid w:val="00C66CE0"/>
    <w:rsid w:val="00C66DD5"/>
    <w:rsid w:val="00C671E6"/>
    <w:rsid w:val="00C6728A"/>
    <w:rsid w:val="00C6748F"/>
    <w:rsid w:val="00C675CD"/>
    <w:rsid w:val="00C677D7"/>
    <w:rsid w:val="00C67886"/>
    <w:rsid w:val="00C67BEA"/>
    <w:rsid w:val="00C67CFE"/>
    <w:rsid w:val="00C700B0"/>
    <w:rsid w:val="00C704FF"/>
    <w:rsid w:val="00C7057B"/>
    <w:rsid w:val="00C7060A"/>
    <w:rsid w:val="00C707ED"/>
    <w:rsid w:val="00C7081E"/>
    <w:rsid w:val="00C708FF"/>
    <w:rsid w:val="00C70C9D"/>
    <w:rsid w:val="00C70F54"/>
    <w:rsid w:val="00C7136E"/>
    <w:rsid w:val="00C7151A"/>
    <w:rsid w:val="00C715B6"/>
    <w:rsid w:val="00C717E3"/>
    <w:rsid w:val="00C718A8"/>
    <w:rsid w:val="00C71C42"/>
    <w:rsid w:val="00C71CBA"/>
    <w:rsid w:val="00C71EC2"/>
    <w:rsid w:val="00C71F60"/>
    <w:rsid w:val="00C71FD0"/>
    <w:rsid w:val="00C721D8"/>
    <w:rsid w:val="00C72241"/>
    <w:rsid w:val="00C72315"/>
    <w:rsid w:val="00C72776"/>
    <w:rsid w:val="00C72B4A"/>
    <w:rsid w:val="00C72D79"/>
    <w:rsid w:val="00C730A2"/>
    <w:rsid w:val="00C73139"/>
    <w:rsid w:val="00C73234"/>
    <w:rsid w:val="00C732B8"/>
    <w:rsid w:val="00C732D7"/>
    <w:rsid w:val="00C73794"/>
    <w:rsid w:val="00C739E1"/>
    <w:rsid w:val="00C73A0D"/>
    <w:rsid w:val="00C73AA3"/>
    <w:rsid w:val="00C73B92"/>
    <w:rsid w:val="00C73BF4"/>
    <w:rsid w:val="00C73D49"/>
    <w:rsid w:val="00C73D7C"/>
    <w:rsid w:val="00C7401F"/>
    <w:rsid w:val="00C7412E"/>
    <w:rsid w:val="00C7430A"/>
    <w:rsid w:val="00C743B0"/>
    <w:rsid w:val="00C744E7"/>
    <w:rsid w:val="00C744F8"/>
    <w:rsid w:val="00C74601"/>
    <w:rsid w:val="00C749E0"/>
    <w:rsid w:val="00C74AEE"/>
    <w:rsid w:val="00C74DC3"/>
    <w:rsid w:val="00C74F14"/>
    <w:rsid w:val="00C75084"/>
    <w:rsid w:val="00C750C8"/>
    <w:rsid w:val="00C750D5"/>
    <w:rsid w:val="00C752C8"/>
    <w:rsid w:val="00C7560F"/>
    <w:rsid w:val="00C7595E"/>
    <w:rsid w:val="00C75B15"/>
    <w:rsid w:val="00C75BD5"/>
    <w:rsid w:val="00C75D74"/>
    <w:rsid w:val="00C75E89"/>
    <w:rsid w:val="00C75FDF"/>
    <w:rsid w:val="00C7604F"/>
    <w:rsid w:val="00C76067"/>
    <w:rsid w:val="00C760E0"/>
    <w:rsid w:val="00C761B7"/>
    <w:rsid w:val="00C761EF"/>
    <w:rsid w:val="00C764CD"/>
    <w:rsid w:val="00C766F2"/>
    <w:rsid w:val="00C76B3C"/>
    <w:rsid w:val="00C76C64"/>
    <w:rsid w:val="00C76CC6"/>
    <w:rsid w:val="00C76E27"/>
    <w:rsid w:val="00C76EA0"/>
    <w:rsid w:val="00C76EFD"/>
    <w:rsid w:val="00C76F19"/>
    <w:rsid w:val="00C770C2"/>
    <w:rsid w:val="00C771A9"/>
    <w:rsid w:val="00C771EE"/>
    <w:rsid w:val="00C77208"/>
    <w:rsid w:val="00C77271"/>
    <w:rsid w:val="00C77402"/>
    <w:rsid w:val="00C77510"/>
    <w:rsid w:val="00C77647"/>
    <w:rsid w:val="00C776C8"/>
    <w:rsid w:val="00C7799A"/>
    <w:rsid w:val="00C77B20"/>
    <w:rsid w:val="00C77B3C"/>
    <w:rsid w:val="00C77F45"/>
    <w:rsid w:val="00C77F7E"/>
    <w:rsid w:val="00C806B1"/>
    <w:rsid w:val="00C807AD"/>
    <w:rsid w:val="00C8095E"/>
    <w:rsid w:val="00C80A0E"/>
    <w:rsid w:val="00C80A62"/>
    <w:rsid w:val="00C80BE3"/>
    <w:rsid w:val="00C80C01"/>
    <w:rsid w:val="00C80DF2"/>
    <w:rsid w:val="00C81066"/>
    <w:rsid w:val="00C8137C"/>
    <w:rsid w:val="00C813BA"/>
    <w:rsid w:val="00C81489"/>
    <w:rsid w:val="00C814FE"/>
    <w:rsid w:val="00C81767"/>
    <w:rsid w:val="00C81AC5"/>
    <w:rsid w:val="00C81ACC"/>
    <w:rsid w:val="00C81C25"/>
    <w:rsid w:val="00C81FAA"/>
    <w:rsid w:val="00C8213F"/>
    <w:rsid w:val="00C82223"/>
    <w:rsid w:val="00C8223A"/>
    <w:rsid w:val="00C823F8"/>
    <w:rsid w:val="00C82A0A"/>
    <w:rsid w:val="00C82B0D"/>
    <w:rsid w:val="00C8303F"/>
    <w:rsid w:val="00C830CF"/>
    <w:rsid w:val="00C83281"/>
    <w:rsid w:val="00C833E5"/>
    <w:rsid w:val="00C834C6"/>
    <w:rsid w:val="00C835D8"/>
    <w:rsid w:val="00C8375E"/>
    <w:rsid w:val="00C837A3"/>
    <w:rsid w:val="00C839E2"/>
    <w:rsid w:val="00C83AC6"/>
    <w:rsid w:val="00C83CA5"/>
    <w:rsid w:val="00C83D0B"/>
    <w:rsid w:val="00C83DB9"/>
    <w:rsid w:val="00C83E82"/>
    <w:rsid w:val="00C83E9C"/>
    <w:rsid w:val="00C83F23"/>
    <w:rsid w:val="00C83FA1"/>
    <w:rsid w:val="00C83FAA"/>
    <w:rsid w:val="00C83FD6"/>
    <w:rsid w:val="00C840AA"/>
    <w:rsid w:val="00C842C6"/>
    <w:rsid w:val="00C842EE"/>
    <w:rsid w:val="00C84314"/>
    <w:rsid w:val="00C84361"/>
    <w:rsid w:val="00C84445"/>
    <w:rsid w:val="00C84583"/>
    <w:rsid w:val="00C84718"/>
    <w:rsid w:val="00C84732"/>
    <w:rsid w:val="00C848A3"/>
    <w:rsid w:val="00C84CEE"/>
    <w:rsid w:val="00C84E39"/>
    <w:rsid w:val="00C84E70"/>
    <w:rsid w:val="00C84E77"/>
    <w:rsid w:val="00C84F2F"/>
    <w:rsid w:val="00C85154"/>
    <w:rsid w:val="00C8523F"/>
    <w:rsid w:val="00C85263"/>
    <w:rsid w:val="00C857F1"/>
    <w:rsid w:val="00C85812"/>
    <w:rsid w:val="00C8584D"/>
    <w:rsid w:val="00C85A70"/>
    <w:rsid w:val="00C85B06"/>
    <w:rsid w:val="00C85E0A"/>
    <w:rsid w:val="00C85E7F"/>
    <w:rsid w:val="00C86162"/>
    <w:rsid w:val="00C8634B"/>
    <w:rsid w:val="00C86420"/>
    <w:rsid w:val="00C864B1"/>
    <w:rsid w:val="00C864B8"/>
    <w:rsid w:val="00C865FB"/>
    <w:rsid w:val="00C86702"/>
    <w:rsid w:val="00C867FF"/>
    <w:rsid w:val="00C86816"/>
    <w:rsid w:val="00C86935"/>
    <w:rsid w:val="00C86BC2"/>
    <w:rsid w:val="00C86D9C"/>
    <w:rsid w:val="00C86FB6"/>
    <w:rsid w:val="00C86FEA"/>
    <w:rsid w:val="00C86FFE"/>
    <w:rsid w:val="00C87052"/>
    <w:rsid w:val="00C874AC"/>
    <w:rsid w:val="00C87571"/>
    <w:rsid w:val="00C87673"/>
    <w:rsid w:val="00C8797A"/>
    <w:rsid w:val="00C879B2"/>
    <w:rsid w:val="00C87A77"/>
    <w:rsid w:val="00C87AB2"/>
    <w:rsid w:val="00C87B1C"/>
    <w:rsid w:val="00C87D35"/>
    <w:rsid w:val="00C87DBA"/>
    <w:rsid w:val="00C87E22"/>
    <w:rsid w:val="00C87E30"/>
    <w:rsid w:val="00C87F33"/>
    <w:rsid w:val="00C9004C"/>
    <w:rsid w:val="00C900B8"/>
    <w:rsid w:val="00C90197"/>
    <w:rsid w:val="00C9045E"/>
    <w:rsid w:val="00C904EF"/>
    <w:rsid w:val="00C9077D"/>
    <w:rsid w:val="00C90C71"/>
    <w:rsid w:val="00C90F71"/>
    <w:rsid w:val="00C91042"/>
    <w:rsid w:val="00C910E1"/>
    <w:rsid w:val="00C91584"/>
    <w:rsid w:val="00C915CE"/>
    <w:rsid w:val="00C91788"/>
    <w:rsid w:val="00C917AE"/>
    <w:rsid w:val="00C918A0"/>
    <w:rsid w:val="00C91946"/>
    <w:rsid w:val="00C9196A"/>
    <w:rsid w:val="00C91B3D"/>
    <w:rsid w:val="00C91D15"/>
    <w:rsid w:val="00C91F0A"/>
    <w:rsid w:val="00C91F15"/>
    <w:rsid w:val="00C91F3B"/>
    <w:rsid w:val="00C91FD1"/>
    <w:rsid w:val="00C9205C"/>
    <w:rsid w:val="00C922E8"/>
    <w:rsid w:val="00C9234C"/>
    <w:rsid w:val="00C92768"/>
    <w:rsid w:val="00C92D2A"/>
    <w:rsid w:val="00C931CF"/>
    <w:rsid w:val="00C93816"/>
    <w:rsid w:val="00C938CF"/>
    <w:rsid w:val="00C94053"/>
    <w:rsid w:val="00C940B5"/>
    <w:rsid w:val="00C944C0"/>
    <w:rsid w:val="00C94542"/>
    <w:rsid w:val="00C9455E"/>
    <w:rsid w:val="00C94687"/>
    <w:rsid w:val="00C947A2"/>
    <w:rsid w:val="00C94B35"/>
    <w:rsid w:val="00C94BD9"/>
    <w:rsid w:val="00C94C1E"/>
    <w:rsid w:val="00C94C24"/>
    <w:rsid w:val="00C94DC4"/>
    <w:rsid w:val="00C94FF8"/>
    <w:rsid w:val="00C951F3"/>
    <w:rsid w:val="00C9524A"/>
    <w:rsid w:val="00C954A4"/>
    <w:rsid w:val="00C955D1"/>
    <w:rsid w:val="00C95B79"/>
    <w:rsid w:val="00C95C09"/>
    <w:rsid w:val="00C95CC9"/>
    <w:rsid w:val="00C95F76"/>
    <w:rsid w:val="00C96072"/>
    <w:rsid w:val="00C960D1"/>
    <w:rsid w:val="00C96104"/>
    <w:rsid w:val="00C9624D"/>
    <w:rsid w:val="00C9626F"/>
    <w:rsid w:val="00C96374"/>
    <w:rsid w:val="00C9655E"/>
    <w:rsid w:val="00C965BF"/>
    <w:rsid w:val="00C9661F"/>
    <w:rsid w:val="00C96859"/>
    <w:rsid w:val="00C969DA"/>
    <w:rsid w:val="00C96A4C"/>
    <w:rsid w:val="00C96BDB"/>
    <w:rsid w:val="00C96F85"/>
    <w:rsid w:val="00C974ED"/>
    <w:rsid w:val="00C975CB"/>
    <w:rsid w:val="00C9764E"/>
    <w:rsid w:val="00C976D7"/>
    <w:rsid w:val="00C9789F"/>
    <w:rsid w:val="00C978AB"/>
    <w:rsid w:val="00C97ADE"/>
    <w:rsid w:val="00C97CF2"/>
    <w:rsid w:val="00C97D66"/>
    <w:rsid w:val="00C97EE4"/>
    <w:rsid w:val="00C97F6D"/>
    <w:rsid w:val="00CA0094"/>
    <w:rsid w:val="00CA0347"/>
    <w:rsid w:val="00CA053C"/>
    <w:rsid w:val="00CA0A92"/>
    <w:rsid w:val="00CA0D4F"/>
    <w:rsid w:val="00CA0D5D"/>
    <w:rsid w:val="00CA10EC"/>
    <w:rsid w:val="00CA11AB"/>
    <w:rsid w:val="00CA1424"/>
    <w:rsid w:val="00CA1512"/>
    <w:rsid w:val="00CA1697"/>
    <w:rsid w:val="00CA18B4"/>
    <w:rsid w:val="00CA1BBA"/>
    <w:rsid w:val="00CA1CBC"/>
    <w:rsid w:val="00CA1D57"/>
    <w:rsid w:val="00CA20AF"/>
    <w:rsid w:val="00CA20EC"/>
    <w:rsid w:val="00CA2187"/>
    <w:rsid w:val="00CA247A"/>
    <w:rsid w:val="00CA25C9"/>
    <w:rsid w:val="00CA2760"/>
    <w:rsid w:val="00CA2863"/>
    <w:rsid w:val="00CA2C77"/>
    <w:rsid w:val="00CA2C82"/>
    <w:rsid w:val="00CA2FB2"/>
    <w:rsid w:val="00CA3234"/>
    <w:rsid w:val="00CA34B6"/>
    <w:rsid w:val="00CA34B7"/>
    <w:rsid w:val="00CA34F1"/>
    <w:rsid w:val="00CA3B7A"/>
    <w:rsid w:val="00CA3B9E"/>
    <w:rsid w:val="00CA3EAF"/>
    <w:rsid w:val="00CA43BD"/>
    <w:rsid w:val="00CA444F"/>
    <w:rsid w:val="00CA4451"/>
    <w:rsid w:val="00CA4735"/>
    <w:rsid w:val="00CA4831"/>
    <w:rsid w:val="00CA4AF9"/>
    <w:rsid w:val="00CA4B60"/>
    <w:rsid w:val="00CA4C4A"/>
    <w:rsid w:val="00CA4C4C"/>
    <w:rsid w:val="00CA4D48"/>
    <w:rsid w:val="00CA510E"/>
    <w:rsid w:val="00CA5245"/>
    <w:rsid w:val="00CA575C"/>
    <w:rsid w:val="00CA580A"/>
    <w:rsid w:val="00CA5862"/>
    <w:rsid w:val="00CA5A09"/>
    <w:rsid w:val="00CA5BC1"/>
    <w:rsid w:val="00CA5D75"/>
    <w:rsid w:val="00CA600E"/>
    <w:rsid w:val="00CA6FB3"/>
    <w:rsid w:val="00CA7034"/>
    <w:rsid w:val="00CA7053"/>
    <w:rsid w:val="00CA71F4"/>
    <w:rsid w:val="00CA7288"/>
    <w:rsid w:val="00CA7385"/>
    <w:rsid w:val="00CA7434"/>
    <w:rsid w:val="00CA76B0"/>
    <w:rsid w:val="00CA7798"/>
    <w:rsid w:val="00CA7B09"/>
    <w:rsid w:val="00CA7B2D"/>
    <w:rsid w:val="00CA7DF7"/>
    <w:rsid w:val="00CA7FE4"/>
    <w:rsid w:val="00CB001C"/>
    <w:rsid w:val="00CB00B1"/>
    <w:rsid w:val="00CB0225"/>
    <w:rsid w:val="00CB0229"/>
    <w:rsid w:val="00CB0407"/>
    <w:rsid w:val="00CB043D"/>
    <w:rsid w:val="00CB073E"/>
    <w:rsid w:val="00CB084F"/>
    <w:rsid w:val="00CB0E06"/>
    <w:rsid w:val="00CB1045"/>
    <w:rsid w:val="00CB12A5"/>
    <w:rsid w:val="00CB1482"/>
    <w:rsid w:val="00CB15E5"/>
    <w:rsid w:val="00CB1638"/>
    <w:rsid w:val="00CB1657"/>
    <w:rsid w:val="00CB17FF"/>
    <w:rsid w:val="00CB19C9"/>
    <w:rsid w:val="00CB1A01"/>
    <w:rsid w:val="00CB1B3A"/>
    <w:rsid w:val="00CB1CAC"/>
    <w:rsid w:val="00CB1D16"/>
    <w:rsid w:val="00CB1D62"/>
    <w:rsid w:val="00CB1DFE"/>
    <w:rsid w:val="00CB1EA7"/>
    <w:rsid w:val="00CB1EB0"/>
    <w:rsid w:val="00CB1F26"/>
    <w:rsid w:val="00CB1F7C"/>
    <w:rsid w:val="00CB20B1"/>
    <w:rsid w:val="00CB20CB"/>
    <w:rsid w:val="00CB20D5"/>
    <w:rsid w:val="00CB20F6"/>
    <w:rsid w:val="00CB24E3"/>
    <w:rsid w:val="00CB253B"/>
    <w:rsid w:val="00CB2573"/>
    <w:rsid w:val="00CB26A8"/>
    <w:rsid w:val="00CB2834"/>
    <w:rsid w:val="00CB2B1E"/>
    <w:rsid w:val="00CB2D74"/>
    <w:rsid w:val="00CB2DB0"/>
    <w:rsid w:val="00CB2E4E"/>
    <w:rsid w:val="00CB2EF3"/>
    <w:rsid w:val="00CB2F2A"/>
    <w:rsid w:val="00CB2FDA"/>
    <w:rsid w:val="00CB34BE"/>
    <w:rsid w:val="00CB3602"/>
    <w:rsid w:val="00CB37A7"/>
    <w:rsid w:val="00CB39AC"/>
    <w:rsid w:val="00CB3C63"/>
    <w:rsid w:val="00CB3CF7"/>
    <w:rsid w:val="00CB3FBF"/>
    <w:rsid w:val="00CB4217"/>
    <w:rsid w:val="00CB4288"/>
    <w:rsid w:val="00CB434B"/>
    <w:rsid w:val="00CB44D5"/>
    <w:rsid w:val="00CB44F0"/>
    <w:rsid w:val="00CB4699"/>
    <w:rsid w:val="00CB4770"/>
    <w:rsid w:val="00CB4C4E"/>
    <w:rsid w:val="00CB4D6B"/>
    <w:rsid w:val="00CB4E59"/>
    <w:rsid w:val="00CB4F48"/>
    <w:rsid w:val="00CB4FC4"/>
    <w:rsid w:val="00CB542E"/>
    <w:rsid w:val="00CB55A0"/>
    <w:rsid w:val="00CB562D"/>
    <w:rsid w:val="00CB57A2"/>
    <w:rsid w:val="00CB5B1A"/>
    <w:rsid w:val="00CB5D7A"/>
    <w:rsid w:val="00CB5DE5"/>
    <w:rsid w:val="00CB5EC9"/>
    <w:rsid w:val="00CB6137"/>
    <w:rsid w:val="00CB62D8"/>
    <w:rsid w:val="00CB63F4"/>
    <w:rsid w:val="00CB65B5"/>
    <w:rsid w:val="00CB663F"/>
    <w:rsid w:val="00CB679E"/>
    <w:rsid w:val="00CB6B22"/>
    <w:rsid w:val="00CB6C9A"/>
    <w:rsid w:val="00CB6CA3"/>
    <w:rsid w:val="00CB6D84"/>
    <w:rsid w:val="00CB6DEB"/>
    <w:rsid w:val="00CB6F93"/>
    <w:rsid w:val="00CB7053"/>
    <w:rsid w:val="00CB7084"/>
    <w:rsid w:val="00CB7102"/>
    <w:rsid w:val="00CB71AE"/>
    <w:rsid w:val="00CB729A"/>
    <w:rsid w:val="00CB7300"/>
    <w:rsid w:val="00CB75EE"/>
    <w:rsid w:val="00CB787B"/>
    <w:rsid w:val="00CB7932"/>
    <w:rsid w:val="00CB7CE8"/>
    <w:rsid w:val="00CB7F5F"/>
    <w:rsid w:val="00CC040E"/>
    <w:rsid w:val="00CC0723"/>
    <w:rsid w:val="00CC08A3"/>
    <w:rsid w:val="00CC0A50"/>
    <w:rsid w:val="00CC0B97"/>
    <w:rsid w:val="00CC0C79"/>
    <w:rsid w:val="00CC0C7B"/>
    <w:rsid w:val="00CC0EDC"/>
    <w:rsid w:val="00CC14D7"/>
    <w:rsid w:val="00CC14E4"/>
    <w:rsid w:val="00CC16B0"/>
    <w:rsid w:val="00CC1769"/>
    <w:rsid w:val="00CC1A1E"/>
    <w:rsid w:val="00CC1B39"/>
    <w:rsid w:val="00CC1BFA"/>
    <w:rsid w:val="00CC1C2B"/>
    <w:rsid w:val="00CC1C76"/>
    <w:rsid w:val="00CC1DF7"/>
    <w:rsid w:val="00CC1EF5"/>
    <w:rsid w:val="00CC1F1E"/>
    <w:rsid w:val="00CC201B"/>
    <w:rsid w:val="00CC232D"/>
    <w:rsid w:val="00CC2403"/>
    <w:rsid w:val="00CC26E1"/>
    <w:rsid w:val="00CC26F4"/>
    <w:rsid w:val="00CC2B17"/>
    <w:rsid w:val="00CC2D73"/>
    <w:rsid w:val="00CC2E32"/>
    <w:rsid w:val="00CC2E9F"/>
    <w:rsid w:val="00CC2EA5"/>
    <w:rsid w:val="00CC3020"/>
    <w:rsid w:val="00CC35EA"/>
    <w:rsid w:val="00CC372F"/>
    <w:rsid w:val="00CC381C"/>
    <w:rsid w:val="00CC3848"/>
    <w:rsid w:val="00CC396D"/>
    <w:rsid w:val="00CC3B9B"/>
    <w:rsid w:val="00CC3C5F"/>
    <w:rsid w:val="00CC418F"/>
    <w:rsid w:val="00CC439E"/>
    <w:rsid w:val="00CC4602"/>
    <w:rsid w:val="00CC4693"/>
    <w:rsid w:val="00CC4718"/>
    <w:rsid w:val="00CC4725"/>
    <w:rsid w:val="00CC4A23"/>
    <w:rsid w:val="00CC4AF5"/>
    <w:rsid w:val="00CC4B83"/>
    <w:rsid w:val="00CC4BCF"/>
    <w:rsid w:val="00CC4BD0"/>
    <w:rsid w:val="00CC4D3E"/>
    <w:rsid w:val="00CC4DDD"/>
    <w:rsid w:val="00CC4F76"/>
    <w:rsid w:val="00CC5040"/>
    <w:rsid w:val="00CC5073"/>
    <w:rsid w:val="00CC507D"/>
    <w:rsid w:val="00CC5393"/>
    <w:rsid w:val="00CC56A1"/>
    <w:rsid w:val="00CC572E"/>
    <w:rsid w:val="00CC5772"/>
    <w:rsid w:val="00CC5794"/>
    <w:rsid w:val="00CC5979"/>
    <w:rsid w:val="00CC59BD"/>
    <w:rsid w:val="00CC5AE6"/>
    <w:rsid w:val="00CC5B27"/>
    <w:rsid w:val="00CC5BFC"/>
    <w:rsid w:val="00CC5D22"/>
    <w:rsid w:val="00CC5E2A"/>
    <w:rsid w:val="00CC5F81"/>
    <w:rsid w:val="00CC60C8"/>
    <w:rsid w:val="00CC618A"/>
    <w:rsid w:val="00CC6257"/>
    <w:rsid w:val="00CC62EF"/>
    <w:rsid w:val="00CC6344"/>
    <w:rsid w:val="00CC66F4"/>
    <w:rsid w:val="00CC6709"/>
    <w:rsid w:val="00CC6745"/>
    <w:rsid w:val="00CC67C3"/>
    <w:rsid w:val="00CC6960"/>
    <w:rsid w:val="00CC6A5E"/>
    <w:rsid w:val="00CC6D5E"/>
    <w:rsid w:val="00CC70F3"/>
    <w:rsid w:val="00CC712B"/>
    <w:rsid w:val="00CC715A"/>
    <w:rsid w:val="00CC72DA"/>
    <w:rsid w:val="00CC7B93"/>
    <w:rsid w:val="00CC7C9E"/>
    <w:rsid w:val="00CD01BE"/>
    <w:rsid w:val="00CD0200"/>
    <w:rsid w:val="00CD02C2"/>
    <w:rsid w:val="00CD03BB"/>
    <w:rsid w:val="00CD0475"/>
    <w:rsid w:val="00CD04CA"/>
    <w:rsid w:val="00CD0817"/>
    <w:rsid w:val="00CD0A47"/>
    <w:rsid w:val="00CD0A6B"/>
    <w:rsid w:val="00CD0EE8"/>
    <w:rsid w:val="00CD1044"/>
    <w:rsid w:val="00CD1124"/>
    <w:rsid w:val="00CD1291"/>
    <w:rsid w:val="00CD1294"/>
    <w:rsid w:val="00CD13CC"/>
    <w:rsid w:val="00CD1465"/>
    <w:rsid w:val="00CD1468"/>
    <w:rsid w:val="00CD14F9"/>
    <w:rsid w:val="00CD1532"/>
    <w:rsid w:val="00CD155E"/>
    <w:rsid w:val="00CD17DC"/>
    <w:rsid w:val="00CD19A4"/>
    <w:rsid w:val="00CD1B6B"/>
    <w:rsid w:val="00CD1DA3"/>
    <w:rsid w:val="00CD1E9A"/>
    <w:rsid w:val="00CD20B5"/>
    <w:rsid w:val="00CD2166"/>
    <w:rsid w:val="00CD221D"/>
    <w:rsid w:val="00CD25FD"/>
    <w:rsid w:val="00CD2CE9"/>
    <w:rsid w:val="00CD2F44"/>
    <w:rsid w:val="00CD2F6E"/>
    <w:rsid w:val="00CD340F"/>
    <w:rsid w:val="00CD3438"/>
    <w:rsid w:val="00CD34EB"/>
    <w:rsid w:val="00CD35F8"/>
    <w:rsid w:val="00CD3821"/>
    <w:rsid w:val="00CD3BC7"/>
    <w:rsid w:val="00CD3CAF"/>
    <w:rsid w:val="00CD3CCE"/>
    <w:rsid w:val="00CD3F70"/>
    <w:rsid w:val="00CD3F77"/>
    <w:rsid w:val="00CD4151"/>
    <w:rsid w:val="00CD42B2"/>
    <w:rsid w:val="00CD4643"/>
    <w:rsid w:val="00CD4BBC"/>
    <w:rsid w:val="00CD4BEE"/>
    <w:rsid w:val="00CD4CC8"/>
    <w:rsid w:val="00CD4E24"/>
    <w:rsid w:val="00CD4E8C"/>
    <w:rsid w:val="00CD512B"/>
    <w:rsid w:val="00CD54B4"/>
    <w:rsid w:val="00CD54FC"/>
    <w:rsid w:val="00CD563D"/>
    <w:rsid w:val="00CD571B"/>
    <w:rsid w:val="00CD576A"/>
    <w:rsid w:val="00CD5984"/>
    <w:rsid w:val="00CD5B90"/>
    <w:rsid w:val="00CD5DB1"/>
    <w:rsid w:val="00CD6606"/>
    <w:rsid w:val="00CD667B"/>
    <w:rsid w:val="00CD68DB"/>
    <w:rsid w:val="00CD6934"/>
    <w:rsid w:val="00CD6ADC"/>
    <w:rsid w:val="00CD70DA"/>
    <w:rsid w:val="00CD70F2"/>
    <w:rsid w:val="00CD716D"/>
    <w:rsid w:val="00CD7193"/>
    <w:rsid w:val="00CD770A"/>
    <w:rsid w:val="00CD7726"/>
    <w:rsid w:val="00CD7773"/>
    <w:rsid w:val="00CD7AC7"/>
    <w:rsid w:val="00CD7B67"/>
    <w:rsid w:val="00CD7BE1"/>
    <w:rsid w:val="00CD7DFD"/>
    <w:rsid w:val="00CE0078"/>
    <w:rsid w:val="00CE0110"/>
    <w:rsid w:val="00CE058A"/>
    <w:rsid w:val="00CE0A7E"/>
    <w:rsid w:val="00CE0B75"/>
    <w:rsid w:val="00CE0BE3"/>
    <w:rsid w:val="00CE0D2C"/>
    <w:rsid w:val="00CE0FAD"/>
    <w:rsid w:val="00CE11CB"/>
    <w:rsid w:val="00CE19BA"/>
    <w:rsid w:val="00CE19F0"/>
    <w:rsid w:val="00CE1B0D"/>
    <w:rsid w:val="00CE1D20"/>
    <w:rsid w:val="00CE1FAD"/>
    <w:rsid w:val="00CE207F"/>
    <w:rsid w:val="00CE20D9"/>
    <w:rsid w:val="00CE210C"/>
    <w:rsid w:val="00CE2353"/>
    <w:rsid w:val="00CE2643"/>
    <w:rsid w:val="00CE26EF"/>
    <w:rsid w:val="00CE278F"/>
    <w:rsid w:val="00CE28AB"/>
    <w:rsid w:val="00CE2922"/>
    <w:rsid w:val="00CE2AB7"/>
    <w:rsid w:val="00CE2BCD"/>
    <w:rsid w:val="00CE2E60"/>
    <w:rsid w:val="00CE2F79"/>
    <w:rsid w:val="00CE30A9"/>
    <w:rsid w:val="00CE3195"/>
    <w:rsid w:val="00CE342D"/>
    <w:rsid w:val="00CE3615"/>
    <w:rsid w:val="00CE3871"/>
    <w:rsid w:val="00CE38C8"/>
    <w:rsid w:val="00CE38D4"/>
    <w:rsid w:val="00CE4313"/>
    <w:rsid w:val="00CE4559"/>
    <w:rsid w:val="00CE45F7"/>
    <w:rsid w:val="00CE49A8"/>
    <w:rsid w:val="00CE4B3A"/>
    <w:rsid w:val="00CE4D36"/>
    <w:rsid w:val="00CE4EA2"/>
    <w:rsid w:val="00CE50D6"/>
    <w:rsid w:val="00CE524E"/>
    <w:rsid w:val="00CE524F"/>
    <w:rsid w:val="00CE5279"/>
    <w:rsid w:val="00CE538B"/>
    <w:rsid w:val="00CE5415"/>
    <w:rsid w:val="00CE5452"/>
    <w:rsid w:val="00CE56E6"/>
    <w:rsid w:val="00CE5711"/>
    <w:rsid w:val="00CE57D5"/>
    <w:rsid w:val="00CE58CC"/>
    <w:rsid w:val="00CE5AF2"/>
    <w:rsid w:val="00CE5B17"/>
    <w:rsid w:val="00CE5B47"/>
    <w:rsid w:val="00CE5D99"/>
    <w:rsid w:val="00CE6007"/>
    <w:rsid w:val="00CE602E"/>
    <w:rsid w:val="00CE61AD"/>
    <w:rsid w:val="00CE6274"/>
    <w:rsid w:val="00CE637F"/>
    <w:rsid w:val="00CE6669"/>
    <w:rsid w:val="00CE66FE"/>
    <w:rsid w:val="00CE67D9"/>
    <w:rsid w:val="00CE68DE"/>
    <w:rsid w:val="00CE6A9A"/>
    <w:rsid w:val="00CE6C78"/>
    <w:rsid w:val="00CE6E5C"/>
    <w:rsid w:val="00CE72D2"/>
    <w:rsid w:val="00CE7404"/>
    <w:rsid w:val="00CE74D2"/>
    <w:rsid w:val="00CE753B"/>
    <w:rsid w:val="00CE7573"/>
    <w:rsid w:val="00CE759D"/>
    <w:rsid w:val="00CE77B6"/>
    <w:rsid w:val="00CE7A3B"/>
    <w:rsid w:val="00CE7DA6"/>
    <w:rsid w:val="00CE7ECC"/>
    <w:rsid w:val="00CE7EE6"/>
    <w:rsid w:val="00CE7FE2"/>
    <w:rsid w:val="00CF0158"/>
    <w:rsid w:val="00CF03A0"/>
    <w:rsid w:val="00CF07FF"/>
    <w:rsid w:val="00CF0AA0"/>
    <w:rsid w:val="00CF0B98"/>
    <w:rsid w:val="00CF0C6A"/>
    <w:rsid w:val="00CF0D80"/>
    <w:rsid w:val="00CF0DF2"/>
    <w:rsid w:val="00CF0E2B"/>
    <w:rsid w:val="00CF0F4B"/>
    <w:rsid w:val="00CF0FEE"/>
    <w:rsid w:val="00CF134F"/>
    <w:rsid w:val="00CF1477"/>
    <w:rsid w:val="00CF1499"/>
    <w:rsid w:val="00CF1548"/>
    <w:rsid w:val="00CF16CC"/>
    <w:rsid w:val="00CF1752"/>
    <w:rsid w:val="00CF188A"/>
    <w:rsid w:val="00CF1C40"/>
    <w:rsid w:val="00CF1F5A"/>
    <w:rsid w:val="00CF206F"/>
    <w:rsid w:val="00CF24C0"/>
    <w:rsid w:val="00CF2866"/>
    <w:rsid w:val="00CF2AC1"/>
    <w:rsid w:val="00CF2B8D"/>
    <w:rsid w:val="00CF2CB0"/>
    <w:rsid w:val="00CF2D41"/>
    <w:rsid w:val="00CF2DA2"/>
    <w:rsid w:val="00CF2F7B"/>
    <w:rsid w:val="00CF31D1"/>
    <w:rsid w:val="00CF32B6"/>
    <w:rsid w:val="00CF3865"/>
    <w:rsid w:val="00CF38A4"/>
    <w:rsid w:val="00CF3A1B"/>
    <w:rsid w:val="00CF3C22"/>
    <w:rsid w:val="00CF3CDC"/>
    <w:rsid w:val="00CF422E"/>
    <w:rsid w:val="00CF4455"/>
    <w:rsid w:val="00CF4471"/>
    <w:rsid w:val="00CF456B"/>
    <w:rsid w:val="00CF4A96"/>
    <w:rsid w:val="00CF4B37"/>
    <w:rsid w:val="00CF4B7F"/>
    <w:rsid w:val="00CF4F3E"/>
    <w:rsid w:val="00CF5401"/>
    <w:rsid w:val="00CF5474"/>
    <w:rsid w:val="00CF58A2"/>
    <w:rsid w:val="00CF5A03"/>
    <w:rsid w:val="00CF5A22"/>
    <w:rsid w:val="00CF5D06"/>
    <w:rsid w:val="00CF5D30"/>
    <w:rsid w:val="00CF5F04"/>
    <w:rsid w:val="00CF61BD"/>
    <w:rsid w:val="00CF69E3"/>
    <w:rsid w:val="00CF6ABC"/>
    <w:rsid w:val="00CF6BB7"/>
    <w:rsid w:val="00CF6C02"/>
    <w:rsid w:val="00CF6C62"/>
    <w:rsid w:val="00CF6CC8"/>
    <w:rsid w:val="00CF6D18"/>
    <w:rsid w:val="00CF6E2A"/>
    <w:rsid w:val="00CF6E78"/>
    <w:rsid w:val="00CF7019"/>
    <w:rsid w:val="00CF7106"/>
    <w:rsid w:val="00CF712A"/>
    <w:rsid w:val="00CF71D9"/>
    <w:rsid w:val="00CF7224"/>
    <w:rsid w:val="00CF7258"/>
    <w:rsid w:val="00CF7262"/>
    <w:rsid w:val="00CF7320"/>
    <w:rsid w:val="00CF7446"/>
    <w:rsid w:val="00CF757B"/>
    <w:rsid w:val="00CF75DC"/>
    <w:rsid w:val="00CF78E4"/>
    <w:rsid w:val="00CF7BB5"/>
    <w:rsid w:val="00CF7BCC"/>
    <w:rsid w:val="00CF7BF5"/>
    <w:rsid w:val="00CF7C73"/>
    <w:rsid w:val="00CF7CA1"/>
    <w:rsid w:val="00CF7EA2"/>
    <w:rsid w:val="00CF7ED0"/>
    <w:rsid w:val="00CF7F4D"/>
    <w:rsid w:val="00CF7F7D"/>
    <w:rsid w:val="00D0005C"/>
    <w:rsid w:val="00D0017F"/>
    <w:rsid w:val="00D003EE"/>
    <w:rsid w:val="00D004B1"/>
    <w:rsid w:val="00D008DC"/>
    <w:rsid w:val="00D008ED"/>
    <w:rsid w:val="00D00B94"/>
    <w:rsid w:val="00D00D9D"/>
    <w:rsid w:val="00D01096"/>
    <w:rsid w:val="00D0117D"/>
    <w:rsid w:val="00D011DC"/>
    <w:rsid w:val="00D01341"/>
    <w:rsid w:val="00D01497"/>
    <w:rsid w:val="00D017F1"/>
    <w:rsid w:val="00D01881"/>
    <w:rsid w:val="00D01BB7"/>
    <w:rsid w:val="00D01CFA"/>
    <w:rsid w:val="00D01EC7"/>
    <w:rsid w:val="00D01F87"/>
    <w:rsid w:val="00D02068"/>
    <w:rsid w:val="00D021B4"/>
    <w:rsid w:val="00D0220E"/>
    <w:rsid w:val="00D02355"/>
    <w:rsid w:val="00D0247F"/>
    <w:rsid w:val="00D024BB"/>
    <w:rsid w:val="00D025C5"/>
    <w:rsid w:val="00D02612"/>
    <w:rsid w:val="00D0262E"/>
    <w:rsid w:val="00D027F2"/>
    <w:rsid w:val="00D02AED"/>
    <w:rsid w:val="00D02B3D"/>
    <w:rsid w:val="00D02C60"/>
    <w:rsid w:val="00D02D36"/>
    <w:rsid w:val="00D02D59"/>
    <w:rsid w:val="00D02DBF"/>
    <w:rsid w:val="00D02E1C"/>
    <w:rsid w:val="00D02E53"/>
    <w:rsid w:val="00D02FCB"/>
    <w:rsid w:val="00D03238"/>
    <w:rsid w:val="00D0340A"/>
    <w:rsid w:val="00D0344F"/>
    <w:rsid w:val="00D03679"/>
    <w:rsid w:val="00D0398E"/>
    <w:rsid w:val="00D03A65"/>
    <w:rsid w:val="00D03DBC"/>
    <w:rsid w:val="00D03F86"/>
    <w:rsid w:val="00D04179"/>
    <w:rsid w:val="00D04202"/>
    <w:rsid w:val="00D04338"/>
    <w:rsid w:val="00D043F0"/>
    <w:rsid w:val="00D0462E"/>
    <w:rsid w:val="00D04665"/>
    <w:rsid w:val="00D046E6"/>
    <w:rsid w:val="00D04721"/>
    <w:rsid w:val="00D047F9"/>
    <w:rsid w:val="00D04889"/>
    <w:rsid w:val="00D04A71"/>
    <w:rsid w:val="00D04B1E"/>
    <w:rsid w:val="00D04B50"/>
    <w:rsid w:val="00D04E7A"/>
    <w:rsid w:val="00D05007"/>
    <w:rsid w:val="00D053B6"/>
    <w:rsid w:val="00D053D4"/>
    <w:rsid w:val="00D055CA"/>
    <w:rsid w:val="00D05635"/>
    <w:rsid w:val="00D057E4"/>
    <w:rsid w:val="00D057FA"/>
    <w:rsid w:val="00D05903"/>
    <w:rsid w:val="00D05A88"/>
    <w:rsid w:val="00D05BE2"/>
    <w:rsid w:val="00D05BFB"/>
    <w:rsid w:val="00D05D0B"/>
    <w:rsid w:val="00D05D8A"/>
    <w:rsid w:val="00D05E3D"/>
    <w:rsid w:val="00D060B2"/>
    <w:rsid w:val="00D06139"/>
    <w:rsid w:val="00D06429"/>
    <w:rsid w:val="00D0652F"/>
    <w:rsid w:val="00D06940"/>
    <w:rsid w:val="00D0696D"/>
    <w:rsid w:val="00D069AA"/>
    <w:rsid w:val="00D06B7A"/>
    <w:rsid w:val="00D06D06"/>
    <w:rsid w:val="00D06E60"/>
    <w:rsid w:val="00D06FD7"/>
    <w:rsid w:val="00D06FE0"/>
    <w:rsid w:val="00D06FF8"/>
    <w:rsid w:val="00D0700F"/>
    <w:rsid w:val="00D0704E"/>
    <w:rsid w:val="00D07116"/>
    <w:rsid w:val="00D0733A"/>
    <w:rsid w:val="00D07455"/>
    <w:rsid w:val="00D075A9"/>
    <w:rsid w:val="00D07634"/>
    <w:rsid w:val="00D0775F"/>
    <w:rsid w:val="00D07A08"/>
    <w:rsid w:val="00D07A68"/>
    <w:rsid w:val="00D07AA0"/>
    <w:rsid w:val="00D07B44"/>
    <w:rsid w:val="00D07D21"/>
    <w:rsid w:val="00D07DEB"/>
    <w:rsid w:val="00D1025B"/>
    <w:rsid w:val="00D1053F"/>
    <w:rsid w:val="00D10680"/>
    <w:rsid w:val="00D107E9"/>
    <w:rsid w:val="00D10816"/>
    <w:rsid w:val="00D108EE"/>
    <w:rsid w:val="00D10964"/>
    <w:rsid w:val="00D10A02"/>
    <w:rsid w:val="00D10AAB"/>
    <w:rsid w:val="00D10ACC"/>
    <w:rsid w:val="00D10AFC"/>
    <w:rsid w:val="00D10BA4"/>
    <w:rsid w:val="00D10C75"/>
    <w:rsid w:val="00D10F0E"/>
    <w:rsid w:val="00D10F90"/>
    <w:rsid w:val="00D110BD"/>
    <w:rsid w:val="00D11111"/>
    <w:rsid w:val="00D1116C"/>
    <w:rsid w:val="00D11517"/>
    <w:rsid w:val="00D116D7"/>
    <w:rsid w:val="00D11A8D"/>
    <w:rsid w:val="00D11CC6"/>
    <w:rsid w:val="00D11DBD"/>
    <w:rsid w:val="00D11F19"/>
    <w:rsid w:val="00D121A6"/>
    <w:rsid w:val="00D125AB"/>
    <w:rsid w:val="00D12932"/>
    <w:rsid w:val="00D13241"/>
    <w:rsid w:val="00D13480"/>
    <w:rsid w:val="00D135C2"/>
    <w:rsid w:val="00D135F2"/>
    <w:rsid w:val="00D13675"/>
    <w:rsid w:val="00D1391C"/>
    <w:rsid w:val="00D139F4"/>
    <w:rsid w:val="00D13C52"/>
    <w:rsid w:val="00D13CD3"/>
    <w:rsid w:val="00D13DCF"/>
    <w:rsid w:val="00D13E35"/>
    <w:rsid w:val="00D14054"/>
    <w:rsid w:val="00D141E1"/>
    <w:rsid w:val="00D14245"/>
    <w:rsid w:val="00D1444A"/>
    <w:rsid w:val="00D144E6"/>
    <w:rsid w:val="00D145A6"/>
    <w:rsid w:val="00D145E8"/>
    <w:rsid w:val="00D148E1"/>
    <w:rsid w:val="00D14B21"/>
    <w:rsid w:val="00D14B7D"/>
    <w:rsid w:val="00D14B83"/>
    <w:rsid w:val="00D14BE2"/>
    <w:rsid w:val="00D14DFF"/>
    <w:rsid w:val="00D14FA3"/>
    <w:rsid w:val="00D151DB"/>
    <w:rsid w:val="00D15225"/>
    <w:rsid w:val="00D15314"/>
    <w:rsid w:val="00D153D8"/>
    <w:rsid w:val="00D154FF"/>
    <w:rsid w:val="00D15631"/>
    <w:rsid w:val="00D158AD"/>
    <w:rsid w:val="00D159FB"/>
    <w:rsid w:val="00D15AE4"/>
    <w:rsid w:val="00D15AF9"/>
    <w:rsid w:val="00D15B48"/>
    <w:rsid w:val="00D15BBD"/>
    <w:rsid w:val="00D15C4C"/>
    <w:rsid w:val="00D15CC5"/>
    <w:rsid w:val="00D15F9E"/>
    <w:rsid w:val="00D16361"/>
    <w:rsid w:val="00D165A9"/>
    <w:rsid w:val="00D16684"/>
    <w:rsid w:val="00D166D5"/>
    <w:rsid w:val="00D169F5"/>
    <w:rsid w:val="00D16E9D"/>
    <w:rsid w:val="00D1706B"/>
    <w:rsid w:val="00D1711E"/>
    <w:rsid w:val="00D1733C"/>
    <w:rsid w:val="00D1783D"/>
    <w:rsid w:val="00D17880"/>
    <w:rsid w:val="00D17982"/>
    <w:rsid w:val="00D17ADA"/>
    <w:rsid w:val="00D17B59"/>
    <w:rsid w:val="00D17D6C"/>
    <w:rsid w:val="00D17E14"/>
    <w:rsid w:val="00D17E6E"/>
    <w:rsid w:val="00D17F53"/>
    <w:rsid w:val="00D2014D"/>
    <w:rsid w:val="00D202A2"/>
    <w:rsid w:val="00D2052C"/>
    <w:rsid w:val="00D208F7"/>
    <w:rsid w:val="00D20A45"/>
    <w:rsid w:val="00D20AF3"/>
    <w:rsid w:val="00D20C2D"/>
    <w:rsid w:val="00D20CA4"/>
    <w:rsid w:val="00D211C6"/>
    <w:rsid w:val="00D21207"/>
    <w:rsid w:val="00D213F8"/>
    <w:rsid w:val="00D21424"/>
    <w:rsid w:val="00D2155B"/>
    <w:rsid w:val="00D2159B"/>
    <w:rsid w:val="00D2188A"/>
    <w:rsid w:val="00D21BBE"/>
    <w:rsid w:val="00D21C6A"/>
    <w:rsid w:val="00D22379"/>
    <w:rsid w:val="00D2271A"/>
    <w:rsid w:val="00D227A9"/>
    <w:rsid w:val="00D22983"/>
    <w:rsid w:val="00D229EB"/>
    <w:rsid w:val="00D22BBA"/>
    <w:rsid w:val="00D22CF0"/>
    <w:rsid w:val="00D22FF4"/>
    <w:rsid w:val="00D23035"/>
    <w:rsid w:val="00D23065"/>
    <w:rsid w:val="00D2315A"/>
    <w:rsid w:val="00D2329D"/>
    <w:rsid w:val="00D235FE"/>
    <w:rsid w:val="00D236DF"/>
    <w:rsid w:val="00D2380C"/>
    <w:rsid w:val="00D23A18"/>
    <w:rsid w:val="00D23AC0"/>
    <w:rsid w:val="00D23BE0"/>
    <w:rsid w:val="00D23D0A"/>
    <w:rsid w:val="00D23D11"/>
    <w:rsid w:val="00D23E58"/>
    <w:rsid w:val="00D23FC4"/>
    <w:rsid w:val="00D24075"/>
    <w:rsid w:val="00D241DF"/>
    <w:rsid w:val="00D243F6"/>
    <w:rsid w:val="00D244B6"/>
    <w:rsid w:val="00D2463F"/>
    <w:rsid w:val="00D24674"/>
    <w:rsid w:val="00D246A8"/>
    <w:rsid w:val="00D2499F"/>
    <w:rsid w:val="00D24C3C"/>
    <w:rsid w:val="00D24C8B"/>
    <w:rsid w:val="00D24D62"/>
    <w:rsid w:val="00D24E01"/>
    <w:rsid w:val="00D24E6E"/>
    <w:rsid w:val="00D24F87"/>
    <w:rsid w:val="00D250E6"/>
    <w:rsid w:val="00D252D4"/>
    <w:rsid w:val="00D2530E"/>
    <w:rsid w:val="00D25351"/>
    <w:rsid w:val="00D2551F"/>
    <w:rsid w:val="00D258C0"/>
    <w:rsid w:val="00D25A99"/>
    <w:rsid w:val="00D25B29"/>
    <w:rsid w:val="00D25B9E"/>
    <w:rsid w:val="00D25D53"/>
    <w:rsid w:val="00D25DAC"/>
    <w:rsid w:val="00D25EE3"/>
    <w:rsid w:val="00D25F7A"/>
    <w:rsid w:val="00D262D9"/>
    <w:rsid w:val="00D2634C"/>
    <w:rsid w:val="00D26364"/>
    <w:rsid w:val="00D26578"/>
    <w:rsid w:val="00D26A21"/>
    <w:rsid w:val="00D26BDC"/>
    <w:rsid w:val="00D26BFD"/>
    <w:rsid w:val="00D26FB7"/>
    <w:rsid w:val="00D27180"/>
    <w:rsid w:val="00D272CC"/>
    <w:rsid w:val="00D2754D"/>
    <w:rsid w:val="00D278AB"/>
    <w:rsid w:val="00D27AA2"/>
    <w:rsid w:val="00D27AC8"/>
    <w:rsid w:val="00D27ADE"/>
    <w:rsid w:val="00D27B27"/>
    <w:rsid w:val="00D27C12"/>
    <w:rsid w:val="00D27E6C"/>
    <w:rsid w:val="00D30073"/>
    <w:rsid w:val="00D303D9"/>
    <w:rsid w:val="00D303F6"/>
    <w:rsid w:val="00D304DB"/>
    <w:rsid w:val="00D3056E"/>
    <w:rsid w:val="00D30669"/>
    <w:rsid w:val="00D30744"/>
    <w:rsid w:val="00D308B4"/>
    <w:rsid w:val="00D309FD"/>
    <w:rsid w:val="00D30BDD"/>
    <w:rsid w:val="00D30D07"/>
    <w:rsid w:val="00D30D5B"/>
    <w:rsid w:val="00D30E10"/>
    <w:rsid w:val="00D30E6D"/>
    <w:rsid w:val="00D30F79"/>
    <w:rsid w:val="00D31244"/>
    <w:rsid w:val="00D312DB"/>
    <w:rsid w:val="00D31347"/>
    <w:rsid w:val="00D313D3"/>
    <w:rsid w:val="00D314BC"/>
    <w:rsid w:val="00D3150B"/>
    <w:rsid w:val="00D3182D"/>
    <w:rsid w:val="00D318F6"/>
    <w:rsid w:val="00D31E20"/>
    <w:rsid w:val="00D322FD"/>
    <w:rsid w:val="00D328A1"/>
    <w:rsid w:val="00D32A39"/>
    <w:rsid w:val="00D32A8C"/>
    <w:rsid w:val="00D32AD6"/>
    <w:rsid w:val="00D32C86"/>
    <w:rsid w:val="00D32C89"/>
    <w:rsid w:val="00D32D1D"/>
    <w:rsid w:val="00D32DC1"/>
    <w:rsid w:val="00D33066"/>
    <w:rsid w:val="00D3312D"/>
    <w:rsid w:val="00D3371F"/>
    <w:rsid w:val="00D33929"/>
    <w:rsid w:val="00D33AB4"/>
    <w:rsid w:val="00D33BE9"/>
    <w:rsid w:val="00D33DF0"/>
    <w:rsid w:val="00D33F93"/>
    <w:rsid w:val="00D344B5"/>
    <w:rsid w:val="00D34775"/>
    <w:rsid w:val="00D34997"/>
    <w:rsid w:val="00D349A5"/>
    <w:rsid w:val="00D34A90"/>
    <w:rsid w:val="00D34BB0"/>
    <w:rsid w:val="00D34ED8"/>
    <w:rsid w:val="00D34F5C"/>
    <w:rsid w:val="00D3539C"/>
    <w:rsid w:val="00D355C3"/>
    <w:rsid w:val="00D35775"/>
    <w:rsid w:val="00D357EE"/>
    <w:rsid w:val="00D357FF"/>
    <w:rsid w:val="00D35804"/>
    <w:rsid w:val="00D3581E"/>
    <w:rsid w:val="00D3597F"/>
    <w:rsid w:val="00D35BEB"/>
    <w:rsid w:val="00D35C80"/>
    <w:rsid w:val="00D35D69"/>
    <w:rsid w:val="00D36011"/>
    <w:rsid w:val="00D363E1"/>
    <w:rsid w:val="00D36E2F"/>
    <w:rsid w:val="00D37191"/>
    <w:rsid w:val="00D37908"/>
    <w:rsid w:val="00D37A81"/>
    <w:rsid w:val="00D37AC2"/>
    <w:rsid w:val="00D37B98"/>
    <w:rsid w:val="00D37C60"/>
    <w:rsid w:val="00D37CC1"/>
    <w:rsid w:val="00D40028"/>
    <w:rsid w:val="00D40084"/>
    <w:rsid w:val="00D400BC"/>
    <w:rsid w:val="00D401B1"/>
    <w:rsid w:val="00D403DB"/>
    <w:rsid w:val="00D40571"/>
    <w:rsid w:val="00D405CC"/>
    <w:rsid w:val="00D40707"/>
    <w:rsid w:val="00D40CE1"/>
    <w:rsid w:val="00D40E73"/>
    <w:rsid w:val="00D41179"/>
    <w:rsid w:val="00D411DB"/>
    <w:rsid w:val="00D41316"/>
    <w:rsid w:val="00D41320"/>
    <w:rsid w:val="00D41421"/>
    <w:rsid w:val="00D4184B"/>
    <w:rsid w:val="00D41942"/>
    <w:rsid w:val="00D41AAE"/>
    <w:rsid w:val="00D41BE3"/>
    <w:rsid w:val="00D41C14"/>
    <w:rsid w:val="00D41D67"/>
    <w:rsid w:val="00D41EF5"/>
    <w:rsid w:val="00D4209E"/>
    <w:rsid w:val="00D42102"/>
    <w:rsid w:val="00D42163"/>
    <w:rsid w:val="00D4225E"/>
    <w:rsid w:val="00D42271"/>
    <w:rsid w:val="00D423B3"/>
    <w:rsid w:val="00D424C7"/>
    <w:rsid w:val="00D42520"/>
    <w:rsid w:val="00D425A5"/>
    <w:rsid w:val="00D426B2"/>
    <w:rsid w:val="00D42796"/>
    <w:rsid w:val="00D427AA"/>
    <w:rsid w:val="00D42A34"/>
    <w:rsid w:val="00D42A48"/>
    <w:rsid w:val="00D42DB3"/>
    <w:rsid w:val="00D4317C"/>
    <w:rsid w:val="00D432AE"/>
    <w:rsid w:val="00D43323"/>
    <w:rsid w:val="00D43397"/>
    <w:rsid w:val="00D43415"/>
    <w:rsid w:val="00D4349B"/>
    <w:rsid w:val="00D43597"/>
    <w:rsid w:val="00D43744"/>
    <w:rsid w:val="00D437A0"/>
    <w:rsid w:val="00D437F2"/>
    <w:rsid w:val="00D43B2A"/>
    <w:rsid w:val="00D43BCF"/>
    <w:rsid w:val="00D43CF1"/>
    <w:rsid w:val="00D43D83"/>
    <w:rsid w:val="00D43D9F"/>
    <w:rsid w:val="00D43E1A"/>
    <w:rsid w:val="00D43FBF"/>
    <w:rsid w:val="00D44057"/>
    <w:rsid w:val="00D4422F"/>
    <w:rsid w:val="00D44313"/>
    <w:rsid w:val="00D44407"/>
    <w:rsid w:val="00D445A5"/>
    <w:rsid w:val="00D4468A"/>
    <w:rsid w:val="00D447C5"/>
    <w:rsid w:val="00D4496E"/>
    <w:rsid w:val="00D449EC"/>
    <w:rsid w:val="00D44B6F"/>
    <w:rsid w:val="00D44C39"/>
    <w:rsid w:val="00D44FCA"/>
    <w:rsid w:val="00D45007"/>
    <w:rsid w:val="00D4507F"/>
    <w:rsid w:val="00D450CA"/>
    <w:rsid w:val="00D45553"/>
    <w:rsid w:val="00D457C6"/>
    <w:rsid w:val="00D457D6"/>
    <w:rsid w:val="00D45871"/>
    <w:rsid w:val="00D45893"/>
    <w:rsid w:val="00D459C4"/>
    <w:rsid w:val="00D459FE"/>
    <w:rsid w:val="00D45C0A"/>
    <w:rsid w:val="00D45C55"/>
    <w:rsid w:val="00D45C7D"/>
    <w:rsid w:val="00D45DF7"/>
    <w:rsid w:val="00D45E1A"/>
    <w:rsid w:val="00D4606F"/>
    <w:rsid w:val="00D46443"/>
    <w:rsid w:val="00D4649C"/>
    <w:rsid w:val="00D46675"/>
    <w:rsid w:val="00D46966"/>
    <w:rsid w:val="00D46B03"/>
    <w:rsid w:val="00D46C31"/>
    <w:rsid w:val="00D46D35"/>
    <w:rsid w:val="00D47132"/>
    <w:rsid w:val="00D47366"/>
    <w:rsid w:val="00D47575"/>
    <w:rsid w:val="00D47B29"/>
    <w:rsid w:val="00D47BAE"/>
    <w:rsid w:val="00D47DBA"/>
    <w:rsid w:val="00D47E1C"/>
    <w:rsid w:val="00D47FC0"/>
    <w:rsid w:val="00D50368"/>
    <w:rsid w:val="00D5040A"/>
    <w:rsid w:val="00D50731"/>
    <w:rsid w:val="00D50A1A"/>
    <w:rsid w:val="00D50A8F"/>
    <w:rsid w:val="00D50C1F"/>
    <w:rsid w:val="00D50C41"/>
    <w:rsid w:val="00D50C6D"/>
    <w:rsid w:val="00D50D29"/>
    <w:rsid w:val="00D50DB2"/>
    <w:rsid w:val="00D50DBA"/>
    <w:rsid w:val="00D50F77"/>
    <w:rsid w:val="00D511A4"/>
    <w:rsid w:val="00D51275"/>
    <w:rsid w:val="00D51323"/>
    <w:rsid w:val="00D51623"/>
    <w:rsid w:val="00D51632"/>
    <w:rsid w:val="00D5178F"/>
    <w:rsid w:val="00D51DAE"/>
    <w:rsid w:val="00D51E1A"/>
    <w:rsid w:val="00D522F9"/>
    <w:rsid w:val="00D5243B"/>
    <w:rsid w:val="00D52447"/>
    <w:rsid w:val="00D5260F"/>
    <w:rsid w:val="00D52691"/>
    <w:rsid w:val="00D526B8"/>
    <w:rsid w:val="00D52B7B"/>
    <w:rsid w:val="00D52D2F"/>
    <w:rsid w:val="00D52F1F"/>
    <w:rsid w:val="00D52FBC"/>
    <w:rsid w:val="00D5321D"/>
    <w:rsid w:val="00D533EC"/>
    <w:rsid w:val="00D53735"/>
    <w:rsid w:val="00D538F3"/>
    <w:rsid w:val="00D53BAB"/>
    <w:rsid w:val="00D540AB"/>
    <w:rsid w:val="00D54342"/>
    <w:rsid w:val="00D543F4"/>
    <w:rsid w:val="00D546D1"/>
    <w:rsid w:val="00D54813"/>
    <w:rsid w:val="00D548DA"/>
    <w:rsid w:val="00D5493A"/>
    <w:rsid w:val="00D54A5B"/>
    <w:rsid w:val="00D54F81"/>
    <w:rsid w:val="00D5529C"/>
    <w:rsid w:val="00D554FF"/>
    <w:rsid w:val="00D55548"/>
    <w:rsid w:val="00D555E5"/>
    <w:rsid w:val="00D55786"/>
    <w:rsid w:val="00D5584A"/>
    <w:rsid w:val="00D55891"/>
    <w:rsid w:val="00D55A46"/>
    <w:rsid w:val="00D55DA9"/>
    <w:rsid w:val="00D55DCD"/>
    <w:rsid w:val="00D55FD7"/>
    <w:rsid w:val="00D562AB"/>
    <w:rsid w:val="00D562D9"/>
    <w:rsid w:val="00D56379"/>
    <w:rsid w:val="00D56921"/>
    <w:rsid w:val="00D56A95"/>
    <w:rsid w:val="00D56E46"/>
    <w:rsid w:val="00D56EBC"/>
    <w:rsid w:val="00D57190"/>
    <w:rsid w:val="00D574C4"/>
    <w:rsid w:val="00D5757A"/>
    <w:rsid w:val="00D57598"/>
    <w:rsid w:val="00D579A3"/>
    <w:rsid w:val="00D57A8A"/>
    <w:rsid w:val="00D57C18"/>
    <w:rsid w:val="00D57EE1"/>
    <w:rsid w:val="00D57EE8"/>
    <w:rsid w:val="00D57F00"/>
    <w:rsid w:val="00D57F70"/>
    <w:rsid w:val="00D60178"/>
    <w:rsid w:val="00D602C3"/>
    <w:rsid w:val="00D6035C"/>
    <w:rsid w:val="00D605BF"/>
    <w:rsid w:val="00D6076E"/>
    <w:rsid w:val="00D607EE"/>
    <w:rsid w:val="00D60858"/>
    <w:rsid w:val="00D609AA"/>
    <w:rsid w:val="00D60AFF"/>
    <w:rsid w:val="00D60D7A"/>
    <w:rsid w:val="00D6121F"/>
    <w:rsid w:val="00D613AC"/>
    <w:rsid w:val="00D61AAE"/>
    <w:rsid w:val="00D61D88"/>
    <w:rsid w:val="00D622AD"/>
    <w:rsid w:val="00D6239A"/>
    <w:rsid w:val="00D623A6"/>
    <w:rsid w:val="00D623CD"/>
    <w:rsid w:val="00D62423"/>
    <w:rsid w:val="00D6243D"/>
    <w:rsid w:val="00D62547"/>
    <w:rsid w:val="00D626FA"/>
    <w:rsid w:val="00D6285B"/>
    <w:rsid w:val="00D6296C"/>
    <w:rsid w:val="00D62C4E"/>
    <w:rsid w:val="00D62CFE"/>
    <w:rsid w:val="00D62D11"/>
    <w:rsid w:val="00D62E75"/>
    <w:rsid w:val="00D62F35"/>
    <w:rsid w:val="00D63631"/>
    <w:rsid w:val="00D638BD"/>
    <w:rsid w:val="00D63D1B"/>
    <w:rsid w:val="00D640DC"/>
    <w:rsid w:val="00D644C5"/>
    <w:rsid w:val="00D646D6"/>
    <w:rsid w:val="00D6478B"/>
    <w:rsid w:val="00D64D1A"/>
    <w:rsid w:val="00D64D4C"/>
    <w:rsid w:val="00D65099"/>
    <w:rsid w:val="00D6526D"/>
    <w:rsid w:val="00D6546D"/>
    <w:rsid w:val="00D654B9"/>
    <w:rsid w:val="00D654CE"/>
    <w:rsid w:val="00D65543"/>
    <w:rsid w:val="00D65C38"/>
    <w:rsid w:val="00D65CC9"/>
    <w:rsid w:val="00D65DF3"/>
    <w:rsid w:val="00D65FD6"/>
    <w:rsid w:val="00D66658"/>
    <w:rsid w:val="00D66878"/>
    <w:rsid w:val="00D669EB"/>
    <w:rsid w:val="00D66E57"/>
    <w:rsid w:val="00D66E59"/>
    <w:rsid w:val="00D672A7"/>
    <w:rsid w:val="00D673A4"/>
    <w:rsid w:val="00D67D75"/>
    <w:rsid w:val="00D67F5C"/>
    <w:rsid w:val="00D70047"/>
    <w:rsid w:val="00D70128"/>
    <w:rsid w:val="00D706F7"/>
    <w:rsid w:val="00D70750"/>
    <w:rsid w:val="00D7079F"/>
    <w:rsid w:val="00D70BBE"/>
    <w:rsid w:val="00D70C7A"/>
    <w:rsid w:val="00D70CE0"/>
    <w:rsid w:val="00D70D66"/>
    <w:rsid w:val="00D70E6B"/>
    <w:rsid w:val="00D70EEA"/>
    <w:rsid w:val="00D70F16"/>
    <w:rsid w:val="00D70FDC"/>
    <w:rsid w:val="00D710B2"/>
    <w:rsid w:val="00D71461"/>
    <w:rsid w:val="00D7167F"/>
    <w:rsid w:val="00D71764"/>
    <w:rsid w:val="00D719D8"/>
    <w:rsid w:val="00D72162"/>
    <w:rsid w:val="00D72371"/>
    <w:rsid w:val="00D7251A"/>
    <w:rsid w:val="00D725C6"/>
    <w:rsid w:val="00D72617"/>
    <w:rsid w:val="00D72B88"/>
    <w:rsid w:val="00D72DFA"/>
    <w:rsid w:val="00D72F57"/>
    <w:rsid w:val="00D7341D"/>
    <w:rsid w:val="00D73B31"/>
    <w:rsid w:val="00D73B84"/>
    <w:rsid w:val="00D73C3D"/>
    <w:rsid w:val="00D73CAF"/>
    <w:rsid w:val="00D73CF9"/>
    <w:rsid w:val="00D73F33"/>
    <w:rsid w:val="00D73FB1"/>
    <w:rsid w:val="00D73FF9"/>
    <w:rsid w:val="00D74135"/>
    <w:rsid w:val="00D7417E"/>
    <w:rsid w:val="00D74203"/>
    <w:rsid w:val="00D743E3"/>
    <w:rsid w:val="00D746A4"/>
    <w:rsid w:val="00D74797"/>
    <w:rsid w:val="00D74940"/>
    <w:rsid w:val="00D749D5"/>
    <w:rsid w:val="00D74C88"/>
    <w:rsid w:val="00D74CA4"/>
    <w:rsid w:val="00D74D6E"/>
    <w:rsid w:val="00D7526C"/>
    <w:rsid w:val="00D75351"/>
    <w:rsid w:val="00D75354"/>
    <w:rsid w:val="00D75796"/>
    <w:rsid w:val="00D757AA"/>
    <w:rsid w:val="00D75ABF"/>
    <w:rsid w:val="00D75B17"/>
    <w:rsid w:val="00D75BC4"/>
    <w:rsid w:val="00D75D52"/>
    <w:rsid w:val="00D75F89"/>
    <w:rsid w:val="00D7608E"/>
    <w:rsid w:val="00D763B2"/>
    <w:rsid w:val="00D7690C"/>
    <w:rsid w:val="00D7693E"/>
    <w:rsid w:val="00D76A44"/>
    <w:rsid w:val="00D76C5B"/>
    <w:rsid w:val="00D76F78"/>
    <w:rsid w:val="00D77303"/>
    <w:rsid w:val="00D776B2"/>
    <w:rsid w:val="00D77AE3"/>
    <w:rsid w:val="00D77B0F"/>
    <w:rsid w:val="00D77B18"/>
    <w:rsid w:val="00D802D7"/>
    <w:rsid w:val="00D80342"/>
    <w:rsid w:val="00D80736"/>
    <w:rsid w:val="00D80A31"/>
    <w:rsid w:val="00D80A48"/>
    <w:rsid w:val="00D80C14"/>
    <w:rsid w:val="00D81379"/>
    <w:rsid w:val="00D814AA"/>
    <w:rsid w:val="00D815EF"/>
    <w:rsid w:val="00D817D4"/>
    <w:rsid w:val="00D817FA"/>
    <w:rsid w:val="00D81949"/>
    <w:rsid w:val="00D81A75"/>
    <w:rsid w:val="00D81BE3"/>
    <w:rsid w:val="00D81BF4"/>
    <w:rsid w:val="00D81D29"/>
    <w:rsid w:val="00D81D48"/>
    <w:rsid w:val="00D81EBD"/>
    <w:rsid w:val="00D81F26"/>
    <w:rsid w:val="00D81F85"/>
    <w:rsid w:val="00D81FA9"/>
    <w:rsid w:val="00D8202C"/>
    <w:rsid w:val="00D82160"/>
    <w:rsid w:val="00D822E2"/>
    <w:rsid w:val="00D825CA"/>
    <w:rsid w:val="00D8265C"/>
    <w:rsid w:val="00D826F6"/>
    <w:rsid w:val="00D828A3"/>
    <w:rsid w:val="00D8293A"/>
    <w:rsid w:val="00D832F0"/>
    <w:rsid w:val="00D834EA"/>
    <w:rsid w:val="00D838F6"/>
    <w:rsid w:val="00D83AEB"/>
    <w:rsid w:val="00D83D0A"/>
    <w:rsid w:val="00D83D33"/>
    <w:rsid w:val="00D83D4F"/>
    <w:rsid w:val="00D83E0A"/>
    <w:rsid w:val="00D83E1C"/>
    <w:rsid w:val="00D8427D"/>
    <w:rsid w:val="00D842BD"/>
    <w:rsid w:val="00D843F2"/>
    <w:rsid w:val="00D84616"/>
    <w:rsid w:val="00D84774"/>
    <w:rsid w:val="00D849F8"/>
    <w:rsid w:val="00D84AC3"/>
    <w:rsid w:val="00D84BB0"/>
    <w:rsid w:val="00D84C9B"/>
    <w:rsid w:val="00D84D38"/>
    <w:rsid w:val="00D84F66"/>
    <w:rsid w:val="00D850D2"/>
    <w:rsid w:val="00D853FC"/>
    <w:rsid w:val="00D859E2"/>
    <w:rsid w:val="00D85A09"/>
    <w:rsid w:val="00D85AEC"/>
    <w:rsid w:val="00D85B75"/>
    <w:rsid w:val="00D85D97"/>
    <w:rsid w:val="00D85FE6"/>
    <w:rsid w:val="00D86231"/>
    <w:rsid w:val="00D8627C"/>
    <w:rsid w:val="00D862F5"/>
    <w:rsid w:val="00D863CA"/>
    <w:rsid w:val="00D86503"/>
    <w:rsid w:val="00D86800"/>
    <w:rsid w:val="00D86867"/>
    <w:rsid w:val="00D868A5"/>
    <w:rsid w:val="00D868CD"/>
    <w:rsid w:val="00D8702F"/>
    <w:rsid w:val="00D87134"/>
    <w:rsid w:val="00D87458"/>
    <w:rsid w:val="00D8755E"/>
    <w:rsid w:val="00D875F3"/>
    <w:rsid w:val="00D87769"/>
    <w:rsid w:val="00D8780C"/>
    <w:rsid w:val="00D87909"/>
    <w:rsid w:val="00D8791C"/>
    <w:rsid w:val="00D879E1"/>
    <w:rsid w:val="00D879F9"/>
    <w:rsid w:val="00D87A7A"/>
    <w:rsid w:val="00D87BA9"/>
    <w:rsid w:val="00D87F80"/>
    <w:rsid w:val="00D9002F"/>
    <w:rsid w:val="00D903A0"/>
    <w:rsid w:val="00D90702"/>
    <w:rsid w:val="00D9070E"/>
    <w:rsid w:val="00D90A27"/>
    <w:rsid w:val="00D90A6C"/>
    <w:rsid w:val="00D90F9B"/>
    <w:rsid w:val="00D9105F"/>
    <w:rsid w:val="00D910FE"/>
    <w:rsid w:val="00D91172"/>
    <w:rsid w:val="00D911FC"/>
    <w:rsid w:val="00D912AB"/>
    <w:rsid w:val="00D9144D"/>
    <w:rsid w:val="00D9168D"/>
    <w:rsid w:val="00D91923"/>
    <w:rsid w:val="00D91C02"/>
    <w:rsid w:val="00D91F43"/>
    <w:rsid w:val="00D921F8"/>
    <w:rsid w:val="00D92227"/>
    <w:rsid w:val="00D926C7"/>
    <w:rsid w:val="00D92785"/>
    <w:rsid w:val="00D92A02"/>
    <w:rsid w:val="00D92BDD"/>
    <w:rsid w:val="00D92D9D"/>
    <w:rsid w:val="00D92F6B"/>
    <w:rsid w:val="00D931A0"/>
    <w:rsid w:val="00D93753"/>
    <w:rsid w:val="00D93947"/>
    <w:rsid w:val="00D93995"/>
    <w:rsid w:val="00D93AA5"/>
    <w:rsid w:val="00D93BED"/>
    <w:rsid w:val="00D93D84"/>
    <w:rsid w:val="00D93E66"/>
    <w:rsid w:val="00D93EFC"/>
    <w:rsid w:val="00D941C8"/>
    <w:rsid w:val="00D944D0"/>
    <w:rsid w:val="00D94631"/>
    <w:rsid w:val="00D946E5"/>
    <w:rsid w:val="00D94706"/>
    <w:rsid w:val="00D94823"/>
    <w:rsid w:val="00D94A77"/>
    <w:rsid w:val="00D94DD0"/>
    <w:rsid w:val="00D94FCA"/>
    <w:rsid w:val="00D952DC"/>
    <w:rsid w:val="00D953AD"/>
    <w:rsid w:val="00D95555"/>
    <w:rsid w:val="00D9587A"/>
    <w:rsid w:val="00D958BD"/>
    <w:rsid w:val="00D959C4"/>
    <w:rsid w:val="00D95AFC"/>
    <w:rsid w:val="00D95C84"/>
    <w:rsid w:val="00D95EDA"/>
    <w:rsid w:val="00D9632E"/>
    <w:rsid w:val="00D966B0"/>
    <w:rsid w:val="00D966C5"/>
    <w:rsid w:val="00D967F0"/>
    <w:rsid w:val="00D967FB"/>
    <w:rsid w:val="00D96DE2"/>
    <w:rsid w:val="00D96F2B"/>
    <w:rsid w:val="00D97060"/>
    <w:rsid w:val="00D97106"/>
    <w:rsid w:val="00D97161"/>
    <w:rsid w:val="00D9779A"/>
    <w:rsid w:val="00D9786A"/>
    <w:rsid w:val="00D97876"/>
    <w:rsid w:val="00D9796D"/>
    <w:rsid w:val="00D97A58"/>
    <w:rsid w:val="00D97E7F"/>
    <w:rsid w:val="00D97EF8"/>
    <w:rsid w:val="00D97F00"/>
    <w:rsid w:val="00DA0077"/>
    <w:rsid w:val="00DA012A"/>
    <w:rsid w:val="00DA01B0"/>
    <w:rsid w:val="00DA02AC"/>
    <w:rsid w:val="00DA02ED"/>
    <w:rsid w:val="00DA0304"/>
    <w:rsid w:val="00DA0419"/>
    <w:rsid w:val="00DA0489"/>
    <w:rsid w:val="00DA048D"/>
    <w:rsid w:val="00DA06F4"/>
    <w:rsid w:val="00DA0984"/>
    <w:rsid w:val="00DA0B2A"/>
    <w:rsid w:val="00DA0F91"/>
    <w:rsid w:val="00DA0FC3"/>
    <w:rsid w:val="00DA13B1"/>
    <w:rsid w:val="00DA1783"/>
    <w:rsid w:val="00DA1D06"/>
    <w:rsid w:val="00DA2200"/>
    <w:rsid w:val="00DA240E"/>
    <w:rsid w:val="00DA2440"/>
    <w:rsid w:val="00DA2608"/>
    <w:rsid w:val="00DA27A2"/>
    <w:rsid w:val="00DA2A5E"/>
    <w:rsid w:val="00DA2B0F"/>
    <w:rsid w:val="00DA2EA6"/>
    <w:rsid w:val="00DA2F2E"/>
    <w:rsid w:val="00DA3167"/>
    <w:rsid w:val="00DA31F3"/>
    <w:rsid w:val="00DA32EE"/>
    <w:rsid w:val="00DA35C7"/>
    <w:rsid w:val="00DA35FA"/>
    <w:rsid w:val="00DA369C"/>
    <w:rsid w:val="00DA3A19"/>
    <w:rsid w:val="00DA3A9F"/>
    <w:rsid w:val="00DA3ABA"/>
    <w:rsid w:val="00DA3EF5"/>
    <w:rsid w:val="00DA3FC3"/>
    <w:rsid w:val="00DA417B"/>
    <w:rsid w:val="00DA420D"/>
    <w:rsid w:val="00DA45BD"/>
    <w:rsid w:val="00DA4818"/>
    <w:rsid w:val="00DA48B6"/>
    <w:rsid w:val="00DA48F3"/>
    <w:rsid w:val="00DA4DC3"/>
    <w:rsid w:val="00DA4E7A"/>
    <w:rsid w:val="00DA4F12"/>
    <w:rsid w:val="00DA4F4F"/>
    <w:rsid w:val="00DA4F87"/>
    <w:rsid w:val="00DA5024"/>
    <w:rsid w:val="00DA5376"/>
    <w:rsid w:val="00DA5451"/>
    <w:rsid w:val="00DA55FD"/>
    <w:rsid w:val="00DA5997"/>
    <w:rsid w:val="00DA5A89"/>
    <w:rsid w:val="00DA5D21"/>
    <w:rsid w:val="00DA5D57"/>
    <w:rsid w:val="00DA60E5"/>
    <w:rsid w:val="00DA612D"/>
    <w:rsid w:val="00DA6176"/>
    <w:rsid w:val="00DA656C"/>
    <w:rsid w:val="00DA66FF"/>
    <w:rsid w:val="00DA689B"/>
    <w:rsid w:val="00DA6919"/>
    <w:rsid w:val="00DA6CB0"/>
    <w:rsid w:val="00DA6E87"/>
    <w:rsid w:val="00DA7094"/>
    <w:rsid w:val="00DA7350"/>
    <w:rsid w:val="00DA73E3"/>
    <w:rsid w:val="00DA7535"/>
    <w:rsid w:val="00DA77A5"/>
    <w:rsid w:val="00DA784F"/>
    <w:rsid w:val="00DA798A"/>
    <w:rsid w:val="00DA79D3"/>
    <w:rsid w:val="00DA7A0D"/>
    <w:rsid w:val="00DA7A1A"/>
    <w:rsid w:val="00DA7A83"/>
    <w:rsid w:val="00DA7E5B"/>
    <w:rsid w:val="00DB036D"/>
    <w:rsid w:val="00DB04AD"/>
    <w:rsid w:val="00DB0561"/>
    <w:rsid w:val="00DB085B"/>
    <w:rsid w:val="00DB0A05"/>
    <w:rsid w:val="00DB0E36"/>
    <w:rsid w:val="00DB0F3E"/>
    <w:rsid w:val="00DB1110"/>
    <w:rsid w:val="00DB15B5"/>
    <w:rsid w:val="00DB1815"/>
    <w:rsid w:val="00DB19A0"/>
    <w:rsid w:val="00DB19BE"/>
    <w:rsid w:val="00DB1B73"/>
    <w:rsid w:val="00DB1C69"/>
    <w:rsid w:val="00DB1D8F"/>
    <w:rsid w:val="00DB2077"/>
    <w:rsid w:val="00DB217A"/>
    <w:rsid w:val="00DB2211"/>
    <w:rsid w:val="00DB2363"/>
    <w:rsid w:val="00DB2430"/>
    <w:rsid w:val="00DB2493"/>
    <w:rsid w:val="00DB24D7"/>
    <w:rsid w:val="00DB25FF"/>
    <w:rsid w:val="00DB2723"/>
    <w:rsid w:val="00DB28B4"/>
    <w:rsid w:val="00DB28E7"/>
    <w:rsid w:val="00DB2A6B"/>
    <w:rsid w:val="00DB2AF2"/>
    <w:rsid w:val="00DB354B"/>
    <w:rsid w:val="00DB3629"/>
    <w:rsid w:val="00DB3DBF"/>
    <w:rsid w:val="00DB3E4D"/>
    <w:rsid w:val="00DB3E94"/>
    <w:rsid w:val="00DB3E97"/>
    <w:rsid w:val="00DB3E9E"/>
    <w:rsid w:val="00DB3F28"/>
    <w:rsid w:val="00DB42F7"/>
    <w:rsid w:val="00DB43C7"/>
    <w:rsid w:val="00DB461E"/>
    <w:rsid w:val="00DB478B"/>
    <w:rsid w:val="00DB484F"/>
    <w:rsid w:val="00DB4EC7"/>
    <w:rsid w:val="00DB4F15"/>
    <w:rsid w:val="00DB4FE5"/>
    <w:rsid w:val="00DB506C"/>
    <w:rsid w:val="00DB50AD"/>
    <w:rsid w:val="00DB5220"/>
    <w:rsid w:val="00DB527E"/>
    <w:rsid w:val="00DB52F9"/>
    <w:rsid w:val="00DB533D"/>
    <w:rsid w:val="00DB5529"/>
    <w:rsid w:val="00DB55B7"/>
    <w:rsid w:val="00DB5B6F"/>
    <w:rsid w:val="00DB5BD9"/>
    <w:rsid w:val="00DB5CE2"/>
    <w:rsid w:val="00DB5D6C"/>
    <w:rsid w:val="00DB5FDF"/>
    <w:rsid w:val="00DB60A2"/>
    <w:rsid w:val="00DB60D7"/>
    <w:rsid w:val="00DB6370"/>
    <w:rsid w:val="00DB6434"/>
    <w:rsid w:val="00DB662F"/>
    <w:rsid w:val="00DB6971"/>
    <w:rsid w:val="00DB6B0C"/>
    <w:rsid w:val="00DB6F0C"/>
    <w:rsid w:val="00DB6F38"/>
    <w:rsid w:val="00DB7024"/>
    <w:rsid w:val="00DB7606"/>
    <w:rsid w:val="00DB764F"/>
    <w:rsid w:val="00DB7748"/>
    <w:rsid w:val="00DB77DB"/>
    <w:rsid w:val="00DB7B11"/>
    <w:rsid w:val="00DB7C8F"/>
    <w:rsid w:val="00DB7DA5"/>
    <w:rsid w:val="00DC0079"/>
    <w:rsid w:val="00DC00D0"/>
    <w:rsid w:val="00DC0103"/>
    <w:rsid w:val="00DC018F"/>
    <w:rsid w:val="00DC02CC"/>
    <w:rsid w:val="00DC04D6"/>
    <w:rsid w:val="00DC04F6"/>
    <w:rsid w:val="00DC0624"/>
    <w:rsid w:val="00DC0690"/>
    <w:rsid w:val="00DC069F"/>
    <w:rsid w:val="00DC0888"/>
    <w:rsid w:val="00DC0954"/>
    <w:rsid w:val="00DC0DC8"/>
    <w:rsid w:val="00DC0E5C"/>
    <w:rsid w:val="00DC127E"/>
    <w:rsid w:val="00DC1332"/>
    <w:rsid w:val="00DC15C2"/>
    <w:rsid w:val="00DC1799"/>
    <w:rsid w:val="00DC17B2"/>
    <w:rsid w:val="00DC19A9"/>
    <w:rsid w:val="00DC1A7F"/>
    <w:rsid w:val="00DC1C1E"/>
    <w:rsid w:val="00DC1D65"/>
    <w:rsid w:val="00DC1DDD"/>
    <w:rsid w:val="00DC205B"/>
    <w:rsid w:val="00DC2064"/>
    <w:rsid w:val="00DC207C"/>
    <w:rsid w:val="00DC2438"/>
    <w:rsid w:val="00DC247A"/>
    <w:rsid w:val="00DC2615"/>
    <w:rsid w:val="00DC289F"/>
    <w:rsid w:val="00DC2AE4"/>
    <w:rsid w:val="00DC2E7E"/>
    <w:rsid w:val="00DC30A3"/>
    <w:rsid w:val="00DC34C2"/>
    <w:rsid w:val="00DC367B"/>
    <w:rsid w:val="00DC37BD"/>
    <w:rsid w:val="00DC39FE"/>
    <w:rsid w:val="00DC3C57"/>
    <w:rsid w:val="00DC417D"/>
    <w:rsid w:val="00DC41A5"/>
    <w:rsid w:val="00DC430E"/>
    <w:rsid w:val="00DC44C0"/>
    <w:rsid w:val="00DC44C6"/>
    <w:rsid w:val="00DC46D3"/>
    <w:rsid w:val="00DC4870"/>
    <w:rsid w:val="00DC4C18"/>
    <w:rsid w:val="00DC4FCE"/>
    <w:rsid w:val="00DC5201"/>
    <w:rsid w:val="00DC5311"/>
    <w:rsid w:val="00DC543D"/>
    <w:rsid w:val="00DC5501"/>
    <w:rsid w:val="00DC5608"/>
    <w:rsid w:val="00DC5797"/>
    <w:rsid w:val="00DC58DA"/>
    <w:rsid w:val="00DC5B82"/>
    <w:rsid w:val="00DC5C0E"/>
    <w:rsid w:val="00DC5C73"/>
    <w:rsid w:val="00DC5CB0"/>
    <w:rsid w:val="00DC5CC7"/>
    <w:rsid w:val="00DC5D45"/>
    <w:rsid w:val="00DC5D74"/>
    <w:rsid w:val="00DC5DE4"/>
    <w:rsid w:val="00DC615A"/>
    <w:rsid w:val="00DC6268"/>
    <w:rsid w:val="00DC62D9"/>
    <w:rsid w:val="00DC634B"/>
    <w:rsid w:val="00DC641C"/>
    <w:rsid w:val="00DC6706"/>
    <w:rsid w:val="00DC68EB"/>
    <w:rsid w:val="00DC6F52"/>
    <w:rsid w:val="00DC7154"/>
    <w:rsid w:val="00DC73C9"/>
    <w:rsid w:val="00DC741B"/>
    <w:rsid w:val="00DC7502"/>
    <w:rsid w:val="00DC7660"/>
    <w:rsid w:val="00DC79B8"/>
    <w:rsid w:val="00DC7BAA"/>
    <w:rsid w:val="00DC7D83"/>
    <w:rsid w:val="00DC7E3C"/>
    <w:rsid w:val="00DC7E8A"/>
    <w:rsid w:val="00DC7EB2"/>
    <w:rsid w:val="00DC7FD6"/>
    <w:rsid w:val="00DD02A9"/>
    <w:rsid w:val="00DD02B1"/>
    <w:rsid w:val="00DD02F1"/>
    <w:rsid w:val="00DD0464"/>
    <w:rsid w:val="00DD07CB"/>
    <w:rsid w:val="00DD0A36"/>
    <w:rsid w:val="00DD0BD6"/>
    <w:rsid w:val="00DD0EF4"/>
    <w:rsid w:val="00DD0F4D"/>
    <w:rsid w:val="00DD0F78"/>
    <w:rsid w:val="00DD10F5"/>
    <w:rsid w:val="00DD129C"/>
    <w:rsid w:val="00DD12FC"/>
    <w:rsid w:val="00DD13BA"/>
    <w:rsid w:val="00DD143C"/>
    <w:rsid w:val="00DD167C"/>
    <w:rsid w:val="00DD1C67"/>
    <w:rsid w:val="00DD1C6C"/>
    <w:rsid w:val="00DD1D94"/>
    <w:rsid w:val="00DD20E4"/>
    <w:rsid w:val="00DD234D"/>
    <w:rsid w:val="00DD23BA"/>
    <w:rsid w:val="00DD24D2"/>
    <w:rsid w:val="00DD252C"/>
    <w:rsid w:val="00DD2546"/>
    <w:rsid w:val="00DD273C"/>
    <w:rsid w:val="00DD2A76"/>
    <w:rsid w:val="00DD2C11"/>
    <w:rsid w:val="00DD2DE1"/>
    <w:rsid w:val="00DD2FCB"/>
    <w:rsid w:val="00DD2FFA"/>
    <w:rsid w:val="00DD32F6"/>
    <w:rsid w:val="00DD331C"/>
    <w:rsid w:val="00DD3A34"/>
    <w:rsid w:val="00DD3BBC"/>
    <w:rsid w:val="00DD3D31"/>
    <w:rsid w:val="00DD3E26"/>
    <w:rsid w:val="00DD3E3B"/>
    <w:rsid w:val="00DD3F0B"/>
    <w:rsid w:val="00DD3F28"/>
    <w:rsid w:val="00DD4174"/>
    <w:rsid w:val="00DD4446"/>
    <w:rsid w:val="00DD4537"/>
    <w:rsid w:val="00DD45FC"/>
    <w:rsid w:val="00DD4871"/>
    <w:rsid w:val="00DD4C59"/>
    <w:rsid w:val="00DD4CF6"/>
    <w:rsid w:val="00DD4E15"/>
    <w:rsid w:val="00DD5313"/>
    <w:rsid w:val="00DD5377"/>
    <w:rsid w:val="00DD564D"/>
    <w:rsid w:val="00DD5742"/>
    <w:rsid w:val="00DD57BC"/>
    <w:rsid w:val="00DD5B79"/>
    <w:rsid w:val="00DD5BBB"/>
    <w:rsid w:val="00DD5D43"/>
    <w:rsid w:val="00DD5D7E"/>
    <w:rsid w:val="00DD5FF5"/>
    <w:rsid w:val="00DD6037"/>
    <w:rsid w:val="00DD61C8"/>
    <w:rsid w:val="00DD6234"/>
    <w:rsid w:val="00DD6464"/>
    <w:rsid w:val="00DD652F"/>
    <w:rsid w:val="00DD6535"/>
    <w:rsid w:val="00DD6924"/>
    <w:rsid w:val="00DD699D"/>
    <w:rsid w:val="00DD6B45"/>
    <w:rsid w:val="00DD6CE8"/>
    <w:rsid w:val="00DD6D7B"/>
    <w:rsid w:val="00DD6EE1"/>
    <w:rsid w:val="00DD7289"/>
    <w:rsid w:val="00DD7431"/>
    <w:rsid w:val="00DD76CB"/>
    <w:rsid w:val="00DD7AD3"/>
    <w:rsid w:val="00DD7E5B"/>
    <w:rsid w:val="00DE00DA"/>
    <w:rsid w:val="00DE065E"/>
    <w:rsid w:val="00DE0837"/>
    <w:rsid w:val="00DE0A81"/>
    <w:rsid w:val="00DE0D57"/>
    <w:rsid w:val="00DE0D5D"/>
    <w:rsid w:val="00DE0DD9"/>
    <w:rsid w:val="00DE0FD8"/>
    <w:rsid w:val="00DE0FF6"/>
    <w:rsid w:val="00DE12FA"/>
    <w:rsid w:val="00DE1514"/>
    <w:rsid w:val="00DE15F1"/>
    <w:rsid w:val="00DE1790"/>
    <w:rsid w:val="00DE1870"/>
    <w:rsid w:val="00DE18B2"/>
    <w:rsid w:val="00DE1A65"/>
    <w:rsid w:val="00DE1B0A"/>
    <w:rsid w:val="00DE1D8E"/>
    <w:rsid w:val="00DE1ED4"/>
    <w:rsid w:val="00DE210F"/>
    <w:rsid w:val="00DE2304"/>
    <w:rsid w:val="00DE23B4"/>
    <w:rsid w:val="00DE23D6"/>
    <w:rsid w:val="00DE2693"/>
    <w:rsid w:val="00DE26E8"/>
    <w:rsid w:val="00DE2DD3"/>
    <w:rsid w:val="00DE2E7B"/>
    <w:rsid w:val="00DE30C3"/>
    <w:rsid w:val="00DE30F4"/>
    <w:rsid w:val="00DE30FA"/>
    <w:rsid w:val="00DE3138"/>
    <w:rsid w:val="00DE3242"/>
    <w:rsid w:val="00DE32BF"/>
    <w:rsid w:val="00DE350C"/>
    <w:rsid w:val="00DE362A"/>
    <w:rsid w:val="00DE37F8"/>
    <w:rsid w:val="00DE38EC"/>
    <w:rsid w:val="00DE3A3B"/>
    <w:rsid w:val="00DE3AA2"/>
    <w:rsid w:val="00DE3CF2"/>
    <w:rsid w:val="00DE3DB1"/>
    <w:rsid w:val="00DE3DB2"/>
    <w:rsid w:val="00DE3DDB"/>
    <w:rsid w:val="00DE3E58"/>
    <w:rsid w:val="00DE4072"/>
    <w:rsid w:val="00DE4273"/>
    <w:rsid w:val="00DE4302"/>
    <w:rsid w:val="00DE447C"/>
    <w:rsid w:val="00DE469B"/>
    <w:rsid w:val="00DE46E2"/>
    <w:rsid w:val="00DE4845"/>
    <w:rsid w:val="00DE49B7"/>
    <w:rsid w:val="00DE4A2F"/>
    <w:rsid w:val="00DE4C1D"/>
    <w:rsid w:val="00DE4CB9"/>
    <w:rsid w:val="00DE4CD7"/>
    <w:rsid w:val="00DE4CFC"/>
    <w:rsid w:val="00DE4DDD"/>
    <w:rsid w:val="00DE4DFD"/>
    <w:rsid w:val="00DE4E9C"/>
    <w:rsid w:val="00DE4EA8"/>
    <w:rsid w:val="00DE4FCB"/>
    <w:rsid w:val="00DE530D"/>
    <w:rsid w:val="00DE5697"/>
    <w:rsid w:val="00DE56C8"/>
    <w:rsid w:val="00DE579D"/>
    <w:rsid w:val="00DE5967"/>
    <w:rsid w:val="00DE59CE"/>
    <w:rsid w:val="00DE5A2B"/>
    <w:rsid w:val="00DE5D07"/>
    <w:rsid w:val="00DE5D09"/>
    <w:rsid w:val="00DE5E56"/>
    <w:rsid w:val="00DE5E6E"/>
    <w:rsid w:val="00DE63F3"/>
    <w:rsid w:val="00DE669E"/>
    <w:rsid w:val="00DE66E2"/>
    <w:rsid w:val="00DE685B"/>
    <w:rsid w:val="00DE6F03"/>
    <w:rsid w:val="00DE6F9C"/>
    <w:rsid w:val="00DE7087"/>
    <w:rsid w:val="00DE7140"/>
    <w:rsid w:val="00DE72A7"/>
    <w:rsid w:val="00DE74BF"/>
    <w:rsid w:val="00DE74D1"/>
    <w:rsid w:val="00DE77B9"/>
    <w:rsid w:val="00DE77D5"/>
    <w:rsid w:val="00DE7832"/>
    <w:rsid w:val="00DE7C0C"/>
    <w:rsid w:val="00DF0217"/>
    <w:rsid w:val="00DF0319"/>
    <w:rsid w:val="00DF03C0"/>
    <w:rsid w:val="00DF04DB"/>
    <w:rsid w:val="00DF0899"/>
    <w:rsid w:val="00DF09B9"/>
    <w:rsid w:val="00DF13A6"/>
    <w:rsid w:val="00DF16A7"/>
    <w:rsid w:val="00DF18FC"/>
    <w:rsid w:val="00DF1A55"/>
    <w:rsid w:val="00DF1B16"/>
    <w:rsid w:val="00DF1B19"/>
    <w:rsid w:val="00DF1DD8"/>
    <w:rsid w:val="00DF216B"/>
    <w:rsid w:val="00DF22EF"/>
    <w:rsid w:val="00DF2498"/>
    <w:rsid w:val="00DF2855"/>
    <w:rsid w:val="00DF29F6"/>
    <w:rsid w:val="00DF2A2A"/>
    <w:rsid w:val="00DF2B76"/>
    <w:rsid w:val="00DF2E13"/>
    <w:rsid w:val="00DF30D9"/>
    <w:rsid w:val="00DF33B1"/>
    <w:rsid w:val="00DF344A"/>
    <w:rsid w:val="00DF36AF"/>
    <w:rsid w:val="00DF374D"/>
    <w:rsid w:val="00DF3801"/>
    <w:rsid w:val="00DF3B11"/>
    <w:rsid w:val="00DF3E6C"/>
    <w:rsid w:val="00DF3F3C"/>
    <w:rsid w:val="00DF41A5"/>
    <w:rsid w:val="00DF429E"/>
    <w:rsid w:val="00DF4319"/>
    <w:rsid w:val="00DF46E2"/>
    <w:rsid w:val="00DF483E"/>
    <w:rsid w:val="00DF49BD"/>
    <w:rsid w:val="00DF4BE2"/>
    <w:rsid w:val="00DF4ECF"/>
    <w:rsid w:val="00DF51E4"/>
    <w:rsid w:val="00DF52E0"/>
    <w:rsid w:val="00DF548E"/>
    <w:rsid w:val="00DF568C"/>
    <w:rsid w:val="00DF591B"/>
    <w:rsid w:val="00DF59AE"/>
    <w:rsid w:val="00DF5AC9"/>
    <w:rsid w:val="00DF5AFD"/>
    <w:rsid w:val="00DF5CA8"/>
    <w:rsid w:val="00DF5D2B"/>
    <w:rsid w:val="00DF5E2A"/>
    <w:rsid w:val="00DF5FF4"/>
    <w:rsid w:val="00DF6122"/>
    <w:rsid w:val="00DF61EB"/>
    <w:rsid w:val="00DF62F7"/>
    <w:rsid w:val="00DF6341"/>
    <w:rsid w:val="00DF65E3"/>
    <w:rsid w:val="00DF6749"/>
    <w:rsid w:val="00DF6D43"/>
    <w:rsid w:val="00DF700D"/>
    <w:rsid w:val="00DF71C7"/>
    <w:rsid w:val="00DF72D4"/>
    <w:rsid w:val="00DF74C0"/>
    <w:rsid w:val="00DF7997"/>
    <w:rsid w:val="00DF7C72"/>
    <w:rsid w:val="00DF7DFC"/>
    <w:rsid w:val="00E0016B"/>
    <w:rsid w:val="00E00324"/>
    <w:rsid w:val="00E00349"/>
    <w:rsid w:val="00E004CF"/>
    <w:rsid w:val="00E0053F"/>
    <w:rsid w:val="00E0067C"/>
    <w:rsid w:val="00E00853"/>
    <w:rsid w:val="00E00991"/>
    <w:rsid w:val="00E00A38"/>
    <w:rsid w:val="00E00C6F"/>
    <w:rsid w:val="00E00DDD"/>
    <w:rsid w:val="00E00E48"/>
    <w:rsid w:val="00E00E8E"/>
    <w:rsid w:val="00E00F29"/>
    <w:rsid w:val="00E00FDA"/>
    <w:rsid w:val="00E0122A"/>
    <w:rsid w:val="00E018E1"/>
    <w:rsid w:val="00E01AAF"/>
    <w:rsid w:val="00E01ED7"/>
    <w:rsid w:val="00E01FDA"/>
    <w:rsid w:val="00E01FDC"/>
    <w:rsid w:val="00E02013"/>
    <w:rsid w:val="00E02061"/>
    <w:rsid w:val="00E02100"/>
    <w:rsid w:val="00E022E2"/>
    <w:rsid w:val="00E0244C"/>
    <w:rsid w:val="00E02599"/>
    <w:rsid w:val="00E02B5A"/>
    <w:rsid w:val="00E02C53"/>
    <w:rsid w:val="00E02D2F"/>
    <w:rsid w:val="00E02E6E"/>
    <w:rsid w:val="00E032B2"/>
    <w:rsid w:val="00E0332F"/>
    <w:rsid w:val="00E0356F"/>
    <w:rsid w:val="00E037E0"/>
    <w:rsid w:val="00E0388A"/>
    <w:rsid w:val="00E038F7"/>
    <w:rsid w:val="00E03CB8"/>
    <w:rsid w:val="00E03F94"/>
    <w:rsid w:val="00E03FFE"/>
    <w:rsid w:val="00E0418B"/>
    <w:rsid w:val="00E041E6"/>
    <w:rsid w:val="00E04278"/>
    <w:rsid w:val="00E042F6"/>
    <w:rsid w:val="00E04433"/>
    <w:rsid w:val="00E045C7"/>
    <w:rsid w:val="00E0476E"/>
    <w:rsid w:val="00E04781"/>
    <w:rsid w:val="00E047B9"/>
    <w:rsid w:val="00E04BDF"/>
    <w:rsid w:val="00E04DE2"/>
    <w:rsid w:val="00E0507B"/>
    <w:rsid w:val="00E050C4"/>
    <w:rsid w:val="00E05630"/>
    <w:rsid w:val="00E0566B"/>
    <w:rsid w:val="00E05693"/>
    <w:rsid w:val="00E05735"/>
    <w:rsid w:val="00E057E1"/>
    <w:rsid w:val="00E05961"/>
    <w:rsid w:val="00E05B3E"/>
    <w:rsid w:val="00E05C40"/>
    <w:rsid w:val="00E05D61"/>
    <w:rsid w:val="00E06004"/>
    <w:rsid w:val="00E06928"/>
    <w:rsid w:val="00E06C49"/>
    <w:rsid w:val="00E06DBB"/>
    <w:rsid w:val="00E06FB2"/>
    <w:rsid w:val="00E07160"/>
    <w:rsid w:val="00E071DC"/>
    <w:rsid w:val="00E07262"/>
    <w:rsid w:val="00E07351"/>
    <w:rsid w:val="00E073C0"/>
    <w:rsid w:val="00E07706"/>
    <w:rsid w:val="00E0772B"/>
    <w:rsid w:val="00E0781F"/>
    <w:rsid w:val="00E07955"/>
    <w:rsid w:val="00E07CCF"/>
    <w:rsid w:val="00E07D39"/>
    <w:rsid w:val="00E07E79"/>
    <w:rsid w:val="00E1000A"/>
    <w:rsid w:val="00E10149"/>
    <w:rsid w:val="00E10738"/>
    <w:rsid w:val="00E10793"/>
    <w:rsid w:val="00E1090B"/>
    <w:rsid w:val="00E109AC"/>
    <w:rsid w:val="00E109DA"/>
    <w:rsid w:val="00E10CE1"/>
    <w:rsid w:val="00E10DF2"/>
    <w:rsid w:val="00E11083"/>
    <w:rsid w:val="00E1108F"/>
    <w:rsid w:val="00E11121"/>
    <w:rsid w:val="00E11340"/>
    <w:rsid w:val="00E1179C"/>
    <w:rsid w:val="00E11986"/>
    <w:rsid w:val="00E119DF"/>
    <w:rsid w:val="00E11D13"/>
    <w:rsid w:val="00E11E5E"/>
    <w:rsid w:val="00E11ED6"/>
    <w:rsid w:val="00E12277"/>
    <w:rsid w:val="00E122A1"/>
    <w:rsid w:val="00E1235D"/>
    <w:rsid w:val="00E1245A"/>
    <w:rsid w:val="00E128ED"/>
    <w:rsid w:val="00E12969"/>
    <w:rsid w:val="00E12996"/>
    <w:rsid w:val="00E12D12"/>
    <w:rsid w:val="00E12D2E"/>
    <w:rsid w:val="00E12DA0"/>
    <w:rsid w:val="00E12FB7"/>
    <w:rsid w:val="00E1304D"/>
    <w:rsid w:val="00E13389"/>
    <w:rsid w:val="00E133F1"/>
    <w:rsid w:val="00E134E8"/>
    <w:rsid w:val="00E136BE"/>
    <w:rsid w:val="00E1375A"/>
    <w:rsid w:val="00E13933"/>
    <w:rsid w:val="00E13BC5"/>
    <w:rsid w:val="00E13DC4"/>
    <w:rsid w:val="00E13E3C"/>
    <w:rsid w:val="00E13EB2"/>
    <w:rsid w:val="00E13F1B"/>
    <w:rsid w:val="00E13F2F"/>
    <w:rsid w:val="00E14010"/>
    <w:rsid w:val="00E1402A"/>
    <w:rsid w:val="00E140F0"/>
    <w:rsid w:val="00E148B0"/>
    <w:rsid w:val="00E14B7D"/>
    <w:rsid w:val="00E14E60"/>
    <w:rsid w:val="00E14E84"/>
    <w:rsid w:val="00E14F0D"/>
    <w:rsid w:val="00E14F5A"/>
    <w:rsid w:val="00E15142"/>
    <w:rsid w:val="00E1518D"/>
    <w:rsid w:val="00E15538"/>
    <w:rsid w:val="00E15582"/>
    <w:rsid w:val="00E15AE9"/>
    <w:rsid w:val="00E15BBC"/>
    <w:rsid w:val="00E15EC6"/>
    <w:rsid w:val="00E16034"/>
    <w:rsid w:val="00E161BC"/>
    <w:rsid w:val="00E1624A"/>
    <w:rsid w:val="00E16269"/>
    <w:rsid w:val="00E162B9"/>
    <w:rsid w:val="00E16372"/>
    <w:rsid w:val="00E16A4A"/>
    <w:rsid w:val="00E16AA6"/>
    <w:rsid w:val="00E16AD8"/>
    <w:rsid w:val="00E16AF7"/>
    <w:rsid w:val="00E16DD3"/>
    <w:rsid w:val="00E1705B"/>
    <w:rsid w:val="00E1707D"/>
    <w:rsid w:val="00E171AE"/>
    <w:rsid w:val="00E172F6"/>
    <w:rsid w:val="00E175A0"/>
    <w:rsid w:val="00E177F7"/>
    <w:rsid w:val="00E1791E"/>
    <w:rsid w:val="00E17975"/>
    <w:rsid w:val="00E17999"/>
    <w:rsid w:val="00E17A2F"/>
    <w:rsid w:val="00E17AE2"/>
    <w:rsid w:val="00E17D8F"/>
    <w:rsid w:val="00E17FFA"/>
    <w:rsid w:val="00E20653"/>
    <w:rsid w:val="00E207A3"/>
    <w:rsid w:val="00E20937"/>
    <w:rsid w:val="00E20973"/>
    <w:rsid w:val="00E20A0F"/>
    <w:rsid w:val="00E20E4D"/>
    <w:rsid w:val="00E20ED6"/>
    <w:rsid w:val="00E20FBC"/>
    <w:rsid w:val="00E2118F"/>
    <w:rsid w:val="00E21245"/>
    <w:rsid w:val="00E21358"/>
    <w:rsid w:val="00E21391"/>
    <w:rsid w:val="00E21442"/>
    <w:rsid w:val="00E21589"/>
    <w:rsid w:val="00E2172C"/>
    <w:rsid w:val="00E21872"/>
    <w:rsid w:val="00E21953"/>
    <w:rsid w:val="00E21A92"/>
    <w:rsid w:val="00E221FD"/>
    <w:rsid w:val="00E22314"/>
    <w:rsid w:val="00E2239E"/>
    <w:rsid w:val="00E2249B"/>
    <w:rsid w:val="00E22A0D"/>
    <w:rsid w:val="00E22A48"/>
    <w:rsid w:val="00E23076"/>
    <w:rsid w:val="00E2321F"/>
    <w:rsid w:val="00E23299"/>
    <w:rsid w:val="00E23338"/>
    <w:rsid w:val="00E2360D"/>
    <w:rsid w:val="00E23704"/>
    <w:rsid w:val="00E23945"/>
    <w:rsid w:val="00E23A53"/>
    <w:rsid w:val="00E23B6E"/>
    <w:rsid w:val="00E23DB0"/>
    <w:rsid w:val="00E23E3A"/>
    <w:rsid w:val="00E23E88"/>
    <w:rsid w:val="00E23EA8"/>
    <w:rsid w:val="00E23EEB"/>
    <w:rsid w:val="00E24089"/>
    <w:rsid w:val="00E24120"/>
    <w:rsid w:val="00E2419D"/>
    <w:rsid w:val="00E241DE"/>
    <w:rsid w:val="00E242E0"/>
    <w:rsid w:val="00E244F6"/>
    <w:rsid w:val="00E2474C"/>
    <w:rsid w:val="00E24976"/>
    <w:rsid w:val="00E24B50"/>
    <w:rsid w:val="00E24E27"/>
    <w:rsid w:val="00E24E6A"/>
    <w:rsid w:val="00E25029"/>
    <w:rsid w:val="00E25121"/>
    <w:rsid w:val="00E2565B"/>
    <w:rsid w:val="00E258DB"/>
    <w:rsid w:val="00E25B17"/>
    <w:rsid w:val="00E25CE3"/>
    <w:rsid w:val="00E25D77"/>
    <w:rsid w:val="00E25DBF"/>
    <w:rsid w:val="00E25FCD"/>
    <w:rsid w:val="00E2601C"/>
    <w:rsid w:val="00E261CE"/>
    <w:rsid w:val="00E2638A"/>
    <w:rsid w:val="00E263C5"/>
    <w:rsid w:val="00E2643A"/>
    <w:rsid w:val="00E26587"/>
    <w:rsid w:val="00E269EA"/>
    <w:rsid w:val="00E26A5C"/>
    <w:rsid w:val="00E26C63"/>
    <w:rsid w:val="00E26E7E"/>
    <w:rsid w:val="00E27085"/>
    <w:rsid w:val="00E270D4"/>
    <w:rsid w:val="00E27173"/>
    <w:rsid w:val="00E27287"/>
    <w:rsid w:val="00E27477"/>
    <w:rsid w:val="00E274C4"/>
    <w:rsid w:val="00E2771E"/>
    <w:rsid w:val="00E27883"/>
    <w:rsid w:val="00E27C76"/>
    <w:rsid w:val="00E27CC5"/>
    <w:rsid w:val="00E27DDA"/>
    <w:rsid w:val="00E30052"/>
    <w:rsid w:val="00E3015D"/>
    <w:rsid w:val="00E304A1"/>
    <w:rsid w:val="00E305DD"/>
    <w:rsid w:val="00E30694"/>
    <w:rsid w:val="00E30A7D"/>
    <w:rsid w:val="00E30B3C"/>
    <w:rsid w:val="00E30C74"/>
    <w:rsid w:val="00E30CE0"/>
    <w:rsid w:val="00E30D2A"/>
    <w:rsid w:val="00E310A4"/>
    <w:rsid w:val="00E311EF"/>
    <w:rsid w:val="00E31411"/>
    <w:rsid w:val="00E3142D"/>
    <w:rsid w:val="00E314AC"/>
    <w:rsid w:val="00E317AD"/>
    <w:rsid w:val="00E31894"/>
    <w:rsid w:val="00E318B1"/>
    <w:rsid w:val="00E318CA"/>
    <w:rsid w:val="00E31AE5"/>
    <w:rsid w:val="00E31CB3"/>
    <w:rsid w:val="00E31E2E"/>
    <w:rsid w:val="00E31F6D"/>
    <w:rsid w:val="00E31F7E"/>
    <w:rsid w:val="00E320DA"/>
    <w:rsid w:val="00E32180"/>
    <w:rsid w:val="00E32244"/>
    <w:rsid w:val="00E3228E"/>
    <w:rsid w:val="00E322C5"/>
    <w:rsid w:val="00E32567"/>
    <w:rsid w:val="00E32579"/>
    <w:rsid w:val="00E325A8"/>
    <w:rsid w:val="00E326C1"/>
    <w:rsid w:val="00E3278A"/>
    <w:rsid w:val="00E327EF"/>
    <w:rsid w:val="00E32917"/>
    <w:rsid w:val="00E3291D"/>
    <w:rsid w:val="00E32A98"/>
    <w:rsid w:val="00E32ACF"/>
    <w:rsid w:val="00E32C9F"/>
    <w:rsid w:val="00E32CFA"/>
    <w:rsid w:val="00E32E32"/>
    <w:rsid w:val="00E32E4A"/>
    <w:rsid w:val="00E3315F"/>
    <w:rsid w:val="00E33208"/>
    <w:rsid w:val="00E33607"/>
    <w:rsid w:val="00E3361A"/>
    <w:rsid w:val="00E33837"/>
    <w:rsid w:val="00E338F2"/>
    <w:rsid w:val="00E33941"/>
    <w:rsid w:val="00E339B9"/>
    <w:rsid w:val="00E33A42"/>
    <w:rsid w:val="00E33C7B"/>
    <w:rsid w:val="00E33E07"/>
    <w:rsid w:val="00E341B7"/>
    <w:rsid w:val="00E343A7"/>
    <w:rsid w:val="00E3451E"/>
    <w:rsid w:val="00E34585"/>
    <w:rsid w:val="00E34587"/>
    <w:rsid w:val="00E345E5"/>
    <w:rsid w:val="00E34948"/>
    <w:rsid w:val="00E34CC4"/>
    <w:rsid w:val="00E34CD3"/>
    <w:rsid w:val="00E34CE4"/>
    <w:rsid w:val="00E34D5D"/>
    <w:rsid w:val="00E35192"/>
    <w:rsid w:val="00E353A1"/>
    <w:rsid w:val="00E35404"/>
    <w:rsid w:val="00E354FA"/>
    <w:rsid w:val="00E35500"/>
    <w:rsid w:val="00E35ADF"/>
    <w:rsid w:val="00E35C41"/>
    <w:rsid w:val="00E35DBD"/>
    <w:rsid w:val="00E3602F"/>
    <w:rsid w:val="00E360E2"/>
    <w:rsid w:val="00E363FB"/>
    <w:rsid w:val="00E36709"/>
    <w:rsid w:val="00E369A0"/>
    <w:rsid w:val="00E36B10"/>
    <w:rsid w:val="00E36B2E"/>
    <w:rsid w:val="00E36CE2"/>
    <w:rsid w:val="00E36D72"/>
    <w:rsid w:val="00E36E94"/>
    <w:rsid w:val="00E36F00"/>
    <w:rsid w:val="00E37131"/>
    <w:rsid w:val="00E37334"/>
    <w:rsid w:val="00E37569"/>
    <w:rsid w:val="00E377F5"/>
    <w:rsid w:val="00E378E3"/>
    <w:rsid w:val="00E37B26"/>
    <w:rsid w:val="00E37F17"/>
    <w:rsid w:val="00E401B2"/>
    <w:rsid w:val="00E401DF"/>
    <w:rsid w:val="00E40292"/>
    <w:rsid w:val="00E40674"/>
    <w:rsid w:val="00E407E4"/>
    <w:rsid w:val="00E40C7D"/>
    <w:rsid w:val="00E40CA5"/>
    <w:rsid w:val="00E4108B"/>
    <w:rsid w:val="00E41238"/>
    <w:rsid w:val="00E41485"/>
    <w:rsid w:val="00E41747"/>
    <w:rsid w:val="00E41CC8"/>
    <w:rsid w:val="00E41E30"/>
    <w:rsid w:val="00E41EB3"/>
    <w:rsid w:val="00E41F8F"/>
    <w:rsid w:val="00E42110"/>
    <w:rsid w:val="00E421CE"/>
    <w:rsid w:val="00E4222A"/>
    <w:rsid w:val="00E42426"/>
    <w:rsid w:val="00E42593"/>
    <w:rsid w:val="00E42596"/>
    <w:rsid w:val="00E42751"/>
    <w:rsid w:val="00E42C62"/>
    <w:rsid w:val="00E42F73"/>
    <w:rsid w:val="00E430AD"/>
    <w:rsid w:val="00E43129"/>
    <w:rsid w:val="00E4330C"/>
    <w:rsid w:val="00E43316"/>
    <w:rsid w:val="00E43760"/>
    <w:rsid w:val="00E4381B"/>
    <w:rsid w:val="00E43AF9"/>
    <w:rsid w:val="00E43B0A"/>
    <w:rsid w:val="00E43CEA"/>
    <w:rsid w:val="00E43D70"/>
    <w:rsid w:val="00E43F2F"/>
    <w:rsid w:val="00E44028"/>
    <w:rsid w:val="00E44174"/>
    <w:rsid w:val="00E44259"/>
    <w:rsid w:val="00E44383"/>
    <w:rsid w:val="00E443F7"/>
    <w:rsid w:val="00E44406"/>
    <w:rsid w:val="00E44426"/>
    <w:rsid w:val="00E444B1"/>
    <w:rsid w:val="00E4459C"/>
    <w:rsid w:val="00E446C1"/>
    <w:rsid w:val="00E448F1"/>
    <w:rsid w:val="00E44DF4"/>
    <w:rsid w:val="00E44E43"/>
    <w:rsid w:val="00E44E7F"/>
    <w:rsid w:val="00E44FB9"/>
    <w:rsid w:val="00E44FD3"/>
    <w:rsid w:val="00E450CF"/>
    <w:rsid w:val="00E4512C"/>
    <w:rsid w:val="00E45224"/>
    <w:rsid w:val="00E45253"/>
    <w:rsid w:val="00E452A9"/>
    <w:rsid w:val="00E455BE"/>
    <w:rsid w:val="00E457E1"/>
    <w:rsid w:val="00E45A9B"/>
    <w:rsid w:val="00E45B6F"/>
    <w:rsid w:val="00E45C0B"/>
    <w:rsid w:val="00E45CD1"/>
    <w:rsid w:val="00E45D12"/>
    <w:rsid w:val="00E45EA4"/>
    <w:rsid w:val="00E45F77"/>
    <w:rsid w:val="00E45FBF"/>
    <w:rsid w:val="00E45FD1"/>
    <w:rsid w:val="00E46011"/>
    <w:rsid w:val="00E461AE"/>
    <w:rsid w:val="00E463FB"/>
    <w:rsid w:val="00E466F3"/>
    <w:rsid w:val="00E467C6"/>
    <w:rsid w:val="00E46800"/>
    <w:rsid w:val="00E468E4"/>
    <w:rsid w:val="00E469B5"/>
    <w:rsid w:val="00E469BC"/>
    <w:rsid w:val="00E46ADF"/>
    <w:rsid w:val="00E46AED"/>
    <w:rsid w:val="00E46C27"/>
    <w:rsid w:val="00E46D7E"/>
    <w:rsid w:val="00E46F4E"/>
    <w:rsid w:val="00E474E3"/>
    <w:rsid w:val="00E4791C"/>
    <w:rsid w:val="00E47A6E"/>
    <w:rsid w:val="00E47AF3"/>
    <w:rsid w:val="00E47B2C"/>
    <w:rsid w:val="00E47D7C"/>
    <w:rsid w:val="00E47E09"/>
    <w:rsid w:val="00E500BA"/>
    <w:rsid w:val="00E501CB"/>
    <w:rsid w:val="00E501F8"/>
    <w:rsid w:val="00E50341"/>
    <w:rsid w:val="00E50407"/>
    <w:rsid w:val="00E504F5"/>
    <w:rsid w:val="00E506ED"/>
    <w:rsid w:val="00E50843"/>
    <w:rsid w:val="00E50857"/>
    <w:rsid w:val="00E50D55"/>
    <w:rsid w:val="00E50F28"/>
    <w:rsid w:val="00E510AB"/>
    <w:rsid w:val="00E51205"/>
    <w:rsid w:val="00E51444"/>
    <w:rsid w:val="00E51560"/>
    <w:rsid w:val="00E51562"/>
    <w:rsid w:val="00E51753"/>
    <w:rsid w:val="00E51821"/>
    <w:rsid w:val="00E51927"/>
    <w:rsid w:val="00E51A40"/>
    <w:rsid w:val="00E51AE5"/>
    <w:rsid w:val="00E522D8"/>
    <w:rsid w:val="00E522ED"/>
    <w:rsid w:val="00E52623"/>
    <w:rsid w:val="00E5262F"/>
    <w:rsid w:val="00E527B7"/>
    <w:rsid w:val="00E52850"/>
    <w:rsid w:val="00E52BF3"/>
    <w:rsid w:val="00E52DB4"/>
    <w:rsid w:val="00E5338F"/>
    <w:rsid w:val="00E53415"/>
    <w:rsid w:val="00E535E0"/>
    <w:rsid w:val="00E536D2"/>
    <w:rsid w:val="00E53895"/>
    <w:rsid w:val="00E53D67"/>
    <w:rsid w:val="00E53DA5"/>
    <w:rsid w:val="00E53DCA"/>
    <w:rsid w:val="00E53FA9"/>
    <w:rsid w:val="00E53FC8"/>
    <w:rsid w:val="00E5415C"/>
    <w:rsid w:val="00E54347"/>
    <w:rsid w:val="00E54457"/>
    <w:rsid w:val="00E5446B"/>
    <w:rsid w:val="00E54552"/>
    <w:rsid w:val="00E54636"/>
    <w:rsid w:val="00E546D2"/>
    <w:rsid w:val="00E54755"/>
    <w:rsid w:val="00E54A1A"/>
    <w:rsid w:val="00E54B71"/>
    <w:rsid w:val="00E55424"/>
    <w:rsid w:val="00E55558"/>
    <w:rsid w:val="00E55854"/>
    <w:rsid w:val="00E558D7"/>
    <w:rsid w:val="00E55915"/>
    <w:rsid w:val="00E55AD1"/>
    <w:rsid w:val="00E55BB5"/>
    <w:rsid w:val="00E55D74"/>
    <w:rsid w:val="00E55DEA"/>
    <w:rsid w:val="00E55F3A"/>
    <w:rsid w:val="00E56058"/>
    <w:rsid w:val="00E56805"/>
    <w:rsid w:val="00E568EE"/>
    <w:rsid w:val="00E56A3D"/>
    <w:rsid w:val="00E56EB5"/>
    <w:rsid w:val="00E570EC"/>
    <w:rsid w:val="00E57175"/>
    <w:rsid w:val="00E576D6"/>
    <w:rsid w:val="00E578E1"/>
    <w:rsid w:val="00E57907"/>
    <w:rsid w:val="00E57B75"/>
    <w:rsid w:val="00E57CC9"/>
    <w:rsid w:val="00E57F39"/>
    <w:rsid w:val="00E60449"/>
    <w:rsid w:val="00E60568"/>
    <w:rsid w:val="00E605CF"/>
    <w:rsid w:val="00E607A4"/>
    <w:rsid w:val="00E609A7"/>
    <w:rsid w:val="00E60A9B"/>
    <w:rsid w:val="00E60B8E"/>
    <w:rsid w:val="00E60C23"/>
    <w:rsid w:val="00E60CDC"/>
    <w:rsid w:val="00E60D3C"/>
    <w:rsid w:val="00E60E5F"/>
    <w:rsid w:val="00E60F06"/>
    <w:rsid w:val="00E610F2"/>
    <w:rsid w:val="00E611DF"/>
    <w:rsid w:val="00E61405"/>
    <w:rsid w:val="00E6145C"/>
    <w:rsid w:val="00E61984"/>
    <w:rsid w:val="00E61CF9"/>
    <w:rsid w:val="00E61DB7"/>
    <w:rsid w:val="00E61E98"/>
    <w:rsid w:val="00E62382"/>
    <w:rsid w:val="00E629FC"/>
    <w:rsid w:val="00E62A2A"/>
    <w:rsid w:val="00E62A9F"/>
    <w:rsid w:val="00E62E1B"/>
    <w:rsid w:val="00E62F98"/>
    <w:rsid w:val="00E62FA0"/>
    <w:rsid w:val="00E6350F"/>
    <w:rsid w:val="00E636A8"/>
    <w:rsid w:val="00E63737"/>
    <w:rsid w:val="00E63756"/>
    <w:rsid w:val="00E637F5"/>
    <w:rsid w:val="00E638EA"/>
    <w:rsid w:val="00E63B99"/>
    <w:rsid w:val="00E63CAF"/>
    <w:rsid w:val="00E63E2E"/>
    <w:rsid w:val="00E63EC5"/>
    <w:rsid w:val="00E63EED"/>
    <w:rsid w:val="00E63F4D"/>
    <w:rsid w:val="00E64112"/>
    <w:rsid w:val="00E64224"/>
    <w:rsid w:val="00E644ED"/>
    <w:rsid w:val="00E64601"/>
    <w:rsid w:val="00E64672"/>
    <w:rsid w:val="00E64974"/>
    <w:rsid w:val="00E64983"/>
    <w:rsid w:val="00E64A34"/>
    <w:rsid w:val="00E64AE6"/>
    <w:rsid w:val="00E64F6F"/>
    <w:rsid w:val="00E64FF9"/>
    <w:rsid w:val="00E65062"/>
    <w:rsid w:val="00E6524E"/>
    <w:rsid w:val="00E652C4"/>
    <w:rsid w:val="00E65407"/>
    <w:rsid w:val="00E65466"/>
    <w:rsid w:val="00E656F9"/>
    <w:rsid w:val="00E659E8"/>
    <w:rsid w:val="00E65D09"/>
    <w:rsid w:val="00E65E79"/>
    <w:rsid w:val="00E663EE"/>
    <w:rsid w:val="00E66645"/>
    <w:rsid w:val="00E667ED"/>
    <w:rsid w:val="00E6692D"/>
    <w:rsid w:val="00E66BA2"/>
    <w:rsid w:val="00E66DCC"/>
    <w:rsid w:val="00E66FFC"/>
    <w:rsid w:val="00E67416"/>
    <w:rsid w:val="00E67792"/>
    <w:rsid w:val="00E677A9"/>
    <w:rsid w:val="00E6793E"/>
    <w:rsid w:val="00E67BF2"/>
    <w:rsid w:val="00E67EAE"/>
    <w:rsid w:val="00E70022"/>
    <w:rsid w:val="00E700FB"/>
    <w:rsid w:val="00E70219"/>
    <w:rsid w:val="00E70355"/>
    <w:rsid w:val="00E70420"/>
    <w:rsid w:val="00E70702"/>
    <w:rsid w:val="00E707CB"/>
    <w:rsid w:val="00E7081C"/>
    <w:rsid w:val="00E70B6A"/>
    <w:rsid w:val="00E70B6F"/>
    <w:rsid w:val="00E70C44"/>
    <w:rsid w:val="00E70D41"/>
    <w:rsid w:val="00E70D6B"/>
    <w:rsid w:val="00E71192"/>
    <w:rsid w:val="00E71342"/>
    <w:rsid w:val="00E71616"/>
    <w:rsid w:val="00E71697"/>
    <w:rsid w:val="00E718B6"/>
    <w:rsid w:val="00E7193E"/>
    <w:rsid w:val="00E71BEF"/>
    <w:rsid w:val="00E71EDC"/>
    <w:rsid w:val="00E720DE"/>
    <w:rsid w:val="00E72109"/>
    <w:rsid w:val="00E723BA"/>
    <w:rsid w:val="00E725FC"/>
    <w:rsid w:val="00E72692"/>
    <w:rsid w:val="00E72B4F"/>
    <w:rsid w:val="00E72FF3"/>
    <w:rsid w:val="00E731F1"/>
    <w:rsid w:val="00E7328C"/>
    <w:rsid w:val="00E734D2"/>
    <w:rsid w:val="00E73516"/>
    <w:rsid w:val="00E73581"/>
    <w:rsid w:val="00E735D1"/>
    <w:rsid w:val="00E73A7C"/>
    <w:rsid w:val="00E73CD6"/>
    <w:rsid w:val="00E73D03"/>
    <w:rsid w:val="00E73F76"/>
    <w:rsid w:val="00E73FF9"/>
    <w:rsid w:val="00E74190"/>
    <w:rsid w:val="00E745E6"/>
    <w:rsid w:val="00E747FE"/>
    <w:rsid w:val="00E74895"/>
    <w:rsid w:val="00E749DB"/>
    <w:rsid w:val="00E74D6D"/>
    <w:rsid w:val="00E74D76"/>
    <w:rsid w:val="00E74DCA"/>
    <w:rsid w:val="00E74F23"/>
    <w:rsid w:val="00E74F9E"/>
    <w:rsid w:val="00E75665"/>
    <w:rsid w:val="00E75834"/>
    <w:rsid w:val="00E75B78"/>
    <w:rsid w:val="00E75CC0"/>
    <w:rsid w:val="00E76039"/>
    <w:rsid w:val="00E761C7"/>
    <w:rsid w:val="00E763A4"/>
    <w:rsid w:val="00E76478"/>
    <w:rsid w:val="00E76671"/>
    <w:rsid w:val="00E7676C"/>
    <w:rsid w:val="00E767DC"/>
    <w:rsid w:val="00E769B0"/>
    <w:rsid w:val="00E76A0F"/>
    <w:rsid w:val="00E76C2A"/>
    <w:rsid w:val="00E76F78"/>
    <w:rsid w:val="00E77100"/>
    <w:rsid w:val="00E77101"/>
    <w:rsid w:val="00E77128"/>
    <w:rsid w:val="00E77400"/>
    <w:rsid w:val="00E776FE"/>
    <w:rsid w:val="00E77776"/>
    <w:rsid w:val="00E77937"/>
    <w:rsid w:val="00E7796F"/>
    <w:rsid w:val="00E77AA8"/>
    <w:rsid w:val="00E77AA9"/>
    <w:rsid w:val="00E77C33"/>
    <w:rsid w:val="00E801F6"/>
    <w:rsid w:val="00E802A5"/>
    <w:rsid w:val="00E80367"/>
    <w:rsid w:val="00E804C1"/>
    <w:rsid w:val="00E8081E"/>
    <w:rsid w:val="00E80957"/>
    <w:rsid w:val="00E80A77"/>
    <w:rsid w:val="00E80FDE"/>
    <w:rsid w:val="00E81154"/>
    <w:rsid w:val="00E81675"/>
    <w:rsid w:val="00E81A14"/>
    <w:rsid w:val="00E81DBB"/>
    <w:rsid w:val="00E81FD7"/>
    <w:rsid w:val="00E82522"/>
    <w:rsid w:val="00E82711"/>
    <w:rsid w:val="00E8276E"/>
    <w:rsid w:val="00E82841"/>
    <w:rsid w:val="00E8292A"/>
    <w:rsid w:val="00E82A45"/>
    <w:rsid w:val="00E82AA7"/>
    <w:rsid w:val="00E82AD4"/>
    <w:rsid w:val="00E82CD7"/>
    <w:rsid w:val="00E82E39"/>
    <w:rsid w:val="00E82EEC"/>
    <w:rsid w:val="00E82F01"/>
    <w:rsid w:val="00E82F47"/>
    <w:rsid w:val="00E8307F"/>
    <w:rsid w:val="00E83092"/>
    <w:rsid w:val="00E830A7"/>
    <w:rsid w:val="00E833F7"/>
    <w:rsid w:val="00E834B4"/>
    <w:rsid w:val="00E83675"/>
    <w:rsid w:val="00E836AF"/>
    <w:rsid w:val="00E83717"/>
    <w:rsid w:val="00E83B12"/>
    <w:rsid w:val="00E83BDF"/>
    <w:rsid w:val="00E83D94"/>
    <w:rsid w:val="00E83DAF"/>
    <w:rsid w:val="00E83DE9"/>
    <w:rsid w:val="00E84163"/>
    <w:rsid w:val="00E8441F"/>
    <w:rsid w:val="00E8445C"/>
    <w:rsid w:val="00E8447C"/>
    <w:rsid w:val="00E845B7"/>
    <w:rsid w:val="00E84738"/>
    <w:rsid w:val="00E84815"/>
    <w:rsid w:val="00E84959"/>
    <w:rsid w:val="00E84B21"/>
    <w:rsid w:val="00E84B4F"/>
    <w:rsid w:val="00E84C5E"/>
    <w:rsid w:val="00E853C5"/>
    <w:rsid w:val="00E855B5"/>
    <w:rsid w:val="00E858C1"/>
    <w:rsid w:val="00E85B38"/>
    <w:rsid w:val="00E85C44"/>
    <w:rsid w:val="00E85F45"/>
    <w:rsid w:val="00E86033"/>
    <w:rsid w:val="00E86061"/>
    <w:rsid w:val="00E8607E"/>
    <w:rsid w:val="00E86297"/>
    <w:rsid w:val="00E86385"/>
    <w:rsid w:val="00E86386"/>
    <w:rsid w:val="00E864F5"/>
    <w:rsid w:val="00E867B3"/>
    <w:rsid w:val="00E867DE"/>
    <w:rsid w:val="00E86ABE"/>
    <w:rsid w:val="00E86BEE"/>
    <w:rsid w:val="00E86C42"/>
    <w:rsid w:val="00E86E08"/>
    <w:rsid w:val="00E86FCC"/>
    <w:rsid w:val="00E86FDB"/>
    <w:rsid w:val="00E86FED"/>
    <w:rsid w:val="00E8712F"/>
    <w:rsid w:val="00E871DB"/>
    <w:rsid w:val="00E871E1"/>
    <w:rsid w:val="00E875C6"/>
    <w:rsid w:val="00E87694"/>
    <w:rsid w:val="00E877DB"/>
    <w:rsid w:val="00E87808"/>
    <w:rsid w:val="00E87A1D"/>
    <w:rsid w:val="00E87A74"/>
    <w:rsid w:val="00E87E47"/>
    <w:rsid w:val="00E901AF"/>
    <w:rsid w:val="00E9025F"/>
    <w:rsid w:val="00E9029B"/>
    <w:rsid w:val="00E908E3"/>
    <w:rsid w:val="00E9094A"/>
    <w:rsid w:val="00E90950"/>
    <w:rsid w:val="00E90BD6"/>
    <w:rsid w:val="00E90D52"/>
    <w:rsid w:val="00E913D3"/>
    <w:rsid w:val="00E91598"/>
    <w:rsid w:val="00E91846"/>
    <w:rsid w:val="00E9186C"/>
    <w:rsid w:val="00E91D35"/>
    <w:rsid w:val="00E91E4D"/>
    <w:rsid w:val="00E91EBA"/>
    <w:rsid w:val="00E91F8A"/>
    <w:rsid w:val="00E923A3"/>
    <w:rsid w:val="00E923B6"/>
    <w:rsid w:val="00E92435"/>
    <w:rsid w:val="00E926A5"/>
    <w:rsid w:val="00E927C3"/>
    <w:rsid w:val="00E927E4"/>
    <w:rsid w:val="00E92A44"/>
    <w:rsid w:val="00E92A90"/>
    <w:rsid w:val="00E92B0B"/>
    <w:rsid w:val="00E92EDB"/>
    <w:rsid w:val="00E93063"/>
    <w:rsid w:val="00E93191"/>
    <w:rsid w:val="00E93501"/>
    <w:rsid w:val="00E93590"/>
    <w:rsid w:val="00E936AF"/>
    <w:rsid w:val="00E936F6"/>
    <w:rsid w:val="00E93976"/>
    <w:rsid w:val="00E93A48"/>
    <w:rsid w:val="00E93E4F"/>
    <w:rsid w:val="00E94026"/>
    <w:rsid w:val="00E94084"/>
    <w:rsid w:val="00E94555"/>
    <w:rsid w:val="00E9463D"/>
    <w:rsid w:val="00E947D1"/>
    <w:rsid w:val="00E94850"/>
    <w:rsid w:val="00E94956"/>
    <w:rsid w:val="00E94A41"/>
    <w:rsid w:val="00E94D7D"/>
    <w:rsid w:val="00E94EAB"/>
    <w:rsid w:val="00E9504A"/>
    <w:rsid w:val="00E95151"/>
    <w:rsid w:val="00E95199"/>
    <w:rsid w:val="00E9552E"/>
    <w:rsid w:val="00E95966"/>
    <w:rsid w:val="00E95A1A"/>
    <w:rsid w:val="00E95C1B"/>
    <w:rsid w:val="00E95C5D"/>
    <w:rsid w:val="00E95CF1"/>
    <w:rsid w:val="00E95D09"/>
    <w:rsid w:val="00E95FA0"/>
    <w:rsid w:val="00E9603B"/>
    <w:rsid w:val="00E96206"/>
    <w:rsid w:val="00E962CC"/>
    <w:rsid w:val="00E96344"/>
    <w:rsid w:val="00E964B3"/>
    <w:rsid w:val="00E96552"/>
    <w:rsid w:val="00E96568"/>
    <w:rsid w:val="00E9657A"/>
    <w:rsid w:val="00E966CE"/>
    <w:rsid w:val="00E9672E"/>
    <w:rsid w:val="00E96910"/>
    <w:rsid w:val="00E96A1D"/>
    <w:rsid w:val="00E96B01"/>
    <w:rsid w:val="00E96B4F"/>
    <w:rsid w:val="00E96BB2"/>
    <w:rsid w:val="00E96D69"/>
    <w:rsid w:val="00E96F99"/>
    <w:rsid w:val="00E97238"/>
    <w:rsid w:val="00E97267"/>
    <w:rsid w:val="00E9730A"/>
    <w:rsid w:val="00E9737E"/>
    <w:rsid w:val="00E9748D"/>
    <w:rsid w:val="00E97724"/>
    <w:rsid w:val="00E97805"/>
    <w:rsid w:val="00E97CA4"/>
    <w:rsid w:val="00EA0091"/>
    <w:rsid w:val="00EA0128"/>
    <w:rsid w:val="00EA05DE"/>
    <w:rsid w:val="00EA06E3"/>
    <w:rsid w:val="00EA08E0"/>
    <w:rsid w:val="00EA0A02"/>
    <w:rsid w:val="00EA0C9E"/>
    <w:rsid w:val="00EA0CE3"/>
    <w:rsid w:val="00EA0ED3"/>
    <w:rsid w:val="00EA0F5E"/>
    <w:rsid w:val="00EA1066"/>
    <w:rsid w:val="00EA10C0"/>
    <w:rsid w:val="00EA125E"/>
    <w:rsid w:val="00EA129D"/>
    <w:rsid w:val="00EA13FF"/>
    <w:rsid w:val="00EA15C4"/>
    <w:rsid w:val="00EA17C3"/>
    <w:rsid w:val="00EA19A3"/>
    <w:rsid w:val="00EA1ABC"/>
    <w:rsid w:val="00EA1CB5"/>
    <w:rsid w:val="00EA1E28"/>
    <w:rsid w:val="00EA1E3F"/>
    <w:rsid w:val="00EA1E6F"/>
    <w:rsid w:val="00EA2028"/>
    <w:rsid w:val="00EA20B1"/>
    <w:rsid w:val="00EA2698"/>
    <w:rsid w:val="00EA274E"/>
    <w:rsid w:val="00EA2751"/>
    <w:rsid w:val="00EA282A"/>
    <w:rsid w:val="00EA2963"/>
    <w:rsid w:val="00EA29F1"/>
    <w:rsid w:val="00EA2C60"/>
    <w:rsid w:val="00EA2CAA"/>
    <w:rsid w:val="00EA2D10"/>
    <w:rsid w:val="00EA31B1"/>
    <w:rsid w:val="00EA321F"/>
    <w:rsid w:val="00EA3236"/>
    <w:rsid w:val="00EA3548"/>
    <w:rsid w:val="00EA3695"/>
    <w:rsid w:val="00EA3864"/>
    <w:rsid w:val="00EA3ABE"/>
    <w:rsid w:val="00EA3CA1"/>
    <w:rsid w:val="00EA3CB0"/>
    <w:rsid w:val="00EA3EAE"/>
    <w:rsid w:val="00EA3F83"/>
    <w:rsid w:val="00EA4603"/>
    <w:rsid w:val="00EA4701"/>
    <w:rsid w:val="00EA47DD"/>
    <w:rsid w:val="00EA4835"/>
    <w:rsid w:val="00EA48B7"/>
    <w:rsid w:val="00EA4D78"/>
    <w:rsid w:val="00EA5255"/>
    <w:rsid w:val="00EA52B1"/>
    <w:rsid w:val="00EA548E"/>
    <w:rsid w:val="00EA567E"/>
    <w:rsid w:val="00EA5745"/>
    <w:rsid w:val="00EA57BF"/>
    <w:rsid w:val="00EA5811"/>
    <w:rsid w:val="00EA59A0"/>
    <w:rsid w:val="00EA5BE2"/>
    <w:rsid w:val="00EA5F65"/>
    <w:rsid w:val="00EA65A5"/>
    <w:rsid w:val="00EA666A"/>
    <w:rsid w:val="00EA6777"/>
    <w:rsid w:val="00EA68B7"/>
    <w:rsid w:val="00EA6BDF"/>
    <w:rsid w:val="00EA7198"/>
    <w:rsid w:val="00EA72B1"/>
    <w:rsid w:val="00EA735B"/>
    <w:rsid w:val="00EA73CA"/>
    <w:rsid w:val="00EA746F"/>
    <w:rsid w:val="00EA760F"/>
    <w:rsid w:val="00EA7867"/>
    <w:rsid w:val="00EA78AA"/>
    <w:rsid w:val="00EA79B0"/>
    <w:rsid w:val="00EA7A20"/>
    <w:rsid w:val="00EA7C69"/>
    <w:rsid w:val="00EA7CE4"/>
    <w:rsid w:val="00EA7D20"/>
    <w:rsid w:val="00EA7E50"/>
    <w:rsid w:val="00EA7F1C"/>
    <w:rsid w:val="00EA7F44"/>
    <w:rsid w:val="00EB0004"/>
    <w:rsid w:val="00EB000A"/>
    <w:rsid w:val="00EB00B9"/>
    <w:rsid w:val="00EB014A"/>
    <w:rsid w:val="00EB0380"/>
    <w:rsid w:val="00EB039A"/>
    <w:rsid w:val="00EB0736"/>
    <w:rsid w:val="00EB09BB"/>
    <w:rsid w:val="00EB0B0E"/>
    <w:rsid w:val="00EB0B16"/>
    <w:rsid w:val="00EB0DB6"/>
    <w:rsid w:val="00EB1275"/>
    <w:rsid w:val="00EB15B6"/>
    <w:rsid w:val="00EB17E1"/>
    <w:rsid w:val="00EB1862"/>
    <w:rsid w:val="00EB18A0"/>
    <w:rsid w:val="00EB18FD"/>
    <w:rsid w:val="00EB19EE"/>
    <w:rsid w:val="00EB1C76"/>
    <w:rsid w:val="00EB1CED"/>
    <w:rsid w:val="00EB1E8C"/>
    <w:rsid w:val="00EB1ED4"/>
    <w:rsid w:val="00EB21A5"/>
    <w:rsid w:val="00EB2498"/>
    <w:rsid w:val="00EB26CB"/>
    <w:rsid w:val="00EB279E"/>
    <w:rsid w:val="00EB2AD0"/>
    <w:rsid w:val="00EB2D58"/>
    <w:rsid w:val="00EB2D5F"/>
    <w:rsid w:val="00EB2E24"/>
    <w:rsid w:val="00EB2E76"/>
    <w:rsid w:val="00EB3044"/>
    <w:rsid w:val="00EB304E"/>
    <w:rsid w:val="00EB307D"/>
    <w:rsid w:val="00EB337A"/>
    <w:rsid w:val="00EB3625"/>
    <w:rsid w:val="00EB386D"/>
    <w:rsid w:val="00EB39A9"/>
    <w:rsid w:val="00EB39ED"/>
    <w:rsid w:val="00EB3BD5"/>
    <w:rsid w:val="00EB3BE5"/>
    <w:rsid w:val="00EB3D06"/>
    <w:rsid w:val="00EB3D8A"/>
    <w:rsid w:val="00EB3E45"/>
    <w:rsid w:val="00EB3E98"/>
    <w:rsid w:val="00EB4028"/>
    <w:rsid w:val="00EB4136"/>
    <w:rsid w:val="00EB414B"/>
    <w:rsid w:val="00EB4371"/>
    <w:rsid w:val="00EB4521"/>
    <w:rsid w:val="00EB4598"/>
    <w:rsid w:val="00EB460C"/>
    <w:rsid w:val="00EB4864"/>
    <w:rsid w:val="00EB4916"/>
    <w:rsid w:val="00EB497E"/>
    <w:rsid w:val="00EB4EAC"/>
    <w:rsid w:val="00EB4F61"/>
    <w:rsid w:val="00EB4F9C"/>
    <w:rsid w:val="00EB4FA5"/>
    <w:rsid w:val="00EB52BF"/>
    <w:rsid w:val="00EB546D"/>
    <w:rsid w:val="00EB559F"/>
    <w:rsid w:val="00EB5628"/>
    <w:rsid w:val="00EB56DB"/>
    <w:rsid w:val="00EB579D"/>
    <w:rsid w:val="00EB5832"/>
    <w:rsid w:val="00EB583D"/>
    <w:rsid w:val="00EB5897"/>
    <w:rsid w:val="00EB5D66"/>
    <w:rsid w:val="00EB5D89"/>
    <w:rsid w:val="00EB5DA5"/>
    <w:rsid w:val="00EB5FAD"/>
    <w:rsid w:val="00EB636A"/>
    <w:rsid w:val="00EB64F5"/>
    <w:rsid w:val="00EB6574"/>
    <w:rsid w:val="00EB66AA"/>
    <w:rsid w:val="00EB6870"/>
    <w:rsid w:val="00EB695C"/>
    <w:rsid w:val="00EB6A41"/>
    <w:rsid w:val="00EB6A97"/>
    <w:rsid w:val="00EB6BBD"/>
    <w:rsid w:val="00EB6D5F"/>
    <w:rsid w:val="00EB6F61"/>
    <w:rsid w:val="00EB6FDC"/>
    <w:rsid w:val="00EB70C4"/>
    <w:rsid w:val="00EB70DC"/>
    <w:rsid w:val="00EB71E0"/>
    <w:rsid w:val="00EB7203"/>
    <w:rsid w:val="00EB727C"/>
    <w:rsid w:val="00EB72F0"/>
    <w:rsid w:val="00EB771C"/>
    <w:rsid w:val="00EB788E"/>
    <w:rsid w:val="00EB78F4"/>
    <w:rsid w:val="00EB7935"/>
    <w:rsid w:val="00EB7C4D"/>
    <w:rsid w:val="00EB7D1F"/>
    <w:rsid w:val="00EB7FEF"/>
    <w:rsid w:val="00EC0076"/>
    <w:rsid w:val="00EC00C9"/>
    <w:rsid w:val="00EC015A"/>
    <w:rsid w:val="00EC016A"/>
    <w:rsid w:val="00EC0226"/>
    <w:rsid w:val="00EC0482"/>
    <w:rsid w:val="00EC06AF"/>
    <w:rsid w:val="00EC081F"/>
    <w:rsid w:val="00EC08EE"/>
    <w:rsid w:val="00EC0973"/>
    <w:rsid w:val="00EC0996"/>
    <w:rsid w:val="00EC09B7"/>
    <w:rsid w:val="00EC0B83"/>
    <w:rsid w:val="00EC0BD4"/>
    <w:rsid w:val="00EC0D26"/>
    <w:rsid w:val="00EC0DBE"/>
    <w:rsid w:val="00EC0DD9"/>
    <w:rsid w:val="00EC1187"/>
    <w:rsid w:val="00EC118F"/>
    <w:rsid w:val="00EC11C4"/>
    <w:rsid w:val="00EC1226"/>
    <w:rsid w:val="00EC1662"/>
    <w:rsid w:val="00EC16C9"/>
    <w:rsid w:val="00EC18D7"/>
    <w:rsid w:val="00EC191F"/>
    <w:rsid w:val="00EC1AB0"/>
    <w:rsid w:val="00EC1ADD"/>
    <w:rsid w:val="00EC1E49"/>
    <w:rsid w:val="00EC1F63"/>
    <w:rsid w:val="00EC1F86"/>
    <w:rsid w:val="00EC2072"/>
    <w:rsid w:val="00EC20E1"/>
    <w:rsid w:val="00EC20E5"/>
    <w:rsid w:val="00EC225E"/>
    <w:rsid w:val="00EC232B"/>
    <w:rsid w:val="00EC23ED"/>
    <w:rsid w:val="00EC24E8"/>
    <w:rsid w:val="00EC2507"/>
    <w:rsid w:val="00EC251A"/>
    <w:rsid w:val="00EC258D"/>
    <w:rsid w:val="00EC25A9"/>
    <w:rsid w:val="00EC2649"/>
    <w:rsid w:val="00EC26D6"/>
    <w:rsid w:val="00EC292B"/>
    <w:rsid w:val="00EC29A7"/>
    <w:rsid w:val="00EC2B57"/>
    <w:rsid w:val="00EC2BAD"/>
    <w:rsid w:val="00EC2E9C"/>
    <w:rsid w:val="00EC2FF3"/>
    <w:rsid w:val="00EC3036"/>
    <w:rsid w:val="00EC30BA"/>
    <w:rsid w:val="00EC315C"/>
    <w:rsid w:val="00EC31ED"/>
    <w:rsid w:val="00EC32DC"/>
    <w:rsid w:val="00EC3320"/>
    <w:rsid w:val="00EC3881"/>
    <w:rsid w:val="00EC3935"/>
    <w:rsid w:val="00EC3F03"/>
    <w:rsid w:val="00EC3F4D"/>
    <w:rsid w:val="00EC3F81"/>
    <w:rsid w:val="00EC401E"/>
    <w:rsid w:val="00EC42E0"/>
    <w:rsid w:val="00EC4571"/>
    <w:rsid w:val="00EC46CC"/>
    <w:rsid w:val="00EC48B0"/>
    <w:rsid w:val="00EC4B50"/>
    <w:rsid w:val="00EC4BF8"/>
    <w:rsid w:val="00EC4F16"/>
    <w:rsid w:val="00EC5246"/>
    <w:rsid w:val="00EC5263"/>
    <w:rsid w:val="00EC536C"/>
    <w:rsid w:val="00EC54E5"/>
    <w:rsid w:val="00EC54EA"/>
    <w:rsid w:val="00EC5836"/>
    <w:rsid w:val="00EC5A2E"/>
    <w:rsid w:val="00EC5A70"/>
    <w:rsid w:val="00EC5B12"/>
    <w:rsid w:val="00EC5EDC"/>
    <w:rsid w:val="00EC5FB2"/>
    <w:rsid w:val="00EC6021"/>
    <w:rsid w:val="00EC6442"/>
    <w:rsid w:val="00EC64CC"/>
    <w:rsid w:val="00EC6519"/>
    <w:rsid w:val="00EC6573"/>
    <w:rsid w:val="00EC67ED"/>
    <w:rsid w:val="00EC67F7"/>
    <w:rsid w:val="00EC688C"/>
    <w:rsid w:val="00EC6B67"/>
    <w:rsid w:val="00EC6C63"/>
    <w:rsid w:val="00EC6EA5"/>
    <w:rsid w:val="00EC6ED3"/>
    <w:rsid w:val="00EC6FD7"/>
    <w:rsid w:val="00EC7169"/>
    <w:rsid w:val="00EC739E"/>
    <w:rsid w:val="00EC74ED"/>
    <w:rsid w:val="00EC7617"/>
    <w:rsid w:val="00EC764B"/>
    <w:rsid w:val="00EC76A7"/>
    <w:rsid w:val="00EC7718"/>
    <w:rsid w:val="00EC7860"/>
    <w:rsid w:val="00EC7A1C"/>
    <w:rsid w:val="00EC7C81"/>
    <w:rsid w:val="00ED012D"/>
    <w:rsid w:val="00ED038B"/>
    <w:rsid w:val="00ED0438"/>
    <w:rsid w:val="00ED04F5"/>
    <w:rsid w:val="00ED0569"/>
    <w:rsid w:val="00ED06B4"/>
    <w:rsid w:val="00ED071E"/>
    <w:rsid w:val="00ED0932"/>
    <w:rsid w:val="00ED09F0"/>
    <w:rsid w:val="00ED0CBB"/>
    <w:rsid w:val="00ED0CE3"/>
    <w:rsid w:val="00ED1060"/>
    <w:rsid w:val="00ED11F0"/>
    <w:rsid w:val="00ED12E3"/>
    <w:rsid w:val="00ED139D"/>
    <w:rsid w:val="00ED13A8"/>
    <w:rsid w:val="00ED1643"/>
    <w:rsid w:val="00ED16F1"/>
    <w:rsid w:val="00ED1B5E"/>
    <w:rsid w:val="00ED1F9F"/>
    <w:rsid w:val="00ED1FE0"/>
    <w:rsid w:val="00ED1FE4"/>
    <w:rsid w:val="00ED23E3"/>
    <w:rsid w:val="00ED2D2F"/>
    <w:rsid w:val="00ED2D40"/>
    <w:rsid w:val="00ED2F32"/>
    <w:rsid w:val="00ED2F5A"/>
    <w:rsid w:val="00ED2FE9"/>
    <w:rsid w:val="00ED32D9"/>
    <w:rsid w:val="00ED34C3"/>
    <w:rsid w:val="00ED35A9"/>
    <w:rsid w:val="00ED375B"/>
    <w:rsid w:val="00ED37B3"/>
    <w:rsid w:val="00ED3BB7"/>
    <w:rsid w:val="00ED3D0E"/>
    <w:rsid w:val="00ED3EA8"/>
    <w:rsid w:val="00ED4087"/>
    <w:rsid w:val="00ED41DC"/>
    <w:rsid w:val="00ED44B4"/>
    <w:rsid w:val="00ED4855"/>
    <w:rsid w:val="00ED48FD"/>
    <w:rsid w:val="00ED4A45"/>
    <w:rsid w:val="00ED4A8A"/>
    <w:rsid w:val="00ED4B04"/>
    <w:rsid w:val="00ED4C01"/>
    <w:rsid w:val="00ED4C3C"/>
    <w:rsid w:val="00ED4CC8"/>
    <w:rsid w:val="00ED4DF6"/>
    <w:rsid w:val="00ED527D"/>
    <w:rsid w:val="00ED52C0"/>
    <w:rsid w:val="00ED548E"/>
    <w:rsid w:val="00ED54A7"/>
    <w:rsid w:val="00ED54CD"/>
    <w:rsid w:val="00ED57AC"/>
    <w:rsid w:val="00ED57B8"/>
    <w:rsid w:val="00ED57EA"/>
    <w:rsid w:val="00ED5B32"/>
    <w:rsid w:val="00ED5BD4"/>
    <w:rsid w:val="00ED5DB3"/>
    <w:rsid w:val="00ED5DC2"/>
    <w:rsid w:val="00ED5EFD"/>
    <w:rsid w:val="00ED5F08"/>
    <w:rsid w:val="00ED5F1E"/>
    <w:rsid w:val="00ED5FC4"/>
    <w:rsid w:val="00ED60A5"/>
    <w:rsid w:val="00ED6268"/>
    <w:rsid w:val="00ED6408"/>
    <w:rsid w:val="00ED655E"/>
    <w:rsid w:val="00ED6980"/>
    <w:rsid w:val="00ED6A33"/>
    <w:rsid w:val="00ED6A7C"/>
    <w:rsid w:val="00ED6E09"/>
    <w:rsid w:val="00ED6E73"/>
    <w:rsid w:val="00ED7007"/>
    <w:rsid w:val="00ED75E2"/>
    <w:rsid w:val="00ED776B"/>
    <w:rsid w:val="00ED7A1D"/>
    <w:rsid w:val="00ED7AA5"/>
    <w:rsid w:val="00ED7F79"/>
    <w:rsid w:val="00EE0483"/>
    <w:rsid w:val="00EE0686"/>
    <w:rsid w:val="00EE07D3"/>
    <w:rsid w:val="00EE0A38"/>
    <w:rsid w:val="00EE1139"/>
    <w:rsid w:val="00EE142F"/>
    <w:rsid w:val="00EE1446"/>
    <w:rsid w:val="00EE1447"/>
    <w:rsid w:val="00EE14DD"/>
    <w:rsid w:val="00EE150D"/>
    <w:rsid w:val="00EE157C"/>
    <w:rsid w:val="00EE16BC"/>
    <w:rsid w:val="00EE17CE"/>
    <w:rsid w:val="00EE1996"/>
    <w:rsid w:val="00EE1A6F"/>
    <w:rsid w:val="00EE1C01"/>
    <w:rsid w:val="00EE1EFA"/>
    <w:rsid w:val="00EE2157"/>
    <w:rsid w:val="00EE218E"/>
    <w:rsid w:val="00EE21C6"/>
    <w:rsid w:val="00EE22AF"/>
    <w:rsid w:val="00EE2351"/>
    <w:rsid w:val="00EE2367"/>
    <w:rsid w:val="00EE264A"/>
    <w:rsid w:val="00EE27D0"/>
    <w:rsid w:val="00EE28CC"/>
    <w:rsid w:val="00EE2BAC"/>
    <w:rsid w:val="00EE2BE3"/>
    <w:rsid w:val="00EE2C38"/>
    <w:rsid w:val="00EE2CAA"/>
    <w:rsid w:val="00EE2E2F"/>
    <w:rsid w:val="00EE3360"/>
    <w:rsid w:val="00EE3412"/>
    <w:rsid w:val="00EE3542"/>
    <w:rsid w:val="00EE3630"/>
    <w:rsid w:val="00EE36A0"/>
    <w:rsid w:val="00EE4034"/>
    <w:rsid w:val="00EE4262"/>
    <w:rsid w:val="00EE42E9"/>
    <w:rsid w:val="00EE4496"/>
    <w:rsid w:val="00EE47BD"/>
    <w:rsid w:val="00EE482D"/>
    <w:rsid w:val="00EE48A3"/>
    <w:rsid w:val="00EE4998"/>
    <w:rsid w:val="00EE4C56"/>
    <w:rsid w:val="00EE50E1"/>
    <w:rsid w:val="00EE5145"/>
    <w:rsid w:val="00EE51CD"/>
    <w:rsid w:val="00EE53DE"/>
    <w:rsid w:val="00EE5728"/>
    <w:rsid w:val="00EE57F2"/>
    <w:rsid w:val="00EE5A2F"/>
    <w:rsid w:val="00EE5B7E"/>
    <w:rsid w:val="00EE5C2C"/>
    <w:rsid w:val="00EE5F9F"/>
    <w:rsid w:val="00EE6008"/>
    <w:rsid w:val="00EE6094"/>
    <w:rsid w:val="00EE6672"/>
    <w:rsid w:val="00EE6689"/>
    <w:rsid w:val="00EE6756"/>
    <w:rsid w:val="00EE6759"/>
    <w:rsid w:val="00EE6A11"/>
    <w:rsid w:val="00EE6C35"/>
    <w:rsid w:val="00EE6DA1"/>
    <w:rsid w:val="00EE6FC7"/>
    <w:rsid w:val="00EE7025"/>
    <w:rsid w:val="00EE72AA"/>
    <w:rsid w:val="00EE75DE"/>
    <w:rsid w:val="00EE75FE"/>
    <w:rsid w:val="00EE76E1"/>
    <w:rsid w:val="00EE7836"/>
    <w:rsid w:val="00EE7AD1"/>
    <w:rsid w:val="00EE7B46"/>
    <w:rsid w:val="00EE7E33"/>
    <w:rsid w:val="00EE7E3D"/>
    <w:rsid w:val="00EE7E93"/>
    <w:rsid w:val="00EE7F11"/>
    <w:rsid w:val="00EF0141"/>
    <w:rsid w:val="00EF0171"/>
    <w:rsid w:val="00EF0246"/>
    <w:rsid w:val="00EF0333"/>
    <w:rsid w:val="00EF03E1"/>
    <w:rsid w:val="00EF070A"/>
    <w:rsid w:val="00EF072C"/>
    <w:rsid w:val="00EF0862"/>
    <w:rsid w:val="00EF0A85"/>
    <w:rsid w:val="00EF0BF2"/>
    <w:rsid w:val="00EF10B4"/>
    <w:rsid w:val="00EF129C"/>
    <w:rsid w:val="00EF1339"/>
    <w:rsid w:val="00EF1446"/>
    <w:rsid w:val="00EF147F"/>
    <w:rsid w:val="00EF14C8"/>
    <w:rsid w:val="00EF1595"/>
    <w:rsid w:val="00EF17D1"/>
    <w:rsid w:val="00EF17EE"/>
    <w:rsid w:val="00EF185F"/>
    <w:rsid w:val="00EF1946"/>
    <w:rsid w:val="00EF1986"/>
    <w:rsid w:val="00EF1997"/>
    <w:rsid w:val="00EF1A6E"/>
    <w:rsid w:val="00EF1B25"/>
    <w:rsid w:val="00EF1BB2"/>
    <w:rsid w:val="00EF1C1B"/>
    <w:rsid w:val="00EF1D63"/>
    <w:rsid w:val="00EF1D99"/>
    <w:rsid w:val="00EF1DA0"/>
    <w:rsid w:val="00EF1DEC"/>
    <w:rsid w:val="00EF20E9"/>
    <w:rsid w:val="00EF21C6"/>
    <w:rsid w:val="00EF23A6"/>
    <w:rsid w:val="00EF250B"/>
    <w:rsid w:val="00EF260C"/>
    <w:rsid w:val="00EF2F31"/>
    <w:rsid w:val="00EF2FDC"/>
    <w:rsid w:val="00EF31E2"/>
    <w:rsid w:val="00EF37B5"/>
    <w:rsid w:val="00EF3861"/>
    <w:rsid w:val="00EF39DE"/>
    <w:rsid w:val="00EF3C48"/>
    <w:rsid w:val="00EF3E91"/>
    <w:rsid w:val="00EF402D"/>
    <w:rsid w:val="00EF4421"/>
    <w:rsid w:val="00EF4503"/>
    <w:rsid w:val="00EF458A"/>
    <w:rsid w:val="00EF4747"/>
    <w:rsid w:val="00EF478A"/>
    <w:rsid w:val="00EF47CD"/>
    <w:rsid w:val="00EF4BF8"/>
    <w:rsid w:val="00EF5262"/>
    <w:rsid w:val="00EF55EE"/>
    <w:rsid w:val="00EF5622"/>
    <w:rsid w:val="00EF58C2"/>
    <w:rsid w:val="00EF5979"/>
    <w:rsid w:val="00EF5A11"/>
    <w:rsid w:val="00EF5A43"/>
    <w:rsid w:val="00EF5D6A"/>
    <w:rsid w:val="00EF60C0"/>
    <w:rsid w:val="00EF61F5"/>
    <w:rsid w:val="00EF6275"/>
    <w:rsid w:val="00EF6395"/>
    <w:rsid w:val="00EF63EE"/>
    <w:rsid w:val="00EF661C"/>
    <w:rsid w:val="00EF66D5"/>
    <w:rsid w:val="00EF69A8"/>
    <w:rsid w:val="00EF6BCB"/>
    <w:rsid w:val="00EF6E41"/>
    <w:rsid w:val="00EF70C7"/>
    <w:rsid w:val="00EF71B7"/>
    <w:rsid w:val="00EF756E"/>
    <w:rsid w:val="00EF7677"/>
    <w:rsid w:val="00EF7E74"/>
    <w:rsid w:val="00EF7F17"/>
    <w:rsid w:val="00F0042B"/>
    <w:rsid w:val="00F0057C"/>
    <w:rsid w:val="00F006B9"/>
    <w:rsid w:val="00F00739"/>
    <w:rsid w:val="00F007E7"/>
    <w:rsid w:val="00F00872"/>
    <w:rsid w:val="00F00913"/>
    <w:rsid w:val="00F00946"/>
    <w:rsid w:val="00F00F05"/>
    <w:rsid w:val="00F00F1F"/>
    <w:rsid w:val="00F00F34"/>
    <w:rsid w:val="00F00FD9"/>
    <w:rsid w:val="00F012D5"/>
    <w:rsid w:val="00F014B4"/>
    <w:rsid w:val="00F014EF"/>
    <w:rsid w:val="00F0150F"/>
    <w:rsid w:val="00F01596"/>
    <w:rsid w:val="00F016EC"/>
    <w:rsid w:val="00F01773"/>
    <w:rsid w:val="00F019D5"/>
    <w:rsid w:val="00F01D36"/>
    <w:rsid w:val="00F01DD6"/>
    <w:rsid w:val="00F01E67"/>
    <w:rsid w:val="00F021D7"/>
    <w:rsid w:val="00F021DE"/>
    <w:rsid w:val="00F02253"/>
    <w:rsid w:val="00F023AA"/>
    <w:rsid w:val="00F0284E"/>
    <w:rsid w:val="00F029BE"/>
    <w:rsid w:val="00F02ABA"/>
    <w:rsid w:val="00F02C55"/>
    <w:rsid w:val="00F02C70"/>
    <w:rsid w:val="00F02CFA"/>
    <w:rsid w:val="00F02EB1"/>
    <w:rsid w:val="00F034FC"/>
    <w:rsid w:val="00F0384E"/>
    <w:rsid w:val="00F03C2E"/>
    <w:rsid w:val="00F03D86"/>
    <w:rsid w:val="00F0426A"/>
    <w:rsid w:val="00F045DC"/>
    <w:rsid w:val="00F0466D"/>
    <w:rsid w:val="00F0476C"/>
    <w:rsid w:val="00F047BD"/>
    <w:rsid w:val="00F04839"/>
    <w:rsid w:val="00F049E8"/>
    <w:rsid w:val="00F04A66"/>
    <w:rsid w:val="00F04A90"/>
    <w:rsid w:val="00F04B4B"/>
    <w:rsid w:val="00F04D19"/>
    <w:rsid w:val="00F04E84"/>
    <w:rsid w:val="00F04F78"/>
    <w:rsid w:val="00F050CF"/>
    <w:rsid w:val="00F0516C"/>
    <w:rsid w:val="00F05246"/>
    <w:rsid w:val="00F05304"/>
    <w:rsid w:val="00F054CF"/>
    <w:rsid w:val="00F055E2"/>
    <w:rsid w:val="00F0580B"/>
    <w:rsid w:val="00F05B71"/>
    <w:rsid w:val="00F05C56"/>
    <w:rsid w:val="00F05F0A"/>
    <w:rsid w:val="00F0601D"/>
    <w:rsid w:val="00F061B7"/>
    <w:rsid w:val="00F0625C"/>
    <w:rsid w:val="00F06499"/>
    <w:rsid w:val="00F06551"/>
    <w:rsid w:val="00F06645"/>
    <w:rsid w:val="00F066B3"/>
    <w:rsid w:val="00F0674E"/>
    <w:rsid w:val="00F067A2"/>
    <w:rsid w:val="00F06933"/>
    <w:rsid w:val="00F06B0E"/>
    <w:rsid w:val="00F06B7F"/>
    <w:rsid w:val="00F06CC2"/>
    <w:rsid w:val="00F06CC7"/>
    <w:rsid w:val="00F06EA3"/>
    <w:rsid w:val="00F0705D"/>
    <w:rsid w:val="00F071BE"/>
    <w:rsid w:val="00F072D4"/>
    <w:rsid w:val="00F07364"/>
    <w:rsid w:val="00F075A1"/>
    <w:rsid w:val="00F079B5"/>
    <w:rsid w:val="00F07B9E"/>
    <w:rsid w:val="00F07C17"/>
    <w:rsid w:val="00F07F32"/>
    <w:rsid w:val="00F07FBF"/>
    <w:rsid w:val="00F10A16"/>
    <w:rsid w:val="00F10A2D"/>
    <w:rsid w:val="00F10AF7"/>
    <w:rsid w:val="00F10C7A"/>
    <w:rsid w:val="00F10D88"/>
    <w:rsid w:val="00F10F0C"/>
    <w:rsid w:val="00F10F91"/>
    <w:rsid w:val="00F1116F"/>
    <w:rsid w:val="00F11391"/>
    <w:rsid w:val="00F115E5"/>
    <w:rsid w:val="00F115EF"/>
    <w:rsid w:val="00F1175D"/>
    <w:rsid w:val="00F11B12"/>
    <w:rsid w:val="00F11BF1"/>
    <w:rsid w:val="00F11C94"/>
    <w:rsid w:val="00F11D97"/>
    <w:rsid w:val="00F12255"/>
    <w:rsid w:val="00F124F7"/>
    <w:rsid w:val="00F12562"/>
    <w:rsid w:val="00F1263A"/>
    <w:rsid w:val="00F1264F"/>
    <w:rsid w:val="00F129F2"/>
    <w:rsid w:val="00F12BBA"/>
    <w:rsid w:val="00F12D25"/>
    <w:rsid w:val="00F1333A"/>
    <w:rsid w:val="00F133D7"/>
    <w:rsid w:val="00F1343F"/>
    <w:rsid w:val="00F1348B"/>
    <w:rsid w:val="00F138EF"/>
    <w:rsid w:val="00F139C5"/>
    <w:rsid w:val="00F13C27"/>
    <w:rsid w:val="00F13E20"/>
    <w:rsid w:val="00F14016"/>
    <w:rsid w:val="00F14169"/>
    <w:rsid w:val="00F142DB"/>
    <w:rsid w:val="00F1430F"/>
    <w:rsid w:val="00F144E8"/>
    <w:rsid w:val="00F14580"/>
    <w:rsid w:val="00F145D0"/>
    <w:rsid w:val="00F14685"/>
    <w:rsid w:val="00F1478E"/>
    <w:rsid w:val="00F14B4F"/>
    <w:rsid w:val="00F15183"/>
    <w:rsid w:val="00F1527C"/>
    <w:rsid w:val="00F1540A"/>
    <w:rsid w:val="00F15796"/>
    <w:rsid w:val="00F1582C"/>
    <w:rsid w:val="00F15AE8"/>
    <w:rsid w:val="00F15B63"/>
    <w:rsid w:val="00F15B77"/>
    <w:rsid w:val="00F15D8A"/>
    <w:rsid w:val="00F16022"/>
    <w:rsid w:val="00F162C7"/>
    <w:rsid w:val="00F16634"/>
    <w:rsid w:val="00F168E8"/>
    <w:rsid w:val="00F169D0"/>
    <w:rsid w:val="00F16BB9"/>
    <w:rsid w:val="00F16D74"/>
    <w:rsid w:val="00F16F2A"/>
    <w:rsid w:val="00F16FA2"/>
    <w:rsid w:val="00F1702F"/>
    <w:rsid w:val="00F171D2"/>
    <w:rsid w:val="00F17253"/>
    <w:rsid w:val="00F17278"/>
    <w:rsid w:val="00F1729F"/>
    <w:rsid w:val="00F174C2"/>
    <w:rsid w:val="00F17D8B"/>
    <w:rsid w:val="00F17E38"/>
    <w:rsid w:val="00F17F6F"/>
    <w:rsid w:val="00F200CA"/>
    <w:rsid w:val="00F203F5"/>
    <w:rsid w:val="00F20637"/>
    <w:rsid w:val="00F206D9"/>
    <w:rsid w:val="00F208E2"/>
    <w:rsid w:val="00F20A4A"/>
    <w:rsid w:val="00F20AB4"/>
    <w:rsid w:val="00F20B5B"/>
    <w:rsid w:val="00F20C65"/>
    <w:rsid w:val="00F20D0C"/>
    <w:rsid w:val="00F21163"/>
    <w:rsid w:val="00F21236"/>
    <w:rsid w:val="00F212D3"/>
    <w:rsid w:val="00F213BF"/>
    <w:rsid w:val="00F21461"/>
    <w:rsid w:val="00F2153D"/>
    <w:rsid w:val="00F218D2"/>
    <w:rsid w:val="00F21A54"/>
    <w:rsid w:val="00F21A70"/>
    <w:rsid w:val="00F22259"/>
    <w:rsid w:val="00F22393"/>
    <w:rsid w:val="00F2243F"/>
    <w:rsid w:val="00F22524"/>
    <w:rsid w:val="00F225C6"/>
    <w:rsid w:val="00F22617"/>
    <w:rsid w:val="00F226B7"/>
    <w:rsid w:val="00F22741"/>
    <w:rsid w:val="00F227D4"/>
    <w:rsid w:val="00F228AF"/>
    <w:rsid w:val="00F22D35"/>
    <w:rsid w:val="00F23093"/>
    <w:rsid w:val="00F23781"/>
    <w:rsid w:val="00F23785"/>
    <w:rsid w:val="00F23828"/>
    <w:rsid w:val="00F2388C"/>
    <w:rsid w:val="00F23909"/>
    <w:rsid w:val="00F239DF"/>
    <w:rsid w:val="00F23B26"/>
    <w:rsid w:val="00F23E8D"/>
    <w:rsid w:val="00F23F25"/>
    <w:rsid w:val="00F2409C"/>
    <w:rsid w:val="00F240B3"/>
    <w:rsid w:val="00F24673"/>
    <w:rsid w:val="00F246F9"/>
    <w:rsid w:val="00F24837"/>
    <w:rsid w:val="00F2484F"/>
    <w:rsid w:val="00F248AD"/>
    <w:rsid w:val="00F24AB6"/>
    <w:rsid w:val="00F24B19"/>
    <w:rsid w:val="00F24B45"/>
    <w:rsid w:val="00F25351"/>
    <w:rsid w:val="00F254D0"/>
    <w:rsid w:val="00F25597"/>
    <w:rsid w:val="00F2575F"/>
    <w:rsid w:val="00F25969"/>
    <w:rsid w:val="00F25C22"/>
    <w:rsid w:val="00F25D88"/>
    <w:rsid w:val="00F25DDA"/>
    <w:rsid w:val="00F25ED0"/>
    <w:rsid w:val="00F261EA"/>
    <w:rsid w:val="00F26545"/>
    <w:rsid w:val="00F26988"/>
    <w:rsid w:val="00F26C01"/>
    <w:rsid w:val="00F26C54"/>
    <w:rsid w:val="00F27231"/>
    <w:rsid w:val="00F27385"/>
    <w:rsid w:val="00F27565"/>
    <w:rsid w:val="00F277C6"/>
    <w:rsid w:val="00F279BC"/>
    <w:rsid w:val="00F27A38"/>
    <w:rsid w:val="00F27A3B"/>
    <w:rsid w:val="00F27EC3"/>
    <w:rsid w:val="00F27F5E"/>
    <w:rsid w:val="00F3007C"/>
    <w:rsid w:val="00F300C7"/>
    <w:rsid w:val="00F30361"/>
    <w:rsid w:val="00F3067E"/>
    <w:rsid w:val="00F3068B"/>
    <w:rsid w:val="00F30752"/>
    <w:rsid w:val="00F308C5"/>
    <w:rsid w:val="00F30901"/>
    <w:rsid w:val="00F30DD9"/>
    <w:rsid w:val="00F30E7F"/>
    <w:rsid w:val="00F30F1C"/>
    <w:rsid w:val="00F310AD"/>
    <w:rsid w:val="00F310D4"/>
    <w:rsid w:val="00F31149"/>
    <w:rsid w:val="00F3118C"/>
    <w:rsid w:val="00F312CA"/>
    <w:rsid w:val="00F314CD"/>
    <w:rsid w:val="00F31508"/>
    <w:rsid w:val="00F31598"/>
    <w:rsid w:val="00F318C0"/>
    <w:rsid w:val="00F3194E"/>
    <w:rsid w:val="00F31AE6"/>
    <w:rsid w:val="00F31AFC"/>
    <w:rsid w:val="00F31D5A"/>
    <w:rsid w:val="00F32187"/>
    <w:rsid w:val="00F32299"/>
    <w:rsid w:val="00F3237E"/>
    <w:rsid w:val="00F32596"/>
    <w:rsid w:val="00F3286D"/>
    <w:rsid w:val="00F32991"/>
    <w:rsid w:val="00F329EE"/>
    <w:rsid w:val="00F329F6"/>
    <w:rsid w:val="00F32A37"/>
    <w:rsid w:val="00F32C21"/>
    <w:rsid w:val="00F32CBB"/>
    <w:rsid w:val="00F3307F"/>
    <w:rsid w:val="00F3316A"/>
    <w:rsid w:val="00F335DF"/>
    <w:rsid w:val="00F335F1"/>
    <w:rsid w:val="00F33806"/>
    <w:rsid w:val="00F33877"/>
    <w:rsid w:val="00F33903"/>
    <w:rsid w:val="00F33975"/>
    <w:rsid w:val="00F33986"/>
    <w:rsid w:val="00F33DE9"/>
    <w:rsid w:val="00F33F93"/>
    <w:rsid w:val="00F3401F"/>
    <w:rsid w:val="00F346A2"/>
    <w:rsid w:val="00F34733"/>
    <w:rsid w:val="00F34972"/>
    <w:rsid w:val="00F34B30"/>
    <w:rsid w:val="00F34C21"/>
    <w:rsid w:val="00F34C7B"/>
    <w:rsid w:val="00F34D79"/>
    <w:rsid w:val="00F34DBB"/>
    <w:rsid w:val="00F34DF4"/>
    <w:rsid w:val="00F34E3C"/>
    <w:rsid w:val="00F34F66"/>
    <w:rsid w:val="00F350A2"/>
    <w:rsid w:val="00F350B5"/>
    <w:rsid w:val="00F35165"/>
    <w:rsid w:val="00F35285"/>
    <w:rsid w:val="00F35972"/>
    <w:rsid w:val="00F35974"/>
    <w:rsid w:val="00F3598E"/>
    <w:rsid w:val="00F35A4D"/>
    <w:rsid w:val="00F35B18"/>
    <w:rsid w:val="00F35D46"/>
    <w:rsid w:val="00F35E6D"/>
    <w:rsid w:val="00F35F37"/>
    <w:rsid w:val="00F3619A"/>
    <w:rsid w:val="00F3654F"/>
    <w:rsid w:val="00F3683D"/>
    <w:rsid w:val="00F3695F"/>
    <w:rsid w:val="00F36A64"/>
    <w:rsid w:val="00F36AA0"/>
    <w:rsid w:val="00F36DC2"/>
    <w:rsid w:val="00F371EC"/>
    <w:rsid w:val="00F372A6"/>
    <w:rsid w:val="00F37394"/>
    <w:rsid w:val="00F373C6"/>
    <w:rsid w:val="00F37523"/>
    <w:rsid w:val="00F3785D"/>
    <w:rsid w:val="00F37A75"/>
    <w:rsid w:val="00F37A78"/>
    <w:rsid w:val="00F37C35"/>
    <w:rsid w:val="00F37CDE"/>
    <w:rsid w:val="00F37CFA"/>
    <w:rsid w:val="00F37E64"/>
    <w:rsid w:val="00F37E8D"/>
    <w:rsid w:val="00F4004B"/>
    <w:rsid w:val="00F40162"/>
    <w:rsid w:val="00F40A1E"/>
    <w:rsid w:val="00F40AAA"/>
    <w:rsid w:val="00F40B5F"/>
    <w:rsid w:val="00F40BA7"/>
    <w:rsid w:val="00F40BFB"/>
    <w:rsid w:val="00F40C65"/>
    <w:rsid w:val="00F40F9D"/>
    <w:rsid w:val="00F4129C"/>
    <w:rsid w:val="00F4143E"/>
    <w:rsid w:val="00F415B3"/>
    <w:rsid w:val="00F416FF"/>
    <w:rsid w:val="00F418CC"/>
    <w:rsid w:val="00F41955"/>
    <w:rsid w:val="00F41ACD"/>
    <w:rsid w:val="00F41C2A"/>
    <w:rsid w:val="00F4208B"/>
    <w:rsid w:val="00F42509"/>
    <w:rsid w:val="00F425E5"/>
    <w:rsid w:val="00F426CC"/>
    <w:rsid w:val="00F42A86"/>
    <w:rsid w:val="00F42BBD"/>
    <w:rsid w:val="00F42C05"/>
    <w:rsid w:val="00F42C52"/>
    <w:rsid w:val="00F42CE3"/>
    <w:rsid w:val="00F42DB7"/>
    <w:rsid w:val="00F43037"/>
    <w:rsid w:val="00F4306C"/>
    <w:rsid w:val="00F432E5"/>
    <w:rsid w:val="00F432EA"/>
    <w:rsid w:val="00F43492"/>
    <w:rsid w:val="00F436DB"/>
    <w:rsid w:val="00F43708"/>
    <w:rsid w:val="00F439CE"/>
    <w:rsid w:val="00F43F00"/>
    <w:rsid w:val="00F44224"/>
    <w:rsid w:val="00F44257"/>
    <w:rsid w:val="00F442B5"/>
    <w:rsid w:val="00F444CF"/>
    <w:rsid w:val="00F44812"/>
    <w:rsid w:val="00F44916"/>
    <w:rsid w:val="00F44B1C"/>
    <w:rsid w:val="00F44CF7"/>
    <w:rsid w:val="00F44E7A"/>
    <w:rsid w:val="00F44FFF"/>
    <w:rsid w:val="00F45072"/>
    <w:rsid w:val="00F4534E"/>
    <w:rsid w:val="00F455E3"/>
    <w:rsid w:val="00F4580A"/>
    <w:rsid w:val="00F45E29"/>
    <w:rsid w:val="00F460C6"/>
    <w:rsid w:val="00F461C4"/>
    <w:rsid w:val="00F462AE"/>
    <w:rsid w:val="00F462E9"/>
    <w:rsid w:val="00F46408"/>
    <w:rsid w:val="00F46627"/>
    <w:rsid w:val="00F468FD"/>
    <w:rsid w:val="00F46A40"/>
    <w:rsid w:val="00F46B84"/>
    <w:rsid w:val="00F46CB6"/>
    <w:rsid w:val="00F46E81"/>
    <w:rsid w:val="00F4708F"/>
    <w:rsid w:val="00F471B7"/>
    <w:rsid w:val="00F47414"/>
    <w:rsid w:val="00F47535"/>
    <w:rsid w:val="00F4756D"/>
    <w:rsid w:val="00F47A6B"/>
    <w:rsid w:val="00F47BD9"/>
    <w:rsid w:val="00F47CCE"/>
    <w:rsid w:val="00F47DE8"/>
    <w:rsid w:val="00F47DF7"/>
    <w:rsid w:val="00F50333"/>
    <w:rsid w:val="00F50365"/>
    <w:rsid w:val="00F5055A"/>
    <w:rsid w:val="00F507D2"/>
    <w:rsid w:val="00F50971"/>
    <w:rsid w:val="00F50A25"/>
    <w:rsid w:val="00F50F65"/>
    <w:rsid w:val="00F50FDC"/>
    <w:rsid w:val="00F50FE5"/>
    <w:rsid w:val="00F51154"/>
    <w:rsid w:val="00F512CC"/>
    <w:rsid w:val="00F51411"/>
    <w:rsid w:val="00F514CA"/>
    <w:rsid w:val="00F5157A"/>
    <w:rsid w:val="00F51679"/>
    <w:rsid w:val="00F51A85"/>
    <w:rsid w:val="00F51B9F"/>
    <w:rsid w:val="00F51BDE"/>
    <w:rsid w:val="00F51CCC"/>
    <w:rsid w:val="00F525F5"/>
    <w:rsid w:val="00F5261E"/>
    <w:rsid w:val="00F52850"/>
    <w:rsid w:val="00F529BE"/>
    <w:rsid w:val="00F52E97"/>
    <w:rsid w:val="00F5309E"/>
    <w:rsid w:val="00F5311A"/>
    <w:rsid w:val="00F53183"/>
    <w:rsid w:val="00F53608"/>
    <w:rsid w:val="00F5368D"/>
    <w:rsid w:val="00F537BB"/>
    <w:rsid w:val="00F53958"/>
    <w:rsid w:val="00F53C51"/>
    <w:rsid w:val="00F53E39"/>
    <w:rsid w:val="00F54103"/>
    <w:rsid w:val="00F542C1"/>
    <w:rsid w:val="00F5449B"/>
    <w:rsid w:val="00F54633"/>
    <w:rsid w:val="00F54782"/>
    <w:rsid w:val="00F54810"/>
    <w:rsid w:val="00F548B1"/>
    <w:rsid w:val="00F548E3"/>
    <w:rsid w:val="00F5499C"/>
    <w:rsid w:val="00F549AC"/>
    <w:rsid w:val="00F54C1C"/>
    <w:rsid w:val="00F54F1B"/>
    <w:rsid w:val="00F55072"/>
    <w:rsid w:val="00F550E3"/>
    <w:rsid w:val="00F55208"/>
    <w:rsid w:val="00F55431"/>
    <w:rsid w:val="00F5591D"/>
    <w:rsid w:val="00F559E7"/>
    <w:rsid w:val="00F55A2D"/>
    <w:rsid w:val="00F55A4B"/>
    <w:rsid w:val="00F55A74"/>
    <w:rsid w:val="00F55C38"/>
    <w:rsid w:val="00F55DE0"/>
    <w:rsid w:val="00F55E73"/>
    <w:rsid w:val="00F55EDA"/>
    <w:rsid w:val="00F55F76"/>
    <w:rsid w:val="00F55FFA"/>
    <w:rsid w:val="00F567AA"/>
    <w:rsid w:val="00F56B67"/>
    <w:rsid w:val="00F56C80"/>
    <w:rsid w:val="00F56D0C"/>
    <w:rsid w:val="00F56E5F"/>
    <w:rsid w:val="00F57006"/>
    <w:rsid w:val="00F573E0"/>
    <w:rsid w:val="00F5748A"/>
    <w:rsid w:val="00F574B0"/>
    <w:rsid w:val="00F5750D"/>
    <w:rsid w:val="00F578FF"/>
    <w:rsid w:val="00F5795C"/>
    <w:rsid w:val="00F57D64"/>
    <w:rsid w:val="00F60088"/>
    <w:rsid w:val="00F60092"/>
    <w:rsid w:val="00F602B6"/>
    <w:rsid w:val="00F603FA"/>
    <w:rsid w:val="00F60698"/>
    <w:rsid w:val="00F607A7"/>
    <w:rsid w:val="00F609BE"/>
    <w:rsid w:val="00F60B31"/>
    <w:rsid w:val="00F61596"/>
    <w:rsid w:val="00F61775"/>
    <w:rsid w:val="00F618A2"/>
    <w:rsid w:val="00F61C18"/>
    <w:rsid w:val="00F61F71"/>
    <w:rsid w:val="00F620A8"/>
    <w:rsid w:val="00F621BC"/>
    <w:rsid w:val="00F622C1"/>
    <w:rsid w:val="00F6232D"/>
    <w:rsid w:val="00F623C4"/>
    <w:rsid w:val="00F62539"/>
    <w:rsid w:val="00F6286F"/>
    <w:rsid w:val="00F6291E"/>
    <w:rsid w:val="00F62C8D"/>
    <w:rsid w:val="00F62CDF"/>
    <w:rsid w:val="00F62EDD"/>
    <w:rsid w:val="00F62F3D"/>
    <w:rsid w:val="00F63117"/>
    <w:rsid w:val="00F631B7"/>
    <w:rsid w:val="00F63240"/>
    <w:rsid w:val="00F63370"/>
    <w:rsid w:val="00F636E1"/>
    <w:rsid w:val="00F6373F"/>
    <w:rsid w:val="00F63960"/>
    <w:rsid w:val="00F639B3"/>
    <w:rsid w:val="00F63B0D"/>
    <w:rsid w:val="00F63BAD"/>
    <w:rsid w:val="00F63C44"/>
    <w:rsid w:val="00F63DC5"/>
    <w:rsid w:val="00F63EB7"/>
    <w:rsid w:val="00F63EF9"/>
    <w:rsid w:val="00F6403A"/>
    <w:rsid w:val="00F64272"/>
    <w:rsid w:val="00F64743"/>
    <w:rsid w:val="00F64776"/>
    <w:rsid w:val="00F64A33"/>
    <w:rsid w:val="00F65043"/>
    <w:rsid w:val="00F6599D"/>
    <w:rsid w:val="00F65AA1"/>
    <w:rsid w:val="00F65C50"/>
    <w:rsid w:val="00F65D4F"/>
    <w:rsid w:val="00F65E85"/>
    <w:rsid w:val="00F65F4B"/>
    <w:rsid w:val="00F65F7F"/>
    <w:rsid w:val="00F65FAF"/>
    <w:rsid w:val="00F66631"/>
    <w:rsid w:val="00F66636"/>
    <w:rsid w:val="00F66801"/>
    <w:rsid w:val="00F66917"/>
    <w:rsid w:val="00F669AB"/>
    <w:rsid w:val="00F66CAF"/>
    <w:rsid w:val="00F66D48"/>
    <w:rsid w:val="00F67176"/>
    <w:rsid w:val="00F6725F"/>
    <w:rsid w:val="00F6769E"/>
    <w:rsid w:val="00F6770A"/>
    <w:rsid w:val="00F67791"/>
    <w:rsid w:val="00F67799"/>
    <w:rsid w:val="00F677D1"/>
    <w:rsid w:val="00F677F1"/>
    <w:rsid w:val="00F67940"/>
    <w:rsid w:val="00F67A69"/>
    <w:rsid w:val="00F67B0A"/>
    <w:rsid w:val="00F67E91"/>
    <w:rsid w:val="00F67ECD"/>
    <w:rsid w:val="00F67EF9"/>
    <w:rsid w:val="00F67FE6"/>
    <w:rsid w:val="00F700E1"/>
    <w:rsid w:val="00F702F4"/>
    <w:rsid w:val="00F7061D"/>
    <w:rsid w:val="00F709B6"/>
    <w:rsid w:val="00F70BFF"/>
    <w:rsid w:val="00F70C3A"/>
    <w:rsid w:val="00F70C9D"/>
    <w:rsid w:val="00F70CBA"/>
    <w:rsid w:val="00F71099"/>
    <w:rsid w:val="00F712C2"/>
    <w:rsid w:val="00F7143E"/>
    <w:rsid w:val="00F7174C"/>
    <w:rsid w:val="00F719C2"/>
    <w:rsid w:val="00F71AA4"/>
    <w:rsid w:val="00F71B56"/>
    <w:rsid w:val="00F71D6D"/>
    <w:rsid w:val="00F71EB8"/>
    <w:rsid w:val="00F7211A"/>
    <w:rsid w:val="00F7213D"/>
    <w:rsid w:val="00F7218A"/>
    <w:rsid w:val="00F72566"/>
    <w:rsid w:val="00F7269C"/>
    <w:rsid w:val="00F72934"/>
    <w:rsid w:val="00F7300A"/>
    <w:rsid w:val="00F731E8"/>
    <w:rsid w:val="00F7325F"/>
    <w:rsid w:val="00F7355D"/>
    <w:rsid w:val="00F7368E"/>
    <w:rsid w:val="00F736EA"/>
    <w:rsid w:val="00F73769"/>
    <w:rsid w:val="00F7377A"/>
    <w:rsid w:val="00F737C8"/>
    <w:rsid w:val="00F73B46"/>
    <w:rsid w:val="00F73C2F"/>
    <w:rsid w:val="00F73DEA"/>
    <w:rsid w:val="00F73E08"/>
    <w:rsid w:val="00F73E20"/>
    <w:rsid w:val="00F73F96"/>
    <w:rsid w:val="00F741F7"/>
    <w:rsid w:val="00F744B1"/>
    <w:rsid w:val="00F744D6"/>
    <w:rsid w:val="00F745D6"/>
    <w:rsid w:val="00F747AA"/>
    <w:rsid w:val="00F74946"/>
    <w:rsid w:val="00F74CC5"/>
    <w:rsid w:val="00F74CD9"/>
    <w:rsid w:val="00F74E86"/>
    <w:rsid w:val="00F7507F"/>
    <w:rsid w:val="00F750A9"/>
    <w:rsid w:val="00F750ED"/>
    <w:rsid w:val="00F751BC"/>
    <w:rsid w:val="00F752E3"/>
    <w:rsid w:val="00F758FD"/>
    <w:rsid w:val="00F75992"/>
    <w:rsid w:val="00F75B1C"/>
    <w:rsid w:val="00F75CBC"/>
    <w:rsid w:val="00F75DDD"/>
    <w:rsid w:val="00F75E1F"/>
    <w:rsid w:val="00F76383"/>
    <w:rsid w:val="00F7654F"/>
    <w:rsid w:val="00F76558"/>
    <w:rsid w:val="00F765C5"/>
    <w:rsid w:val="00F76941"/>
    <w:rsid w:val="00F769DE"/>
    <w:rsid w:val="00F76ACB"/>
    <w:rsid w:val="00F76AD5"/>
    <w:rsid w:val="00F76B24"/>
    <w:rsid w:val="00F76B29"/>
    <w:rsid w:val="00F76E32"/>
    <w:rsid w:val="00F76EE2"/>
    <w:rsid w:val="00F76EF2"/>
    <w:rsid w:val="00F770A7"/>
    <w:rsid w:val="00F7716E"/>
    <w:rsid w:val="00F771E5"/>
    <w:rsid w:val="00F7745D"/>
    <w:rsid w:val="00F77771"/>
    <w:rsid w:val="00F77A53"/>
    <w:rsid w:val="00F77CF7"/>
    <w:rsid w:val="00F77F94"/>
    <w:rsid w:val="00F8017F"/>
    <w:rsid w:val="00F801B4"/>
    <w:rsid w:val="00F802D6"/>
    <w:rsid w:val="00F80363"/>
    <w:rsid w:val="00F8037C"/>
    <w:rsid w:val="00F80A7B"/>
    <w:rsid w:val="00F80ABA"/>
    <w:rsid w:val="00F80B33"/>
    <w:rsid w:val="00F80BE9"/>
    <w:rsid w:val="00F80CAD"/>
    <w:rsid w:val="00F80D60"/>
    <w:rsid w:val="00F80DA8"/>
    <w:rsid w:val="00F80DFC"/>
    <w:rsid w:val="00F80E5D"/>
    <w:rsid w:val="00F80E8B"/>
    <w:rsid w:val="00F8118B"/>
    <w:rsid w:val="00F812FF"/>
    <w:rsid w:val="00F815BA"/>
    <w:rsid w:val="00F81666"/>
    <w:rsid w:val="00F818D4"/>
    <w:rsid w:val="00F818F9"/>
    <w:rsid w:val="00F81901"/>
    <w:rsid w:val="00F81A19"/>
    <w:rsid w:val="00F81D33"/>
    <w:rsid w:val="00F81E78"/>
    <w:rsid w:val="00F81ED0"/>
    <w:rsid w:val="00F81FDD"/>
    <w:rsid w:val="00F8214C"/>
    <w:rsid w:val="00F8249A"/>
    <w:rsid w:val="00F82642"/>
    <w:rsid w:val="00F826BD"/>
    <w:rsid w:val="00F826EF"/>
    <w:rsid w:val="00F82764"/>
    <w:rsid w:val="00F82A92"/>
    <w:rsid w:val="00F82D78"/>
    <w:rsid w:val="00F82ED3"/>
    <w:rsid w:val="00F82F05"/>
    <w:rsid w:val="00F82F28"/>
    <w:rsid w:val="00F831AB"/>
    <w:rsid w:val="00F83328"/>
    <w:rsid w:val="00F838F8"/>
    <w:rsid w:val="00F83916"/>
    <w:rsid w:val="00F83968"/>
    <w:rsid w:val="00F839F6"/>
    <w:rsid w:val="00F83A7B"/>
    <w:rsid w:val="00F83D36"/>
    <w:rsid w:val="00F83D38"/>
    <w:rsid w:val="00F83F77"/>
    <w:rsid w:val="00F83FA4"/>
    <w:rsid w:val="00F83FF4"/>
    <w:rsid w:val="00F8423E"/>
    <w:rsid w:val="00F8427C"/>
    <w:rsid w:val="00F842B2"/>
    <w:rsid w:val="00F84301"/>
    <w:rsid w:val="00F8454D"/>
    <w:rsid w:val="00F8459E"/>
    <w:rsid w:val="00F84815"/>
    <w:rsid w:val="00F84C20"/>
    <w:rsid w:val="00F84DCA"/>
    <w:rsid w:val="00F8500A"/>
    <w:rsid w:val="00F8502D"/>
    <w:rsid w:val="00F851B1"/>
    <w:rsid w:val="00F851CE"/>
    <w:rsid w:val="00F85845"/>
    <w:rsid w:val="00F859F1"/>
    <w:rsid w:val="00F85B10"/>
    <w:rsid w:val="00F85B52"/>
    <w:rsid w:val="00F85BF5"/>
    <w:rsid w:val="00F85FA5"/>
    <w:rsid w:val="00F863A7"/>
    <w:rsid w:val="00F866FD"/>
    <w:rsid w:val="00F867B6"/>
    <w:rsid w:val="00F86ABD"/>
    <w:rsid w:val="00F86B4C"/>
    <w:rsid w:val="00F86D08"/>
    <w:rsid w:val="00F86D19"/>
    <w:rsid w:val="00F86DE3"/>
    <w:rsid w:val="00F86FA8"/>
    <w:rsid w:val="00F870C7"/>
    <w:rsid w:val="00F870FD"/>
    <w:rsid w:val="00F8718D"/>
    <w:rsid w:val="00F87282"/>
    <w:rsid w:val="00F8768E"/>
    <w:rsid w:val="00F87A4F"/>
    <w:rsid w:val="00F87E33"/>
    <w:rsid w:val="00F87F21"/>
    <w:rsid w:val="00F901D3"/>
    <w:rsid w:val="00F902FA"/>
    <w:rsid w:val="00F9073A"/>
    <w:rsid w:val="00F90BF7"/>
    <w:rsid w:val="00F90C8E"/>
    <w:rsid w:val="00F90D07"/>
    <w:rsid w:val="00F90DAB"/>
    <w:rsid w:val="00F90EDD"/>
    <w:rsid w:val="00F90F8A"/>
    <w:rsid w:val="00F9105A"/>
    <w:rsid w:val="00F91219"/>
    <w:rsid w:val="00F91233"/>
    <w:rsid w:val="00F9169E"/>
    <w:rsid w:val="00F91924"/>
    <w:rsid w:val="00F91A81"/>
    <w:rsid w:val="00F91B18"/>
    <w:rsid w:val="00F91BDB"/>
    <w:rsid w:val="00F91E91"/>
    <w:rsid w:val="00F91ED6"/>
    <w:rsid w:val="00F92036"/>
    <w:rsid w:val="00F923D7"/>
    <w:rsid w:val="00F92443"/>
    <w:rsid w:val="00F92444"/>
    <w:rsid w:val="00F92499"/>
    <w:rsid w:val="00F925DE"/>
    <w:rsid w:val="00F92783"/>
    <w:rsid w:val="00F928F8"/>
    <w:rsid w:val="00F929AC"/>
    <w:rsid w:val="00F92A4D"/>
    <w:rsid w:val="00F92DBA"/>
    <w:rsid w:val="00F92DD4"/>
    <w:rsid w:val="00F93399"/>
    <w:rsid w:val="00F933A6"/>
    <w:rsid w:val="00F9393E"/>
    <w:rsid w:val="00F939F5"/>
    <w:rsid w:val="00F93B85"/>
    <w:rsid w:val="00F942B7"/>
    <w:rsid w:val="00F944FE"/>
    <w:rsid w:val="00F9454A"/>
    <w:rsid w:val="00F9459D"/>
    <w:rsid w:val="00F94694"/>
    <w:rsid w:val="00F94710"/>
    <w:rsid w:val="00F947BC"/>
    <w:rsid w:val="00F9489D"/>
    <w:rsid w:val="00F94EEA"/>
    <w:rsid w:val="00F94FCD"/>
    <w:rsid w:val="00F9521F"/>
    <w:rsid w:val="00F952F3"/>
    <w:rsid w:val="00F953F3"/>
    <w:rsid w:val="00F9547C"/>
    <w:rsid w:val="00F95855"/>
    <w:rsid w:val="00F958A8"/>
    <w:rsid w:val="00F95AED"/>
    <w:rsid w:val="00F95B2D"/>
    <w:rsid w:val="00F95C1B"/>
    <w:rsid w:val="00F960F2"/>
    <w:rsid w:val="00F96428"/>
    <w:rsid w:val="00F96677"/>
    <w:rsid w:val="00F966C0"/>
    <w:rsid w:val="00F966CF"/>
    <w:rsid w:val="00F9676B"/>
    <w:rsid w:val="00F967A1"/>
    <w:rsid w:val="00F967CB"/>
    <w:rsid w:val="00F969E7"/>
    <w:rsid w:val="00F96BBC"/>
    <w:rsid w:val="00F96C70"/>
    <w:rsid w:val="00F96CFF"/>
    <w:rsid w:val="00F96D4A"/>
    <w:rsid w:val="00F96E03"/>
    <w:rsid w:val="00F96E0D"/>
    <w:rsid w:val="00F96FD0"/>
    <w:rsid w:val="00F97098"/>
    <w:rsid w:val="00F9712F"/>
    <w:rsid w:val="00F97240"/>
    <w:rsid w:val="00F97A78"/>
    <w:rsid w:val="00F97C07"/>
    <w:rsid w:val="00F97C59"/>
    <w:rsid w:val="00F97F16"/>
    <w:rsid w:val="00F97FFB"/>
    <w:rsid w:val="00FA03ED"/>
    <w:rsid w:val="00FA05CB"/>
    <w:rsid w:val="00FA071B"/>
    <w:rsid w:val="00FA071F"/>
    <w:rsid w:val="00FA0B20"/>
    <w:rsid w:val="00FA0B42"/>
    <w:rsid w:val="00FA0B7F"/>
    <w:rsid w:val="00FA0C01"/>
    <w:rsid w:val="00FA0CA4"/>
    <w:rsid w:val="00FA0D9B"/>
    <w:rsid w:val="00FA0EBD"/>
    <w:rsid w:val="00FA0F05"/>
    <w:rsid w:val="00FA1044"/>
    <w:rsid w:val="00FA112A"/>
    <w:rsid w:val="00FA1342"/>
    <w:rsid w:val="00FA1469"/>
    <w:rsid w:val="00FA15FD"/>
    <w:rsid w:val="00FA1600"/>
    <w:rsid w:val="00FA1749"/>
    <w:rsid w:val="00FA1790"/>
    <w:rsid w:val="00FA184C"/>
    <w:rsid w:val="00FA188D"/>
    <w:rsid w:val="00FA1AF2"/>
    <w:rsid w:val="00FA1EFC"/>
    <w:rsid w:val="00FA1FAF"/>
    <w:rsid w:val="00FA22E4"/>
    <w:rsid w:val="00FA24E7"/>
    <w:rsid w:val="00FA2639"/>
    <w:rsid w:val="00FA2A68"/>
    <w:rsid w:val="00FA2BD8"/>
    <w:rsid w:val="00FA2EFA"/>
    <w:rsid w:val="00FA300C"/>
    <w:rsid w:val="00FA317B"/>
    <w:rsid w:val="00FA32B2"/>
    <w:rsid w:val="00FA3429"/>
    <w:rsid w:val="00FA35A1"/>
    <w:rsid w:val="00FA36D0"/>
    <w:rsid w:val="00FA3720"/>
    <w:rsid w:val="00FA39F9"/>
    <w:rsid w:val="00FA3A1D"/>
    <w:rsid w:val="00FA3D33"/>
    <w:rsid w:val="00FA3DC2"/>
    <w:rsid w:val="00FA3E15"/>
    <w:rsid w:val="00FA3E75"/>
    <w:rsid w:val="00FA4146"/>
    <w:rsid w:val="00FA4311"/>
    <w:rsid w:val="00FA45DE"/>
    <w:rsid w:val="00FA4717"/>
    <w:rsid w:val="00FA47B3"/>
    <w:rsid w:val="00FA4C6F"/>
    <w:rsid w:val="00FA4D0B"/>
    <w:rsid w:val="00FA4E17"/>
    <w:rsid w:val="00FA51AF"/>
    <w:rsid w:val="00FA546E"/>
    <w:rsid w:val="00FA55E6"/>
    <w:rsid w:val="00FA57F9"/>
    <w:rsid w:val="00FA5C1C"/>
    <w:rsid w:val="00FA5EE6"/>
    <w:rsid w:val="00FA5F29"/>
    <w:rsid w:val="00FA6206"/>
    <w:rsid w:val="00FA6749"/>
    <w:rsid w:val="00FA67EF"/>
    <w:rsid w:val="00FA688D"/>
    <w:rsid w:val="00FA68E1"/>
    <w:rsid w:val="00FA6938"/>
    <w:rsid w:val="00FA6C49"/>
    <w:rsid w:val="00FA6CDE"/>
    <w:rsid w:val="00FA6E2C"/>
    <w:rsid w:val="00FA7073"/>
    <w:rsid w:val="00FA72EF"/>
    <w:rsid w:val="00FA7433"/>
    <w:rsid w:val="00FA76BF"/>
    <w:rsid w:val="00FA787D"/>
    <w:rsid w:val="00FA78B1"/>
    <w:rsid w:val="00FA7918"/>
    <w:rsid w:val="00FA7956"/>
    <w:rsid w:val="00FA7D07"/>
    <w:rsid w:val="00FA7D58"/>
    <w:rsid w:val="00FA7DBB"/>
    <w:rsid w:val="00FA7EED"/>
    <w:rsid w:val="00FB0055"/>
    <w:rsid w:val="00FB01B7"/>
    <w:rsid w:val="00FB02FB"/>
    <w:rsid w:val="00FB0453"/>
    <w:rsid w:val="00FB0824"/>
    <w:rsid w:val="00FB0842"/>
    <w:rsid w:val="00FB097D"/>
    <w:rsid w:val="00FB09B4"/>
    <w:rsid w:val="00FB0A83"/>
    <w:rsid w:val="00FB0D22"/>
    <w:rsid w:val="00FB0E18"/>
    <w:rsid w:val="00FB1001"/>
    <w:rsid w:val="00FB1004"/>
    <w:rsid w:val="00FB1015"/>
    <w:rsid w:val="00FB11D7"/>
    <w:rsid w:val="00FB1248"/>
    <w:rsid w:val="00FB13DB"/>
    <w:rsid w:val="00FB1AD3"/>
    <w:rsid w:val="00FB1B9A"/>
    <w:rsid w:val="00FB1F84"/>
    <w:rsid w:val="00FB286D"/>
    <w:rsid w:val="00FB2AA9"/>
    <w:rsid w:val="00FB2B25"/>
    <w:rsid w:val="00FB2C7B"/>
    <w:rsid w:val="00FB2E84"/>
    <w:rsid w:val="00FB2F22"/>
    <w:rsid w:val="00FB2FCB"/>
    <w:rsid w:val="00FB31FE"/>
    <w:rsid w:val="00FB34C6"/>
    <w:rsid w:val="00FB3742"/>
    <w:rsid w:val="00FB3830"/>
    <w:rsid w:val="00FB3883"/>
    <w:rsid w:val="00FB38FA"/>
    <w:rsid w:val="00FB3CFA"/>
    <w:rsid w:val="00FB3DE2"/>
    <w:rsid w:val="00FB3E25"/>
    <w:rsid w:val="00FB3F79"/>
    <w:rsid w:val="00FB4108"/>
    <w:rsid w:val="00FB411C"/>
    <w:rsid w:val="00FB433E"/>
    <w:rsid w:val="00FB436E"/>
    <w:rsid w:val="00FB44FC"/>
    <w:rsid w:val="00FB45BC"/>
    <w:rsid w:val="00FB4755"/>
    <w:rsid w:val="00FB485D"/>
    <w:rsid w:val="00FB4878"/>
    <w:rsid w:val="00FB4C9C"/>
    <w:rsid w:val="00FB4D23"/>
    <w:rsid w:val="00FB525D"/>
    <w:rsid w:val="00FB52E6"/>
    <w:rsid w:val="00FB55EF"/>
    <w:rsid w:val="00FB573A"/>
    <w:rsid w:val="00FB5821"/>
    <w:rsid w:val="00FB5A08"/>
    <w:rsid w:val="00FB612F"/>
    <w:rsid w:val="00FB6341"/>
    <w:rsid w:val="00FB6447"/>
    <w:rsid w:val="00FB6523"/>
    <w:rsid w:val="00FB6A89"/>
    <w:rsid w:val="00FB6B49"/>
    <w:rsid w:val="00FB6CB6"/>
    <w:rsid w:val="00FB6CBD"/>
    <w:rsid w:val="00FB6E08"/>
    <w:rsid w:val="00FB6EF2"/>
    <w:rsid w:val="00FB6F36"/>
    <w:rsid w:val="00FB741A"/>
    <w:rsid w:val="00FB7444"/>
    <w:rsid w:val="00FB7544"/>
    <w:rsid w:val="00FB7573"/>
    <w:rsid w:val="00FB7677"/>
    <w:rsid w:val="00FB79C6"/>
    <w:rsid w:val="00FB7B0F"/>
    <w:rsid w:val="00FB7C55"/>
    <w:rsid w:val="00FB7D40"/>
    <w:rsid w:val="00FB7D52"/>
    <w:rsid w:val="00FB7D66"/>
    <w:rsid w:val="00FB7E3E"/>
    <w:rsid w:val="00FC0023"/>
    <w:rsid w:val="00FC00E8"/>
    <w:rsid w:val="00FC0197"/>
    <w:rsid w:val="00FC01C3"/>
    <w:rsid w:val="00FC0295"/>
    <w:rsid w:val="00FC03A5"/>
    <w:rsid w:val="00FC0472"/>
    <w:rsid w:val="00FC0726"/>
    <w:rsid w:val="00FC08F2"/>
    <w:rsid w:val="00FC094A"/>
    <w:rsid w:val="00FC0AB2"/>
    <w:rsid w:val="00FC0E18"/>
    <w:rsid w:val="00FC0E40"/>
    <w:rsid w:val="00FC0EDC"/>
    <w:rsid w:val="00FC0F54"/>
    <w:rsid w:val="00FC1074"/>
    <w:rsid w:val="00FC1075"/>
    <w:rsid w:val="00FC10FA"/>
    <w:rsid w:val="00FC1455"/>
    <w:rsid w:val="00FC1499"/>
    <w:rsid w:val="00FC1554"/>
    <w:rsid w:val="00FC15D2"/>
    <w:rsid w:val="00FC1655"/>
    <w:rsid w:val="00FC173D"/>
    <w:rsid w:val="00FC17AA"/>
    <w:rsid w:val="00FC1884"/>
    <w:rsid w:val="00FC1B9B"/>
    <w:rsid w:val="00FC1D2D"/>
    <w:rsid w:val="00FC1ECA"/>
    <w:rsid w:val="00FC21FF"/>
    <w:rsid w:val="00FC2306"/>
    <w:rsid w:val="00FC2398"/>
    <w:rsid w:val="00FC25F3"/>
    <w:rsid w:val="00FC2673"/>
    <w:rsid w:val="00FC2741"/>
    <w:rsid w:val="00FC2856"/>
    <w:rsid w:val="00FC2AFC"/>
    <w:rsid w:val="00FC2B0B"/>
    <w:rsid w:val="00FC2B16"/>
    <w:rsid w:val="00FC2B48"/>
    <w:rsid w:val="00FC2D64"/>
    <w:rsid w:val="00FC315B"/>
    <w:rsid w:val="00FC3340"/>
    <w:rsid w:val="00FC34C9"/>
    <w:rsid w:val="00FC35DE"/>
    <w:rsid w:val="00FC35FD"/>
    <w:rsid w:val="00FC371D"/>
    <w:rsid w:val="00FC3731"/>
    <w:rsid w:val="00FC37E5"/>
    <w:rsid w:val="00FC38E4"/>
    <w:rsid w:val="00FC3BD7"/>
    <w:rsid w:val="00FC3CA2"/>
    <w:rsid w:val="00FC3EA4"/>
    <w:rsid w:val="00FC3EC6"/>
    <w:rsid w:val="00FC4012"/>
    <w:rsid w:val="00FC4204"/>
    <w:rsid w:val="00FC4551"/>
    <w:rsid w:val="00FC46CC"/>
    <w:rsid w:val="00FC478E"/>
    <w:rsid w:val="00FC4892"/>
    <w:rsid w:val="00FC4BE4"/>
    <w:rsid w:val="00FC4FBD"/>
    <w:rsid w:val="00FC5033"/>
    <w:rsid w:val="00FC5043"/>
    <w:rsid w:val="00FC509A"/>
    <w:rsid w:val="00FC531B"/>
    <w:rsid w:val="00FC536B"/>
    <w:rsid w:val="00FC5477"/>
    <w:rsid w:val="00FC5488"/>
    <w:rsid w:val="00FC5506"/>
    <w:rsid w:val="00FC55D1"/>
    <w:rsid w:val="00FC572D"/>
    <w:rsid w:val="00FC5783"/>
    <w:rsid w:val="00FC57D4"/>
    <w:rsid w:val="00FC5A3C"/>
    <w:rsid w:val="00FC5B8B"/>
    <w:rsid w:val="00FC5C0B"/>
    <w:rsid w:val="00FC5F0B"/>
    <w:rsid w:val="00FC601C"/>
    <w:rsid w:val="00FC61D3"/>
    <w:rsid w:val="00FC61F7"/>
    <w:rsid w:val="00FC62DF"/>
    <w:rsid w:val="00FC64FC"/>
    <w:rsid w:val="00FC6707"/>
    <w:rsid w:val="00FC682A"/>
    <w:rsid w:val="00FC6937"/>
    <w:rsid w:val="00FC70F1"/>
    <w:rsid w:val="00FC71B4"/>
    <w:rsid w:val="00FC74E7"/>
    <w:rsid w:val="00FC785D"/>
    <w:rsid w:val="00FC7932"/>
    <w:rsid w:val="00FC7D85"/>
    <w:rsid w:val="00FC7F81"/>
    <w:rsid w:val="00FD01B3"/>
    <w:rsid w:val="00FD024C"/>
    <w:rsid w:val="00FD0503"/>
    <w:rsid w:val="00FD05A9"/>
    <w:rsid w:val="00FD0771"/>
    <w:rsid w:val="00FD0876"/>
    <w:rsid w:val="00FD08AB"/>
    <w:rsid w:val="00FD0A84"/>
    <w:rsid w:val="00FD0B6A"/>
    <w:rsid w:val="00FD0BFF"/>
    <w:rsid w:val="00FD0FBF"/>
    <w:rsid w:val="00FD0FE9"/>
    <w:rsid w:val="00FD1251"/>
    <w:rsid w:val="00FD16B6"/>
    <w:rsid w:val="00FD197B"/>
    <w:rsid w:val="00FD1ACB"/>
    <w:rsid w:val="00FD1B6B"/>
    <w:rsid w:val="00FD1E48"/>
    <w:rsid w:val="00FD1EEC"/>
    <w:rsid w:val="00FD2100"/>
    <w:rsid w:val="00FD21B8"/>
    <w:rsid w:val="00FD2397"/>
    <w:rsid w:val="00FD2436"/>
    <w:rsid w:val="00FD2559"/>
    <w:rsid w:val="00FD280F"/>
    <w:rsid w:val="00FD2817"/>
    <w:rsid w:val="00FD28AD"/>
    <w:rsid w:val="00FD2CA2"/>
    <w:rsid w:val="00FD2E45"/>
    <w:rsid w:val="00FD2E89"/>
    <w:rsid w:val="00FD311C"/>
    <w:rsid w:val="00FD3204"/>
    <w:rsid w:val="00FD33D5"/>
    <w:rsid w:val="00FD3B3F"/>
    <w:rsid w:val="00FD3C94"/>
    <w:rsid w:val="00FD407C"/>
    <w:rsid w:val="00FD4170"/>
    <w:rsid w:val="00FD419B"/>
    <w:rsid w:val="00FD420E"/>
    <w:rsid w:val="00FD436C"/>
    <w:rsid w:val="00FD446D"/>
    <w:rsid w:val="00FD44EB"/>
    <w:rsid w:val="00FD4A3F"/>
    <w:rsid w:val="00FD4CFE"/>
    <w:rsid w:val="00FD4D1C"/>
    <w:rsid w:val="00FD4E22"/>
    <w:rsid w:val="00FD4E76"/>
    <w:rsid w:val="00FD4F2C"/>
    <w:rsid w:val="00FD4FAD"/>
    <w:rsid w:val="00FD5164"/>
    <w:rsid w:val="00FD51B6"/>
    <w:rsid w:val="00FD52A3"/>
    <w:rsid w:val="00FD5555"/>
    <w:rsid w:val="00FD56CE"/>
    <w:rsid w:val="00FD57FF"/>
    <w:rsid w:val="00FD5865"/>
    <w:rsid w:val="00FD5C17"/>
    <w:rsid w:val="00FD5F25"/>
    <w:rsid w:val="00FD60DF"/>
    <w:rsid w:val="00FD6135"/>
    <w:rsid w:val="00FD620D"/>
    <w:rsid w:val="00FD635B"/>
    <w:rsid w:val="00FD6394"/>
    <w:rsid w:val="00FD64A4"/>
    <w:rsid w:val="00FD65AB"/>
    <w:rsid w:val="00FD6931"/>
    <w:rsid w:val="00FD6B3B"/>
    <w:rsid w:val="00FD6D28"/>
    <w:rsid w:val="00FD6EE8"/>
    <w:rsid w:val="00FD6F8E"/>
    <w:rsid w:val="00FD71E9"/>
    <w:rsid w:val="00FD720E"/>
    <w:rsid w:val="00FD7415"/>
    <w:rsid w:val="00FD76A3"/>
    <w:rsid w:val="00FD771B"/>
    <w:rsid w:val="00FD7935"/>
    <w:rsid w:val="00FD7AF2"/>
    <w:rsid w:val="00FD7B42"/>
    <w:rsid w:val="00FD7C24"/>
    <w:rsid w:val="00FE0020"/>
    <w:rsid w:val="00FE046E"/>
    <w:rsid w:val="00FE048E"/>
    <w:rsid w:val="00FE06DA"/>
    <w:rsid w:val="00FE09BF"/>
    <w:rsid w:val="00FE0D3F"/>
    <w:rsid w:val="00FE0D99"/>
    <w:rsid w:val="00FE0E4F"/>
    <w:rsid w:val="00FE0E6C"/>
    <w:rsid w:val="00FE0ECA"/>
    <w:rsid w:val="00FE0EE9"/>
    <w:rsid w:val="00FE0F25"/>
    <w:rsid w:val="00FE0F40"/>
    <w:rsid w:val="00FE1086"/>
    <w:rsid w:val="00FE16E1"/>
    <w:rsid w:val="00FE182F"/>
    <w:rsid w:val="00FE1865"/>
    <w:rsid w:val="00FE1BB2"/>
    <w:rsid w:val="00FE1BC4"/>
    <w:rsid w:val="00FE1C77"/>
    <w:rsid w:val="00FE1CDC"/>
    <w:rsid w:val="00FE1F02"/>
    <w:rsid w:val="00FE2835"/>
    <w:rsid w:val="00FE288F"/>
    <w:rsid w:val="00FE2A4A"/>
    <w:rsid w:val="00FE322E"/>
    <w:rsid w:val="00FE322F"/>
    <w:rsid w:val="00FE33B4"/>
    <w:rsid w:val="00FE344B"/>
    <w:rsid w:val="00FE345D"/>
    <w:rsid w:val="00FE34FF"/>
    <w:rsid w:val="00FE38C1"/>
    <w:rsid w:val="00FE3A8E"/>
    <w:rsid w:val="00FE3B42"/>
    <w:rsid w:val="00FE3B51"/>
    <w:rsid w:val="00FE3D7A"/>
    <w:rsid w:val="00FE4242"/>
    <w:rsid w:val="00FE42C1"/>
    <w:rsid w:val="00FE4349"/>
    <w:rsid w:val="00FE43FE"/>
    <w:rsid w:val="00FE4503"/>
    <w:rsid w:val="00FE4607"/>
    <w:rsid w:val="00FE472B"/>
    <w:rsid w:val="00FE47AA"/>
    <w:rsid w:val="00FE4950"/>
    <w:rsid w:val="00FE4996"/>
    <w:rsid w:val="00FE4A4B"/>
    <w:rsid w:val="00FE4B79"/>
    <w:rsid w:val="00FE4C23"/>
    <w:rsid w:val="00FE5086"/>
    <w:rsid w:val="00FE5099"/>
    <w:rsid w:val="00FE549B"/>
    <w:rsid w:val="00FE57F2"/>
    <w:rsid w:val="00FE5960"/>
    <w:rsid w:val="00FE5C2B"/>
    <w:rsid w:val="00FE5C84"/>
    <w:rsid w:val="00FE5EC6"/>
    <w:rsid w:val="00FE6198"/>
    <w:rsid w:val="00FE666C"/>
    <w:rsid w:val="00FE6794"/>
    <w:rsid w:val="00FE6B28"/>
    <w:rsid w:val="00FE6CA8"/>
    <w:rsid w:val="00FE6CBE"/>
    <w:rsid w:val="00FE6E98"/>
    <w:rsid w:val="00FE6F30"/>
    <w:rsid w:val="00FE70C3"/>
    <w:rsid w:val="00FE7178"/>
    <w:rsid w:val="00FE7216"/>
    <w:rsid w:val="00FE737A"/>
    <w:rsid w:val="00FE739E"/>
    <w:rsid w:val="00FE784C"/>
    <w:rsid w:val="00FE7C26"/>
    <w:rsid w:val="00FE7CD0"/>
    <w:rsid w:val="00FE7E65"/>
    <w:rsid w:val="00FF01B1"/>
    <w:rsid w:val="00FF023C"/>
    <w:rsid w:val="00FF02F7"/>
    <w:rsid w:val="00FF09A5"/>
    <w:rsid w:val="00FF0BFE"/>
    <w:rsid w:val="00FF0C7F"/>
    <w:rsid w:val="00FF0F00"/>
    <w:rsid w:val="00FF0FA6"/>
    <w:rsid w:val="00FF1024"/>
    <w:rsid w:val="00FF10A6"/>
    <w:rsid w:val="00FF1159"/>
    <w:rsid w:val="00FF118B"/>
    <w:rsid w:val="00FF12C0"/>
    <w:rsid w:val="00FF13D0"/>
    <w:rsid w:val="00FF13E4"/>
    <w:rsid w:val="00FF1546"/>
    <w:rsid w:val="00FF177C"/>
    <w:rsid w:val="00FF19F4"/>
    <w:rsid w:val="00FF1A87"/>
    <w:rsid w:val="00FF1A8B"/>
    <w:rsid w:val="00FF1B0C"/>
    <w:rsid w:val="00FF1F7C"/>
    <w:rsid w:val="00FF20EB"/>
    <w:rsid w:val="00FF2535"/>
    <w:rsid w:val="00FF25AB"/>
    <w:rsid w:val="00FF2AD9"/>
    <w:rsid w:val="00FF2DD2"/>
    <w:rsid w:val="00FF2E68"/>
    <w:rsid w:val="00FF2F12"/>
    <w:rsid w:val="00FF3004"/>
    <w:rsid w:val="00FF3087"/>
    <w:rsid w:val="00FF3090"/>
    <w:rsid w:val="00FF3420"/>
    <w:rsid w:val="00FF359F"/>
    <w:rsid w:val="00FF3647"/>
    <w:rsid w:val="00FF37D1"/>
    <w:rsid w:val="00FF37EA"/>
    <w:rsid w:val="00FF38C0"/>
    <w:rsid w:val="00FF3D27"/>
    <w:rsid w:val="00FF3D42"/>
    <w:rsid w:val="00FF3DCF"/>
    <w:rsid w:val="00FF3EC2"/>
    <w:rsid w:val="00FF3EE5"/>
    <w:rsid w:val="00FF4009"/>
    <w:rsid w:val="00FF4067"/>
    <w:rsid w:val="00FF46D7"/>
    <w:rsid w:val="00FF47CD"/>
    <w:rsid w:val="00FF4801"/>
    <w:rsid w:val="00FF492C"/>
    <w:rsid w:val="00FF4961"/>
    <w:rsid w:val="00FF49D9"/>
    <w:rsid w:val="00FF4A21"/>
    <w:rsid w:val="00FF4A9D"/>
    <w:rsid w:val="00FF4AC3"/>
    <w:rsid w:val="00FF4D33"/>
    <w:rsid w:val="00FF4E16"/>
    <w:rsid w:val="00FF4EB4"/>
    <w:rsid w:val="00FF5013"/>
    <w:rsid w:val="00FF51A6"/>
    <w:rsid w:val="00FF52A8"/>
    <w:rsid w:val="00FF5481"/>
    <w:rsid w:val="00FF5532"/>
    <w:rsid w:val="00FF564B"/>
    <w:rsid w:val="00FF56B6"/>
    <w:rsid w:val="00FF5724"/>
    <w:rsid w:val="00FF5A75"/>
    <w:rsid w:val="00FF5AA3"/>
    <w:rsid w:val="00FF5AD8"/>
    <w:rsid w:val="00FF5CAE"/>
    <w:rsid w:val="00FF5D10"/>
    <w:rsid w:val="00FF5DA1"/>
    <w:rsid w:val="00FF6090"/>
    <w:rsid w:val="00FF6297"/>
    <w:rsid w:val="00FF62F2"/>
    <w:rsid w:val="00FF630B"/>
    <w:rsid w:val="00FF63CC"/>
    <w:rsid w:val="00FF640B"/>
    <w:rsid w:val="00FF667E"/>
    <w:rsid w:val="00FF67E6"/>
    <w:rsid w:val="00FF6913"/>
    <w:rsid w:val="00FF6A88"/>
    <w:rsid w:val="00FF6C35"/>
    <w:rsid w:val="00FF6F21"/>
    <w:rsid w:val="00FF703B"/>
    <w:rsid w:val="00FF7057"/>
    <w:rsid w:val="00FF7121"/>
    <w:rsid w:val="00FF7192"/>
    <w:rsid w:val="00FF7567"/>
    <w:rsid w:val="00FF771D"/>
    <w:rsid w:val="00FF7948"/>
    <w:rsid w:val="00FF7B8C"/>
    <w:rsid w:val="00FF7C61"/>
    <w:rsid w:val="00FF7DC4"/>
    <w:rsid w:val="00FF7F39"/>
    <w:rsid w:val="0306ED20"/>
    <w:rsid w:val="0745F2B3"/>
    <w:rsid w:val="0D0BEE1D"/>
    <w:rsid w:val="178282C6"/>
    <w:rsid w:val="1BF208C2"/>
    <w:rsid w:val="1FAB3A98"/>
    <w:rsid w:val="2CA8B593"/>
    <w:rsid w:val="2D1201E2"/>
    <w:rsid w:val="33ADF131"/>
    <w:rsid w:val="35776AA5"/>
    <w:rsid w:val="38258E73"/>
    <w:rsid w:val="391778E4"/>
    <w:rsid w:val="3984D1B4"/>
    <w:rsid w:val="42EFC165"/>
    <w:rsid w:val="4846DED0"/>
    <w:rsid w:val="49BAFB4E"/>
    <w:rsid w:val="4ADF554F"/>
    <w:rsid w:val="52F1B83A"/>
    <w:rsid w:val="5391DBCF"/>
    <w:rsid w:val="55F98D1A"/>
    <w:rsid w:val="568B2B7C"/>
    <w:rsid w:val="572312B0"/>
    <w:rsid w:val="5A135503"/>
    <w:rsid w:val="63BFA909"/>
    <w:rsid w:val="6E17050F"/>
    <w:rsid w:val="70ACDE08"/>
    <w:rsid w:val="73ACB086"/>
    <w:rsid w:val="7446A4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D50"/>
    <w:pPr>
      <w:jc w:val="both"/>
    </w:pPr>
    <w:rPr>
      <w:rFonts w:ascii="Calibri" w:hAnsi="Calibri" w:cs="Arial"/>
      <w:sz w:val="24"/>
      <w:szCs w:val="24"/>
    </w:rPr>
  </w:style>
  <w:style w:type="paragraph" w:styleId="Heading1">
    <w:name w:val="heading 1"/>
    <w:basedOn w:val="2-SectionHeading"/>
    <w:next w:val="Normal"/>
    <w:uiPriority w:val="1"/>
    <w:qFormat/>
    <w:rsid w:val="009825D0"/>
    <w:pPr>
      <w:numPr>
        <w:numId w:val="1"/>
      </w:numPr>
    </w:p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8953F1"/>
    <w:pPr>
      <w:outlineLvl w:val="2"/>
    </w:pPr>
    <w:rPr>
      <w:rFonts w:ascii="Arial" w:eastAsiaTheme="majorEastAsia" w:hAnsi="Arial" w:cstheme="majorBidi"/>
      <w:b/>
      <w:color w:val="000000" w:themeColor="text1"/>
      <w:sz w:val="28"/>
      <w:lang w:eastAsia="en-US"/>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MtA Capti"/>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List,Body Text Bullet Points,Numbered para,BulletPoints,List Paragraph1,Bullet point,List Paragraph11,Recommendation,Section heading,Footnote,ES Paragraph,PBAC ES Paragraph,PBAC normal points,Bullet List,Bullet 1,Bullet1,Summary Bullets,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List Char,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Dossier table,Summary Table,Section 3- footnotes,PHE Table Grid,Lash Style Table,HealthConsult,Table Grid nm,Conclusion b"/>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har1,Char2,Comment Text Char1 Char,Comment Text Char Char Char, Char1,Comment Text Char2,Comment Text Char Char1,Comment Text Char2 Char Char,Comment Text Char Char1 Char Char,Comment Text Char2 Char Char Char Char,Annotationtext,Cha"/>
    <w:basedOn w:val="Normal"/>
    <w:link w:val="CommentTextChar"/>
    <w:qFormat/>
    <w:rsid w:val="00FD2100"/>
    <w:rPr>
      <w:rFonts w:ascii="Times New Roman" w:hAnsi="Times New Roman" w:cs="Times New Roman"/>
      <w:sz w:val="20"/>
    </w:rPr>
  </w:style>
  <w:style w:type="character" w:customStyle="1" w:styleId="CommentTextChar">
    <w:name w:val="Comment Text Char"/>
    <w:aliases w:val="- H19 Char,Char1 Char,Char2 Char,Comment Text Char1 Char Char,Comment Text Char Char Char Char, Char1 Char,Comment Text Char2 Char,Comment Text Char Char1 Char,Comment Text Char2 Char Char Char,Comment Text Char Char1 Char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spacing w:before="240" w:after="120"/>
      <w:ind w:left="720" w:hanging="7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1"/>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hAnsiTheme="minorHAnsi"/>
      <w:b w:val="0"/>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link w:val="DefaultChar"/>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autoRedefine/>
    <w:qFormat/>
    <w:rsid w:val="00C1302F"/>
    <w:pPr>
      <w:keepNext/>
      <w:contextualSpacing/>
      <w:jc w:val="left"/>
    </w:pPr>
    <w:rPr>
      <w:rFonts w:ascii="Arial Narrow" w:hAnsi="Arial Narrow"/>
      <w:snapToGrid w:val="0"/>
      <w:sz w:val="18"/>
      <w:szCs w:val="18"/>
    </w:rPr>
  </w:style>
  <w:style w:type="character" w:customStyle="1" w:styleId="TableFigureFooterChar">
    <w:name w:val="Table/Figure Footer Char"/>
    <w:link w:val="TableFigureFooter"/>
    <w:rsid w:val="00C1302F"/>
    <w:rPr>
      <w:rFonts w:ascii="Arial Narrow" w:hAnsi="Arial Narrow" w:cs="Arial"/>
      <w:snapToGrid w:val="0"/>
      <w:sz w:val="18"/>
      <w:szCs w:val="18"/>
    </w:rPr>
  </w:style>
  <w:style w:type="numbering" w:customStyle="1" w:styleId="Tablebulletlist">
    <w:name w:val="Table bullet list"/>
    <w:uiPriority w:val="99"/>
    <w:rsid w:val="005B1D80"/>
    <w:pPr>
      <w:numPr>
        <w:numId w:val="4"/>
      </w:numPr>
    </w:pPr>
  </w:style>
  <w:style w:type="paragraph" w:customStyle="1" w:styleId="Tablealpha1">
    <w:name w:val="Table alpha 1"/>
    <w:basedOn w:val="Tabletext"/>
    <w:qFormat/>
    <w:rsid w:val="005B1D80"/>
    <w:pPr>
      <w:numPr>
        <w:ilvl w:val="2"/>
        <w:numId w:val="7"/>
      </w:numPr>
      <w:spacing w:line="288" w:lineRule="auto"/>
      <w:ind w:left="740"/>
    </w:pPr>
    <w:rPr>
      <w:rFonts w:eastAsiaTheme="minorHAnsi"/>
      <w:lang w:eastAsia="en-US"/>
    </w:rPr>
  </w:style>
  <w:style w:type="table" w:customStyle="1" w:styleId="AZTable">
    <w:name w:val="AZ Table"/>
    <w:basedOn w:val="TableNormal"/>
    <w:uiPriority w:val="99"/>
    <w:rsid w:val="003B0D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Heading0">
    <w:name w:val="Table Heading"/>
    <w:basedOn w:val="Tabletext"/>
    <w:link w:val="TableHeadingChar"/>
    <w:qFormat/>
    <w:rsid w:val="00FB7D66"/>
    <w:pPr>
      <w:spacing w:line="288" w:lineRule="auto"/>
    </w:pPr>
    <w:rPr>
      <w:rFonts w:eastAsiaTheme="minorHAnsi"/>
      <w:b/>
      <w:bCs/>
      <w:lang w:eastAsia="en-US"/>
    </w:rPr>
  </w:style>
  <w:style w:type="character" w:customStyle="1" w:styleId="TableHeadingChar">
    <w:name w:val="Table Heading Char"/>
    <w:basedOn w:val="DefaultParagraphFont"/>
    <w:link w:val="TableHeading0"/>
    <w:locked/>
    <w:rsid w:val="00FB7D66"/>
    <w:rPr>
      <w:rFonts w:ascii="Arial Narrow" w:eastAsiaTheme="minorHAnsi" w:hAnsi="Arial Narrow"/>
      <w:b/>
      <w:bCs/>
      <w:snapToGrid w:val="0"/>
      <w:szCs w:val="24"/>
      <w:lang w:eastAsia="en-US"/>
    </w:rPr>
  </w:style>
  <w:style w:type="paragraph" w:customStyle="1" w:styleId="PBACTblFignote">
    <w:name w:val="PBAC Tbl/Fig note"/>
    <w:qFormat/>
    <w:rsid w:val="007A7255"/>
    <w:pPr>
      <w:spacing w:after="360"/>
      <w:contextualSpacing/>
      <w:textboxTightWrap w:val="allLines"/>
    </w:pPr>
    <w:rPr>
      <w:rFonts w:ascii="Arial Narrow" w:hAnsi="Arial Narrow" w:cs="Arial"/>
      <w:sz w:val="16"/>
      <w:szCs w:val="24"/>
      <w:lang w:eastAsia="en-GB"/>
    </w:rPr>
  </w:style>
  <w:style w:type="paragraph" w:customStyle="1" w:styleId="TabFigNotes">
    <w:name w:val="TabFigNotes"/>
    <w:basedOn w:val="Normal"/>
    <w:qFormat/>
    <w:rsid w:val="00F16BB9"/>
    <w:pPr>
      <w:spacing w:after="240"/>
      <w:contextualSpacing/>
      <w:jc w:val="left"/>
    </w:pPr>
    <w:rPr>
      <w:rFonts w:asciiTheme="minorHAnsi" w:eastAsiaTheme="minorHAnsi" w:hAnsiTheme="minorHAnsi" w:cstheme="minorBidi"/>
      <w:sz w:val="16"/>
      <w:szCs w:val="22"/>
      <w:lang w:eastAsia="en-US"/>
      <w14:ligatures w14:val="standardContextual"/>
    </w:rPr>
  </w:style>
  <w:style w:type="paragraph" w:styleId="FootnoteText">
    <w:name w:val="footnote text"/>
    <w:aliases w:val="Footnote Text Char Char,Footnote Text Char2,Footnote Text Char Char1"/>
    <w:basedOn w:val="Normal"/>
    <w:link w:val="FootnoteTextChar"/>
    <w:unhideWhenUsed/>
    <w:qFormat/>
    <w:rsid w:val="00BF07CF"/>
    <w:pPr>
      <w:jc w:val="left"/>
    </w:pPr>
    <w:rPr>
      <w:rFonts w:ascii="Arial" w:eastAsiaTheme="minorHAnsi" w:hAnsi="Arial" w:cstheme="minorBidi"/>
      <w:sz w:val="20"/>
      <w:szCs w:val="20"/>
      <w:lang w:eastAsia="en-US"/>
    </w:rPr>
  </w:style>
  <w:style w:type="character" w:customStyle="1" w:styleId="FootnoteTextChar">
    <w:name w:val="Footnote Text Char"/>
    <w:aliases w:val="Footnote Text Char Char Char,Footnote Text Char2 Char,Footnote Text Char Char1 Char"/>
    <w:basedOn w:val="DefaultParagraphFont"/>
    <w:link w:val="FootnoteText"/>
    <w:rsid w:val="00BF07CF"/>
    <w:rPr>
      <w:rFonts w:ascii="Arial" w:eastAsiaTheme="minorHAnsi" w:hAnsi="Arial" w:cstheme="minorBidi"/>
      <w:lang w:eastAsia="en-US"/>
    </w:rPr>
  </w:style>
  <w:style w:type="character" w:styleId="FootnoteReference">
    <w:name w:val="footnote reference"/>
    <w:basedOn w:val="DefaultParagraphFont"/>
    <w:unhideWhenUsed/>
    <w:rsid w:val="00BF07CF"/>
    <w:rPr>
      <w:vertAlign w:val="superscript"/>
    </w:rPr>
  </w:style>
  <w:style w:type="character" w:customStyle="1" w:styleId="DefaultChar">
    <w:name w:val="Default Char"/>
    <w:basedOn w:val="DefaultParagraphFont"/>
    <w:link w:val="Default"/>
    <w:rsid w:val="00E4108B"/>
    <w:rPr>
      <w:rFonts w:ascii="Calibri" w:hAnsi="Calibri" w:cs="Calibri"/>
      <w:color w:val="000000"/>
      <w:sz w:val="24"/>
      <w:szCs w:val="24"/>
    </w:rPr>
  </w:style>
  <w:style w:type="paragraph" w:customStyle="1" w:styleId="PBACTabletext">
    <w:name w:val="PBAC Table text"/>
    <w:link w:val="PBACTabletextChar"/>
    <w:qFormat/>
    <w:rsid w:val="003A4BA4"/>
    <w:pPr>
      <w:keepNext/>
      <w:keepLines/>
      <w:suppressLineNumbers/>
      <w:spacing w:after="8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3A4BA4"/>
    <w:rPr>
      <w:rFonts w:ascii="Arial Narrow" w:hAnsi="Arial Narrow" w:cs="Arial"/>
      <w:szCs w:val="24"/>
      <w:lang w:eastAsia="en-GB"/>
    </w:rPr>
  </w:style>
  <w:style w:type="character" w:styleId="UnresolvedMention">
    <w:name w:val="Unresolved Mention"/>
    <w:basedOn w:val="DefaultParagraphFont"/>
    <w:uiPriority w:val="99"/>
    <w:semiHidden/>
    <w:unhideWhenUsed/>
    <w:rsid w:val="00044F75"/>
    <w:rPr>
      <w:color w:val="605E5C"/>
      <w:shd w:val="clear" w:color="auto" w:fill="E1DFDD"/>
    </w:rPr>
  </w:style>
  <w:style w:type="paragraph" w:customStyle="1" w:styleId="Tablebullet1">
    <w:name w:val="Table bullet 1"/>
    <w:basedOn w:val="TableText0"/>
    <w:link w:val="Tablebullet1Char"/>
    <w:qFormat/>
    <w:rsid w:val="00044F75"/>
    <w:pPr>
      <w:numPr>
        <w:numId w:val="8"/>
      </w:numPr>
      <w:ind w:left="0" w:firstLine="0"/>
    </w:pPr>
    <w:rPr>
      <w:sz w:val="22"/>
      <w:lang w:eastAsia="en-US"/>
    </w:rPr>
  </w:style>
  <w:style w:type="character" w:customStyle="1" w:styleId="Tablebullet1Char">
    <w:name w:val="Table bullet 1 Char"/>
    <w:basedOn w:val="DefaultParagraphFont"/>
    <w:link w:val="Tablebullet1"/>
    <w:rsid w:val="00044F75"/>
    <w:rPr>
      <w:rFonts w:ascii="Arial Narrow" w:eastAsiaTheme="majorEastAsia" w:hAnsi="Arial Narrow" w:cstheme="majorBidi"/>
      <w:bCs/>
      <w:sz w:val="22"/>
      <w:szCs w:val="24"/>
      <w:lang w:eastAsia="en-US"/>
    </w:rPr>
  </w:style>
  <w:style w:type="paragraph" w:customStyle="1" w:styleId="Tablebullet2">
    <w:name w:val="Table bullet 2"/>
    <w:basedOn w:val="Tablebullet1"/>
    <w:link w:val="Tablebullet2Char"/>
    <w:qFormat/>
    <w:rsid w:val="00044F75"/>
    <w:pPr>
      <w:numPr>
        <w:ilvl w:val="1"/>
      </w:numPr>
      <w:ind w:left="0" w:firstLine="0"/>
    </w:pPr>
  </w:style>
  <w:style w:type="character" w:customStyle="1" w:styleId="Tablebullet2Char">
    <w:name w:val="Table bullet 2 Char"/>
    <w:basedOn w:val="Tablebullet1Char"/>
    <w:link w:val="Tablebullet2"/>
    <w:rsid w:val="00044F75"/>
    <w:rPr>
      <w:rFonts w:ascii="Arial Narrow" w:eastAsiaTheme="majorEastAsia" w:hAnsi="Arial Narrow" w:cstheme="majorBidi"/>
      <w:bCs/>
      <w:sz w:val="22"/>
      <w:szCs w:val="24"/>
      <w:lang w:eastAsia="en-US"/>
    </w:rPr>
  </w:style>
  <w:style w:type="paragraph" w:customStyle="1" w:styleId="Tablebullet3">
    <w:name w:val="Table bullet 3"/>
    <w:basedOn w:val="Tablebullet1"/>
    <w:qFormat/>
    <w:rsid w:val="00044F75"/>
    <w:pPr>
      <w:numPr>
        <w:ilvl w:val="2"/>
      </w:numPr>
    </w:pPr>
  </w:style>
  <w:style w:type="paragraph" w:customStyle="1" w:styleId="MtAProposalListBullet1">
    <w:name w:val="MtA Proposal List Bullet 1"/>
    <w:basedOn w:val="Normal"/>
    <w:uiPriority w:val="1"/>
    <w:qFormat/>
    <w:rsid w:val="00471AB9"/>
    <w:pPr>
      <w:numPr>
        <w:numId w:val="9"/>
      </w:numPr>
      <w:spacing w:line="276" w:lineRule="auto"/>
      <w:contextualSpacing/>
      <w:jc w:val="left"/>
    </w:pPr>
    <w:rPr>
      <w:rFonts w:eastAsiaTheme="minorHAnsi" w:cs="Calibri"/>
      <w:color w:val="404040" w:themeColor="text1" w:themeTint="BF"/>
      <w:sz w:val="22"/>
      <w:szCs w:val="22"/>
      <w:lang w:val="en-GB" w:eastAsia="en-US"/>
    </w:rPr>
  </w:style>
  <w:style w:type="paragraph" w:customStyle="1" w:styleId="MtAProposalListBullet2">
    <w:name w:val="MtA Proposal List Bullet 2"/>
    <w:basedOn w:val="MtAProposalListBullet1"/>
    <w:uiPriority w:val="1"/>
    <w:rsid w:val="00471AB9"/>
    <w:pPr>
      <w:numPr>
        <w:ilvl w:val="1"/>
      </w:numPr>
    </w:pPr>
  </w:style>
  <w:style w:type="paragraph" w:customStyle="1" w:styleId="MtAProposalListBullet3">
    <w:name w:val="MtA Proposal List Bullet 3"/>
    <w:basedOn w:val="MtAProposalListBullet1"/>
    <w:uiPriority w:val="1"/>
    <w:rsid w:val="00471AB9"/>
    <w:pPr>
      <w:numPr>
        <w:ilvl w:val="2"/>
      </w:numPr>
    </w:pPr>
  </w:style>
  <w:style w:type="paragraph" w:customStyle="1" w:styleId="MtAProposalListBullet4">
    <w:name w:val="MtA Proposal List Bullet 4"/>
    <w:basedOn w:val="MtAProposalListBullet1"/>
    <w:uiPriority w:val="1"/>
    <w:rsid w:val="00471AB9"/>
    <w:pPr>
      <w:numPr>
        <w:ilvl w:val="3"/>
      </w:numPr>
    </w:pPr>
  </w:style>
  <w:style w:type="paragraph" w:customStyle="1" w:styleId="MtAProposalListBullet5">
    <w:name w:val="MtA Proposal List Bullet 5"/>
    <w:basedOn w:val="MtAProposalListBullet1"/>
    <w:uiPriority w:val="1"/>
    <w:rsid w:val="00471AB9"/>
    <w:pPr>
      <w:numPr>
        <w:ilvl w:val="4"/>
      </w:numPr>
    </w:pPr>
  </w:style>
  <w:style w:type="table" w:customStyle="1" w:styleId="SummaryTable1">
    <w:name w:val="Summary Table1"/>
    <w:basedOn w:val="TableNormal"/>
    <w:uiPriority w:val="59"/>
    <w:rsid w:val="003D54A3"/>
    <w:rPr>
      <w:rFonts w:asciiTheme="minorHAnsi" w:eastAsiaTheme="minorHAnsi" w:hAnsiTheme="minorHAnsi" w:cstheme="minorBidi"/>
      <w:sz w:val="22"/>
      <w:szCs w:val="22"/>
      <w:lang w:val="en-US" w:eastAsia="en-US"/>
    </w:rPr>
    <w:tblPr/>
  </w:style>
  <w:style w:type="paragraph" w:customStyle="1" w:styleId="Bullet0">
    <w:name w:val="Bullet+0"/>
    <w:basedOn w:val="BodyText"/>
    <w:uiPriority w:val="2"/>
    <w:qFormat/>
    <w:rsid w:val="00EE157C"/>
    <w:pPr>
      <w:numPr>
        <w:numId w:val="10"/>
      </w:numPr>
      <w:spacing w:line="276" w:lineRule="auto"/>
      <w:jc w:val="both"/>
    </w:pPr>
    <w:rPr>
      <w:rFonts w:asciiTheme="minorHAnsi" w:eastAsia="SimSun" w:hAnsiTheme="minorHAnsi"/>
      <w:sz w:val="22"/>
      <w:szCs w:val="22"/>
      <w:lang w:eastAsia="en-US"/>
    </w:rPr>
  </w:style>
  <w:style w:type="paragraph" w:customStyle="1" w:styleId="Bullet12">
    <w:name w:val="Bullet+12"/>
    <w:basedOn w:val="Bullet0"/>
    <w:next w:val="BodyText"/>
    <w:link w:val="Bullet12Char"/>
    <w:uiPriority w:val="2"/>
    <w:qFormat/>
    <w:rsid w:val="00EE157C"/>
    <w:pPr>
      <w:spacing w:after="240" w:line="240" w:lineRule="auto"/>
    </w:pPr>
    <w:rPr>
      <w:rFonts w:ascii="Calibri" w:eastAsia="Times New Roman" w:hAnsi="Calibri"/>
      <w:szCs w:val="24"/>
      <w:lang w:val="en-US"/>
    </w:rPr>
  </w:style>
  <w:style w:type="character" w:customStyle="1" w:styleId="Bullet12Char">
    <w:name w:val="Bullet+12 Char"/>
    <w:basedOn w:val="DefaultParagraphFont"/>
    <w:link w:val="Bullet12"/>
    <w:uiPriority w:val="2"/>
    <w:rsid w:val="00EE157C"/>
    <w:rPr>
      <w:rFonts w:ascii="Calibri" w:hAnsi="Calibri" w:cs="Arial"/>
      <w:sz w:val="22"/>
      <w:szCs w:val="24"/>
      <w:lang w:val="en-US" w:eastAsia="en-US"/>
    </w:rPr>
  </w:style>
  <w:style w:type="character" w:customStyle="1" w:styleId="normaltextrun">
    <w:name w:val="normaltextrun"/>
    <w:basedOn w:val="DefaultParagraphFont"/>
    <w:rsid w:val="00A81BCF"/>
  </w:style>
  <w:style w:type="character" w:customStyle="1" w:styleId="label">
    <w:name w:val="label"/>
    <w:basedOn w:val="DefaultParagraphFont"/>
    <w:rsid w:val="00A81BCF"/>
  </w:style>
  <w:style w:type="character" w:customStyle="1" w:styleId="short-name">
    <w:name w:val="short-name"/>
    <w:basedOn w:val="DefaultParagraphFont"/>
    <w:rsid w:val="00A81BCF"/>
  </w:style>
  <w:style w:type="character" w:customStyle="1" w:styleId="cell">
    <w:name w:val="cell"/>
    <w:basedOn w:val="DefaultParagraphFont"/>
    <w:rsid w:val="00A81BCF"/>
  </w:style>
  <w:style w:type="character" w:customStyle="1" w:styleId="block">
    <w:name w:val="block"/>
    <w:basedOn w:val="DefaultParagraphFont"/>
    <w:rsid w:val="00A81BCF"/>
  </w:style>
  <w:style w:type="character" w:styleId="Mention">
    <w:name w:val="Mention"/>
    <w:basedOn w:val="DefaultParagraphFont"/>
    <w:uiPriority w:val="99"/>
    <w:unhideWhenUsed/>
    <w:rsid w:val="00B45174"/>
    <w:rPr>
      <w:color w:val="2B579A"/>
      <w:shd w:val="clear" w:color="auto" w:fill="E1DFDD"/>
    </w:rPr>
  </w:style>
  <w:style w:type="paragraph" w:styleId="EndnoteText">
    <w:name w:val="endnote text"/>
    <w:basedOn w:val="Normal"/>
    <w:link w:val="EndnoteTextChar"/>
    <w:semiHidden/>
    <w:unhideWhenUsed/>
    <w:rsid w:val="00AD299D"/>
    <w:rPr>
      <w:sz w:val="20"/>
      <w:szCs w:val="20"/>
    </w:rPr>
  </w:style>
  <w:style w:type="character" w:customStyle="1" w:styleId="EndnoteTextChar">
    <w:name w:val="Endnote Text Char"/>
    <w:basedOn w:val="DefaultParagraphFont"/>
    <w:link w:val="EndnoteText"/>
    <w:semiHidden/>
    <w:rsid w:val="00AD299D"/>
    <w:rPr>
      <w:rFonts w:ascii="Calibri" w:hAnsi="Calibri" w:cs="Arial"/>
    </w:rPr>
  </w:style>
  <w:style w:type="character" w:styleId="EndnoteReference">
    <w:name w:val="endnote reference"/>
    <w:basedOn w:val="DefaultParagraphFont"/>
    <w:semiHidden/>
    <w:unhideWhenUsed/>
    <w:rsid w:val="00AD299D"/>
    <w:rPr>
      <w:vertAlign w:val="superscript"/>
    </w:rPr>
  </w:style>
  <w:style w:type="paragraph" w:customStyle="1" w:styleId="EndNoteBibliographyTitle">
    <w:name w:val="EndNote Bibliography Title"/>
    <w:basedOn w:val="Normal"/>
    <w:link w:val="EndNoteBibliographyTitleChar"/>
    <w:rsid w:val="00D47FC0"/>
    <w:pPr>
      <w:jc w:val="center"/>
    </w:pPr>
    <w:rPr>
      <w:rFonts w:cs="Calibri"/>
      <w:noProof/>
    </w:rPr>
  </w:style>
  <w:style w:type="character" w:customStyle="1" w:styleId="EndNoteBibliographyTitleChar">
    <w:name w:val="EndNote Bibliography Title Char"/>
    <w:basedOn w:val="DefaultParagraphFont"/>
    <w:link w:val="EndNoteBibliographyTitle"/>
    <w:rsid w:val="00D47FC0"/>
    <w:rPr>
      <w:rFonts w:ascii="Calibri" w:hAnsi="Calibri" w:cs="Calibri"/>
      <w:noProof/>
      <w:sz w:val="24"/>
      <w:szCs w:val="24"/>
    </w:rPr>
  </w:style>
  <w:style w:type="paragraph" w:customStyle="1" w:styleId="EndNoteBibliography">
    <w:name w:val="EndNote Bibliography"/>
    <w:basedOn w:val="Normal"/>
    <w:link w:val="EndNoteBibliographyChar"/>
    <w:rsid w:val="00D47FC0"/>
    <w:rPr>
      <w:rFonts w:cs="Calibri"/>
      <w:noProof/>
    </w:rPr>
  </w:style>
  <w:style w:type="character" w:customStyle="1" w:styleId="EndNoteBibliographyChar">
    <w:name w:val="EndNote Bibliography Char"/>
    <w:basedOn w:val="DefaultParagraphFont"/>
    <w:link w:val="EndNoteBibliography"/>
    <w:rsid w:val="00D47FC0"/>
    <w:rPr>
      <w:rFonts w:ascii="Calibri" w:hAnsi="Calibri" w:cs="Calibri"/>
      <w:noProof/>
      <w:sz w:val="24"/>
      <w:szCs w:val="24"/>
    </w:rPr>
  </w:style>
  <w:style w:type="character" w:customStyle="1" w:styleId="authors">
    <w:name w:val="authors"/>
    <w:basedOn w:val="DefaultParagraphFont"/>
    <w:rsid w:val="00784D59"/>
  </w:style>
  <w:style w:type="character" w:customStyle="1" w:styleId="heading">
    <w:name w:val="heading"/>
    <w:basedOn w:val="DefaultParagraphFont"/>
    <w:rsid w:val="00784D59"/>
  </w:style>
  <w:style w:type="paragraph" w:customStyle="1" w:styleId="3-SubsectionHeading">
    <w:name w:val="3-Subsection Heading"/>
    <w:basedOn w:val="Heading2"/>
    <w:next w:val="Normal"/>
    <w:link w:val="3-SubsectionHeadingChar"/>
    <w:qFormat/>
    <w:rsid w:val="006172E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172EC"/>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30163E5C-953F-491E-8E8D-9085CAA37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DA16B-8243-4012-8482-057256CB97CE}">
  <ds:schemaRefs>
    <ds:schemaRef ds:uri="http://schemas.microsoft.com/sharepoint/v3/contenttype/forms"/>
  </ds:schemaRefs>
</ds:datastoreItem>
</file>

<file path=customXml/itemProps3.xml><?xml version="1.0" encoding="utf-8"?>
<ds:datastoreItem xmlns:ds="http://schemas.openxmlformats.org/officeDocument/2006/customXml" ds:itemID="{5860002B-CCFC-4978-AB25-480B26269187}">
  <ds:schemaRefs>
    <ds:schemaRef ds:uri="http://schemas.openxmlformats.org/officeDocument/2006/bibliography"/>
  </ds:schemaRefs>
</ds:datastoreItem>
</file>

<file path=customXml/itemProps4.xml><?xml version="1.0" encoding="utf-8"?>
<ds:datastoreItem xmlns:ds="http://schemas.openxmlformats.org/officeDocument/2006/customXml" ds:itemID="{8ECCA117-888A-4AB5-9CA3-A49DD5F25C2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12707</Words>
  <Characters>69764</Characters>
  <Application>Microsoft Office Word</Application>
  <DocSecurity>0</DocSecurity>
  <Lines>2051</Lines>
  <Paragraphs>1268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2026-05-22T03:45:00Z</dcterms:created>
  <dcterms:modified xsi:type="dcterms:W3CDTF">2026-07-07T03:19:00Z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4b9bdae3,1d0e99d2,c0edca5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391b643f,68e5d708,4eb110c0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2026-05-13T01:59:14Z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5b645355-249a-48b1-a8d8-f6ffec865577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y fmtid="{D5CDD505-2E9C-101B-9397-08002B2CF9AE}" pid="19" name="Order">
    <vt:r8>59896700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