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2B6C" w14:textId="54A40D0A" w:rsidR="003770FF" w:rsidRPr="00A6439B" w:rsidRDefault="003770FF" w:rsidP="003A0A18">
      <w:pPr>
        <w:pStyle w:val="1-MainHeading"/>
      </w:pPr>
      <w:r>
        <w:t>OOS</w:t>
      </w:r>
      <w:r w:rsidRPr="00A6439B">
        <w:tab/>
      </w:r>
      <w:r w:rsidRPr="008E1603">
        <w:t>EDARAVONE</w:t>
      </w:r>
      <w:r w:rsidRPr="00A6439B">
        <w:t>,</w:t>
      </w:r>
      <w:r w:rsidRPr="00A6439B">
        <w:br/>
      </w:r>
      <w:r>
        <w:t>Solution concentrate for I.V. infusion 30 mg in 20 mL</w:t>
      </w:r>
      <w:r w:rsidRPr="00A6439B">
        <w:t>,</w:t>
      </w:r>
      <w:r w:rsidRPr="00A6439B">
        <w:br/>
      </w:r>
      <w:proofErr w:type="spellStart"/>
      <w:r w:rsidRPr="00ED47CE">
        <w:t>Radicava</w:t>
      </w:r>
      <w:proofErr w:type="spellEnd"/>
      <w:r w:rsidRPr="00A6439B">
        <w:t>®,</w:t>
      </w:r>
      <w:r w:rsidRPr="00A6439B">
        <w:br/>
      </w:r>
      <w:r w:rsidRPr="00ED47CE">
        <w:t>Teva Pharma Australia Pty Ltd</w:t>
      </w:r>
    </w:p>
    <w:p w14:paraId="5F4D54C1" w14:textId="05D6EA37" w:rsidR="00E11F44" w:rsidRPr="00B002AD" w:rsidRDefault="007E490F" w:rsidP="009A0D2B">
      <w:pPr>
        <w:pStyle w:val="2-SectionHeading"/>
        <w:numPr>
          <w:ilvl w:val="0"/>
          <w:numId w:val="16"/>
        </w:numPr>
        <w:rPr>
          <w:rFonts w:cstheme="minorHAnsi"/>
          <w:color w:val="FF0000"/>
        </w:rPr>
      </w:pPr>
      <w:r w:rsidRPr="007E1673">
        <w:t xml:space="preserve">Purpose of </w:t>
      </w:r>
      <w:r w:rsidR="00FA0B04" w:rsidRPr="007E1673">
        <w:t>Submission</w:t>
      </w:r>
      <w:r w:rsidRPr="00A6439B">
        <w:t xml:space="preserve"> </w:t>
      </w:r>
    </w:p>
    <w:p w14:paraId="1B64C81B" w14:textId="6FB152E3" w:rsidR="000E0AF9" w:rsidRDefault="00113FE0" w:rsidP="000E0AF9">
      <w:pPr>
        <w:pStyle w:val="3-BodyText"/>
      </w:pPr>
      <w:r>
        <w:t xml:space="preserve">The submission </w:t>
      </w:r>
      <w:r w:rsidR="001D09E5">
        <w:t>s</w:t>
      </w:r>
      <w:r>
        <w:t>ought</w:t>
      </w:r>
      <w:r w:rsidR="001D09E5">
        <w:t xml:space="preserve"> </w:t>
      </w:r>
      <w:r w:rsidR="00B80134">
        <w:t xml:space="preserve">to amend </w:t>
      </w:r>
      <w:r w:rsidR="001C5CD1">
        <w:t xml:space="preserve">the </w:t>
      </w:r>
      <w:r w:rsidR="00401AEC">
        <w:t xml:space="preserve">current </w:t>
      </w:r>
      <w:r w:rsidR="004070BF" w:rsidRPr="004070BF">
        <w:t>Section 100 (Highly Specialised Drug Program</w:t>
      </w:r>
      <w:r w:rsidR="00143741">
        <w:t xml:space="preserve"> (HSD)</w:t>
      </w:r>
      <w:r w:rsidR="004070BF" w:rsidRPr="004070BF">
        <w:t xml:space="preserve">) Authority Required </w:t>
      </w:r>
      <w:r w:rsidR="00B621EC" w:rsidRPr="00B621EC">
        <w:t>(telephone/online PBS Authorities system)</w:t>
      </w:r>
      <w:r w:rsidR="004070BF" w:rsidRPr="004070BF">
        <w:t xml:space="preserve"> listing</w:t>
      </w:r>
      <w:r w:rsidR="00685A0D">
        <w:t>s</w:t>
      </w:r>
      <w:r w:rsidR="004070BF" w:rsidRPr="004070BF">
        <w:t xml:space="preserve"> of</w:t>
      </w:r>
      <w:r w:rsidR="004070BF">
        <w:t xml:space="preserve"> </w:t>
      </w:r>
      <w:proofErr w:type="spellStart"/>
      <w:r w:rsidR="000E4190" w:rsidRPr="000E4190">
        <w:t>edaravone</w:t>
      </w:r>
      <w:proofErr w:type="spellEnd"/>
      <w:r w:rsidR="000E4190">
        <w:t xml:space="preserve"> (</w:t>
      </w:r>
      <w:proofErr w:type="spellStart"/>
      <w:r w:rsidR="003902E1" w:rsidRPr="003902E1">
        <w:t>Radicava</w:t>
      </w:r>
      <w:proofErr w:type="spellEnd"/>
      <w:r w:rsidR="003902E1" w:rsidRPr="003902E1">
        <w:t>®</w:t>
      </w:r>
      <w:r w:rsidR="003902E1">
        <w:t xml:space="preserve">) </w:t>
      </w:r>
      <w:r w:rsidR="00D86D9E">
        <w:t>for the treatment of a</w:t>
      </w:r>
      <w:r w:rsidR="00D86D9E" w:rsidRPr="00D86D9E">
        <w:t>myotrophic lateral sclerosis</w:t>
      </w:r>
      <w:r w:rsidR="00D86D9E">
        <w:t xml:space="preserve"> (ALS)</w:t>
      </w:r>
      <w:r w:rsidR="00CC474D">
        <w:t xml:space="preserve"> to</w:t>
      </w:r>
      <w:r w:rsidR="00D86D9E">
        <w:t xml:space="preserve">: </w:t>
      </w:r>
    </w:p>
    <w:p w14:paraId="577F51A5" w14:textId="3FC1346F" w:rsidR="00D86D9E" w:rsidRDefault="00BD725D" w:rsidP="000E0AF9">
      <w:pPr>
        <w:pStyle w:val="3-BodyText"/>
        <w:numPr>
          <w:ilvl w:val="0"/>
          <w:numId w:val="13"/>
        </w:numPr>
      </w:pPr>
      <w:r>
        <w:t>A</w:t>
      </w:r>
      <w:r w:rsidR="00C66D2A">
        <w:t xml:space="preserve">dd a </w:t>
      </w:r>
      <w:r w:rsidR="006E24ED">
        <w:t xml:space="preserve">Section </w:t>
      </w:r>
      <w:r w:rsidR="00552B17">
        <w:t xml:space="preserve">100 HSD </w:t>
      </w:r>
      <w:r w:rsidR="00371C7A" w:rsidRPr="003902E1">
        <w:t xml:space="preserve">Community Access </w:t>
      </w:r>
      <w:r w:rsidR="00C66D2A">
        <w:t>(</w:t>
      </w:r>
      <w:r w:rsidR="00552B17">
        <w:t>CA</w:t>
      </w:r>
      <w:r w:rsidR="00371C7A">
        <w:t>)</w:t>
      </w:r>
      <w:r w:rsidR="56A8CED9">
        <w:t xml:space="preserve"> </w:t>
      </w:r>
      <w:r w:rsidR="000E0AF9">
        <w:t>listing for initial treatment</w:t>
      </w:r>
      <w:r w:rsidR="00E878D6">
        <w:t>,</w:t>
      </w:r>
      <w:r w:rsidR="00F732F9">
        <w:t xml:space="preserve"> </w:t>
      </w:r>
      <w:r w:rsidR="56A8CED9">
        <w:t xml:space="preserve">in addition to </w:t>
      </w:r>
      <w:r w:rsidR="00C307A2">
        <w:t xml:space="preserve">the </w:t>
      </w:r>
      <w:r w:rsidR="56A8CED9">
        <w:t xml:space="preserve">existing </w:t>
      </w:r>
      <w:r w:rsidR="00E878D6">
        <w:t xml:space="preserve">Section 100 </w:t>
      </w:r>
      <w:r w:rsidR="56A8CED9">
        <w:t xml:space="preserve">HSD listings for </w:t>
      </w:r>
      <w:r w:rsidR="00AE5D98">
        <w:t>P</w:t>
      </w:r>
      <w:r w:rsidR="00E878D6">
        <w:t xml:space="preserve">ublic and </w:t>
      </w:r>
      <w:r w:rsidR="00AE5D98">
        <w:t>P</w:t>
      </w:r>
      <w:r w:rsidR="00E878D6">
        <w:t xml:space="preserve">rivate </w:t>
      </w:r>
      <w:r w:rsidR="56A8CED9">
        <w:t>hospital</w:t>
      </w:r>
      <w:r w:rsidR="00D1705E">
        <w:t>s</w:t>
      </w:r>
      <w:r w:rsidR="00552B17">
        <w:t>, allowing community-based neurologists to prescribe</w:t>
      </w:r>
      <w:r w:rsidR="007F46EC">
        <w:t xml:space="preserve"> </w:t>
      </w:r>
      <w:proofErr w:type="spellStart"/>
      <w:r w:rsidR="007F46EC">
        <w:t>edaravone</w:t>
      </w:r>
      <w:proofErr w:type="spellEnd"/>
      <w:r w:rsidR="00622897">
        <w:t xml:space="preserve"> for initiation</w:t>
      </w:r>
      <w:r w:rsidR="00552B17">
        <w:t>; and</w:t>
      </w:r>
    </w:p>
    <w:p w14:paraId="1A0DC9BF" w14:textId="777CB667" w:rsidR="004F3983" w:rsidRDefault="00BD725D" w:rsidP="009A0D2B">
      <w:pPr>
        <w:pStyle w:val="3-BodyText"/>
        <w:numPr>
          <w:ilvl w:val="0"/>
          <w:numId w:val="13"/>
        </w:numPr>
      </w:pPr>
      <w:r>
        <w:t>A</w:t>
      </w:r>
      <w:r w:rsidR="00B65FD1" w:rsidRPr="00B65FD1">
        <w:t xml:space="preserve">mend the clinical criteria to ensure that ALS patients who have initiated treatment with </w:t>
      </w:r>
      <w:proofErr w:type="spellStart"/>
      <w:r w:rsidR="00B65FD1" w:rsidRPr="00B65FD1">
        <w:t>edaravone</w:t>
      </w:r>
      <w:proofErr w:type="spellEnd"/>
      <w:r w:rsidR="00B65FD1" w:rsidRPr="00B65FD1">
        <w:t xml:space="preserve"> and meet the requirements for continuing therapy, regardless of whether treatment commenced privately, are eligible to receive PBS-subsidised continuation therapy.</w:t>
      </w:r>
    </w:p>
    <w:p w14:paraId="3D1D4320" w14:textId="77777777" w:rsidR="007E490F" w:rsidRPr="00A6439B" w:rsidRDefault="007E490F" w:rsidP="009A0D2B">
      <w:pPr>
        <w:pStyle w:val="2-SectionHeading"/>
        <w:numPr>
          <w:ilvl w:val="0"/>
          <w:numId w:val="1"/>
        </w:numPr>
      </w:pPr>
      <w:r w:rsidRPr="00A6439B">
        <w:t xml:space="preserve">Background </w:t>
      </w:r>
    </w:p>
    <w:p w14:paraId="66A51362" w14:textId="456D0FD2" w:rsidR="00B63251" w:rsidRPr="009A0D2B" w:rsidRDefault="003B7CF0" w:rsidP="008054C9">
      <w:pPr>
        <w:pStyle w:val="3-BodyText"/>
      </w:pPr>
      <w:r w:rsidRPr="003B7CF0">
        <w:rPr>
          <w:rFonts w:cs="Arial"/>
          <w:snapToGrid w:val="0"/>
        </w:rPr>
        <w:t xml:space="preserve">At its March 2024 meeting, the PBAC considered it would be appropriate for HSD CA arrangements to apply to </w:t>
      </w:r>
      <w:proofErr w:type="spellStart"/>
      <w:r w:rsidRPr="003B7CF0">
        <w:rPr>
          <w:rFonts w:cs="Arial"/>
          <w:snapToGrid w:val="0"/>
        </w:rPr>
        <w:t>edaravone</w:t>
      </w:r>
      <w:proofErr w:type="spellEnd"/>
      <w:r w:rsidRPr="003B7CF0">
        <w:rPr>
          <w:rFonts w:cs="Arial"/>
          <w:snapToGrid w:val="0"/>
        </w:rPr>
        <w:t xml:space="preserve"> for the continuing treatment of ALS, without requiring additional accreditation for prescribers (paragraph 3.8, </w:t>
      </w:r>
      <w:proofErr w:type="spellStart"/>
      <w:r w:rsidRPr="003B7CF0">
        <w:rPr>
          <w:rFonts w:cs="Arial"/>
          <w:snapToGrid w:val="0"/>
        </w:rPr>
        <w:t>edaravone</w:t>
      </w:r>
      <w:proofErr w:type="spellEnd"/>
      <w:r w:rsidRPr="003B7CF0">
        <w:rPr>
          <w:rFonts w:cs="Arial"/>
          <w:snapToGrid w:val="0"/>
        </w:rPr>
        <w:t xml:space="preserve"> Public Summary Document </w:t>
      </w:r>
      <w:r w:rsidR="00BD3CD2">
        <w:rPr>
          <w:rFonts w:cs="Arial"/>
          <w:snapToGrid w:val="0"/>
        </w:rPr>
        <w:t>[</w:t>
      </w:r>
      <w:r w:rsidRPr="003B7CF0">
        <w:rPr>
          <w:rFonts w:cs="Arial"/>
          <w:snapToGrid w:val="0"/>
        </w:rPr>
        <w:t>PSD</w:t>
      </w:r>
      <w:r w:rsidR="00BD3CD2">
        <w:rPr>
          <w:rFonts w:cs="Arial"/>
          <w:snapToGrid w:val="0"/>
        </w:rPr>
        <w:t>]</w:t>
      </w:r>
      <w:r w:rsidRPr="003B7CF0">
        <w:rPr>
          <w:rFonts w:cs="Arial"/>
          <w:snapToGrid w:val="0"/>
        </w:rPr>
        <w:t xml:space="preserve">, March 2024 PBAC meeting). </w:t>
      </w:r>
      <w:r w:rsidR="002861EC">
        <w:rPr>
          <w:rFonts w:cs="Arial"/>
          <w:snapToGrid w:val="0"/>
        </w:rPr>
        <w:t>T</w:t>
      </w:r>
      <w:r w:rsidRPr="003B7CF0">
        <w:rPr>
          <w:rFonts w:cs="Arial"/>
          <w:snapToGrid w:val="0"/>
        </w:rPr>
        <w:t xml:space="preserve">he PBAC recommended listing </w:t>
      </w:r>
      <w:proofErr w:type="spellStart"/>
      <w:r w:rsidRPr="003B7CF0">
        <w:rPr>
          <w:rFonts w:cs="Arial"/>
          <w:snapToGrid w:val="0"/>
        </w:rPr>
        <w:t>edaravone</w:t>
      </w:r>
      <w:proofErr w:type="spellEnd"/>
      <w:r w:rsidRPr="003B7CF0">
        <w:rPr>
          <w:rFonts w:cs="Arial"/>
          <w:snapToGrid w:val="0"/>
        </w:rPr>
        <w:t xml:space="preserve"> for the treatment of ALS under Section 100 HSD arrangements, where CA on the HSD program applies only for continuing treatment</w:t>
      </w:r>
      <w:r>
        <w:rPr>
          <w:rFonts w:cs="Arial"/>
          <w:snapToGrid w:val="0"/>
        </w:rPr>
        <w:t xml:space="preserve"> </w:t>
      </w:r>
      <w:r>
        <w:rPr>
          <w:lang w:eastAsia="en-US"/>
        </w:rPr>
        <w:t xml:space="preserve">(paragraph 5.1, </w:t>
      </w:r>
      <w:proofErr w:type="spellStart"/>
      <w:r w:rsidRPr="008054C9">
        <w:rPr>
          <w:rFonts w:cs="Arial"/>
          <w:snapToGrid w:val="0"/>
          <w:lang w:val="en-GB"/>
        </w:rPr>
        <w:t>edaravone</w:t>
      </w:r>
      <w:proofErr w:type="spellEnd"/>
      <w:r w:rsidRPr="008054C9">
        <w:rPr>
          <w:rFonts w:cs="Arial"/>
          <w:snapToGrid w:val="0"/>
          <w:lang w:val="en-GB"/>
        </w:rPr>
        <w:t xml:space="preserve"> PSD, March 2024 PBAC meeting).</w:t>
      </w:r>
    </w:p>
    <w:p w14:paraId="39DE860C" w14:textId="1940D1B1" w:rsidR="009A0D2B" w:rsidRPr="009E1E6B" w:rsidRDefault="009A0D2B" w:rsidP="006F7F37">
      <w:pPr>
        <w:pStyle w:val="3-BodyText"/>
      </w:pPr>
      <w:r>
        <w:t>The submission was originally lodged for the March 2026 PBAC meeting. However, the sponsor requested out-of-session consideration due to the urgent clinical need and time-critical nature of initiating treatment for ALS. The sponsor considered that the current restrictions</w:t>
      </w:r>
      <w:r w:rsidR="006F7F37">
        <w:t xml:space="preserve">, which limit initiation to hospital-based neurologists, </w:t>
      </w:r>
      <w:r>
        <w:t xml:space="preserve">are causing unnecessary delays and difficulties in accessing </w:t>
      </w:r>
      <w:proofErr w:type="spellStart"/>
      <w:r>
        <w:t>edaravone</w:t>
      </w:r>
      <w:proofErr w:type="spellEnd"/>
      <w:r>
        <w:t xml:space="preserve"> treatment for ALS patients</w:t>
      </w:r>
      <w:r w:rsidR="0D0BED51">
        <w:t xml:space="preserve"> who would otherwise be eligible for treatment</w:t>
      </w:r>
      <w:r>
        <w:t>, primarily due to administrative limitations associated with the existing listings.</w:t>
      </w:r>
    </w:p>
    <w:p w14:paraId="191017D9" w14:textId="7B048FB0" w:rsidR="001F2311" w:rsidRDefault="002D74E8" w:rsidP="008C4767">
      <w:pPr>
        <w:pStyle w:val="3-BodyText"/>
      </w:pPr>
      <w:proofErr w:type="spellStart"/>
      <w:r w:rsidRPr="002D74E8">
        <w:t>Edaravone</w:t>
      </w:r>
      <w:proofErr w:type="spellEnd"/>
      <w:r w:rsidRPr="002D74E8">
        <w:t xml:space="preserve"> solution for intravenous </w:t>
      </w:r>
      <w:r w:rsidRPr="006F1424">
        <w:t xml:space="preserve">(IV) </w:t>
      </w:r>
      <w:r w:rsidRPr="002D74E8">
        <w:t>infusion was registered by the Therapeutic Goods Administration (TGA) on 15 February 2023 for use in adults diagnosed with ALS who are independent in activities of daily living, have normal respiratory function, and where treatment is initiated within two years of disease onset.</w:t>
      </w:r>
    </w:p>
    <w:p w14:paraId="0EE51DE7" w14:textId="0BC4E577" w:rsidR="00AC67DE" w:rsidRDefault="003F27FF" w:rsidP="00AC67DE">
      <w:pPr>
        <w:pStyle w:val="3-BodyText"/>
      </w:pPr>
      <w:r w:rsidRPr="003F27FF">
        <w:lastRenderedPageBreak/>
        <w:t xml:space="preserve">The recommended dosage of </w:t>
      </w:r>
      <w:proofErr w:type="spellStart"/>
      <w:r>
        <w:t>e</w:t>
      </w:r>
      <w:r w:rsidRPr="002D74E8">
        <w:t>daravone</w:t>
      </w:r>
      <w:proofErr w:type="spellEnd"/>
      <w:r w:rsidR="00304774" w:rsidRPr="00304774">
        <w:t xml:space="preserve">, as per TGA-approved product information, </w:t>
      </w:r>
      <w:r w:rsidRPr="003F27FF">
        <w:t>is 60</w:t>
      </w:r>
      <w:r w:rsidR="00304774">
        <w:t> </w:t>
      </w:r>
      <w:r w:rsidRPr="003F27FF">
        <w:t>mg (two ampoules) diluted with 100</w:t>
      </w:r>
      <w:r w:rsidR="00B00F6D">
        <w:t> </w:t>
      </w:r>
      <w:r w:rsidRPr="003F27FF">
        <w:t xml:space="preserve">mL of 0.9% sodium chloride and administered as an </w:t>
      </w:r>
      <w:r w:rsidR="00AC67DE">
        <w:t xml:space="preserve">IV </w:t>
      </w:r>
      <w:r w:rsidRPr="003F27FF">
        <w:t>infusion over 60-minute</w:t>
      </w:r>
      <w:r w:rsidR="00F02C9D">
        <w:t>s</w:t>
      </w:r>
      <w:r w:rsidRPr="003F27FF">
        <w:t xml:space="preserve"> period: </w:t>
      </w:r>
    </w:p>
    <w:p w14:paraId="0E79F8C3" w14:textId="5E5F3B86" w:rsidR="00AC67DE" w:rsidRDefault="00B13320" w:rsidP="009A0D2B">
      <w:pPr>
        <w:pStyle w:val="3-BodyText"/>
        <w:numPr>
          <w:ilvl w:val="0"/>
          <w:numId w:val="18"/>
        </w:numPr>
      </w:pPr>
      <w:r>
        <w:t>I</w:t>
      </w:r>
      <w:r w:rsidR="003F27FF" w:rsidRPr="003F27FF">
        <w:t>nitial treatment cycle</w:t>
      </w:r>
      <w:r w:rsidR="00042AAC">
        <w:t xml:space="preserve">: </w:t>
      </w:r>
      <w:r w:rsidR="003F27FF" w:rsidRPr="003F27FF">
        <w:t xml:space="preserve">daily dosing for 14 days, followed by a 14-day drug-free period. </w:t>
      </w:r>
    </w:p>
    <w:p w14:paraId="71D4B8AC" w14:textId="344DE29F" w:rsidR="003F27FF" w:rsidRPr="006F1424" w:rsidRDefault="003F27FF" w:rsidP="009A0D2B">
      <w:pPr>
        <w:pStyle w:val="3-BodyText"/>
        <w:numPr>
          <w:ilvl w:val="0"/>
          <w:numId w:val="18"/>
        </w:numPr>
      </w:pPr>
      <w:r w:rsidRPr="003F27FF">
        <w:t>Subsequent treatment cycles</w:t>
      </w:r>
      <w:r w:rsidR="00B13320">
        <w:t>:</w:t>
      </w:r>
      <w:r w:rsidRPr="003F27FF">
        <w:t xml:space="preserve"> daily dosing for 10 days out of 14-day periods, followed by 14-day drug-free periods</w:t>
      </w:r>
      <w:r w:rsidR="0096572D">
        <w:t>.</w:t>
      </w:r>
    </w:p>
    <w:p w14:paraId="1B8790B6" w14:textId="77777777" w:rsidR="00964A9F" w:rsidRPr="00A6439B" w:rsidRDefault="00964A9F" w:rsidP="00964A9F">
      <w:pPr>
        <w:pStyle w:val="2-SectionHeading"/>
      </w:pPr>
      <w:r>
        <w:t xml:space="preserve">Requested listing </w:t>
      </w:r>
    </w:p>
    <w:p w14:paraId="69992BFD" w14:textId="7AD26902" w:rsidR="001D57B2" w:rsidRPr="00C63C34" w:rsidRDefault="00902FFD" w:rsidP="7FAC855D">
      <w:pPr>
        <w:pStyle w:val="3-BodyText"/>
        <w:rPr>
          <w:rFonts w:ascii="Arial Narrow" w:hAnsi="Arial Narrow"/>
          <w:color w:val="FF0000"/>
          <w:sz w:val="20"/>
          <w:szCs w:val="20"/>
        </w:rPr>
      </w:pPr>
      <w:r w:rsidRPr="7FAC855D">
        <w:t>The submission requested the addition of a new Section 100 HSD CA listing for initial treatment</w:t>
      </w:r>
      <w:r w:rsidR="00C63C34" w:rsidRPr="7FAC855D">
        <w:t xml:space="preserve">. </w:t>
      </w:r>
      <w:r w:rsidR="00C63C34">
        <w:t xml:space="preserve">The submission’s proposed additions are in italics and deletions in strikethrough, while Secretariat additions and deletions are shown in </w:t>
      </w:r>
      <w:r w:rsidR="001F59D5">
        <w:t xml:space="preserve">bold </w:t>
      </w:r>
      <w:r w:rsidR="00C63C34">
        <w:t>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704"/>
        <w:gridCol w:w="851"/>
        <w:gridCol w:w="2487"/>
        <w:gridCol w:w="886"/>
        <w:gridCol w:w="796"/>
        <w:gridCol w:w="786"/>
        <w:gridCol w:w="786"/>
        <w:gridCol w:w="1720"/>
      </w:tblGrid>
      <w:tr w:rsidR="00AA24E9" w:rsidRPr="006C69FF" w14:paraId="090EC971" w14:textId="77777777" w:rsidTr="00D951E2">
        <w:trPr>
          <w:trHeight w:val="20"/>
        </w:trPr>
        <w:tc>
          <w:tcPr>
            <w:tcW w:w="4042" w:type="dxa"/>
            <w:gridSpan w:val="3"/>
            <w:vAlign w:val="center"/>
          </w:tcPr>
          <w:p w14:paraId="6811159C" w14:textId="77777777" w:rsidR="00AA24E9" w:rsidRPr="006C69FF" w:rsidRDefault="00AA24E9" w:rsidP="004F40DC">
            <w:pPr>
              <w:keepLines/>
              <w:rPr>
                <w:rFonts w:ascii="Arial Narrow" w:hAnsi="Arial Narrow" w:cs="Arial"/>
                <w:b/>
                <w:bCs/>
                <w:sz w:val="20"/>
                <w:szCs w:val="20"/>
              </w:rPr>
            </w:pPr>
            <w:r w:rsidRPr="006C69FF">
              <w:rPr>
                <w:rFonts w:ascii="Arial Narrow" w:hAnsi="Arial Narrow" w:cs="Arial"/>
                <w:b/>
                <w:bCs/>
                <w:sz w:val="20"/>
                <w:szCs w:val="20"/>
              </w:rPr>
              <w:t>MEDICINAL PRODUCT</w:t>
            </w:r>
          </w:p>
          <w:p w14:paraId="72770312" w14:textId="77777777" w:rsidR="00AA24E9" w:rsidRPr="006C69FF" w:rsidRDefault="00AA24E9" w:rsidP="004F40DC">
            <w:pPr>
              <w:keepLines/>
              <w:rPr>
                <w:rFonts w:ascii="Arial Narrow" w:hAnsi="Arial Narrow" w:cs="Arial"/>
                <w:b/>
                <w:sz w:val="20"/>
                <w:szCs w:val="20"/>
              </w:rPr>
            </w:pPr>
            <w:r w:rsidRPr="006C69FF">
              <w:rPr>
                <w:rFonts w:ascii="Arial Narrow" w:hAnsi="Arial Narrow" w:cs="Arial"/>
                <w:b/>
                <w:bCs/>
                <w:sz w:val="20"/>
                <w:szCs w:val="20"/>
              </w:rPr>
              <w:t>medicinal product pack</w:t>
            </w:r>
          </w:p>
        </w:tc>
        <w:tc>
          <w:tcPr>
            <w:tcW w:w="886" w:type="dxa"/>
            <w:vAlign w:val="center"/>
          </w:tcPr>
          <w:p w14:paraId="5ABDBDFA" w14:textId="77777777" w:rsidR="00AA24E9" w:rsidRPr="006C69FF" w:rsidRDefault="00AA24E9" w:rsidP="004F40DC">
            <w:pPr>
              <w:keepLines/>
              <w:jc w:val="center"/>
              <w:rPr>
                <w:rFonts w:ascii="Arial Narrow" w:hAnsi="Arial Narrow" w:cs="Arial"/>
                <w:b/>
                <w:sz w:val="20"/>
                <w:szCs w:val="20"/>
              </w:rPr>
            </w:pPr>
            <w:r w:rsidRPr="006C69FF">
              <w:rPr>
                <w:rFonts w:ascii="Arial Narrow" w:hAnsi="Arial Narrow" w:cs="Arial"/>
                <w:b/>
                <w:sz w:val="20"/>
                <w:szCs w:val="20"/>
              </w:rPr>
              <w:t>PBS item code</w:t>
            </w:r>
          </w:p>
        </w:tc>
        <w:tc>
          <w:tcPr>
            <w:tcW w:w="796" w:type="dxa"/>
            <w:vAlign w:val="center"/>
          </w:tcPr>
          <w:p w14:paraId="3C2E0426" w14:textId="77777777" w:rsidR="00AA24E9" w:rsidRPr="006C69FF" w:rsidRDefault="00AA24E9" w:rsidP="004F40DC">
            <w:pPr>
              <w:keepLines/>
              <w:jc w:val="center"/>
              <w:rPr>
                <w:rFonts w:ascii="Arial Narrow" w:hAnsi="Arial Narrow" w:cs="Arial"/>
                <w:b/>
                <w:sz w:val="20"/>
                <w:szCs w:val="20"/>
              </w:rPr>
            </w:pPr>
            <w:r w:rsidRPr="006C69FF">
              <w:rPr>
                <w:rFonts w:ascii="Arial Narrow" w:hAnsi="Arial Narrow" w:cs="Arial"/>
                <w:b/>
                <w:sz w:val="20"/>
                <w:szCs w:val="20"/>
              </w:rPr>
              <w:t>Max. qty packs</w:t>
            </w:r>
          </w:p>
        </w:tc>
        <w:tc>
          <w:tcPr>
            <w:tcW w:w="786" w:type="dxa"/>
            <w:vAlign w:val="center"/>
          </w:tcPr>
          <w:p w14:paraId="4C6207F6" w14:textId="77777777" w:rsidR="00AA24E9" w:rsidRPr="006C69FF" w:rsidRDefault="00AA24E9" w:rsidP="004F40DC">
            <w:pPr>
              <w:keepLines/>
              <w:jc w:val="center"/>
              <w:rPr>
                <w:rFonts w:ascii="Arial Narrow" w:hAnsi="Arial Narrow" w:cs="Arial"/>
                <w:b/>
                <w:sz w:val="20"/>
                <w:szCs w:val="20"/>
              </w:rPr>
            </w:pPr>
            <w:r w:rsidRPr="006C69FF">
              <w:rPr>
                <w:rFonts w:ascii="Arial Narrow" w:hAnsi="Arial Narrow" w:cs="Arial"/>
                <w:b/>
                <w:sz w:val="20"/>
                <w:szCs w:val="20"/>
              </w:rPr>
              <w:t>Max. qty units</w:t>
            </w:r>
          </w:p>
        </w:tc>
        <w:tc>
          <w:tcPr>
            <w:tcW w:w="786" w:type="dxa"/>
            <w:vAlign w:val="center"/>
          </w:tcPr>
          <w:p w14:paraId="67D84042" w14:textId="77777777" w:rsidR="00AA24E9" w:rsidRPr="006C69FF" w:rsidRDefault="00AA24E9" w:rsidP="004F40DC">
            <w:pPr>
              <w:keepLines/>
              <w:jc w:val="center"/>
              <w:rPr>
                <w:rFonts w:ascii="Arial Narrow" w:hAnsi="Arial Narrow" w:cs="Arial"/>
                <w:b/>
                <w:sz w:val="20"/>
                <w:szCs w:val="20"/>
              </w:rPr>
            </w:pPr>
            <w:proofErr w:type="gramStart"/>
            <w:r w:rsidRPr="006C69FF">
              <w:rPr>
                <w:rFonts w:ascii="Arial Narrow" w:hAnsi="Arial Narrow" w:cs="Arial"/>
                <w:b/>
                <w:sz w:val="20"/>
                <w:szCs w:val="20"/>
              </w:rPr>
              <w:t>№.of</w:t>
            </w:r>
            <w:proofErr w:type="gramEnd"/>
          </w:p>
          <w:p w14:paraId="6E260049" w14:textId="77777777" w:rsidR="00AA24E9" w:rsidRPr="006C69FF" w:rsidRDefault="00AA24E9" w:rsidP="004F40DC">
            <w:pPr>
              <w:keepLines/>
              <w:jc w:val="center"/>
              <w:rPr>
                <w:rFonts w:ascii="Arial Narrow" w:hAnsi="Arial Narrow" w:cs="Arial"/>
                <w:b/>
                <w:sz w:val="20"/>
                <w:szCs w:val="20"/>
              </w:rPr>
            </w:pPr>
            <w:proofErr w:type="spellStart"/>
            <w:r w:rsidRPr="006C69FF">
              <w:rPr>
                <w:rFonts w:ascii="Arial Narrow" w:hAnsi="Arial Narrow" w:cs="Arial"/>
                <w:b/>
                <w:sz w:val="20"/>
                <w:szCs w:val="20"/>
              </w:rPr>
              <w:t>Rpts</w:t>
            </w:r>
            <w:proofErr w:type="spellEnd"/>
          </w:p>
        </w:tc>
        <w:tc>
          <w:tcPr>
            <w:tcW w:w="1720" w:type="dxa"/>
            <w:vAlign w:val="center"/>
          </w:tcPr>
          <w:p w14:paraId="42E5E854" w14:textId="77777777" w:rsidR="00AA24E9" w:rsidRPr="006C69FF" w:rsidRDefault="00AA24E9" w:rsidP="004F40DC">
            <w:pPr>
              <w:keepLines/>
              <w:rPr>
                <w:rFonts w:ascii="Arial Narrow" w:hAnsi="Arial Narrow" w:cs="Arial"/>
                <w:b/>
                <w:sz w:val="20"/>
                <w:szCs w:val="20"/>
                <w:lang w:val="fr-FR"/>
              </w:rPr>
            </w:pPr>
            <w:r w:rsidRPr="006C69FF">
              <w:rPr>
                <w:rFonts w:ascii="Arial Narrow" w:hAnsi="Arial Narrow" w:cs="Arial"/>
                <w:b/>
                <w:sz w:val="20"/>
                <w:szCs w:val="20"/>
              </w:rPr>
              <w:t>Available brands</w:t>
            </w:r>
          </w:p>
        </w:tc>
      </w:tr>
      <w:tr w:rsidR="00AA24E9" w:rsidRPr="006C69FF" w14:paraId="5A19CA65" w14:textId="77777777" w:rsidTr="7FAC855D">
        <w:trPr>
          <w:trHeight w:val="20"/>
        </w:trPr>
        <w:tc>
          <w:tcPr>
            <w:tcW w:w="9016" w:type="dxa"/>
            <w:gridSpan w:val="8"/>
            <w:vAlign w:val="center"/>
          </w:tcPr>
          <w:p w14:paraId="1752AF3F" w14:textId="7882DE69" w:rsidR="00AA24E9" w:rsidRPr="006C69FF" w:rsidRDefault="00244F8E" w:rsidP="004F40DC">
            <w:pPr>
              <w:keepLines/>
              <w:rPr>
                <w:rFonts w:ascii="Arial Narrow" w:hAnsi="Arial Narrow" w:cs="Arial"/>
                <w:sz w:val="20"/>
                <w:szCs w:val="20"/>
              </w:rPr>
            </w:pPr>
            <w:r w:rsidRPr="006C69FF">
              <w:rPr>
                <w:rFonts w:ascii="Arial Narrow" w:hAnsi="Arial Narrow"/>
                <w:sz w:val="20"/>
                <w:szCs w:val="20"/>
              </w:rPr>
              <w:t>EDARAVONE</w:t>
            </w:r>
          </w:p>
        </w:tc>
      </w:tr>
      <w:tr w:rsidR="0020067A" w:rsidRPr="006C69FF" w14:paraId="28F8C744" w14:textId="77777777" w:rsidTr="00D951E2">
        <w:trPr>
          <w:trHeight w:val="20"/>
        </w:trPr>
        <w:tc>
          <w:tcPr>
            <w:tcW w:w="4042" w:type="dxa"/>
            <w:gridSpan w:val="3"/>
            <w:vAlign w:val="center"/>
          </w:tcPr>
          <w:p w14:paraId="2A765B9C" w14:textId="1FC0A5F3" w:rsidR="0020067A" w:rsidRPr="006C69FF" w:rsidRDefault="0020067A" w:rsidP="0020067A">
            <w:pPr>
              <w:keepLines/>
              <w:rPr>
                <w:rFonts w:ascii="Arial Narrow" w:hAnsi="Arial Narrow" w:cs="Arial"/>
                <w:sz w:val="20"/>
                <w:szCs w:val="20"/>
              </w:rPr>
            </w:pPr>
            <w:proofErr w:type="spellStart"/>
            <w:r w:rsidRPr="006C69FF">
              <w:rPr>
                <w:rFonts w:ascii="Arial Narrow" w:hAnsi="Arial Narrow" w:cs="Arial"/>
                <w:sz w:val="20"/>
                <w:szCs w:val="20"/>
              </w:rPr>
              <w:t>edaravone</w:t>
            </w:r>
            <w:proofErr w:type="spellEnd"/>
            <w:r w:rsidRPr="006C69FF">
              <w:rPr>
                <w:rFonts w:ascii="Arial Narrow" w:hAnsi="Arial Narrow" w:cs="Arial"/>
                <w:sz w:val="20"/>
                <w:szCs w:val="20"/>
              </w:rPr>
              <w:t xml:space="preserve"> 30 mg/20 mL injection, 10 x 20 mL ampoules</w:t>
            </w:r>
          </w:p>
        </w:tc>
        <w:tc>
          <w:tcPr>
            <w:tcW w:w="886" w:type="dxa"/>
            <w:vAlign w:val="center"/>
          </w:tcPr>
          <w:p w14:paraId="19A53E20" w14:textId="3885B2E1" w:rsidR="0020067A" w:rsidRPr="006C69FF" w:rsidRDefault="0020067A" w:rsidP="0020067A">
            <w:pPr>
              <w:keepLines/>
              <w:jc w:val="center"/>
              <w:rPr>
                <w:rFonts w:ascii="Arial Narrow" w:hAnsi="Arial Narrow" w:cs="Arial"/>
                <w:sz w:val="20"/>
                <w:szCs w:val="20"/>
              </w:rPr>
            </w:pPr>
            <w:r w:rsidRPr="006C69FF">
              <w:rPr>
                <w:rFonts w:ascii="Arial Narrow" w:hAnsi="Arial Narrow" w:cs="Arial"/>
                <w:sz w:val="20"/>
                <w:szCs w:val="20"/>
              </w:rPr>
              <w:t>NEW</w:t>
            </w:r>
          </w:p>
        </w:tc>
        <w:tc>
          <w:tcPr>
            <w:tcW w:w="796" w:type="dxa"/>
            <w:vAlign w:val="center"/>
          </w:tcPr>
          <w:p w14:paraId="734D0BEB" w14:textId="4ECB4E69" w:rsidR="0020067A" w:rsidRPr="006C69FF" w:rsidRDefault="0020067A" w:rsidP="0020067A">
            <w:pPr>
              <w:keepLines/>
              <w:jc w:val="center"/>
              <w:rPr>
                <w:rFonts w:ascii="Arial Narrow" w:hAnsi="Arial Narrow" w:cs="Arial"/>
                <w:sz w:val="20"/>
                <w:szCs w:val="20"/>
              </w:rPr>
            </w:pPr>
            <w:r w:rsidRPr="006C69FF">
              <w:rPr>
                <w:rFonts w:ascii="Arial Narrow" w:hAnsi="Arial Narrow"/>
                <w:sz w:val="20"/>
                <w:szCs w:val="20"/>
              </w:rPr>
              <w:t>2.8</w:t>
            </w:r>
          </w:p>
        </w:tc>
        <w:tc>
          <w:tcPr>
            <w:tcW w:w="786" w:type="dxa"/>
            <w:vAlign w:val="center"/>
          </w:tcPr>
          <w:p w14:paraId="6DCF1C59" w14:textId="5BE04019" w:rsidR="0020067A" w:rsidRPr="006C69FF" w:rsidRDefault="0020067A" w:rsidP="0020067A">
            <w:pPr>
              <w:keepLines/>
              <w:jc w:val="center"/>
              <w:rPr>
                <w:rFonts w:ascii="Arial Narrow" w:hAnsi="Arial Narrow" w:cs="Arial"/>
                <w:sz w:val="20"/>
                <w:szCs w:val="20"/>
              </w:rPr>
            </w:pPr>
            <w:r w:rsidRPr="006C69FF">
              <w:rPr>
                <w:rFonts w:ascii="Arial Narrow" w:hAnsi="Arial Narrow"/>
                <w:sz w:val="20"/>
                <w:szCs w:val="20"/>
              </w:rPr>
              <w:t>28</w:t>
            </w:r>
          </w:p>
        </w:tc>
        <w:tc>
          <w:tcPr>
            <w:tcW w:w="786" w:type="dxa"/>
            <w:vAlign w:val="center"/>
          </w:tcPr>
          <w:p w14:paraId="3D7F646A" w14:textId="5C0DA564" w:rsidR="0020067A" w:rsidRPr="006C69FF" w:rsidRDefault="0020067A" w:rsidP="0020067A">
            <w:pPr>
              <w:keepLines/>
              <w:jc w:val="center"/>
              <w:rPr>
                <w:rFonts w:ascii="Arial Narrow" w:hAnsi="Arial Narrow" w:cs="Arial"/>
                <w:sz w:val="20"/>
                <w:szCs w:val="20"/>
              </w:rPr>
            </w:pPr>
            <w:r w:rsidRPr="006C69FF">
              <w:rPr>
                <w:rFonts w:ascii="Arial Narrow" w:hAnsi="Arial Narrow"/>
                <w:sz w:val="20"/>
                <w:szCs w:val="20"/>
              </w:rPr>
              <w:t>0</w:t>
            </w:r>
          </w:p>
        </w:tc>
        <w:tc>
          <w:tcPr>
            <w:tcW w:w="1720" w:type="dxa"/>
            <w:vAlign w:val="center"/>
          </w:tcPr>
          <w:p w14:paraId="5B3C0781" w14:textId="0EB73D8A" w:rsidR="0020067A" w:rsidRPr="006C69FF" w:rsidRDefault="0020067A" w:rsidP="0020067A">
            <w:pPr>
              <w:keepLines/>
              <w:rPr>
                <w:rFonts w:ascii="Arial Narrow" w:hAnsi="Arial Narrow" w:cs="Arial"/>
                <w:sz w:val="20"/>
                <w:szCs w:val="20"/>
              </w:rPr>
            </w:pPr>
            <w:proofErr w:type="spellStart"/>
            <w:r w:rsidRPr="006C69FF">
              <w:rPr>
                <w:rFonts w:ascii="Arial Narrow" w:hAnsi="Arial Narrow"/>
                <w:sz w:val="20"/>
                <w:szCs w:val="20"/>
              </w:rPr>
              <w:t>Radicava</w:t>
            </w:r>
            <w:proofErr w:type="spellEnd"/>
          </w:p>
        </w:tc>
      </w:tr>
      <w:tr w:rsidR="00AA24E9" w:rsidRPr="006C69FF" w14:paraId="1CA3A3BB" w14:textId="77777777" w:rsidTr="7FAC855D">
        <w:trPr>
          <w:trHeight w:val="20"/>
        </w:trPr>
        <w:tc>
          <w:tcPr>
            <w:tcW w:w="9016" w:type="dxa"/>
            <w:gridSpan w:val="8"/>
            <w:tcBorders>
              <w:top w:val="single" w:sz="4" w:space="0" w:color="auto"/>
              <w:left w:val="single" w:sz="4" w:space="0" w:color="auto"/>
              <w:right w:val="single" w:sz="4" w:space="0" w:color="auto"/>
            </w:tcBorders>
            <w:vAlign w:val="center"/>
          </w:tcPr>
          <w:p w14:paraId="11E1C087" w14:textId="3884E65D" w:rsidR="00AA24E9" w:rsidRPr="006C69FF" w:rsidRDefault="00AA24E9" w:rsidP="004F40DC">
            <w:pPr>
              <w:rPr>
                <w:rFonts w:ascii="Arial Narrow" w:hAnsi="Arial Narrow" w:cs="Arial"/>
                <w:sz w:val="20"/>
                <w:szCs w:val="20"/>
              </w:rPr>
            </w:pPr>
          </w:p>
        </w:tc>
      </w:tr>
      <w:tr w:rsidR="00D559EF" w:rsidRPr="006C69FF" w14:paraId="351E5687" w14:textId="77777777" w:rsidTr="00FF4C70">
        <w:trPr>
          <w:trHeight w:val="20"/>
        </w:trPr>
        <w:tc>
          <w:tcPr>
            <w:tcW w:w="1555" w:type="dxa"/>
            <w:gridSpan w:val="2"/>
            <w:vMerge w:val="restart"/>
            <w:tcBorders>
              <w:top w:val="single" w:sz="4" w:space="0" w:color="auto"/>
              <w:left w:val="single" w:sz="4" w:space="0" w:color="auto"/>
              <w:right w:val="single" w:sz="4" w:space="0" w:color="auto"/>
            </w:tcBorders>
          </w:tcPr>
          <w:p w14:paraId="0F1219CA" w14:textId="6BE16765" w:rsidR="00D559EF" w:rsidRPr="006C69FF" w:rsidRDefault="00D559EF" w:rsidP="00D951E2">
            <w:pPr>
              <w:jc w:val="center"/>
              <w:rPr>
                <w:rFonts w:ascii="Arial Narrow" w:hAnsi="Arial Narrow" w:cs="Arial"/>
                <w:b/>
                <w:sz w:val="20"/>
                <w:szCs w:val="20"/>
              </w:rPr>
            </w:pPr>
            <w:r w:rsidRPr="006C69FF">
              <w:rPr>
                <w:rFonts w:ascii="Arial Narrow" w:hAnsi="Arial Narrow" w:cs="Arial"/>
                <w:b/>
                <w:bCs/>
                <w:sz w:val="20"/>
                <w:szCs w:val="20"/>
              </w:rPr>
              <w:t xml:space="preserve">Concept ID </w:t>
            </w:r>
            <w:r w:rsidRPr="006C69FF">
              <w:rPr>
                <w:rFonts w:ascii="Arial Narrow" w:hAnsi="Arial Narrow" w:cs="Arial"/>
                <w:sz w:val="20"/>
                <w:szCs w:val="20"/>
              </w:rPr>
              <w:t>(for internal Dept. use)</w:t>
            </w:r>
          </w:p>
        </w:tc>
        <w:tc>
          <w:tcPr>
            <w:tcW w:w="7461" w:type="dxa"/>
            <w:gridSpan w:val="6"/>
            <w:tcBorders>
              <w:top w:val="single" w:sz="4" w:space="0" w:color="auto"/>
              <w:left w:val="single" w:sz="4" w:space="0" w:color="auto"/>
              <w:bottom w:val="single" w:sz="4" w:space="0" w:color="auto"/>
              <w:right w:val="single" w:sz="4" w:space="0" w:color="auto"/>
            </w:tcBorders>
            <w:vAlign w:val="center"/>
          </w:tcPr>
          <w:p w14:paraId="2283CB63" w14:textId="069C3639" w:rsidR="00D559EF" w:rsidRPr="006C69FF" w:rsidRDefault="00D559EF" w:rsidP="00347941">
            <w:pPr>
              <w:keepLines/>
              <w:jc w:val="left"/>
              <w:rPr>
                <w:rFonts w:ascii="Arial Narrow" w:hAnsi="Arial Narrow" w:cs="Arial"/>
                <w:sz w:val="20"/>
                <w:szCs w:val="20"/>
              </w:rPr>
            </w:pPr>
            <w:r w:rsidRPr="006C69FF">
              <w:rPr>
                <w:rFonts w:ascii="Arial Narrow" w:eastAsia="Calibri" w:hAnsi="Arial Narrow" w:cs="Arial"/>
                <w:sz w:val="20"/>
                <w:szCs w:val="20"/>
              </w:rPr>
              <w:fldChar w:fldCharType="begin">
                <w:ffData>
                  <w:name w:val=""/>
                  <w:enabled/>
                  <w:calcOnExit w:val="0"/>
                  <w:checkBox>
                    <w:sizeAuto/>
                    <w:default w:val="1"/>
                  </w:checkBox>
                </w:ffData>
              </w:fldChar>
            </w:r>
            <w:r w:rsidRPr="006C69FF">
              <w:rPr>
                <w:rFonts w:ascii="Arial Narrow" w:eastAsia="Calibri" w:hAnsi="Arial Narrow" w:cs="Arial"/>
                <w:sz w:val="20"/>
                <w:szCs w:val="20"/>
              </w:rPr>
              <w:instrText xml:space="preserve"> FORMCHECKBOX </w:instrText>
            </w:r>
            <w:r w:rsidRPr="006C69FF">
              <w:rPr>
                <w:rFonts w:ascii="Arial Narrow" w:eastAsia="Calibri" w:hAnsi="Arial Narrow" w:cs="Arial"/>
                <w:sz w:val="20"/>
                <w:szCs w:val="20"/>
              </w:rPr>
            </w:r>
            <w:r w:rsidRPr="006C69FF">
              <w:rPr>
                <w:rFonts w:ascii="Arial Narrow" w:eastAsia="Calibri" w:hAnsi="Arial Narrow" w:cs="Arial"/>
                <w:sz w:val="20"/>
                <w:szCs w:val="20"/>
              </w:rPr>
              <w:fldChar w:fldCharType="separate"/>
            </w:r>
            <w:r w:rsidRPr="006C69FF">
              <w:rPr>
                <w:rFonts w:ascii="Arial Narrow" w:eastAsia="Calibri" w:hAnsi="Arial Narrow" w:cs="Arial"/>
                <w:sz w:val="20"/>
                <w:szCs w:val="20"/>
              </w:rPr>
              <w:fldChar w:fldCharType="end"/>
            </w:r>
            <w:r w:rsidRPr="006C69FF">
              <w:rPr>
                <w:rFonts w:ascii="Arial Narrow" w:hAnsi="Arial Narrow" w:cs="Arial"/>
                <w:sz w:val="20"/>
                <w:szCs w:val="20"/>
              </w:rPr>
              <w:t xml:space="preserve"> </w:t>
            </w:r>
            <w:r w:rsidRPr="006C69FF">
              <w:rPr>
                <w:rFonts w:ascii="Arial Narrow" w:hAnsi="Arial Narrow" w:cs="Arial"/>
                <w:i/>
                <w:iCs/>
                <w:sz w:val="20"/>
                <w:szCs w:val="20"/>
              </w:rPr>
              <w:t>Section 100 – Highly Specialised Drugs Program - Community Access (Code CA)</w:t>
            </w:r>
            <w:r w:rsidRPr="006C69FF">
              <w:rPr>
                <w:rFonts w:ascii="Arial Narrow" w:hAnsi="Arial Narrow" w:cs="Arial"/>
                <w:sz w:val="20"/>
                <w:szCs w:val="20"/>
              </w:rPr>
              <w:t xml:space="preserve"> </w:t>
            </w:r>
          </w:p>
        </w:tc>
      </w:tr>
      <w:tr w:rsidR="00D559EF" w:rsidRPr="006C69FF" w14:paraId="0EAF47BE" w14:textId="77777777" w:rsidTr="00FF4C70">
        <w:trPr>
          <w:trHeight w:val="20"/>
        </w:trPr>
        <w:tc>
          <w:tcPr>
            <w:tcW w:w="1555" w:type="dxa"/>
            <w:gridSpan w:val="2"/>
            <w:vMerge/>
            <w:tcBorders>
              <w:left w:val="single" w:sz="4" w:space="0" w:color="auto"/>
              <w:right w:val="single" w:sz="4" w:space="0" w:color="auto"/>
            </w:tcBorders>
          </w:tcPr>
          <w:p w14:paraId="1F099B06" w14:textId="77777777" w:rsidR="00D559EF" w:rsidRPr="006C69FF" w:rsidRDefault="00D559EF" w:rsidP="004F40DC">
            <w:pPr>
              <w:jc w:val="center"/>
              <w:rPr>
                <w:rFonts w:ascii="Arial Narrow" w:hAnsi="Arial Narrow" w:cs="Arial"/>
                <w:b/>
                <w:bCs/>
                <w:sz w:val="20"/>
                <w:szCs w:val="20"/>
              </w:rPr>
            </w:pPr>
          </w:p>
        </w:tc>
        <w:tc>
          <w:tcPr>
            <w:tcW w:w="7461" w:type="dxa"/>
            <w:gridSpan w:val="6"/>
            <w:tcBorders>
              <w:top w:val="single" w:sz="4" w:space="0" w:color="auto"/>
              <w:left w:val="single" w:sz="4" w:space="0" w:color="auto"/>
              <w:bottom w:val="single" w:sz="4" w:space="0" w:color="auto"/>
              <w:right w:val="single" w:sz="4" w:space="0" w:color="auto"/>
            </w:tcBorders>
            <w:vAlign w:val="center"/>
          </w:tcPr>
          <w:p w14:paraId="4E8CE80E" w14:textId="3F8B7997" w:rsidR="00D559EF" w:rsidRPr="006C69FF" w:rsidRDefault="00D559EF" w:rsidP="00347941">
            <w:pPr>
              <w:keepLines/>
              <w:jc w:val="left"/>
              <w:rPr>
                <w:rFonts w:ascii="Arial Narrow" w:eastAsia="Calibri" w:hAnsi="Arial Narrow" w:cs="Arial"/>
                <w:sz w:val="20"/>
                <w:szCs w:val="20"/>
              </w:rPr>
            </w:pPr>
            <w:r w:rsidRPr="006C69FF">
              <w:rPr>
                <w:rFonts w:ascii="Arial Narrow" w:hAnsi="Arial Narrow" w:cs="Arial"/>
                <w:b/>
                <w:sz w:val="20"/>
                <w:szCs w:val="20"/>
              </w:rPr>
              <w:t>Prescriber type:</w:t>
            </w:r>
            <w:r w:rsidRPr="006C69FF">
              <w:rPr>
                <w:rFonts w:ascii="Arial Narrow" w:hAnsi="Arial Narrow" w:cs="Arial"/>
                <w:sz w:val="20"/>
                <w:szCs w:val="20"/>
              </w:rPr>
              <w:t xml:space="preserve"> </w:t>
            </w:r>
            <w:r w:rsidRPr="006C69FF">
              <w:rPr>
                <w:rFonts w:ascii="Arial Narrow" w:hAnsi="Arial Narrow" w:cs="Arial"/>
                <w:sz w:val="20"/>
                <w:szCs w:val="20"/>
              </w:rPr>
              <w:fldChar w:fldCharType="begin">
                <w:ffData>
                  <w:name w:val=""/>
                  <w:enabled/>
                  <w:calcOnExit w:val="0"/>
                  <w:checkBox>
                    <w:sizeAuto/>
                    <w:default w:val="1"/>
                  </w:checkBox>
                </w:ffData>
              </w:fldChar>
            </w:r>
            <w:r w:rsidRPr="006C69FF">
              <w:rPr>
                <w:rFonts w:ascii="Arial Narrow" w:hAnsi="Arial Narrow" w:cs="Arial"/>
                <w:sz w:val="20"/>
                <w:szCs w:val="20"/>
              </w:rPr>
              <w:instrText xml:space="preserve"> FORMCHECKBOX </w:instrText>
            </w:r>
            <w:r w:rsidRPr="006C69FF">
              <w:rPr>
                <w:rFonts w:ascii="Arial Narrow" w:hAnsi="Arial Narrow" w:cs="Arial"/>
                <w:sz w:val="20"/>
                <w:szCs w:val="20"/>
              </w:rPr>
            </w:r>
            <w:r w:rsidRPr="006C69FF">
              <w:rPr>
                <w:rFonts w:ascii="Arial Narrow" w:hAnsi="Arial Narrow" w:cs="Arial"/>
                <w:sz w:val="20"/>
                <w:szCs w:val="20"/>
              </w:rPr>
              <w:fldChar w:fldCharType="separate"/>
            </w:r>
            <w:r w:rsidRPr="006C69FF">
              <w:rPr>
                <w:rFonts w:ascii="Arial Narrow" w:hAnsi="Arial Narrow" w:cs="Arial"/>
                <w:sz w:val="20"/>
                <w:szCs w:val="20"/>
              </w:rPr>
              <w:fldChar w:fldCharType="end"/>
            </w:r>
            <w:r w:rsidRPr="006C69FF">
              <w:rPr>
                <w:rFonts w:ascii="Arial Narrow" w:hAnsi="Arial Narrow" w:cs="Arial"/>
                <w:sz w:val="20"/>
                <w:szCs w:val="20"/>
              </w:rPr>
              <w:t>Medical Practitioners</w:t>
            </w:r>
          </w:p>
        </w:tc>
      </w:tr>
      <w:tr w:rsidR="00D559EF" w:rsidRPr="006C69FF" w14:paraId="2A1B263A" w14:textId="77777777" w:rsidTr="00FF4C70">
        <w:trPr>
          <w:trHeight w:val="20"/>
        </w:trPr>
        <w:tc>
          <w:tcPr>
            <w:tcW w:w="1555" w:type="dxa"/>
            <w:gridSpan w:val="2"/>
            <w:vMerge/>
            <w:tcBorders>
              <w:left w:val="single" w:sz="4" w:space="0" w:color="auto"/>
              <w:right w:val="single" w:sz="4" w:space="0" w:color="auto"/>
            </w:tcBorders>
          </w:tcPr>
          <w:p w14:paraId="2862555E" w14:textId="77777777" w:rsidR="00D559EF" w:rsidRPr="006C69FF" w:rsidRDefault="00D559EF" w:rsidP="004F40DC">
            <w:pPr>
              <w:jc w:val="center"/>
              <w:rPr>
                <w:rFonts w:ascii="Arial Narrow" w:hAnsi="Arial Narrow" w:cs="Arial"/>
                <w:b/>
                <w:bCs/>
                <w:sz w:val="20"/>
                <w:szCs w:val="20"/>
              </w:rPr>
            </w:pPr>
          </w:p>
        </w:tc>
        <w:tc>
          <w:tcPr>
            <w:tcW w:w="7461" w:type="dxa"/>
            <w:gridSpan w:val="6"/>
            <w:tcBorders>
              <w:top w:val="single" w:sz="4" w:space="0" w:color="auto"/>
              <w:left w:val="single" w:sz="4" w:space="0" w:color="auto"/>
              <w:bottom w:val="single" w:sz="4" w:space="0" w:color="auto"/>
              <w:right w:val="single" w:sz="4" w:space="0" w:color="auto"/>
            </w:tcBorders>
            <w:vAlign w:val="center"/>
          </w:tcPr>
          <w:p w14:paraId="5F71C18D" w14:textId="26C0CE4C" w:rsidR="00D559EF" w:rsidRPr="006C69FF" w:rsidRDefault="00D559EF" w:rsidP="00347941">
            <w:pPr>
              <w:keepLines/>
              <w:jc w:val="left"/>
              <w:rPr>
                <w:rFonts w:ascii="Arial Narrow" w:eastAsia="Calibri" w:hAnsi="Arial Narrow" w:cs="Arial"/>
                <w:sz w:val="20"/>
                <w:szCs w:val="20"/>
              </w:rPr>
            </w:pPr>
            <w:r w:rsidRPr="006C69FF">
              <w:rPr>
                <w:rFonts w:ascii="Arial Narrow" w:hAnsi="Arial Narrow" w:cs="Arial"/>
                <w:b/>
                <w:sz w:val="20"/>
                <w:szCs w:val="20"/>
              </w:rPr>
              <w:t xml:space="preserve">Restriction type: </w:t>
            </w:r>
            <w:r w:rsidRPr="006C69FF">
              <w:rPr>
                <w:rFonts w:ascii="Arial Narrow" w:eastAsia="Calibri" w:hAnsi="Arial Narrow" w:cs="Arial"/>
                <w:sz w:val="20"/>
                <w:szCs w:val="20"/>
              </w:rPr>
              <w:fldChar w:fldCharType="begin">
                <w:ffData>
                  <w:name w:val="Check3"/>
                  <w:enabled/>
                  <w:calcOnExit w:val="0"/>
                  <w:checkBox>
                    <w:sizeAuto/>
                    <w:default w:val="1"/>
                  </w:checkBox>
                </w:ffData>
              </w:fldChar>
            </w:r>
            <w:r w:rsidRPr="006C69FF">
              <w:rPr>
                <w:rFonts w:ascii="Arial Narrow" w:eastAsia="Calibri" w:hAnsi="Arial Narrow" w:cs="Arial"/>
                <w:sz w:val="20"/>
                <w:szCs w:val="20"/>
              </w:rPr>
              <w:instrText xml:space="preserve"> FORMCHECKBOX </w:instrText>
            </w:r>
            <w:r w:rsidRPr="006C69FF">
              <w:rPr>
                <w:rFonts w:ascii="Arial Narrow" w:eastAsia="Calibri" w:hAnsi="Arial Narrow" w:cs="Arial"/>
                <w:sz w:val="20"/>
                <w:szCs w:val="20"/>
              </w:rPr>
            </w:r>
            <w:r w:rsidRPr="006C69FF">
              <w:rPr>
                <w:rFonts w:ascii="Arial Narrow" w:eastAsia="Calibri" w:hAnsi="Arial Narrow" w:cs="Arial"/>
                <w:sz w:val="20"/>
                <w:szCs w:val="20"/>
              </w:rPr>
              <w:fldChar w:fldCharType="separate"/>
            </w:r>
            <w:r w:rsidRPr="006C69FF">
              <w:rPr>
                <w:rFonts w:ascii="Arial Narrow" w:eastAsia="Calibri" w:hAnsi="Arial Narrow" w:cs="Arial"/>
                <w:sz w:val="20"/>
                <w:szCs w:val="20"/>
              </w:rPr>
              <w:fldChar w:fldCharType="end"/>
            </w:r>
            <w:r w:rsidRPr="006C69FF">
              <w:rPr>
                <w:rFonts w:ascii="Arial Narrow" w:eastAsia="Calibri" w:hAnsi="Arial Narrow" w:cs="Arial"/>
                <w:sz w:val="20"/>
                <w:szCs w:val="20"/>
              </w:rPr>
              <w:t>Authority Required (telephone/online PBS Authorities system)</w:t>
            </w:r>
          </w:p>
        </w:tc>
      </w:tr>
      <w:tr w:rsidR="00D559EF" w:rsidRPr="006C69FF" w14:paraId="1ADC294F" w14:textId="77777777" w:rsidTr="00FF4C70">
        <w:trPr>
          <w:trHeight w:val="20"/>
        </w:trPr>
        <w:tc>
          <w:tcPr>
            <w:tcW w:w="1555" w:type="dxa"/>
            <w:gridSpan w:val="2"/>
            <w:vMerge/>
            <w:tcBorders>
              <w:left w:val="single" w:sz="4" w:space="0" w:color="auto"/>
              <w:right w:val="single" w:sz="4" w:space="0" w:color="auto"/>
            </w:tcBorders>
          </w:tcPr>
          <w:p w14:paraId="3D15E8B4" w14:textId="77777777" w:rsidR="00D559EF" w:rsidRPr="006C69FF" w:rsidRDefault="00D559EF" w:rsidP="004F40DC">
            <w:pPr>
              <w:jc w:val="center"/>
              <w:rPr>
                <w:rFonts w:ascii="Arial Narrow" w:hAnsi="Arial Narrow" w:cs="Arial"/>
                <w:b/>
                <w:bCs/>
                <w:sz w:val="20"/>
                <w:szCs w:val="20"/>
              </w:rPr>
            </w:pPr>
          </w:p>
        </w:tc>
        <w:tc>
          <w:tcPr>
            <w:tcW w:w="7461" w:type="dxa"/>
            <w:gridSpan w:val="6"/>
            <w:tcBorders>
              <w:top w:val="single" w:sz="4" w:space="0" w:color="auto"/>
              <w:left w:val="single" w:sz="4" w:space="0" w:color="auto"/>
              <w:bottom w:val="single" w:sz="4" w:space="0" w:color="auto"/>
              <w:right w:val="single" w:sz="4" w:space="0" w:color="auto"/>
            </w:tcBorders>
            <w:vAlign w:val="center"/>
          </w:tcPr>
          <w:p w14:paraId="0C8D1145" w14:textId="4468E1B0" w:rsidR="00D559EF" w:rsidRPr="006C69FF" w:rsidRDefault="00D559EF" w:rsidP="00347941">
            <w:pPr>
              <w:keepLines/>
              <w:jc w:val="left"/>
              <w:rPr>
                <w:rFonts w:ascii="Arial Narrow" w:hAnsi="Arial Narrow" w:cs="Arial"/>
                <w:b/>
                <w:sz w:val="20"/>
                <w:szCs w:val="20"/>
              </w:rPr>
            </w:pPr>
            <w:r w:rsidRPr="006C69FF">
              <w:rPr>
                <w:rFonts w:ascii="Arial Narrow" w:hAnsi="Arial Narrow" w:cs="Arial"/>
                <w:b/>
                <w:sz w:val="20"/>
                <w:szCs w:val="20"/>
              </w:rPr>
              <w:t xml:space="preserve">Authority type: </w:t>
            </w:r>
            <w:r w:rsidR="00632216" w:rsidRPr="006C69FF">
              <w:rPr>
                <w:rFonts w:ascii="Arial Narrow" w:eastAsia="Calibri" w:hAnsi="Arial Narrow" w:cs="Arial"/>
                <w:sz w:val="20"/>
                <w:szCs w:val="20"/>
              </w:rPr>
              <w:fldChar w:fldCharType="begin">
                <w:ffData>
                  <w:name w:val="Check3"/>
                  <w:enabled/>
                  <w:calcOnExit w:val="0"/>
                  <w:checkBox>
                    <w:sizeAuto/>
                    <w:default w:val="1"/>
                  </w:checkBox>
                </w:ffData>
              </w:fldChar>
            </w:r>
            <w:r w:rsidR="00632216" w:rsidRPr="006C69FF">
              <w:rPr>
                <w:rFonts w:ascii="Arial Narrow" w:eastAsia="Calibri" w:hAnsi="Arial Narrow" w:cs="Arial"/>
                <w:sz w:val="20"/>
                <w:szCs w:val="20"/>
              </w:rPr>
              <w:instrText xml:space="preserve"> FORMCHECKBOX </w:instrText>
            </w:r>
            <w:r w:rsidR="00632216" w:rsidRPr="006C69FF">
              <w:rPr>
                <w:rFonts w:ascii="Arial Narrow" w:eastAsia="Calibri" w:hAnsi="Arial Narrow" w:cs="Arial"/>
                <w:sz w:val="20"/>
                <w:szCs w:val="20"/>
              </w:rPr>
            </w:r>
            <w:r w:rsidR="00632216" w:rsidRPr="006C69FF">
              <w:rPr>
                <w:rFonts w:ascii="Arial Narrow" w:eastAsia="Calibri" w:hAnsi="Arial Narrow" w:cs="Arial"/>
                <w:sz w:val="20"/>
                <w:szCs w:val="20"/>
              </w:rPr>
              <w:fldChar w:fldCharType="separate"/>
            </w:r>
            <w:r w:rsidR="00632216" w:rsidRPr="006C69FF">
              <w:rPr>
                <w:rFonts w:ascii="Arial Narrow" w:eastAsia="Calibri" w:hAnsi="Arial Narrow" w:cs="Arial"/>
                <w:sz w:val="20"/>
                <w:szCs w:val="20"/>
              </w:rPr>
              <w:fldChar w:fldCharType="end"/>
            </w:r>
            <w:r w:rsidR="00632216" w:rsidRPr="006C69FF">
              <w:rPr>
                <w:rFonts w:ascii="Arial Narrow" w:eastAsia="Calibri" w:hAnsi="Arial Narrow" w:cs="Arial"/>
                <w:sz w:val="20"/>
                <w:szCs w:val="20"/>
              </w:rPr>
              <w:t xml:space="preserve"> </w:t>
            </w:r>
            <w:r w:rsidRPr="006C69FF">
              <w:rPr>
                <w:rFonts w:ascii="Arial Narrow" w:hAnsi="Arial Narrow" w:cs="Arial"/>
                <w:bCs/>
                <w:sz w:val="20"/>
                <w:szCs w:val="20"/>
              </w:rPr>
              <w:t>Non-complex Authority Required (non-CAR)</w:t>
            </w:r>
          </w:p>
        </w:tc>
      </w:tr>
      <w:tr w:rsidR="002C3898" w:rsidRPr="006C69FF" w14:paraId="3C46976B" w14:textId="77777777" w:rsidTr="00FF4C70">
        <w:trPr>
          <w:trHeight w:val="20"/>
        </w:trPr>
        <w:tc>
          <w:tcPr>
            <w:tcW w:w="704" w:type="dxa"/>
            <w:vMerge w:val="restart"/>
            <w:tcBorders>
              <w:left w:val="single" w:sz="4" w:space="0" w:color="auto"/>
              <w:right w:val="single" w:sz="4" w:space="0" w:color="auto"/>
            </w:tcBorders>
            <w:textDirection w:val="btLr"/>
            <w:vAlign w:val="center"/>
          </w:tcPr>
          <w:p w14:paraId="5B427EF0" w14:textId="77777777" w:rsidR="002C3898" w:rsidRPr="006C69FF" w:rsidRDefault="002C3898" w:rsidP="00FF4C70">
            <w:pPr>
              <w:ind w:left="113" w:right="113"/>
              <w:jc w:val="center"/>
              <w:rPr>
                <w:rFonts w:ascii="Arial Narrow" w:hAnsi="Arial Narrow" w:cs="Arial"/>
                <w:sz w:val="20"/>
                <w:szCs w:val="20"/>
              </w:rPr>
            </w:pPr>
            <w:r w:rsidRPr="006C69FF">
              <w:rPr>
                <w:rFonts w:ascii="Arial Narrow" w:hAnsi="Arial Narrow" w:cs="Arial"/>
                <w:sz w:val="20"/>
                <w:szCs w:val="20"/>
              </w:rPr>
              <w:t>Prescribing rule level</w:t>
            </w:r>
          </w:p>
        </w:tc>
        <w:tc>
          <w:tcPr>
            <w:tcW w:w="851" w:type="dxa"/>
            <w:tcBorders>
              <w:left w:val="single" w:sz="4" w:space="0" w:color="auto"/>
            </w:tcBorders>
            <w:vAlign w:val="center"/>
          </w:tcPr>
          <w:p w14:paraId="210CAEEE" w14:textId="72B40DAC" w:rsidR="002C3898" w:rsidRPr="006C69FF" w:rsidRDefault="002C3898" w:rsidP="004F40DC">
            <w:pPr>
              <w:jc w:val="center"/>
              <w:rPr>
                <w:rFonts w:ascii="Arial Narrow" w:hAnsi="Arial Narrow"/>
                <w:color w:val="333333"/>
                <w:sz w:val="20"/>
                <w:szCs w:val="20"/>
              </w:rPr>
            </w:pPr>
          </w:p>
        </w:tc>
        <w:tc>
          <w:tcPr>
            <w:tcW w:w="7461" w:type="dxa"/>
            <w:gridSpan w:val="6"/>
            <w:vAlign w:val="center"/>
          </w:tcPr>
          <w:p w14:paraId="4F2E3F7E" w14:textId="21F65AF0" w:rsidR="002C3898" w:rsidRPr="006C69FF" w:rsidRDefault="002C3898" w:rsidP="004F40DC">
            <w:pPr>
              <w:rPr>
                <w:rFonts w:ascii="Arial Narrow" w:hAnsi="Arial Narrow"/>
                <w:sz w:val="20"/>
                <w:szCs w:val="20"/>
              </w:rPr>
            </w:pPr>
            <w:r w:rsidRPr="006C69FF">
              <w:rPr>
                <w:rFonts w:ascii="Arial Narrow" w:hAnsi="Arial Narrow"/>
                <w:b/>
                <w:bCs/>
                <w:sz w:val="20"/>
                <w:szCs w:val="20"/>
              </w:rPr>
              <w:t xml:space="preserve">Administrative Advice: </w:t>
            </w:r>
            <w:r w:rsidRPr="006C69FF">
              <w:rPr>
                <w:rFonts w:ascii="Arial Narrow" w:hAnsi="Arial Narrow"/>
                <w:bCs/>
                <w:sz w:val="20"/>
                <w:szCs w:val="20"/>
              </w:rPr>
              <w:t>No increase in the maximum quantity or number of units may be authorised.</w:t>
            </w:r>
          </w:p>
        </w:tc>
      </w:tr>
      <w:tr w:rsidR="002C3898" w:rsidRPr="006C69FF" w14:paraId="1D9F1453" w14:textId="77777777" w:rsidTr="00FF4C70">
        <w:trPr>
          <w:trHeight w:val="20"/>
        </w:trPr>
        <w:tc>
          <w:tcPr>
            <w:tcW w:w="704" w:type="dxa"/>
            <w:vMerge/>
            <w:tcBorders>
              <w:left w:val="single" w:sz="4" w:space="0" w:color="auto"/>
              <w:right w:val="single" w:sz="4" w:space="0" w:color="auto"/>
            </w:tcBorders>
          </w:tcPr>
          <w:p w14:paraId="7B2BCB1E" w14:textId="77777777" w:rsidR="002C3898" w:rsidRPr="006C69FF" w:rsidRDefault="002C3898" w:rsidP="004F40DC">
            <w:pPr>
              <w:rPr>
                <w:rFonts w:ascii="Arial Narrow" w:hAnsi="Arial Narrow" w:cs="Arial"/>
                <w:sz w:val="20"/>
                <w:szCs w:val="20"/>
              </w:rPr>
            </w:pPr>
          </w:p>
        </w:tc>
        <w:tc>
          <w:tcPr>
            <w:tcW w:w="851" w:type="dxa"/>
            <w:tcBorders>
              <w:left w:val="single" w:sz="4" w:space="0" w:color="auto"/>
            </w:tcBorders>
            <w:vAlign w:val="center"/>
          </w:tcPr>
          <w:p w14:paraId="5A1C49A3" w14:textId="0064A970" w:rsidR="002C3898" w:rsidRPr="006C69FF" w:rsidRDefault="002C3898" w:rsidP="004F40DC">
            <w:pPr>
              <w:jc w:val="center"/>
              <w:rPr>
                <w:rFonts w:ascii="Arial Narrow" w:hAnsi="Arial Narrow"/>
                <w:sz w:val="20"/>
                <w:szCs w:val="20"/>
              </w:rPr>
            </w:pPr>
          </w:p>
        </w:tc>
        <w:tc>
          <w:tcPr>
            <w:tcW w:w="7461" w:type="dxa"/>
            <w:gridSpan w:val="6"/>
            <w:vAlign w:val="center"/>
          </w:tcPr>
          <w:p w14:paraId="0A41E948" w14:textId="5B0492B0" w:rsidR="002C3898" w:rsidRPr="006C69FF" w:rsidRDefault="002C3898" w:rsidP="004F40DC">
            <w:pPr>
              <w:rPr>
                <w:rFonts w:ascii="Arial Narrow" w:hAnsi="Arial Narrow"/>
                <w:b/>
                <w:bCs/>
                <w:sz w:val="20"/>
                <w:szCs w:val="20"/>
              </w:rPr>
            </w:pPr>
            <w:r w:rsidRPr="006C69FF">
              <w:rPr>
                <w:rFonts w:ascii="Arial Narrow" w:hAnsi="Arial Narrow"/>
                <w:b/>
                <w:bCs/>
                <w:sz w:val="20"/>
                <w:szCs w:val="20"/>
              </w:rPr>
              <w:t xml:space="preserve">Administrative Advice: </w:t>
            </w:r>
            <w:r w:rsidRPr="006C69FF">
              <w:rPr>
                <w:rFonts w:ascii="Arial Narrow" w:hAnsi="Arial Narrow"/>
                <w:bCs/>
                <w:sz w:val="20"/>
                <w:szCs w:val="20"/>
              </w:rPr>
              <w:t>No increase in the maximum number of repeats may be authorised.</w:t>
            </w:r>
          </w:p>
        </w:tc>
      </w:tr>
      <w:tr w:rsidR="002C3898" w:rsidRPr="006C69FF" w14:paraId="3973D338" w14:textId="77777777" w:rsidTr="00FF4C70">
        <w:trPr>
          <w:trHeight w:val="20"/>
        </w:trPr>
        <w:tc>
          <w:tcPr>
            <w:tcW w:w="704" w:type="dxa"/>
            <w:vMerge/>
            <w:tcBorders>
              <w:left w:val="single" w:sz="4" w:space="0" w:color="auto"/>
              <w:right w:val="single" w:sz="4" w:space="0" w:color="auto"/>
            </w:tcBorders>
          </w:tcPr>
          <w:p w14:paraId="7ADB6B39" w14:textId="77777777" w:rsidR="002C3898" w:rsidRPr="006C69FF" w:rsidRDefault="002C3898" w:rsidP="004F40DC">
            <w:pPr>
              <w:rPr>
                <w:rFonts w:ascii="Arial Narrow" w:hAnsi="Arial Narrow" w:cs="Arial"/>
                <w:sz w:val="20"/>
                <w:szCs w:val="20"/>
              </w:rPr>
            </w:pPr>
          </w:p>
        </w:tc>
        <w:tc>
          <w:tcPr>
            <w:tcW w:w="851" w:type="dxa"/>
            <w:tcBorders>
              <w:left w:val="single" w:sz="4" w:space="0" w:color="auto"/>
            </w:tcBorders>
            <w:vAlign w:val="center"/>
          </w:tcPr>
          <w:p w14:paraId="4EAD56F4" w14:textId="068F7806" w:rsidR="002C3898" w:rsidRPr="006C69FF" w:rsidRDefault="002C3898" w:rsidP="004F40DC">
            <w:pPr>
              <w:jc w:val="center"/>
              <w:rPr>
                <w:rFonts w:ascii="Arial Narrow" w:hAnsi="Arial Narrow"/>
                <w:sz w:val="20"/>
                <w:szCs w:val="20"/>
              </w:rPr>
            </w:pPr>
          </w:p>
        </w:tc>
        <w:tc>
          <w:tcPr>
            <w:tcW w:w="7461" w:type="dxa"/>
            <w:gridSpan w:val="6"/>
            <w:vAlign w:val="center"/>
          </w:tcPr>
          <w:p w14:paraId="39B30C00" w14:textId="77777777" w:rsidR="00A11F4D" w:rsidRPr="006C69FF" w:rsidRDefault="002C3898" w:rsidP="00A11F4D">
            <w:pPr>
              <w:rPr>
                <w:rFonts w:ascii="Arial Narrow" w:hAnsi="Arial Narrow"/>
                <w:bCs/>
                <w:sz w:val="20"/>
                <w:szCs w:val="20"/>
              </w:rPr>
            </w:pPr>
            <w:r w:rsidRPr="006C69FF">
              <w:rPr>
                <w:rFonts w:ascii="Arial Narrow" w:hAnsi="Arial Narrow"/>
                <w:b/>
                <w:bCs/>
                <w:sz w:val="20"/>
                <w:szCs w:val="20"/>
              </w:rPr>
              <w:t>Administrative Advice:</w:t>
            </w:r>
            <w:r w:rsidRPr="006C69FF">
              <w:rPr>
                <w:rFonts w:ascii="Arial Narrow" w:hAnsi="Arial Narrow"/>
                <w:bCs/>
                <w:sz w:val="20"/>
                <w:szCs w:val="20"/>
              </w:rPr>
              <w:t xml:space="preserve"> </w:t>
            </w:r>
          </w:p>
          <w:p w14:paraId="6C72CF9D" w14:textId="56CE0C19" w:rsidR="00A11F4D" w:rsidRPr="006C69FF" w:rsidRDefault="00A11F4D" w:rsidP="00A11F4D">
            <w:pPr>
              <w:rPr>
                <w:rFonts w:ascii="Arial Narrow" w:hAnsi="Arial Narrow"/>
                <w:bCs/>
                <w:sz w:val="20"/>
                <w:szCs w:val="20"/>
              </w:rPr>
            </w:pPr>
            <w:r w:rsidRPr="006C69FF">
              <w:rPr>
                <w:rFonts w:ascii="Arial Narrow" w:hAnsi="Arial Narrow"/>
                <w:bCs/>
                <w:sz w:val="20"/>
                <w:szCs w:val="20"/>
              </w:rPr>
              <w:t>The ALS Functional Rating Scale - Revised (ALSFRS-R) can be accessed online at:</w:t>
            </w:r>
          </w:p>
          <w:p w14:paraId="6AEDA22F" w14:textId="44C41709" w:rsidR="002C3898" w:rsidRPr="006C69FF" w:rsidRDefault="00A11F4D" w:rsidP="004F40DC">
            <w:pPr>
              <w:rPr>
                <w:rFonts w:ascii="Arial Narrow" w:hAnsi="Arial Narrow"/>
                <w:bCs/>
                <w:sz w:val="20"/>
                <w:szCs w:val="20"/>
              </w:rPr>
            </w:pPr>
            <w:r w:rsidRPr="006C69FF">
              <w:rPr>
                <w:rFonts w:ascii="Arial Narrow" w:hAnsi="Arial Narrow"/>
                <w:bCs/>
                <w:sz w:val="20"/>
                <w:szCs w:val="20"/>
              </w:rPr>
              <w:t>www.mdcalc.com/calc/10166/revised-amyotrophic-lateral-sclerosis-functional-rating-scale-alsfrs-r or https://neurotoolkit.com/alsfrs-r/</w:t>
            </w:r>
          </w:p>
        </w:tc>
      </w:tr>
      <w:tr w:rsidR="002C3898" w:rsidRPr="006C69FF" w14:paraId="6EB4CF89" w14:textId="77777777" w:rsidTr="00FF4C70">
        <w:trPr>
          <w:trHeight w:val="20"/>
        </w:trPr>
        <w:tc>
          <w:tcPr>
            <w:tcW w:w="704" w:type="dxa"/>
            <w:vMerge/>
            <w:tcBorders>
              <w:left w:val="single" w:sz="4" w:space="0" w:color="auto"/>
              <w:right w:val="single" w:sz="4" w:space="0" w:color="auto"/>
            </w:tcBorders>
          </w:tcPr>
          <w:p w14:paraId="51094217" w14:textId="77777777" w:rsidR="002C3898" w:rsidRPr="006C69FF" w:rsidRDefault="002C3898" w:rsidP="004F40DC">
            <w:pPr>
              <w:rPr>
                <w:rFonts w:ascii="Arial Narrow" w:hAnsi="Arial Narrow" w:cs="Arial"/>
                <w:sz w:val="20"/>
                <w:szCs w:val="20"/>
              </w:rPr>
            </w:pPr>
          </w:p>
        </w:tc>
        <w:tc>
          <w:tcPr>
            <w:tcW w:w="851" w:type="dxa"/>
            <w:tcBorders>
              <w:left w:val="single" w:sz="4" w:space="0" w:color="auto"/>
            </w:tcBorders>
            <w:vAlign w:val="center"/>
          </w:tcPr>
          <w:p w14:paraId="6B394AC3" w14:textId="215EE920" w:rsidR="002C3898" w:rsidRPr="006C69FF" w:rsidRDefault="002C3898" w:rsidP="004F40DC">
            <w:pPr>
              <w:jc w:val="center"/>
              <w:rPr>
                <w:rFonts w:ascii="Arial Narrow" w:hAnsi="Arial Narrow"/>
                <w:sz w:val="20"/>
                <w:szCs w:val="20"/>
              </w:rPr>
            </w:pPr>
          </w:p>
        </w:tc>
        <w:tc>
          <w:tcPr>
            <w:tcW w:w="7461" w:type="dxa"/>
            <w:gridSpan w:val="6"/>
            <w:vAlign w:val="center"/>
          </w:tcPr>
          <w:p w14:paraId="0FF615F3" w14:textId="294FCF1A" w:rsidR="002C3898" w:rsidRPr="006C69FF" w:rsidRDefault="002C3898" w:rsidP="004F40DC">
            <w:pPr>
              <w:rPr>
                <w:rFonts w:ascii="Arial Narrow" w:hAnsi="Arial Narrow"/>
                <w:b/>
                <w:bCs/>
                <w:sz w:val="20"/>
                <w:szCs w:val="20"/>
              </w:rPr>
            </w:pPr>
            <w:r w:rsidRPr="006C69FF">
              <w:rPr>
                <w:rFonts w:ascii="Arial Narrow" w:hAnsi="Arial Narrow"/>
                <w:b/>
                <w:bCs/>
                <w:sz w:val="20"/>
                <w:szCs w:val="20"/>
              </w:rPr>
              <w:t>Administrative Advice:</w:t>
            </w:r>
            <w:r w:rsidR="00DE6035" w:rsidRPr="006C69FF">
              <w:rPr>
                <w:rFonts w:ascii="Arial Narrow" w:hAnsi="Arial Narrow"/>
                <w:b/>
                <w:bCs/>
                <w:sz w:val="20"/>
                <w:szCs w:val="20"/>
              </w:rPr>
              <w:t xml:space="preserve"> </w:t>
            </w:r>
            <w:r w:rsidR="004A45CC" w:rsidRPr="006C69FF">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7FAC855D" w:rsidRPr="006C69FF" w14:paraId="28E8FD9A" w14:textId="77777777" w:rsidTr="00FF4C70">
        <w:trPr>
          <w:trHeight w:val="20"/>
        </w:trPr>
        <w:tc>
          <w:tcPr>
            <w:tcW w:w="704" w:type="dxa"/>
            <w:vMerge/>
            <w:tcBorders>
              <w:left w:val="single" w:sz="4" w:space="0" w:color="auto"/>
              <w:right w:val="single" w:sz="4" w:space="0" w:color="auto"/>
            </w:tcBorders>
            <w:vAlign w:val="center"/>
          </w:tcPr>
          <w:p w14:paraId="20E72BE7" w14:textId="77777777" w:rsidR="00F648EF" w:rsidRPr="006C69FF" w:rsidRDefault="00F648EF">
            <w:pPr>
              <w:rPr>
                <w:rFonts w:ascii="Arial Narrow" w:hAnsi="Arial Narrow"/>
                <w:sz w:val="20"/>
                <w:szCs w:val="20"/>
              </w:rPr>
            </w:pPr>
          </w:p>
        </w:tc>
        <w:tc>
          <w:tcPr>
            <w:tcW w:w="851" w:type="dxa"/>
            <w:tcBorders>
              <w:left w:val="single" w:sz="4" w:space="0" w:color="auto"/>
            </w:tcBorders>
            <w:vAlign w:val="center"/>
          </w:tcPr>
          <w:p w14:paraId="4AA6E36F" w14:textId="56E0B991" w:rsidR="4DD3C7DD" w:rsidRPr="006C69FF" w:rsidRDefault="4DD3C7DD" w:rsidP="7FAC855D">
            <w:pPr>
              <w:jc w:val="center"/>
              <w:rPr>
                <w:rFonts w:ascii="Arial Narrow" w:hAnsi="Arial Narrow"/>
                <w:b/>
                <w:bCs/>
                <w:i/>
                <w:iCs/>
                <w:sz w:val="20"/>
                <w:szCs w:val="20"/>
              </w:rPr>
            </w:pPr>
          </w:p>
        </w:tc>
        <w:tc>
          <w:tcPr>
            <w:tcW w:w="7461" w:type="dxa"/>
            <w:gridSpan w:val="6"/>
            <w:vAlign w:val="center"/>
          </w:tcPr>
          <w:p w14:paraId="28BFA59D" w14:textId="73F1D44F" w:rsidR="4DD3C7DD" w:rsidRPr="006C69FF" w:rsidRDefault="4DD3C7DD" w:rsidP="7FAC855D">
            <w:pPr>
              <w:rPr>
                <w:rFonts w:ascii="Arial Narrow" w:hAnsi="Arial Narrow"/>
                <w:b/>
                <w:bCs/>
                <w:i/>
                <w:iCs/>
                <w:sz w:val="20"/>
                <w:szCs w:val="20"/>
              </w:rPr>
            </w:pPr>
            <w:r w:rsidRPr="006C69FF">
              <w:rPr>
                <w:rFonts w:ascii="Arial Narrow" w:hAnsi="Arial Narrow"/>
                <w:b/>
                <w:bCs/>
                <w:i/>
                <w:iCs/>
                <w:sz w:val="20"/>
                <w:szCs w:val="20"/>
              </w:rPr>
              <w:t xml:space="preserve">Caution: </w:t>
            </w:r>
            <w:r w:rsidR="45FBF5DE" w:rsidRPr="006C69FF">
              <w:rPr>
                <w:rFonts w:ascii="Arial Narrow" w:hAnsi="Arial Narrow"/>
                <w:b/>
                <w:bCs/>
                <w:i/>
                <w:iCs/>
                <w:sz w:val="20"/>
                <w:szCs w:val="20"/>
              </w:rPr>
              <w:t xml:space="preserve">Hypersensitivity reactions and cases of </w:t>
            </w:r>
            <w:r w:rsidR="4317216C" w:rsidRPr="006C69FF">
              <w:rPr>
                <w:rFonts w:ascii="Arial Narrow" w:hAnsi="Arial Narrow"/>
                <w:b/>
                <w:bCs/>
                <w:i/>
                <w:iCs/>
                <w:sz w:val="20"/>
                <w:szCs w:val="20"/>
              </w:rPr>
              <w:t xml:space="preserve">anaphylaxis </w:t>
            </w:r>
            <w:r w:rsidR="45FBF5DE" w:rsidRPr="006C69FF">
              <w:rPr>
                <w:rFonts w:ascii="Arial Narrow" w:hAnsi="Arial Narrow"/>
                <w:b/>
                <w:bCs/>
                <w:i/>
                <w:iCs/>
                <w:sz w:val="20"/>
                <w:szCs w:val="20"/>
              </w:rPr>
              <w:t xml:space="preserve">have been reported following </w:t>
            </w:r>
            <w:r w:rsidR="114EB587" w:rsidRPr="006C69FF">
              <w:rPr>
                <w:rFonts w:ascii="Arial Narrow" w:hAnsi="Arial Narrow"/>
                <w:b/>
                <w:bCs/>
                <w:i/>
                <w:iCs/>
                <w:sz w:val="20"/>
                <w:szCs w:val="20"/>
              </w:rPr>
              <w:t>the</w:t>
            </w:r>
            <w:r w:rsidR="45FBF5DE" w:rsidRPr="006C69FF">
              <w:rPr>
                <w:rFonts w:ascii="Arial Narrow" w:hAnsi="Arial Narrow"/>
                <w:b/>
                <w:bCs/>
                <w:i/>
                <w:iCs/>
                <w:sz w:val="20"/>
                <w:szCs w:val="20"/>
              </w:rPr>
              <w:t xml:space="preserve"> administration of </w:t>
            </w:r>
            <w:proofErr w:type="spellStart"/>
            <w:r w:rsidR="65EB763D" w:rsidRPr="006C69FF">
              <w:rPr>
                <w:rFonts w:ascii="Arial Narrow" w:hAnsi="Arial Narrow"/>
                <w:b/>
                <w:bCs/>
                <w:i/>
                <w:iCs/>
                <w:sz w:val="20"/>
                <w:szCs w:val="20"/>
              </w:rPr>
              <w:t>edaravone</w:t>
            </w:r>
            <w:proofErr w:type="spellEnd"/>
            <w:r w:rsidR="45FBF5DE" w:rsidRPr="006C69FF">
              <w:rPr>
                <w:rFonts w:ascii="Arial Narrow" w:hAnsi="Arial Narrow"/>
                <w:b/>
                <w:bCs/>
                <w:i/>
                <w:iCs/>
                <w:sz w:val="20"/>
                <w:szCs w:val="20"/>
              </w:rPr>
              <w:t xml:space="preserve">. </w:t>
            </w:r>
            <w:r w:rsidR="22060A14" w:rsidRPr="006C69FF">
              <w:rPr>
                <w:rFonts w:ascii="Arial Narrow" w:eastAsia="Arial Narrow" w:hAnsi="Arial Narrow" w:cs="Arial Narrow"/>
                <w:b/>
                <w:bCs/>
                <w:i/>
                <w:iCs/>
                <w:sz w:val="20"/>
                <w:szCs w:val="20"/>
              </w:rPr>
              <w:t>Patients should be monitored carefully for hypersensitivity reactions</w:t>
            </w:r>
            <w:r w:rsidR="00D03901" w:rsidRPr="006C69FF">
              <w:rPr>
                <w:rFonts w:ascii="Arial Narrow" w:eastAsia="Arial Narrow" w:hAnsi="Arial Narrow" w:cs="Arial Narrow"/>
                <w:b/>
                <w:bCs/>
                <w:i/>
                <w:iCs/>
                <w:sz w:val="20"/>
                <w:szCs w:val="20"/>
              </w:rPr>
              <w:t xml:space="preserve"> following </w:t>
            </w:r>
            <w:r w:rsidR="00BF17E5" w:rsidRPr="006C69FF">
              <w:rPr>
                <w:rFonts w:ascii="Arial Narrow" w:eastAsia="Arial Narrow" w:hAnsi="Arial Narrow" w:cs="Arial Narrow"/>
                <w:b/>
                <w:bCs/>
                <w:i/>
                <w:iCs/>
                <w:sz w:val="20"/>
                <w:szCs w:val="20"/>
              </w:rPr>
              <w:t>administration</w:t>
            </w:r>
            <w:r w:rsidR="22060A14" w:rsidRPr="006C69FF">
              <w:rPr>
                <w:rFonts w:ascii="Arial Narrow" w:eastAsia="Arial Narrow" w:hAnsi="Arial Narrow" w:cs="Arial Narrow"/>
                <w:b/>
                <w:bCs/>
                <w:i/>
                <w:iCs/>
                <w:sz w:val="20"/>
                <w:szCs w:val="20"/>
              </w:rPr>
              <w:t xml:space="preserve">. </w:t>
            </w:r>
            <w:r w:rsidR="208D13AB" w:rsidRPr="006C69FF">
              <w:rPr>
                <w:rFonts w:ascii="Arial Narrow" w:eastAsia="Arial Narrow" w:hAnsi="Arial Narrow" w:cs="Arial Narrow"/>
                <w:b/>
                <w:bCs/>
                <w:i/>
                <w:iCs/>
                <w:sz w:val="20"/>
                <w:szCs w:val="20"/>
              </w:rPr>
              <w:t>For more information</w:t>
            </w:r>
            <w:r w:rsidR="6ED9FE72" w:rsidRPr="006C69FF">
              <w:rPr>
                <w:rFonts w:ascii="Arial Narrow" w:eastAsia="Arial Narrow" w:hAnsi="Arial Narrow" w:cs="Arial Narrow"/>
                <w:b/>
                <w:bCs/>
                <w:i/>
                <w:iCs/>
                <w:sz w:val="20"/>
                <w:szCs w:val="20"/>
              </w:rPr>
              <w:t xml:space="preserve"> on administration schedule,</w:t>
            </w:r>
            <w:r w:rsidR="208D13AB" w:rsidRPr="006C69FF">
              <w:rPr>
                <w:rFonts w:ascii="Arial Narrow" w:eastAsia="Arial Narrow" w:hAnsi="Arial Narrow" w:cs="Arial Narrow"/>
                <w:b/>
                <w:bCs/>
                <w:i/>
                <w:iCs/>
                <w:sz w:val="20"/>
                <w:szCs w:val="20"/>
              </w:rPr>
              <w:t xml:space="preserve"> r</w:t>
            </w:r>
            <w:r w:rsidR="5C8D9805" w:rsidRPr="006C69FF">
              <w:rPr>
                <w:rFonts w:ascii="Arial Narrow" w:eastAsia="Arial Narrow" w:hAnsi="Arial Narrow" w:cs="Arial Narrow"/>
                <w:b/>
                <w:bCs/>
                <w:i/>
                <w:iCs/>
                <w:sz w:val="20"/>
                <w:szCs w:val="20"/>
              </w:rPr>
              <w:t>efer to</w:t>
            </w:r>
            <w:r w:rsidR="5C8D9805" w:rsidRPr="006C69FF">
              <w:rPr>
                <w:rFonts w:ascii="Arial Narrow" w:hAnsi="Arial Narrow"/>
                <w:b/>
                <w:bCs/>
                <w:i/>
                <w:iCs/>
                <w:sz w:val="20"/>
                <w:szCs w:val="20"/>
              </w:rPr>
              <w:t xml:space="preserve"> the approved Therapeutic Goods Administration product </w:t>
            </w:r>
            <w:r w:rsidR="4ABB15C0" w:rsidRPr="006C69FF">
              <w:rPr>
                <w:rFonts w:ascii="Arial Narrow" w:hAnsi="Arial Narrow"/>
                <w:b/>
                <w:bCs/>
                <w:i/>
                <w:iCs/>
                <w:sz w:val="20"/>
                <w:szCs w:val="20"/>
              </w:rPr>
              <w:t xml:space="preserve">Information. </w:t>
            </w:r>
          </w:p>
        </w:tc>
      </w:tr>
      <w:tr w:rsidR="00AA24E9" w:rsidRPr="006C69FF" w14:paraId="5838240A" w14:textId="77777777" w:rsidTr="00FF4C70">
        <w:trPr>
          <w:trHeight w:val="20"/>
        </w:trPr>
        <w:tc>
          <w:tcPr>
            <w:tcW w:w="1555" w:type="dxa"/>
            <w:gridSpan w:val="2"/>
            <w:vAlign w:val="center"/>
            <w:hideMark/>
          </w:tcPr>
          <w:p w14:paraId="4D5B5EE7" w14:textId="795DBEEE" w:rsidR="00AA24E9" w:rsidRPr="006C69FF" w:rsidRDefault="00AA24E9" w:rsidP="004F40DC">
            <w:pPr>
              <w:keepLines/>
              <w:jc w:val="center"/>
              <w:rPr>
                <w:rFonts w:ascii="Arial Narrow" w:hAnsi="Arial Narrow"/>
                <w:sz w:val="20"/>
                <w:szCs w:val="20"/>
              </w:rPr>
            </w:pPr>
          </w:p>
        </w:tc>
        <w:tc>
          <w:tcPr>
            <w:tcW w:w="7461" w:type="dxa"/>
            <w:gridSpan w:val="6"/>
            <w:vAlign w:val="center"/>
            <w:hideMark/>
          </w:tcPr>
          <w:p w14:paraId="4554907F" w14:textId="12320BB7" w:rsidR="00AA24E9" w:rsidRPr="006C69FF" w:rsidRDefault="00AA24E9" w:rsidP="004F40DC">
            <w:pPr>
              <w:keepLines/>
              <w:rPr>
                <w:rFonts w:ascii="Arial Narrow" w:hAnsi="Arial Narrow"/>
                <w:color w:val="333333"/>
                <w:sz w:val="20"/>
                <w:szCs w:val="20"/>
              </w:rPr>
            </w:pPr>
            <w:r w:rsidRPr="006C69FF">
              <w:rPr>
                <w:rFonts w:ascii="Arial Narrow" w:hAnsi="Arial Narrow"/>
                <w:b/>
                <w:bCs/>
                <w:sz w:val="20"/>
                <w:szCs w:val="20"/>
              </w:rPr>
              <w:t>Indication:</w:t>
            </w:r>
            <w:r w:rsidRPr="006C69FF">
              <w:rPr>
                <w:rFonts w:ascii="Arial Narrow" w:hAnsi="Arial Narrow"/>
                <w:sz w:val="20"/>
                <w:szCs w:val="20"/>
              </w:rPr>
              <w:t xml:space="preserve"> </w:t>
            </w:r>
            <w:r w:rsidR="00B62DE1" w:rsidRPr="006C69FF">
              <w:rPr>
                <w:rFonts w:ascii="Arial Narrow" w:hAnsi="Arial Narrow" w:cs="Arial Narrow"/>
                <w:iCs/>
                <w:sz w:val="20"/>
                <w:szCs w:val="20"/>
              </w:rPr>
              <w:t>Amyotrophic lateral sclerosis</w:t>
            </w:r>
          </w:p>
        </w:tc>
      </w:tr>
      <w:tr w:rsidR="00AA24E9" w:rsidRPr="006C69FF" w14:paraId="79ED3FD7" w14:textId="77777777" w:rsidTr="00FF4C70">
        <w:trPr>
          <w:trHeight w:val="20"/>
        </w:trPr>
        <w:tc>
          <w:tcPr>
            <w:tcW w:w="1555" w:type="dxa"/>
            <w:gridSpan w:val="2"/>
            <w:vAlign w:val="center"/>
            <w:hideMark/>
          </w:tcPr>
          <w:p w14:paraId="7CCB6D8B" w14:textId="77777777" w:rsidR="00AA24E9" w:rsidRPr="006C69FF" w:rsidRDefault="00AA24E9" w:rsidP="004F40DC">
            <w:pPr>
              <w:jc w:val="center"/>
              <w:rPr>
                <w:rFonts w:ascii="Arial Narrow" w:hAnsi="Arial Narrow"/>
                <w:sz w:val="20"/>
                <w:szCs w:val="20"/>
              </w:rPr>
            </w:pPr>
          </w:p>
        </w:tc>
        <w:tc>
          <w:tcPr>
            <w:tcW w:w="7461" w:type="dxa"/>
            <w:gridSpan w:val="6"/>
            <w:vAlign w:val="center"/>
            <w:hideMark/>
          </w:tcPr>
          <w:p w14:paraId="23366C80" w14:textId="4CB00F0E" w:rsidR="00AA24E9" w:rsidRPr="006C69FF" w:rsidRDefault="00AA24E9" w:rsidP="004F40DC">
            <w:pPr>
              <w:rPr>
                <w:rFonts w:ascii="Arial Narrow" w:hAnsi="Arial Narrow"/>
                <w:sz w:val="20"/>
                <w:szCs w:val="20"/>
              </w:rPr>
            </w:pPr>
            <w:r w:rsidRPr="006C69FF">
              <w:rPr>
                <w:rFonts w:ascii="Arial Narrow" w:hAnsi="Arial Narrow"/>
                <w:b/>
                <w:bCs/>
                <w:sz w:val="20"/>
                <w:szCs w:val="20"/>
              </w:rPr>
              <w:t>Treatment Phase:</w:t>
            </w:r>
            <w:r w:rsidRPr="006C69FF">
              <w:rPr>
                <w:rFonts w:ascii="Arial Narrow" w:hAnsi="Arial Narrow"/>
                <w:sz w:val="20"/>
                <w:szCs w:val="20"/>
              </w:rPr>
              <w:t xml:space="preserve"> </w:t>
            </w:r>
            <w:r w:rsidR="00892D8F" w:rsidRPr="006C69FF">
              <w:rPr>
                <w:rFonts w:ascii="Arial Narrow" w:hAnsi="Arial Narrow"/>
                <w:sz w:val="20"/>
                <w:szCs w:val="20"/>
              </w:rPr>
              <w:t>Initial treatment</w:t>
            </w:r>
          </w:p>
        </w:tc>
      </w:tr>
      <w:tr w:rsidR="00AA24E9" w:rsidRPr="006C69FF" w14:paraId="4EC2745E" w14:textId="77777777" w:rsidTr="00FF4C70">
        <w:trPr>
          <w:trHeight w:val="20"/>
        </w:trPr>
        <w:tc>
          <w:tcPr>
            <w:tcW w:w="1555" w:type="dxa"/>
            <w:gridSpan w:val="2"/>
            <w:vAlign w:val="center"/>
          </w:tcPr>
          <w:p w14:paraId="13FB9EE5" w14:textId="3D8B4B8C" w:rsidR="00AA24E9" w:rsidRPr="006C69FF" w:rsidRDefault="00AA24E9" w:rsidP="004F40DC">
            <w:pPr>
              <w:jc w:val="center"/>
              <w:rPr>
                <w:rFonts w:ascii="Arial Narrow" w:hAnsi="Arial Narrow"/>
                <w:sz w:val="20"/>
                <w:szCs w:val="20"/>
              </w:rPr>
            </w:pPr>
          </w:p>
        </w:tc>
        <w:tc>
          <w:tcPr>
            <w:tcW w:w="7461" w:type="dxa"/>
            <w:gridSpan w:val="6"/>
            <w:vAlign w:val="center"/>
            <w:hideMark/>
          </w:tcPr>
          <w:p w14:paraId="370B7CE0" w14:textId="6E3F0C8A" w:rsidR="00AA24E9" w:rsidRPr="006C69FF" w:rsidRDefault="00AA24E9" w:rsidP="004F40DC">
            <w:pPr>
              <w:rPr>
                <w:rFonts w:ascii="Arial Narrow" w:hAnsi="Arial Narrow"/>
                <w:sz w:val="20"/>
                <w:szCs w:val="20"/>
              </w:rPr>
            </w:pPr>
            <w:r w:rsidRPr="006C69FF">
              <w:rPr>
                <w:rFonts w:ascii="Arial Narrow" w:hAnsi="Arial Narrow"/>
                <w:b/>
                <w:bCs/>
                <w:sz w:val="20"/>
                <w:szCs w:val="20"/>
              </w:rPr>
              <w:t xml:space="preserve">Clinical criteria: </w:t>
            </w:r>
          </w:p>
        </w:tc>
      </w:tr>
      <w:tr w:rsidR="00AA24E9" w:rsidRPr="006C69FF" w14:paraId="5624C87A" w14:textId="77777777" w:rsidTr="00FF4C70">
        <w:trPr>
          <w:trHeight w:val="20"/>
        </w:trPr>
        <w:tc>
          <w:tcPr>
            <w:tcW w:w="1555" w:type="dxa"/>
            <w:gridSpan w:val="2"/>
            <w:vAlign w:val="center"/>
          </w:tcPr>
          <w:p w14:paraId="651D0A36" w14:textId="144EA829" w:rsidR="00AA24E9" w:rsidRPr="006C69FF" w:rsidRDefault="00AA24E9" w:rsidP="004F40DC">
            <w:pPr>
              <w:jc w:val="center"/>
              <w:rPr>
                <w:rFonts w:ascii="Arial Narrow" w:hAnsi="Arial Narrow"/>
                <w:sz w:val="20"/>
                <w:szCs w:val="20"/>
              </w:rPr>
            </w:pPr>
          </w:p>
        </w:tc>
        <w:tc>
          <w:tcPr>
            <w:tcW w:w="7461" w:type="dxa"/>
            <w:gridSpan w:val="6"/>
            <w:vAlign w:val="center"/>
            <w:hideMark/>
          </w:tcPr>
          <w:p w14:paraId="598ECB94" w14:textId="251C4B84" w:rsidR="00AA24E9" w:rsidRPr="006C69FF" w:rsidRDefault="00AC6F9E" w:rsidP="00432EBF">
            <w:pPr>
              <w:jc w:val="left"/>
              <w:rPr>
                <w:rFonts w:ascii="Arial Narrow" w:hAnsi="Arial Narrow"/>
                <w:color w:val="333333"/>
                <w:sz w:val="20"/>
                <w:szCs w:val="20"/>
              </w:rPr>
            </w:pPr>
            <w:r w:rsidRPr="006C69FF">
              <w:rPr>
                <w:rFonts w:ascii="Arial Narrow" w:hAnsi="Arial Narrow"/>
                <w:color w:val="333333"/>
                <w:sz w:val="20"/>
                <w:szCs w:val="20"/>
              </w:rPr>
              <w:t>The condition must be/have been diagnosed by a neurologist</w:t>
            </w:r>
          </w:p>
        </w:tc>
      </w:tr>
      <w:tr w:rsidR="00AA24E9" w:rsidRPr="006C69FF" w14:paraId="084309B3" w14:textId="77777777" w:rsidTr="00FF4C70">
        <w:trPr>
          <w:trHeight w:val="20"/>
        </w:trPr>
        <w:tc>
          <w:tcPr>
            <w:tcW w:w="1555" w:type="dxa"/>
            <w:gridSpan w:val="2"/>
            <w:vAlign w:val="center"/>
          </w:tcPr>
          <w:p w14:paraId="5C2BD6BF" w14:textId="77777777" w:rsidR="00AA24E9" w:rsidRPr="006C69FF" w:rsidRDefault="00AA24E9" w:rsidP="004F40DC">
            <w:pPr>
              <w:jc w:val="center"/>
              <w:rPr>
                <w:rFonts w:ascii="Arial Narrow" w:hAnsi="Arial Narrow"/>
                <w:sz w:val="20"/>
                <w:szCs w:val="20"/>
              </w:rPr>
            </w:pPr>
          </w:p>
        </w:tc>
        <w:tc>
          <w:tcPr>
            <w:tcW w:w="7461" w:type="dxa"/>
            <w:gridSpan w:val="6"/>
            <w:vAlign w:val="center"/>
            <w:hideMark/>
          </w:tcPr>
          <w:p w14:paraId="18DA42D8" w14:textId="77777777" w:rsidR="00AA24E9" w:rsidRPr="006C69FF" w:rsidRDefault="00AA24E9" w:rsidP="00432EBF">
            <w:pPr>
              <w:jc w:val="left"/>
              <w:rPr>
                <w:rFonts w:ascii="Arial Narrow" w:hAnsi="Arial Narrow"/>
                <w:sz w:val="20"/>
                <w:szCs w:val="20"/>
              </w:rPr>
            </w:pPr>
            <w:r w:rsidRPr="006C69FF">
              <w:rPr>
                <w:rFonts w:ascii="Arial Narrow" w:hAnsi="Arial Narrow"/>
                <w:b/>
                <w:bCs/>
                <w:sz w:val="20"/>
                <w:szCs w:val="20"/>
              </w:rPr>
              <w:t>AND</w:t>
            </w:r>
          </w:p>
        </w:tc>
      </w:tr>
      <w:tr w:rsidR="00AA24E9" w:rsidRPr="006C69FF" w14:paraId="2E56213F" w14:textId="77777777" w:rsidTr="00FF4C70">
        <w:trPr>
          <w:trHeight w:val="20"/>
        </w:trPr>
        <w:tc>
          <w:tcPr>
            <w:tcW w:w="1555" w:type="dxa"/>
            <w:gridSpan w:val="2"/>
            <w:vAlign w:val="center"/>
          </w:tcPr>
          <w:p w14:paraId="0ED7D878" w14:textId="71699C02" w:rsidR="00AA24E9" w:rsidRPr="006C69FF" w:rsidRDefault="00AA24E9" w:rsidP="004F40DC">
            <w:pPr>
              <w:jc w:val="center"/>
              <w:rPr>
                <w:rFonts w:ascii="Arial Narrow" w:hAnsi="Arial Narrow"/>
                <w:sz w:val="20"/>
                <w:szCs w:val="20"/>
              </w:rPr>
            </w:pPr>
          </w:p>
        </w:tc>
        <w:tc>
          <w:tcPr>
            <w:tcW w:w="7461" w:type="dxa"/>
            <w:gridSpan w:val="6"/>
            <w:vAlign w:val="center"/>
            <w:hideMark/>
          </w:tcPr>
          <w:p w14:paraId="09982F2A" w14:textId="77777777" w:rsidR="00AA24E9" w:rsidRPr="006C69FF" w:rsidRDefault="00AA24E9" w:rsidP="00432EBF">
            <w:pPr>
              <w:jc w:val="left"/>
              <w:rPr>
                <w:rFonts w:ascii="Arial Narrow" w:hAnsi="Arial Narrow"/>
                <w:sz w:val="20"/>
                <w:szCs w:val="20"/>
              </w:rPr>
            </w:pPr>
            <w:r w:rsidRPr="006C69FF">
              <w:rPr>
                <w:rFonts w:ascii="Arial Narrow" w:hAnsi="Arial Narrow"/>
                <w:b/>
                <w:bCs/>
                <w:sz w:val="20"/>
                <w:szCs w:val="20"/>
              </w:rPr>
              <w:t>Clinical criteria:</w:t>
            </w:r>
          </w:p>
        </w:tc>
      </w:tr>
      <w:tr w:rsidR="00AA24E9" w:rsidRPr="006C69FF" w14:paraId="145F4E3F" w14:textId="77777777" w:rsidTr="00FF4C70">
        <w:trPr>
          <w:trHeight w:val="20"/>
        </w:trPr>
        <w:tc>
          <w:tcPr>
            <w:tcW w:w="1555" w:type="dxa"/>
            <w:gridSpan w:val="2"/>
            <w:vAlign w:val="center"/>
          </w:tcPr>
          <w:p w14:paraId="39463033" w14:textId="44DF6561" w:rsidR="00AA24E9" w:rsidRPr="006C69FF" w:rsidRDefault="00AA24E9" w:rsidP="004F40DC">
            <w:pPr>
              <w:jc w:val="center"/>
              <w:rPr>
                <w:rFonts w:ascii="Arial Narrow" w:hAnsi="Arial Narrow"/>
                <w:sz w:val="20"/>
                <w:szCs w:val="20"/>
              </w:rPr>
            </w:pPr>
          </w:p>
        </w:tc>
        <w:tc>
          <w:tcPr>
            <w:tcW w:w="7461" w:type="dxa"/>
            <w:gridSpan w:val="6"/>
            <w:vAlign w:val="center"/>
            <w:hideMark/>
          </w:tcPr>
          <w:p w14:paraId="54B3E4D9" w14:textId="118EF3B6" w:rsidR="00AA24E9" w:rsidRPr="006C69FF" w:rsidRDefault="00666EB8" w:rsidP="004F40DC">
            <w:pPr>
              <w:rPr>
                <w:rFonts w:ascii="Arial Narrow" w:hAnsi="Arial Narrow"/>
                <w:color w:val="FF0000"/>
                <w:sz w:val="20"/>
                <w:szCs w:val="20"/>
              </w:rPr>
            </w:pPr>
            <w:r w:rsidRPr="006C69FF">
              <w:rPr>
                <w:rFonts w:ascii="Arial Narrow" w:hAnsi="Arial Narrow"/>
                <w:sz w:val="20"/>
                <w:szCs w:val="20"/>
              </w:rPr>
              <w:t>Patient must not have had symptoms for more than 2 years prior to commencing therapy with this drug</w:t>
            </w:r>
          </w:p>
        </w:tc>
      </w:tr>
      <w:tr w:rsidR="00AA24E9" w:rsidRPr="006C69FF" w14:paraId="2D16E394" w14:textId="77777777" w:rsidTr="00FF4C70">
        <w:trPr>
          <w:trHeight w:val="20"/>
        </w:trPr>
        <w:tc>
          <w:tcPr>
            <w:tcW w:w="1555" w:type="dxa"/>
            <w:gridSpan w:val="2"/>
            <w:vAlign w:val="center"/>
          </w:tcPr>
          <w:p w14:paraId="27499291" w14:textId="77777777" w:rsidR="00AA24E9" w:rsidRPr="006C69FF" w:rsidRDefault="00AA24E9" w:rsidP="004F40DC">
            <w:pPr>
              <w:jc w:val="center"/>
              <w:rPr>
                <w:rFonts w:ascii="Arial Narrow" w:hAnsi="Arial Narrow"/>
                <w:sz w:val="20"/>
                <w:szCs w:val="20"/>
              </w:rPr>
            </w:pPr>
          </w:p>
        </w:tc>
        <w:tc>
          <w:tcPr>
            <w:tcW w:w="7461" w:type="dxa"/>
            <w:gridSpan w:val="6"/>
            <w:vAlign w:val="center"/>
            <w:hideMark/>
          </w:tcPr>
          <w:p w14:paraId="4C8889AF" w14:textId="77777777" w:rsidR="00AA24E9" w:rsidRPr="006C69FF" w:rsidRDefault="00AA24E9" w:rsidP="004F40DC">
            <w:pPr>
              <w:rPr>
                <w:rFonts w:ascii="Arial Narrow" w:hAnsi="Arial Narrow"/>
                <w:sz w:val="20"/>
                <w:szCs w:val="20"/>
              </w:rPr>
            </w:pPr>
            <w:r w:rsidRPr="006C69FF">
              <w:rPr>
                <w:rFonts w:ascii="Arial Narrow" w:hAnsi="Arial Narrow"/>
                <w:b/>
                <w:bCs/>
                <w:sz w:val="20"/>
                <w:szCs w:val="20"/>
              </w:rPr>
              <w:t>AND</w:t>
            </w:r>
          </w:p>
        </w:tc>
      </w:tr>
      <w:tr w:rsidR="00AA24E9" w:rsidRPr="006C69FF" w14:paraId="537AF3E2" w14:textId="77777777" w:rsidTr="00FF4C70">
        <w:trPr>
          <w:trHeight w:val="20"/>
        </w:trPr>
        <w:tc>
          <w:tcPr>
            <w:tcW w:w="1555" w:type="dxa"/>
            <w:gridSpan w:val="2"/>
            <w:vAlign w:val="center"/>
          </w:tcPr>
          <w:p w14:paraId="622578E9" w14:textId="64066766" w:rsidR="00AA24E9" w:rsidRPr="006C69FF" w:rsidRDefault="00AA24E9" w:rsidP="004F40DC">
            <w:pPr>
              <w:jc w:val="center"/>
              <w:rPr>
                <w:rFonts w:ascii="Arial Narrow" w:hAnsi="Arial Narrow"/>
                <w:sz w:val="20"/>
                <w:szCs w:val="20"/>
              </w:rPr>
            </w:pPr>
          </w:p>
        </w:tc>
        <w:tc>
          <w:tcPr>
            <w:tcW w:w="7461" w:type="dxa"/>
            <w:gridSpan w:val="6"/>
            <w:vAlign w:val="center"/>
            <w:hideMark/>
          </w:tcPr>
          <w:p w14:paraId="529C5BCF" w14:textId="77777777" w:rsidR="00AA24E9" w:rsidRPr="006C69FF" w:rsidRDefault="00AA24E9" w:rsidP="004F40DC">
            <w:pPr>
              <w:rPr>
                <w:rFonts w:ascii="Arial Narrow" w:hAnsi="Arial Narrow"/>
                <w:sz w:val="20"/>
                <w:szCs w:val="20"/>
              </w:rPr>
            </w:pPr>
            <w:r w:rsidRPr="006C69FF">
              <w:rPr>
                <w:rFonts w:ascii="Arial Narrow" w:hAnsi="Arial Narrow"/>
                <w:b/>
                <w:bCs/>
                <w:sz w:val="20"/>
                <w:szCs w:val="20"/>
              </w:rPr>
              <w:t>Clinical criteria:</w:t>
            </w:r>
          </w:p>
        </w:tc>
      </w:tr>
      <w:tr w:rsidR="00AA24E9" w:rsidRPr="006C69FF" w14:paraId="78B849A4" w14:textId="77777777" w:rsidTr="00FF4C70">
        <w:trPr>
          <w:trHeight w:val="20"/>
        </w:trPr>
        <w:tc>
          <w:tcPr>
            <w:tcW w:w="1555" w:type="dxa"/>
            <w:gridSpan w:val="2"/>
            <w:vAlign w:val="center"/>
          </w:tcPr>
          <w:p w14:paraId="08011833" w14:textId="1B6B7F5E" w:rsidR="00AA24E9" w:rsidRPr="006C69FF" w:rsidRDefault="00AA24E9" w:rsidP="004F40DC">
            <w:pPr>
              <w:jc w:val="center"/>
              <w:rPr>
                <w:rFonts w:ascii="Arial Narrow" w:hAnsi="Arial Narrow"/>
                <w:sz w:val="20"/>
                <w:szCs w:val="20"/>
              </w:rPr>
            </w:pPr>
          </w:p>
        </w:tc>
        <w:tc>
          <w:tcPr>
            <w:tcW w:w="7461" w:type="dxa"/>
            <w:gridSpan w:val="6"/>
            <w:vAlign w:val="center"/>
            <w:hideMark/>
          </w:tcPr>
          <w:p w14:paraId="2D0A219D" w14:textId="0AF90943" w:rsidR="00AA24E9" w:rsidRPr="006C69FF" w:rsidRDefault="00E17A2F" w:rsidP="004F40DC">
            <w:pPr>
              <w:rPr>
                <w:rFonts w:ascii="Arial Narrow" w:hAnsi="Arial Narrow"/>
                <w:sz w:val="20"/>
                <w:szCs w:val="20"/>
              </w:rPr>
            </w:pPr>
            <w:r w:rsidRPr="006C69FF">
              <w:rPr>
                <w:rFonts w:ascii="Arial Narrow" w:hAnsi="Arial Narrow"/>
                <w:sz w:val="20"/>
                <w:szCs w:val="20"/>
              </w:rPr>
              <w:t>Patient must have at least 80 percent of predicted forced vital capacity (FVC) or slow vital capacity (SVC) within the 2 months prior to commencing therapy with this drug</w:t>
            </w:r>
          </w:p>
        </w:tc>
      </w:tr>
      <w:tr w:rsidR="00E17A2F" w:rsidRPr="006C69FF" w14:paraId="184C2ACB" w14:textId="77777777" w:rsidTr="00FF4C70">
        <w:trPr>
          <w:trHeight w:val="20"/>
        </w:trPr>
        <w:tc>
          <w:tcPr>
            <w:tcW w:w="1555" w:type="dxa"/>
            <w:gridSpan w:val="2"/>
            <w:vAlign w:val="center"/>
          </w:tcPr>
          <w:p w14:paraId="4735A854" w14:textId="77777777" w:rsidR="00E17A2F" w:rsidRPr="006C69FF" w:rsidRDefault="00E17A2F" w:rsidP="004F40DC">
            <w:pPr>
              <w:jc w:val="center"/>
              <w:rPr>
                <w:rFonts w:ascii="Arial Narrow" w:hAnsi="Arial Narrow"/>
                <w:sz w:val="20"/>
                <w:szCs w:val="20"/>
              </w:rPr>
            </w:pPr>
          </w:p>
        </w:tc>
        <w:tc>
          <w:tcPr>
            <w:tcW w:w="7461" w:type="dxa"/>
            <w:gridSpan w:val="6"/>
            <w:vAlign w:val="center"/>
          </w:tcPr>
          <w:p w14:paraId="7087797A" w14:textId="12ED366B" w:rsidR="00E17A2F" w:rsidRPr="006C69FF" w:rsidRDefault="00E17A2F" w:rsidP="004F40DC">
            <w:pPr>
              <w:rPr>
                <w:rFonts w:ascii="Arial Narrow" w:hAnsi="Arial Narrow"/>
                <w:sz w:val="20"/>
                <w:szCs w:val="20"/>
              </w:rPr>
            </w:pPr>
            <w:r w:rsidRPr="006C69FF">
              <w:rPr>
                <w:rFonts w:ascii="Arial Narrow" w:hAnsi="Arial Narrow"/>
                <w:b/>
                <w:bCs/>
                <w:sz w:val="20"/>
                <w:szCs w:val="20"/>
              </w:rPr>
              <w:t>AND</w:t>
            </w:r>
          </w:p>
        </w:tc>
      </w:tr>
      <w:tr w:rsidR="00E17A2F" w:rsidRPr="006C69FF" w14:paraId="27D3E02B" w14:textId="77777777" w:rsidTr="00FF4C70">
        <w:trPr>
          <w:trHeight w:val="20"/>
        </w:trPr>
        <w:tc>
          <w:tcPr>
            <w:tcW w:w="1555" w:type="dxa"/>
            <w:gridSpan w:val="2"/>
            <w:vAlign w:val="center"/>
          </w:tcPr>
          <w:p w14:paraId="5202869F" w14:textId="24FEDDA7" w:rsidR="00E17A2F" w:rsidRPr="006C69FF" w:rsidRDefault="00E17A2F" w:rsidP="004F40DC">
            <w:pPr>
              <w:jc w:val="center"/>
              <w:rPr>
                <w:rFonts w:ascii="Arial Narrow" w:hAnsi="Arial Narrow"/>
                <w:sz w:val="20"/>
                <w:szCs w:val="20"/>
              </w:rPr>
            </w:pPr>
          </w:p>
        </w:tc>
        <w:tc>
          <w:tcPr>
            <w:tcW w:w="7461" w:type="dxa"/>
            <w:gridSpan w:val="6"/>
            <w:vAlign w:val="center"/>
          </w:tcPr>
          <w:p w14:paraId="45F374C7" w14:textId="4543D955" w:rsidR="00E17A2F" w:rsidRPr="006C69FF" w:rsidRDefault="001C7ACF" w:rsidP="004F40DC">
            <w:pPr>
              <w:rPr>
                <w:rFonts w:ascii="Arial Narrow" w:hAnsi="Arial Narrow"/>
                <w:b/>
                <w:bCs/>
                <w:sz w:val="20"/>
                <w:szCs w:val="20"/>
              </w:rPr>
            </w:pPr>
            <w:r w:rsidRPr="006C69FF">
              <w:rPr>
                <w:rFonts w:ascii="Arial Narrow" w:hAnsi="Arial Narrow"/>
                <w:b/>
                <w:bCs/>
                <w:sz w:val="20"/>
                <w:szCs w:val="20"/>
              </w:rPr>
              <w:t>Clinical criteria:</w:t>
            </w:r>
          </w:p>
        </w:tc>
      </w:tr>
      <w:tr w:rsidR="001C7ACF" w:rsidRPr="006C69FF" w14:paraId="24516116" w14:textId="77777777" w:rsidTr="00FF4C70">
        <w:trPr>
          <w:trHeight w:val="20"/>
        </w:trPr>
        <w:tc>
          <w:tcPr>
            <w:tcW w:w="1555" w:type="dxa"/>
            <w:gridSpan w:val="2"/>
            <w:vAlign w:val="center"/>
          </w:tcPr>
          <w:p w14:paraId="589E1C5D" w14:textId="11416B71" w:rsidR="001C7ACF" w:rsidRPr="006C69FF" w:rsidRDefault="001C7ACF" w:rsidP="004F40DC">
            <w:pPr>
              <w:jc w:val="center"/>
              <w:rPr>
                <w:rFonts w:ascii="Arial Narrow" w:hAnsi="Arial Narrow"/>
                <w:sz w:val="20"/>
                <w:szCs w:val="20"/>
              </w:rPr>
            </w:pPr>
          </w:p>
        </w:tc>
        <w:tc>
          <w:tcPr>
            <w:tcW w:w="7461" w:type="dxa"/>
            <w:gridSpan w:val="6"/>
            <w:vAlign w:val="center"/>
          </w:tcPr>
          <w:p w14:paraId="44B30EF3" w14:textId="4F028F6B" w:rsidR="001C7ACF" w:rsidRPr="006C69FF" w:rsidRDefault="001C7ACF" w:rsidP="004F40DC">
            <w:pPr>
              <w:rPr>
                <w:rFonts w:ascii="Arial Narrow" w:hAnsi="Arial Narrow"/>
                <w:sz w:val="20"/>
                <w:szCs w:val="20"/>
              </w:rPr>
            </w:pPr>
            <w:r w:rsidRPr="006C69FF">
              <w:rPr>
                <w:rFonts w:ascii="Arial Narrow" w:hAnsi="Arial Narrow"/>
                <w:sz w:val="20"/>
                <w:szCs w:val="20"/>
              </w:rPr>
              <w:t>Patient must not require assistance with eating or ambulation</w:t>
            </w:r>
          </w:p>
        </w:tc>
      </w:tr>
      <w:tr w:rsidR="001C7ACF" w:rsidRPr="006C69FF" w14:paraId="0B5747FF" w14:textId="77777777" w:rsidTr="00FF4C70">
        <w:trPr>
          <w:trHeight w:val="20"/>
        </w:trPr>
        <w:tc>
          <w:tcPr>
            <w:tcW w:w="1555" w:type="dxa"/>
            <w:gridSpan w:val="2"/>
            <w:vAlign w:val="center"/>
          </w:tcPr>
          <w:p w14:paraId="06B894EA" w14:textId="77777777" w:rsidR="001C7ACF" w:rsidRPr="006C69FF" w:rsidRDefault="001C7ACF" w:rsidP="004F40DC">
            <w:pPr>
              <w:jc w:val="center"/>
              <w:rPr>
                <w:rFonts w:ascii="Arial Narrow" w:hAnsi="Arial Narrow"/>
                <w:sz w:val="20"/>
                <w:szCs w:val="20"/>
              </w:rPr>
            </w:pPr>
          </w:p>
        </w:tc>
        <w:tc>
          <w:tcPr>
            <w:tcW w:w="7461" w:type="dxa"/>
            <w:gridSpan w:val="6"/>
            <w:vAlign w:val="center"/>
          </w:tcPr>
          <w:p w14:paraId="72358C61" w14:textId="1D90F70F" w:rsidR="001C7ACF" w:rsidRPr="006C69FF" w:rsidRDefault="0094386E" w:rsidP="004F40DC">
            <w:pPr>
              <w:rPr>
                <w:rFonts w:ascii="Arial Narrow" w:hAnsi="Arial Narrow"/>
                <w:sz w:val="20"/>
                <w:szCs w:val="20"/>
              </w:rPr>
            </w:pPr>
            <w:r w:rsidRPr="006C69FF">
              <w:rPr>
                <w:rFonts w:ascii="Arial Narrow" w:hAnsi="Arial Narrow"/>
                <w:b/>
                <w:bCs/>
                <w:sz w:val="20"/>
                <w:szCs w:val="20"/>
              </w:rPr>
              <w:t>AND</w:t>
            </w:r>
          </w:p>
        </w:tc>
      </w:tr>
      <w:tr w:rsidR="0094386E" w:rsidRPr="006C69FF" w14:paraId="5EF6DCA3" w14:textId="77777777" w:rsidTr="00FF4C70">
        <w:trPr>
          <w:trHeight w:val="20"/>
        </w:trPr>
        <w:tc>
          <w:tcPr>
            <w:tcW w:w="1555" w:type="dxa"/>
            <w:gridSpan w:val="2"/>
            <w:vAlign w:val="center"/>
          </w:tcPr>
          <w:p w14:paraId="43D32766" w14:textId="0A224D69" w:rsidR="0094386E" w:rsidRPr="006C69FF" w:rsidRDefault="0094386E" w:rsidP="004F40DC">
            <w:pPr>
              <w:jc w:val="center"/>
              <w:rPr>
                <w:rFonts w:ascii="Arial Narrow" w:hAnsi="Arial Narrow"/>
                <w:sz w:val="20"/>
                <w:szCs w:val="20"/>
              </w:rPr>
            </w:pPr>
          </w:p>
        </w:tc>
        <w:tc>
          <w:tcPr>
            <w:tcW w:w="7461" w:type="dxa"/>
            <w:gridSpan w:val="6"/>
            <w:vAlign w:val="center"/>
          </w:tcPr>
          <w:p w14:paraId="169B4D72" w14:textId="10D0FD72" w:rsidR="0094386E" w:rsidRPr="006C69FF" w:rsidRDefault="0094386E" w:rsidP="004F40DC">
            <w:pPr>
              <w:rPr>
                <w:rFonts w:ascii="Arial Narrow" w:hAnsi="Arial Narrow"/>
                <w:b/>
                <w:bCs/>
                <w:sz w:val="20"/>
                <w:szCs w:val="20"/>
              </w:rPr>
            </w:pPr>
            <w:r w:rsidRPr="006C69FF">
              <w:rPr>
                <w:rFonts w:ascii="Arial Narrow" w:hAnsi="Arial Narrow"/>
                <w:b/>
                <w:bCs/>
                <w:sz w:val="20"/>
                <w:szCs w:val="20"/>
              </w:rPr>
              <w:t>Clinical criteria:</w:t>
            </w:r>
          </w:p>
        </w:tc>
      </w:tr>
      <w:tr w:rsidR="0094386E" w:rsidRPr="006C69FF" w14:paraId="5F446228" w14:textId="77777777" w:rsidTr="00FF4C70">
        <w:trPr>
          <w:trHeight w:val="20"/>
        </w:trPr>
        <w:tc>
          <w:tcPr>
            <w:tcW w:w="1555" w:type="dxa"/>
            <w:gridSpan w:val="2"/>
            <w:vAlign w:val="center"/>
          </w:tcPr>
          <w:p w14:paraId="6D1F988A" w14:textId="560DA872" w:rsidR="0094386E" w:rsidRPr="006C69FF" w:rsidRDefault="0094386E" w:rsidP="004F40DC">
            <w:pPr>
              <w:jc w:val="center"/>
              <w:rPr>
                <w:rFonts w:ascii="Arial Narrow" w:hAnsi="Arial Narrow"/>
                <w:sz w:val="20"/>
                <w:szCs w:val="20"/>
              </w:rPr>
            </w:pPr>
          </w:p>
        </w:tc>
        <w:tc>
          <w:tcPr>
            <w:tcW w:w="7461" w:type="dxa"/>
            <w:gridSpan w:val="6"/>
            <w:vAlign w:val="center"/>
          </w:tcPr>
          <w:p w14:paraId="702BE6DB" w14:textId="0D81958F" w:rsidR="0094386E" w:rsidRPr="006C69FF" w:rsidRDefault="0094386E" w:rsidP="004F40DC">
            <w:pPr>
              <w:rPr>
                <w:rFonts w:ascii="Arial Narrow" w:hAnsi="Arial Narrow"/>
                <w:sz w:val="20"/>
                <w:szCs w:val="20"/>
              </w:rPr>
            </w:pPr>
            <w:r w:rsidRPr="006C69FF">
              <w:rPr>
                <w:rFonts w:ascii="Arial Narrow" w:hAnsi="Arial Narrow"/>
                <w:sz w:val="20"/>
                <w:szCs w:val="20"/>
              </w:rPr>
              <w:t>Patient must have at least two points on each individual item of the ALS Functional Rating Scale - Revised (ALSFRS-R) score prior to commencing therapy with this drug</w:t>
            </w:r>
          </w:p>
        </w:tc>
      </w:tr>
      <w:tr w:rsidR="0094386E" w:rsidRPr="006C69FF" w14:paraId="25E1A068" w14:textId="77777777" w:rsidTr="00FF4C70">
        <w:trPr>
          <w:trHeight w:val="20"/>
        </w:trPr>
        <w:tc>
          <w:tcPr>
            <w:tcW w:w="1555" w:type="dxa"/>
            <w:gridSpan w:val="2"/>
            <w:vAlign w:val="center"/>
          </w:tcPr>
          <w:p w14:paraId="21F23993" w14:textId="77777777" w:rsidR="0094386E" w:rsidRPr="006C69FF" w:rsidRDefault="0094386E" w:rsidP="004F40DC">
            <w:pPr>
              <w:jc w:val="center"/>
              <w:rPr>
                <w:rFonts w:ascii="Arial Narrow" w:hAnsi="Arial Narrow"/>
                <w:sz w:val="20"/>
                <w:szCs w:val="20"/>
              </w:rPr>
            </w:pPr>
          </w:p>
        </w:tc>
        <w:tc>
          <w:tcPr>
            <w:tcW w:w="7461" w:type="dxa"/>
            <w:gridSpan w:val="6"/>
            <w:vAlign w:val="center"/>
          </w:tcPr>
          <w:p w14:paraId="649792A5" w14:textId="3620879B" w:rsidR="0094386E" w:rsidRPr="006C69FF" w:rsidRDefault="0094386E" w:rsidP="004F40DC">
            <w:pPr>
              <w:rPr>
                <w:rFonts w:ascii="Arial Narrow" w:hAnsi="Arial Narrow"/>
                <w:sz w:val="20"/>
                <w:szCs w:val="20"/>
              </w:rPr>
            </w:pPr>
            <w:r w:rsidRPr="006C69FF">
              <w:rPr>
                <w:rFonts w:ascii="Arial Narrow" w:hAnsi="Arial Narrow"/>
                <w:b/>
                <w:bCs/>
                <w:sz w:val="20"/>
                <w:szCs w:val="20"/>
              </w:rPr>
              <w:t>AND</w:t>
            </w:r>
          </w:p>
        </w:tc>
      </w:tr>
      <w:tr w:rsidR="0094386E" w:rsidRPr="006C69FF" w14:paraId="054B2A22" w14:textId="77777777" w:rsidTr="00FF4C70">
        <w:trPr>
          <w:trHeight w:val="20"/>
        </w:trPr>
        <w:tc>
          <w:tcPr>
            <w:tcW w:w="1555" w:type="dxa"/>
            <w:gridSpan w:val="2"/>
            <w:vAlign w:val="center"/>
          </w:tcPr>
          <w:p w14:paraId="5BCC362E" w14:textId="454D3ACB" w:rsidR="0094386E" w:rsidRPr="006C69FF" w:rsidRDefault="0094386E" w:rsidP="004F40DC">
            <w:pPr>
              <w:jc w:val="center"/>
              <w:rPr>
                <w:rFonts w:ascii="Arial Narrow" w:hAnsi="Arial Narrow"/>
                <w:sz w:val="20"/>
                <w:szCs w:val="20"/>
              </w:rPr>
            </w:pPr>
          </w:p>
        </w:tc>
        <w:tc>
          <w:tcPr>
            <w:tcW w:w="7461" w:type="dxa"/>
            <w:gridSpan w:val="6"/>
            <w:vAlign w:val="center"/>
          </w:tcPr>
          <w:p w14:paraId="44477B1F" w14:textId="67B6DA7F" w:rsidR="0094386E" w:rsidRPr="006C69FF" w:rsidRDefault="00777E07" w:rsidP="004F40DC">
            <w:pPr>
              <w:rPr>
                <w:rFonts w:ascii="Arial Narrow" w:hAnsi="Arial Narrow"/>
                <w:b/>
                <w:bCs/>
                <w:sz w:val="20"/>
                <w:szCs w:val="20"/>
              </w:rPr>
            </w:pPr>
            <w:r w:rsidRPr="006C69FF">
              <w:rPr>
                <w:rFonts w:ascii="Arial Narrow" w:hAnsi="Arial Narrow"/>
                <w:b/>
                <w:bCs/>
                <w:sz w:val="20"/>
                <w:szCs w:val="20"/>
              </w:rPr>
              <w:t>Clinical criteria:</w:t>
            </w:r>
          </w:p>
        </w:tc>
      </w:tr>
      <w:tr w:rsidR="00777E07" w:rsidRPr="006C69FF" w14:paraId="2CF6487D" w14:textId="77777777" w:rsidTr="00FF4C70">
        <w:trPr>
          <w:trHeight w:val="20"/>
        </w:trPr>
        <w:tc>
          <w:tcPr>
            <w:tcW w:w="1555" w:type="dxa"/>
            <w:gridSpan w:val="2"/>
            <w:vAlign w:val="center"/>
          </w:tcPr>
          <w:p w14:paraId="33F5AFE3" w14:textId="0783BEDE" w:rsidR="00777E07" w:rsidRPr="006C69FF" w:rsidRDefault="00777E07" w:rsidP="004F40DC">
            <w:pPr>
              <w:jc w:val="center"/>
              <w:rPr>
                <w:rFonts w:ascii="Arial Narrow" w:hAnsi="Arial Narrow"/>
                <w:sz w:val="20"/>
                <w:szCs w:val="20"/>
              </w:rPr>
            </w:pPr>
          </w:p>
        </w:tc>
        <w:tc>
          <w:tcPr>
            <w:tcW w:w="7461" w:type="dxa"/>
            <w:gridSpan w:val="6"/>
            <w:vAlign w:val="center"/>
          </w:tcPr>
          <w:p w14:paraId="7369628A" w14:textId="2BAEFDAF" w:rsidR="00777E07" w:rsidRPr="006C69FF" w:rsidRDefault="00777E07" w:rsidP="004F40DC">
            <w:pPr>
              <w:rPr>
                <w:rFonts w:ascii="Arial Narrow" w:hAnsi="Arial Narrow"/>
                <w:sz w:val="20"/>
                <w:szCs w:val="20"/>
              </w:rPr>
            </w:pPr>
            <w:r w:rsidRPr="006C69FF">
              <w:rPr>
                <w:rFonts w:ascii="Arial Narrow" w:hAnsi="Arial Narrow"/>
                <w:sz w:val="20"/>
                <w:szCs w:val="20"/>
              </w:rPr>
              <w:t>Patient must not have undergone a tracheostomy</w:t>
            </w:r>
          </w:p>
        </w:tc>
      </w:tr>
      <w:tr w:rsidR="00777E07" w:rsidRPr="006C69FF" w14:paraId="558EBBA9" w14:textId="77777777" w:rsidTr="00FF4C70">
        <w:trPr>
          <w:trHeight w:val="20"/>
        </w:trPr>
        <w:tc>
          <w:tcPr>
            <w:tcW w:w="1555" w:type="dxa"/>
            <w:gridSpan w:val="2"/>
            <w:vAlign w:val="center"/>
          </w:tcPr>
          <w:p w14:paraId="22A6DE58" w14:textId="77777777" w:rsidR="00777E07" w:rsidRPr="006C69FF" w:rsidRDefault="00777E07" w:rsidP="004F40DC">
            <w:pPr>
              <w:jc w:val="center"/>
              <w:rPr>
                <w:rFonts w:ascii="Arial Narrow" w:hAnsi="Arial Narrow"/>
                <w:sz w:val="20"/>
                <w:szCs w:val="20"/>
              </w:rPr>
            </w:pPr>
          </w:p>
        </w:tc>
        <w:tc>
          <w:tcPr>
            <w:tcW w:w="7461" w:type="dxa"/>
            <w:gridSpan w:val="6"/>
            <w:vAlign w:val="center"/>
          </w:tcPr>
          <w:p w14:paraId="76AC92F5" w14:textId="3DCEA486" w:rsidR="00777E07" w:rsidRPr="006C69FF" w:rsidRDefault="00777E07" w:rsidP="004F40DC">
            <w:pPr>
              <w:rPr>
                <w:rFonts w:ascii="Arial Narrow" w:hAnsi="Arial Narrow"/>
                <w:sz w:val="20"/>
                <w:szCs w:val="20"/>
              </w:rPr>
            </w:pPr>
            <w:r w:rsidRPr="006C69FF">
              <w:rPr>
                <w:rFonts w:ascii="Arial Narrow" w:hAnsi="Arial Narrow"/>
                <w:b/>
                <w:bCs/>
                <w:sz w:val="20"/>
                <w:szCs w:val="20"/>
              </w:rPr>
              <w:t>AND</w:t>
            </w:r>
          </w:p>
        </w:tc>
      </w:tr>
      <w:tr w:rsidR="00777E07" w:rsidRPr="006C69FF" w14:paraId="06793EA5" w14:textId="77777777" w:rsidTr="00FF4C70">
        <w:trPr>
          <w:trHeight w:val="20"/>
        </w:trPr>
        <w:tc>
          <w:tcPr>
            <w:tcW w:w="1555" w:type="dxa"/>
            <w:gridSpan w:val="2"/>
            <w:vAlign w:val="center"/>
          </w:tcPr>
          <w:p w14:paraId="54AEADE6" w14:textId="628CFBF1" w:rsidR="00777E07" w:rsidRPr="006C69FF" w:rsidRDefault="00777E07" w:rsidP="004F40DC">
            <w:pPr>
              <w:jc w:val="center"/>
              <w:rPr>
                <w:rFonts w:ascii="Arial Narrow" w:hAnsi="Arial Narrow"/>
                <w:sz w:val="20"/>
                <w:szCs w:val="20"/>
              </w:rPr>
            </w:pPr>
          </w:p>
        </w:tc>
        <w:tc>
          <w:tcPr>
            <w:tcW w:w="7461" w:type="dxa"/>
            <w:gridSpan w:val="6"/>
            <w:vAlign w:val="center"/>
          </w:tcPr>
          <w:p w14:paraId="4C522599" w14:textId="4D61B68A" w:rsidR="00777E07" w:rsidRPr="006C69FF" w:rsidRDefault="00777E07" w:rsidP="004F40DC">
            <w:pPr>
              <w:rPr>
                <w:rFonts w:ascii="Arial Narrow" w:hAnsi="Arial Narrow"/>
                <w:b/>
                <w:bCs/>
                <w:sz w:val="20"/>
                <w:szCs w:val="20"/>
              </w:rPr>
            </w:pPr>
            <w:r w:rsidRPr="006C69FF">
              <w:rPr>
                <w:rFonts w:ascii="Arial Narrow" w:hAnsi="Arial Narrow"/>
                <w:b/>
                <w:bCs/>
                <w:sz w:val="20"/>
                <w:szCs w:val="20"/>
              </w:rPr>
              <w:t>Clinical criteria:</w:t>
            </w:r>
          </w:p>
        </w:tc>
      </w:tr>
      <w:tr w:rsidR="00BF287D" w:rsidRPr="006C69FF" w14:paraId="29AF3BC8" w14:textId="77777777" w:rsidTr="00FF4C70">
        <w:trPr>
          <w:trHeight w:val="20"/>
        </w:trPr>
        <w:tc>
          <w:tcPr>
            <w:tcW w:w="1555" w:type="dxa"/>
            <w:gridSpan w:val="2"/>
            <w:vAlign w:val="center"/>
          </w:tcPr>
          <w:p w14:paraId="089C1161" w14:textId="039BB461" w:rsidR="00BF287D" w:rsidRPr="006C69FF" w:rsidRDefault="00BF287D" w:rsidP="004F40DC">
            <w:pPr>
              <w:jc w:val="center"/>
              <w:rPr>
                <w:rFonts w:ascii="Arial Narrow" w:hAnsi="Arial Narrow"/>
                <w:sz w:val="20"/>
                <w:szCs w:val="20"/>
              </w:rPr>
            </w:pPr>
          </w:p>
        </w:tc>
        <w:tc>
          <w:tcPr>
            <w:tcW w:w="7461" w:type="dxa"/>
            <w:gridSpan w:val="6"/>
            <w:vAlign w:val="center"/>
          </w:tcPr>
          <w:p w14:paraId="66536DFC" w14:textId="655EF051" w:rsidR="00BF287D" w:rsidRPr="006C69FF" w:rsidRDefault="00BF287D" w:rsidP="004F40DC">
            <w:pPr>
              <w:rPr>
                <w:rFonts w:ascii="Arial Narrow" w:hAnsi="Arial Narrow"/>
                <w:sz w:val="20"/>
                <w:szCs w:val="20"/>
              </w:rPr>
            </w:pPr>
            <w:r w:rsidRPr="006C69FF">
              <w:rPr>
                <w:rFonts w:ascii="Arial Narrow" w:hAnsi="Arial Narrow"/>
                <w:sz w:val="20"/>
                <w:szCs w:val="20"/>
              </w:rPr>
              <w:t>Patient must not have experienced respiratory failure</w:t>
            </w:r>
          </w:p>
        </w:tc>
      </w:tr>
      <w:tr w:rsidR="00AA24E9" w:rsidRPr="006C69FF" w14:paraId="6B0A2426" w14:textId="77777777" w:rsidTr="00FF4C70">
        <w:trPr>
          <w:trHeight w:val="20"/>
        </w:trPr>
        <w:tc>
          <w:tcPr>
            <w:tcW w:w="1555" w:type="dxa"/>
            <w:gridSpan w:val="2"/>
            <w:vAlign w:val="center"/>
            <w:hideMark/>
          </w:tcPr>
          <w:p w14:paraId="7D80A52A" w14:textId="29357957" w:rsidR="00AA24E9" w:rsidRPr="006C69FF" w:rsidRDefault="00AA24E9" w:rsidP="004F40DC">
            <w:pPr>
              <w:jc w:val="center"/>
              <w:rPr>
                <w:rFonts w:ascii="Arial Narrow" w:hAnsi="Arial Narrow"/>
                <w:sz w:val="20"/>
                <w:szCs w:val="20"/>
              </w:rPr>
            </w:pPr>
          </w:p>
        </w:tc>
        <w:tc>
          <w:tcPr>
            <w:tcW w:w="7461" w:type="dxa"/>
            <w:gridSpan w:val="6"/>
            <w:vAlign w:val="center"/>
            <w:hideMark/>
          </w:tcPr>
          <w:p w14:paraId="4B4D2ED3" w14:textId="2E3942FB" w:rsidR="00AA24E9" w:rsidRPr="006C69FF" w:rsidRDefault="00AA24E9" w:rsidP="004F40DC">
            <w:pPr>
              <w:rPr>
                <w:rFonts w:ascii="Arial Narrow" w:hAnsi="Arial Narrow"/>
                <w:sz w:val="20"/>
                <w:szCs w:val="20"/>
              </w:rPr>
            </w:pPr>
            <w:r w:rsidRPr="006C69FF">
              <w:rPr>
                <w:rFonts w:ascii="Arial Narrow" w:hAnsi="Arial Narrow"/>
                <w:b/>
                <w:bCs/>
                <w:sz w:val="20"/>
                <w:szCs w:val="20"/>
              </w:rPr>
              <w:t xml:space="preserve">Prescribing Instructions: </w:t>
            </w:r>
            <w:r w:rsidR="00C03F5D" w:rsidRPr="006C69FF">
              <w:rPr>
                <w:rFonts w:ascii="Arial Narrow" w:hAnsi="Arial Narrow"/>
                <w:sz w:val="20"/>
                <w:szCs w:val="20"/>
              </w:rPr>
              <w:t>The date of diagnosis, the date and results of spirometry (in terms of percent of predicted forced vital capacity or slow vital capacity) must be supplied with the initial authority application.</w:t>
            </w:r>
          </w:p>
        </w:tc>
      </w:tr>
    </w:tbl>
    <w:p w14:paraId="2FE51EEB" w14:textId="4211BAB2" w:rsidR="00B14D8C" w:rsidRPr="00B169A7" w:rsidRDefault="00CE1A9C" w:rsidP="009A0D2B">
      <w:pPr>
        <w:pStyle w:val="3-BodyText"/>
        <w:numPr>
          <w:ilvl w:val="1"/>
          <w:numId w:val="1"/>
        </w:numPr>
        <w:rPr>
          <w:rFonts w:ascii="Arial Narrow" w:hAnsi="Arial Narrow"/>
          <w:color w:val="FF0000"/>
          <w:sz w:val="20"/>
          <w:szCs w:val="20"/>
        </w:rPr>
      </w:pPr>
      <w:r w:rsidRPr="00CE1A9C">
        <w:t xml:space="preserve">The submission also proposed two alternative options to allow grandfathering of patients who commenced </w:t>
      </w:r>
      <w:proofErr w:type="spellStart"/>
      <w:r w:rsidRPr="00CE1A9C">
        <w:t>edaravone</w:t>
      </w:r>
      <w:proofErr w:type="spellEnd"/>
      <w:r w:rsidRPr="00CE1A9C">
        <w:t xml:space="preserve"> therapy privately prior to PBS listing,</w:t>
      </w:r>
      <w:r w:rsidR="001E2603">
        <w:t xml:space="preserve"> </w:t>
      </w:r>
      <w:r w:rsidR="001E2603" w:rsidRPr="001E2603">
        <w:t>ensuring their continued access to subsidised treatment.</w:t>
      </w:r>
      <w:r w:rsidR="001E2603">
        <w:t xml:space="preserve"> </w:t>
      </w:r>
    </w:p>
    <w:p w14:paraId="3CD56416" w14:textId="124C4C66" w:rsidR="00F90AAC" w:rsidRPr="00BB7595" w:rsidRDefault="00381C26" w:rsidP="009A0D2B">
      <w:pPr>
        <w:pStyle w:val="ListParagraph"/>
        <w:numPr>
          <w:ilvl w:val="0"/>
          <w:numId w:val="17"/>
        </w:numPr>
        <w:rPr>
          <w:rFonts w:cstheme="minorHAnsi"/>
          <w:iCs/>
        </w:rPr>
      </w:pPr>
      <w:r w:rsidRPr="00BB7595">
        <w:rPr>
          <w:rFonts w:cstheme="minorHAnsi"/>
          <w:iCs/>
        </w:rPr>
        <w:t>Amend the existing Section 100 HSD CA listing for continuing treatment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562"/>
        <w:gridCol w:w="709"/>
        <w:gridCol w:w="2552"/>
        <w:gridCol w:w="927"/>
        <w:gridCol w:w="812"/>
        <w:gridCol w:w="811"/>
        <w:gridCol w:w="812"/>
        <w:gridCol w:w="1831"/>
      </w:tblGrid>
      <w:tr w:rsidR="00240249" w:rsidRPr="00965D91" w14:paraId="4E30377D" w14:textId="77777777" w:rsidTr="004F40DC">
        <w:trPr>
          <w:cantSplit/>
          <w:trHeight w:val="20"/>
        </w:trPr>
        <w:tc>
          <w:tcPr>
            <w:tcW w:w="3823" w:type="dxa"/>
            <w:gridSpan w:val="3"/>
            <w:vAlign w:val="center"/>
          </w:tcPr>
          <w:p w14:paraId="2307AE4D" w14:textId="77777777" w:rsidR="00240249" w:rsidRPr="00965D91" w:rsidRDefault="00240249" w:rsidP="00B34F5F">
            <w:pPr>
              <w:keepNext/>
              <w:keepLines/>
              <w:rPr>
                <w:rFonts w:ascii="Arial Narrow" w:hAnsi="Arial Narrow" w:cs="Arial"/>
                <w:b/>
                <w:bCs/>
                <w:sz w:val="20"/>
                <w:szCs w:val="20"/>
              </w:rPr>
            </w:pPr>
            <w:r w:rsidRPr="00965D91">
              <w:rPr>
                <w:rFonts w:ascii="Arial Narrow" w:hAnsi="Arial Narrow" w:cs="Arial"/>
                <w:b/>
                <w:bCs/>
                <w:sz w:val="20"/>
                <w:szCs w:val="20"/>
              </w:rPr>
              <w:lastRenderedPageBreak/>
              <w:t>MEDICINAL PRODUCT</w:t>
            </w:r>
          </w:p>
          <w:p w14:paraId="78B68C8C" w14:textId="77777777" w:rsidR="00240249" w:rsidRPr="00965D91" w:rsidRDefault="00240249" w:rsidP="00B34F5F">
            <w:pPr>
              <w:keepNext/>
              <w:keepLines/>
              <w:rPr>
                <w:rFonts w:ascii="Arial Narrow" w:hAnsi="Arial Narrow" w:cs="Arial"/>
                <w:b/>
                <w:sz w:val="20"/>
                <w:szCs w:val="20"/>
              </w:rPr>
            </w:pPr>
            <w:r w:rsidRPr="00965D91">
              <w:rPr>
                <w:rFonts w:ascii="Arial Narrow" w:hAnsi="Arial Narrow" w:cs="Arial"/>
                <w:b/>
                <w:bCs/>
                <w:sz w:val="20"/>
                <w:szCs w:val="20"/>
              </w:rPr>
              <w:t>medicinal product pack</w:t>
            </w:r>
          </w:p>
        </w:tc>
        <w:tc>
          <w:tcPr>
            <w:tcW w:w="927" w:type="dxa"/>
            <w:vAlign w:val="center"/>
          </w:tcPr>
          <w:p w14:paraId="0E3AC921" w14:textId="77777777" w:rsidR="00240249" w:rsidRPr="00965D91" w:rsidRDefault="00240249" w:rsidP="00B34F5F">
            <w:pPr>
              <w:keepNext/>
              <w:keepLines/>
              <w:jc w:val="center"/>
              <w:rPr>
                <w:rFonts w:ascii="Arial Narrow" w:hAnsi="Arial Narrow" w:cs="Arial"/>
                <w:b/>
                <w:sz w:val="20"/>
                <w:szCs w:val="20"/>
              </w:rPr>
            </w:pPr>
            <w:r w:rsidRPr="00965D91">
              <w:rPr>
                <w:rFonts w:ascii="Arial Narrow" w:hAnsi="Arial Narrow" w:cs="Arial"/>
                <w:b/>
                <w:sz w:val="20"/>
                <w:szCs w:val="20"/>
              </w:rPr>
              <w:t>PBS item code</w:t>
            </w:r>
          </w:p>
        </w:tc>
        <w:tc>
          <w:tcPr>
            <w:tcW w:w="812" w:type="dxa"/>
            <w:vAlign w:val="center"/>
          </w:tcPr>
          <w:p w14:paraId="0042AA9E" w14:textId="77777777" w:rsidR="00240249" w:rsidRPr="00965D91" w:rsidRDefault="00240249" w:rsidP="00B34F5F">
            <w:pPr>
              <w:keepNext/>
              <w:keepLines/>
              <w:jc w:val="center"/>
              <w:rPr>
                <w:rFonts w:ascii="Arial Narrow" w:hAnsi="Arial Narrow" w:cs="Arial"/>
                <w:b/>
                <w:sz w:val="20"/>
                <w:szCs w:val="20"/>
              </w:rPr>
            </w:pPr>
            <w:r w:rsidRPr="00965D91">
              <w:rPr>
                <w:rFonts w:ascii="Arial Narrow" w:hAnsi="Arial Narrow" w:cs="Arial"/>
                <w:b/>
                <w:sz w:val="20"/>
                <w:szCs w:val="20"/>
              </w:rPr>
              <w:t>Max. qty packs</w:t>
            </w:r>
          </w:p>
        </w:tc>
        <w:tc>
          <w:tcPr>
            <w:tcW w:w="811" w:type="dxa"/>
            <w:vAlign w:val="center"/>
          </w:tcPr>
          <w:p w14:paraId="189828A5" w14:textId="77777777" w:rsidR="00240249" w:rsidRPr="00965D91" w:rsidRDefault="00240249" w:rsidP="00B34F5F">
            <w:pPr>
              <w:keepNext/>
              <w:keepLines/>
              <w:jc w:val="center"/>
              <w:rPr>
                <w:rFonts w:ascii="Arial Narrow" w:hAnsi="Arial Narrow" w:cs="Arial"/>
                <w:b/>
                <w:sz w:val="20"/>
                <w:szCs w:val="20"/>
              </w:rPr>
            </w:pPr>
            <w:r w:rsidRPr="00965D91">
              <w:rPr>
                <w:rFonts w:ascii="Arial Narrow" w:hAnsi="Arial Narrow" w:cs="Arial"/>
                <w:b/>
                <w:sz w:val="20"/>
                <w:szCs w:val="20"/>
              </w:rPr>
              <w:t>Max. qty units</w:t>
            </w:r>
          </w:p>
        </w:tc>
        <w:tc>
          <w:tcPr>
            <w:tcW w:w="812" w:type="dxa"/>
            <w:vAlign w:val="center"/>
          </w:tcPr>
          <w:p w14:paraId="205C1318" w14:textId="77777777" w:rsidR="00240249" w:rsidRPr="00965D91" w:rsidRDefault="00240249" w:rsidP="00B34F5F">
            <w:pPr>
              <w:keepNext/>
              <w:keepLines/>
              <w:jc w:val="center"/>
              <w:rPr>
                <w:rFonts w:ascii="Arial Narrow" w:hAnsi="Arial Narrow" w:cs="Arial"/>
                <w:b/>
                <w:sz w:val="20"/>
                <w:szCs w:val="20"/>
              </w:rPr>
            </w:pPr>
            <w:proofErr w:type="gramStart"/>
            <w:r w:rsidRPr="00965D91">
              <w:rPr>
                <w:rFonts w:ascii="Arial Narrow" w:hAnsi="Arial Narrow" w:cs="Arial"/>
                <w:b/>
                <w:sz w:val="20"/>
                <w:szCs w:val="20"/>
              </w:rPr>
              <w:t>№.of</w:t>
            </w:r>
            <w:proofErr w:type="gramEnd"/>
          </w:p>
          <w:p w14:paraId="075536B4" w14:textId="77777777" w:rsidR="00240249" w:rsidRPr="00965D91" w:rsidRDefault="00240249" w:rsidP="00B34F5F">
            <w:pPr>
              <w:keepNext/>
              <w:keepLines/>
              <w:jc w:val="center"/>
              <w:rPr>
                <w:rFonts w:ascii="Arial Narrow" w:hAnsi="Arial Narrow" w:cs="Arial"/>
                <w:b/>
                <w:sz w:val="20"/>
                <w:szCs w:val="20"/>
              </w:rPr>
            </w:pPr>
            <w:proofErr w:type="spellStart"/>
            <w:r w:rsidRPr="00965D91">
              <w:rPr>
                <w:rFonts w:ascii="Arial Narrow" w:hAnsi="Arial Narrow" w:cs="Arial"/>
                <w:b/>
                <w:sz w:val="20"/>
                <w:szCs w:val="20"/>
              </w:rPr>
              <w:t>Rpts</w:t>
            </w:r>
            <w:proofErr w:type="spellEnd"/>
          </w:p>
        </w:tc>
        <w:tc>
          <w:tcPr>
            <w:tcW w:w="1831" w:type="dxa"/>
            <w:vAlign w:val="center"/>
          </w:tcPr>
          <w:p w14:paraId="6B2038CE" w14:textId="77777777" w:rsidR="00240249" w:rsidRPr="00965D91" w:rsidRDefault="00240249" w:rsidP="00B34F5F">
            <w:pPr>
              <w:keepNext/>
              <w:keepLines/>
              <w:rPr>
                <w:rFonts w:ascii="Arial Narrow" w:hAnsi="Arial Narrow" w:cs="Arial"/>
                <w:b/>
                <w:sz w:val="20"/>
                <w:szCs w:val="20"/>
                <w:lang w:val="fr-FR"/>
              </w:rPr>
            </w:pPr>
            <w:r w:rsidRPr="00965D91">
              <w:rPr>
                <w:rFonts w:ascii="Arial Narrow" w:hAnsi="Arial Narrow" w:cs="Arial"/>
                <w:b/>
                <w:sz w:val="20"/>
                <w:szCs w:val="20"/>
              </w:rPr>
              <w:t>Available brands</w:t>
            </w:r>
          </w:p>
        </w:tc>
      </w:tr>
      <w:tr w:rsidR="00240249" w:rsidRPr="00965D91" w14:paraId="2A7180F1" w14:textId="77777777" w:rsidTr="004F40DC">
        <w:trPr>
          <w:cantSplit/>
          <w:trHeight w:val="20"/>
        </w:trPr>
        <w:tc>
          <w:tcPr>
            <w:tcW w:w="9016" w:type="dxa"/>
            <w:gridSpan w:val="8"/>
            <w:vAlign w:val="center"/>
          </w:tcPr>
          <w:p w14:paraId="2ACD8B9B" w14:textId="77777777" w:rsidR="00240249" w:rsidRPr="00965D91" w:rsidRDefault="00240249" w:rsidP="00B34F5F">
            <w:pPr>
              <w:keepNext/>
              <w:keepLines/>
              <w:rPr>
                <w:rFonts w:ascii="Arial Narrow" w:hAnsi="Arial Narrow" w:cs="Arial"/>
                <w:sz w:val="20"/>
                <w:szCs w:val="20"/>
              </w:rPr>
            </w:pPr>
            <w:r w:rsidRPr="00965D91">
              <w:rPr>
                <w:rFonts w:ascii="Arial Narrow" w:hAnsi="Arial Narrow"/>
                <w:sz w:val="20"/>
                <w:szCs w:val="20"/>
              </w:rPr>
              <w:t>EDARAVONE</w:t>
            </w:r>
          </w:p>
        </w:tc>
      </w:tr>
      <w:tr w:rsidR="00240249" w:rsidRPr="00965D91" w14:paraId="4AC8D536" w14:textId="77777777" w:rsidTr="004F40DC">
        <w:trPr>
          <w:cantSplit/>
          <w:trHeight w:val="20"/>
        </w:trPr>
        <w:tc>
          <w:tcPr>
            <w:tcW w:w="3823" w:type="dxa"/>
            <w:gridSpan w:val="3"/>
            <w:vAlign w:val="center"/>
          </w:tcPr>
          <w:p w14:paraId="5F6C69E7" w14:textId="77777777" w:rsidR="00240249" w:rsidRPr="00965D91" w:rsidRDefault="00240249" w:rsidP="00B34F5F">
            <w:pPr>
              <w:keepNext/>
              <w:keepLines/>
              <w:rPr>
                <w:rFonts w:ascii="Arial Narrow" w:hAnsi="Arial Narrow" w:cs="Arial"/>
                <w:sz w:val="20"/>
                <w:szCs w:val="20"/>
              </w:rPr>
            </w:pPr>
            <w:proofErr w:type="spellStart"/>
            <w:r w:rsidRPr="00965D91">
              <w:rPr>
                <w:rFonts w:ascii="Arial Narrow" w:hAnsi="Arial Narrow" w:cs="Arial"/>
                <w:sz w:val="20"/>
                <w:szCs w:val="20"/>
              </w:rPr>
              <w:t>edaravone</w:t>
            </w:r>
            <w:proofErr w:type="spellEnd"/>
            <w:r w:rsidRPr="00965D91">
              <w:rPr>
                <w:rFonts w:ascii="Arial Narrow" w:hAnsi="Arial Narrow" w:cs="Arial"/>
                <w:sz w:val="20"/>
                <w:szCs w:val="20"/>
              </w:rPr>
              <w:t xml:space="preserve"> 30 mg/20 mL injection, 10 x 20 mL ampoules</w:t>
            </w:r>
          </w:p>
        </w:tc>
        <w:tc>
          <w:tcPr>
            <w:tcW w:w="927" w:type="dxa"/>
            <w:vAlign w:val="center"/>
          </w:tcPr>
          <w:p w14:paraId="5D27A047" w14:textId="4F1B86AF" w:rsidR="00240249" w:rsidRPr="00965D91" w:rsidRDefault="002B3032" w:rsidP="00B34F5F">
            <w:pPr>
              <w:keepNext/>
              <w:keepLines/>
              <w:jc w:val="center"/>
              <w:rPr>
                <w:rFonts w:ascii="Arial Narrow" w:hAnsi="Arial Narrow" w:cs="Arial"/>
                <w:sz w:val="20"/>
                <w:szCs w:val="20"/>
              </w:rPr>
            </w:pPr>
            <w:r w:rsidRPr="00965D91">
              <w:rPr>
                <w:rFonts w:ascii="Arial Narrow" w:hAnsi="Arial Narrow" w:cs="Arial"/>
                <w:sz w:val="20"/>
                <w:szCs w:val="20"/>
              </w:rPr>
              <w:t>14806G</w:t>
            </w:r>
          </w:p>
        </w:tc>
        <w:tc>
          <w:tcPr>
            <w:tcW w:w="812" w:type="dxa"/>
            <w:vAlign w:val="center"/>
          </w:tcPr>
          <w:p w14:paraId="543CAA12" w14:textId="4558832A" w:rsidR="00240249" w:rsidRPr="00965D91" w:rsidRDefault="00240249" w:rsidP="00B34F5F">
            <w:pPr>
              <w:keepNext/>
              <w:keepLines/>
              <w:jc w:val="center"/>
              <w:rPr>
                <w:rFonts w:ascii="Arial Narrow" w:hAnsi="Arial Narrow" w:cs="Arial"/>
                <w:sz w:val="20"/>
                <w:szCs w:val="20"/>
              </w:rPr>
            </w:pPr>
            <w:r w:rsidRPr="00965D91">
              <w:rPr>
                <w:rFonts w:ascii="Arial Narrow" w:hAnsi="Arial Narrow"/>
                <w:sz w:val="20"/>
                <w:szCs w:val="20"/>
              </w:rPr>
              <w:t>2</w:t>
            </w:r>
          </w:p>
        </w:tc>
        <w:tc>
          <w:tcPr>
            <w:tcW w:w="811" w:type="dxa"/>
            <w:vAlign w:val="center"/>
          </w:tcPr>
          <w:p w14:paraId="36554C0E" w14:textId="3000B648" w:rsidR="00240249" w:rsidRPr="00965D91" w:rsidRDefault="00240249" w:rsidP="00B34F5F">
            <w:pPr>
              <w:keepNext/>
              <w:keepLines/>
              <w:jc w:val="center"/>
              <w:rPr>
                <w:rFonts w:ascii="Arial Narrow" w:hAnsi="Arial Narrow" w:cs="Arial"/>
                <w:sz w:val="20"/>
                <w:szCs w:val="20"/>
              </w:rPr>
            </w:pPr>
            <w:r w:rsidRPr="00965D91">
              <w:rPr>
                <w:rFonts w:ascii="Arial Narrow" w:hAnsi="Arial Narrow"/>
                <w:sz w:val="20"/>
                <w:szCs w:val="20"/>
              </w:rPr>
              <w:t>2</w:t>
            </w:r>
            <w:r w:rsidR="002B3032" w:rsidRPr="00965D91">
              <w:rPr>
                <w:rFonts w:ascii="Arial Narrow" w:hAnsi="Arial Narrow"/>
                <w:sz w:val="20"/>
                <w:szCs w:val="20"/>
              </w:rPr>
              <w:t>0</w:t>
            </w:r>
          </w:p>
        </w:tc>
        <w:tc>
          <w:tcPr>
            <w:tcW w:w="812" w:type="dxa"/>
            <w:vAlign w:val="center"/>
          </w:tcPr>
          <w:p w14:paraId="015394EC" w14:textId="73E2BC96" w:rsidR="00240249" w:rsidRPr="00965D91" w:rsidRDefault="002B3032" w:rsidP="00B34F5F">
            <w:pPr>
              <w:keepNext/>
              <w:keepLines/>
              <w:jc w:val="center"/>
              <w:rPr>
                <w:rFonts w:ascii="Arial Narrow" w:hAnsi="Arial Narrow" w:cs="Arial"/>
                <w:sz w:val="20"/>
                <w:szCs w:val="20"/>
              </w:rPr>
            </w:pPr>
            <w:r w:rsidRPr="00965D91">
              <w:rPr>
                <w:rFonts w:ascii="Arial Narrow" w:hAnsi="Arial Narrow"/>
                <w:sz w:val="20"/>
                <w:szCs w:val="20"/>
              </w:rPr>
              <w:t>2</w:t>
            </w:r>
          </w:p>
        </w:tc>
        <w:tc>
          <w:tcPr>
            <w:tcW w:w="1831" w:type="dxa"/>
            <w:vAlign w:val="center"/>
          </w:tcPr>
          <w:p w14:paraId="7E84E16C" w14:textId="77777777" w:rsidR="00240249" w:rsidRPr="00965D91" w:rsidRDefault="00240249" w:rsidP="00B34F5F">
            <w:pPr>
              <w:keepNext/>
              <w:keepLines/>
              <w:rPr>
                <w:rFonts w:ascii="Arial Narrow" w:hAnsi="Arial Narrow" w:cs="Arial"/>
                <w:sz w:val="20"/>
                <w:szCs w:val="20"/>
              </w:rPr>
            </w:pPr>
            <w:proofErr w:type="spellStart"/>
            <w:r w:rsidRPr="00965D91">
              <w:rPr>
                <w:rFonts w:ascii="Arial Narrow" w:hAnsi="Arial Narrow"/>
                <w:sz w:val="20"/>
                <w:szCs w:val="20"/>
              </w:rPr>
              <w:t>Radicava</w:t>
            </w:r>
            <w:proofErr w:type="spellEnd"/>
          </w:p>
        </w:tc>
      </w:tr>
      <w:tr w:rsidR="00240249" w:rsidRPr="00965D91" w14:paraId="742E32A8" w14:textId="77777777" w:rsidTr="004F40DC">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5A84A11" w14:textId="77777777" w:rsidR="00240249" w:rsidRPr="00965D91" w:rsidRDefault="00240249" w:rsidP="00B34F5F">
            <w:pPr>
              <w:keepNext/>
              <w:rPr>
                <w:rFonts w:ascii="Arial Narrow" w:hAnsi="Arial Narrow" w:cs="Arial"/>
                <w:sz w:val="20"/>
                <w:szCs w:val="20"/>
              </w:rPr>
            </w:pPr>
          </w:p>
        </w:tc>
      </w:tr>
      <w:tr w:rsidR="00240249" w:rsidRPr="00965D91" w14:paraId="49436493" w14:textId="77777777" w:rsidTr="004F40DC">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22B159C3" w14:textId="77777777" w:rsidR="00240249" w:rsidRPr="00965D91" w:rsidRDefault="00240249" w:rsidP="00B34F5F">
            <w:pPr>
              <w:keepNext/>
              <w:jc w:val="center"/>
              <w:rPr>
                <w:rFonts w:ascii="Arial Narrow" w:hAnsi="Arial Narrow" w:cs="Arial"/>
                <w:b/>
                <w:sz w:val="20"/>
                <w:szCs w:val="20"/>
              </w:rPr>
            </w:pPr>
            <w:r w:rsidRPr="00965D91">
              <w:rPr>
                <w:rFonts w:ascii="Arial Narrow" w:hAnsi="Arial Narrow" w:cs="Arial"/>
                <w:b/>
                <w:sz w:val="20"/>
                <w:szCs w:val="20"/>
              </w:rPr>
              <w:t xml:space="preserve">Concept ID </w:t>
            </w:r>
            <w:r w:rsidRPr="00965D91">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CD5BB2" w14:textId="77777777" w:rsidR="00240249" w:rsidRPr="00965D91" w:rsidRDefault="00240249" w:rsidP="00B34F5F">
            <w:pPr>
              <w:keepNext/>
              <w:keepLines/>
              <w:jc w:val="left"/>
              <w:rPr>
                <w:rFonts w:ascii="Arial Narrow" w:hAnsi="Arial Narrow" w:cs="Arial"/>
                <w:sz w:val="20"/>
                <w:szCs w:val="20"/>
              </w:rPr>
            </w:pPr>
            <w:r w:rsidRPr="00965D91">
              <w:rPr>
                <w:rFonts w:ascii="Arial Narrow" w:eastAsia="Calibri" w:hAnsi="Arial Narrow" w:cs="Arial"/>
                <w:sz w:val="20"/>
                <w:szCs w:val="20"/>
              </w:rPr>
              <w:fldChar w:fldCharType="begin">
                <w:ffData>
                  <w:name w:val=""/>
                  <w:enabled/>
                  <w:calcOnExit w:val="0"/>
                  <w:checkBox>
                    <w:sizeAuto/>
                    <w:default w:val="1"/>
                  </w:checkBox>
                </w:ffData>
              </w:fldChar>
            </w:r>
            <w:r w:rsidRPr="00965D91">
              <w:rPr>
                <w:rFonts w:ascii="Arial Narrow" w:eastAsia="Calibri" w:hAnsi="Arial Narrow" w:cs="Arial"/>
                <w:sz w:val="20"/>
                <w:szCs w:val="20"/>
              </w:rPr>
              <w:instrText xml:space="preserve"> FORMCHECKBOX </w:instrText>
            </w:r>
            <w:r w:rsidRPr="00965D91">
              <w:rPr>
                <w:rFonts w:ascii="Arial Narrow" w:eastAsia="Calibri" w:hAnsi="Arial Narrow" w:cs="Arial"/>
                <w:sz w:val="20"/>
                <w:szCs w:val="20"/>
              </w:rPr>
            </w:r>
            <w:r w:rsidRPr="00965D91">
              <w:rPr>
                <w:rFonts w:ascii="Arial Narrow" w:eastAsia="Calibri" w:hAnsi="Arial Narrow" w:cs="Arial"/>
                <w:sz w:val="20"/>
                <w:szCs w:val="20"/>
              </w:rPr>
              <w:fldChar w:fldCharType="separate"/>
            </w:r>
            <w:r w:rsidRPr="00965D91">
              <w:rPr>
                <w:rFonts w:ascii="Arial Narrow" w:eastAsia="Calibri" w:hAnsi="Arial Narrow" w:cs="Arial"/>
                <w:sz w:val="20"/>
                <w:szCs w:val="20"/>
              </w:rPr>
              <w:fldChar w:fldCharType="end"/>
            </w:r>
            <w:r w:rsidRPr="00965D91">
              <w:rPr>
                <w:rFonts w:ascii="Arial Narrow" w:hAnsi="Arial Narrow" w:cs="Arial"/>
                <w:sz w:val="20"/>
                <w:szCs w:val="20"/>
              </w:rPr>
              <w:t xml:space="preserve"> Section 100 – Highly Specialised Drugs Program - Community Access (Code CA) </w:t>
            </w:r>
          </w:p>
        </w:tc>
      </w:tr>
      <w:tr w:rsidR="00240249" w:rsidRPr="00965D91" w14:paraId="6CF65AB6" w14:textId="77777777" w:rsidTr="004F40D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39763BFC" w14:textId="77777777" w:rsidR="00240249" w:rsidRPr="00965D91" w:rsidRDefault="00240249" w:rsidP="00B34F5F">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E8118F" w14:textId="77777777" w:rsidR="00240249" w:rsidRPr="00965D91" w:rsidRDefault="00240249" w:rsidP="00B34F5F">
            <w:pPr>
              <w:keepNext/>
              <w:keepLines/>
              <w:rPr>
                <w:rFonts w:ascii="Arial Narrow" w:hAnsi="Arial Narrow" w:cs="Arial"/>
                <w:b/>
                <w:sz w:val="20"/>
                <w:szCs w:val="20"/>
              </w:rPr>
            </w:pPr>
            <w:r w:rsidRPr="00965D91">
              <w:rPr>
                <w:rFonts w:ascii="Arial Narrow" w:hAnsi="Arial Narrow" w:cs="Arial"/>
                <w:b/>
                <w:sz w:val="20"/>
                <w:szCs w:val="20"/>
              </w:rPr>
              <w:t>Prescriber type:</w:t>
            </w:r>
            <w:r w:rsidRPr="00965D91">
              <w:rPr>
                <w:rFonts w:ascii="Arial Narrow" w:hAnsi="Arial Narrow" w:cs="Arial"/>
                <w:sz w:val="20"/>
                <w:szCs w:val="20"/>
              </w:rPr>
              <w:t xml:space="preserve"> </w:t>
            </w:r>
            <w:r w:rsidRPr="00965D91">
              <w:rPr>
                <w:rFonts w:ascii="Arial Narrow" w:hAnsi="Arial Narrow" w:cs="Arial"/>
                <w:sz w:val="20"/>
                <w:szCs w:val="20"/>
              </w:rPr>
              <w:fldChar w:fldCharType="begin">
                <w:ffData>
                  <w:name w:val=""/>
                  <w:enabled/>
                  <w:calcOnExit w:val="0"/>
                  <w:checkBox>
                    <w:sizeAuto/>
                    <w:default w:val="1"/>
                  </w:checkBox>
                </w:ffData>
              </w:fldChar>
            </w:r>
            <w:r w:rsidRPr="00965D91">
              <w:rPr>
                <w:rFonts w:ascii="Arial Narrow" w:hAnsi="Arial Narrow" w:cs="Arial"/>
                <w:sz w:val="20"/>
                <w:szCs w:val="20"/>
              </w:rPr>
              <w:instrText xml:space="preserve"> FORMCHECKBOX </w:instrText>
            </w:r>
            <w:r w:rsidRPr="00965D91">
              <w:rPr>
                <w:rFonts w:ascii="Arial Narrow" w:hAnsi="Arial Narrow" w:cs="Arial"/>
                <w:sz w:val="20"/>
                <w:szCs w:val="20"/>
              </w:rPr>
            </w:r>
            <w:r w:rsidRPr="00965D91">
              <w:rPr>
                <w:rFonts w:ascii="Arial Narrow" w:hAnsi="Arial Narrow" w:cs="Arial"/>
                <w:sz w:val="20"/>
                <w:szCs w:val="20"/>
              </w:rPr>
              <w:fldChar w:fldCharType="separate"/>
            </w:r>
            <w:r w:rsidRPr="00965D91">
              <w:rPr>
                <w:rFonts w:ascii="Arial Narrow" w:hAnsi="Arial Narrow" w:cs="Arial"/>
                <w:sz w:val="20"/>
                <w:szCs w:val="20"/>
              </w:rPr>
              <w:fldChar w:fldCharType="end"/>
            </w:r>
            <w:r w:rsidRPr="00965D91">
              <w:rPr>
                <w:rFonts w:ascii="Arial Narrow" w:hAnsi="Arial Narrow" w:cs="Arial"/>
                <w:sz w:val="20"/>
                <w:szCs w:val="20"/>
              </w:rPr>
              <w:t xml:space="preserve">Medical Practitioners </w:t>
            </w:r>
          </w:p>
        </w:tc>
      </w:tr>
      <w:tr w:rsidR="00240249" w:rsidRPr="00965D91" w14:paraId="41020CB9" w14:textId="77777777" w:rsidTr="004F40D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202E80F" w14:textId="77777777" w:rsidR="00240249" w:rsidRPr="00965D91" w:rsidRDefault="00240249" w:rsidP="00B34F5F">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48D6FAE" w14:textId="77777777" w:rsidR="00240249" w:rsidRPr="00965D91" w:rsidRDefault="00240249" w:rsidP="00B34F5F">
            <w:pPr>
              <w:keepNext/>
              <w:keepLines/>
              <w:rPr>
                <w:rFonts w:ascii="Arial Narrow" w:eastAsia="Calibri" w:hAnsi="Arial Narrow" w:cs="Arial"/>
                <w:color w:val="FF0000"/>
                <w:sz w:val="20"/>
                <w:szCs w:val="20"/>
              </w:rPr>
            </w:pPr>
            <w:r w:rsidRPr="00965D91">
              <w:rPr>
                <w:rFonts w:ascii="Arial Narrow" w:hAnsi="Arial Narrow" w:cs="Arial"/>
                <w:b/>
                <w:sz w:val="20"/>
                <w:szCs w:val="20"/>
              </w:rPr>
              <w:t xml:space="preserve">Restriction type: </w:t>
            </w:r>
            <w:r w:rsidRPr="00965D91">
              <w:rPr>
                <w:rFonts w:ascii="Arial Narrow" w:eastAsia="Calibri" w:hAnsi="Arial Narrow" w:cs="Arial"/>
                <w:sz w:val="20"/>
                <w:szCs w:val="20"/>
              </w:rPr>
              <w:fldChar w:fldCharType="begin">
                <w:ffData>
                  <w:name w:val="Check3"/>
                  <w:enabled/>
                  <w:calcOnExit w:val="0"/>
                  <w:checkBox>
                    <w:sizeAuto/>
                    <w:default w:val="1"/>
                  </w:checkBox>
                </w:ffData>
              </w:fldChar>
            </w:r>
            <w:r w:rsidRPr="00965D91">
              <w:rPr>
                <w:rFonts w:ascii="Arial Narrow" w:eastAsia="Calibri" w:hAnsi="Arial Narrow" w:cs="Arial"/>
                <w:sz w:val="20"/>
                <w:szCs w:val="20"/>
              </w:rPr>
              <w:instrText xml:space="preserve"> FORMCHECKBOX </w:instrText>
            </w:r>
            <w:r w:rsidRPr="00965D91">
              <w:rPr>
                <w:rFonts w:ascii="Arial Narrow" w:eastAsia="Calibri" w:hAnsi="Arial Narrow" w:cs="Arial"/>
                <w:sz w:val="20"/>
                <w:szCs w:val="20"/>
              </w:rPr>
            </w:r>
            <w:r w:rsidRPr="00965D91">
              <w:rPr>
                <w:rFonts w:ascii="Arial Narrow" w:eastAsia="Calibri" w:hAnsi="Arial Narrow" w:cs="Arial"/>
                <w:sz w:val="20"/>
                <w:szCs w:val="20"/>
              </w:rPr>
              <w:fldChar w:fldCharType="separate"/>
            </w:r>
            <w:r w:rsidRPr="00965D91">
              <w:rPr>
                <w:rFonts w:ascii="Arial Narrow" w:eastAsia="Calibri" w:hAnsi="Arial Narrow" w:cs="Arial"/>
                <w:sz w:val="20"/>
                <w:szCs w:val="20"/>
              </w:rPr>
              <w:fldChar w:fldCharType="end"/>
            </w:r>
            <w:r w:rsidRPr="00965D91">
              <w:rPr>
                <w:rFonts w:ascii="Arial Narrow" w:eastAsia="Calibri" w:hAnsi="Arial Narrow" w:cs="Arial"/>
                <w:sz w:val="20"/>
                <w:szCs w:val="20"/>
              </w:rPr>
              <w:t xml:space="preserve">Authority Required (telephone/online PBS Authorities system) </w:t>
            </w:r>
          </w:p>
        </w:tc>
      </w:tr>
      <w:tr w:rsidR="00240249" w:rsidRPr="00965D91" w14:paraId="70C708F5" w14:textId="77777777" w:rsidTr="004F40D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06AEFCFD" w14:textId="77777777" w:rsidR="00240249" w:rsidRPr="00965D91" w:rsidRDefault="00240249" w:rsidP="00B34F5F">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22C18FB" w14:textId="77777777" w:rsidR="00240249" w:rsidRPr="00965D91" w:rsidRDefault="00240249" w:rsidP="00B34F5F">
            <w:pPr>
              <w:keepNext/>
              <w:keepLines/>
              <w:jc w:val="left"/>
              <w:rPr>
                <w:rFonts w:ascii="Arial Narrow" w:hAnsi="Arial Narrow" w:cs="Arial"/>
                <w:b/>
                <w:color w:val="FF0000"/>
                <w:sz w:val="20"/>
                <w:szCs w:val="20"/>
              </w:rPr>
            </w:pPr>
            <w:r w:rsidRPr="00965D91">
              <w:rPr>
                <w:rFonts w:ascii="Arial Narrow" w:hAnsi="Arial Narrow" w:cs="Arial"/>
                <w:b/>
                <w:sz w:val="20"/>
                <w:szCs w:val="20"/>
              </w:rPr>
              <w:t xml:space="preserve">Authority type: </w:t>
            </w:r>
            <w:r w:rsidRPr="00965D91">
              <w:rPr>
                <w:rFonts w:ascii="Arial Narrow" w:eastAsia="Calibri" w:hAnsi="Arial Narrow" w:cs="Arial"/>
                <w:sz w:val="20"/>
                <w:szCs w:val="20"/>
              </w:rPr>
              <w:fldChar w:fldCharType="begin">
                <w:ffData>
                  <w:name w:val="Check1"/>
                  <w:enabled/>
                  <w:calcOnExit w:val="0"/>
                  <w:checkBox>
                    <w:sizeAuto/>
                    <w:default w:val="1"/>
                  </w:checkBox>
                </w:ffData>
              </w:fldChar>
            </w:r>
            <w:r w:rsidRPr="00965D91">
              <w:rPr>
                <w:rFonts w:ascii="Arial Narrow" w:eastAsia="Calibri" w:hAnsi="Arial Narrow" w:cs="Arial"/>
                <w:sz w:val="20"/>
                <w:szCs w:val="20"/>
              </w:rPr>
              <w:instrText xml:space="preserve"> FORMCHECKBOX </w:instrText>
            </w:r>
            <w:r w:rsidRPr="00965D91">
              <w:rPr>
                <w:rFonts w:ascii="Arial Narrow" w:eastAsia="Calibri" w:hAnsi="Arial Narrow" w:cs="Arial"/>
                <w:sz w:val="20"/>
                <w:szCs w:val="20"/>
              </w:rPr>
            </w:r>
            <w:r w:rsidRPr="00965D91">
              <w:rPr>
                <w:rFonts w:ascii="Arial Narrow" w:eastAsia="Calibri" w:hAnsi="Arial Narrow" w:cs="Arial"/>
                <w:sz w:val="20"/>
                <w:szCs w:val="20"/>
              </w:rPr>
              <w:fldChar w:fldCharType="separate"/>
            </w:r>
            <w:r w:rsidRPr="00965D91">
              <w:rPr>
                <w:rFonts w:ascii="Arial Narrow" w:eastAsia="Calibri" w:hAnsi="Arial Narrow" w:cs="Arial"/>
                <w:sz w:val="20"/>
                <w:szCs w:val="20"/>
              </w:rPr>
              <w:fldChar w:fldCharType="end"/>
            </w:r>
            <w:r w:rsidRPr="00965D91">
              <w:rPr>
                <w:rFonts w:ascii="Arial Narrow" w:eastAsia="Calibri" w:hAnsi="Arial Narrow" w:cs="Arial"/>
                <w:sz w:val="20"/>
                <w:szCs w:val="20"/>
              </w:rPr>
              <w:t xml:space="preserve"> Non-complex Authority Required (non-CAR)</w:t>
            </w:r>
          </w:p>
        </w:tc>
      </w:tr>
      <w:tr w:rsidR="00240249" w:rsidRPr="00965D91" w14:paraId="50292378" w14:textId="77777777" w:rsidTr="00AA4EF1">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extDirection w:val="btLr"/>
            <w:vAlign w:val="center"/>
          </w:tcPr>
          <w:p w14:paraId="1EAF8C8E" w14:textId="77777777" w:rsidR="00240249" w:rsidRPr="00965D91" w:rsidRDefault="00240249" w:rsidP="00B34F5F">
            <w:pPr>
              <w:keepNext/>
              <w:jc w:val="center"/>
              <w:rPr>
                <w:rFonts w:ascii="Arial Narrow" w:hAnsi="Arial Narrow" w:cs="Arial"/>
                <w:sz w:val="20"/>
                <w:szCs w:val="20"/>
              </w:rPr>
            </w:pPr>
            <w:r w:rsidRPr="00965D91">
              <w:rPr>
                <w:rFonts w:ascii="Arial Narrow" w:hAnsi="Arial Narrow" w:cs="Arial"/>
                <w:sz w:val="20"/>
                <w:szCs w:val="20"/>
              </w:rPr>
              <w:t>Prescribing rule level</w:t>
            </w:r>
          </w:p>
        </w:tc>
        <w:tc>
          <w:tcPr>
            <w:tcW w:w="709" w:type="dxa"/>
            <w:vAlign w:val="center"/>
          </w:tcPr>
          <w:p w14:paraId="4FAFDD35" w14:textId="35B28F9E" w:rsidR="00240249" w:rsidRPr="00965D91" w:rsidRDefault="00240249" w:rsidP="00B34F5F">
            <w:pPr>
              <w:keepNext/>
              <w:jc w:val="center"/>
              <w:rPr>
                <w:rFonts w:ascii="Arial Narrow" w:hAnsi="Arial Narrow"/>
                <w:color w:val="333333"/>
                <w:sz w:val="20"/>
                <w:szCs w:val="20"/>
              </w:rPr>
            </w:pPr>
          </w:p>
        </w:tc>
        <w:tc>
          <w:tcPr>
            <w:tcW w:w="7745" w:type="dxa"/>
            <w:gridSpan w:val="6"/>
            <w:vAlign w:val="center"/>
          </w:tcPr>
          <w:p w14:paraId="28C607E2" w14:textId="77777777" w:rsidR="00240249" w:rsidRPr="00965D91" w:rsidRDefault="00240249" w:rsidP="00B34F5F">
            <w:pPr>
              <w:keepNext/>
              <w:rPr>
                <w:rFonts w:ascii="Arial Narrow" w:hAnsi="Arial Narrow"/>
                <w:sz w:val="20"/>
                <w:szCs w:val="20"/>
              </w:rPr>
            </w:pPr>
            <w:r w:rsidRPr="00965D91">
              <w:rPr>
                <w:rFonts w:ascii="Arial Narrow" w:hAnsi="Arial Narrow"/>
                <w:b/>
                <w:bCs/>
                <w:sz w:val="20"/>
                <w:szCs w:val="20"/>
              </w:rPr>
              <w:t xml:space="preserve">Administrative Advice: </w:t>
            </w:r>
            <w:r w:rsidRPr="00965D91">
              <w:rPr>
                <w:rFonts w:ascii="Arial Narrow" w:hAnsi="Arial Narrow"/>
                <w:bCs/>
                <w:sz w:val="20"/>
                <w:szCs w:val="20"/>
              </w:rPr>
              <w:t>No increase in the maximum quantity or number of units may be authorised.</w:t>
            </w:r>
          </w:p>
        </w:tc>
      </w:tr>
      <w:tr w:rsidR="00240249" w:rsidRPr="00965D91" w14:paraId="3AB19579" w14:textId="77777777" w:rsidTr="00AA4EF1">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right w:val="single" w:sz="4" w:space="0" w:color="auto"/>
            </w:tcBorders>
          </w:tcPr>
          <w:p w14:paraId="55429F8A" w14:textId="77777777" w:rsidR="00240249" w:rsidRPr="00965D91" w:rsidRDefault="00240249" w:rsidP="00B34F5F">
            <w:pPr>
              <w:keepNext/>
              <w:rPr>
                <w:rFonts w:ascii="Arial Narrow" w:hAnsi="Arial Narrow" w:cs="Arial"/>
                <w:sz w:val="20"/>
                <w:szCs w:val="20"/>
              </w:rPr>
            </w:pPr>
          </w:p>
        </w:tc>
        <w:tc>
          <w:tcPr>
            <w:tcW w:w="709" w:type="dxa"/>
            <w:vAlign w:val="center"/>
          </w:tcPr>
          <w:p w14:paraId="77EF4F04" w14:textId="324F015E" w:rsidR="00240249" w:rsidRPr="00965D91" w:rsidRDefault="00240249" w:rsidP="00B34F5F">
            <w:pPr>
              <w:keepNext/>
              <w:jc w:val="center"/>
              <w:rPr>
                <w:rFonts w:ascii="Arial Narrow" w:hAnsi="Arial Narrow"/>
                <w:sz w:val="20"/>
                <w:szCs w:val="20"/>
              </w:rPr>
            </w:pPr>
          </w:p>
        </w:tc>
        <w:tc>
          <w:tcPr>
            <w:tcW w:w="7745" w:type="dxa"/>
            <w:gridSpan w:val="6"/>
            <w:vAlign w:val="center"/>
          </w:tcPr>
          <w:p w14:paraId="32B73D25" w14:textId="77777777" w:rsidR="00240249" w:rsidRPr="00965D91" w:rsidRDefault="00240249" w:rsidP="00B34F5F">
            <w:pPr>
              <w:keepNext/>
              <w:rPr>
                <w:rFonts w:ascii="Arial Narrow" w:hAnsi="Arial Narrow"/>
                <w:b/>
                <w:bCs/>
                <w:sz w:val="20"/>
                <w:szCs w:val="20"/>
              </w:rPr>
            </w:pPr>
            <w:r w:rsidRPr="00965D91">
              <w:rPr>
                <w:rFonts w:ascii="Arial Narrow" w:hAnsi="Arial Narrow"/>
                <w:b/>
                <w:bCs/>
                <w:sz w:val="20"/>
                <w:szCs w:val="20"/>
              </w:rPr>
              <w:t xml:space="preserve">Administrative Advice: </w:t>
            </w:r>
            <w:r w:rsidRPr="00965D91">
              <w:rPr>
                <w:rFonts w:ascii="Arial Narrow" w:hAnsi="Arial Narrow"/>
                <w:bCs/>
                <w:sz w:val="20"/>
                <w:szCs w:val="20"/>
              </w:rPr>
              <w:t>No increase in the maximum number of repeats may be authorised.</w:t>
            </w:r>
          </w:p>
        </w:tc>
      </w:tr>
      <w:tr w:rsidR="00240249" w:rsidRPr="00965D91" w14:paraId="1F865F1C" w14:textId="77777777" w:rsidTr="00AA4EF1">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bottom w:val="single" w:sz="4" w:space="0" w:color="auto"/>
              <w:right w:val="single" w:sz="4" w:space="0" w:color="auto"/>
            </w:tcBorders>
          </w:tcPr>
          <w:p w14:paraId="4749E9EE" w14:textId="77777777" w:rsidR="00240249" w:rsidRPr="00965D91" w:rsidRDefault="00240249" w:rsidP="00B34F5F">
            <w:pPr>
              <w:keepNext/>
              <w:rPr>
                <w:rFonts w:ascii="Arial Narrow" w:hAnsi="Arial Narrow" w:cs="Arial"/>
                <w:sz w:val="20"/>
                <w:szCs w:val="20"/>
              </w:rPr>
            </w:pPr>
          </w:p>
        </w:tc>
        <w:tc>
          <w:tcPr>
            <w:tcW w:w="709" w:type="dxa"/>
            <w:vAlign w:val="center"/>
          </w:tcPr>
          <w:p w14:paraId="79A02C4B" w14:textId="6E4E381E" w:rsidR="00240249" w:rsidRPr="00965D91" w:rsidRDefault="00240249" w:rsidP="00B34F5F">
            <w:pPr>
              <w:keepNext/>
              <w:jc w:val="center"/>
              <w:rPr>
                <w:rFonts w:ascii="Arial Narrow" w:hAnsi="Arial Narrow"/>
                <w:sz w:val="20"/>
                <w:szCs w:val="20"/>
              </w:rPr>
            </w:pPr>
          </w:p>
        </w:tc>
        <w:tc>
          <w:tcPr>
            <w:tcW w:w="7745" w:type="dxa"/>
            <w:gridSpan w:val="6"/>
            <w:vAlign w:val="center"/>
          </w:tcPr>
          <w:p w14:paraId="10D03B7A" w14:textId="77777777" w:rsidR="00240249" w:rsidRPr="00965D91" w:rsidRDefault="00240249" w:rsidP="00B34F5F">
            <w:pPr>
              <w:keepNext/>
              <w:rPr>
                <w:rFonts w:ascii="Arial Narrow" w:hAnsi="Arial Narrow"/>
                <w:b/>
                <w:bCs/>
                <w:sz w:val="20"/>
                <w:szCs w:val="20"/>
              </w:rPr>
            </w:pPr>
            <w:r w:rsidRPr="00965D91">
              <w:rPr>
                <w:rFonts w:ascii="Arial Narrow" w:hAnsi="Arial Narrow"/>
                <w:b/>
                <w:bCs/>
                <w:sz w:val="20"/>
                <w:szCs w:val="20"/>
              </w:rPr>
              <w:t xml:space="preserve">Administrative Advice: </w:t>
            </w:r>
            <w:r w:rsidRPr="00965D9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240249" w:rsidRPr="00965D91" w14:paraId="0ADFD1F5" w14:textId="77777777" w:rsidTr="004F40DC">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0FB79F6" w14:textId="182E69A5" w:rsidR="00240249" w:rsidRPr="00965D91" w:rsidRDefault="00240249" w:rsidP="00B34F5F">
            <w:pPr>
              <w:keepNext/>
              <w:keepLines/>
              <w:jc w:val="center"/>
              <w:rPr>
                <w:rFonts w:ascii="Arial Narrow" w:hAnsi="Arial Narrow"/>
                <w:sz w:val="20"/>
                <w:szCs w:val="20"/>
              </w:rPr>
            </w:pPr>
          </w:p>
        </w:tc>
        <w:tc>
          <w:tcPr>
            <w:tcW w:w="7745" w:type="dxa"/>
            <w:gridSpan w:val="6"/>
            <w:vAlign w:val="center"/>
            <w:hideMark/>
          </w:tcPr>
          <w:p w14:paraId="4A827C1A" w14:textId="0EAFF081" w:rsidR="00240249" w:rsidRPr="00965D91" w:rsidRDefault="00240249" w:rsidP="00B34F5F">
            <w:pPr>
              <w:keepNext/>
              <w:keepLines/>
              <w:rPr>
                <w:rFonts w:ascii="Arial Narrow" w:hAnsi="Arial Narrow"/>
                <w:color w:val="333333"/>
                <w:sz w:val="20"/>
                <w:szCs w:val="20"/>
              </w:rPr>
            </w:pPr>
            <w:r w:rsidRPr="00965D91">
              <w:rPr>
                <w:rFonts w:ascii="Arial Narrow" w:hAnsi="Arial Narrow"/>
                <w:b/>
                <w:bCs/>
                <w:sz w:val="20"/>
                <w:szCs w:val="20"/>
              </w:rPr>
              <w:t>Indication:</w:t>
            </w:r>
            <w:r w:rsidRPr="00965D91">
              <w:rPr>
                <w:rFonts w:ascii="Arial Narrow" w:hAnsi="Arial Narrow"/>
                <w:sz w:val="20"/>
                <w:szCs w:val="20"/>
              </w:rPr>
              <w:t xml:space="preserve"> </w:t>
            </w:r>
            <w:r w:rsidRPr="00965D91">
              <w:rPr>
                <w:rFonts w:ascii="Arial Narrow" w:hAnsi="Arial Narrow" w:cs="Arial Narrow"/>
                <w:iCs/>
                <w:sz w:val="20"/>
                <w:szCs w:val="20"/>
              </w:rPr>
              <w:t>Amyotrophic lateral sclerosis</w:t>
            </w:r>
          </w:p>
        </w:tc>
      </w:tr>
      <w:tr w:rsidR="00240249" w:rsidRPr="00965D91" w14:paraId="6A256757" w14:textId="77777777" w:rsidTr="004F40DC">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7866125" w14:textId="77777777" w:rsidR="00240249" w:rsidRPr="00965D91" w:rsidRDefault="00240249" w:rsidP="00B34F5F">
            <w:pPr>
              <w:keepNext/>
              <w:jc w:val="center"/>
              <w:rPr>
                <w:rFonts w:ascii="Arial Narrow" w:hAnsi="Arial Narrow"/>
                <w:sz w:val="20"/>
                <w:szCs w:val="20"/>
              </w:rPr>
            </w:pPr>
          </w:p>
        </w:tc>
        <w:tc>
          <w:tcPr>
            <w:tcW w:w="7745" w:type="dxa"/>
            <w:gridSpan w:val="6"/>
            <w:vAlign w:val="center"/>
            <w:hideMark/>
          </w:tcPr>
          <w:p w14:paraId="0949AAAD" w14:textId="1216714C" w:rsidR="00240249" w:rsidRPr="00965D91" w:rsidRDefault="00240249" w:rsidP="00B34F5F">
            <w:pPr>
              <w:keepNext/>
              <w:rPr>
                <w:rFonts w:ascii="Arial Narrow" w:hAnsi="Arial Narrow"/>
                <w:sz w:val="20"/>
                <w:szCs w:val="20"/>
              </w:rPr>
            </w:pPr>
            <w:r w:rsidRPr="00965D91">
              <w:rPr>
                <w:rFonts w:ascii="Arial Narrow" w:hAnsi="Arial Narrow"/>
                <w:b/>
                <w:bCs/>
                <w:sz w:val="20"/>
                <w:szCs w:val="20"/>
              </w:rPr>
              <w:t>Treatment Phase:</w:t>
            </w:r>
            <w:r w:rsidRPr="00965D91">
              <w:rPr>
                <w:rFonts w:ascii="Arial Narrow" w:hAnsi="Arial Narrow"/>
                <w:sz w:val="20"/>
                <w:szCs w:val="20"/>
              </w:rPr>
              <w:t xml:space="preserve"> </w:t>
            </w:r>
            <w:r w:rsidR="00B278E4" w:rsidRPr="00965D91">
              <w:rPr>
                <w:rFonts w:ascii="Arial Narrow" w:hAnsi="Arial Narrow"/>
                <w:sz w:val="20"/>
                <w:szCs w:val="20"/>
              </w:rPr>
              <w:t>Continuing treatment</w:t>
            </w:r>
          </w:p>
        </w:tc>
      </w:tr>
      <w:tr w:rsidR="00240249" w:rsidRPr="00965D91" w14:paraId="691AFCCE" w14:textId="77777777" w:rsidTr="004F40D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7FA7329" w14:textId="15EBD960" w:rsidR="00240249" w:rsidRPr="00965D91" w:rsidRDefault="00240249" w:rsidP="00B34F5F">
            <w:pPr>
              <w:keepNext/>
              <w:jc w:val="center"/>
              <w:rPr>
                <w:rFonts w:ascii="Arial Narrow" w:hAnsi="Arial Narrow"/>
                <w:sz w:val="20"/>
                <w:szCs w:val="20"/>
              </w:rPr>
            </w:pPr>
          </w:p>
        </w:tc>
        <w:tc>
          <w:tcPr>
            <w:tcW w:w="7745" w:type="dxa"/>
            <w:gridSpan w:val="6"/>
            <w:vAlign w:val="center"/>
            <w:hideMark/>
          </w:tcPr>
          <w:p w14:paraId="1E20BDB8" w14:textId="77777777" w:rsidR="00240249" w:rsidRPr="00965D91" w:rsidRDefault="00240249" w:rsidP="00B34F5F">
            <w:pPr>
              <w:keepNext/>
              <w:rPr>
                <w:rFonts w:ascii="Arial Narrow" w:hAnsi="Arial Narrow"/>
                <w:sz w:val="20"/>
                <w:szCs w:val="20"/>
              </w:rPr>
            </w:pPr>
            <w:r w:rsidRPr="00965D91">
              <w:rPr>
                <w:rFonts w:ascii="Arial Narrow" w:hAnsi="Arial Narrow"/>
                <w:b/>
                <w:bCs/>
                <w:sz w:val="20"/>
                <w:szCs w:val="20"/>
              </w:rPr>
              <w:t xml:space="preserve">Clinical criteria: </w:t>
            </w:r>
          </w:p>
        </w:tc>
      </w:tr>
      <w:tr w:rsidR="00240249" w:rsidRPr="00965D91" w14:paraId="58EA5CB3" w14:textId="77777777" w:rsidTr="004F40D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B61572F" w14:textId="0DF7B190" w:rsidR="00240249" w:rsidRPr="00965D91" w:rsidRDefault="00240249" w:rsidP="00B34F5F">
            <w:pPr>
              <w:keepNext/>
              <w:jc w:val="center"/>
              <w:rPr>
                <w:rFonts w:ascii="Arial Narrow" w:hAnsi="Arial Narrow"/>
                <w:sz w:val="20"/>
                <w:szCs w:val="20"/>
              </w:rPr>
            </w:pPr>
          </w:p>
        </w:tc>
        <w:tc>
          <w:tcPr>
            <w:tcW w:w="7745" w:type="dxa"/>
            <w:gridSpan w:val="6"/>
            <w:vAlign w:val="center"/>
            <w:hideMark/>
          </w:tcPr>
          <w:p w14:paraId="705A7293" w14:textId="3AEB6D80" w:rsidR="00240249" w:rsidRPr="00965D91" w:rsidRDefault="008F56F2" w:rsidP="00B34F5F">
            <w:pPr>
              <w:keepNext/>
              <w:jc w:val="left"/>
              <w:rPr>
                <w:rFonts w:ascii="Arial Narrow" w:hAnsi="Arial Narrow"/>
                <w:color w:val="333333"/>
                <w:sz w:val="20"/>
                <w:szCs w:val="20"/>
              </w:rPr>
            </w:pPr>
            <w:r w:rsidRPr="00965D91">
              <w:rPr>
                <w:rFonts w:ascii="Arial Narrow" w:hAnsi="Arial Narrow"/>
                <w:color w:val="333333"/>
                <w:sz w:val="20"/>
                <w:szCs w:val="20"/>
              </w:rPr>
              <w:t xml:space="preserve">Patient must have previously received </w:t>
            </w:r>
            <w:r w:rsidRPr="00965D91">
              <w:rPr>
                <w:rFonts w:ascii="Arial Narrow" w:hAnsi="Arial Narrow"/>
                <w:strike/>
                <w:color w:val="333333"/>
                <w:sz w:val="20"/>
                <w:szCs w:val="20"/>
              </w:rPr>
              <w:t>PBS-subsidised</w:t>
            </w:r>
            <w:r w:rsidRPr="00965D91">
              <w:rPr>
                <w:rFonts w:ascii="Arial Narrow" w:hAnsi="Arial Narrow"/>
                <w:color w:val="333333"/>
                <w:sz w:val="20"/>
                <w:szCs w:val="20"/>
              </w:rPr>
              <w:t xml:space="preserve"> treatment with this drug for this condition</w:t>
            </w:r>
          </w:p>
        </w:tc>
      </w:tr>
      <w:tr w:rsidR="00240249" w:rsidRPr="00965D91" w14:paraId="0A18230F" w14:textId="77777777" w:rsidTr="004F40D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1F31D10" w14:textId="77777777" w:rsidR="00240249" w:rsidRPr="00965D91" w:rsidRDefault="00240249" w:rsidP="00B34F5F">
            <w:pPr>
              <w:keepNext/>
              <w:jc w:val="center"/>
              <w:rPr>
                <w:rFonts w:ascii="Arial Narrow" w:hAnsi="Arial Narrow"/>
                <w:sz w:val="20"/>
                <w:szCs w:val="20"/>
              </w:rPr>
            </w:pPr>
          </w:p>
        </w:tc>
        <w:tc>
          <w:tcPr>
            <w:tcW w:w="7745" w:type="dxa"/>
            <w:gridSpan w:val="6"/>
            <w:vAlign w:val="center"/>
            <w:hideMark/>
          </w:tcPr>
          <w:p w14:paraId="56AEC714" w14:textId="77777777" w:rsidR="00240249" w:rsidRPr="00965D91" w:rsidRDefault="00240249" w:rsidP="00B34F5F">
            <w:pPr>
              <w:keepNext/>
              <w:jc w:val="left"/>
              <w:rPr>
                <w:rFonts w:ascii="Arial Narrow" w:hAnsi="Arial Narrow"/>
                <w:sz w:val="20"/>
                <w:szCs w:val="20"/>
              </w:rPr>
            </w:pPr>
            <w:r w:rsidRPr="00965D91">
              <w:rPr>
                <w:rFonts w:ascii="Arial Narrow" w:hAnsi="Arial Narrow"/>
                <w:b/>
                <w:bCs/>
                <w:sz w:val="20"/>
                <w:szCs w:val="20"/>
              </w:rPr>
              <w:t>AND</w:t>
            </w:r>
          </w:p>
        </w:tc>
      </w:tr>
      <w:tr w:rsidR="00240249" w:rsidRPr="00965D91" w14:paraId="3CEFA54A" w14:textId="77777777" w:rsidTr="004F40D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B05B34A" w14:textId="174C46AE" w:rsidR="00240249" w:rsidRPr="00965D91" w:rsidRDefault="00240249" w:rsidP="00B34F5F">
            <w:pPr>
              <w:keepNext/>
              <w:jc w:val="center"/>
              <w:rPr>
                <w:rFonts w:ascii="Arial Narrow" w:hAnsi="Arial Narrow"/>
                <w:sz w:val="20"/>
                <w:szCs w:val="20"/>
              </w:rPr>
            </w:pPr>
          </w:p>
        </w:tc>
        <w:tc>
          <w:tcPr>
            <w:tcW w:w="7745" w:type="dxa"/>
            <w:gridSpan w:val="6"/>
            <w:vAlign w:val="center"/>
            <w:hideMark/>
          </w:tcPr>
          <w:p w14:paraId="04BC0A9C" w14:textId="77777777" w:rsidR="00240249" w:rsidRPr="00965D91" w:rsidRDefault="00240249" w:rsidP="00B34F5F">
            <w:pPr>
              <w:keepNext/>
              <w:jc w:val="left"/>
              <w:rPr>
                <w:rFonts w:ascii="Arial Narrow" w:hAnsi="Arial Narrow"/>
                <w:sz w:val="20"/>
                <w:szCs w:val="20"/>
              </w:rPr>
            </w:pPr>
            <w:r w:rsidRPr="00965D91">
              <w:rPr>
                <w:rFonts w:ascii="Arial Narrow" w:hAnsi="Arial Narrow"/>
                <w:b/>
                <w:bCs/>
                <w:sz w:val="20"/>
                <w:szCs w:val="20"/>
              </w:rPr>
              <w:t>Clinical criteria:</w:t>
            </w:r>
          </w:p>
        </w:tc>
      </w:tr>
      <w:tr w:rsidR="00240249" w:rsidRPr="00965D91" w14:paraId="5068FCB8" w14:textId="77777777" w:rsidTr="004F40D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0A4DE93" w14:textId="53851772" w:rsidR="00240249" w:rsidRPr="00965D91" w:rsidRDefault="00240249" w:rsidP="00B34F5F">
            <w:pPr>
              <w:keepNext/>
              <w:jc w:val="center"/>
              <w:rPr>
                <w:rFonts w:ascii="Arial Narrow" w:hAnsi="Arial Narrow"/>
                <w:sz w:val="20"/>
                <w:szCs w:val="20"/>
              </w:rPr>
            </w:pPr>
          </w:p>
        </w:tc>
        <w:tc>
          <w:tcPr>
            <w:tcW w:w="7745" w:type="dxa"/>
            <w:gridSpan w:val="6"/>
            <w:vAlign w:val="center"/>
            <w:hideMark/>
          </w:tcPr>
          <w:p w14:paraId="5FFB8D4F" w14:textId="6F9406AD" w:rsidR="00240249" w:rsidRPr="00965D91" w:rsidRDefault="00860E9A" w:rsidP="00B34F5F">
            <w:pPr>
              <w:keepNext/>
              <w:rPr>
                <w:rFonts w:ascii="Arial Narrow" w:hAnsi="Arial Narrow"/>
                <w:color w:val="FF0000"/>
                <w:sz w:val="20"/>
                <w:szCs w:val="20"/>
              </w:rPr>
            </w:pPr>
            <w:r w:rsidRPr="00965D91">
              <w:rPr>
                <w:rFonts w:ascii="Arial Narrow" w:hAnsi="Arial Narrow"/>
                <w:sz w:val="20"/>
                <w:szCs w:val="20"/>
              </w:rPr>
              <w:t>Patient must not have undergone a tracheostomy</w:t>
            </w:r>
          </w:p>
        </w:tc>
      </w:tr>
      <w:tr w:rsidR="00240249" w:rsidRPr="00965D91" w14:paraId="1FBBCF35" w14:textId="77777777" w:rsidTr="004F40D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6B403B2" w14:textId="77777777" w:rsidR="00240249" w:rsidRPr="00965D91" w:rsidRDefault="00240249" w:rsidP="00B34F5F">
            <w:pPr>
              <w:keepNext/>
              <w:jc w:val="center"/>
              <w:rPr>
                <w:rFonts w:ascii="Arial Narrow" w:hAnsi="Arial Narrow"/>
                <w:sz w:val="20"/>
                <w:szCs w:val="20"/>
              </w:rPr>
            </w:pPr>
          </w:p>
        </w:tc>
        <w:tc>
          <w:tcPr>
            <w:tcW w:w="7745" w:type="dxa"/>
            <w:gridSpan w:val="6"/>
            <w:vAlign w:val="center"/>
            <w:hideMark/>
          </w:tcPr>
          <w:p w14:paraId="22FEB03D" w14:textId="77777777" w:rsidR="00240249" w:rsidRPr="00965D91" w:rsidRDefault="00240249" w:rsidP="00B34F5F">
            <w:pPr>
              <w:keepNext/>
              <w:rPr>
                <w:rFonts w:ascii="Arial Narrow" w:hAnsi="Arial Narrow"/>
                <w:sz w:val="20"/>
                <w:szCs w:val="20"/>
              </w:rPr>
            </w:pPr>
            <w:r w:rsidRPr="00965D91">
              <w:rPr>
                <w:rFonts w:ascii="Arial Narrow" w:hAnsi="Arial Narrow"/>
                <w:b/>
                <w:bCs/>
                <w:sz w:val="20"/>
                <w:szCs w:val="20"/>
              </w:rPr>
              <w:t>AND</w:t>
            </w:r>
          </w:p>
        </w:tc>
      </w:tr>
      <w:tr w:rsidR="00240249" w:rsidRPr="00965D91" w14:paraId="25441E44" w14:textId="77777777" w:rsidTr="004F40D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308DCD4" w14:textId="470DFFE3" w:rsidR="00240249" w:rsidRPr="00965D91" w:rsidRDefault="00240249" w:rsidP="00B34F5F">
            <w:pPr>
              <w:keepNext/>
              <w:jc w:val="center"/>
              <w:rPr>
                <w:rFonts w:ascii="Arial Narrow" w:hAnsi="Arial Narrow"/>
                <w:sz w:val="20"/>
                <w:szCs w:val="20"/>
              </w:rPr>
            </w:pPr>
          </w:p>
        </w:tc>
        <w:tc>
          <w:tcPr>
            <w:tcW w:w="7745" w:type="dxa"/>
            <w:gridSpan w:val="6"/>
            <w:vAlign w:val="center"/>
            <w:hideMark/>
          </w:tcPr>
          <w:p w14:paraId="060C69D1" w14:textId="77777777" w:rsidR="00240249" w:rsidRPr="00965D91" w:rsidRDefault="00240249" w:rsidP="00B34F5F">
            <w:pPr>
              <w:keepNext/>
              <w:rPr>
                <w:rFonts w:ascii="Arial Narrow" w:hAnsi="Arial Narrow"/>
                <w:sz w:val="20"/>
                <w:szCs w:val="20"/>
              </w:rPr>
            </w:pPr>
            <w:r w:rsidRPr="00965D91">
              <w:rPr>
                <w:rFonts w:ascii="Arial Narrow" w:hAnsi="Arial Narrow"/>
                <w:b/>
                <w:bCs/>
                <w:sz w:val="20"/>
                <w:szCs w:val="20"/>
              </w:rPr>
              <w:t>Clinical criteria:</w:t>
            </w:r>
          </w:p>
        </w:tc>
      </w:tr>
      <w:tr w:rsidR="00240249" w:rsidRPr="00965D91" w14:paraId="32E551FC" w14:textId="77777777" w:rsidTr="004F40D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149EF09" w14:textId="0AC37157" w:rsidR="00240249" w:rsidRPr="00965D91" w:rsidRDefault="00240249" w:rsidP="004F40DC">
            <w:pPr>
              <w:jc w:val="center"/>
              <w:rPr>
                <w:rFonts w:ascii="Arial Narrow" w:hAnsi="Arial Narrow"/>
                <w:sz w:val="20"/>
                <w:szCs w:val="20"/>
              </w:rPr>
            </w:pPr>
          </w:p>
        </w:tc>
        <w:tc>
          <w:tcPr>
            <w:tcW w:w="7745" w:type="dxa"/>
            <w:gridSpan w:val="6"/>
            <w:vAlign w:val="center"/>
            <w:hideMark/>
          </w:tcPr>
          <w:p w14:paraId="4C63FCC8" w14:textId="5567C9A6" w:rsidR="00240249" w:rsidRPr="00965D91" w:rsidRDefault="00B8225D" w:rsidP="004F40DC">
            <w:pPr>
              <w:rPr>
                <w:rFonts w:ascii="Arial Narrow" w:hAnsi="Arial Narrow"/>
                <w:sz w:val="20"/>
                <w:szCs w:val="20"/>
              </w:rPr>
            </w:pPr>
            <w:r w:rsidRPr="00965D91">
              <w:rPr>
                <w:rFonts w:ascii="Arial Narrow" w:hAnsi="Arial Narrow"/>
                <w:sz w:val="20"/>
                <w:szCs w:val="20"/>
              </w:rPr>
              <w:t>Patient must not have experienced respiratory failure</w:t>
            </w:r>
          </w:p>
        </w:tc>
      </w:tr>
    </w:tbl>
    <w:p w14:paraId="4D707E60" w14:textId="6E376FE4" w:rsidR="00240249" w:rsidRPr="00BB7595" w:rsidRDefault="00CF1C5E" w:rsidP="00B130F8">
      <w:pPr>
        <w:pStyle w:val="ListParagraph"/>
        <w:numPr>
          <w:ilvl w:val="0"/>
          <w:numId w:val="17"/>
        </w:numPr>
        <w:rPr>
          <w:rFonts w:cstheme="minorHAnsi"/>
          <w:iCs/>
        </w:rPr>
      </w:pPr>
      <w:r w:rsidRPr="00BB7595">
        <w:rPr>
          <w:rFonts w:cstheme="minorHAnsi"/>
          <w:iCs/>
        </w:rPr>
        <w:t>Add a new Section 100 HSD CA grandfather arrangement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487"/>
        <w:gridCol w:w="784"/>
        <w:gridCol w:w="2552"/>
        <w:gridCol w:w="927"/>
        <w:gridCol w:w="812"/>
        <w:gridCol w:w="811"/>
        <w:gridCol w:w="812"/>
        <w:gridCol w:w="1831"/>
      </w:tblGrid>
      <w:tr w:rsidR="00411DC0" w:rsidRPr="00965D91" w14:paraId="135D978A" w14:textId="77777777" w:rsidTr="7FAC855D">
        <w:trPr>
          <w:cantSplit/>
          <w:trHeight w:val="20"/>
        </w:trPr>
        <w:tc>
          <w:tcPr>
            <w:tcW w:w="3823" w:type="dxa"/>
            <w:gridSpan w:val="3"/>
            <w:vAlign w:val="center"/>
          </w:tcPr>
          <w:p w14:paraId="0D8AC2DC" w14:textId="77777777" w:rsidR="00411DC0" w:rsidRPr="00965D91" w:rsidRDefault="00411DC0" w:rsidP="00B34F5F">
            <w:pPr>
              <w:keepNext/>
              <w:keepLines/>
              <w:rPr>
                <w:rFonts w:ascii="Arial Narrow" w:hAnsi="Arial Narrow" w:cs="Arial"/>
                <w:b/>
                <w:bCs/>
                <w:sz w:val="20"/>
                <w:szCs w:val="20"/>
              </w:rPr>
            </w:pPr>
            <w:r w:rsidRPr="00965D91">
              <w:rPr>
                <w:rFonts w:ascii="Arial Narrow" w:hAnsi="Arial Narrow" w:cs="Arial"/>
                <w:b/>
                <w:bCs/>
                <w:sz w:val="20"/>
                <w:szCs w:val="20"/>
              </w:rPr>
              <w:lastRenderedPageBreak/>
              <w:t>MEDICINAL PRODUCT</w:t>
            </w:r>
          </w:p>
          <w:p w14:paraId="1F6218F6" w14:textId="77777777" w:rsidR="00411DC0" w:rsidRPr="00965D91" w:rsidRDefault="00411DC0" w:rsidP="00B34F5F">
            <w:pPr>
              <w:keepNext/>
              <w:keepLines/>
              <w:rPr>
                <w:rFonts w:ascii="Arial Narrow" w:hAnsi="Arial Narrow" w:cs="Arial"/>
                <w:b/>
                <w:sz w:val="20"/>
                <w:szCs w:val="20"/>
              </w:rPr>
            </w:pPr>
            <w:r w:rsidRPr="00965D91">
              <w:rPr>
                <w:rFonts w:ascii="Arial Narrow" w:hAnsi="Arial Narrow" w:cs="Arial"/>
                <w:b/>
                <w:bCs/>
                <w:sz w:val="20"/>
                <w:szCs w:val="20"/>
              </w:rPr>
              <w:t>medicinal product pack</w:t>
            </w:r>
          </w:p>
        </w:tc>
        <w:tc>
          <w:tcPr>
            <w:tcW w:w="927" w:type="dxa"/>
            <w:vAlign w:val="center"/>
          </w:tcPr>
          <w:p w14:paraId="11646133" w14:textId="77777777" w:rsidR="00411DC0" w:rsidRPr="00965D91" w:rsidRDefault="00411DC0" w:rsidP="00B34F5F">
            <w:pPr>
              <w:keepNext/>
              <w:keepLines/>
              <w:jc w:val="center"/>
              <w:rPr>
                <w:rFonts w:ascii="Arial Narrow" w:hAnsi="Arial Narrow" w:cs="Arial"/>
                <w:b/>
                <w:sz w:val="20"/>
                <w:szCs w:val="20"/>
              </w:rPr>
            </w:pPr>
            <w:r w:rsidRPr="00965D91">
              <w:rPr>
                <w:rFonts w:ascii="Arial Narrow" w:hAnsi="Arial Narrow" w:cs="Arial"/>
                <w:b/>
                <w:sz w:val="20"/>
                <w:szCs w:val="20"/>
              </w:rPr>
              <w:t>PBS item code</w:t>
            </w:r>
          </w:p>
        </w:tc>
        <w:tc>
          <w:tcPr>
            <w:tcW w:w="812" w:type="dxa"/>
            <w:vAlign w:val="center"/>
          </w:tcPr>
          <w:p w14:paraId="52F18E1C" w14:textId="77777777" w:rsidR="00411DC0" w:rsidRPr="00965D91" w:rsidRDefault="00411DC0" w:rsidP="00B34F5F">
            <w:pPr>
              <w:keepNext/>
              <w:keepLines/>
              <w:jc w:val="center"/>
              <w:rPr>
                <w:rFonts w:ascii="Arial Narrow" w:hAnsi="Arial Narrow" w:cs="Arial"/>
                <w:b/>
                <w:sz w:val="20"/>
                <w:szCs w:val="20"/>
              </w:rPr>
            </w:pPr>
            <w:r w:rsidRPr="00965D91">
              <w:rPr>
                <w:rFonts w:ascii="Arial Narrow" w:hAnsi="Arial Narrow" w:cs="Arial"/>
                <w:b/>
                <w:sz w:val="20"/>
                <w:szCs w:val="20"/>
              </w:rPr>
              <w:t>Max. qty packs</w:t>
            </w:r>
          </w:p>
        </w:tc>
        <w:tc>
          <w:tcPr>
            <w:tcW w:w="811" w:type="dxa"/>
            <w:vAlign w:val="center"/>
          </w:tcPr>
          <w:p w14:paraId="17E5A4F0" w14:textId="77777777" w:rsidR="00411DC0" w:rsidRPr="00965D91" w:rsidRDefault="00411DC0" w:rsidP="00B34F5F">
            <w:pPr>
              <w:keepNext/>
              <w:keepLines/>
              <w:jc w:val="center"/>
              <w:rPr>
                <w:rFonts w:ascii="Arial Narrow" w:hAnsi="Arial Narrow" w:cs="Arial"/>
                <w:b/>
                <w:sz w:val="20"/>
                <w:szCs w:val="20"/>
              </w:rPr>
            </w:pPr>
            <w:r w:rsidRPr="00965D91">
              <w:rPr>
                <w:rFonts w:ascii="Arial Narrow" w:hAnsi="Arial Narrow" w:cs="Arial"/>
                <w:b/>
                <w:sz w:val="20"/>
                <w:szCs w:val="20"/>
              </w:rPr>
              <w:t>Max. qty units</w:t>
            </w:r>
          </w:p>
        </w:tc>
        <w:tc>
          <w:tcPr>
            <w:tcW w:w="812" w:type="dxa"/>
            <w:vAlign w:val="center"/>
          </w:tcPr>
          <w:p w14:paraId="5FF539B7" w14:textId="77777777" w:rsidR="00411DC0" w:rsidRPr="00965D91" w:rsidRDefault="00411DC0" w:rsidP="00B34F5F">
            <w:pPr>
              <w:keepNext/>
              <w:keepLines/>
              <w:jc w:val="center"/>
              <w:rPr>
                <w:rFonts w:ascii="Arial Narrow" w:hAnsi="Arial Narrow" w:cs="Arial"/>
                <w:b/>
                <w:sz w:val="20"/>
                <w:szCs w:val="20"/>
              </w:rPr>
            </w:pPr>
            <w:proofErr w:type="gramStart"/>
            <w:r w:rsidRPr="00965D91">
              <w:rPr>
                <w:rFonts w:ascii="Arial Narrow" w:hAnsi="Arial Narrow" w:cs="Arial"/>
                <w:b/>
                <w:sz w:val="20"/>
                <w:szCs w:val="20"/>
              </w:rPr>
              <w:t>№.of</w:t>
            </w:r>
            <w:proofErr w:type="gramEnd"/>
          </w:p>
          <w:p w14:paraId="5DB419F7" w14:textId="77777777" w:rsidR="00411DC0" w:rsidRPr="00965D91" w:rsidRDefault="00411DC0" w:rsidP="00B34F5F">
            <w:pPr>
              <w:keepNext/>
              <w:keepLines/>
              <w:jc w:val="center"/>
              <w:rPr>
                <w:rFonts w:ascii="Arial Narrow" w:hAnsi="Arial Narrow" w:cs="Arial"/>
                <w:b/>
                <w:sz w:val="20"/>
                <w:szCs w:val="20"/>
              </w:rPr>
            </w:pPr>
            <w:proofErr w:type="spellStart"/>
            <w:r w:rsidRPr="00965D91">
              <w:rPr>
                <w:rFonts w:ascii="Arial Narrow" w:hAnsi="Arial Narrow" w:cs="Arial"/>
                <w:b/>
                <w:sz w:val="20"/>
                <w:szCs w:val="20"/>
              </w:rPr>
              <w:t>Rpts</w:t>
            </w:r>
            <w:proofErr w:type="spellEnd"/>
          </w:p>
        </w:tc>
        <w:tc>
          <w:tcPr>
            <w:tcW w:w="1831" w:type="dxa"/>
            <w:vAlign w:val="center"/>
          </w:tcPr>
          <w:p w14:paraId="6154F591" w14:textId="77777777" w:rsidR="00411DC0" w:rsidRPr="00965D91" w:rsidRDefault="00411DC0" w:rsidP="00B34F5F">
            <w:pPr>
              <w:keepNext/>
              <w:keepLines/>
              <w:rPr>
                <w:rFonts w:ascii="Arial Narrow" w:hAnsi="Arial Narrow" w:cs="Arial"/>
                <w:b/>
                <w:sz w:val="20"/>
                <w:szCs w:val="20"/>
                <w:lang w:val="fr-FR"/>
              </w:rPr>
            </w:pPr>
            <w:r w:rsidRPr="00965D91">
              <w:rPr>
                <w:rFonts w:ascii="Arial Narrow" w:hAnsi="Arial Narrow" w:cs="Arial"/>
                <w:b/>
                <w:sz w:val="20"/>
                <w:szCs w:val="20"/>
              </w:rPr>
              <w:t>Available brands</w:t>
            </w:r>
          </w:p>
        </w:tc>
      </w:tr>
      <w:tr w:rsidR="00411DC0" w:rsidRPr="00965D91" w14:paraId="649A908F" w14:textId="77777777" w:rsidTr="7FAC855D">
        <w:trPr>
          <w:cantSplit/>
          <w:trHeight w:val="20"/>
        </w:trPr>
        <w:tc>
          <w:tcPr>
            <w:tcW w:w="9016" w:type="dxa"/>
            <w:gridSpan w:val="8"/>
            <w:vAlign w:val="center"/>
          </w:tcPr>
          <w:p w14:paraId="088B5723" w14:textId="77777777" w:rsidR="00411DC0" w:rsidRPr="00965D91" w:rsidRDefault="00411DC0" w:rsidP="00B34F5F">
            <w:pPr>
              <w:keepNext/>
              <w:keepLines/>
              <w:rPr>
                <w:rFonts w:ascii="Arial Narrow" w:hAnsi="Arial Narrow" w:cs="Arial"/>
                <w:sz w:val="20"/>
                <w:szCs w:val="20"/>
              </w:rPr>
            </w:pPr>
            <w:r w:rsidRPr="00965D91">
              <w:rPr>
                <w:rFonts w:ascii="Arial Narrow" w:hAnsi="Arial Narrow"/>
                <w:sz w:val="20"/>
                <w:szCs w:val="20"/>
              </w:rPr>
              <w:t>EDARAVONE</w:t>
            </w:r>
          </w:p>
        </w:tc>
      </w:tr>
      <w:tr w:rsidR="00411DC0" w:rsidRPr="00965D91" w14:paraId="6F7426D5" w14:textId="77777777" w:rsidTr="7FAC855D">
        <w:trPr>
          <w:cantSplit/>
          <w:trHeight w:val="20"/>
        </w:trPr>
        <w:tc>
          <w:tcPr>
            <w:tcW w:w="3823" w:type="dxa"/>
            <w:gridSpan w:val="3"/>
            <w:vAlign w:val="center"/>
          </w:tcPr>
          <w:p w14:paraId="18A8BCA8" w14:textId="77777777" w:rsidR="00411DC0" w:rsidRPr="00965D91" w:rsidRDefault="00411DC0" w:rsidP="00B34F5F">
            <w:pPr>
              <w:keepNext/>
              <w:keepLines/>
              <w:rPr>
                <w:rFonts w:ascii="Arial Narrow" w:hAnsi="Arial Narrow" w:cs="Arial"/>
                <w:sz w:val="20"/>
                <w:szCs w:val="20"/>
              </w:rPr>
            </w:pPr>
            <w:proofErr w:type="spellStart"/>
            <w:r w:rsidRPr="00965D91">
              <w:rPr>
                <w:rFonts w:ascii="Arial Narrow" w:hAnsi="Arial Narrow" w:cs="Arial"/>
                <w:sz w:val="20"/>
                <w:szCs w:val="20"/>
              </w:rPr>
              <w:t>edaravone</w:t>
            </w:r>
            <w:proofErr w:type="spellEnd"/>
            <w:r w:rsidRPr="00965D91">
              <w:rPr>
                <w:rFonts w:ascii="Arial Narrow" w:hAnsi="Arial Narrow" w:cs="Arial"/>
                <w:sz w:val="20"/>
                <w:szCs w:val="20"/>
              </w:rPr>
              <w:t xml:space="preserve"> 30 mg/20 mL injection, 10 x 20 mL ampoules</w:t>
            </w:r>
          </w:p>
        </w:tc>
        <w:tc>
          <w:tcPr>
            <w:tcW w:w="927" w:type="dxa"/>
            <w:vAlign w:val="center"/>
          </w:tcPr>
          <w:p w14:paraId="1C5A326E" w14:textId="17EB5453" w:rsidR="00411DC0" w:rsidRPr="00EB7C12" w:rsidRDefault="00411DC0" w:rsidP="00B34F5F">
            <w:pPr>
              <w:keepNext/>
              <w:keepLines/>
              <w:jc w:val="center"/>
              <w:rPr>
                <w:rFonts w:ascii="Arial Narrow" w:hAnsi="Arial Narrow" w:cs="Arial"/>
                <w:b/>
                <w:bCs/>
                <w:i/>
                <w:iCs/>
                <w:sz w:val="20"/>
                <w:szCs w:val="20"/>
              </w:rPr>
            </w:pPr>
            <w:r w:rsidRPr="00EB7C12">
              <w:rPr>
                <w:rFonts w:ascii="Arial Narrow" w:hAnsi="Arial Narrow" w:cs="Arial"/>
                <w:b/>
                <w:bCs/>
                <w:i/>
                <w:iCs/>
                <w:sz w:val="20"/>
                <w:szCs w:val="20"/>
              </w:rPr>
              <w:t>NEW</w:t>
            </w:r>
          </w:p>
        </w:tc>
        <w:tc>
          <w:tcPr>
            <w:tcW w:w="812" w:type="dxa"/>
            <w:vAlign w:val="center"/>
          </w:tcPr>
          <w:p w14:paraId="4B4D5EAE" w14:textId="77777777" w:rsidR="00411DC0" w:rsidRPr="00EB7C12" w:rsidRDefault="00411DC0" w:rsidP="00B34F5F">
            <w:pPr>
              <w:keepNext/>
              <w:keepLines/>
              <w:jc w:val="center"/>
              <w:rPr>
                <w:rFonts w:ascii="Arial Narrow" w:hAnsi="Arial Narrow" w:cs="Arial"/>
                <w:b/>
                <w:bCs/>
                <w:i/>
                <w:iCs/>
                <w:sz w:val="20"/>
                <w:szCs w:val="20"/>
              </w:rPr>
            </w:pPr>
            <w:r w:rsidRPr="00EB7C12">
              <w:rPr>
                <w:rFonts w:ascii="Arial Narrow" w:hAnsi="Arial Narrow"/>
                <w:b/>
                <w:bCs/>
                <w:i/>
                <w:iCs/>
                <w:sz w:val="20"/>
                <w:szCs w:val="20"/>
              </w:rPr>
              <w:t>2</w:t>
            </w:r>
          </w:p>
        </w:tc>
        <w:tc>
          <w:tcPr>
            <w:tcW w:w="811" w:type="dxa"/>
            <w:vAlign w:val="center"/>
          </w:tcPr>
          <w:p w14:paraId="7236264E" w14:textId="77777777" w:rsidR="00411DC0" w:rsidRPr="00EB7C12" w:rsidRDefault="00411DC0" w:rsidP="00B34F5F">
            <w:pPr>
              <w:keepNext/>
              <w:keepLines/>
              <w:jc w:val="center"/>
              <w:rPr>
                <w:rFonts w:ascii="Arial Narrow" w:hAnsi="Arial Narrow" w:cs="Arial"/>
                <w:b/>
                <w:bCs/>
                <w:i/>
                <w:iCs/>
                <w:sz w:val="20"/>
                <w:szCs w:val="20"/>
              </w:rPr>
            </w:pPr>
            <w:r w:rsidRPr="00EB7C12">
              <w:rPr>
                <w:rFonts w:ascii="Arial Narrow" w:hAnsi="Arial Narrow"/>
                <w:b/>
                <w:bCs/>
                <w:i/>
                <w:iCs/>
                <w:sz w:val="20"/>
                <w:szCs w:val="20"/>
              </w:rPr>
              <w:t>20</w:t>
            </w:r>
          </w:p>
        </w:tc>
        <w:tc>
          <w:tcPr>
            <w:tcW w:w="812" w:type="dxa"/>
            <w:vAlign w:val="center"/>
          </w:tcPr>
          <w:p w14:paraId="22686A29" w14:textId="77777777" w:rsidR="00411DC0" w:rsidRPr="00EB7C12" w:rsidRDefault="00411DC0" w:rsidP="00B34F5F">
            <w:pPr>
              <w:keepNext/>
              <w:keepLines/>
              <w:jc w:val="center"/>
              <w:rPr>
                <w:rFonts w:ascii="Arial Narrow" w:hAnsi="Arial Narrow" w:cs="Arial"/>
                <w:b/>
                <w:bCs/>
                <w:i/>
                <w:iCs/>
                <w:sz w:val="20"/>
                <w:szCs w:val="20"/>
              </w:rPr>
            </w:pPr>
            <w:r w:rsidRPr="00EB7C12">
              <w:rPr>
                <w:rFonts w:ascii="Arial Narrow" w:hAnsi="Arial Narrow"/>
                <w:b/>
                <w:bCs/>
                <w:i/>
                <w:iCs/>
                <w:sz w:val="20"/>
                <w:szCs w:val="20"/>
              </w:rPr>
              <w:t>2</w:t>
            </w:r>
          </w:p>
        </w:tc>
        <w:tc>
          <w:tcPr>
            <w:tcW w:w="1831" w:type="dxa"/>
            <w:vAlign w:val="center"/>
          </w:tcPr>
          <w:p w14:paraId="1ABD690F" w14:textId="77777777" w:rsidR="00411DC0" w:rsidRPr="00965D91" w:rsidRDefault="00411DC0" w:rsidP="00B34F5F">
            <w:pPr>
              <w:keepNext/>
              <w:keepLines/>
              <w:rPr>
                <w:rFonts w:ascii="Arial Narrow" w:hAnsi="Arial Narrow" w:cs="Arial"/>
                <w:sz w:val="20"/>
                <w:szCs w:val="20"/>
              </w:rPr>
            </w:pPr>
            <w:proofErr w:type="spellStart"/>
            <w:r w:rsidRPr="00965D91">
              <w:rPr>
                <w:rFonts w:ascii="Arial Narrow" w:hAnsi="Arial Narrow"/>
                <w:sz w:val="20"/>
                <w:szCs w:val="20"/>
              </w:rPr>
              <w:t>Radicava</w:t>
            </w:r>
            <w:proofErr w:type="spellEnd"/>
          </w:p>
        </w:tc>
      </w:tr>
      <w:tr w:rsidR="00411DC0" w:rsidRPr="00965D91" w14:paraId="41349F46" w14:textId="77777777" w:rsidTr="7FAC855D">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602B708" w14:textId="77777777" w:rsidR="00411DC0" w:rsidRPr="00965D91" w:rsidRDefault="00411DC0" w:rsidP="00B34F5F">
            <w:pPr>
              <w:keepNext/>
              <w:rPr>
                <w:rFonts w:ascii="Arial Narrow" w:hAnsi="Arial Narrow" w:cs="Arial"/>
                <w:sz w:val="20"/>
                <w:szCs w:val="20"/>
              </w:rPr>
            </w:pPr>
          </w:p>
        </w:tc>
      </w:tr>
      <w:tr w:rsidR="00411DC0" w:rsidRPr="00965D91" w14:paraId="5EEDF573" w14:textId="77777777" w:rsidTr="7FAC855D">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08487A01" w14:textId="77777777" w:rsidR="00411DC0" w:rsidRPr="00965D91" w:rsidRDefault="00411DC0" w:rsidP="00B34F5F">
            <w:pPr>
              <w:keepNext/>
              <w:jc w:val="center"/>
              <w:rPr>
                <w:rFonts w:ascii="Arial Narrow" w:hAnsi="Arial Narrow" w:cs="Arial"/>
                <w:b/>
                <w:sz w:val="20"/>
                <w:szCs w:val="20"/>
              </w:rPr>
            </w:pPr>
            <w:r w:rsidRPr="00965D91">
              <w:rPr>
                <w:rFonts w:ascii="Arial Narrow" w:hAnsi="Arial Narrow" w:cs="Arial"/>
                <w:b/>
                <w:sz w:val="20"/>
                <w:szCs w:val="20"/>
              </w:rPr>
              <w:t xml:space="preserve">Concept ID </w:t>
            </w:r>
            <w:r w:rsidRPr="00965D91">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7D247F" w14:textId="77777777" w:rsidR="00411DC0" w:rsidRPr="00965D91" w:rsidRDefault="00411DC0" w:rsidP="00B34F5F">
            <w:pPr>
              <w:keepNext/>
              <w:keepLines/>
              <w:jc w:val="left"/>
              <w:rPr>
                <w:rFonts w:ascii="Arial Narrow" w:hAnsi="Arial Narrow" w:cs="Arial"/>
                <w:sz w:val="20"/>
                <w:szCs w:val="20"/>
              </w:rPr>
            </w:pPr>
            <w:r w:rsidRPr="00965D91">
              <w:rPr>
                <w:rFonts w:ascii="Arial Narrow" w:eastAsia="Calibri" w:hAnsi="Arial Narrow" w:cs="Arial"/>
                <w:sz w:val="20"/>
                <w:szCs w:val="20"/>
              </w:rPr>
              <w:fldChar w:fldCharType="begin">
                <w:ffData>
                  <w:name w:val=""/>
                  <w:enabled/>
                  <w:calcOnExit w:val="0"/>
                  <w:checkBox>
                    <w:sizeAuto/>
                    <w:default w:val="1"/>
                  </w:checkBox>
                </w:ffData>
              </w:fldChar>
            </w:r>
            <w:r w:rsidRPr="00965D91">
              <w:rPr>
                <w:rFonts w:ascii="Arial Narrow" w:eastAsia="Calibri" w:hAnsi="Arial Narrow" w:cs="Arial"/>
                <w:sz w:val="20"/>
                <w:szCs w:val="20"/>
              </w:rPr>
              <w:instrText xml:space="preserve"> FORMCHECKBOX </w:instrText>
            </w:r>
            <w:r w:rsidRPr="00965D91">
              <w:rPr>
                <w:rFonts w:ascii="Arial Narrow" w:eastAsia="Calibri" w:hAnsi="Arial Narrow" w:cs="Arial"/>
                <w:sz w:val="20"/>
                <w:szCs w:val="20"/>
              </w:rPr>
            </w:r>
            <w:r w:rsidRPr="00965D91">
              <w:rPr>
                <w:rFonts w:ascii="Arial Narrow" w:eastAsia="Calibri" w:hAnsi="Arial Narrow" w:cs="Arial"/>
                <w:sz w:val="20"/>
                <w:szCs w:val="20"/>
              </w:rPr>
              <w:fldChar w:fldCharType="separate"/>
            </w:r>
            <w:r w:rsidRPr="00965D91">
              <w:rPr>
                <w:rFonts w:ascii="Arial Narrow" w:eastAsia="Calibri" w:hAnsi="Arial Narrow" w:cs="Arial"/>
                <w:sz w:val="20"/>
                <w:szCs w:val="20"/>
              </w:rPr>
              <w:fldChar w:fldCharType="end"/>
            </w:r>
            <w:r w:rsidRPr="00965D91">
              <w:rPr>
                <w:rFonts w:ascii="Arial Narrow" w:hAnsi="Arial Narrow" w:cs="Arial"/>
                <w:sz w:val="20"/>
                <w:szCs w:val="20"/>
              </w:rPr>
              <w:t xml:space="preserve"> Section 100 – Highly Specialised Drugs Program - Community Access (Code CA) </w:t>
            </w:r>
          </w:p>
        </w:tc>
      </w:tr>
      <w:tr w:rsidR="00411DC0" w:rsidRPr="00965D91" w14:paraId="76F62810" w14:textId="77777777" w:rsidTr="7FAC855D">
        <w:tblPrEx>
          <w:tblCellMar>
            <w:top w:w="15" w:type="dxa"/>
            <w:bottom w:w="15" w:type="dxa"/>
          </w:tblCellMar>
          <w:tblLook w:val="04A0" w:firstRow="1" w:lastRow="0" w:firstColumn="1" w:lastColumn="0" w:noHBand="0" w:noVBand="1"/>
        </w:tblPrEx>
        <w:trPr>
          <w:trHeight w:val="20"/>
        </w:trPr>
        <w:tc>
          <w:tcPr>
            <w:tcW w:w="1271" w:type="dxa"/>
            <w:gridSpan w:val="2"/>
            <w:vMerge/>
          </w:tcPr>
          <w:p w14:paraId="69EE2A65" w14:textId="77777777" w:rsidR="00411DC0" w:rsidRPr="00965D91" w:rsidRDefault="00411DC0" w:rsidP="00B34F5F">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0DD5AED" w14:textId="77777777" w:rsidR="00411DC0" w:rsidRPr="00965D91" w:rsidRDefault="00411DC0" w:rsidP="00B34F5F">
            <w:pPr>
              <w:keepNext/>
              <w:keepLines/>
              <w:rPr>
                <w:rFonts w:ascii="Arial Narrow" w:hAnsi="Arial Narrow" w:cs="Arial"/>
                <w:b/>
                <w:sz w:val="20"/>
                <w:szCs w:val="20"/>
              </w:rPr>
            </w:pPr>
            <w:r w:rsidRPr="00965D91">
              <w:rPr>
                <w:rFonts w:ascii="Arial Narrow" w:hAnsi="Arial Narrow" w:cs="Arial"/>
                <w:b/>
                <w:sz w:val="20"/>
                <w:szCs w:val="20"/>
              </w:rPr>
              <w:t>Prescriber type:</w:t>
            </w:r>
            <w:r w:rsidRPr="00965D91">
              <w:rPr>
                <w:rFonts w:ascii="Arial Narrow" w:hAnsi="Arial Narrow" w:cs="Arial"/>
                <w:sz w:val="20"/>
                <w:szCs w:val="20"/>
              </w:rPr>
              <w:t xml:space="preserve"> </w:t>
            </w:r>
            <w:r w:rsidRPr="00965D91">
              <w:rPr>
                <w:rFonts w:ascii="Arial Narrow" w:hAnsi="Arial Narrow" w:cs="Arial"/>
                <w:sz w:val="20"/>
                <w:szCs w:val="20"/>
              </w:rPr>
              <w:fldChar w:fldCharType="begin">
                <w:ffData>
                  <w:name w:val=""/>
                  <w:enabled/>
                  <w:calcOnExit w:val="0"/>
                  <w:checkBox>
                    <w:sizeAuto/>
                    <w:default w:val="1"/>
                  </w:checkBox>
                </w:ffData>
              </w:fldChar>
            </w:r>
            <w:r w:rsidRPr="00965D91">
              <w:rPr>
                <w:rFonts w:ascii="Arial Narrow" w:hAnsi="Arial Narrow" w:cs="Arial"/>
                <w:sz w:val="20"/>
                <w:szCs w:val="20"/>
              </w:rPr>
              <w:instrText xml:space="preserve"> FORMCHECKBOX </w:instrText>
            </w:r>
            <w:r w:rsidRPr="00965D91">
              <w:rPr>
                <w:rFonts w:ascii="Arial Narrow" w:hAnsi="Arial Narrow" w:cs="Arial"/>
                <w:sz w:val="20"/>
                <w:szCs w:val="20"/>
              </w:rPr>
            </w:r>
            <w:r w:rsidRPr="00965D91">
              <w:rPr>
                <w:rFonts w:ascii="Arial Narrow" w:hAnsi="Arial Narrow" w:cs="Arial"/>
                <w:sz w:val="20"/>
                <w:szCs w:val="20"/>
              </w:rPr>
              <w:fldChar w:fldCharType="separate"/>
            </w:r>
            <w:r w:rsidRPr="00965D91">
              <w:rPr>
                <w:rFonts w:ascii="Arial Narrow" w:hAnsi="Arial Narrow" w:cs="Arial"/>
                <w:sz w:val="20"/>
                <w:szCs w:val="20"/>
              </w:rPr>
              <w:fldChar w:fldCharType="end"/>
            </w:r>
            <w:r w:rsidRPr="00965D91">
              <w:rPr>
                <w:rFonts w:ascii="Arial Narrow" w:hAnsi="Arial Narrow" w:cs="Arial"/>
                <w:sz w:val="20"/>
                <w:szCs w:val="20"/>
              </w:rPr>
              <w:t xml:space="preserve">Medical Practitioners </w:t>
            </w:r>
          </w:p>
        </w:tc>
      </w:tr>
      <w:tr w:rsidR="00411DC0" w:rsidRPr="00965D91" w14:paraId="5C853657" w14:textId="77777777" w:rsidTr="7FAC855D">
        <w:tblPrEx>
          <w:tblCellMar>
            <w:top w:w="15" w:type="dxa"/>
            <w:bottom w:w="15" w:type="dxa"/>
          </w:tblCellMar>
          <w:tblLook w:val="04A0" w:firstRow="1" w:lastRow="0" w:firstColumn="1" w:lastColumn="0" w:noHBand="0" w:noVBand="1"/>
        </w:tblPrEx>
        <w:trPr>
          <w:trHeight w:val="20"/>
        </w:trPr>
        <w:tc>
          <w:tcPr>
            <w:tcW w:w="1271" w:type="dxa"/>
            <w:gridSpan w:val="2"/>
            <w:vMerge/>
          </w:tcPr>
          <w:p w14:paraId="5C6BD24A" w14:textId="77777777" w:rsidR="00411DC0" w:rsidRPr="00965D91" w:rsidRDefault="00411DC0" w:rsidP="00B34F5F">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6F510D" w14:textId="77777777" w:rsidR="00411DC0" w:rsidRPr="00965D91" w:rsidRDefault="00411DC0" w:rsidP="00B34F5F">
            <w:pPr>
              <w:keepNext/>
              <w:keepLines/>
              <w:rPr>
                <w:rFonts w:ascii="Arial Narrow" w:eastAsia="Calibri" w:hAnsi="Arial Narrow" w:cs="Arial"/>
                <w:color w:val="FF0000"/>
                <w:sz w:val="20"/>
                <w:szCs w:val="20"/>
              </w:rPr>
            </w:pPr>
            <w:r w:rsidRPr="00965D91">
              <w:rPr>
                <w:rFonts w:ascii="Arial Narrow" w:hAnsi="Arial Narrow" w:cs="Arial"/>
                <w:b/>
                <w:sz w:val="20"/>
                <w:szCs w:val="20"/>
              </w:rPr>
              <w:t xml:space="preserve">Restriction type: </w:t>
            </w:r>
            <w:r w:rsidRPr="00965D91">
              <w:rPr>
                <w:rFonts w:ascii="Arial Narrow" w:eastAsia="Calibri" w:hAnsi="Arial Narrow" w:cs="Arial"/>
                <w:sz w:val="20"/>
                <w:szCs w:val="20"/>
              </w:rPr>
              <w:fldChar w:fldCharType="begin">
                <w:ffData>
                  <w:name w:val="Check3"/>
                  <w:enabled/>
                  <w:calcOnExit w:val="0"/>
                  <w:checkBox>
                    <w:sizeAuto/>
                    <w:default w:val="1"/>
                  </w:checkBox>
                </w:ffData>
              </w:fldChar>
            </w:r>
            <w:r w:rsidRPr="00965D91">
              <w:rPr>
                <w:rFonts w:ascii="Arial Narrow" w:eastAsia="Calibri" w:hAnsi="Arial Narrow" w:cs="Arial"/>
                <w:sz w:val="20"/>
                <w:szCs w:val="20"/>
              </w:rPr>
              <w:instrText xml:space="preserve"> FORMCHECKBOX </w:instrText>
            </w:r>
            <w:r w:rsidRPr="00965D91">
              <w:rPr>
                <w:rFonts w:ascii="Arial Narrow" w:eastAsia="Calibri" w:hAnsi="Arial Narrow" w:cs="Arial"/>
                <w:sz w:val="20"/>
                <w:szCs w:val="20"/>
              </w:rPr>
            </w:r>
            <w:r w:rsidRPr="00965D91">
              <w:rPr>
                <w:rFonts w:ascii="Arial Narrow" w:eastAsia="Calibri" w:hAnsi="Arial Narrow" w:cs="Arial"/>
                <w:sz w:val="20"/>
                <w:szCs w:val="20"/>
              </w:rPr>
              <w:fldChar w:fldCharType="separate"/>
            </w:r>
            <w:r w:rsidRPr="00965D91">
              <w:rPr>
                <w:rFonts w:ascii="Arial Narrow" w:eastAsia="Calibri" w:hAnsi="Arial Narrow" w:cs="Arial"/>
                <w:sz w:val="20"/>
                <w:szCs w:val="20"/>
              </w:rPr>
              <w:fldChar w:fldCharType="end"/>
            </w:r>
            <w:r w:rsidRPr="00965D91">
              <w:rPr>
                <w:rFonts w:ascii="Arial Narrow" w:eastAsia="Calibri" w:hAnsi="Arial Narrow" w:cs="Arial"/>
                <w:sz w:val="20"/>
                <w:szCs w:val="20"/>
              </w:rPr>
              <w:t xml:space="preserve">Authority Required (telephone/online PBS Authorities system) </w:t>
            </w:r>
          </w:p>
        </w:tc>
      </w:tr>
      <w:tr w:rsidR="00411DC0" w:rsidRPr="00965D91" w14:paraId="5D9E62D8" w14:textId="77777777" w:rsidTr="7FAC855D">
        <w:tblPrEx>
          <w:tblCellMar>
            <w:top w:w="15" w:type="dxa"/>
            <w:bottom w:w="15" w:type="dxa"/>
          </w:tblCellMar>
          <w:tblLook w:val="04A0" w:firstRow="1" w:lastRow="0" w:firstColumn="1" w:lastColumn="0" w:noHBand="0" w:noVBand="1"/>
        </w:tblPrEx>
        <w:trPr>
          <w:trHeight w:val="20"/>
        </w:trPr>
        <w:tc>
          <w:tcPr>
            <w:tcW w:w="1271" w:type="dxa"/>
            <w:gridSpan w:val="2"/>
            <w:vMerge/>
          </w:tcPr>
          <w:p w14:paraId="7D82808B" w14:textId="77777777" w:rsidR="00411DC0" w:rsidRPr="00965D91" w:rsidRDefault="00411DC0" w:rsidP="00B34F5F">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28A45A4" w14:textId="77777777" w:rsidR="00411DC0" w:rsidRPr="00965D91" w:rsidRDefault="00411DC0" w:rsidP="00B34F5F">
            <w:pPr>
              <w:keepNext/>
              <w:keepLines/>
              <w:jc w:val="left"/>
              <w:rPr>
                <w:rFonts w:ascii="Arial Narrow" w:hAnsi="Arial Narrow" w:cs="Arial"/>
                <w:b/>
                <w:color w:val="FF0000"/>
                <w:sz w:val="20"/>
                <w:szCs w:val="20"/>
              </w:rPr>
            </w:pPr>
            <w:r w:rsidRPr="00965D91">
              <w:rPr>
                <w:rFonts w:ascii="Arial Narrow" w:hAnsi="Arial Narrow" w:cs="Arial"/>
                <w:b/>
                <w:sz w:val="20"/>
                <w:szCs w:val="20"/>
              </w:rPr>
              <w:t xml:space="preserve">Authority type: </w:t>
            </w:r>
            <w:r w:rsidRPr="00965D91">
              <w:rPr>
                <w:rFonts w:ascii="Arial Narrow" w:eastAsia="Calibri" w:hAnsi="Arial Narrow" w:cs="Arial"/>
                <w:sz w:val="20"/>
                <w:szCs w:val="20"/>
              </w:rPr>
              <w:fldChar w:fldCharType="begin">
                <w:ffData>
                  <w:name w:val="Check1"/>
                  <w:enabled/>
                  <w:calcOnExit w:val="0"/>
                  <w:checkBox>
                    <w:sizeAuto/>
                    <w:default w:val="1"/>
                  </w:checkBox>
                </w:ffData>
              </w:fldChar>
            </w:r>
            <w:r w:rsidRPr="00965D91">
              <w:rPr>
                <w:rFonts w:ascii="Arial Narrow" w:eastAsia="Calibri" w:hAnsi="Arial Narrow" w:cs="Arial"/>
                <w:sz w:val="20"/>
                <w:szCs w:val="20"/>
              </w:rPr>
              <w:instrText xml:space="preserve"> FORMCHECKBOX </w:instrText>
            </w:r>
            <w:r w:rsidRPr="00965D91">
              <w:rPr>
                <w:rFonts w:ascii="Arial Narrow" w:eastAsia="Calibri" w:hAnsi="Arial Narrow" w:cs="Arial"/>
                <w:sz w:val="20"/>
                <w:szCs w:val="20"/>
              </w:rPr>
            </w:r>
            <w:r w:rsidRPr="00965D91">
              <w:rPr>
                <w:rFonts w:ascii="Arial Narrow" w:eastAsia="Calibri" w:hAnsi="Arial Narrow" w:cs="Arial"/>
                <w:sz w:val="20"/>
                <w:szCs w:val="20"/>
              </w:rPr>
              <w:fldChar w:fldCharType="separate"/>
            </w:r>
            <w:r w:rsidRPr="00965D91">
              <w:rPr>
                <w:rFonts w:ascii="Arial Narrow" w:eastAsia="Calibri" w:hAnsi="Arial Narrow" w:cs="Arial"/>
                <w:sz w:val="20"/>
                <w:szCs w:val="20"/>
              </w:rPr>
              <w:fldChar w:fldCharType="end"/>
            </w:r>
            <w:r w:rsidRPr="00965D91">
              <w:rPr>
                <w:rFonts w:ascii="Arial Narrow" w:eastAsia="Calibri" w:hAnsi="Arial Narrow" w:cs="Arial"/>
                <w:sz w:val="20"/>
                <w:szCs w:val="20"/>
              </w:rPr>
              <w:t xml:space="preserve"> Non-complex Authority Required (non-CAR)</w:t>
            </w:r>
          </w:p>
        </w:tc>
      </w:tr>
      <w:tr w:rsidR="00423B6E" w:rsidRPr="00965D91" w14:paraId="5740F943" w14:textId="77777777" w:rsidTr="7FAC855D">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2042D023" w14:textId="77777777" w:rsidR="00423B6E" w:rsidRPr="00965D91" w:rsidRDefault="00423B6E" w:rsidP="00B34F5F">
            <w:pPr>
              <w:keepNext/>
              <w:jc w:val="center"/>
              <w:rPr>
                <w:rFonts w:ascii="Arial Narrow" w:hAnsi="Arial Narrow" w:cs="Arial"/>
                <w:sz w:val="20"/>
                <w:szCs w:val="20"/>
              </w:rPr>
            </w:pPr>
            <w:r w:rsidRPr="00965D91">
              <w:rPr>
                <w:rFonts w:ascii="Arial Narrow" w:hAnsi="Arial Narrow" w:cs="Arial"/>
                <w:sz w:val="20"/>
                <w:szCs w:val="20"/>
              </w:rPr>
              <w:t>Prescribing rule level</w:t>
            </w:r>
          </w:p>
        </w:tc>
        <w:tc>
          <w:tcPr>
            <w:tcW w:w="784" w:type="dxa"/>
            <w:vAlign w:val="center"/>
          </w:tcPr>
          <w:p w14:paraId="3E37961F" w14:textId="5B0BF719" w:rsidR="00423B6E" w:rsidRPr="00965D91" w:rsidRDefault="00423B6E" w:rsidP="00B34F5F">
            <w:pPr>
              <w:keepNext/>
              <w:jc w:val="center"/>
              <w:rPr>
                <w:rFonts w:ascii="Arial Narrow" w:hAnsi="Arial Narrow"/>
                <w:color w:val="333333"/>
                <w:sz w:val="20"/>
                <w:szCs w:val="20"/>
              </w:rPr>
            </w:pPr>
          </w:p>
        </w:tc>
        <w:tc>
          <w:tcPr>
            <w:tcW w:w="7745" w:type="dxa"/>
            <w:gridSpan w:val="6"/>
            <w:vAlign w:val="center"/>
          </w:tcPr>
          <w:p w14:paraId="75870112" w14:textId="77777777" w:rsidR="00423B6E" w:rsidRPr="00965D91" w:rsidRDefault="00423B6E" w:rsidP="00B34F5F">
            <w:pPr>
              <w:keepNext/>
              <w:rPr>
                <w:rFonts w:ascii="Arial Narrow" w:hAnsi="Arial Narrow"/>
                <w:sz w:val="20"/>
                <w:szCs w:val="20"/>
              </w:rPr>
            </w:pPr>
            <w:r w:rsidRPr="00965D91">
              <w:rPr>
                <w:rFonts w:ascii="Arial Narrow" w:hAnsi="Arial Narrow"/>
                <w:b/>
                <w:bCs/>
                <w:sz w:val="20"/>
                <w:szCs w:val="20"/>
              </w:rPr>
              <w:t xml:space="preserve">Administrative Advice: </w:t>
            </w:r>
            <w:r w:rsidRPr="00965D91">
              <w:rPr>
                <w:rFonts w:ascii="Arial Narrow" w:hAnsi="Arial Narrow"/>
                <w:bCs/>
                <w:sz w:val="20"/>
                <w:szCs w:val="20"/>
              </w:rPr>
              <w:t>No increase in the maximum quantity or number of units may be authorised.</w:t>
            </w:r>
          </w:p>
        </w:tc>
      </w:tr>
      <w:tr w:rsidR="00423B6E" w:rsidRPr="00965D91" w14:paraId="6F5D480F" w14:textId="77777777" w:rsidTr="7FAC855D">
        <w:tblPrEx>
          <w:tblCellMar>
            <w:top w:w="15" w:type="dxa"/>
            <w:bottom w:w="15" w:type="dxa"/>
          </w:tblCellMar>
          <w:tblLook w:val="04A0" w:firstRow="1" w:lastRow="0" w:firstColumn="1" w:lastColumn="0" w:noHBand="0" w:noVBand="1"/>
        </w:tblPrEx>
        <w:trPr>
          <w:trHeight w:val="20"/>
        </w:trPr>
        <w:tc>
          <w:tcPr>
            <w:tcW w:w="487" w:type="dxa"/>
            <w:vMerge/>
          </w:tcPr>
          <w:p w14:paraId="72A76491" w14:textId="77777777" w:rsidR="00423B6E" w:rsidRPr="00965D91" w:rsidRDefault="00423B6E" w:rsidP="00B34F5F">
            <w:pPr>
              <w:keepNext/>
              <w:rPr>
                <w:rFonts w:ascii="Arial Narrow" w:hAnsi="Arial Narrow" w:cs="Arial"/>
                <w:sz w:val="20"/>
                <w:szCs w:val="20"/>
              </w:rPr>
            </w:pPr>
          </w:p>
        </w:tc>
        <w:tc>
          <w:tcPr>
            <w:tcW w:w="784" w:type="dxa"/>
            <w:vAlign w:val="center"/>
          </w:tcPr>
          <w:p w14:paraId="1AC9F7BA" w14:textId="4B403701" w:rsidR="00423B6E" w:rsidRPr="00965D91" w:rsidRDefault="00423B6E" w:rsidP="00B34F5F">
            <w:pPr>
              <w:keepNext/>
              <w:jc w:val="center"/>
              <w:rPr>
                <w:rFonts w:ascii="Arial Narrow" w:hAnsi="Arial Narrow"/>
                <w:sz w:val="20"/>
                <w:szCs w:val="20"/>
              </w:rPr>
            </w:pPr>
          </w:p>
        </w:tc>
        <w:tc>
          <w:tcPr>
            <w:tcW w:w="7745" w:type="dxa"/>
            <w:gridSpan w:val="6"/>
            <w:vAlign w:val="center"/>
          </w:tcPr>
          <w:p w14:paraId="51316785" w14:textId="77777777" w:rsidR="00423B6E" w:rsidRPr="00965D91" w:rsidRDefault="00423B6E" w:rsidP="00B34F5F">
            <w:pPr>
              <w:keepNext/>
              <w:rPr>
                <w:rFonts w:ascii="Arial Narrow" w:hAnsi="Arial Narrow"/>
                <w:b/>
                <w:bCs/>
                <w:sz w:val="20"/>
                <w:szCs w:val="20"/>
              </w:rPr>
            </w:pPr>
            <w:r w:rsidRPr="00965D91">
              <w:rPr>
                <w:rFonts w:ascii="Arial Narrow" w:hAnsi="Arial Narrow"/>
                <w:b/>
                <w:bCs/>
                <w:sz w:val="20"/>
                <w:szCs w:val="20"/>
              </w:rPr>
              <w:t xml:space="preserve">Administrative Advice: </w:t>
            </w:r>
            <w:r w:rsidRPr="00965D91">
              <w:rPr>
                <w:rFonts w:ascii="Arial Narrow" w:hAnsi="Arial Narrow"/>
                <w:bCs/>
                <w:sz w:val="20"/>
                <w:szCs w:val="20"/>
              </w:rPr>
              <w:t>No increase in the maximum number of repeats may be authorised.</w:t>
            </w:r>
          </w:p>
        </w:tc>
      </w:tr>
      <w:tr w:rsidR="00423B6E" w:rsidRPr="00965D91" w14:paraId="6B914C31" w14:textId="77777777" w:rsidTr="7FAC855D">
        <w:tblPrEx>
          <w:tblCellMar>
            <w:top w:w="15" w:type="dxa"/>
            <w:bottom w:w="15" w:type="dxa"/>
          </w:tblCellMar>
          <w:tblLook w:val="04A0" w:firstRow="1" w:lastRow="0" w:firstColumn="1" w:lastColumn="0" w:noHBand="0" w:noVBand="1"/>
        </w:tblPrEx>
        <w:trPr>
          <w:trHeight w:val="20"/>
        </w:trPr>
        <w:tc>
          <w:tcPr>
            <w:tcW w:w="487" w:type="dxa"/>
            <w:vMerge/>
          </w:tcPr>
          <w:p w14:paraId="68A2531E" w14:textId="77777777" w:rsidR="00423B6E" w:rsidRPr="00965D91" w:rsidRDefault="00423B6E" w:rsidP="00B34F5F">
            <w:pPr>
              <w:keepNext/>
              <w:rPr>
                <w:rFonts w:ascii="Arial Narrow" w:hAnsi="Arial Narrow" w:cs="Arial"/>
                <w:sz w:val="20"/>
                <w:szCs w:val="20"/>
              </w:rPr>
            </w:pPr>
          </w:p>
        </w:tc>
        <w:tc>
          <w:tcPr>
            <w:tcW w:w="784" w:type="dxa"/>
            <w:vAlign w:val="center"/>
          </w:tcPr>
          <w:p w14:paraId="365BA6DA" w14:textId="38357E60" w:rsidR="00423B6E" w:rsidRPr="00965D91" w:rsidRDefault="00423B6E" w:rsidP="00B34F5F">
            <w:pPr>
              <w:keepNext/>
              <w:jc w:val="center"/>
              <w:rPr>
                <w:rFonts w:ascii="Arial Narrow" w:hAnsi="Arial Narrow"/>
                <w:sz w:val="20"/>
                <w:szCs w:val="20"/>
              </w:rPr>
            </w:pPr>
          </w:p>
        </w:tc>
        <w:tc>
          <w:tcPr>
            <w:tcW w:w="7745" w:type="dxa"/>
            <w:gridSpan w:val="6"/>
            <w:vAlign w:val="center"/>
          </w:tcPr>
          <w:p w14:paraId="751CC3D2" w14:textId="77777777" w:rsidR="00423B6E" w:rsidRPr="00965D91" w:rsidRDefault="00423B6E" w:rsidP="00B34F5F">
            <w:pPr>
              <w:keepNext/>
              <w:rPr>
                <w:rFonts w:ascii="Arial Narrow" w:hAnsi="Arial Narrow"/>
                <w:b/>
                <w:bCs/>
                <w:sz w:val="20"/>
                <w:szCs w:val="20"/>
              </w:rPr>
            </w:pPr>
            <w:r w:rsidRPr="00965D91">
              <w:rPr>
                <w:rFonts w:ascii="Arial Narrow" w:hAnsi="Arial Narrow"/>
                <w:b/>
                <w:bCs/>
                <w:sz w:val="20"/>
                <w:szCs w:val="20"/>
              </w:rPr>
              <w:t xml:space="preserve">Administrative Advice: </w:t>
            </w:r>
            <w:r w:rsidRPr="00965D9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423B6E" w:rsidRPr="00965D91" w14:paraId="4023B9E7"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024EC36" w14:textId="2ACB77AB" w:rsidR="00423B6E" w:rsidRPr="00965D91" w:rsidRDefault="00423B6E" w:rsidP="00B34F5F">
            <w:pPr>
              <w:keepNext/>
              <w:keepLines/>
              <w:jc w:val="center"/>
              <w:rPr>
                <w:rFonts w:ascii="Arial Narrow" w:hAnsi="Arial Narrow"/>
                <w:sz w:val="20"/>
                <w:szCs w:val="20"/>
              </w:rPr>
            </w:pPr>
          </w:p>
        </w:tc>
        <w:tc>
          <w:tcPr>
            <w:tcW w:w="7745" w:type="dxa"/>
            <w:gridSpan w:val="6"/>
            <w:vAlign w:val="center"/>
            <w:hideMark/>
          </w:tcPr>
          <w:p w14:paraId="6386A98F" w14:textId="77777777" w:rsidR="00423B6E" w:rsidRPr="00965D91" w:rsidRDefault="00423B6E" w:rsidP="00B34F5F">
            <w:pPr>
              <w:keepNext/>
              <w:keepLines/>
              <w:rPr>
                <w:rFonts w:ascii="Arial Narrow" w:hAnsi="Arial Narrow"/>
                <w:color w:val="333333"/>
                <w:sz w:val="20"/>
                <w:szCs w:val="20"/>
              </w:rPr>
            </w:pPr>
            <w:r w:rsidRPr="00965D91">
              <w:rPr>
                <w:rFonts w:ascii="Arial Narrow" w:hAnsi="Arial Narrow"/>
                <w:b/>
                <w:bCs/>
                <w:sz w:val="20"/>
                <w:szCs w:val="20"/>
              </w:rPr>
              <w:t>Indication:</w:t>
            </w:r>
            <w:r w:rsidRPr="00965D91">
              <w:rPr>
                <w:rFonts w:ascii="Arial Narrow" w:hAnsi="Arial Narrow"/>
                <w:sz w:val="20"/>
                <w:szCs w:val="20"/>
              </w:rPr>
              <w:t xml:space="preserve"> </w:t>
            </w:r>
            <w:r w:rsidRPr="00965D91">
              <w:rPr>
                <w:rFonts w:ascii="Arial Narrow" w:hAnsi="Arial Narrow" w:cs="Arial Narrow"/>
                <w:iCs/>
                <w:sz w:val="20"/>
                <w:szCs w:val="20"/>
              </w:rPr>
              <w:t>Amyotrophic lateral sclerosis</w:t>
            </w:r>
          </w:p>
        </w:tc>
      </w:tr>
      <w:tr w:rsidR="00423B6E" w:rsidRPr="00965D91" w14:paraId="19863F08"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359F9C6C" w14:textId="77777777" w:rsidR="00423B6E" w:rsidRPr="00965D91" w:rsidRDefault="00423B6E" w:rsidP="00B34F5F">
            <w:pPr>
              <w:keepNext/>
              <w:jc w:val="center"/>
              <w:rPr>
                <w:rFonts w:ascii="Arial Narrow" w:hAnsi="Arial Narrow"/>
                <w:sz w:val="20"/>
                <w:szCs w:val="20"/>
              </w:rPr>
            </w:pPr>
          </w:p>
        </w:tc>
        <w:tc>
          <w:tcPr>
            <w:tcW w:w="7745" w:type="dxa"/>
            <w:gridSpan w:val="6"/>
            <w:vAlign w:val="center"/>
            <w:hideMark/>
          </w:tcPr>
          <w:p w14:paraId="4740BC57" w14:textId="7D158AEC" w:rsidR="00423B6E" w:rsidRPr="00965D91" w:rsidRDefault="00423B6E" w:rsidP="00B34F5F">
            <w:pPr>
              <w:keepNext/>
              <w:rPr>
                <w:rFonts w:ascii="Arial Narrow" w:hAnsi="Arial Narrow"/>
                <w:sz w:val="20"/>
                <w:szCs w:val="20"/>
              </w:rPr>
            </w:pPr>
            <w:r w:rsidRPr="00965D91">
              <w:rPr>
                <w:rFonts w:ascii="Arial Narrow" w:hAnsi="Arial Narrow"/>
                <w:b/>
                <w:bCs/>
                <w:i/>
                <w:iCs/>
                <w:sz w:val="20"/>
                <w:szCs w:val="20"/>
              </w:rPr>
              <w:t>Treatment Phase</w:t>
            </w:r>
            <w:r w:rsidRPr="00965D91">
              <w:rPr>
                <w:rFonts w:ascii="Arial Narrow" w:hAnsi="Arial Narrow"/>
                <w:b/>
                <w:bCs/>
                <w:sz w:val="20"/>
                <w:szCs w:val="20"/>
              </w:rPr>
              <w:t>:</w:t>
            </w:r>
            <w:r w:rsidRPr="00965D91">
              <w:rPr>
                <w:rFonts w:ascii="Arial Narrow" w:hAnsi="Arial Narrow"/>
                <w:sz w:val="20"/>
                <w:szCs w:val="20"/>
              </w:rPr>
              <w:t xml:space="preserve"> </w:t>
            </w:r>
            <w:r w:rsidRPr="00965D91">
              <w:rPr>
                <w:rFonts w:ascii="Arial Narrow" w:hAnsi="Arial Narrow"/>
                <w:i/>
                <w:iCs/>
                <w:sz w:val="20"/>
                <w:szCs w:val="20"/>
              </w:rPr>
              <w:t xml:space="preserve">Continuing treatment </w:t>
            </w:r>
          </w:p>
        </w:tc>
      </w:tr>
      <w:tr w:rsidR="00423B6E" w:rsidRPr="00965D91" w14:paraId="4BD46300"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E2CDF30" w14:textId="06F27210" w:rsidR="00423B6E" w:rsidRPr="00965D91" w:rsidRDefault="00423B6E" w:rsidP="00B34F5F">
            <w:pPr>
              <w:keepNext/>
              <w:jc w:val="center"/>
              <w:rPr>
                <w:rFonts w:ascii="Arial Narrow" w:hAnsi="Arial Narrow"/>
                <w:sz w:val="20"/>
                <w:szCs w:val="20"/>
              </w:rPr>
            </w:pPr>
          </w:p>
        </w:tc>
        <w:tc>
          <w:tcPr>
            <w:tcW w:w="7745" w:type="dxa"/>
            <w:gridSpan w:val="6"/>
            <w:vAlign w:val="center"/>
            <w:hideMark/>
          </w:tcPr>
          <w:p w14:paraId="2A7B00A4" w14:textId="77777777" w:rsidR="00423B6E" w:rsidRPr="00965D91" w:rsidRDefault="00423B6E" w:rsidP="00B34F5F">
            <w:pPr>
              <w:keepNext/>
              <w:rPr>
                <w:rFonts w:ascii="Arial Narrow" w:hAnsi="Arial Narrow"/>
                <w:i/>
                <w:iCs/>
                <w:sz w:val="20"/>
                <w:szCs w:val="20"/>
              </w:rPr>
            </w:pPr>
            <w:r w:rsidRPr="00965D91">
              <w:rPr>
                <w:rFonts w:ascii="Arial Narrow" w:hAnsi="Arial Narrow"/>
                <w:b/>
                <w:bCs/>
                <w:i/>
                <w:iCs/>
                <w:sz w:val="20"/>
                <w:szCs w:val="20"/>
              </w:rPr>
              <w:t xml:space="preserve">Clinical criteria: </w:t>
            </w:r>
          </w:p>
        </w:tc>
      </w:tr>
      <w:tr w:rsidR="00423B6E" w:rsidRPr="00965D91" w14:paraId="2F906A82"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E6E585" w14:textId="37CABC49" w:rsidR="00423B6E" w:rsidRPr="00965D91" w:rsidRDefault="00423B6E" w:rsidP="00B34F5F">
            <w:pPr>
              <w:keepNext/>
              <w:jc w:val="center"/>
              <w:rPr>
                <w:rFonts w:ascii="Arial Narrow" w:hAnsi="Arial Narrow"/>
                <w:i/>
                <w:iCs/>
                <w:sz w:val="20"/>
                <w:szCs w:val="20"/>
              </w:rPr>
            </w:pPr>
          </w:p>
        </w:tc>
        <w:tc>
          <w:tcPr>
            <w:tcW w:w="7745" w:type="dxa"/>
            <w:gridSpan w:val="6"/>
            <w:vAlign w:val="center"/>
            <w:hideMark/>
          </w:tcPr>
          <w:p w14:paraId="0DFFF616" w14:textId="2FF15B79" w:rsidR="00423B6E" w:rsidRPr="00965D91" w:rsidRDefault="000C45D2" w:rsidP="00B34F5F">
            <w:pPr>
              <w:keepNext/>
              <w:jc w:val="left"/>
              <w:rPr>
                <w:rFonts w:ascii="Arial Narrow" w:hAnsi="Arial Narrow"/>
                <w:i/>
                <w:iCs/>
                <w:color w:val="333333"/>
                <w:sz w:val="20"/>
                <w:szCs w:val="20"/>
              </w:rPr>
            </w:pPr>
            <w:r w:rsidRPr="00965D91">
              <w:rPr>
                <w:rFonts w:ascii="Arial Narrow" w:hAnsi="Arial Narrow"/>
                <w:i/>
                <w:iCs/>
                <w:sz w:val="20"/>
                <w:szCs w:val="20"/>
              </w:rPr>
              <w:t>Patient must have previously received treatment with this drug for this condition</w:t>
            </w:r>
          </w:p>
        </w:tc>
      </w:tr>
      <w:tr w:rsidR="00423B6E" w:rsidRPr="00965D91" w14:paraId="74CB5239"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252BFC3" w14:textId="77777777" w:rsidR="00423B6E" w:rsidRPr="00965D91" w:rsidRDefault="00423B6E" w:rsidP="00B34F5F">
            <w:pPr>
              <w:keepNext/>
              <w:jc w:val="center"/>
              <w:rPr>
                <w:rFonts w:ascii="Arial Narrow" w:hAnsi="Arial Narrow"/>
                <w:sz w:val="20"/>
                <w:szCs w:val="20"/>
              </w:rPr>
            </w:pPr>
          </w:p>
        </w:tc>
        <w:tc>
          <w:tcPr>
            <w:tcW w:w="7745" w:type="dxa"/>
            <w:gridSpan w:val="6"/>
            <w:vAlign w:val="center"/>
            <w:hideMark/>
          </w:tcPr>
          <w:p w14:paraId="4B938111" w14:textId="77777777" w:rsidR="00423B6E" w:rsidRPr="00965D91" w:rsidRDefault="00423B6E" w:rsidP="00B34F5F">
            <w:pPr>
              <w:keepNext/>
              <w:jc w:val="left"/>
              <w:rPr>
                <w:rFonts w:ascii="Arial Narrow" w:hAnsi="Arial Narrow"/>
                <w:i/>
                <w:iCs/>
                <w:sz w:val="20"/>
                <w:szCs w:val="20"/>
              </w:rPr>
            </w:pPr>
            <w:r w:rsidRPr="00965D91">
              <w:rPr>
                <w:rFonts w:ascii="Arial Narrow" w:hAnsi="Arial Narrow"/>
                <w:b/>
                <w:bCs/>
                <w:i/>
                <w:iCs/>
                <w:sz w:val="20"/>
                <w:szCs w:val="20"/>
              </w:rPr>
              <w:t>AND</w:t>
            </w:r>
          </w:p>
        </w:tc>
      </w:tr>
      <w:tr w:rsidR="00423B6E" w:rsidRPr="00965D91" w14:paraId="355CDB28"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7926F11" w14:textId="3DD4C5B4" w:rsidR="00423B6E" w:rsidRPr="00965D91" w:rsidRDefault="00423B6E" w:rsidP="00B34F5F">
            <w:pPr>
              <w:keepNext/>
              <w:jc w:val="center"/>
              <w:rPr>
                <w:rFonts w:ascii="Arial Narrow" w:hAnsi="Arial Narrow"/>
                <w:i/>
                <w:iCs/>
                <w:sz w:val="20"/>
                <w:szCs w:val="20"/>
              </w:rPr>
            </w:pPr>
          </w:p>
        </w:tc>
        <w:tc>
          <w:tcPr>
            <w:tcW w:w="7745" w:type="dxa"/>
            <w:gridSpan w:val="6"/>
            <w:vAlign w:val="center"/>
          </w:tcPr>
          <w:p w14:paraId="37BBA95B" w14:textId="53EE184C" w:rsidR="00423B6E" w:rsidRPr="00965D91" w:rsidRDefault="00423B6E" w:rsidP="00B34F5F">
            <w:pPr>
              <w:keepNext/>
              <w:jc w:val="left"/>
              <w:rPr>
                <w:rFonts w:ascii="Arial Narrow" w:hAnsi="Arial Narrow"/>
                <w:b/>
                <w:bCs/>
                <w:i/>
                <w:iCs/>
                <w:strike/>
                <w:sz w:val="20"/>
                <w:szCs w:val="20"/>
              </w:rPr>
            </w:pPr>
            <w:r w:rsidRPr="00965D91">
              <w:rPr>
                <w:rFonts w:ascii="Arial Narrow" w:hAnsi="Arial Narrow"/>
                <w:b/>
                <w:bCs/>
                <w:i/>
                <w:iCs/>
                <w:sz w:val="20"/>
                <w:szCs w:val="20"/>
              </w:rPr>
              <w:t>Clinical criteria:</w:t>
            </w:r>
            <w:r w:rsidRPr="00965D91">
              <w:rPr>
                <w:rFonts w:ascii="Arial Narrow" w:hAnsi="Arial Narrow"/>
                <w:b/>
                <w:bCs/>
                <w:i/>
                <w:iCs/>
                <w:strike/>
                <w:sz w:val="20"/>
                <w:szCs w:val="20"/>
              </w:rPr>
              <w:t xml:space="preserve"> </w:t>
            </w:r>
          </w:p>
        </w:tc>
      </w:tr>
      <w:tr w:rsidR="00423B6E" w:rsidRPr="00965D91" w14:paraId="0791F72A"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2A5AB2B" w14:textId="1B060CAD" w:rsidR="00423B6E" w:rsidRPr="00965D91" w:rsidRDefault="00423B6E" w:rsidP="00B34F5F">
            <w:pPr>
              <w:keepNext/>
              <w:jc w:val="center"/>
              <w:rPr>
                <w:rFonts w:ascii="Arial Narrow" w:hAnsi="Arial Narrow"/>
                <w:i/>
                <w:iCs/>
                <w:sz w:val="20"/>
                <w:szCs w:val="20"/>
              </w:rPr>
            </w:pPr>
          </w:p>
        </w:tc>
        <w:tc>
          <w:tcPr>
            <w:tcW w:w="7745" w:type="dxa"/>
            <w:gridSpan w:val="6"/>
            <w:vAlign w:val="center"/>
          </w:tcPr>
          <w:p w14:paraId="68A4710D" w14:textId="1E136FAB" w:rsidR="00423B6E" w:rsidRPr="00965D91" w:rsidRDefault="00DA4F69" w:rsidP="00B34F5F">
            <w:pPr>
              <w:keepNext/>
              <w:jc w:val="left"/>
              <w:rPr>
                <w:rFonts w:ascii="Arial Narrow" w:hAnsi="Arial Narrow"/>
                <w:b/>
                <w:bCs/>
                <w:i/>
                <w:iCs/>
                <w:sz w:val="20"/>
                <w:szCs w:val="20"/>
              </w:rPr>
            </w:pPr>
            <w:r w:rsidRPr="00965D91">
              <w:rPr>
                <w:rFonts w:ascii="Arial Narrow" w:hAnsi="Arial Narrow"/>
                <w:i/>
                <w:iCs/>
                <w:color w:val="333333"/>
                <w:sz w:val="20"/>
                <w:szCs w:val="20"/>
              </w:rPr>
              <w:t>The condition must have been diagnosed by a neurologist</w:t>
            </w:r>
          </w:p>
        </w:tc>
      </w:tr>
      <w:tr w:rsidR="00423B6E" w:rsidRPr="00965D91" w14:paraId="20D15B5D"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66EBB82" w14:textId="77777777" w:rsidR="00423B6E" w:rsidRPr="00965D91" w:rsidRDefault="00423B6E" w:rsidP="00B34F5F">
            <w:pPr>
              <w:keepNext/>
              <w:jc w:val="center"/>
              <w:rPr>
                <w:rFonts w:ascii="Arial Narrow" w:hAnsi="Arial Narrow"/>
                <w:sz w:val="20"/>
                <w:szCs w:val="20"/>
              </w:rPr>
            </w:pPr>
          </w:p>
        </w:tc>
        <w:tc>
          <w:tcPr>
            <w:tcW w:w="7745" w:type="dxa"/>
            <w:gridSpan w:val="6"/>
            <w:vAlign w:val="center"/>
          </w:tcPr>
          <w:p w14:paraId="311C2C04" w14:textId="6ABCAA20" w:rsidR="00423B6E" w:rsidRPr="00965D91" w:rsidRDefault="00423B6E" w:rsidP="00B34F5F">
            <w:pPr>
              <w:keepNext/>
              <w:jc w:val="left"/>
              <w:rPr>
                <w:rFonts w:ascii="Arial Narrow" w:hAnsi="Arial Narrow"/>
                <w:b/>
                <w:bCs/>
                <w:i/>
                <w:iCs/>
                <w:sz w:val="20"/>
                <w:szCs w:val="20"/>
              </w:rPr>
            </w:pPr>
            <w:r w:rsidRPr="00965D91">
              <w:rPr>
                <w:rFonts w:ascii="Arial Narrow" w:hAnsi="Arial Narrow"/>
                <w:b/>
                <w:bCs/>
                <w:i/>
                <w:iCs/>
                <w:sz w:val="20"/>
                <w:szCs w:val="20"/>
              </w:rPr>
              <w:t>AND</w:t>
            </w:r>
          </w:p>
        </w:tc>
      </w:tr>
      <w:tr w:rsidR="00423B6E" w:rsidRPr="00965D91" w14:paraId="52FBA0B8"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487597C" w14:textId="6DA3A376" w:rsidR="00423B6E" w:rsidRPr="00965D91" w:rsidRDefault="00423B6E" w:rsidP="00B34F5F">
            <w:pPr>
              <w:keepNext/>
              <w:jc w:val="center"/>
              <w:rPr>
                <w:rFonts w:ascii="Arial Narrow" w:hAnsi="Arial Narrow"/>
                <w:i/>
                <w:iCs/>
                <w:sz w:val="20"/>
                <w:szCs w:val="20"/>
              </w:rPr>
            </w:pPr>
          </w:p>
        </w:tc>
        <w:tc>
          <w:tcPr>
            <w:tcW w:w="7745" w:type="dxa"/>
            <w:gridSpan w:val="6"/>
            <w:vAlign w:val="center"/>
          </w:tcPr>
          <w:p w14:paraId="6780CB14" w14:textId="12E5F40F" w:rsidR="00423B6E" w:rsidRPr="00965D91" w:rsidRDefault="00423B6E" w:rsidP="00B34F5F">
            <w:pPr>
              <w:keepNext/>
              <w:jc w:val="left"/>
              <w:rPr>
                <w:rFonts w:ascii="Arial Narrow" w:hAnsi="Arial Narrow"/>
                <w:b/>
                <w:bCs/>
                <w:i/>
                <w:iCs/>
                <w:sz w:val="20"/>
                <w:szCs w:val="20"/>
              </w:rPr>
            </w:pPr>
            <w:r w:rsidRPr="00965D91">
              <w:rPr>
                <w:rFonts w:ascii="Arial Narrow" w:hAnsi="Arial Narrow"/>
                <w:b/>
                <w:bCs/>
                <w:i/>
                <w:iCs/>
                <w:sz w:val="20"/>
                <w:szCs w:val="20"/>
              </w:rPr>
              <w:t>Clinical criteria:</w:t>
            </w:r>
          </w:p>
        </w:tc>
      </w:tr>
      <w:tr w:rsidR="00423B6E" w:rsidRPr="00965D91" w14:paraId="3745A83E"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1755373" w14:textId="2F3E321C" w:rsidR="00423B6E" w:rsidRPr="00965D91" w:rsidRDefault="00423B6E" w:rsidP="00B34F5F">
            <w:pPr>
              <w:keepNext/>
              <w:jc w:val="center"/>
              <w:rPr>
                <w:rFonts w:ascii="Arial Narrow" w:hAnsi="Arial Narrow"/>
                <w:sz w:val="20"/>
                <w:szCs w:val="20"/>
              </w:rPr>
            </w:pPr>
          </w:p>
        </w:tc>
        <w:tc>
          <w:tcPr>
            <w:tcW w:w="7745" w:type="dxa"/>
            <w:gridSpan w:val="6"/>
            <w:vAlign w:val="center"/>
          </w:tcPr>
          <w:p w14:paraId="2D0F192D" w14:textId="4B3B9D32" w:rsidR="00423B6E" w:rsidRPr="00965D91" w:rsidRDefault="00F369E3" w:rsidP="00B34F5F">
            <w:pPr>
              <w:keepNext/>
              <w:jc w:val="left"/>
              <w:rPr>
                <w:rFonts w:ascii="Arial Narrow" w:hAnsi="Arial Narrow"/>
                <w:b/>
                <w:bCs/>
                <w:i/>
                <w:iCs/>
                <w:sz w:val="20"/>
                <w:szCs w:val="20"/>
              </w:rPr>
            </w:pPr>
            <w:r w:rsidRPr="00965D91">
              <w:rPr>
                <w:rFonts w:ascii="Arial Narrow" w:hAnsi="Arial Narrow"/>
                <w:i/>
                <w:iCs/>
                <w:sz w:val="20"/>
                <w:szCs w:val="20"/>
              </w:rPr>
              <w:t xml:space="preserve">At the time of starting </w:t>
            </w:r>
            <w:proofErr w:type="gramStart"/>
            <w:r w:rsidRPr="00965D91">
              <w:rPr>
                <w:rFonts w:ascii="Arial Narrow" w:hAnsi="Arial Narrow"/>
                <w:i/>
                <w:iCs/>
                <w:sz w:val="20"/>
                <w:szCs w:val="20"/>
              </w:rPr>
              <w:t>therapy</w:t>
            </w:r>
            <w:proofErr w:type="gramEnd"/>
            <w:r w:rsidRPr="00965D91">
              <w:rPr>
                <w:rFonts w:ascii="Arial Narrow" w:hAnsi="Arial Narrow"/>
                <w:i/>
                <w:iCs/>
                <w:sz w:val="20"/>
                <w:szCs w:val="20"/>
              </w:rPr>
              <w:t xml:space="preserve"> the patient must not have had the disease for more than 2 years</w:t>
            </w:r>
          </w:p>
        </w:tc>
      </w:tr>
      <w:tr w:rsidR="00423B6E" w:rsidRPr="00965D91" w14:paraId="0304D06C"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CDBAE32" w14:textId="77777777" w:rsidR="00423B6E" w:rsidRPr="00965D91" w:rsidRDefault="00423B6E" w:rsidP="00B34F5F">
            <w:pPr>
              <w:keepNext/>
              <w:jc w:val="center"/>
              <w:rPr>
                <w:rFonts w:ascii="Arial Narrow" w:hAnsi="Arial Narrow"/>
                <w:sz w:val="20"/>
                <w:szCs w:val="20"/>
              </w:rPr>
            </w:pPr>
          </w:p>
        </w:tc>
        <w:tc>
          <w:tcPr>
            <w:tcW w:w="7745" w:type="dxa"/>
            <w:gridSpan w:val="6"/>
            <w:vAlign w:val="center"/>
          </w:tcPr>
          <w:p w14:paraId="12B69F2A" w14:textId="5B460138" w:rsidR="00423B6E" w:rsidRPr="00965D91" w:rsidRDefault="00423B6E" w:rsidP="00B34F5F">
            <w:pPr>
              <w:keepNext/>
              <w:jc w:val="left"/>
              <w:rPr>
                <w:rFonts w:ascii="Arial Narrow" w:hAnsi="Arial Narrow"/>
                <w:b/>
                <w:bCs/>
                <w:i/>
                <w:iCs/>
                <w:sz w:val="20"/>
                <w:szCs w:val="20"/>
              </w:rPr>
            </w:pPr>
            <w:r w:rsidRPr="00965D91">
              <w:rPr>
                <w:rFonts w:ascii="Arial Narrow" w:hAnsi="Arial Narrow"/>
                <w:b/>
                <w:bCs/>
                <w:i/>
                <w:iCs/>
                <w:sz w:val="20"/>
                <w:szCs w:val="20"/>
              </w:rPr>
              <w:t>AND</w:t>
            </w:r>
          </w:p>
        </w:tc>
      </w:tr>
      <w:tr w:rsidR="00423B6E" w:rsidRPr="00965D91" w14:paraId="600AE8C0"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15C3B67" w14:textId="1069546A" w:rsidR="00423B6E" w:rsidRPr="00965D91" w:rsidRDefault="00423B6E" w:rsidP="00B34F5F">
            <w:pPr>
              <w:keepNext/>
              <w:jc w:val="center"/>
              <w:rPr>
                <w:rFonts w:ascii="Arial Narrow" w:hAnsi="Arial Narrow"/>
                <w:i/>
                <w:iCs/>
                <w:sz w:val="20"/>
                <w:szCs w:val="20"/>
              </w:rPr>
            </w:pPr>
          </w:p>
        </w:tc>
        <w:tc>
          <w:tcPr>
            <w:tcW w:w="7745" w:type="dxa"/>
            <w:gridSpan w:val="6"/>
            <w:vAlign w:val="center"/>
          </w:tcPr>
          <w:p w14:paraId="1A5F9604" w14:textId="3D111F67" w:rsidR="00423B6E" w:rsidRPr="00965D91" w:rsidRDefault="00423B6E" w:rsidP="00B34F5F">
            <w:pPr>
              <w:keepNext/>
              <w:jc w:val="left"/>
              <w:rPr>
                <w:rFonts w:ascii="Arial Narrow" w:hAnsi="Arial Narrow"/>
                <w:b/>
                <w:bCs/>
                <w:i/>
                <w:iCs/>
                <w:sz w:val="20"/>
                <w:szCs w:val="20"/>
              </w:rPr>
            </w:pPr>
            <w:r w:rsidRPr="00965D91">
              <w:rPr>
                <w:rFonts w:ascii="Arial Narrow" w:hAnsi="Arial Narrow"/>
                <w:b/>
                <w:bCs/>
                <w:i/>
                <w:iCs/>
                <w:sz w:val="20"/>
                <w:szCs w:val="20"/>
              </w:rPr>
              <w:t>Clinical criteria:</w:t>
            </w:r>
          </w:p>
        </w:tc>
      </w:tr>
      <w:tr w:rsidR="00423B6E" w:rsidRPr="00965D91" w14:paraId="1F20A01B"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FBBD2F3" w14:textId="7EE61028" w:rsidR="00423B6E" w:rsidRPr="00965D91" w:rsidRDefault="00423B6E" w:rsidP="00B34F5F">
            <w:pPr>
              <w:keepNext/>
              <w:jc w:val="center"/>
              <w:rPr>
                <w:rFonts w:ascii="Arial Narrow" w:hAnsi="Arial Narrow"/>
                <w:sz w:val="20"/>
                <w:szCs w:val="20"/>
              </w:rPr>
            </w:pPr>
          </w:p>
        </w:tc>
        <w:tc>
          <w:tcPr>
            <w:tcW w:w="7745" w:type="dxa"/>
            <w:gridSpan w:val="6"/>
            <w:vAlign w:val="center"/>
          </w:tcPr>
          <w:p w14:paraId="539891DD" w14:textId="539F48CB" w:rsidR="00423B6E" w:rsidRPr="00965D91" w:rsidRDefault="005D259E" w:rsidP="00B34F5F">
            <w:pPr>
              <w:keepNext/>
              <w:jc w:val="left"/>
              <w:rPr>
                <w:rFonts w:ascii="Arial Narrow" w:hAnsi="Arial Narrow"/>
                <w:i/>
                <w:iCs/>
                <w:sz w:val="20"/>
                <w:szCs w:val="20"/>
              </w:rPr>
            </w:pPr>
            <w:r w:rsidRPr="00965D91">
              <w:rPr>
                <w:rFonts w:ascii="Arial Narrow" w:hAnsi="Arial Narrow"/>
                <w:i/>
                <w:iCs/>
                <w:sz w:val="20"/>
                <w:szCs w:val="20"/>
              </w:rPr>
              <w:t xml:space="preserve">At the time of starting </w:t>
            </w:r>
            <w:proofErr w:type="gramStart"/>
            <w:r w:rsidRPr="00965D91">
              <w:rPr>
                <w:rFonts w:ascii="Arial Narrow" w:hAnsi="Arial Narrow"/>
                <w:i/>
                <w:iCs/>
                <w:sz w:val="20"/>
                <w:szCs w:val="20"/>
              </w:rPr>
              <w:t>therapy</w:t>
            </w:r>
            <w:proofErr w:type="gramEnd"/>
            <w:r w:rsidRPr="00965D91">
              <w:rPr>
                <w:rFonts w:ascii="Arial Narrow" w:hAnsi="Arial Narrow"/>
                <w:i/>
                <w:iCs/>
                <w:sz w:val="20"/>
                <w:szCs w:val="20"/>
              </w:rPr>
              <w:t xml:space="preserve"> the patient must have at least 80 percent of predicted forced vital capacity (FVC) or slow vital capacity (SVC) within the 2 months before commencing therapy with this drug</w:t>
            </w:r>
          </w:p>
        </w:tc>
      </w:tr>
      <w:tr w:rsidR="00423B6E" w:rsidRPr="00965D91" w14:paraId="10D4D0E7"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F3877A4" w14:textId="77777777" w:rsidR="00423B6E" w:rsidRPr="00965D91" w:rsidRDefault="00423B6E" w:rsidP="00B34F5F">
            <w:pPr>
              <w:keepNext/>
              <w:jc w:val="center"/>
              <w:rPr>
                <w:rFonts w:ascii="Arial Narrow" w:hAnsi="Arial Narrow"/>
                <w:sz w:val="20"/>
                <w:szCs w:val="20"/>
              </w:rPr>
            </w:pPr>
          </w:p>
        </w:tc>
        <w:tc>
          <w:tcPr>
            <w:tcW w:w="7745" w:type="dxa"/>
            <w:gridSpan w:val="6"/>
            <w:vAlign w:val="center"/>
          </w:tcPr>
          <w:p w14:paraId="2452A01A" w14:textId="684719DB" w:rsidR="00423B6E" w:rsidRPr="00965D91" w:rsidRDefault="00423B6E" w:rsidP="00B34F5F">
            <w:pPr>
              <w:keepNext/>
              <w:jc w:val="left"/>
              <w:rPr>
                <w:rFonts w:ascii="Arial Narrow" w:hAnsi="Arial Narrow"/>
                <w:b/>
                <w:bCs/>
                <w:i/>
                <w:iCs/>
                <w:sz w:val="20"/>
                <w:szCs w:val="20"/>
              </w:rPr>
            </w:pPr>
            <w:r w:rsidRPr="00965D91">
              <w:rPr>
                <w:rFonts w:ascii="Arial Narrow" w:hAnsi="Arial Narrow"/>
                <w:b/>
                <w:bCs/>
                <w:i/>
                <w:iCs/>
                <w:sz w:val="20"/>
                <w:szCs w:val="20"/>
              </w:rPr>
              <w:t>AND</w:t>
            </w:r>
          </w:p>
        </w:tc>
      </w:tr>
      <w:tr w:rsidR="00423B6E" w:rsidRPr="00965D91" w14:paraId="6DFC7316"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BA97A1" w14:textId="09D47EA7" w:rsidR="00423B6E" w:rsidRPr="00965D91" w:rsidRDefault="00423B6E" w:rsidP="00B34F5F">
            <w:pPr>
              <w:keepNext/>
              <w:jc w:val="center"/>
              <w:rPr>
                <w:rFonts w:ascii="Arial Narrow" w:hAnsi="Arial Narrow"/>
                <w:i/>
                <w:iCs/>
                <w:sz w:val="20"/>
                <w:szCs w:val="20"/>
              </w:rPr>
            </w:pPr>
          </w:p>
        </w:tc>
        <w:tc>
          <w:tcPr>
            <w:tcW w:w="7745" w:type="dxa"/>
            <w:gridSpan w:val="6"/>
            <w:vAlign w:val="center"/>
          </w:tcPr>
          <w:p w14:paraId="1157BD0E" w14:textId="3F69BC18" w:rsidR="00423B6E" w:rsidRPr="00965D91" w:rsidRDefault="00423B6E" w:rsidP="00B34F5F">
            <w:pPr>
              <w:keepNext/>
              <w:jc w:val="left"/>
              <w:rPr>
                <w:rFonts w:ascii="Arial Narrow" w:hAnsi="Arial Narrow"/>
                <w:b/>
                <w:bCs/>
                <w:i/>
                <w:iCs/>
                <w:sz w:val="20"/>
                <w:szCs w:val="20"/>
              </w:rPr>
            </w:pPr>
            <w:r w:rsidRPr="00965D91">
              <w:rPr>
                <w:rFonts w:ascii="Arial Narrow" w:hAnsi="Arial Narrow"/>
                <w:b/>
                <w:bCs/>
                <w:i/>
                <w:iCs/>
                <w:sz w:val="20"/>
                <w:szCs w:val="20"/>
              </w:rPr>
              <w:t>Clinical criteria:</w:t>
            </w:r>
          </w:p>
        </w:tc>
      </w:tr>
      <w:tr w:rsidR="00423B6E" w:rsidRPr="00965D91" w14:paraId="30539634"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F2D9851" w14:textId="4BDC83C2" w:rsidR="00423B6E" w:rsidRPr="00965D91" w:rsidRDefault="00423B6E" w:rsidP="00B34F5F">
            <w:pPr>
              <w:keepNext/>
              <w:jc w:val="center"/>
              <w:rPr>
                <w:rFonts w:ascii="Arial Narrow" w:hAnsi="Arial Narrow"/>
                <w:sz w:val="20"/>
                <w:szCs w:val="20"/>
              </w:rPr>
            </w:pPr>
          </w:p>
        </w:tc>
        <w:tc>
          <w:tcPr>
            <w:tcW w:w="7745" w:type="dxa"/>
            <w:gridSpan w:val="6"/>
            <w:vAlign w:val="center"/>
          </w:tcPr>
          <w:p w14:paraId="333917D2" w14:textId="1E62E0ED" w:rsidR="00423B6E" w:rsidRPr="00965D91" w:rsidRDefault="00423B6E" w:rsidP="00B34F5F">
            <w:pPr>
              <w:keepNext/>
              <w:jc w:val="left"/>
              <w:rPr>
                <w:rFonts w:ascii="Arial Narrow" w:hAnsi="Arial Narrow"/>
                <w:b/>
                <w:bCs/>
                <w:i/>
                <w:iCs/>
                <w:sz w:val="20"/>
                <w:szCs w:val="20"/>
              </w:rPr>
            </w:pPr>
            <w:r w:rsidRPr="00965D91">
              <w:rPr>
                <w:rFonts w:ascii="Arial Narrow" w:hAnsi="Arial Narrow"/>
                <w:i/>
                <w:iCs/>
                <w:sz w:val="20"/>
                <w:szCs w:val="20"/>
              </w:rPr>
              <w:t xml:space="preserve">At the time of starting </w:t>
            </w:r>
            <w:proofErr w:type="gramStart"/>
            <w:r w:rsidRPr="00965D91">
              <w:rPr>
                <w:rFonts w:ascii="Arial Narrow" w:hAnsi="Arial Narrow"/>
                <w:i/>
                <w:iCs/>
                <w:sz w:val="20"/>
                <w:szCs w:val="20"/>
              </w:rPr>
              <w:t>therapy</w:t>
            </w:r>
            <w:proofErr w:type="gramEnd"/>
            <w:r w:rsidRPr="00965D91">
              <w:rPr>
                <w:rFonts w:ascii="Arial Narrow" w:hAnsi="Arial Narrow"/>
                <w:i/>
                <w:iCs/>
                <w:sz w:val="20"/>
                <w:szCs w:val="20"/>
              </w:rPr>
              <w:t xml:space="preserve"> the patient was ambulatory and able to use upper limbs</w:t>
            </w:r>
            <w:r w:rsidR="00992052" w:rsidRPr="00965D91">
              <w:rPr>
                <w:rFonts w:ascii="Arial Narrow" w:hAnsi="Arial Narrow"/>
                <w:i/>
                <w:iCs/>
                <w:sz w:val="20"/>
                <w:szCs w:val="20"/>
              </w:rPr>
              <w:t xml:space="preserve"> </w:t>
            </w:r>
          </w:p>
        </w:tc>
      </w:tr>
      <w:tr w:rsidR="00423B6E" w:rsidRPr="00965D91" w14:paraId="777F86D9"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00A7EBF" w14:textId="77777777" w:rsidR="00423B6E" w:rsidRPr="00965D91" w:rsidRDefault="00423B6E" w:rsidP="00B34F5F">
            <w:pPr>
              <w:keepNext/>
              <w:jc w:val="center"/>
              <w:rPr>
                <w:rFonts w:ascii="Arial Narrow" w:hAnsi="Arial Narrow"/>
                <w:sz w:val="20"/>
                <w:szCs w:val="20"/>
              </w:rPr>
            </w:pPr>
          </w:p>
        </w:tc>
        <w:tc>
          <w:tcPr>
            <w:tcW w:w="7745" w:type="dxa"/>
            <w:gridSpan w:val="6"/>
            <w:vAlign w:val="center"/>
          </w:tcPr>
          <w:p w14:paraId="7DAD2C0A" w14:textId="4B9C6800" w:rsidR="00423B6E" w:rsidRPr="00965D91" w:rsidRDefault="00423B6E" w:rsidP="00B34F5F">
            <w:pPr>
              <w:keepNext/>
              <w:jc w:val="left"/>
              <w:rPr>
                <w:rFonts w:ascii="Arial Narrow" w:hAnsi="Arial Narrow"/>
                <w:b/>
                <w:bCs/>
                <w:i/>
                <w:iCs/>
                <w:sz w:val="20"/>
                <w:szCs w:val="20"/>
              </w:rPr>
            </w:pPr>
            <w:r w:rsidRPr="00965D91">
              <w:rPr>
                <w:rFonts w:ascii="Arial Narrow" w:hAnsi="Arial Narrow"/>
                <w:b/>
                <w:bCs/>
                <w:i/>
                <w:iCs/>
                <w:sz w:val="20"/>
                <w:szCs w:val="20"/>
              </w:rPr>
              <w:t>AND</w:t>
            </w:r>
          </w:p>
        </w:tc>
      </w:tr>
      <w:tr w:rsidR="00423B6E" w:rsidRPr="00965D91" w14:paraId="745323B5"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71E47DF" w14:textId="27851B41" w:rsidR="00423B6E" w:rsidRPr="00965D91" w:rsidRDefault="00423B6E" w:rsidP="00B34F5F">
            <w:pPr>
              <w:keepNext/>
              <w:jc w:val="center"/>
              <w:rPr>
                <w:rFonts w:ascii="Arial Narrow" w:hAnsi="Arial Narrow"/>
                <w:sz w:val="20"/>
                <w:szCs w:val="20"/>
              </w:rPr>
            </w:pPr>
          </w:p>
        </w:tc>
        <w:tc>
          <w:tcPr>
            <w:tcW w:w="7745" w:type="dxa"/>
            <w:gridSpan w:val="6"/>
            <w:vAlign w:val="center"/>
            <w:hideMark/>
          </w:tcPr>
          <w:p w14:paraId="1FB816E5" w14:textId="77777777" w:rsidR="00423B6E" w:rsidRPr="00965D91" w:rsidRDefault="00423B6E" w:rsidP="00B34F5F">
            <w:pPr>
              <w:keepNext/>
              <w:jc w:val="left"/>
              <w:rPr>
                <w:rFonts w:ascii="Arial Narrow" w:hAnsi="Arial Narrow"/>
                <w:sz w:val="20"/>
                <w:szCs w:val="20"/>
              </w:rPr>
            </w:pPr>
            <w:r w:rsidRPr="00965D91">
              <w:rPr>
                <w:rFonts w:ascii="Arial Narrow" w:hAnsi="Arial Narrow"/>
                <w:b/>
                <w:bCs/>
                <w:sz w:val="20"/>
                <w:szCs w:val="20"/>
              </w:rPr>
              <w:t>Clinical criteria:</w:t>
            </w:r>
          </w:p>
        </w:tc>
      </w:tr>
      <w:tr w:rsidR="00423B6E" w:rsidRPr="00965D91" w14:paraId="5B4BEA3B"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48DD2C3" w14:textId="5044E77D" w:rsidR="00423B6E" w:rsidRPr="00965D91" w:rsidRDefault="00423B6E" w:rsidP="00B34F5F">
            <w:pPr>
              <w:keepNext/>
              <w:jc w:val="center"/>
              <w:rPr>
                <w:rFonts w:ascii="Arial Narrow" w:hAnsi="Arial Narrow"/>
                <w:sz w:val="20"/>
                <w:szCs w:val="20"/>
              </w:rPr>
            </w:pPr>
          </w:p>
        </w:tc>
        <w:tc>
          <w:tcPr>
            <w:tcW w:w="7745" w:type="dxa"/>
            <w:gridSpan w:val="6"/>
            <w:vAlign w:val="center"/>
            <w:hideMark/>
          </w:tcPr>
          <w:p w14:paraId="3FDB4DFE" w14:textId="77777777" w:rsidR="00423B6E" w:rsidRPr="00965D91" w:rsidRDefault="00423B6E" w:rsidP="00B34F5F">
            <w:pPr>
              <w:keepNext/>
              <w:rPr>
                <w:rFonts w:ascii="Arial Narrow" w:hAnsi="Arial Narrow"/>
                <w:color w:val="FF0000"/>
                <w:sz w:val="20"/>
                <w:szCs w:val="20"/>
              </w:rPr>
            </w:pPr>
            <w:r w:rsidRPr="00965D91">
              <w:rPr>
                <w:rFonts w:ascii="Arial Narrow" w:hAnsi="Arial Narrow"/>
                <w:sz w:val="20"/>
                <w:szCs w:val="20"/>
              </w:rPr>
              <w:t>Patient must not have undergone a tracheostomy</w:t>
            </w:r>
          </w:p>
        </w:tc>
      </w:tr>
      <w:tr w:rsidR="00423B6E" w:rsidRPr="00965D91" w14:paraId="2E50166E"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A65B4ED" w14:textId="77777777" w:rsidR="00423B6E" w:rsidRPr="00965D91" w:rsidRDefault="00423B6E" w:rsidP="00B34F5F">
            <w:pPr>
              <w:keepNext/>
              <w:jc w:val="center"/>
              <w:rPr>
                <w:rFonts w:ascii="Arial Narrow" w:hAnsi="Arial Narrow"/>
                <w:sz w:val="20"/>
                <w:szCs w:val="20"/>
              </w:rPr>
            </w:pPr>
          </w:p>
        </w:tc>
        <w:tc>
          <w:tcPr>
            <w:tcW w:w="7745" w:type="dxa"/>
            <w:gridSpan w:val="6"/>
            <w:vAlign w:val="center"/>
            <w:hideMark/>
          </w:tcPr>
          <w:p w14:paraId="7ADA9341" w14:textId="77777777" w:rsidR="00423B6E" w:rsidRPr="00965D91" w:rsidRDefault="00423B6E" w:rsidP="00B34F5F">
            <w:pPr>
              <w:keepNext/>
              <w:rPr>
                <w:rFonts w:ascii="Arial Narrow" w:hAnsi="Arial Narrow"/>
                <w:sz w:val="20"/>
                <w:szCs w:val="20"/>
              </w:rPr>
            </w:pPr>
            <w:r w:rsidRPr="00965D91">
              <w:rPr>
                <w:rFonts w:ascii="Arial Narrow" w:hAnsi="Arial Narrow"/>
                <w:b/>
                <w:bCs/>
                <w:sz w:val="20"/>
                <w:szCs w:val="20"/>
              </w:rPr>
              <w:t>AND</w:t>
            </w:r>
          </w:p>
        </w:tc>
      </w:tr>
      <w:tr w:rsidR="00423B6E" w:rsidRPr="00965D91" w14:paraId="73CE7EA4"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795081" w14:textId="49AD0FAF" w:rsidR="00423B6E" w:rsidRPr="00965D91" w:rsidRDefault="00423B6E" w:rsidP="00B34F5F">
            <w:pPr>
              <w:keepNext/>
              <w:jc w:val="center"/>
              <w:rPr>
                <w:rFonts w:ascii="Arial Narrow" w:hAnsi="Arial Narrow"/>
                <w:sz w:val="20"/>
                <w:szCs w:val="20"/>
              </w:rPr>
            </w:pPr>
          </w:p>
        </w:tc>
        <w:tc>
          <w:tcPr>
            <w:tcW w:w="7745" w:type="dxa"/>
            <w:gridSpan w:val="6"/>
            <w:vAlign w:val="center"/>
            <w:hideMark/>
          </w:tcPr>
          <w:p w14:paraId="361236D6" w14:textId="77777777" w:rsidR="00423B6E" w:rsidRPr="00965D91" w:rsidRDefault="00423B6E" w:rsidP="00B34F5F">
            <w:pPr>
              <w:keepNext/>
              <w:rPr>
                <w:rFonts w:ascii="Arial Narrow" w:hAnsi="Arial Narrow"/>
                <w:sz w:val="20"/>
                <w:szCs w:val="20"/>
              </w:rPr>
            </w:pPr>
            <w:r w:rsidRPr="00965D91">
              <w:rPr>
                <w:rFonts w:ascii="Arial Narrow" w:hAnsi="Arial Narrow"/>
                <w:b/>
                <w:bCs/>
                <w:sz w:val="20"/>
                <w:szCs w:val="20"/>
              </w:rPr>
              <w:t>Clinical criteria:</w:t>
            </w:r>
          </w:p>
        </w:tc>
      </w:tr>
      <w:tr w:rsidR="00423B6E" w:rsidRPr="00965D91" w14:paraId="74FB95E7" w14:textId="77777777" w:rsidTr="7FAC855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DD3DAE" w14:textId="62708F50" w:rsidR="00423B6E" w:rsidRPr="00965D91" w:rsidRDefault="00423B6E" w:rsidP="00423B6E">
            <w:pPr>
              <w:jc w:val="center"/>
              <w:rPr>
                <w:rFonts w:ascii="Arial Narrow" w:hAnsi="Arial Narrow"/>
                <w:sz w:val="20"/>
                <w:szCs w:val="20"/>
              </w:rPr>
            </w:pPr>
          </w:p>
        </w:tc>
        <w:tc>
          <w:tcPr>
            <w:tcW w:w="7745" w:type="dxa"/>
            <w:gridSpan w:val="6"/>
            <w:vAlign w:val="center"/>
            <w:hideMark/>
          </w:tcPr>
          <w:p w14:paraId="69942FD3" w14:textId="77777777" w:rsidR="00423B6E" w:rsidRPr="00965D91" w:rsidRDefault="00423B6E" w:rsidP="00423B6E">
            <w:pPr>
              <w:rPr>
                <w:rFonts w:ascii="Arial Narrow" w:hAnsi="Arial Narrow"/>
                <w:sz w:val="20"/>
                <w:szCs w:val="20"/>
              </w:rPr>
            </w:pPr>
            <w:r w:rsidRPr="00965D91">
              <w:rPr>
                <w:rFonts w:ascii="Arial Narrow" w:hAnsi="Arial Narrow"/>
                <w:sz w:val="20"/>
                <w:szCs w:val="20"/>
              </w:rPr>
              <w:t>Patient must not have experienced respiratory failure</w:t>
            </w:r>
          </w:p>
        </w:tc>
      </w:tr>
    </w:tbl>
    <w:p w14:paraId="6F310D3B" w14:textId="63F04B20" w:rsidR="00F73F08" w:rsidRPr="00D75758" w:rsidRDefault="00D75758" w:rsidP="00D75758">
      <w:pPr>
        <w:pStyle w:val="3-BodyText"/>
        <w:keepNext/>
        <w:numPr>
          <w:ilvl w:val="0"/>
          <w:numId w:val="0"/>
        </w:numPr>
        <w:ind w:left="720" w:hanging="720"/>
        <w:rPr>
          <w:b/>
          <w:bCs/>
          <w:i/>
          <w:iCs/>
          <w:u w:val="single"/>
        </w:rPr>
      </w:pPr>
      <w:r w:rsidRPr="00D75758">
        <w:rPr>
          <w:b/>
          <w:bCs/>
          <w:i/>
          <w:iCs/>
          <w:u w:val="single"/>
        </w:rPr>
        <w:t>Community Access under the HSD program for initiation</w:t>
      </w:r>
    </w:p>
    <w:p w14:paraId="11F52EAE" w14:textId="781C4286" w:rsidR="00A35782" w:rsidRDefault="005629C3" w:rsidP="7FAC855D">
      <w:pPr>
        <w:pStyle w:val="3-BodyText"/>
      </w:pPr>
      <w:r>
        <w:t xml:space="preserve">The restriction for the proposed Section 100 HSD CA for initial treatment is the same as that for </w:t>
      </w:r>
      <w:bookmarkStart w:id="0" w:name="_Hlk218514138"/>
      <w:r>
        <w:t xml:space="preserve">the Section 100 HSD Public and Private </w:t>
      </w:r>
      <w:r w:rsidR="006F4F82">
        <w:t>h</w:t>
      </w:r>
      <w:r>
        <w:t>ospital listings</w:t>
      </w:r>
      <w:bookmarkEnd w:id="0"/>
      <w:r>
        <w:t>, except for the HSD access type</w:t>
      </w:r>
      <w:r w:rsidR="004D1EA0">
        <w:t>,</w:t>
      </w:r>
      <w:r>
        <w:t xml:space="preserve"> where </w:t>
      </w:r>
      <w:r w:rsidR="00D16465">
        <w:t xml:space="preserve">the CA arrangements </w:t>
      </w:r>
      <w:r>
        <w:t xml:space="preserve">allow community-based neurologists to prescribe </w:t>
      </w:r>
      <w:proofErr w:type="spellStart"/>
      <w:r>
        <w:t>edaravone</w:t>
      </w:r>
      <w:proofErr w:type="spellEnd"/>
      <w:r w:rsidR="00E7445C">
        <w:t xml:space="preserve"> without the need to be affiliated with a hospital.</w:t>
      </w:r>
    </w:p>
    <w:p w14:paraId="66A62129" w14:textId="2132771F" w:rsidR="00F87C22" w:rsidRPr="00921CD6" w:rsidRDefault="7400438C" w:rsidP="00494A3C">
      <w:pPr>
        <w:pStyle w:val="3-BodyText"/>
      </w:pPr>
      <w:r w:rsidRPr="00921CD6">
        <w:lastRenderedPageBreak/>
        <w:t xml:space="preserve">The evaluation noted that the purpose of the submission is to enable initiation of </w:t>
      </w:r>
      <w:proofErr w:type="spellStart"/>
      <w:r w:rsidRPr="00921CD6">
        <w:t>edaravone</w:t>
      </w:r>
      <w:proofErr w:type="spellEnd"/>
      <w:r w:rsidRPr="00921CD6">
        <w:t xml:space="preserve"> treatment by treating neurologists without limiting prescribing to hospital-affiliated </w:t>
      </w:r>
      <w:r w:rsidR="660A10D4" w:rsidRPr="00921CD6">
        <w:t xml:space="preserve">neurologists </w:t>
      </w:r>
      <w:r w:rsidRPr="00921CD6">
        <w:t>and to provide the option for dispensing and administration of initial doses in the community setting. It d</w:t>
      </w:r>
      <w:r w:rsidR="3BF891DD" w:rsidRPr="00921CD6">
        <w:t>id</w:t>
      </w:r>
      <w:r w:rsidRPr="00921CD6">
        <w:t xml:space="preserve"> not seek to expand the types of prescribers</w:t>
      </w:r>
      <w:r w:rsidR="773F674E" w:rsidRPr="00921CD6">
        <w:t xml:space="preserve"> (e.g.</w:t>
      </w:r>
      <w:r w:rsidR="45974C94" w:rsidRPr="00921CD6">
        <w:t>,</w:t>
      </w:r>
      <w:r w:rsidR="773F674E" w:rsidRPr="00921CD6">
        <w:t xml:space="preserve"> GP</w:t>
      </w:r>
      <w:r w:rsidR="7E87F5AF" w:rsidRPr="00921CD6">
        <w:t>s</w:t>
      </w:r>
      <w:r w:rsidR="773F674E" w:rsidRPr="00921CD6">
        <w:t xml:space="preserve"> with additional accreditation)</w:t>
      </w:r>
      <w:r w:rsidRPr="00921CD6">
        <w:t xml:space="preserve"> authorised to initiate treatment.</w:t>
      </w:r>
      <w:r w:rsidR="2AEBA01A" w:rsidRPr="00921CD6">
        <w:t xml:space="preserve"> </w:t>
      </w:r>
      <w:r w:rsidR="290EAF8A" w:rsidRPr="00921CD6">
        <w:t xml:space="preserve">As such, the evaluation suggested removing the current Section 100 HSD Public and Private hospital listings should the PBAC recommend a Section 100 HSD CA listing for initiation, to avoid multiple PBS item codes, as a CA listing can be accessed in a hospital setting. </w:t>
      </w:r>
      <w:r w:rsidR="00BC056E">
        <w:t>T</w:t>
      </w:r>
      <w:r w:rsidR="290EAF8A" w:rsidRPr="00921CD6">
        <w:t>he PBAC support</w:t>
      </w:r>
      <w:r w:rsidR="00BC056E">
        <w:t>ed</w:t>
      </w:r>
      <w:r w:rsidR="290EAF8A" w:rsidRPr="00921CD6">
        <w:t xml:space="preserve"> a single CA listing for initiation</w:t>
      </w:r>
      <w:r w:rsidR="00BC056E">
        <w:t xml:space="preserve"> and</w:t>
      </w:r>
      <w:r w:rsidR="00D13645">
        <w:t xml:space="preserve"> advised that</w:t>
      </w:r>
      <w:r w:rsidR="290EAF8A" w:rsidRPr="00921CD6">
        <w:t xml:space="preserve"> the existing HSD Public and Private PBS item codes be delisted.</w:t>
      </w:r>
    </w:p>
    <w:p w14:paraId="44828FB1" w14:textId="77777777" w:rsidR="00883A4D" w:rsidRPr="00883A4D" w:rsidRDefault="00883A4D" w:rsidP="00883A4D">
      <w:pPr>
        <w:pStyle w:val="3-BodyText"/>
        <w:keepNext/>
        <w:numPr>
          <w:ilvl w:val="0"/>
          <w:numId w:val="0"/>
        </w:numPr>
        <w:ind w:left="720" w:hanging="720"/>
        <w:rPr>
          <w:b/>
          <w:bCs/>
          <w:i/>
          <w:iCs/>
          <w:u w:val="single"/>
        </w:rPr>
      </w:pPr>
      <w:r w:rsidRPr="00883A4D">
        <w:rPr>
          <w:b/>
          <w:bCs/>
          <w:i/>
          <w:iCs/>
          <w:u w:val="single"/>
        </w:rPr>
        <w:t>Eligibility criteria for grandfathered patients</w:t>
      </w:r>
    </w:p>
    <w:p w14:paraId="4E3A9388" w14:textId="734AFF0F" w:rsidR="7FAC855D" w:rsidRDefault="5F698BA5" w:rsidP="00494A3C">
      <w:pPr>
        <w:pStyle w:val="3-BodyText"/>
      </w:pPr>
      <w:r>
        <w:t xml:space="preserve">The submission stated that, prior to PBS listing, a small number of patients were importing </w:t>
      </w:r>
      <w:proofErr w:type="spellStart"/>
      <w:r>
        <w:t>edaravone</w:t>
      </w:r>
      <w:proofErr w:type="spellEnd"/>
      <w:r>
        <w:t xml:space="preserve"> for treatment. The proposed listing </w:t>
      </w:r>
      <w:r w:rsidR="0FFBDBCE">
        <w:t xml:space="preserve">would </w:t>
      </w:r>
      <w:r>
        <w:t xml:space="preserve">enable these grandfathered patients (estimated at </w:t>
      </w:r>
      <w:r w:rsidR="00427FEB" w:rsidRPr="00427FEB">
        <w:t>&lt; 500</w:t>
      </w:r>
      <w:r>
        <w:t>) to transition to PBS-subsidised therapy.</w:t>
      </w:r>
      <w:r w:rsidR="02755856" w:rsidRPr="00494A3C">
        <w:rPr>
          <w:i/>
          <w:iCs/>
        </w:rPr>
        <w:t xml:space="preserve"> </w:t>
      </w:r>
      <w:r w:rsidR="09BF3939" w:rsidRPr="003D2705">
        <w:t>The evaluation noted that</w:t>
      </w:r>
      <w:r w:rsidR="6207462E" w:rsidRPr="003D2705">
        <w:t xml:space="preserve"> the</w:t>
      </w:r>
      <w:r w:rsidR="00A323A8" w:rsidRPr="003D2705">
        <w:t xml:space="preserve"> </w:t>
      </w:r>
      <w:r w:rsidR="00331C7F" w:rsidRPr="003D2705">
        <w:t>existing</w:t>
      </w:r>
      <w:r w:rsidR="6207462E" w:rsidRPr="003D2705">
        <w:t xml:space="preserve"> initial treatment criteria </w:t>
      </w:r>
      <w:r w:rsidR="6AF63044" w:rsidRPr="003D2705">
        <w:t xml:space="preserve">are intended to ensure </w:t>
      </w:r>
      <w:r w:rsidR="6207462E" w:rsidRPr="003D2705">
        <w:t xml:space="preserve">grandfathered patients can access PBS-subsidised </w:t>
      </w:r>
      <w:proofErr w:type="spellStart"/>
      <w:r w:rsidR="6207462E" w:rsidRPr="003D2705">
        <w:t>edaravone</w:t>
      </w:r>
      <w:proofErr w:type="spellEnd"/>
      <w:r w:rsidR="6207462E" w:rsidRPr="003D2705">
        <w:t xml:space="preserve"> regardless of their treatment stage, whether initial or continuing cycles. Eligibility for initial access is determined by the patient’s status prior to commencing </w:t>
      </w:r>
      <w:proofErr w:type="spellStart"/>
      <w:r w:rsidR="6207462E" w:rsidRPr="003D2705">
        <w:t>edaravone</w:t>
      </w:r>
      <w:proofErr w:type="spellEnd"/>
      <w:r w:rsidR="6207462E" w:rsidRPr="003D2705">
        <w:t xml:space="preserve"> therapy, rather than before starting PBS-subsidised treatment. Patients who met the criteria at the time of treatment initiation, whether PBS or non-PBS subsidised, are entitled to receive their first PBS supply under the initial treatment restriction. These patients may then continue therapy under the continuing treatment </w:t>
      </w:r>
      <w:r w:rsidR="5AEA3C66" w:rsidRPr="003D2705">
        <w:t>restriction</w:t>
      </w:r>
      <w:r w:rsidR="6207462E" w:rsidRPr="003D2705">
        <w:t xml:space="preserve">, provided they meet the ongoing eligibility requirements </w:t>
      </w:r>
      <w:r w:rsidR="293DE6C5" w:rsidRPr="003D2705">
        <w:t xml:space="preserve">for </w:t>
      </w:r>
      <w:r w:rsidR="6207462E" w:rsidRPr="003D2705">
        <w:t xml:space="preserve">continuing treatment. </w:t>
      </w:r>
    </w:p>
    <w:p w14:paraId="6C160F78" w14:textId="4349DBBA" w:rsidR="00FE3C93" w:rsidRDefault="00C36736" w:rsidP="00A10ADB">
      <w:pPr>
        <w:pStyle w:val="3-BodyText"/>
      </w:pPr>
      <w:r>
        <w:t xml:space="preserve">The pre-PBAC response argued that in-market experience indicates prescribers interpret the current PBS initiation criteria as excluding patients who commenced </w:t>
      </w:r>
      <w:proofErr w:type="spellStart"/>
      <w:r>
        <w:t>edaravone</w:t>
      </w:r>
      <w:proofErr w:type="spellEnd"/>
      <w:r>
        <w:t xml:space="preserve"> privately. Requirements such as </w:t>
      </w:r>
      <w:r w:rsidR="00192A9A" w:rsidRPr="00C23C38">
        <w:t>“</w:t>
      </w:r>
      <w:r w:rsidR="00192A9A" w:rsidRPr="00CA1403">
        <w:t>Patient must have at least 80 percent of predicted forced vital capacity (FVC) or slow vital capacity (SVC) within the 2 months prior to commencing therapy with this drug</w:t>
      </w:r>
      <w:r w:rsidR="00192A9A" w:rsidRPr="00C23C38">
        <w:t>” and “</w:t>
      </w:r>
      <w:r w:rsidR="00192A9A" w:rsidRPr="002D26E1">
        <w:t>Patient must not require assistance with eating or ambulation</w:t>
      </w:r>
      <w:r w:rsidR="00192A9A" w:rsidRPr="00C23C38">
        <w:t xml:space="preserve">” </w:t>
      </w:r>
      <w:r>
        <w:t>prevent grandfathered patients from accessing PBS-subsidised treatment</w:t>
      </w:r>
      <w:r w:rsidR="00A10ADB">
        <w:t xml:space="preserve">. </w:t>
      </w:r>
      <w:r w:rsidR="00A10ADB" w:rsidRPr="00A10ADB">
        <w:t>Given the degenerative nature of ALS, these patients may no longer meet these criteria at the time of PBS application.</w:t>
      </w:r>
      <w:r w:rsidR="008618BF">
        <w:t xml:space="preserve"> </w:t>
      </w:r>
      <w:r w:rsidR="003A38E2">
        <w:t>Further</w:t>
      </w:r>
      <w:r w:rsidR="008618BF">
        <w:t>more</w:t>
      </w:r>
      <w:r>
        <w:t xml:space="preserve">, the pre-PBAC response </w:t>
      </w:r>
      <w:r w:rsidR="003A38E2">
        <w:t xml:space="preserve">stated </w:t>
      </w:r>
      <w:r>
        <w:t xml:space="preserve">that the PBS continuation restriction also precludes access, as patients must have previously received PBS-subsidised </w:t>
      </w:r>
      <w:proofErr w:type="spellStart"/>
      <w:r>
        <w:t>edaravone</w:t>
      </w:r>
      <w:proofErr w:type="spellEnd"/>
      <w:r>
        <w:t xml:space="preserve"> for ALS. This requirement prevents those who initiated treatment privately prior to PBS listing from transitioning to PBS-subsidised continuation therapy.</w:t>
      </w:r>
    </w:p>
    <w:p w14:paraId="037F5467" w14:textId="77777777" w:rsidR="00FE3C93" w:rsidRDefault="00FE3C93">
      <w:pPr>
        <w:jc w:val="left"/>
        <w:rPr>
          <w:rFonts w:asciiTheme="minorHAnsi" w:eastAsiaTheme="minorHAnsi" w:hAnsiTheme="minorHAnsi" w:cstheme="minorBidi"/>
          <w:szCs w:val="22"/>
        </w:rPr>
      </w:pPr>
      <w:r>
        <w:br w:type="page"/>
      </w:r>
    </w:p>
    <w:p w14:paraId="0436B7D8" w14:textId="02A9AA6D" w:rsidR="00C27C1C" w:rsidRPr="00A6439B" w:rsidRDefault="00C27C1C" w:rsidP="009A0D2B">
      <w:pPr>
        <w:pStyle w:val="Heading1"/>
        <w:keepLines/>
        <w:numPr>
          <w:ilvl w:val="0"/>
          <w:numId w:val="1"/>
        </w:numPr>
        <w:spacing w:before="240"/>
        <w:ind w:left="709" w:hanging="709"/>
        <w:rPr>
          <w:sz w:val="32"/>
          <w:szCs w:val="32"/>
        </w:rPr>
      </w:pPr>
      <w:r w:rsidRPr="00A6439B">
        <w:rPr>
          <w:sz w:val="32"/>
          <w:szCs w:val="32"/>
        </w:rPr>
        <w:lastRenderedPageBreak/>
        <w:t>Consideration of the evidence</w:t>
      </w:r>
    </w:p>
    <w:p w14:paraId="77C458F7" w14:textId="16861E99" w:rsidR="006214D1" w:rsidRDefault="00E6471F" w:rsidP="00C27C1C">
      <w:pPr>
        <w:pStyle w:val="4-SubsectionHeading"/>
        <w:rPr>
          <w:lang w:eastAsia="en-US"/>
        </w:rPr>
      </w:pPr>
      <w:r w:rsidRPr="00E6471F">
        <w:rPr>
          <w:lang w:eastAsia="en-US"/>
        </w:rPr>
        <w:t xml:space="preserve">Rationale for the </w:t>
      </w:r>
      <w:r>
        <w:rPr>
          <w:lang w:eastAsia="en-US"/>
        </w:rPr>
        <w:t>r</w:t>
      </w:r>
      <w:r w:rsidRPr="00E6471F">
        <w:rPr>
          <w:lang w:eastAsia="en-US"/>
        </w:rPr>
        <w:t xml:space="preserve">equested </w:t>
      </w:r>
      <w:r>
        <w:rPr>
          <w:lang w:eastAsia="en-US"/>
        </w:rPr>
        <w:t>c</w:t>
      </w:r>
      <w:r w:rsidRPr="00E6471F">
        <w:rPr>
          <w:lang w:eastAsia="en-US"/>
        </w:rPr>
        <w:t>hanges</w:t>
      </w:r>
    </w:p>
    <w:p w14:paraId="3E16C79E" w14:textId="05DAA44A" w:rsidR="00DE3D84" w:rsidRPr="007941E6" w:rsidRDefault="00745C7E" w:rsidP="00B766DA">
      <w:pPr>
        <w:pStyle w:val="3-BodyText"/>
        <w:numPr>
          <w:ilvl w:val="1"/>
          <w:numId w:val="1"/>
        </w:numPr>
        <w:spacing w:before="0"/>
      </w:pPr>
      <w:r w:rsidRPr="00745C7E">
        <w:rPr>
          <w:lang w:eastAsia="en-US"/>
        </w:rPr>
        <w:t xml:space="preserve">The submission stated that patients with ALS experience profound physical debilitation, including muscle weakness that limits mobility, speech and daily activities. As the disease progresses, attending hospital-based appointments or travelling to pharmacies becomes increasingly burdensome, placing significant physical and emotional strain on patients and carers. The submission emphasised that implementing a Section 100 HSD </w:t>
      </w:r>
      <w:r w:rsidR="00811413">
        <w:rPr>
          <w:lang w:eastAsia="en-US"/>
        </w:rPr>
        <w:t xml:space="preserve">CA </w:t>
      </w:r>
      <w:r w:rsidRPr="00745C7E">
        <w:rPr>
          <w:lang w:eastAsia="en-US"/>
        </w:rPr>
        <w:t xml:space="preserve">listing for initiation would allow community-based neurologists to commence </w:t>
      </w:r>
      <w:proofErr w:type="spellStart"/>
      <w:r w:rsidRPr="00745C7E">
        <w:rPr>
          <w:lang w:eastAsia="en-US"/>
        </w:rPr>
        <w:t>edaravone</w:t>
      </w:r>
      <w:proofErr w:type="spellEnd"/>
      <w:r w:rsidRPr="00745C7E">
        <w:rPr>
          <w:lang w:eastAsia="en-US"/>
        </w:rPr>
        <w:t xml:space="preserve"> treatment and provide patients with greater choice in accessing medicines through community or hospital pharmacies, facilitating at-home infusions. </w:t>
      </w:r>
      <w:bookmarkStart w:id="1" w:name="_Hlk218517802"/>
      <w:r w:rsidRPr="00745C7E">
        <w:rPr>
          <w:lang w:eastAsia="en-US"/>
        </w:rPr>
        <w:t>Th</w:t>
      </w:r>
      <w:r w:rsidR="007079A2">
        <w:rPr>
          <w:lang w:eastAsia="en-US"/>
        </w:rPr>
        <w:t>e</w:t>
      </w:r>
      <w:r w:rsidRPr="00745C7E">
        <w:rPr>
          <w:lang w:eastAsia="en-US"/>
        </w:rPr>
        <w:t xml:space="preserve"> proposed change</w:t>
      </w:r>
      <w:r w:rsidR="007079A2">
        <w:rPr>
          <w:lang w:eastAsia="en-US"/>
        </w:rPr>
        <w:t>s</w:t>
      </w:r>
      <w:r w:rsidRPr="00745C7E">
        <w:rPr>
          <w:lang w:eastAsia="en-US"/>
        </w:rPr>
        <w:t xml:space="preserve"> would address logistical and administrative barriers, particularly for rural and remote patients, and ensure </w:t>
      </w:r>
      <w:r w:rsidR="00B766DA" w:rsidRPr="00DA6A6E">
        <w:rPr>
          <w:lang w:eastAsia="en-US"/>
        </w:rPr>
        <w:t>equitable</w:t>
      </w:r>
      <w:r w:rsidR="00B766DA">
        <w:rPr>
          <w:lang w:eastAsia="en-US"/>
        </w:rPr>
        <w:t xml:space="preserve"> and </w:t>
      </w:r>
      <w:r w:rsidRPr="00745C7E">
        <w:rPr>
          <w:lang w:eastAsia="en-US"/>
        </w:rPr>
        <w:t xml:space="preserve">timely access to </w:t>
      </w:r>
      <w:proofErr w:type="spellStart"/>
      <w:r w:rsidRPr="00745C7E">
        <w:rPr>
          <w:lang w:eastAsia="en-US"/>
        </w:rPr>
        <w:t>edaravone</w:t>
      </w:r>
      <w:proofErr w:type="spellEnd"/>
      <w:r w:rsidRPr="00745C7E">
        <w:rPr>
          <w:lang w:eastAsia="en-US"/>
        </w:rPr>
        <w:t xml:space="preserve"> while </w:t>
      </w:r>
      <w:r w:rsidR="00C62FE8">
        <w:rPr>
          <w:lang w:eastAsia="en-US"/>
        </w:rPr>
        <w:t xml:space="preserve">providing </w:t>
      </w:r>
      <w:r w:rsidRPr="00745C7E">
        <w:rPr>
          <w:lang w:eastAsia="en-US"/>
        </w:rPr>
        <w:t>flexibility for patients, carers and healthcare providers</w:t>
      </w:r>
      <w:r w:rsidR="00671061">
        <w:rPr>
          <w:lang w:eastAsia="en-US"/>
        </w:rPr>
        <w:t>,</w:t>
      </w:r>
      <w:r w:rsidR="00B766DA">
        <w:rPr>
          <w:lang w:eastAsia="en-US"/>
        </w:rPr>
        <w:t xml:space="preserve"> </w:t>
      </w:r>
      <w:r w:rsidR="00B766DA" w:rsidRPr="00DA6A6E">
        <w:rPr>
          <w:lang w:eastAsia="en-US"/>
        </w:rPr>
        <w:t>without expanding the market beyond clinically eligible patients.</w:t>
      </w:r>
    </w:p>
    <w:bookmarkEnd w:id="1"/>
    <w:p w14:paraId="608C8BE4" w14:textId="2C1754E3" w:rsidR="001219EF" w:rsidRPr="002B3FF0" w:rsidRDefault="00DA6A6E" w:rsidP="005C3209">
      <w:pPr>
        <w:pStyle w:val="3-BodyText"/>
      </w:pPr>
      <w:r w:rsidRPr="00DA6A6E">
        <w:rPr>
          <w:lang w:eastAsia="en-US"/>
        </w:rPr>
        <w:t xml:space="preserve">The submission also stated that the proposed changes were supported by clinician and patient advocacy feedback, highlighting that current restrictions unintentionally delay access for eligible patients. Correspondence from </w:t>
      </w:r>
      <w:r w:rsidR="00274AB3" w:rsidRPr="00274AB3">
        <w:rPr>
          <w:lang w:eastAsia="en-US"/>
        </w:rPr>
        <w:t xml:space="preserve">Motor Neurone Disease </w:t>
      </w:r>
      <w:r w:rsidR="00104E33">
        <w:rPr>
          <w:lang w:eastAsia="en-US"/>
        </w:rPr>
        <w:t>(</w:t>
      </w:r>
      <w:r w:rsidRPr="00DA6A6E">
        <w:rPr>
          <w:lang w:eastAsia="en-US"/>
        </w:rPr>
        <w:t>MND</w:t>
      </w:r>
      <w:r w:rsidR="00104E33">
        <w:rPr>
          <w:lang w:eastAsia="en-US"/>
        </w:rPr>
        <w:t>)</w:t>
      </w:r>
      <w:r w:rsidRPr="00DA6A6E">
        <w:rPr>
          <w:lang w:eastAsia="en-US"/>
        </w:rPr>
        <w:t xml:space="preserve"> Australia and neurologists </w:t>
      </w:r>
      <w:r w:rsidR="00F6517D">
        <w:rPr>
          <w:lang w:eastAsia="en-US"/>
        </w:rPr>
        <w:t xml:space="preserve">(4) </w:t>
      </w:r>
      <w:r w:rsidRPr="00DA6A6E">
        <w:rPr>
          <w:lang w:eastAsia="en-US"/>
        </w:rPr>
        <w:t xml:space="preserve">was included in support of this position. The submission noted that the PBAC recently recommended changes to the Section 100 HSD listings for </w:t>
      </w:r>
      <w:proofErr w:type="spellStart"/>
      <w:r w:rsidRPr="00DA6A6E">
        <w:rPr>
          <w:lang w:eastAsia="en-US"/>
        </w:rPr>
        <w:t>lanreotide</w:t>
      </w:r>
      <w:proofErr w:type="spellEnd"/>
      <w:r w:rsidRPr="00DA6A6E">
        <w:rPr>
          <w:lang w:eastAsia="en-US"/>
        </w:rPr>
        <w:t xml:space="preserve"> to allow </w:t>
      </w:r>
      <w:r w:rsidR="00046FEF">
        <w:rPr>
          <w:lang w:eastAsia="en-US"/>
        </w:rPr>
        <w:t xml:space="preserve">CA </w:t>
      </w:r>
      <w:r w:rsidRPr="00DA6A6E">
        <w:rPr>
          <w:lang w:eastAsia="en-US"/>
        </w:rPr>
        <w:t xml:space="preserve">for initiation, </w:t>
      </w:r>
      <w:r w:rsidR="00B766DA">
        <w:rPr>
          <w:lang w:eastAsia="en-US"/>
        </w:rPr>
        <w:t xml:space="preserve">which would </w:t>
      </w:r>
      <w:r w:rsidRPr="00DA6A6E">
        <w:rPr>
          <w:lang w:eastAsia="en-US"/>
        </w:rPr>
        <w:t>improv</w:t>
      </w:r>
      <w:r w:rsidR="00B766DA">
        <w:rPr>
          <w:lang w:eastAsia="en-US"/>
        </w:rPr>
        <w:t>e</w:t>
      </w:r>
      <w:r w:rsidRPr="00DA6A6E">
        <w:rPr>
          <w:lang w:eastAsia="en-US"/>
        </w:rPr>
        <w:t xml:space="preserve"> access for patients, particularly those in rural and remote areas</w:t>
      </w:r>
      <w:r w:rsidR="00835B92">
        <w:rPr>
          <w:lang w:eastAsia="en-US"/>
        </w:rPr>
        <w:t xml:space="preserve"> (paragraphs 7.1 and 7</w:t>
      </w:r>
      <w:r w:rsidR="00835B92" w:rsidRPr="005C3209">
        <w:rPr>
          <w:lang w:eastAsia="en-US"/>
        </w:rPr>
        <w:t xml:space="preserve">.2, </w:t>
      </w:r>
      <w:proofErr w:type="spellStart"/>
      <w:r w:rsidR="005C3209" w:rsidRPr="005C3209">
        <w:t>lanreotide</w:t>
      </w:r>
      <w:proofErr w:type="spellEnd"/>
      <w:r w:rsidR="005C3209" w:rsidRPr="005C3209">
        <w:rPr>
          <w:rFonts w:cs="Arial"/>
          <w:snapToGrid w:val="0"/>
          <w:lang w:val="en-GB"/>
        </w:rPr>
        <w:t xml:space="preserve"> </w:t>
      </w:r>
      <w:r w:rsidR="00835B92" w:rsidRPr="005C3209">
        <w:rPr>
          <w:rFonts w:cs="Arial"/>
          <w:snapToGrid w:val="0"/>
          <w:lang w:val="en-GB"/>
        </w:rPr>
        <w:t>PSD</w:t>
      </w:r>
      <w:r w:rsidR="00835B92" w:rsidRPr="008054C9">
        <w:rPr>
          <w:rFonts w:cs="Arial"/>
          <w:snapToGrid w:val="0"/>
          <w:lang w:val="en-GB"/>
        </w:rPr>
        <w:t xml:space="preserve">, </w:t>
      </w:r>
      <w:r w:rsidR="005C3209">
        <w:rPr>
          <w:rFonts w:cs="Arial"/>
          <w:snapToGrid w:val="0"/>
          <w:lang w:val="en-GB"/>
        </w:rPr>
        <w:t>July</w:t>
      </w:r>
      <w:r w:rsidR="00835B92" w:rsidRPr="008054C9">
        <w:rPr>
          <w:rFonts w:cs="Arial"/>
          <w:snapToGrid w:val="0"/>
          <w:lang w:val="en-GB"/>
        </w:rPr>
        <w:t xml:space="preserve"> 2024 PBAC meeting).</w:t>
      </w:r>
    </w:p>
    <w:p w14:paraId="634464F0" w14:textId="3304F191" w:rsidR="002B3FF0" w:rsidRPr="00165126" w:rsidRDefault="007A1521" w:rsidP="00AE419C">
      <w:pPr>
        <w:pStyle w:val="3-BodyText"/>
      </w:pPr>
      <w:r w:rsidRPr="00165126">
        <w:t xml:space="preserve">The correspondence from the Australian and New Zealand Association of Neurologists (ANZAN) provided guidance that community-based initiation of intravenous </w:t>
      </w:r>
      <w:proofErr w:type="spellStart"/>
      <w:r w:rsidRPr="00165126">
        <w:t>edaravone</w:t>
      </w:r>
      <w:proofErr w:type="spellEnd"/>
      <w:r w:rsidRPr="00165126">
        <w:t xml:space="preserve"> for eligible ALS patients is </w:t>
      </w:r>
      <w:r w:rsidR="00635F98" w:rsidRPr="00165126">
        <w:t xml:space="preserve">appropriate </w:t>
      </w:r>
      <w:r w:rsidRPr="00165126">
        <w:t>under structured protocols</w:t>
      </w:r>
      <w:r w:rsidR="001C246F" w:rsidRPr="00165126">
        <w:t xml:space="preserve"> (see </w:t>
      </w:r>
      <w:r w:rsidR="00D11C91" w:rsidRPr="00165126">
        <w:t xml:space="preserve">paragraph </w:t>
      </w:r>
      <w:r w:rsidR="00D11C91" w:rsidRPr="00165126">
        <w:fldChar w:fldCharType="begin"/>
      </w:r>
      <w:r w:rsidR="00D11C91" w:rsidRPr="00165126">
        <w:instrText xml:space="preserve"> REF _Ref216444178 \r \h </w:instrText>
      </w:r>
      <w:r w:rsidR="00165126">
        <w:instrText xml:space="preserve"> \* MERGEFORMAT </w:instrText>
      </w:r>
      <w:r w:rsidR="00D11C91" w:rsidRPr="00165126">
        <w:fldChar w:fldCharType="separate"/>
      </w:r>
      <w:r w:rsidR="00124742">
        <w:t>4.10</w:t>
      </w:r>
      <w:r w:rsidR="00D11C91" w:rsidRPr="00165126">
        <w:fldChar w:fldCharType="end"/>
      </w:r>
      <w:r w:rsidR="00DA6F06" w:rsidRPr="00165126">
        <w:t xml:space="preserve"> </w:t>
      </w:r>
      <w:r w:rsidR="001C246F" w:rsidRPr="00165126">
        <w:t>for further detail)</w:t>
      </w:r>
      <w:r w:rsidRPr="00165126">
        <w:t>, supported by its favourable safety profile and international experience</w:t>
      </w:r>
      <w:r w:rsidR="007B2A09" w:rsidRPr="00165126">
        <w:t xml:space="preserve"> </w:t>
      </w:r>
      <w:r w:rsidR="00AE419C" w:rsidRPr="00165126">
        <w:t xml:space="preserve">in the safe administration of </w:t>
      </w:r>
      <w:proofErr w:type="spellStart"/>
      <w:r w:rsidR="00AE419C" w:rsidRPr="00165126">
        <w:t>edaravone</w:t>
      </w:r>
      <w:proofErr w:type="spellEnd"/>
      <w:r w:rsidR="00AE419C" w:rsidRPr="00165126">
        <w:t xml:space="preserve"> within community infusion centres and home settings.</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64304B75" w14:textId="4C748EB4" w:rsidR="004018CC" w:rsidRDefault="0075632F" w:rsidP="009A0D2B">
      <w:pPr>
        <w:pStyle w:val="3-BodyText"/>
        <w:numPr>
          <w:ilvl w:val="1"/>
          <w:numId w:val="1"/>
        </w:numPr>
      </w:pPr>
      <w:r w:rsidRPr="0075632F">
        <w:t xml:space="preserve">The financial implications of adding a Section 100 HSD CA listing for initial treatment were estimated based on the current ex-manufacturer price (EMP) of </w:t>
      </w:r>
      <w:r w:rsidRPr="0001143A">
        <w:t>$220 per</w:t>
      </w:r>
      <w:r w:rsidRPr="0075632F">
        <w:t xml:space="preserve"> ampoule.</w:t>
      </w:r>
      <w:r w:rsidR="00BA2BE6" w:rsidRPr="00BA2BE6">
        <w:t xml:space="preserve"> </w:t>
      </w:r>
      <w:r w:rsidR="00BA2BE6" w:rsidRPr="00C16B71">
        <w:t xml:space="preserve">However, the dispensed price for maximum quantity (DPMQ) </w:t>
      </w:r>
      <w:r w:rsidR="00A821D1" w:rsidRPr="00C16B71">
        <w:t xml:space="preserve">of $6,160.00 </w:t>
      </w:r>
      <w:r w:rsidR="00BA2BE6" w:rsidRPr="00C16B71">
        <w:t>in the proposed listing was incorrectly calculated using the same value applied under the Section 100 HSD Public Hospital listing</w:t>
      </w:r>
      <w:r w:rsidRPr="00BA2BE6">
        <w:rPr>
          <w:i/>
          <w:iCs/>
        </w:rPr>
        <w:t>.</w:t>
      </w:r>
      <w:r w:rsidRPr="0075632F">
        <w:t xml:space="preserve"> </w:t>
      </w:r>
      <w:r w:rsidR="004018CC">
        <w:fldChar w:fldCharType="begin"/>
      </w:r>
      <w:r w:rsidR="004018CC">
        <w:instrText xml:space="preserve"> REF _Ref215740561 \h </w:instrText>
      </w:r>
      <w:r w:rsidR="004018CC">
        <w:fldChar w:fldCharType="separate"/>
      </w:r>
      <w:r w:rsidR="001E4FAF">
        <w:t xml:space="preserve">Table </w:t>
      </w:r>
      <w:r w:rsidR="001E4FAF">
        <w:rPr>
          <w:noProof/>
        </w:rPr>
        <w:t>1</w:t>
      </w:r>
      <w:r w:rsidR="004018CC">
        <w:fldChar w:fldCharType="end"/>
      </w:r>
      <w:r w:rsidR="004018CC">
        <w:t xml:space="preserve"> </w:t>
      </w:r>
      <w:r w:rsidR="004018CC" w:rsidRPr="0075632F">
        <w:t xml:space="preserve">presents a comparison of DPMQ by access type </w:t>
      </w:r>
      <w:r w:rsidR="004018CC">
        <w:t>on</w:t>
      </w:r>
      <w:r w:rsidR="004018CC" w:rsidRPr="0075632F">
        <w:t xml:space="preserve"> the HSD program.</w:t>
      </w:r>
    </w:p>
    <w:p w14:paraId="25B5CEF5" w14:textId="3F659760" w:rsidR="00F26D80" w:rsidRDefault="004018CC" w:rsidP="00C05BCF">
      <w:pPr>
        <w:pStyle w:val="Caption"/>
        <w:keepNext/>
        <w:keepLines/>
        <w:suppressLineNumbers/>
        <w:suppressAutoHyphens/>
      </w:pPr>
      <w:bookmarkStart w:id="2" w:name="_Ref215740561"/>
      <w:r>
        <w:lastRenderedPageBreak/>
        <w:t xml:space="preserve">Table </w:t>
      </w:r>
      <w:fldSimple w:instr=" SEQ Table \* ARABIC ">
        <w:r w:rsidR="008D661A">
          <w:rPr>
            <w:noProof/>
          </w:rPr>
          <w:t>1</w:t>
        </w:r>
      </w:fldSimple>
      <w:bookmarkEnd w:id="2"/>
      <w:r w:rsidR="0075632F" w:rsidRPr="0075632F">
        <w:t xml:space="preserve"> </w:t>
      </w:r>
      <w:r w:rsidR="00300D77" w:rsidRPr="00300D77">
        <w:t>Comparison of EMP and DPMQ for initial treatment under Section 100 HSD access types</w:t>
      </w:r>
    </w:p>
    <w:tbl>
      <w:tblPr>
        <w:tblStyle w:val="TableGrid"/>
        <w:tblW w:w="5000" w:type="pct"/>
        <w:tblLook w:val="04A0" w:firstRow="1" w:lastRow="0" w:firstColumn="1" w:lastColumn="0" w:noHBand="0" w:noVBand="1"/>
        <w:tblCaption w:val="Table 1 Comparison of EMP and DPMQ for initial treatment under Section 100 HSD access types"/>
      </w:tblPr>
      <w:tblGrid>
        <w:gridCol w:w="1963"/>
        <w:gridCol w:w="1425"/>
        <w:gridCol w:w="1426"/>
        <w:gridCol w:w="2000"/>
        <w:gridCol w:w="2202"/>
      </w:tblGrid>
      <w:tr w:rsidR="006315B5" w:rsidRPr="00C16B71" w14:paraId="49D99659" w14:textId="0126F7E3" w:rsidTr="00FD362E">
        <w:tc>
          <w:tcPr>
            <w:tcW w:w="1089" w:type="pct"/>
            <w:vMerge w:val="restart"/>
          </w:tcPr>
          <w:p w14:paraId="64A3EFDA" w14:textId="3027A86A" w:rsidR="006315B5" w:rsidRPr="00C16B71" w:rsidRDefault="006315B5" w:rsidP="00C05BCF">
            <w:pPr>
              <w:keepNext/>
              <w:keepLines/>
              <w:suppressLineNumbers/>
              <w:suppressAutoHyphens/>
              <w:rPr>
                <w:rFonts w:ascii="Arial Narrow" w:hAnsi="Arial Narrow"/>
                <w:sz w:val="20"/>
                <w:szCs w:val="20"/>
              </w:rPr>
            </w:pPr>
            <w:r w:rsidRPr="00C16B71">
              <w:rPr>
                <w:rFonts w:ascii="Arial Narrow" w:hAnsi="Arial Narrow"/>
                <w:b/>
                <w:sz w:val="20"/>
                <w:szCs w:val="20"/>
              </w:rPr>
              <w:t>Value</w:t>
            </w:r>
          </w:p>
        </w:tc>
        <w:tc>
          <w:tcPr>
            <w:tcW w:w="2690" w:type="pct"/>
            <w:gridSpan w:val="3"/>
          </w:tcPr>
          <w:p w14:paraId="1DA7CFBF" w14:textId="4AF263CB" w:rsidR="006315B5" w:rsidRPr="00C16B71" w:rsidRDefault="006315B5" w:rsidP="00C05BCF">
            <w:pPr>
              <w:keepNext/>
              <w:keepLines/>
              <w:suppressLineNumbers/>
              <w:suppressAutoHyphens/>
              <w:jc w:val="center"/>
              <w:rPr>
                <w:rFonts w:ascii="Arial Narrow" w:hAnsi="Arial Narrow"/>
                <w:sz w:val="20"/>
                <w:szCs w:val="20"/>
              </w:rPr>
            </w:pPr>
            <w:r w:rsidRPr="00C16B71">
              <w:rPr>
                <w:rFonts w:ascii="Arial Narrow" w:hAnsi="Arial Narrow"/>
                <w:b/>
                <w:sz w:val="20"/>
                <w:szCs w:val="20"/>
              </w:rPr>
              <w:t>Initiation</w:t>
            </w:r>
          </w:p>
        </w:tc>
        <w:tc>
          <w:tcPr>
            <w:tcW w:w="1221" w:type="pct"/>
          </w:tcPr>
          <w:p w14:paraId="4F007770" w14:textId="3C8F1837" w:rsidR="006315B5" w:rsidRPr="00C16B71" w:rsidRDefault="00FD362E" w:rsidP="00C05BCF">
            <w:pPr>
              <w:keepNext/>
              <w:keepLines/>
              <w:suppressLineNumbers/>
              <w:suppressAutoHyphens/>
              <w:jc w:val="center"/>
              <w:rPr>
                <w:rFonts w:ascii="Arial Narrow" w:hAnsi="Arial Narrow"/>
                <w:b/>
                <w:sz w:val="20"/>
                <w:szCs w:val="20"/>
              </w:rPr>
            </w:pPr>
            <w:r w:rsidRPr="00C16B71">
              <w:rPr>
                <w:rFonts w:ascii="Arial Narrow" w:hAnsi="Arial Narrow"/>
                <w:b/>
                <w:sz w:val="20"/>
                <w:szCs w:val="20"/>
              </w:rPr>
              <w:t>Continuation</w:t>
            </w:r>
          </w:p>
        </w:tc>
      </w:tr>
      <w:tr w:rsidR="006315B5" w:rsidRPr="00C16B71" w14:paraId="4B22AE05" w14:textId="0B395AB1" w:rsidTr="00FD362E">
        <w:tc>
          <w:tcPr>
            <w:tcW w:w="1089" w:type="pct"/>
            <w:vMerge/>
          </w:tcPr>
          <w:p w14:paraId="3B69A482" w14:textId="5FAD9DB2" w:rsidR="006315B5" w:rsidRPr="00C16B71" w:rsidRDefault="006315B5" w:rsidP="00C05BCF">
            <w:pPr>
              <w:keepNext/>
              <w:keepLines/>
              <w:suppressLineNumbers/>
              <w:suppressAutoHyphens/>
              <w:rPr>
                <w:rFonts w:ascii="Arial Narrow" w:hAnsi="Arial Narrow"/>
                <w:sz w:val="20"/>
                <w:szCs w:val="20"/>
              </w:rPr>
            </w:pPr>
          </w:p>
        </w:tc>
        <w:tc>
          <w:tcPr>
            <w:tcW w:w="790" w:type="pct"/>
          </w:tcPr>
          <w:p w14:paraId="5ED8D056" w14:textId="12F4F8A8" w:rsidR="006315B5" w:rsidRPr="00C16B71" w:rsidRDefault="006315B5" w:rsidP="00C05BCF">
            <w:pPr>
              <w:keepNext/>
              <w:keepLines/>
              <w:suppressLineNumbers/>
              <w:suppressAutoHyphens/>
              <w:jc w:val="center"/>
              <w:rPr>
                <w:rFonts w:ascii="Arial Narrow" w:hAnsi="Arial Narrow"/>
                <w:b/>
                <w:bCs/>
                <w:sz w:val="20"/>
                <w:szCs w:val="20"/>
              </w:rPr>
            </w:pPr>
            <w:r w:rsidRPr="00C16B71">
              <w:rPr>
                <w:rFonts w:ascii="Arial Narrow" w:hAnsi="Arial Narrow"/>
                <w:b/>
                <w:bCs/>
                <w:sz w:val="20"/>
                <w:szCs w:val="20"/>
              </w:rPr>
              <w:t>Private</w:t>
            </w:r>
          </w:p>
        </w:tc>
        <w:tc>
          <w:tcPr>
            <w:tcW w:w="791" w:type="pct"/>
          </w:tcPr>
          <w:p w14:paraId="3EBD6D87" w14:textId="5AF40E9C" w:rsidR="006315B5" w:rsidRPr="00C16B71" w:rsidRDefault="006315B5" w:rsidP="00C05BCF">
            <w:pPr>
              <w:keepNext/>
              <w:keepLines/>
              <w:suppressLineNumbers/>
              <w:suppressAutoHyphens/>
              <w:jc w:val="center"/>
              <w:rPr>
                <w:rFonts w:ascii="Arial Narrow" w:hAnsi="Arial Narrow"/>
                <w:b/>
                <w:bCs/>
                <w:sz w:val="20"/>
                <w:szCs w:val="20"/>
              </w:rPr>
            </w:pPr>
            <w:r w:rsidRPr="00C16B71">
              <w:rPr>
                <w:rFonts w:ascii="Arial Narrow" w:hAnsi="Arial Narrow"/>
                <w:b/>
                <w:bCs/>
                <w:sz w:val="20"/>
                <w:szCs w:val="20"/>
              </w:rPr>
              <w:t>Public</w:t>
            </w:r>
          </w:p>
        </w:tc>
        <w:tc>
          <w:tcPr>
            <w:tcW w:w="1109" w:type="pct"/>
          </w:tcPr>
          <w:p w14:paraId="041F984E" w14:textId="26BF4634" w:rsidR="006315B5" w:rsidRPr="00C16B71" w:rsidRDefault="006315B5" w:rsidP="00C05BCF">
            <w:pPr>
              <w:keepNext/>
              <w:keepLines/>
              <w:suppressLineNumbers/>
              <w:suppressAutoHyphens/>
              <w:jc w:val="center"/>
              <w:rPr>
                <w:rFonts w:ascii="Arial Narrow" w:hAnsi="Arial Narrow"/>
                <w:b/>
                <w:bCs/>
                <w:sz w:val="20"/>
                <w:szCs w:val="20"/>
              </w:rPr>
            </w:pPr>
            <w:r w:rsidRPr="00C16B71">
              <w:rPr>
                <w:rFonts w:ascii="Arial Narrow" w:hAnsi="Arial Narrow"/>
                <w:b/>
                <w:bCs/>
                <w:sz w:val="20"/>
                <w:szCs w:val="20"/>
              </w:rPr>
              <w:t>Community Access</w:t>
            </w:r>
          </w:p>
        </w:tc>
        <w:tc>
          <w:tcPr>
            <w:tcW w:w="1221" w:type="pct"/>
          </w:tcPr>
          <w:p w14:paraId="3258DFDE" w14:textId="2396109C" w:rsidR="006315B5" w:rsidRPr="00C16B71" w:rsidRDefault="00FD362E" w:rsidP="00C05BCF">
            <w:pPr>
              <w:keepNext/>
              <w:keepLines/>
              <w:suppressLineNumbers/>
              <w:suppressAutoHyphens/>
              <w:jc w:val="center"/>
              <w:rPr>
                <w:rFonts w:ascii="Arial Narrow" w:hAnsi="Arial Narrow"/>
                <w:b/>
                <w:bCs/>
                <w:sz w:val="20"/>
                <w:szCs w:val="20"/>
              </w:rPr>
            </w:pPr>
            <w:r w:rsidRPr="00C16B71">
              <w:rPr>
                <w:rFonts w:ascii="Arial Narrow" w:hAnsi="Arial Narrow"/>
                <w:b/>
                <w:bCs/>
                <w:sz w:val="20"/>
                <w:szCs w:val="20"/>
              </w:rPr>
              <w:t>Community Access</w:t>
            </w:r>
          </w:p>
        </w:tc>
      </w:tr>
      <w:tr w:rsidR="00B91E5C" w:rsidRPr="00C16B71" w14:paraId="173599F8" w14:textId="05F4FC78" w:rsidTr="00B91E5C">
        <w:tc>
          <w:tcPr>
            <w:tcW w:w="1089" w:type="pct"/>
          </w:tcPr>
          <w:p w14:paraId="421F3119" w14:textId="2287AE9A" w:rsidR="00B91E5C" w:rsidRPr="00C16B71" w:rsidRDefault="00B91E5C" w:rsidP="00C05BCF">
            <w:pPr>
              <w:keepNext/>
              <w:keepLines/>
              <w:suppressLineNumbers/>
              <w:suppressAutoHyphens/>
              <w:rPr>
                <w:rFonts w:ascii="Arial Narrow" w:hAnsi="Arial Narrow"/>
                <w:sz w:val="20"/>
                <w:szCs w:val="20"/>
              </w:rPr>
            </w:pPr>
            <w:r w:rsidRPr="00C16B71">
              <w:rPr>
                <w:rFonts w:ascii="Arial Narrow" w:hAnsi="Arial Narrow"/>
                <w:sz w:val="20"/>
                <w:szCs w:val="20"/>
              </w:rPr>
              <w:t>AEMP per ampule</w:t>
            </w:r>
          </w:p>
        </w:tc>
        <w:tc>
          <w:tcPr>
            <w:tcW w:w="3911" w:type="pct"/>
            <w:gridSpan w:val="4"/>
          </w:tcPr>
          <w:p w14:paraId="228630A8" w14:textId="670D2579" w:rsidR="00B91E5C" w:rsidRPr="00C16B71" w:rsidRDefault="00B91E5C" w:rsidP="00C05BCF">
            <w:pPr>
              <w:keepNext/>
              <w:keepLines/>
              <w:suppressLineNumbers/>
              <w:suppressAutoHyphens/>
              <w:jc w:val="center"/>
              <w:rPr>
                <w:rFonts w:ascii="Arial Narrow" w:hAnsi="Arial Narrow"/>
                <w:sz w:val="20"/>
                <w:szCs w:val="20"/>
              </w:rPr>
            </w:pPr>
            <w:r w:rsidRPr="00C16B71">
              <w:rPr>
                <w:rFonts w:ascii="Arial Narrow" w:hAnsi="Arial Narrow"/>
                <w:sz w:val="20"/>
                <w:szCs w:val="20"/>
              </w:rPr>
              <w:t>$220.00</w:t>
            </w:r>
          </w:p>
        </w:tc>
      </w:tr>
      <w:tr w:rsidR="006315B5" w:rsidRPr="00C16B71" w14:paraId="474476D5" w14:textId="1E58E6C5" w:rsidTr="00FD362E">
        <w:tc>
          <w:tcPr>
            <w:tcW w:w="1089" w:type="pct"/>
            <w:vAlign w:val="center"/>
          </w:tcPr>
          <w:p w14:paraId="0C7ACCD0" w14:textId="6B30D498" w:rsidR="006315B5" w:rsidRPr="00C16B71" w:rsidRDefault="006315B5" w:rsidP="00C05BCF">
            <w:pPr>
              <w:keepNext/>
              <w:keepLines/>
              <w:suppressLineNumbers/>
              <w:suppressAutoHyphens/>
              <w:rPr>
                <w:rFonts w:ascii="Arial Narrow" w:hAnsi="Arial Narrow"/>
                <w:sz w:val="20"/>
                <w:szCs w:val="20"/>
              </w:rPr>
            </w:pPr>
            <w:r w:rsidRPr="00C16B71">
              <w:rPr>
                <w:rFonts w:ascii="Arial Narrow" w:hAnsi="Arial Narrow"/>
                <w:sz w:val="20"/>
                <w:szCs w:val="20"/>
              </w:rPr>
              <w:t>Max Qty </w:t>
            </w:r>
          </w:p>
        </w:tc>
        <w:tc>
          <w:tcPr>
            <w:tcW w:w="2690" w:type="pct"/>
            <w:gridSpan w:val="3"/>
          </w:tcPr>
          <w:p w14:paraId="10F2A22E" w14:textId="1DB53358" w:rsidR="006315B5" w:rsidRPr="00C16B71" w:rsidRDefault="006315B5" w:rsidP="00C05BCF">
            <w:pPr>
              <w:keepNext/>
              <w:keepLines/>
              <w:suppressLineNumbers/>
              <w:suppressAutoHyphens/>
              <w:jc w:val="center"/>
              <w:rPr>
                <w:rFonts w:ascii="Arial Narrow" w:hAnsi="Arial Narrow"/>
                <w:sz w:val="20"/>
                <w:szCs w:val="20"/>
              </w:rPr>
            </w:pPr>
            <w:r w:rsidRPr="00C16B71">
              <w:rPr>
                <w:rFonts w:ascii="Arial Narrow" w:hAnsi="Arial Narrow"/>
                <w:sz w:val="20"/>
                <w:szCs w:val="20"/>
              </w:rPr>
              <w:t>28</w:t>
            </w:r>
          </w:p>
        </w:tc>
        <w:tc>
          <w:tcPr>
            <w:tcW w:w="1221" w:type="pct"/>
          </w:tcPr>
          <w:p w14:paraId="5399D61A" w14:textId="06188EDF" w:rsidR="006315B5" w:rsidRPr="00C16B71" w:rsidRDefault="00B91E5C" w:rsidP="00C05BCF">
            <w:pPr>
              <w:keepNext/>
              <w:keepLines/>
              <w:suppressLineNumbers/>
              <w:suppressAutoHyphens/>
              <w:jc w:val="center"/>
              <w:rPr>
                <w:rFonts w:ascii="Arial Narrow" w:hAnsi="Arial Narrow"/>
                <w:sz w:val="20"/>
                <w:szCs w:val="20"/>
              </w:rPr>
            </w:pPr>
            <w:r w:rsidRPr="00C16B71">
              <w:rPr>
                <w:rFonts w:ascii="Arial Narrow" w:hAnsi="Arial Narrow"/>
                <w:sz w:val="20"/>
                <w:szCs w:val="20"/>
              </w:rPr>
              <w:t>20</w:t>
            </w:r>
          </w:p>
        </w:tc>
      </w:tr>
      <w:tr w:rsidR="006315B5" w:rsidRPr="00C16B71" w14:paraId="70F91FA4" w14:textId="44AAAF92" w:rsidTr="00FD362E">
        <w:tc>
          <w:tcPr>
            <w:tcW w:w="1089" w:type="pct"/>
            <w:vAlign w:val="center"/>
          </w:tcPr>
          <w:p w14:paraId="288FA518" w14:textId="4B58B6BE" w:rsidR="006315B5" w:rsidRPr="00C16B71" w:rsidRDefault="006315B5" w:rsidP="00C05BCF">
            <w:pPr>
              <w:keepNext/>
              <w:keepLines/>
              <w:suppressLineNumbers/>
              <w:suppressAutoHyphens/>
              <w:rPr>
                <w:rFonts w:ascii="Arial Narrow" w:hAnsi="Arial Narrow"/>
                <w:sz w:val="20"/>
                <w:szCs w:val="20"/>
              </w:rPr>
            </w:pPr>
            <w:r w:rsidRPr="00C16B71">
              <w:rPr>
                <w:rFonts w:ascii="Arial Narrow" w:hAnsi="Arial Narrow"/>
                <w:sz w:val="20"/>
                <w:szCs w:val="20"/>
              </w:rPr>
              <w:t>Max Qty AEMP </w:t>
            </w:r>
          </w:p>
        </w:tc>
        <w:tc>
          <w:tcPr>
            <w:tcW w:w="2690" w:type="pct"/>
            <w:gridSpan w:val="3"/>
          </w:tcPr>
          <w:p w14:paraId="521B00C3" w14:textId="30147B17" w:rsidR="006315B5" w:rsidRPr="00C16B71" w:rsidRDefault="006315B5" w:rsidP="00C05BCF">
            <w:pPr>
              <w:keepNext/>
              <w:keepLines/>
              <w:suppressLineNumbers/>
              <w:suppressAutoHyphens/>
              <w:jc w:val="center"/>
              <w:rPr>
                <w:rFonts w:ascii="Arial Narrow" w:hAnsi="Arial Narrow"/>
                <w:sz w:val="20"/>
                <w:szCs w:val="20"/>
              </w:rPr>
            </w:pPr>
            <w:r w:rsidRPr="00C16B71">
              <w:rPr>
                <w:rFonts w:ascii="Arial Narrow" w:hAnsi="Arial Narrow"/>
                <w:sz w:val="20"/>
                <w:szCs w:val="20"/>
              </w:rPr>
              <w:t>$6,160.00</w:t>
            </w:r>
          </w:p>
        </w:tc>
        <w:tc>
          <w:tcPr>
            <w:tcW w:w="1221" w:type="pct"/>
          </w:tcPr>
          <w:p w14:paraId="631E54D8" w14:textId="44B05708" w:rsidR="006315B5" w:rsidRPr="00C16B71" w:rsidRDefault="0015166F" w:rsidP="00C05BCF">
            <w:pPr>
              <w:keepNext/>
              <w:keepLines/>
              <w:suppressLineNumbers/>
              <w:suppressAutoHyphens/>
              <w:jc w:val="center"/>
              <w:rPr>
                <w:rFonts w:ascii="Arial Narrow" w:hAnsi="Arial Narrow"/>
                <w:sz w:val="20"/>
                <w:szCs w:val="20"/>
              </w:rPr>
            </w:pPr>
            <w:r w:rsidRPr="00C16B71">
              <w:rPr>
                <w:rFonts w:ascii="Arial Narrow" w:hAnsi="Arial Narrow"/>
                <w:sz w:val="20"/>
                <w:szCs w:val="20"/>
              </w:rPr>
              <w:t>$4,400.00</w:t>
            </w:r>
          </w:p>
        </w:tc>
      </w:tr>
      <w:tr w:rsidR="006315B5" w:rsidRPr="00C16B71" w14:paraId="2E558F1C" w14:textId="61C8ABDA" w:rsidTr="00FD362E">
        <w:tc>
          <w:tcPr>
            <w:tcW w:w="1089" w:type="pct"/>
            <w:vAlign w:val="center"/>
          </w:tcPr>
          <w:p w14:paraId="203FB883" w14:textId="45129C74" w:rsidR="006315B5" w:rsidRPr="00C16B71" w:rsidRDefault="006315B5" w:rsidP="00C05BCF">
            <w:pPr>
              <w:keepNext/>
              <w:keepLines/>
              <w:suppressLineNumbers/>
              <w:suppressAutoHyphens/>
              <w:rPr>
                <w:rFonts w:ascii="Arial Narrow" w:hAnsi="Arial Narrow"/>
                <w:sz w:val="20"/>
                <w:szCs w:val="20"/>
              </w:rPr>
            </w:pPr>
            <w:r w:rsidRPr="00C16B71">
              <w:rPr>
                <w:rFonts w:ascii="Arial Narrow" w:hAnsi="Arial Narrow"/>
                <w:sz w:val="20"/>
                <w:szCs w:val="20"/>
              </w:rPr>
              <w:t>DPMQ</w:t>
            </w:r>
          </w:p>
        </w:tc>
        <w:tc>
          <w:tcPr>
            <w:tcW w:w="790" w:type="pct"/>
            <w:vAlign w:val="center"/>
          </w:tcPr>
          <w:p w14:paraId="47963CA7" w14:textId="33909B2F" w:rsidR="006315B5" w:rsidRPr="00C16B71" w:rsidRDefault="009B43F5" w:rsidP="00C05BCF">
            <w:pPr>
              <w:keepNext/>
              <w:keepLines/>
              <w:suppressLineNumbers/>
              <w:suppressAutoHyphens/>
              <w:jc w:val="center"/>
              <w:rPr>
                <w:rFonts w:ascii="Arial Narrow" w:hAnsi="Arial Narrow"/>
                <w:sz w:val="20"/>
                <w:szCs w:val="20"/>
              </w:rPr>
            </w:pPr>
            <w:r w:rsidRPr="00C16B71">
              <w:rPr>
                <w:rFonts w:ascii="Arial Narrow" w:hAnsi="Arial Narrow"/>
                <w:sz w:val="20"/>
                <w:szCs w:val="20"/>
              </w:rPr>
              <w:t>$6</w:t>
            </w:r>
            <w:r w:rsidR="00D20602" w:rsidRPr="00C16B71">
              <w:rPr>
                <w:rFonts w:ascii="Arial Narrow" w:hAnsi="Arial Narrow"/>
                <w:sz w:val="20"/>
                <w:szCs w:val="20"/>
              </w:rPr>
              <w:t>,</w:t>
            </w:r>
            <w:r w:rsidRPr="00C16B71">
              <w:rPr>
                <w:rFonts w:ascii="Arial Narrow" w:hAnsi="Arial Narrow"/>
                <w:sz w:val="20"/>
                <w:szCs w:val="20"/>
              </w:rPr>
              <w:t>208.89</w:t>
            </w:r>
          </w:p>
        </w:tc>
        <w:tc>
          <w:tcPr>
            <w:tcW w:w="791" w:type="pct"/>
            <w:vAlign w:val="center"/>
          </w:tcPr>
          <w:p w14:paraId="69A19BF2" w14:textId="001B408B" w:rsidR="006315B5" w:rsidRPr="00C16B71" w:rsidRDefault="006315B5" w:rsidP="00C05BCF">
            <w:pPr>
              <w:keepNext/>
              <w:keepLines/>
              <w:suppressLineNumbers/>
              <w:suppressAutoHyphens/>
              <w:jc w:val="center"/>
              <w:rPr>
                <w:rFonts w:ascii="Arial Narrow" w:hAnsi="Arial Narrow"/>
                <w:sz w:val="20"/>
                <w:szCs w:val="20"/>
              </w:rPr>
            </w:pPr>
            <w:r w:rsidRPr="00C16B71">
              <w:rPr>
                <w:rFonts w:ascii="Arial Narrow" w:hAnsi="Arial Narrow"/>
                <w:sz w:val="20"/>
                <w:szCs w:val="20"/>
              </w:rPr>
              <w:t>$6,160.00</w:t>
            </w:r>
          </w:p>
        </w:tc>
        <w:tc>
          <w:tcPr>
            <w:tcW w:w="1109" w:type="pct"/>
          </w:tcPr>
          <w:p w14:paraId="77E8857A" w14:textId="67DD4F33" w:rsidR="006315B5" w:rsidRPr="00C16B71" w:rsidRDefault="009B43F5" w:rsidP="00C05BCF">
            <w:pPr>
              <w:keepNext/>
              <w:keepLines/>
              <w:suppressLineNumbers/>
              <w:suppressAutoHyphens/>
              <w:jc w:val="center"/>
              <w:rPr>
                <w:rFonts w:ascii="Arial Narrow" w:hAnsi="Arial Narrow"/>
                <w:sz w:val="20"/>
                <w:szCs w:val="20"/>
              </w:rPr>
            </w:pPr>
            <w:r w:rsidRPr="00C16B71">
              <w:rPr>
                <w:rFonts w:ascii="Arial Narrow" w:hAnsi="Arial Narrow"/>
                <w:sz w:val="20"/>
                <w:szCs w:val="20"/>
              </w:rPr>
              <w:t>$6</w:t>
            </w:r>
            <w:r w:rsidR="00D20602" w:rsidRPr="00C16B71">
              <w:rPr>
                <w:rFonts w:ascii="Arial Narrow" w:hAnsi="Arial Narrow"/>
                <w:sz w:val="20"/>
                <w:szCs w:val="20"/>
              </w:rPr>
              <w:t>,</w:t>
            </w:r>
            <w:r w:rsidRPr="00C16B71">
              <w:rPr>
                <w:rFonts w:ascii="Arial Narrow" w:hAnsi="Arial Narrow"/>
                <w:sz w:val="20"/>
                <w:szCs w:val="20"/>
              </w:rPr>
              <w:t>208.89</w:t>
            </w:r>
          </w:p>
        </w:tc>
        <w:tc>
          <w:tcPr>
            <w:tcW w:w="1221" w:type="pct"/>
          </w:tcPr>
          <w:p w14:paraId="6A75A7B4" w14:textId="7838F5EE" w:rsidR="006315B5" w:rsidRPr="00C16B71" w:rsidRDefault="008B6942" w:rsidP="00C05BCF">
            <w:pPr>
              <w:keepNext/>
              <w:keepLines/>
              <w:suppressLineNumbers/>
              <w:suppressAutoHyphens/>
              <w:jc w:val="center"/>
              <w:rPr>
                <w:rFonts w:ascii="Arial Narrow" w:hAnsi="Arial Narrow"/>
                <w:sz w:val="20"/>
                <w:szCs w:val="20"/>
              </w:rPr>
            </w:pPr>
            <w:r w:rsidRPr="00C16B71">
              <w:rPr>
                <w:rFonts w:ascii="Arial Narrow" w:hAnsi="Arial Narrow"/>
                <w:sz w:val="20"/>
                <w:szCs w:val="20"/>
              </w:rPr>
              <w:t>$4</w:t>
            </w:r>
            <w:r w:rsidR="00D20602" w:rsidRPr="00C16B71">
              <w:rPr>
                <w:rFonts w:ascii="Arial Narrow" w:hAnsi="Arial Narrow"/>
                <w:sz w:val="20"/>
                <w:szCs w:val="20"/>
              </w:rPr>
              <w:t>,</w:t>
            </w:r>
            <w:r w:rsidRPr="00C16B71">
              <w:rPr>
                <w:rFonts w:ascii="Arial Narrow" w:hAnsi="Arial Narrow"/>
                <w:sz w:val="20"/>
                <w:szCs w:val="20"/>
              </w:rPr>
              <w:t>448.88</w:t>
            </w:r>
          </w:p>
        </w:tc>
      </w:tr>
    </w:tbl>
    <w:p w14:paraId="32FA5399" w14:textId="77777777" w:rsidR="00A85078" w:rsidRPr="00A85078" w:rsidRDefault="00A85078" w:rsidP="00C05BCF">
      <w:pPr>
        <w:pStyle w:val="3-BodyText"/>
        <w:keepNext/>
        <w:keepLines/>
        <w:numPr>
          <w:ilvl w:val="0"/>
          <w:numId w:val="0"/>
        </w:numPr>
        <w:suppressLineNumbers/>
        <w:suppressAutoHyphens/>
        <w:spacing w:before="0" w:after="0"/>
        <w:ind w:left="720" w:hanging="720"/>
        <w:rPr>
          <w:rFonts w:ascii="Arial Narrow" w:hAnsi="Arial Narrow"/>
          <w:sz w:val="18"/>
          <w:szCs w:val="18"/>
        </w:rPr>
      </w:pPr>
      <w:r w:rsidRPr="00A85078">
        <w:rPr>
          <w:rFonts w:ascii="Arial Narrow" w:hAnsi="Arial Narrow"/>
          <w:sz w:val="18"/>
          <w:szCs w:val="18"/>
        </w:rPr>
        <w:t>Abbreviations: AEMP = Average Ex-Manufacturer Price; DPMQ = Dispensed Price for Maximum Quantity</w:t>
      </w:r>
    </w:p>
    <w:p w14:paraId="2C4C7B41" w14:textId="0CD3C35C" w:rsidR="00A85078" w:rsidRPr="00A85078" w:rsidRDefault="00A85078" w:rsidP="00C05BCF">
      <w:pPr>
        <w:pStyle w:val="3-BodyText"/>
        <w:keepNext/>
        <w:keepLines/>
        <w:numPr>
          <w:ilvl w:val="0"/>
          <w:numId w:val="0"/>
        </w:numPr>
        <w:suppressLineNumbers/>
        <w:suppressAutoHyphens/>
        <w:spacing w:before="0" w:after="0"/>
        <w:ind w:left="720" w:hanging="720"/>
        <w:rPr>
          <w:rFonts w:ascii="Arial Narrow" w:hAnsi="Arial Narrow"/>
          <w:sz w:val="18"/>
          <w:szCs w:val="18"/>
        </w:rPr>
      </w:pPr>
      <w:r w:rsidRPr="00A85078">
        <w:rPr>
          <w:rFonts w:ascii="Arial Narrow" w:hAnsi="Arial Narrow"/>
          <w:sz w:val="18"/>
          <w:szCs w:val="18"/>
        </w:rPr>
        <w:t>Source: Compiled by the Secretariat based on page 14 of the submission.</w:t>
      </w:r>
    </w:p>
    <w:p w14:paraId="026A5E7F" w14:textId="23E54511" w:rsidR="00713CA0" w:rsidRPr="00B6186C" w:rsidRDefault="00A512C1" w:rsidP="00713CA0">
      <w:pPr>
        <w:pStyle w:val="3-BodyText"/>
        <w:numPr>
          <w:ilvl w:val="1"/>
          <w:numId w:val="1"/>
        </w:numPr>
      </w:pPr>
      <w:r w:rsidRPr="00A512C1">
        <w:rPr>
          <w:lang w:eastAsia="en-US"/>
        </w:rPr>
        <w:t xml:space="preserve">Based on inputs from neurologists, the submission estimated that approximately </w:t>
      </w:r>
      <w:r w:rsidR="0022550B" w:rsidRPr="00B6186C">
        <w:rPr>
          <w:lang w:eastAsia="en-US"/>
        </w:rPr>
        <w:t xml:space="preserve">&lt; 500 </w:t>
      </w:r>
      <w:r w:rsidRPr="00B6186C">
        <w:rPr>
          <w:lang w:eastAsia="en-US"/>
        </w:rPr>
        <w:t xml:space="preserve">patients currently experience delays or are unable to access </w:t>
      </w:r>
      <w:proofErr w:type="spellStart"/>
      <w:r w:rsidRPr="00B6186C">
        <w:rPr>
          <w:lang w:eastAsia="en-US"/>
        </w:rPr>
        <w:t>edaravone</w:t>
      </w:r>
      <w:proofErr w:type="spellEnd"/>
      <w:r w:rsidRPr="00B6186C">
        <w:rPr>
          <w:lang w:eastAsia="en-US"/>
        </w:rPr>
        <w:t xml:space="preserve"> due to the absence of a </w:t>
      </w:r>
      <w:r w:rsidR="00B445B6" w:rsidRPr="00B6186C">
        <w:rPr>
          <w:lang w:eastAsia="en-US"/>
        </w:rPr>
        <w:t xml:space="preserve">CA </w:t>
      </w:r>
      <w:r w:rsidRPr="00B6186C">
        <w:rPr>
          <w:lang w:eastAsia="en-US"/>
        </w:rPr>
        <w:t xml:space="preserve">initiation restriction. Accordingly, forward estimates incorporated </w:t>
      </w:r>
      <w:r w:rsidR="0022550B" w:rsidRPr="00B6186C">
        <w:rPr>
          <w:lang w:eastAsia="en-US"/>
        </w:rPr>
        <w:t xml:space="preserve">&lt; </w:t>
      </w:r>
      <w:proofErr w:type="gramStart"/>
      <w:r w:rsidR="0022550B" w:rsidRPr="00B6186C">
        <w:rPr>
          <w:lang w:eastAsia="en-US"/>
        </w:rPr>
        <w:t xml:space="preserve">500 </w:t>
      </w:r>
      <w:r w:rsidRPr="00B6186C">
        <w:rPr>
          <w:lang w:eastAsia="en-US"/>
        </w:rPr>
        <w:t xml:space="preserve"> additional</w:t>
      </w:r>
      <w:proofErr w:type="gramEnd"/>
      <w:r w:rsidRPr="00B6186C">
        <w:rPr>
          <w:lang w:eastAsia="en-US"/>
        </w:rPr>
        <w:t xml:space="preserve"> incident patients per year, without applying an annual growth rate. The submission also estimated that around </w:t>
      </w:r>
      <w:r w:rsidR="00A672B7" w:rsidRPr="00B6186C">
        <w:rPr>
          <w:lang w:eastAsia="en-US"/>
        </w:rPr>
        <w:t xml:space="preserve">&lt; 500 </w:t>
      </w:r>
      <w:r w:rsidRPr="00B6186C">
        <w:rPr>
          <w:lang w:eastAsia="en-US"/>
        </w:rPr>
        <w:t xml:space="preserve">patients who have previously imported </w:t>
      </w:r>
      <w:proofErr w:type="spellStart"/>
      <w:r w:rsidRPr="00B6186C">
        <w:rPr>
          <w:lang w:eastAsia="en-US"/>
        </w:rPr>
        <w:t>edaravone</w:t>
      </w:r>
      <w:proofErr w:type="spellEnd"/>
      <w:r w:rsidRPr="00B6186C">
        <w:rPr>
          <w:lang w:eastAsia="en-US"/>
        </w:rPr>
        <w:t xml:space="preserve"> independently may benefit from a grandfathering provision. The</w:t>
      </w:r>
      <w:r w:rsidR="00CF29A3" w:rsidRPr="00B6186C">
        <w:rPr>
          <w:lang w:eastAsia="en-US"/>
        </w:rPr>
        <w:t xml:space="preserve"> s</w:t>
      </w:r>
      <w:r w:rsidRPr="00B6186C">
        <w:rPr>
          <w:lang w:eastAsia="en-US"/>
        </w:rPr>
        <w:t>ubmission assumed that 100% of these incident and grandfathered patients would meet PBS eligibility criteria and elect to commence treatment, with financial estimates applying a 100% continuation rate for these patients.</w:t>
      </w:r>
    </w:p>
    <w:p w14:paraId="4D411C02" w14:textId="73F1CB49" w:rsidR="00B44A5B" w:rsidRPr="00074A3B" w:rsidRDefault="3CD8FF28" w:rsidP="00494A3C">
      <w:pPr>
        <w:pStyle w:val="3-BodyText"/>
      </w:pPr>
      <w:r w:rsidRPr="00B6186C">
        <w:t xml:space="preserve">The evaluation noted that the </w:t>
      </w:r>
      <w:r w:rsidR="00BC607C" w:rsidRPr="00B6186C">
        <w:t xml:space="preserve">&lt; </w:t>
      </w:r>
      <w:proofErr w:type="gramStart"/>
      <w:r w:rsidR="00BC607C" w:rsidRPr="00B6186C">
        <w:t xml:space="preserve">500 </w:t>
      </w:r>
      <w:r w:rsidRPr="00074A3B">
        <w:t xml:space="preserve"> additional</w:t>
      </w:r>
      <w:proofErr w:type="gramEnd"/>
      <w:r w:rsidRPr="00074A3B">
        <w:t xml:space="preserve"> incident patients per year who currently experience delays are likely already eligible under the current restriction and were included in </w:t>
      </w:r>
      <w:r w:rsidR="00351F82" w:rsidRPr="00074A3B">
        <w:t xml:space="preserve">the </w:t>
      </w:r>
      <w:r w:rsidRPr="00074A3B">
        <w:t>previous forward estimates.</w:t>
      </w:r>
      <w:r w:rsidR="5AE1A6D4" w:rsidRPr="00074A3B">
        <w:t xml:space="preserve"> In the previous consideration, it was noted that the prevalent patient population was expected to include any grandfathered patients within the model</w:t>
      </w:r>
      <w:r w:rsidR="4E2CBAFB" w:rsidRPr="00074A3B">
        <w:t xml:space="preserve"> (paragraph 4.23, </w:t>
      </w:r>
      <w:proofErr w:type="spellStart"/>
      <w:r w:rsidR="4E2CBAFB" w:rsidRPr="00074A3B">
        <w:t>edaravone</w:t>
      </w:r>
      <w:proofErr w:type="spellEnd"/>
      <w:r w:rsidR="4E2CBAFB" w:rsidRPr="00074A3B">
        <w:t xml:space="preserve"> PSD, March 2024 PBAC meeting)</w:t>
      </w:r>
      <w:r w:rsidR="5AE1A6D4" w:rsidRPr="00074A3B">
        <w:t>.</w:t>
      </w:r>
    </w:p>
    <w:p w14:paraId="065E4E69" w14:textId="762E0801" w:rsidR="007F44B4" w:rsidRDefault="007F44B4" w:rsidP="00EA3DA7">
      <w:pPr>
        <w:pStyle w:val="3-BodyText"/>
        <w:numPr>
          <w:ilvl w:val="1"/>
          <w:numId w:val="1"/>
        </w:numPr>
      </w:pPr>
      <w:r w:rsidRPr="007F44B4">
        <w:t xml:space="preserve">The submission did not anticipate displacement of any PBS-reimbursed medicines, as </w:t>
      </w:r>
      <w:proofErr w:type="spellStart"/>
      <w:r w:rsidRPr="007F44B4">
        <w:t>edaravone</w:t>
      </w:r>
      <w:proofErr w:type="spellEnd"/>
      <w:r w:rsidRPr="007F44B4">
        <w:t xml:space="preserve"> is proposed for use as adjunctive therapy </w:t>
      </w:r>
      <w:r w:rsidR="00526B86" w:rsidRPr="00526B86">
        <w:t xml:space="preserve">to the current standard of care, with or without </w:t>
      </w:r>
      <w:proofErr w:type="spellStart"/>
      <w:r w:rsidR="00526B86" w:rsidRPr="00526B86">
        <w:t>riluzole</w:t>
      </w:r>
      <w:proofErr w:type="spellEnd"/>
      <w:r w:rsidRPr="007F44B4">
        <w:t xml:space="preserve">. However, given </w:t>
      </w:r>
      <w:proofErr w:type="spellStart"/>
      <w:r w:rsidRPr="007F44B4">
        <w:t>edaravone</w:t>
      </w:r>
      <w:proofErr w:type="spellEnd"/>
      <w:r w:rsidRPr="007F44B4">
        <w:t xml:space="preserve"> is expected to increase survival by approximately 0.52 years, the submission noted a likely increase in </w:t>
      </w:r>
      <w:proofErr w:type="spellStart"/>
      <w:r w:rsidRPr="007F44B4">
        <w:t>riluzole</w:t>
      </w:r>
      <w:proofErr w:type="spellEnd"/>
      <w:r w:rsidRPr="007F44B4">
        <w:t xml:space="preserve"> utilisation. It was assumed that around 85% of currently treated ALS patients also receive </w:t>
      </w:r>
      <w:proofErr w:type="spellStart"/>
      <w:r w:rsidRPr="007F44B4">
        <w:t>riluzole</w:t>
      </w:r>
      <w:proofErr w:type="spellEnd"/>
      <w:r w:rsidRPr="007F44B4">
        <w:t>.</w:t>
      </w:r>
    </w:p>
    <w:p w14:paraId="74F1EFA3" w14:textId="48615533" w:rsidR="00E21164" w:rsidRPr="00E27F99" w:rsidRDefault="00C81D14" w:rsidP="00494A3C">
      <w:pPr>
        <w:pStyle w:val="3-BodyText"/>
      </w:pPr>
      <w:r>
        <w:t xml:space="preserve">The submission estimated an additional net cost to the PBS/RPBS of </w:t>
      </w:r>
      <w:r w:rsidR="00BD6EC0" w:rsidRPr="00BD6EC0">
        <w:t>$0 to &lt; $10 million</w:t>
      </w:r>
      <w:r>
        <w:t xml:space="preserve"> over the first six years of listing </w:t>
      </w:r>
      <w:r w:rsidR="00BD6EC0" w:rsidRPr="00BD6EC0">
        <w:t>$0 to &lt; $10 million</w:t>
      </w:r>
      <w:r w:rsidR="00EE6203">
        <w:t xml:space="preserve"> in Year 1</w:t>
      </w:r>
      <w:r w:rsidR="00D70349">
        <w:t xml:space="preserve"> to </w:t>
      </w:r>
      <w:r w:rsidR="00BD6EC0" w:rsidRPr="00BD6EC0">
        <w:t>$0 to &lt; $10 million</w:t>
      </w:r>
      <w:r w:rsidR="00EE6203">
        <w:t xml:space="preserve"> in Year 6</w:t>
      </w:r>
      <w:r w:rsidR="00D70349">
        <w:t xml:space="preserve">). </w:t>
      </w:r>
      <w:r w:rsidR="006E4730" w:rsidRPr="00E27F99">
        <w:t>T</w:t>
      </w:r>
      <w:r w:rsidR="000774F9" w:rsidRPr="00E27F99">
        <w:t xml:space="preserve">he net financial impact of the requested changes </w:t>
      </w:r>
      <w:r w:rsidR="000A35ED" w:rsidRPr="00E27F99">
        <w:t>is expected to be lower than</w:t>
      </w:r>
      <w:r w:rsidR="001D2138" w:rsidRPr="00E27F99">
        <w:t xml:space="preserve"> this estimate</w:t>
      </w:r>
      <w:r w:rsidR="000C0321" w:rsidRPr="00E27F99">
        <w:t xml:space="preserve">. The evaluation considered the financial impact </w:t>
      </w:r>
      <w:r w:rsidR="008E699A" w:rsidRPr="00E27F99">
        <w:t>to</w:t>
      </w:r>
      <w:r w:rsidR="000C0321" w:rsidRPr="00E27F99">
        <w:t xml:space="preserve"> be </w:t>
      </w:r>
      <w:r w:rsidR="000774F9" w:rsidRPr="00E27F99">
        <w:t>minor</w:t>
      </w:r>
      <w:r w:rsidR="008B4945" w:rsidRPr="00E27F99">
        <w:t xml:space="preserve">, </w:t>
      </w:r>
      <w:r w:rsidR="00870ED0" w:rsidRPr="00E27F99">
        <w:t>given that</w:t>
      </w:r>
      <w:r w:rsidR="008B4945" w:rsidRPr="00E27F99">
        <w:t xml:space="preserve"> the estimated increase in patient numbers was already incorporated into the original estimates</w:t>
      </w:r>
      <w:r w:rsidR="000774F9" w:rsidRPr="00E27F99">
        <w:t xml:space="preserve">. Furthermore, </w:t>
      </w:r>
      <w:r w:rsidR="0039038A" w:rsidRPr="00E27F99">
        <w:t>the submission d</w:t>
      </w:r>
      <w:r w:rsidR="00303A0D" w:rsidRPr="00E27F99">
        <w:t>id</w:t>
      </w:r>
      <w:r w:rsidR="0039038A" w:rsidRPr="00E27F99">
        <w:t xml:space="preserve"> not propose any amendments to the current </w:t>
      </w:r>
      <w:r w:rsidR="0050420B" w:rsidRPr="00E27F99">
        <w:t xml:space="preserve">Risk Sharing Arrangement (RSA) </w:t>
      </w:r>
      <w:r w:rsidR="0039038A" w:rsidRPr="00E27F99">
        <w:t>and indicate</w:t>
      </w:r>
      <w:r w:rsidR="0050420B" w:rsidRPr="00E27F99">
        <w:t>d</w:t>
      </w:r>
      <w:r w:rsidR="0039038A" w:rsidRPr="00E27F99">
        <w:t xml:space="preserve"> that a substantial expansion of the market size is not expected. </w:t>
      </w:r>
      <w:r w:rsidR="5FBA8A52" w:rsidRPr="00E27F99">
        <w:t xml:space="preserve">The </w:t>
      </w:r>
      <w:r w:rsidR="00F63482" w:rsidRPr="00E27F99">
        <w:t xml:space="preserve">existing </w:t>
      </w:r>
      <w:r w:rsidR="5FBA8A52" w:rsidRPr="00E27F99">
        <w:t xml:space="preserve">RSA </w:t>
      </w:r>
      <w:r w:rsidR="00A47244" w:rsidRPr="00E27F99">
        <w:t xml:space="preserve">provides for </w:t>
      </w:r>
      <w:r w:rsidR="00FE3C93" w:rsidRPr="00FE3C93">
        <w:rPr>
          <w:sz w:val="2"/>
          <w:highlight w:val="black"/>
        </w:rPr>
        <w:t>redacted content</w:t>
      </w:r>
      <w:r w:rsidR="5FBA8A52" w:rsidRPr="00E27F99">
        <w:t>% reimbursement for use beyond the caps based on the original financial estimates</w:t>
      </w:r>
      <w:r w:rsidR="00A35441" w:rsidRPr="00E27F99">
        <w:t>, and</w:t>
      </w:r>
      <w:r w:rsidR="5FBA8A52" w:rsidRPr="00E27F99">
        <w:t xml:space="preserve"> </w:t>
      </w:r>
      <w:r w:rsidR="00A35441" w:rsidRPr="00E27F99">
        <w:t>a</w:t>
      </w:r>
      <w:r w:rsidR="0039038A" w:rsidRPr="00E27F99">
        <w:t xml:space="preserve">ny additional expenditure would </w:t>
      </w:r>
      <w:r w:rsidR="0F8C7D76" w:rsidRPr="00E27F99">
        <w:t xml:space="preserve">potentially </w:t>
      </w:r>
      <w:r w:rsidR="0039038A" w:rsidRPr="00E27F99">
        <w:t xml:space="preserve">be </w:t>
      </w:r>
      <w:r w:rsidR="6A605BD5" w:rsidRPr="00E27F99">
        <w:t xml:space="preserve">mitigated </w:t>
      </w:r>
      <w:r w:rsidR="0039038A" w:rsidRPr="00E27F99">
        <w:t xml:space="preserve">under the existing RSA. </w:t>
      </w:r>
    </w:p>
    <w:p w14:paraId="5776D7DB" w14:textId="19D75CE7" w:rsidR="00272DE5" w:rsidRPr="003C28CF" w:rsidRDefault="008D661A" w:rsidP="008D661A">
      <w:pPr>
        <w:pStyle w:val="Caption"/>
        <w:keepNext/>
        <w:keepLines/>
        <w:rPr>
          <w:rFonts w:cstheme="minorHAnsi"/>
          <w:sz w:val="24"/>
          <w:szCs w:val="24"/>
        </w:rPr>
      </w:pPr>
      <w:bookmarkStart w:id="3" w:name="_Hlk121755068"/>
      <w:r w:rsidRPr="003C28CF">
        <w:lastRenderedPageBreak/>
        <w:t xml:space="preserve">Table </w:t>
      </w:r>
      <w:fldSimple w:instr=" SEQ Table \* ARABIC ">
        <w:r w:rsidRPr="003C28CF">
          <w:rPr>
            <w:noProof/>
          </w:rPr>
          <w:t>2</w:t>
        </w:r>
      </w:fldSimple>
      <w:r w:rsidR="00D70349" w:rsidRPr="003C28CF">
        <w:rPr>
          <w:rFonts w:eastAsiaTheme="majorEastAsia"/>
        </w:rPr>
        <w:t>:</w:t>
      </w:r>
      <w:bookmarkEnd w:id="3"/>
      <w:r w:rsidR="00D70349" w:rsidRPr="003C28CF">
        <w:rPr>
          <w:rFonts w:eastAsiaTheme="majorEastAsia"/>
        </w:rPr>
        <w:t xml:space="preserve"> </w:t>
      </w:r>
      <w:r w:rsidR="00D70349" w:rsidRPr="003C28CF">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 Estimated use and financial implications "/>
      </w:tblPr>
      <w:tblGrid>
        <w:gridCol w:w="2718"/>
        <w:gridCol w:w="1037"/>
        <w:gridCol w:w="1037"/>
        <w:gridCol w:w="1037"/>
        <w:gridCol w:w="1037"/>
        <w:gridCol w:w="1037"/>
        <w:gridCol w:w="1035"/>
      </w:tblGrid>
      <w:tr w:rsidR="00D70349" w:rsidRPr="003C28CF" w14:paraId="50517F09" w14:textId="77777777" w:rsidTr="00C80047">
        <w:trPr>
          <w:cantSplit/>
          <w:tblHeader/>
          <w:jc w:val="center"/>
        </w:trPr>
        <w:tc>
          <w:tcPr>
            <w:tcW w:w="1521" w:type="pct"/>
            <w:vAlign w:val="center"/>
          </w:tcPr>
          <w:p w14:paraId="146FDDC6" w14:textId="77777777" w:rsidR="00D70349" w:rsidRPr="003C28CF" w:rsidRDefault="00D70349" w:rsidP="008D661A">
            <w:pPr>
              <w:pStyle w:val="TableText0"/>
              <w:keepLines/>
              <w:rPr>
                <w:szCs w:val="20"/>
              </w:rPr>
            </w:pPr>
          </w:p>
        </w:tc>
        <w:tc>
          <w:tcPr>
            <w:tcW w:w="580" w:type="pct"/>
            <w:vAlign w:val="center"/>
          </w:tcPr>
          <w:p w14:paraId="229BAAA8" w14:textId="77777777" w:rsidR="00D70349" w:rsidRPr="003C28CF" w:rsidRDefault="00D70349" w:rsidP="008D661A">
            <w:pPr>
              <w:pStyle w:val="TableText0"/>
              <w:keepLines/>
              <w:rPr>
                <w:b/>
                <w:szCs w:val="20"/>
              </w:rPr>
            </w:pPr>
            <w:r w:rsidRPr="003C28CF">
              <w:rPr>
                <w:b/>
                <w:szCs w:val="20"/>
              </w:rPr>
              <w:t>Year 1</w:t>
            </w:r>
          </w:p>
        </w:tc>
        <w:tc>
          <w:tcPr>
            <w:tcW w:w="580" w:type="pct"/>
            <w:vAlign w:val="center"/>
          </w:tcPr>
          <w:p w14:paraId="48EEAB93" w14:textId="77777777" w:rsidR="00D70349" w:rsidRPr="003C28CF" w:rsidRDefault="00D70349" w:rsidP="008D661A">
            <w:pPr>
              <w:pStyle w:val="TableText0"/>
              <w:keepLines/>
              <w:rPr>
                <w:b/>
                <w:szCs w:val="20"/>
              </w:rPr>
            </w:pPr>
            <w:r w:rsidRPr="003C28CF">
              <w:rPr>
                <w:b/>
                <w:szCs w:val="20"/>
              </w:rPr>
              <w:t>Year 2</w:t>
            </w:r>
          </w:p>
        </w:tc>
        <w:tc>
          <w:tcPr>
            <w:tcW w:w="580" w:type="pct"/>
            <w:vAlign w:val="center"/>
          </w:tcPr>
          <w:p w14:paraId="0738F741" w14:textId="77777777" w:rsidR="00D70349" w:rsidRPr="003C28CF" w:rsidRDefault="00D70349" w:rsidP="008D661A">
            <w:pPr>
              <w:pStyle w:val="TableText0"/>
              <w:keepLines/>
              <w:rPr>
                <w:b/>
                <w:szCs w:val="20"/>
              </w:rPr>
            </w:pPr>
            <w:r w:rsidRPr="003C28CF">
              <w:rPr>
                <w:b/>
                <w:szCs w:val="20"/>
              </w:rPr>
              <w:t>Year 3</w:t>
            </w:r>
          </w:p>
        </w:tc>
        <w:tc>
          <w:tcPr>
            <w:tcW w:w="580" w:type="pct"/>
            <w:vAlign w:val="center"/>
          </w:tcPr>
          <w:p w14:paraId="2F722BB7" w14:textId="77777777" w:rsidR="00D70349" w:rsidRPr="003C28CF" w:rsidRDefault="00D70349" w:rsidP="008D661A">
            <w:pPr>
              <w:pStyle w:val="TableText0"/>
              <w:keepLines/>
              <w:rPr>
                <w:b/>
                <w:szCs w:val="20"/>
              </w:rPr>
            </w:pPr>
            <w:r w:rsidRPr="003C28CF">
              <w:rPr>
                <w:b/>
                <w:szCs w:val="20"/>
              </w:rPr>
              <w:t>Year 4</w:t>
            </w:r>
          </w:p>
        </w:tc>
        <w:tc>
          <w:tcPr>
            <w:tcW w:w="580" w:type="pct"/>
            <w:vAlign w:val="center"/>
          </w:tcPr>
          <w:p w14:paraId="4A03E0AC" w14:textId="77777777" w:rsidR="00D70349" w:rsidRPr="003C28CF" w:rsidRDefault="00D70349" w:rsidP="008D661A">
            <w:pPr>
              <w:pStyle w:val="TableText0"/>
              <w:keepLines/>
              <w:rPr>
                <w:b/>
                <w:szCs w:val="20"/>
              </w:rPr>
            </w:pPr>
            <w:r w:rsidRPr="003C28CF">
              <w:rPr>
                <w:b/>
                <w:szCs w:val="20"/>
              </w:rPr>
              <w:t>Year 5</w:t>
            </w:r>
          </w:p>
        </w:tc>
        <w:tc>
          <w:tcPr>
            <w:tcW w:w="580" w:type="pct"/>
          </w:tcPr>
          <w:p w14:paraId="11CF147B" w14:textId="77777777" w:rsidR="00D70349" w:rsidRPr="003C28CF" w:rsidRDefault="00D70349" w:rsidP="008D661A">
            <w:pPr>
              <w:pStyle w:val="TableText0"/>
              <w:keepLines/>
              <w:rPr>
                <w:b/>
                <w:szCs w:val="20"/>
              </w:rPr>
            </w:pPr>
            <w:r w:rsidRPr="003C28CF">
              <w:rPr>
                <w:b/>
                <w:szCs w:val="20"/>
              </w:rPr>
              <w:t>Year 6</w:t>
            </w:r>
          </w:p>
        </w:tc>
      </w:tr>
      <w:tr w:rsidR="00D70349" w:rsidRPr="003C28CF" w14:paraId="07125BC5" w14:textId="77777777" w:rsidTr="00C80047">
        <w:trPr>
          <w:cantSplit/>
          <w:jc w:val="center"/>
        </w:trPr>
        <w:tc>
          <w:tcPr>
            <w:tcW w:w="5000" w:type="pct"/>
            <w:gridSpan w:val="7"/>
            <w:vAlign w:val="center"/>
          </w:tcPr>
          <w:p w14:paraId="618359A1" w14:textId="77777777" w:rsidR="00D70349" w:rsidRPr="003C28CF" w:rsidRDefault="00D70349" w:rsidP="008D661A">
            <w:pPr>
              <w:pStyle w:val="TableText0"/>
              <w:keepLines/>
              <w:rPr>
                <w:b/>
                <w:color w:val="000000"/>
                <w:szCs w:val="20"/>
              </w:rPr>
            </w:pPr>
            <w:r w:rsidRPr="003C28CF">
              <w:rPr>
                <w:b/>
                <w:color w:val="000000"/>
                <w:szCs w:val="20"/>
              </w:rPr>
              <w:t>Estimated extent of use</w:t>
            </w:r>
          </w:p>
        </w:tc>
      </w:tr>
      <w:tr w:rsidR="00DA463E" w:rsidRPr="003C28CF" w14:paraId="53995977" w14:textId="77777777" w:rsidTr="00C80047">
        <w:trPr>
          <w:cantSplit/>
          <w:jc w:val="center"/>
        </w:trPr>
        <w:tc>
          <w:tcPr>
            <w:tcW w:w="5000" w:type="pct"/>
            <w:gridSpan w:val="7"/>
            <w:vAlign w:val="center"/>
          </w:tcPr>
          <w:p w14:paraId="051361BE" w14:textId="322E7347" w:rsidR="00DA463E" w:rsidRPr="003C28CF" w:rsidRDefault="00E53A21" w:rsidP="008D661A">
            <w:pPr>
              <w:pStyle w:val="TableText0"/>
              <w:keepLines/>
              <w:rPr>
                <w:b/>
                <w:color w:val="000000"/>
                <w:szCs w:val="20"/>
              </w:rPr>
            </w:pPr>
            <w:r w:rsidRPr="003C28CF">
              <w:rPr>
                <w:b/>
                <w:color w:val="000000"/>
                <w:szCs w:val="20"/>
              </w:rPr>
              <w:t xml:space="preserve">Additional </w:t>
            </w:r>
            <w:r w:rsidR="00456AD8" w:rsidRPr="003C28CF">
              <w:rPr>
                <w:b/>
                <w:color w:val="000000"/>
                <w:szCs w:val="20"/>
              </w:rPr>
              <w:t>i</w:t>
            </w:r>
            <w:r w:rsidR="00456AD8" w:rsidRPr="003C28CF">
              <w:rPr>
                <w:b/>
                <w:szCs w:val="20"/>
                <w:lang w:eastAsia="en-US"/>
              </w:rPr>
              <w:t>ncident population</w:t>
            </w:r>
          </w:p>
        </w:tc>
      </w:tr>
      <w:tr w:rsidR="00CB61AA" w:rsidRPr="003C28CF" w14:paraId="47815239" w14:textId="77777777" w:rsidTr="00C80047">
        <w:trPr>
          <w:cantSplit/>
          <w:jc w:val="center"/>
        </w:trPr>
        <w:tc>
          <w:tcPr>
            <w:tcW w:w="1521" w:type="pct"/>
            <w:vAlign w:val="center"/>
          </w:tcPr>
          <w:p w14:paraId="45D262C8" w14:textId="7424F9AB" w:rsidR="00CB61AA" w:rsidRPr="003C28CF" w:rsidRDefault="00CB61AA" w:rsidP="008D661A">
            <w:pPr>
              <w:pStyle w:val="TableText0"/>
              <w:keepLines/>
              <w:rPr>
                <w:szCs w:val="20"/>
              </w:rPr>
            </w:pPr>
            <w:r w:rsidRPr="003C28CF">
              <w:rPr>
                <w:szCs w:val="20"/>
              </w:rPr>
              <w:t>Incident population</w:t>
            </w:r>
          </w:p>
        </w:tc>
        <w:tc>
          <w:tcPr>
            <w:tcW w:w="580" w:type="pct"/>
          </w:tcPr>
          <w:p w14:paraId="33246886" w14:textId="191F774B" w:rsidR="00CB61AA" w:rsidRPr="003C28CF" w:rsidRDefault="00FE3C93" w:rsidP="008D661A">
            <w:pPr>
              <w:pStyle w:val="TableText0"/>
              <w:keepLines/>
              <w:jc w:val="right"/>
              <w:rPr>
                <w:szCs w:val="20"/>
              </w:rPr>
            </w:pPr>
            <w:r w:rsidRPr="00FE3C93">
              <w:rPr>
                <w:sz w:val="2"/>
                <w:szCs w:val="20"/>
                <w:highlight w:val="black"/>
              </w:rPr>
              <w:t>redacted content</w:t>
            </w:r>
            <w:r w:rsidR="00685983">
              <w:rPr>
                <w:szCs w:val="20"/>
                <w:vertAlign w:val="superscript"/>
              </w:rPr>
              <w:t>1</w:t>
            </w:r>
            <w:r w:rsidR="00CB61AA" w:rsidRPr="003C28CF">
              <w:rPr>
                <w:szCs w:val="20"/>
              </w:rPr>
              <w:t xml:space="preserve"> </w:t>
            </w:r>
          </w:p>
        </w:tc>
        <w:tc>
          <w:tcPr>
            <w:tcW w:w="580" w:type="pct"/>
          </w:tcPr>
          <w:p w14:paraId="16CABCAA" w14:textId="4273D70E" w:rsidR="00CB61AA" w:rsidRPr="003C28CF" w:rsidRDefault="00FE3C93" w:rsidP="008D661A">
            <w:pPr>
              <w:pStyle w:val="TableText0"/>
              <w:keepLines/>
              <w:jc w:val="right"/>
              <w:rPr>
                <w:szCs w:val="20"/>
              </w:rPr>
            </w:pPr>
            <w:r w:rsidRPr="00FE3C93">
              <w:rPr>
                <w:sz w:val="2"/>
                <w:szCs w:val="20"/>
                <w:highlight w:val="black"/>
              </w:rPr>
              <w:t>redacted content</w:t>
            </w:r>
            <w:r w:rsidR="00685983">
              <w:rPr>
                <w:szCs w:val="20"/>
                <w:vertAlign w:val="superscript"/>
              </w:rPr>
              <w:t>1</w:t>
            </w:r>
            <w:r w:rsidR="00CB61AA" w:rsidRPr="003C28CF">
              <w:rPr>
                <w:szCs w:val="20"/>
              </w:rPr>
              <w:t xml:space="preserve"> </w:t>
            </w:r>
          </w:p>
        </w:tc>
        <w:tc>
          <w:tcPr>
            <w:tcW w:w="580" w:type="pct"/>
          </w:tcPr>
          <w:p w14:paraId="7AB49361" w14:textId="41E8BDE7" w:rsidR="00CB61AA" w:rsidRPr="003C28CF" w:rsidRDefault="00FE3C93" w:rsidP="008D661A">
            <w:pPr>
              <w:pStyle w:val="TableText0"/>
              <w:keepLines/>
              <w:jc w:val="right"/>
              <w:rPr>
                <w:szCs w:val="20"/>
              </w:rPr>
            </w:pPr>
            <w:r w:rsidRPr="00FE3C93">
              <w:rPr>
                <w:sz w:val="2"/>
                <w:szCs w:val="20"/>
                <w:highlight w:val="black"/>
              </w:rPr>
              <w:t>redacted content</w:t>
            </w:r>
            <w:r w:rsidR="00685983">
              <w:rPr>
                <w:szCs w:val="20"/>
                <w:vertAlign w:val="superscript"/>
              </w:rPr>
              <w:t>1</w:t>
            </w:r>
            <w:r w:rsidR="00CB61AA" w:rsidRPr="003C28CF">
              <w:rPr>
                <w:szCs w:val="20"/>
              </w:rPr>
              <w:t xml:space="preserve"> </w:t>
            </w:r>
          </w:p>
        </w:tc>
        <w:tc>
          <w:tcPr>
            <w:tcW w:w="580" w:type="pct"/>
          </w:tcPr>
          <w:p w14:paraId="7C86F755" w14:textId="1ACDE161" w:rsidR="00CB61AA" w:rsidRPr="003C28CF" w:rsidRDefault="00FE3C93" w:rsidP="008D661A">
            <w:pPr>
              <w:pStyle w:val="TableText0"/>
              <w:keepLines/>
              <w:jc w:val="right"/>
              <w:rPr>
                <w:szCs w:val="20"/>
              </w:rPr>
            </w:pPr>
            <w:r w:rsidRPr="00FE3C93">
              <w:rPr>
                <w:sz w:val="2"/>
                <w:szCs w:val="20"/>
                <w:highlight w:val="black"/>
              </w:rPr>
              <w:t>redacted content</w:t>
            </w:r>
            <w:r w:rsidR="00685983">
              <w:rPr>
                <w:szCs w:val="20"/>
                <w:vertAlign w:val="superscript"/>
              </w:rPr>
              <w:t>1</w:t>
            </w:r>
            <w:r w:rsidR="00CB61AA" w:rsidRPr="003C28CF">
              <w:rPr>
                <w:szCs w:val="20"/>
              </w:rPr>
              <w:t xml:space="preserve"> </w:t>
            </w:r>
          </w:p>
        </w:tc>
        <w:tc>
          <w:tcPr>
            <w:tcW w:w="580" w:type="pct"/>
          </w:tcPr>
          <w:p w14:paraId="60CB64E6" w14:textId="6A3EA190" w:rsidR="00CB61AA" w:rsidRPr="003C28CF" w:rsidRDefault="00FE3C93" w:rsidP="008D661A">
            <w:pPr>
              <w:pStyle w:val="TableText0"/>
              <w:keepLines/>
              <w:jc w:val="right"/>
              <w:rPr>
                <w:szCs w:val="20"/>
              </w:rPr>
            </w:pPr>
            <w:r w:rsidRPr="00FE3C93">
              <w:rPr>
                <w:sz w:val="2"/>
                <w:szCs w:val="20"/>
                <w:highlight w:val="black"/>
              </w:rPr>
              <w:t>redacted content</w:t>
            </w:r>
            <w:r w:rsidR="00685983">
              <w:rPr>
                <w:szCs w:val="20"/>
                <w:vertAlign w:val="superscript"/>
              </w:rPr>
              <w:t>1</w:t>
            </w:r>
            <w:r w:rsidR="00CB61AA" w:rsidRPr="003C28CF">
              <w:rPr>
                <w:szCs w:val="20"/>
              </w:rPr>
              <w:t xml:space="preserve"> </w:t>
            </w:r>
          </w:p>
        </w:tc>
        <w:tc>
          <w:tcPr>
            <w:tcW w:w="580" w:type="pct"/>
          </w:tcPr>
          <w:p w14:paraId="75EAB07B" w14:textId="5C1FAFC0" w:rsidR="00CB61AA" w:rsidRPr="003C28CF" w:rsidRDefault="00FE3C93" w:rsidP="008D661A">
            <w:pPr>
              <w:pStyle w:val="TableText0"/>
              <w:keepLines/>
              <w:jc w:val="right"/>
              <w:rPr>
                <w:szCs w:val="20"/>
              </w:rPr>
            </w:pPr>
            <w:r w:rsidRPr="00FE3C93">
              <w:rPr>
                <w:sz w:val="2"/>
                <w:szCs w:val="20"/>
                <w:highlight w:val="black"/>
              </w:rPr>
              <w:t>redacted content</w:t>
            </w:r>
            <w:r w:rsidR="00685983">
              <w:rPr>
                <w:szCs w:val="20"/>
                <w:vertAlign w:val="superscript"/>
              </w:rPr>
              <w:t>1</w:t>
            </w:r>
            <w:r w:rsidR="00CB61AA" w:rsidRPr="003C28CF">
              <w:rPr>
                <w:szCs w:val="20"/>
              </w:rPr>
              <w:t xml:space="preserve"> </w:t>
            </w:r>
          </w:p>
        </w:tc>
      </w:tr>
      <w:tr w:rsidR="00983A3A" w:rsidRPr="003C28CF" w14:paraId="46039CAE" w14:textId="77777777" w:rsidTr="00C80047">
        <w:trPr>
          <w:cantSplit/>
          <w:jc w:val="center"/>
        </w:trPr>
        <w:tc>
          <w:tcPr>
            <w:tcW w:w="1521" w:type="pct"/>
            <w:vAlign w:val="center"/>
          </w:tcPr>
          <w:p w14:paraId="40D7A259" w14:textId="501CAC26" w:rsidR="00983A3A" w:rsidRPr="003C28CF" w:rsidRDefault="00983A3A" w:rsidP="008D661A">
            <w:pPr>
              <w:pStyle w:val="TableText0"/>
              <w:keepLines/>
              <w:rPr>
                <w:szCs w:val="20"/>
              </w:rPr>
            </w:pPr>
            <w:r w:rsidRPr="003C28CF">
              <w:rPr>
                <w:szCs w:val="20"/>
              </w:rPr>
              <w:t>Proportion of patients eligible</w:t>
            </w:r>
          </w:p>
        </w:tc>
        <w:tc>
          <w:tcPr>
            <w:tcW w:w="580" w:type="pct"/>
          </w:tcPr>
          <w:p w14:paraId="2B7BF5CB" w14:textId="08E83C0A" w:rsidR="00983A3A" w:rsidRPr="003C28CF" w:rsidRDefault="00983A3A" w:rsidP="008D661A">
            <w:pPr>
              <w:pStyle w:val="TableText0"/>
              <w:keepLines/>
              <w:jc w:val="right"/>
              <w:rPr>
                <w:szCs w:val="20"/>
              </w:rPr>
            </w:pPr>
            <w:r w:rsidRPr="003C28CF">
              <w:rPr>
                <w:szCs w:val="20"/>
              </w:rPr>
              <w:t>100%</w:t>
            </w:r>
          </w:p>
        </w:tc>
        <w:tc>
          <w:tcPr>
            <w:tcW w:w="580" w:type="pct"/>
          </w:tcPr>
          <w:p w14:paraId="4D912ED5" w14:textId="3E7AEE1A" w:rsidR="00983A3A" w:rsidRPr="003C28CF" w:rsidRDefault="00983A3A" w:rsidP="008D661A">
            <w:pPr>
              <w:pStyle w:val="TableText0"/>
              <w:keepLines/>
              <w:jc w:val="right"/>
              <w:rPr>
                <w:szCs w:val="20"/>
              </w:rPr>
            </w:pPr>
            <w:r w:rsidRPr="003C28CF">
              <w:rPr>
                <w:szCs w:val="20"/>
              </w:rPr>
              <w:t>100%</w:t>
            </w:r>
          </w:p>
        </w:tc>
        <w:tc>
          <w:tcPr>
            <w:tcW w:w="580" w:type="pct"/>
          </w:tcPr>
          <w:p w14:paraId="55BE8329" w14:textId="7A1A0698" w:rsidR="00983A3A" w:rsidRPr="003C28CF" w:rsidRDefault="00983A3A" w:rsidP="008D661A">
            <w:pPr>
              <w:pStyle w:val="TableText0"/>
              <w:keepLines/>
              <w:jc w:val="right"/>
              <w:rPr>
                <w:szCs w:val="20"/>
              </w:rPr>
            </w:pPr>
            <w:r w:rsidRPr="003C28CF">
              <w:rPr>
                <w:szCs w:val="20"/>
              </w:rPr>
              <w:t>100%</w:t>
            </w:r>
          </w:p>
        </w:tc>
        <w:tc>
          <w:tcPr>
            <w:tcW w:w="580" w:type="pct"/>
          </w:tcPr>
          <w:p w14:paraId="08BA9750" w14:textId="29E45BF1" w:rsidR="00983A3A" w:rsidRPr="003C28CF" w:rsidRDefault="00983A3A" w:rsidP="008D661A">
            <w:pPr>
              <w:pStyle w:val="TableText0"/>
              <w:keepLines/>
              <w:jc w:val="right"/>
              <w:rPr>
                <w:szCs w:val="20"/>
              </w:rPr>
            </w:pPr>
            <w:r w:rsidRPr="003C28CF">
              <w:rPr>
                <w:szCs w:val="20"/>
              </w:rPr>
              <w:t>100%</w:t>
            </w:r>
          </w:p>
        </w:tc>
        <w:tc>
          <w:tcPr>
            <w:tcW w:w="580" w:type="pct"/>
          </w:tcPr>
          <w:p w14:paraId="794B7C40" w14:textId="16C70EDA" w:rsidR="00983A3A" w:rsidRPr="003C28CF" w:rsidRDefault="00983A3A" w:rsidP="008D661A">
            <w:pPr>
              <w:pStyle w:val="TableText0"/>
              <w:keepLines/>
              <w:jc w:val="right"/>
              <w:rPr>
                <w:szCs w:val="20"/>
              </w:rPr>
            </w:pPr>
            <w:r w:rsidRPr="003C28CF">
              <w:rPr>
                <w:szCs w:val="20"/>
              </w:rPr>
              <w:t>100%</w:t>
            </w:r>
          </w:p>
        </w:tc>
        <w:tc>
          <w:tcPr>
            <w:tcW w:w="580" w:type="pct"/>
          </w:tcPr>
          <w:p w14:paraId="5FEA992F" w14:textId="6FF883A2" w:rsidR="00983A3A" w:rsidRPr="003C28CF" w:rsidRDefault="00983A3A" w:rsidP="008D661A">
            <w:pPr>
              <w:pStyle w:val="TableText0"/>
              <w:keepLines/>
              <w:jc w:val="right"/>
              <w:rPr>
                <w:szCs w:val="20"/>
              </w:rPr>
            </w:pPr>
            <w:r w:rsidRPr="003C28CF">
              <w:rPr>
                <w:szCs w:val="20"/>
              </w:rPr>
              <w:t>100%</w:t>
            </w:r>
          </w:p>
        </w:tc>
      </w:tr>
      <w:tr w:rsidR="00983A3A" w:rsidRPr="003C28CF" w14:paraId="64A82380" w14:textId="77777777" w:rsidTr="00C80047">
        <w:trPr>
          <w:cantSplit/>
          <w:jc w:val="center"/>
        </w:trPr>
        <w:tc>
          <w:tcPr>
            <w:tcW w:w="1521" w:type="pct"/>
            <w:vAlign w:val="center"/>
          </w:tcPr>
          <w:p w14:paraId="661FBD50" w14:textId="2A924DDF" w:rsidR="00983A3A" w:rsidRPr="003C28CF" w:rsidRDefault="00983A3A" w:rsidP="008D661A">
            <w:pPr>
              <w:pStyle w:val="TableText0"/>
              <w:keepLines/>
              <w:rPr>
                <w:szCs w:val="20"/>
              </w:rPr>
            </w:pPr>
            <w:r w:rsidRPr="003C28CF">
              <w:rPr>
                <w:szCs w:val="20"/>
              </w:rPr>
              <w:t xml:space="preserve">Patients electing treatment </w:t>
            </w:r>
          </w:p>
        </w:tc>
        <w:tc>
          <w:tcPr>
            <w:tcW w:w="580" w:type="pct"/>
          </w:tcPr>
          <w:p w14:paraId="6AAEA0CB" w14:textId="7B0365B0" w:rsidR="00983A3A" w:rsidRPr="003C28CF" w:rsidRDefault="00983A3A" w:rsidP="008D661A">
            <w:pPr>
              <w:pStyle w:val="TableText0"/>
              <w:keepLines/>
              <w:jc w:val="right"/>
              <w:rPr>
                <w:szCs w:val="20"/>
              </w:rPr>
            </w:pPr>
            <w:r w:rsidRPr="003C28CF">
              <w:rPr>
                <w:szCs w:val="20"/>
              </w:rPr>
              <w:t>100%</w:t>
            </w:r>
          </w:p>
        </w:tc>
        <w:tc>
          <w:tcPr>
            <w:tcW w:w="580" w:type="pct"/>
          </w:tcPr>
          <w:p w14:paraId="485B79D1" w14:textId="0D0D2D45" w:rsidR="00983A3A" w:rsidRPr="003C28CF" w:rsidRDefault="00983A3A" w:rsidP="008D661A">
            <w:pPr>
              <w:pStyle w:val="TableText0"/>
              <w:keepLines/>
              <w:jc w:val="right"/>
              <w:rPr>
                <w:szCs w:val="20"/>
              </w:rPr>
            </w:pPr>
            <w:r w:rsidRPr="003C28CF">
              <w:rPr>
                <w:szCs w:val="20"/>
              </w:rPr>
              <w:t>100%</w:t>
            </w:r>
          </w:p>
        </w:tc>
        <w:tc>
          <w:tcPr>
            <w:tcW w:w="580" w:type="pct"/>
          </w:tcPr>
          <w:p w14:paraId="785D1A3E" w14:textId="537BF30F" w:rsidR="00983A3A" w:rsidRPr="003C28CF" w:rsidRDefault="00983A3A" w:rsidP="008D661A">
            <w:pPr>
              <w:pStyle w:val="TableText0"/>
              <w:keepLines/>
              <w:jc w:val="right"/>
              <w:rPr>
                <w:szCs w:val="20"/>
              </w:rPr>
            </w:pPr>
            <w:r w:rsidRPr="003C28CF">
              <w:rPr>
                <w:szCs w:val="20"/>
              </w:rPr>
              <w:t>100%</w:t>
            </w:r>
          </w:p>
        </w:tc>
        <w:tc>
          <w:tcPr>
            <w:tcW w:w="580" w:type="pct"/>
          </w:tcPr>
          <w:p w14:paraId="26C4BC21" w14:textId="38A7FD2D" w:rsidR="00983A3A" w:rsidRPr="003C28CF" w:rsidRDefault="00983A3A" w:rsidP="008D661A">
            <w:pPr>
              <w:pStyle w:val="TableText0"/>
              <w:keepLines/>
              <w:jc w:val="right"/>
              <w:rPr>
                <w:szCs w:val="20"/>
              </w:rPr>
            </w:pPr>
            <w:r w:rsidRPr="003C28CF">
              <w:rPr>
                <w:szCs w:val="20"/>
              </w:rPr>
              <w:t>100%</w:t>
            </w:r>
          </w:p>
        </w:tc>
        <w:tc>
          <w:tcPr>
            <w:tcW w:w="580" w:type="pct"/>
          </w:tcPr>
          <w:p w14:paraId="6471FE5A" w14:textId="6D9184A1" w:rsidR="00983A3A" w:rsidRPr="003C28CF" w:rsidRDefault="00983A3A" w:rsidP="008D661A">
            <w:pPr>
              <w:pStyle w:val="TableText0"/>
              <w:keepLines/>
              <w:jc w:val="right"/>
              <w:rPr>
                <w:szCs w:val="20"/>
              </w:rPr>
            </w:pPr>
            <w:r w:rsidRPr="003C28CF">
              <w:rPr>
                <w:szCs w:val="20"/>
              </w:rPr>
              <w:t>100%</w:t>
            </w:r>
          </w:p>
        </w:tc>
        <w:tc>
          <w:tcPr>
            <w:tcW w:w="580" w:type="pct"/>
          </w:tcPr>
          <w:p w14:paraId="04379DAA" w14:textId="2BDEE04E" w:rsidR="00983A3A" w:rsidRPr="003C28CF" w:rsidRDefault="00983A3A" w:rsidP="008D661A">
            <w:pPr>
              <w:pStyle w:val="TableText0"/>
              <w:keepLines/>
              <w:jc w:val="right"/>
              <w:rPr>
                <w:szCs w:val="20"/>
              </w:rPr>
            </w:pPr>
            <w:r w:rsidRPr="003C28CF">
              <w:rPr>
                <w:szCs w:val="20"/>
              </w:rPr>
              <w:t>100%</w:t>
            </w:r>
          </w:p>
        </w:tc>
      </w:tr>
      <w:tr w:rsidR="00983A3A" w:rsidRPr="003C28CF" w14:paraId="5D4B879C" w14:textId="77777777" w:rsidTr="00C80047">
        <w:trPr>
          <w:cantSplit/>
          <w:jc w:val="center"/>
        </w:trPr>
        <w:tc>
          <w:tcPr>
            <w:tcW w:w="1521" w:type="pct"/>
            <w:vAlign w:val="center"/>
          </w:tcPr>
          <w:p w14:paraId="3D1A83AD" w14:textId="73A32D2E" w:rsidR="00983A3A" w:rsidRPr="003C28CF" w:rsidRDefault="00983A3A" w:rsidP="008D661A">
            <w:pPr>
              <w:pStyle w:val="TableText0"/>
              <w:keepLines/>
              <w:rPr>
                <w:szCs w:val="20"/>
              </w:rPr>
            </w:pPr>
            <w:r w:rsidRPr="003C28CF">
              <w:rPr>
                <w:szCs w:val="20"/>
              </w:rPr>
              <w:t>Total initiating patients</w:t>
            </w:r>
          </w:p>
        </w:tc>
        <w:tc>
          <w:tcPr>
            <w:tcW w:w="580" w:type="pct"/>
          </w:tcPr>
          <w:p w14:paraId="3D3A69E7" w14:textId="71CA12B2"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tcPr>
          <w:p w14:paraId="04FD8588" w14:textId="500F0009"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tcPr>
          <w:p w14:paraId="0CF8783E" w14:textId="78A6D572"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tcPr>
          <w:p w14:paraId="3329A117" w14:textId="3C436A98"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tcPr>
          <w:p w14:paraId="5F15BC88" w14:textId="6F0DD17D"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tcPr>
          <w:p w14:paraId="5FEE8AB1" w14:textId="7AEA81EA"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r>
      <w:tr w:rsidR="00983A3A" w:rsidRPr="003C28CF" w14:paraId="266F52A5" w14:textId="77777777" w:rsidTr="00C80047">
        <w:trPr>
          <w:cantSplit/>
          <w:jc w:val="center"/>
        </w:trPr>
        <w:tc>
          <w:tcPr>
            <w:tcW w:w="1521" w:type="pct"/>
            <w:vAlign w:val="center"/>
          </w:tcPr>
          <w:p w14:paraId="2940D7F4" w14:textId="7C92CE3F" w:rsidR="00983A3A" w:rsidRPr="003C28CF" w:rsidRDefault="00983A3A" w:rsidP="008D661A">
            <w:pPr>
              <w:pStyle w:val="TableText0"/>
              <w:keepLines/>
              <w:rPr>
                <w:szCs w:val="20"/>
              </w:rPr>
            </w:pPr>
            <w:r w:rsidRPr="003C28CF">
              <w:rPr>
                <w:szCs w:val="20"/>
              </w:rPr>
              <w:t>Total continuing patients</w:t>
            </w:r>
          </w:p>
        </w:tc>
        <w:tc>
          <w:tcPr>
            <w:tcW w:w="580" w:type="pct"/>
          </w:tcPr>
          <w:p w14:paraId="37A96A22" w14:textId="7DC9EC10"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tcPr>
          <w:p w14:paraId="7959608E" w14:textId="242DDE2A"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tcPr>
          <w:p w14:paraId="74DA2F5A" w14:textId="2C39149D"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tcPr>
          <w:p w14:paraId="715794FD" w14:textId="23F2714D"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tcPr>
          <w:p w14:paraId="47FBB382" w14:textId="1653DAD1"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tcPr>
          <w:p w14:paraId="1E2256F9" w14:textId="1A2A0A60"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r>
      <w:tr w:rsidR="00983A3A" w:rsidRPr="003C28CF" w14:paraId="20136C6C" w14:textId="77777777" w:rsidTr="00C80047">
        <w:trPr>
          <w:cantSplit/>
          <w:jc w:val="center"/>
        </w:trPr>
        <w:tc>
          <w:tcPr>
            <w:tcW w:w="5000" w:type="pct"/>
            <w:gridSpan w:val="7"/>
            <w:vAlign w:val="center"/>
          </w:tcPr>
          <w:p w14:paraId="4CCE43FF" w14:textId="0E7ED070" w:rsidR="00983A3A" w:rsidRPr="003C28CF" w:rsidRDefault="00983A3A" w:rsidP="008D661A">
            <w:pPr>
              <w:pStyle w:val="TableText0"/>
              <w:keepLines/>
              <w:rPr>
                <w:b/>
                <w:bCs w:val="0"/>
                <w:color w:val="000000"/>
                <w:szCs w:val="20"/>
              </w:rPr>
            </w:pPr>
            <w:r w:rsidRPr="003C28CF">
              <w:rPr>
                <w:b/>
                <w:bCs w:val="0"/>
                <w:color w:val="000000"/>
                <w:szCs w:val="20"/>
              </w:rPr>
              <w:t>Grandfathered patients</w:t>
            </w:r>
          </w:p>
        </w:tc>
      </w:tr>
      <w:tr w:rsidR="00983A3A" w:rsidRPr="003C28CF" w14:paraId="3E38E59C" w14:textId="77777777" w:rsidTr="00C80047">
        <w:trPr>
          <w:cantSplit/>
          <w:jc w:val="center"/>
        </w:trPr>
        <w:tc>
          <w:tcPr>
            <w:tcW w:w="1521" w:type="pct"/>
            <w:vAlign w:val="center"/>
          </w:tcPr>
          <w:p w14:paraId="126695AC" w14:textId="60405D4A" w:rsidR="00983A3A" w:rsidRPr="003C28CF" w:rsidRDefault="00983A3A" w:rsidP="008D661A">
            <w:pPr>
              <w:pStyle w:val="TableText0"/>
              <w:keepLines/>
              <w:rPr>
                <w:szCs w:val="20"/>
              </w:rPr>
            </w:pPr>
            <w:r w:rsidRPr="003C28CF">
              <w:rPr>
                <w:szCs w:val="20"/>
              </w:rPr>
              <w:t>Total initiating patients</w:t>
            </w:r>
          </w:p>
        </w:tc>
        <w:tc>
          <w:tcPr>
            <w:tcW w:w="580" w:type="pct"/>
          </w:tcPr>
          <w:p w14:paraId="0488A83A" w14:textId="0528B465"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vAlign w:val="center"/>
          </w:tcPr>
          <w:p w14:paraId="09AA6A27" w14:textId="77777777" w:rsidR="00983A3A" w:rsidRPr="003C28CF" w:rsidRDefault="00983A3A" w:rsidP="008D661A">
            <w:pPr>
              <w:pStyle w:val="TableText0"/>
              <w:keepLines/>
              <w:jc w:val="right"/>
              <w:rPr>
                <w:color w:val="000000"/>
                <w:szCs w:val="20"/>
              </w:rPr>
            </w:pPr>
          </w:p>
        </w:tc>
        <w:tc>
          <w:tcPr>
            <w:tcW w:w="580" w:type="pct"/>
            <w:vAlign w:val="center"/>
          </w:tcPr>
          <w:p w14:paraId="69B70CAB" w14:textId="77777777" w:rsidR="00983A3A" w:rsidRPr="003C28CF" w:rsidRDefault="00983A3A" w:rsidP="008D661A">
            <w:pPr>
              <w:pStyle w:val="TableText0"/>
              <w:keepLines/>
              <w:jc w:val="right"/>
              <w:rPr>
                <w:color w:val="000000"/>
                <w:szCs w:val="20"/>
              </w:rPr>
            </w:pPr>
          </w:p>
        </w:tc>
        <w:tc>
          <w:tcPr>
            <w:tcW w:w="580" w:type="pct"/>
            <w:vAlign w:val="center"/>
          </w:tcPr>
          <w:p w14:paraId="2E6DE64C" w14:textId="77777777" w:rsidR="00983A3A" w:rsidRPr="003C28CF" w:rsidRDefault="00983A3A" w:rsidP="008D661A">
            <w:pPr>
              <w:pStyle w:val="TableText0"/>
              <w:keepLines/>
              <w:jc w:val="right"/>
              <w:rPr>
                <w:color w:val="000000"/>
                <w:szCs w:val="20"/>
              </w:rPr>
            </w:pPr>
          </w:p>
        </w:tc>
        <w:tc>
          <w:tcPr>
            <w:tcW w:w="580" w:type="pct"/>
            <w:vAlign w:val="center"/>
          </w:tcPr>
          <w:p w14:paraId="4928B3D9" w14:textId="77777777" w:rsidR="00983A3A" w:rsidRPr="003C28CF" w:rsidRDefault="00983A3A" w:rsidP="008D661A">
            <w:pPr>
              <w:pStyle w:val="TableText0"/>
              <w:keepLines/>
              <w:jc w:val="right"/>
              <w:rPr>
                <w:color w:val="000000"/>
                <w:szCs w:val="20"/>
              </w:rPr>
            </w:pPr>
          </w:p>
        </w:tc>
        <w:tc>
          <w:tcPr>
            <w:tcW w:w="580" w:type="pct"/>
          </w:tcPr>
          <w:p w14:paraId="39885530" w14:textId="77777777" w:rsidR="00983A3A" w:rsidRPr="003C28CF" w:rsidRDefault="00983A3A" w:rsidP="008D661A">
            <w:pPr>
              <w:pStyle w:val="TableText0"/>
              <w:keepLines/>
              <w:jc w:val="right"/>
              <w:rPr>
                <w:color w:val="000000"/>
                <w:szCs w:val="20"/>
              </w:rPr>
            </w:pPr>
          </w:p>
        </w:tc>
      </w:tr>
      <w:tr w:rsidR="00983A3A" w:rsidRPr="003C28CF" w14:paraId="18C3ABC6" w14:textId="77777777" w:rsidTr="00C80047">
        <w:trPr>
          <w:cantSplit/>
          <w:jc w:val="center"/>
        </w:trPr>
        <w:tc>
          <w:tcPr>
            <w:tcW w:w="1521" w:type="pct"/>
            <w:vAlign w:val="center"/>
          </w:tcPr>
          <w:p w14:paraId="632F0179" w14:textId="2047C69D" w:rsidR="00983A3A" w:rsidRPr="003C28CF" w:rsidRDefault="00983A3A" w:rsidP="008D661A">
            <w:pPr>
              <w:pStyle w:val="TableText0"/>
              <w:keepLines/>
              <w:rPr>
                <w:szCs w:val="20"/>
              </w:rPr>
            </w:pPr>
            <w:r w:rsidRPr="003C28CF">
              <w:rPr>
                <w:szCs w:val="20"/>
              </w:rPr>
              <w:t>Total continuing patients</w:t>
            </w:r>
          </w:p>
        </w:tc>
        <w:tc>
          <w:tcPr>
            <w:tcW w:w="580" w:type="pct"/>
          </w:tcPr>
          <w:p w14:paraId="1D5873C6" w14:textId="7C20B18A" w:rsidR="00983A3A" w:rsidRPr="003C28CF" w:rsidRDefault="00FE3C93" w:rsidP="008D661A">
            <w:pPr>
              <w:pStyle w:val="TableText0"/>
              <w:keepLines/>
              <w:jc w:val="right"/>
              <w:rPr>
                <w:color w:val="000000"/>
                <w:szCs w:val="20"/>
              </w:rPr>
            </w:pPr>
            <w:r w:rsidRPr="00FE3C93">
              <w:rPr>
                <w:sz w:val="2"/>
                <w:szCs w:val="20"/>
                <w:highlight w:val="black"/>
              </w:rPr>
              <w:t>redacted content</w:t>
            </w:r>
            <w:r w:rsidR="00685983">
              <w:rPr>
                <w:szCs w:val="20"/>
                <w:vertAlign w:val="superscript"/>
              </w:rPr>
              <w:t>1</w:t>
            </w:r>
            <w:r w:rsidR="00983A3A" w:rsidRPr="003C28CF">
              <w:rPr>
                <w:szCs w:val="20"/>
              </w:rPr>
              <w:t xml:space="preserve"> </w:t>
            </w:r>
          </w:p>
        </w:tc>
        <w:tc>
          <w:tcPr>
            <w:tcW w:w="580" w:type="pct"/>
            <w:vAlign w:val="center"/>
          </w:tcPr>
          <w:p w14:paraId="655E2D39" w14:textId="77777777" w:rsidR="00983A3A" w:rsidRPr="003C28CF" w:rsidRDefault="00983A3A" w:rsidP="008D661A">
            <w:pPr>
              <w:pStyle w:val="TableText0"/>
              <w:keepLines/>
              <w:jc w:val="right"/>
              <w:rPr>
                <w:color w:val="000000"/>
                <w:szCs w:val="20"/>
              </w:rPr>
            </w:pPr>
          </w:p>
        </w:tc>
        <w:tc>
          <w:tcPr>
            <w:tcW w:w="580" w:type="pct"/>
            <w:vAlign w:val="center"/>
          </w:tcPr>
          <w:p w14:paraId="68F9C9AF" w14:textId="77777777" w:rsidR="00983A3A" w:rsidRPr="003C28CF" w:rsidRDefault="00983A3A" w:rsidP="008D661A">
            <w:pPr>
              <w:pStyle w:val="TableText0"/>
              <w:keepLines/>
              <w:jc w:val="right"/>
              <w:rPr>
                <w:color w:val="000000"/>
                <w:szCs w:val="20"/>
              </w:rPr>
            </w:pPr>
          </w:p>
        </w:tc>
        <w:tc>
          <w:tcPr>
            <w:tcW w:w="580" w:type="pct"/>
            <w:vAlign w:val="center"/>
          </w:tcPr>
          <w:p w14:paraId="51BB2094" w14:textId="77777777" w:rsidR="00983A3A" w:rsidRPr="003C28CF" w:rsidRDefault="00983A3A" w:rsidP="008D661A">
            <w:pPr>
              <w:pStyle w:val="TableText0"/>
              <w:keepLines/>
              <w:jc w:val="right"/>
              <w:rPr>
                <w:color w:val="000000"/>
                <w:szCs w:val="20"/>
              </w:rPr>
            </w:pPr>
          </w:p>
        </w:tc>
        <w:tc>
          <w:tcPr>
            <w:tcW w:w="580" w:type="pct"/>
            <w:vAlign w:val="center"/>
          </w:tcPr>
          <w:p w14:paraId="12DDBE16" w14:textId="77777777" w:rsidR="00983A3A" w:rsidRPr="003C28CF" w:rsidRDefault="00983A3A" w:rsidP="008D661A">
            <w:pPr>
              <w:pStyle w:val="TableText0"/>
              <w:keepLines/>
              <w:jc w:val="right"/>
              <w:rPr>
                <w:color w:val="000000"/>
                <w:szCs w:val="20"/>
              </w:rPr>
            </w:pPr>
          </w:p>
        </w:tc>
        <w:tc>
          <w:tcPr>
            <w:tcW w:w="580" w:type="pct"/>
          </w:tcPr>
          <w:p w14:paraId="5FD2102E" w14:textId="77777777" w:rsidR="00983A3A" w:rsidRPr="003C28CF" w:rsidRDefault="00983A3A" w:rsidP="008D661A">
            <w:pPr>
              <w:pStyle w:val="TableText0"/>
              <w:keepLines/>
              <w:jc w:val="right"/>
              <w:rPr>
                <w:color w:val="000000"/>
                <w:szCs w:val="20"/>
              </w:rPr>
            </w:pPr>
          </w:p>
        </w:tc>
      </w:tr>
      <w:tr w:rsidR="00E91CC1" w:rsidRPr="003C28CF" w14:paraId="0DCFBB30" w14:textId="77777777" w:rsidTr="00C80047">
        <w:trPr>
          <w:cantSplit/>
          <w:jc w:val="center"/>
        </w:trPr>
        <w:tc>
          <w:tcPr>
            <w:tcW w:w="1521" w:type="pct"/>
            <w:vAlign w:val="center"/>
          </w:tcPr>
          <w:p w14:paraId="168D535E" w14:textId="4E47C50D" w:rsidR="00E91CC1" w:rsidRPr="003C28CF" w:rsidRDefault="00E91CC1" w:rsidP="008D661A">
            <w:pPr>
              <w:pStyle w:val="TableText0"/>
              <w:keepLines/>
              <w:rPr>
                <w:b/>
                <w:bCs w:val="0"/>
                <w:szCs w:val="20"/>
              </w:rPr>
            </w:pPr>
            <w:r w:rsidRPr="003C28CF">
              <w:rPr>
                <w:b/>
                <w:bCs w:val="0"/>
                <w:szCs w:val="20"/>
              </w:rPr>
              <w:t xml:space="preserve">Total patients initiate </w:t>
            </w:r>
            <w:proofErr w:type="spellStart"/>
            <w:r w:rsidRPr="003C28CF">
              <w:rPr>
                <w:b/>
                <w:bCs w:val="0"/>
                <w:szCs w:val="20"/>
              </w:rPr>
              <w:t>edaravone</w:t>
            </w:r>
            <w:proofErr w:type="spellEnd"/>
          </w:p>
        </w:tc>
        <w:tc>
          <w:tcPr>
            <w:tcW w:w="580" w:type="pct"/>
          </w:tcPr>
          <w:p w14:paraId="46C3F532" w14:textId="1CC70C79" w:rsidR="00E91CC1" w:rsidRPr="00B6186C" w:rsidRDefault="00FE3C93" w:rsidP="008D661A">
            <w:pPr>
              <w:pStyle w:val="TableText0"/>
              <w:keepLines/>
              <w:jc w:val="right"/>
              <w:rPr>
                <w:szCs w:val="20"/>
                <w:vertAlign w:val="superscript"/>
              </w:rPr>
            </w:pPr>
            <w:r w:rsidRPr="00FE3C93">
              <w:rPr>
                <w:sz w:val="2"/>
                <w:szCs w:val="20"/>
                <w:highlight w:val="black"/>
              </w:rPr>
              <w:t>redacted content</w:t>
            </w:r>
            <w:r w:rsidR="00685983">
              <w:rPr>
                <w:szCs w:val="20"/>
                <w:vertAlign w:val="superscript"/>
              </w:rPr>
              <w:t>1</w:t>
            </w:r>
          </w:p>
        </w:tc>
        <w:tc>
          <w:tcPr>
            <w:tcW w:w="580" w:type="pct"/>
          </w:tcPr>
          <w:p w14:paraId="66A253E8" w14:textId="0AFECAE3" w:rsidR="00E91CC1"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685983">
              <w:rPr>
                <w:szCs w:val="20"/>
                <w:vertAlign w:val="superscript"/>
              </w:rPr>
              <w:t>1</w:t>
            </w:r>
          </w:p>
        </w:tc>
        <w:tc>
          <w:tcPr>
            <w:tcW w:w="580" w:type="pct"/>
          </w:tcPr>
          <w:p w14:paraId="7C79D5D3" w14:textId="5B517D71" w:rsidR="00E91CC1"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685983">
              <w:rPr>
                <w:szCs w:val="20"/>
                <w:vertAlign w:val="superscript"/>
              </w:rPr>
              <w:t>1</w:t>
            </w:r>
          </w:p>
        </w:tc>
        <w:tc>
          <w:tcPr>
            <w:tcW w:w="580" w:type="pct"/>
          </w:tcPr>
          <w:p w14:paraId="690D0B17" w14:textId="7F98CDA3" w:rsidR="00E91CC1"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685983">
              <w:rPr>
                <w:szCs w:val="20"/>
                <w:vertAlign w:val="superscript"/>
              </w:rPr>
              <w:t>1</w:t>
            </w:r>
          </w:p>
        </w:tc>
        <w:tc>
          <w:tcPr>
            <w:tcW w:w="580" w:type="pct"/>
          </w:tcPr>
          <w:p w14:paraId="346F72E8" w14:textId="73E84EA3" w:rsidR="00E91CC1"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A43E16">
              <w:rPr>
                <w:szCs w:val="20"/>
                <w:vertAlign w:val="superscript"/>
              </w:rPr>
              <w:t>1</w:t>
            </w:r>
          </w:p>
        </w:tc>
        <w:tc>
          <w:tcPr>
            <w:tcW w:w="580" w:type="pct"/>
          </w:tcPr>
          <w:p w14:paraId="32980A4B" w14:textId="3971A1F8" w:rsidR="00E91CC1"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A43E16">
              <w:rPr>
                <w:szCs w:val="20"/>
                <w:vertAlign w:val="superscript"/>
              </w:rPr>
              <w:t>1</w:t>
            </w:r>
          </w:p>
        </w:tc>
      </w:tr>
      <w:tr w:rsidR="00E91CC1" w:rsidRPr="003C28CF" w14:paraId="2CC3A58A" w14:textId="77777777" w:rsidTr="00C80047">
        <w:trPr>
          <w:cantSplit/>
          <w:jc w:val="center"/>
        </w:trPr>
        <w:tc>
          <w:tcPr>
            <w:tcW w:w="1521" w:type="pct"/>
            <w:vAlign w:val="center"/>
          </w:tcPr>
          <w:p w14:paraId="6DF39C70" w14:textId="4450424D" w:rsidR="00E91CC1" w:rsidRPr="003C28CF" w:rsidRDefault="00E91CC1" w:rsidP="008D661A">
            <w:pPr>
              <w:pStyle w:val="TableText0"/>
              <w:keepLines/>
              <w:rPr>
                <w:b/>
                <w:bCs w:val="0"/>
                <w:szCs w:val="20"/>
              </w:rPr>
            </w:pPr>
            <w:r w:rsidRPr="003C28CF">
              <w:rPr>
                <w:b/>
                <w:bCs w:val="0"/>
                <w:szCs w:val="20"/>
              </w:rPr>
              <w:t xml:space="preserve">Total patients continue </w:t>
            </w:r>
            <w:proofErr w:type="spellStart"/>
            <w:r w:rsidRPr="003C28CF">
              <w:rPr>
                <w:b/>
                <w:bCs w:val="0"/>
                <w:szCs w:val="20"/>
              </w:rPr>
              <w:t>edaravone</w:t>
            </w:r>
            <w:proofErr w:type="spellEnd"/>
          </w:p>
        </w:tc>
        <w:tc>
          <w:tcPr>
            <w:tcW w:w="580" w:type="pct"/>
          </w:tcPr>
          <w:p w14:paraId="35C56874" w14:textId="03C2DAF1" w:rsidR="00E91CC1" w:rsidRPr="00B6186C" w:rsidRDefault="00FE3C93" w:rsidP="008D661A">
            <w:pPr>
              <w:pStyle w:val="TableText0"/>
              <w:keepLines/>
              <w:jc w:val="right"/>
              <w:rPr>
                <w:szCs w:val="20"/>
                <w:vertAlign w:val="superscript"/>
              </w:rPr>
            </w:pPr>
            <w:r w:rsidRPr="00FE3C93">
              <w:rPr>
                <w:sz w:val="2"/>
                <w:szCs w:val="20"/>
                <w:highlight w:val="black"/>
              </w:rPr>
              <w:t>redacted content</w:t>
            </w:r>
            <w:r w:rsidR="00685983">
              <w:rPr>
                <w:szCs w:val="20"/>
                <w:vertAlign w:val="superscript"/>
              </w:rPr>
              <w:t>1</w:t>
            </w:r>
          </w:p>
        </w:tc>
        <w:tc>
          <w:tcPr>
            <w:tcW w:w="580" w:type="pct"/>
          </w:tcPr>
          <w:p w14:paraId="7144F60A" w14:textId="316B41F2" w:rsidR="00E91CC1"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685983">
              <w:rPr>
                <w:szCs w:val="20"/>
                <w:vertAlign w:val="superscript"/>
              </w:rPr>
              <w:t>1</w:t>
            </w:r>
          </w:p>
        </w:tc>
        <w:tc>
          <w:tcPr>
            <w:tcW w:w="580" w:type="pct"/>
          </w:tcPr>
          <w:p w14:paraId="7D9FDDE8" w14:textId="416870F3" w:rsidR="00E91CC1"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685983">
              <w:rPr>
                <w:szCs w:val="20"/>
                <w:vertAlign w:val="superscript"/>
              </w:rPr>
              <w:t>1</w:t>
            </w:r>
          </w:p>
        </w:tc>
        <w:tc>
          <w:tcPr>
            <w:tcW w:w="580" w:type="pct"/>
          </w:tcPr>
          <w:p w14:paraId="79110C48" w14:textId="517FB76A" w:rsidR="00E91CC1"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CA38BC">
              <w:rPr>
                <w:szCs w:val="20"/>
                <w:vertAlign w:val="superscript"/>
              </w:rPr>
              <w:t>1</w:t>
            </w:r>
          </w:p>
        </w:tc>
        <w:tc>
          <w:tcPr>
            <w:tcW w:w="580" w:type="pct"/>
          </w:tcPr>
          <w:p w14:paraId="1E1121DE" w14:textId="0AD98BBB" w:rsidR="00E91CC1"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A43E16">
              <w:rPr>
                <w:szCs w:val="20"/>
                <w:vertAlign w:val="superscript"/>
              </w:rPr>
              <w:t>1</w:t>
            </w:r>
          </w:p>
        </w:tc>
        <w:tc>
          <w:tcPr>
            <w:tcW w:w="580" w:type="pct"/>
          </w:tcPr>
          <w:p w14:paraId="124CF0EE" w14:textId="57CB3CD6" w:rsidR="00E91CC1"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A43E16">
              <w:rPr>
                <w:szCs w:val="20"/>
                <w:vertAlign w:val="superscript"/>
              </w:rPr>
              <w:t>1</w:t>
            </w:r>
          </w:p>
        </w:tc>
      </w:tr>
      <w:tr w:rsidR="000A36A4" w:rsidRPr="003C28CF" w14:paraId="5D5D440C" w14:textId="77777777" w:rsidTr="00C80047">
        <w:trPr>
          <w:cantSplit/>
          <w:jc w:val="center"/>
        </w:trPr>
        <w:tc>
          <w:tcPr>
            <w:tcW w:w="1521" w:type="pct"/>
            <w:vAlign w:val="center"/>
          </w:tcPr>
          <w:p w14:paraId="359E474F" w14:textId="70CD4539" w:rsidR="000A36A4" w:rsidRPr="003C28CF" w:rsidRDefault="000A36A4" w:rsidP="008D661A">
            <w:pPr>
              <w:pStyle w:val="TableText0"/>
              <w:keepLines/>
              <w:rPr>
                <w:b/>
                <w:bCs w:val="0"/>
                <w:szCs w:val="20"/>
                <w:vertAlign w:val="superscript"/>
              </w:rPr>
            </w:pPr>
            <w:r w:rsidRPr="003C28CF">
              <w:rPr>
                <w:b/>
                <w:bCs w:val="0"/>
                <w:szCs w:val="20"/>
              </w:rPr>
              <w:t>Number of scripts dispensed</w:t>
            </w:r>
          </w:p>
        </w:tc>
        <w:tc>
          <w:tcPr>
            <w:tcW w:w="580" w:type="pct"/>
          </w:tcPr>
          <w:p w14:paraId="14228129" w14:textId="63D5998E" w:rsidR="000A36A4"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685983">
              <w:rPr>
                <w:szCs w:val="20"/>
                <w:vertAlign w:val="superscript"/>
              </w:rPr>
              <w:t>1</w:t>
            </w:r>
          </w:p>
        </w:tc>
        <w:tc>
          <w:tcPr>
            <w:tcW w:w="580" w:type="pct"/>
          </w:tcPr>
          <w:p w14:paraId="0AC1C51C" w14:textId="48AAC4DD" w:rsidR="000A36A4"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685983">
              <w:rPr>
                <w:szCs w:val="20"/>
                <w:vertAlign w:val="superscript"/>
              </w:rPr>
              <w:t>1</w:t>
            </w:r>
          </w:p>
        </w:tc>
        <w:tc>
          <w:tcPr>
            <w:tcW w:w="580" w:type="pct"/>
          </w:tcPr>
          <w:p w14:paraId="46B37406" w14:textId="2D30F8B5" w:rsidR="000A36A4"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685983">
              <w:rPr>
                <w:szCs w:val="20"/>
                <w:vertAlign w:val="superscript"/>
              </w:rPr>
              <w:t>1</w:t>
            </w:r>
          </w:p>
        </w:tc>
        <w:tc>
          <w:tcPr>
            <w:tcW w:w="580" w:type="pct"/>
          </w:tcPr>
          <w:p w14:paraId="6D76F480" w14:textId="11B10B53" w:rsidR="000A36A4"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A43E16">
              <w:rPr>
                <w:szCs w:val="20"/>
                <w:vertAlign w:val="superscript"/>
              </w:rPr>
              <w:t>1</w:t>
            </w:r>
          </w:p>
        </w:tc>
        <w:tc>
          <w:tcPr>
            <w:tcW w:w="580" w:type="pct"/>
          </w:tcPr>
          <w:p w14:paraId="078EC90A" w14:textId="7F792B0D" w:rsidR="000A36A4"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A43E16">
              <w:rPr>
                <w:szCs w:val="20"/>
                <w:vertAlign w:val="superscript"/>
              </w:rPr>
              <w:t>1</w:t>
            </w:r>
          </w:p>
        </w:tc>
        <w:tc>
          <w:tcPr>
            <w:tcW w:w="580" w:type="pct"/>
          </w:tcPr>
          <w:p w14:paraId="0BC345E6" w14:textId="447AE4BA" w:rsidR="000A36A4" w:rsidRPr="00B6186C" w:rsidRDefault="00FE3C93" w:rsidP="008D661A">
            <w:pPr>
              <w:pStyle w:val="TableText0"/>
              <w:keepLines/>
              <w:jc w:val="right"/>
              <w:rPr>
                <w:color w:val="000000"/>
                <w:szCs w:val="20"/>
                <w:vertAlign w:val="superscript"/>
              </w:rPr>
            </w:pPr>
            <w:r w:rsidRPr="00FE3C93">
              <w:rPr>
                <w:sz w:val="2"/>
                <w:szCs w:val="20"/>
                <w:highlight w:val="black"/>
              </w:rPr>
              <w:t>redacted content</w:t>
            </w:r>
            <w:r w:rsidR="00A43E16">
              <w:rPr>
                <w:szCs w:val="20"/>
                <w:vertAlign w:val="superscript"/>
              </w:rPr>
              <w:t>1</w:t>
            </w:r>
          </w:p>
        </w:tc>
      </w:tr>
      <w:tr w:rsidR="00983A3A" w:rsidRPr="003C28CF" w14:paraId="046AEB1E" w14:textId="77777777" w:rsidTr="00C80047">
        <w:trPr>
          <w:cantSplit/>
          <w:jc w:val="center"/>
        </w:trPr>
        <w:tc>
          <w:tcPr>
            <w:tcW w:w="5000" w:type="pct"/>
            <w:gridSpan w:val="7"/>
            <w:vAlign w:val="center"/>
          </w:tcPr>
          <w:p w14:paraId="750CBAE5" w14:textId="3656D418" w:rsidR="00983A3A" w:rsidRPr="003C28CF" w:rsidRDefault="00983A3A" w:rsidP="008D661A">
            <w:pPr>
              <w:pStyle w:val="TableText0"/>
              <w:keepLines/>
              <w:rPr>
                <w:b/>
                <w:color w:val="000000"/>
                <w:szCs w:val="20"/>
              </w:rPr>
            </w:pPr>
            <w:r w:rsidRPr="003C28CF">
              <w:rPr>
                <w:b/>
                <w:color w:val="000000"/>
                <w:szCs w:val="20"/>
              </w:rPr>
              <w:t xml:space="preserve">Estimated financial implications of </w:t>
            </w:r>
            <w:proofErr w:type="spellStart"/>
            <w:r w:rsidR="00C124D5" w:rsidRPr="003C28CF">
              <w:rPr>
                <w:b/>
                <w:bCs w:val="0"/>
                <w:szCs w:val="20"/>
              </w:rPr>
              <w:t>edaravone</w:t>
            </w:r>
            <w:proofErr w:type="spellEnd"/>
          </w:p>
        </w:tc>
      </w:tr>
      <w:tr w:rsidR="00573304" w:rsidRPr="003C28CF" w14:paraId="3993658E" w14:textId="77777777" w:rsidTr="00C80047">
        <w:trPr>
          <w:cantSplit/>
          <w:jc w:val="center"/>
        </w:trPr>
        <w:tc>
          <w:tcPr>
            <w:tcW w:w="1521" w:type="pct"/>
            <w:vAlign w:val="center"/>
          </w:tcPr>
          <w:p w14:paraId="375802A8" w14:textId="73C2B169" w:rsidR="00573304" w:rsidRPr="003C28CF" w:rsidRDefault="00573304" w:rsidP="008D661A">
            <w:pPr>
              <w:pStyle w:val="TableText0"/>
              <w:keepLines/>
              <w:rPr>
                <w:szCs w:val="20"/>
              </w:rPr>
            </w:pPr>
            <w:r w:rsidRPr="003C28CF">
              <w:rPr>
                <w:szCs w:val="20"/>
              </w:rPr>
              <w:t>Cost to PBS/RPBS less co-payment</w:t>
            </w:r>
          </w:p>
        </w:tc>
        <w:tc>
          <w:tcPr>
            <w:tcW w:w="580" w:type="pct"/>
          </w:tcPr>
          <w:p w14:paraId="466AAD3D" w14:textId="20FD91FF" w:rsidR="00573304" w:rsidRPr="00B6186C" w:rsidRDefault="00573304"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5E6227">
              <w:rPr>
                <w:szCs w:val="20"/>
                <w:vertAlign w:val="superscript"/>
              </w:rPr>
              <w:t>2</w:t>
            </w:r>
          </w:p>
        </w:tc>
        <w:tc>
          <w:tcPr>
            <w:tcW w:w="580" w:type="pct"/>
          </w:tcPr>
          <w:p w14:paraId="0584DE92" w14:textId="596C774C" w:rsidR="00573304" w:rsidRPr="00B6186C" w:rsidRDefault="00573304"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5E6227">
              <w:rPr>
                <w:szCs w:val="20"/>
                <w:vertAlign w:val="superscript"/>
              </w:rPr>
              <w:t>2</w:t>
            </w:r>
          </w:p>
        </w:tc>
        <w:tc>
          <w:tcPr>
            <w:tcW w:w="580" w:type="pct"/>
          </w:tcPr>
          <w:p w14:paraId="555B3F9C" w14:textId="1E270F27" w:rsidR="00573304" w:rsidRPr="00B6186C" w:rsidRDefault="00573304"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5E6227">
              <w:rPr>
                <w:szCs w:val="20"/>
                <w:vertAlign w:val="superscript"/>
              </w:rPr>
              <w:t>2</w:t>
            </w:r>
          </w:p>
        </w:tc>
        <w:tc>
          <w:tcPr>
            <w:tcW w:w="580" w:type="pct"/>
          </w:tcPr>
          <w:p w14:paraId="28A422D5" w14:textId="6583EEA3" w:rsidR="00573304" w:rsidRPr="00B6186C" w:rsidRDefault="00573304"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5E6227">
              <w:rPr>
                <w:szCs w:val="20"/>
                <w:vertAlign w:val="superscript"/>
              </w:rPr>
              <w:t>2</w:t>
            </w:r>
          </w:p>
        </w:tc>
        <w:tc>
          <w:tcPr>
            <w:tcW w:w="580" w:type="pct"/>
          </w:tcPr>
          <w:p w14:paraId="3BD91315" w14:textId="3069517D" w:rsidR="00573304" w:rsidRPr="00B6186C" w:rsidRDefault="00573304"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5E6227">
              <w:rPr>
                <w:szCs w:val="20"/>
                <w:vertAlign w:val="superscript"/>
              </w:rPr>
              <w:t>2</w:t>
            </w:r>
          </w:p>
        </w:tc>
        <w:tc>
          <w:tcPr>
            <w:tcW w:w="580" w:type="pct"/>
          </w:tcPr>
          <w:p w14:paraId="11BDCDF8" w14:textId="556AE29B" w:rsidR="00573304" w:rsidRPr="00B6186C" w:rsidRDefault="00573304"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5E6227">
              <w:rPr>
                <w:szCs w:val="20"/>
                <w:vertAlign w:val="superscript"/>
              </w:rPr>
              <w:t>2</w:t>
            </w:r>
          </w:p>
        </w:tc>
      </w:tr>
      <w:tr w:rsidR="00983A3A" w:rsidRPr="003C28CF" w14:paraId="39B4F20E" w14:textId="77777777" w:rsidTr="00C80047">
        <w:trPr>
          <w:cantSplit/>
          <w:jc w:val="center"/>
        </w:trPr>
        <w:tc>
          <w:tcPr>
            <w:tcW w:w="5000" w:type="pct"/>
            <w:gridSpan w:val="7"/>
            <w:vAlign w:val="center"/>
          </w:tcPr>
          <w:p w14:paraId="726221BB" w14:textId="0AC93172" w:rsidR="00983A3A" w:rsidRPr="003C28CF" w:rsidRDefault="00983A3A" w:rsidP="008D661A">
            <w:pPr>
              <w:pStyle w:val="TableText0"/>
              <w:keepLines/>
              <w:rPr>
                <w:b/>
                <w:color w:val="000000"/>
                <w:szCs w:val="20"/>
              </w:rPr>
            </w:pPr>
            <w:bookmarkStart w:id="4" w:name="_Hlk88815214"/>
            <w:r w:rsidRPr="003C28CF">
              <w:rPr>
                <w:b/>
                <w:color w:val="000000"/>
                <w:szCs w:val="20"/>
              </w:rPr>
              <w:t xml:space="preserve">Estimated financial implications of </w:t>
            </w:r>
            <w:proofErr w:type="spellStart"/>
            <w:r w:rsidR="007E087D" w:rsidRPr="003C28CF">
              <w:rPr>
                <w:b/>
                <w:color w:val="000000"/>
                <w:szCs w:val="20"/>
              </w:rPr>
              <w:t>riluzole</w:t>
            </w:r>
            <w:proofErr w:type="spellEnd"/>
          </w:p>
        </w:tc>
      </w:tr>
      <w:tr w:rsidR="00406645" w:rsidRPr="003C28CF" w14:paraId="101C7ED8" w14:textId="77777777" w:rsidTr="00C80047">
        <w:trPr>
          <w:cantSplit/>
          <w:jc w:val="center"/>
        </w:trPr>
        <w:tc>
          <w:tcPr>
            <w:tcW w:w="1521" w:type="pct"/>
            <w:vAlign w:val="center"/>
          </w:tcPr>
          <w:p w14:paraId="4287980C" w14:textId="0DABC4E7" w:rsidR="00406645" w:rsidRPr="003C28CF" w:rsidRDefault="00406645" w:rsidP="008D661A">
            <w:pPr>
              <w:pStyle w:val="TableText0"/>
              <w:keepLines/>
              <w:rPr>
                <w:szCs w:val="20"/>
              </w:rPr>
            </w:pPr>
            <w:r w:rsidRPr="003C28CF">
              <w:rPr>
                <w:szCs w:val="20"/>
              </w:rPr>
              <w:t>Additional scripts dispensed</w:t>
            </w:r>
          </w:p>
        </w:tc>
        <w:tc>
          <w:tcPr>
            <w:tcW w:w="580" w:type="pct"/>
          </w:tcPr>
          <w:p w14:paraId="66E0E7B6" w14:textId="6BAE852C" w:rsidR="00406645" w:rsidRPr="003C28CF" w:rsidRDefault="00FE3C93" w:rsidP="008D661A">
            <w:pPr>
              <w:pStyle w:val="TableText0"/>
              <w:keepLines/>
              <w:jc w:val="right"/>
              <w:rPr>
                <w:color w:val="000000"/>
                <w:szCs w:val="20"/>
              </w:rPr>
            </w:pPr>
            <w:r w:rsidRPr="00FE3C93">
              <w:rPr>
                <w:sz w:val="2"/>
                <w:szCs w:val="20"/>
                <w:highlight w:val="black"/>
              </w:rPr>
              <w:t>redacted content</w:t>
            </w:r>
            <w:r w:rsidR="005E6227">
              <w:rPr>
                <w:szCs w:val="20"/>
                <w:vertAlign w:val="superscript"/>
              </w:rPr>
              <w:t>1</w:t>
            </w:r>
            <w:r w:rsidR="00406645" w:rsidRPr="003C28CF">
              <w:rPr>
                <w:szCs w:val="20"/>
              </w:rPr>
              <w:t xml:space="preserve"> </w:t>
            </w:r>
          </w:p>
        </w:tc>
        <w:tc>
          <w:tcPr>
            <w:tcW w:w="580" w:type="pct"/>
          </w:tcPr>
          <w:p w14:paraId="5D262BC6" w14:textId="73EF0DB6" w:rsidR="00406645" w:rsidRPr="003C28CF" w:rsidRDefault="00FE3C93" w:rsidP="008D661A">
            <w:pPr>
              <w:pStyle w:val="TableText0"/>
              <w:keepLines/>
              <w:jc w:val="right"/>
              <w:rPr>
                <w:color w:val="000000"/>
                <w:szCs w:val="20"/>
              </w:rPr>
            </w:pPr>
            <w:r w:rsidRPr="00FE3C93">
              <w:rPr>
                <w:sz w:val="2"/>
                <w:szCs w:val="20"/>
                <w:highlight w:val="black"/>
              </w:rPr>
              <w:t>redacted content</w:t>
            </w:r>
            <w:r w:rsidR="005E6227">
              <w:rPr>
                <w:szCs w:val="20"/>
                <w:vertAlign w:val="superscript"/>
              </w:rPr>
              <w:t>1</w:t>
            </w:r>
            <w:r w:rsidR="00406645" w:rsidRPr="003C28CF">
              <w:rPr>
                <w:szCs w:val="20"/>
              </w:rPr>
              <w:t xml:space="preserve"> </w:t>
            </w:r>
          </w:p>
        </w:tc>
        <w:tc>
          <w:tcPr>
            <w:tcW w:w="580" w:type="pct"/>
          </w:tcPr>
          <w:p w14:paraId="1C6A3209" w14:textId="2A8551CF" w:rsidR="00406645" w:rsidRPr="003C28CF" w:rsidRDefault="00FE3C93" w:rsidP="008D661A">
            <w:pPr>
              <w:pStyle w:val="TableText0"/>
              <w:keepLines/>
              <w:jc w:val="right"/>
              <w:rPr>
                <w:color w:val="000000"/>
                <w:szCs w:val="20"/>
              </w:rPr>
            </w:pPr>
            <w:r w:rsidRPr="00FE3C93">
              <w:rPr>
                <w:sz w:val="2"/>
                <w:szCs w:val="20"/>
                <w:highlight w:val="black"/>
              </w:rPr>
              <w:t>redacted content</w:t>
            </w:r>
            <w:r w:rsidR="005E6227">
              <w:rPr>
                <w:szCs w:val="20"/>
                <w:vertAlign w:val="superscript"/>
              </w:rPr>
              <w:t>1</w:t>
            </w:r>
            <w:r w:rsidR="00406645" w:rsidRPr="003C28CF">
              <w:rPr>
                <w:szCs w:val="20"/>
              </w:rPr>
              <w:t xml:space="preserve"> </w:t>
            </w:r>
          </w:p>
        </w:tc>
        <w:tc>
          <w:tcPr>
            <w:tcW w:w="580" w:type="pct"/>
          </w:tcPr>
          <w:p w14:paraId="310E3459" w14:textId="39F1200F" w:rsidR="00406645" w:rsidRPr="003C28CF" w:rsidRDefault="00FE3C93" w:rsidP="008D661A">
            <w:pPr>
              <w:pStyle w:val="TableText0"/>
              <w:keepLines/>
              <w:jc w:val="right"/>
              <w:rPr>
                <w:color w:val="000000"/>
                <w:szCs w:val="20"/>
              </w:rPr>
            </w:pPr>
            <w:r w:rsidRPr="00FE3C93">
              <w:rPr>
                <w:sz w:val="2"/>
                <w:szCs w:val="20"/>
                <w:highlight w:val="black"/>
              </w:rPr>
              <w:t>redacted content</w:t>
            </w:r>
            <w:r w:rsidR="005E6227">
              <w:rPr>
                <w:szCs w:val="20"/>
                <w:vertAlign w:val="superscript"/>
              </w:rPr>
              <w:t>1</w:t>
            </w:r>
            <w:r w:rsidR="00406645" w:rsidRPr="003C28CF">
              <w:rPr>
                <w:szCs w:val="20"/>
              </w:rPr>
              <w:t xml:space="preserve"> </w:t>
            </w:r>
          </w:p>
        </w:tc>
        <w:tc>
          <w:tcPr>
            <w:tcW w:w="580" w:type="pct"/>
          </w:tcPr>
          <w:p w14:paraId="08FB1333" w14:textId="0DBB1A66" w:rsidR="00406645" w:rsidRPr="003C28CF" w:rsidRDefault="00FE3C93" w:rsidP="008D661A">
            <w:pPr>
              <w:pStyle w:val="TableText0"/>
              <w:keepLines/>
              <w:jc w:val="right"/>
              <w:rPr>
                <w:color w:val="000000"/>
                <w:szCs w:val="20"/>
              </w:rPr>
            </w:pPr>
            <w:r w:rsidRPr="00FE3C93">
              <w:rPr>
                <w:sz w:val="2"/>
                <w:szCs w:val="20"/>
                <w:highlight w:val="black"/>
              </w:rPr>
              <w:t>redacted content</w:t>
            </w:r>
            <w:r w:rsidR="005E6227">
              <w:rPr>
                <w:szCs w:val="20"/>
                <w:vertAlign w:val="superscript"/>
              </w:rPr>
              <w:t>1</w:t>
            </w:r>
            <w:r w:rsidR="00406645" w:rsidRPr="003C28CF">
              <w:rPr>
                <w:szCs w:val="20"/>
              </w:rPr>
              <w:t xml:space="preserve"> </w:t>
            </w:r>
          </w:p>
        </w:tc>
        <w:tc>
          <w:tcPr>
            <w:tcW w:w="580" w:type="pct"/>
          </w:tcPr>
          <w:p w14:paraId="231C4F57" w14:textId="6B7CACB2" w:rsidR="00406645" w:rsidRPr="003C28CF" w:rsidRDefault="00FE3C93" w:rsidP="008D661A">
            <w:pPr>
              <w:pStyle w:val="TableText0"/>
              <w:keepLines/>
              <w:jc w:val="right"/>
              <w:rPr>
                <w:color w:val="000000"/>
                <w:szCs w:val="20"/>
              </w:rPr>
            </w:pPr>
            <w:r w:rsidRPr="00FE3C93">
              <w:rPr>
                <w:sz w:val="2"/>
                <w:szCs w:val="20"/>
                <w:highlight w:val="black"/>
              </w:rPr>
              <w:t>redacted content</w:t>
            </w:r>
            <w:r w:rsidR="005E6227">
              <w:rPr>
                <w:szCs w:val="20"/>
                <w:vertAlign w:val="superscript"/>
              </w:rPr>
              <w:t>1</w:t>
            </w:r>
            <w:r w:rsidR="00406645" w:rsidRPr="003C28CF">
              <w:rPr>
                <w:szCs w:val="20"/>
              </w:rPr>
              <w:t xml:space="preserve"> </w:t>
            </w:r>
          </w:p>
        </w:tc>
      </w:tr>
      <w:tr w:rsidR="000559FB" w:rsidRPr="003C28CF" w14:paraId="5F183828" w14:textId="77777777" w:rsidTr="00C80047">
        <w:trPr>
          <w:cantSplit/>
          <w:jc w:val="center"/>
        </w:trPr>
        <w:tc>
          <w:tcPr>
            <w:tcW w:w="1521" w:type="pct"/>
            <w:vAlign w:val="center"/>
          </w:tcPr>
          <w:p w14:paraId="6DB6C4F2" w14:textId="5FE18972" w:rsidR="000559FB" w:rsidRPr="003C28CF" w:rsidRDefault="000559FB" w:rsidP="008D661A">
            <w:pPr>
              <w:pStyle w:val="TableText0"/>
              <w:keepLines/>
              <w:rPr>
                <w:szCs w:val="20"/>
              </w:rPr>
            </w:pPr>
            <w:r w:rsidRPr="003C28CF">
              <w:rPr>
                <w:szCs w:val="20"/>
              </w:rPr>
              <w:t>Cost to PBS/RPBS less co-payment</w:t>
            </w:r>
          </w:p>
        </w:tc>
        <w:tc>
          <w:tcPr>
            <w:tcW w:w="580" w:type="pct"/>
          </w:tcPr>
          <w:p w14:paraId="17AE6B28" w14:textId="1FF8DEA8" w:rsidR="000559FB" w:rsidRPr="00B6186C" w:rsidRDefault="000559FB"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5E6227">
              <w:rPr>
                <w:szCs w:val="20"/>
                <w:vertAlign w:val="superscript"/>
              </w:rPr>
              <w:t>2</w:t>
            </w:r>
          </w:p>
        </w:tc>
        <w:tc>
          <w:tcPr>
            <w:tcW w:w="580" w:type="pct"/>
          </w:tcPr>
          <w:p w14:paraId="19519F19" w14:textId="11A5416D" w:rsidR="000559FB" w:rsidRPr="00B6186C" w:rsidRDefault="000559FB"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5E6227">
              <w:rPr>
                <w:szCs w:val="20"/>
                <w:vertAlign w:val="superscript"/>
              </w:rPr>
              <w:t>2</w:t>
            </w:r>
          </w:p>
        </w:tc>
        <w:tc>
          <w:tcPr>
            <w:tcW w:w="580" w:type="pct"/>
          </w:tcPr>
          <w:p w14:paraId="6B513315" w14:textId="1DAF2416" w:rsidR="000559FB" w:rsidRPr="00B6186C" w:rsidRDefault="000559FB"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2521A4E4" w14:textId="4B076FED" w:rsidR="000559FB" w:rsidRPr="00B6186C" w:rsidRDefault="000559FB"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16BF86D6" w14:textId="5F3765EB" w:rsidR="000559FB" w:rsidRPr="00B6186C" w:rsidRDefault="000559FB"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4CA48892" w14:textId="25F46BAE" w:rsidR="000559FB" w:rsidRPr="00B6186C" w:rsidRDefault="000559FB"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r>
      <w:bookmarkEnd w:id="4"/>
      <w:tr w:rsidR="00983A3A" w:rsidRPr="003C28CF" w14:paraId="3CD835A0" w14:textId="77777777" w:rsidTr="00C80047">
        <w:trPr>
          <w:cantSplit/>
          <w:jc w:val="center"/>
        </w:trPr>
        <w:tc>
          <w:tcPr>
            <w:tcW w:w="5000" w:type="pct"/>
            <w:gridSpan w:val="7"/>
            <w:vAlign w:val="center"/>
          </w:tcPr>
          <w:p w14:paraId="0717F32A" w14:textId="599CB1D7" w:rsidR="00983A3A" w:rsidRPr="003C28CF" w:rsidRDefault="00983A3A" w:rsidP="008D661A">
            <w:pPr>
              <w:pStyle w:val="TableText0"/>
              <w:keepLines/>
              <w:rPr>
                <w:b/>
                <w:bCs w:val="0"/>
                <w:color w:val="000000"/>
                <w:szCs w:val="20"/>
              </w:rPr>
            </w:pPr>
            <w:r w:rsidRPr="003C28CF">
              <w:rPr>
                <w:b/>
                <w:bCs w:val="0"/>
                <w:color w:val="000000"/>
                <w:szCs w:val="20"/>
              </w:rPr>
              <w:t>Net financial implications</w:t>
            </w:r>
          </w:p>
        </w:tc>
      </w:tr>
      <w:tr w:rsidR="004F0175" w:rsidRPr="003C28CF" w14:paraId="6DC7AAF7" w14:textId="77777777" w:rsidTr="00C80047">
        <w:trPr>
          <w:cantSplit/>
          <w:jc w:val="center"/>
        </w:trPr>
        <w:tc>
          <w:tcPr>
            <w:tcW w:w="1521" w:type="pct"/>
            <w:vAlign w:val="center"/>
          </w:tcPr>
          <w:p w14:paraId="41FA959D" w14:textId="6A62CDCD" w:rsidR="004F0175" w:rsidRPr="003C28CF" w:rsidRDefault="004F0175" w:rsidP="008D661A">
            <w:pPr>
              <w:pStyle w:val="TableText0"/>
              <w:keepLines/>
              <w:rPr>
                <w:szCs w:val="20"/>
              </w:rPr>
            </w:pPr>
            <w:r w:rsidRPr="003C28CF">
              <w:rPr>
                <w:szCs w:val="20"/>
              </w:rPr>
              <w:t>Net cost to PBS/RPBS</w:t>
            </w:r>
          </w:p>
        </w:tc>
        <w:tc>
          <w:tcPr>
            <w:tcW w:w="580" w:type="pct"/>
          </w:tcPr>
          <w:p w14:paraId="454A7C1B" w14:textId="6993B360" w:rsidR="004F0175" w:rsidRPr="00B6186C" w:rsidRDefault="004F0175"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5587EA01" w14:textId="7DB74244" w:rsidR="004F0175" w:rsidRPr="00B6186C" w:rsidRDefault="004F0175"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5A290C2B" w14:textId="241943DB" w:rsidR="004F0175" w:rsidRPr="00B6186C" w:rsidRDefault="004F0175"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73C4A55C" w14:textId="3A037B86" w:rsidR="004F0175" w:rsidRPr="00B6186C" w:rsidRDefault="004F0175"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5A08AF29" w14:textId="3E37BA81" w:rsidR="004F0175" w:rsidRPr="00B6186C" w:rsidRDefault="004F0175" w:rsidP="008D661A">
            <w:pPr>
              <w:pStyle w:val="TableText0"/>
              <w:keepLines/>
              <w:jc w:val="right"/>
              <w:rPr>
                <w:color w:val="000000"/>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1A3491BC" w14:textId="00804DE9" w:rsidR="004F0175" w:rsidRPr="00B6186C" w:rsidRDefault="00FE3C93" w:rsidP="008D661A">
            <w:pPr>
              <w:pStyle w:val="TableText0"/>
              <w:keepLines/>
              <w:jc w:val="right"/>
              <w:rPr>
                <w:color w:val="000000"/>
                <w:szCs w:val="20"/>
                <w:highlight w:val="darkGray"/>
                <w:vertAlign w:val="superscript"/>
              </w:rPr>
            </w:pPr>
            <w:r w:rsidRPr="00FE3C93">
              <w:rPr>
                <w:sz w:val="2"/>
                <w:szCs w:val="20"/>
                <w:highlight w:val="black"/>
              </w:rPr>
              <w:t>redacted content</w:t>
            </w:r>
            <w:r w:rsidR="00226B28" w:rsidRPr="00B6186C">
              <w:rPr>
                <w:szCs w:val="20"/>
                <w:vertAlign w:val="superscript"/>
              </w:rPr>
              <w:t>2</w:t>
            </w:r>
          </w:p>
        </w:tc>
      </w:tr>
      <w:tr w:rsidR="00C80047" w:rsidRPr="003C28CF" w14:paraId="220E67B0" w14:textId="77777777" w:rsidTr="00C80047">
        <w:trPr>
          <w:cantSplit/>
          <w:jc w:val="center"/>
        </w:trPr>
        <w:tc>
          <w:tcPr>
            <w:tcW w:w="1521" w:type="pct"/>
            <w:vAlign w:val="center"/>
          </w:tcPr>
          <w:p w14:paraId="16476879" w14:textId="3915E277" w:rsidR="00C0350E" w:rsidRPr="003C28CF" w:rsidRDefault="00C0350E" w:rsidP="00C0350E">
            <w:pPr>
              <w:pStyle w:val="TableText0"/>
              <w:keepLines/>
              <w:rPr>
                <w:szCs w:val="20"/>
              </w:rPr>
            </w:pPr>
            <w:r w:rsidRPr="003C28CF">
              <w:rPr>
                <w:szCs w:val="20"/>
              </w:rPr>
              <w:t xml:space="preserve">Net cost to MBS for </w:t>
            </w:r>
            <w:proofErr w:type="spellStart"/>
            <w:r w:rsidRPr="003C28CF">
              <w:rPr>
                <w:szCs w:val="20"/>
              </w:rPr>
              <w:t>administration</w:t>
            </w:r>
            <w:r w:rsidR="0097007D" w:rsidRPr="003C28CF">
              <w:rPr>
                <w:szCs w:val="20"/>
                <w:vertAlign w:val="superscript"/>
              </w:rPr>
              <w:t>b</w:t>
            </w:r>
            <w:proofErr w:type="spellEnd"/>
          </w:p>
        </w:tc>
        <w:tc>
          <w:tcPr>
            <w:tcW w:w="580" w:type="pct"/>
          </w:tcPr>
          <w:p w14:paraId="4C7FA500" w14:textId="1F6CBAA9" w:rsidR="00C0350E" w:rsidRPr="00B6186C" w:rsidRDefault="00C0350E" w:rsidP="00C0350E">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57E9CFEF" w14:textId="544A97EA" w:rsidR="00C0350E" w:rsidRPr="00B6186C" w:rsidRDefault="00C0350E" w:rsidP="00C0350E">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3FDAE2FC" w14:textId="053C9AE4" w:rsidR="00C0350E" w:rsidRPr="00B6186C" w:rsidRDefault="00C0350E" w:rsidP="00C0350E">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226B28">
              <w:rPr>
                <w:szCs w:val="20"/>
                <w:vertAlign w:val="superscript"/>
              </w:rPr>
              <w:t>2</w:t>
            </w:r>
          </w:p>
        </w:tc>
        <w:tc>
          <w:tcPr>
            <w:tcW w:w="580" w:type="pct"/>
          </w:tcPr>
          <w:p w14:paraId="4B42AB3F" w14:textId="2FEFB6CB" w:rsidR="00C0350E" w:rsidRPr="00B6186C" w:rsidRDefault="00C0350E" w:rsidP="00C0350E">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685B93">
              <w:rPr>
                <w:szCs w:val="20"/>
                <w:vertAlign w:val="superscript"/>
              </w:rPr>
              <w:t>2</w:t>
            </w:r>
          </w:p>
        </w:tc>
        <w:tc>
          <w:tcPr>
            <w:tcW w:w="580" w:type="pct"/>
          </w:tcPr>
          <w:p w14:paraId="57B07796" w14:textId="4C76B11F" w:rsidR="00C0350E" w:rsidRPr="00B6186C" w:rsidRDefault="00C0350E" w:rsidP="00C0350E">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685B93">
              <w:rPr>
                <w:szCs w:val="20"/>
                <w:vertAlign w:val="superscript"/>
              </w:rPr>
              <w:t>2</w:t>
            </w:r>
          </w:p>
        </w:tc>
        <w:tc>
          <w:tcPr>
            <w:tcW w:w="580" w:type="pct"/>
          </w:tcPr>
          <w:p w14:paraId="27E89E52" w14:textId="4480E7DB" w:rsidR="00C0350E" w:rsidRPr="00B6186C" w:rsidRDefault="00FE3C93" w:rsidP="00C0350E">
            <w:pPr>
              <w:pStyle w:val="TableText0"/>
              <w:keepLines/>
              <w:jc w:val="right"/>
              <w:rPr>
                <w:szCs w:val="20"/>
                <w:highlight w:val="darkGray"/>
                <w:vertAlign w:val="superscript"/>
              </w:rPr>
            </w:pPr>
            <w:r w:rsidRPr="00FE3C93">
              <w:rPr>
                <w:sz w:val="2"/>
                <w:szCs w:val="20"/>
                <w:highlight w:val="black"/>
              </w:rPr>
              <w:t>redacted content</w:t>
            </w:r>
            <w:r w:rsidR="00685B93" w:rsidRPr="00B6186C">
              <w:rPr>
                <w:szCs w:val="20"/>
                <w:vertAlign w:val="superscript"/>
              </w:rPr>
              <w:t>2</w:t>
            </w:r>
          </w:p>
        </w:tc>
      </w:tr>
      <w:tr w:rsidR="00102DEC" w:rsidRPr="003C28CF" w14:paraId="5B9C6527" w14:textId="77777777" w:rsidTr="00C80047">
        <w:trPr>
          <w:cantSplit/>
          <w:jc w:val="center"/>
        </w:trPr>
        <w:tc>
          <w:tcPr>
            <w:tcW w:w="1521" w:type="pct"/>
            <w:vAlign w:val="center"/>
          </w:tcPr>
          <w:p w14:paraId="78836D44" w14:textId="5B3E0534" w:rsidR="00102DEC" w:rsidRPr="003C28CF" w:rsidRDefault="00102DEC" w:rsidP="00102DEC">
            <w:pPr>
              <w:pStyle w:val="TableText0"/>
              <w:keepLines/>
              <w:rPr>
                <w:b/>
                <w:bCs w:val="0"/>
                <w:szCs w:val="20"/>
              </w:rPr>
            </w:pPr>
            <w:r w:rsidRPr="003C28CF">
              <w:rPr>
                <w:b/>
                <w:bCs w:val="0"/>
                <w:szCs w:val="20"/>
              </w:rPr>
              <w:t>Net cost to PBS/RPBS/MBS</w:t>
            </w:r>
          </w:p>
        </w:tc>
        <w:tc>
          <w:tcPr>
            <w:tcW w:w="580" w:type="pct"/>
          </w:tcPr>
          <w:p w14:paraId="6503BB84" w14:textId="10795150" w:rsidR="00102DEC" w:rsidRPr="00B6186C" w:rsidRDefault="00102DEC" w:rsidP="00102DEC">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685B93">
              <w:rPr>
                <w:szCs w:val="20"/>
                <w:vertAlign w:val="superscript"/>
              </w:rPr>
              <w:t>2</w:t>
            </w:r>
          </w:p>
        </w:tc>
        <w:tc>
          <w:tcPr>
            <w:tcW w:w="580" w:type="pct"/>
          </w:tcPr>
          <w:p w14:paraId="5B3DB3DB" w14:textId="0CD3E279" w:rsidR="00102DEC" w:rsidRPr="00B6186C" w:rsidRDefault="00102DEC" w:rsidP="00102DEC">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685B93">
              <w:rPr>
                <w:szCs w:val="20"/>
                <w:vertAlign w:val="superscript"/>
              </w:rPr>
              <w:t>2</w:t>
            </w:r>
          </w:p>
        </w:tc>
        <w:tc>
          <w:tcPr>
            <w:tcW w:w="580" w:type="pct"/>
          </w:tcPr>
          <w:p w14:paraId="6929D0E4" w14:textId="258FF93C" w:rsidR="00102DEC" w:rsidRPr="00B6186C" w:rsidRDefault="00102DEC" w:rsidP="00102DEC">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685B93">
              <w:rPr>
                <w:szCs w:val="20"/>
                <w:vertAlign w:val="superscript"/>
              </w:rPr>
              <w:t>2</w:t>
            </w:r>
          </w:p>
        </w:tc>
        <w:tc>
          <w:tcPr>
            <w:tcW w:w="580" w:type="pct"/>
          </w:tcPr>
          <w:p w14:paraId="043FB018" w14:textId="3AE4742E" w:rsidR="00102DEC" w:rsidRPr="00B6186C" w:rsidRDefault="00102DEC" w:rsidP="00102DEC">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685B93">
              <w:rPr>
                <w:szCs w:val="20"/>
                <w:vertAlign w:val="superscript"/>
              </w:rPr>
              <w:t>2</w:t>
            </w:r>
          </w:p>
        </w:tc>
        <w:tc>
          <w:tcPr>
            <w:tcW w:w="580" w:type="pct"/>
          </w:tcPr>
          <w:p w14:paraId="1A534676" w14:textId="501548F5" w:rsidR="00102DEC" w:rsidRPr="00B6186C" w:rsidRDefault="00102DEC" w:rsidP="00102DEC">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685B93">
              <w:rPr>
                <w:szCs w:val="20"/>
                <w:vertAlign w:val="superscript"/>
              </w:rPr>
              <w:t>2</w:t>
            </w:r>
          </w:p>
        </w:tc>
        <w:tc>
          <w:tcPr>
            <w:tcW w:w="580" w:type="pct"/>
          </w:tcPr>
          <w:p w14:paraId="07C2EA1F" w14:textId="2823D45B" w:rsidR="00102DEC" w:rsidRPr="00B6186C" w:rsidRDefault="00102DEC" w:rsidP="00102DEC">
            <w:pPr>
              <w:pStyle w:val="TableText0"/>
              <w:keepLines/>
              <w:jc w:val="right"/>
              <w:rPr>
                <w:szCs w:val="20"/>
                <w:vertAlign w:val="superscript"/>
              </w:rPr>
            </w:pPr>
            <w:r w:rsidRPr="003C28CF">
              <w:rPr>
                <w:szCs w:val="20"/>
              </w:rPr>
              <w:t>$</w:t>
            </w:r>
            <w:r w:rsidR="00FE3C93" w:rsidRPr="00FE3C93">
              <w:rPr>
                <w:sz w:val="2"/>
                <w:szCs w:val="20"/>
                <w:highlight w:val="black"/>
              </w:rPr>
              <w:t>redacted content</w:t>
            </w:r>
            <w:r w:rsidR="00685B93">
              <w:rPr>
                <w:szCs w:val="20"/>
                <w:vertAlign w:val="superscript"/>
              </w:rPr>
              <w:t>2</w:t>
            </w:r>
          </w:p>
        </w:tc>
      </w:tr>
    </w:tbl>
    <w:p w14:paraId="0C566A53" w14:textId="2463B917" w:rsidR="000F7C27" w:rsidRDefault="00D70349" w:rsidP="00147520">
      <w:pPr>
        <w:pStyle w:val="TableFigureFooter"/>
        <w:keepNext/>
        <w:keepLines/>
        <w:spacing w:after="0"/>
        <w:jc w:val="left"/>
      </w:pPr>
      <w:r w:rsidRPr="00A6439B">
        <w:rPr>
          <w:vertAlign w:val="superscript"/>
        </w:rPr>
        <w:t>a</w:t>
      </w:r>
      <w:r w:rsidRPr="00A6439B">
        <w:t xml:space="preserve"> Assuming </w:t>
      </w:r>
      <w:r w:rsidR="00E557AF">
        <w:t>t</w:t>
      </w:r>
      <w:r w:rsidR="00E557AF" w:rsidRPr="00E557AF">
        <w:t>he number of scripts per patient per year based on the estimated mean treatment duration of 7.8 cycles (one initiation cycle and 6.8 continuation cycles) as provided in the submission.</w:t>
      </w:r>
    </w:p>
    <w:p w14:paraId="2E986593" w14:textId="4571E118" w:rsidR="00147520" w:rsidRDefault="0097007D" w:rsidP="00147520">
      <w:pPr>
        <w:pStyle w:val="3-BodyText"/>
        <w:numPr>
          <w:ilvl w:val="0"/>
          <w:numId w:val="0"/>
        </w:numPr>
        <w:spacing w:before="0" w:after="0"/>
        <w:ind w:left="720" w:hanging="720"/>
        <w:rPr>
          <w:rFonts w:ascii="Arial Narrow" w:eastAsia="Times New Roman" w:hAnsi="Arial Narrow" w:cs="Arial"/>
          <w:snapToGrid w:val="0"/>
          <w:sz w:val="18"/>
          <w:szCs w:val="18"/>
        </w:rPr>
      </w:pPr>
      <w:r w:rsidRPr="00F9508A">
        <w:rPr>
          <w:rFonts w:ascii="Arial Narrow" w:hAnsi="Arial Narrow"/>
          <w:sz w:val="18"/>
          <w:szCs w:val="18"/>
          <w:vertAlign w:val="superscript"/>
        </w:rPr>
        <w:t xml:space="preserve">b </w:t>
      </w:r>
      <w:r w:rsidR="00C4385C" w:rsidRPr="00F9508A">
        <w:rPr>
          <w:rFonts w:ascii="Arial Narrow" w:eastAsia="Times New Roman" w:hAnsi="Arial Narrow" w:cs="Arial"/>
          <w:snapToGrid w:val="0"/>
          <w:sz w:val="18"/>
          <w:szCs w:val="18"/>
        </w:rPr>
        <w:t xml:space="preserve">MBS administration costs are included for all patients, applied to 100% of CA Initiating patients and 46.9% of </w:t>
      </w:r>
      <w:r w:rsidR="00271679">
        <w:rPr>
          <w:rFonts w:ascii="Arial Narrow" w:eastAsia="Times New Roman" w:hAnsi="Arial Narrow" w:cs="Arial"/>
          <w:snapToGrid w:val="0"/>
          <w:sz w:val="18"/>
          <w:szCs w:val="18"/>
        </w:rPr>
        <w:t>g</w:t>
      </w:r>
      <w:r w:rsidR="00C4385C" w:rsidRPr="00F9508A">
        <w:rPr>
          <w:rFonts w:ascii="Arial Narrow" w:eastAsia="Times New Roman" w:hAnsi="Arial Narrow" w:cs="Arial"/>
          <w:snapToGrid w:val="0"/>
          <w:sz w:val="18"/>
          <w:szCs w:val="18"/>
        </w:rPr>
        <w:t xml:space="preserve">randfathered patients, </w:t>
      </w:r>
    </w:p>
    <w:p w14:paraId="5219F0C3" w14:textId="09FF9F8C" w:rsidR="0097007D" w:rsidRPr="00F9508A" w:rsidRDefault="00C4385C" w:rsidP="00147520">
      <w:pPr>
        <w:pStyle w:val="3-BodyText"/>
        <w:numPr>
          <w:ilvl w:val="0"/>
          <w:numId w:val="0"/>
        </w:numPr>
        <w:spacing w:before="0" w:after="0"/>
        <w:ind w:left="720" w:hanging="720"/>
        <w:rPr>
          <w:rFonts w:ascii="Arial Narrow" w:eastAsia="Times New Roman" w:hAnsi="Arial Narrow" w:cs="Arial"/>
          <w:snapToGrid w:val="0"/>
          <w:sz w:val="18"/>
          <w:szCs w:val="18"/>
        </w:rPr>
      </w:pPr>
      <w:r w:rsidRPr="00F9508A">
        <w:rPr>
          <w:rFonts w:ascii="Arial Narrow" w:eastAsia="Times New Roman" w:hAnsi="Arial Narrow" w:cs="Arial"/>
          <w:snapToGrid w:val="0"/>
          <w:sz w:val="18"/>
          <w:szCs w:val="18"/>
        </w:rPr>
        <w:t>with</w:t>
      </w:r>
      <w:r w:rsidR="00F9508A" w:rsidRPr="00F9508A">
        <w:rPr>
          <w:rFonts w:ascii="Arial Narrow" w:eastAsia="Times New Roman" w:hAnsi="Arial Narrow" w:cs="Arial"/>
          <w:snapToGrid w:val="0"/>
          <w:sz w:val="18"/>
          <w:szCs w:val="18"/>
        </w:rPr>
        <w:t xml:space="preserve"> </w:t>
      </w:r>
      <w:r w:rsidRPr="00F9508A">
        <w:rPr>
          <w:rFonts w:ascii="Arial Narrow" w:eastAsia="Times New Roman" w:hAnsi="Arial Narrow" w:cs="Arial"/>
          <w:snapToGrid w:val="0"/>
          <w:sz w:val="18"/>
          <w:szCs w:val="18"/>
        </w:rPr>
        <w:t>Porta-Cath installation and removal costed using MBS item 34528 ($317.80) and item 34530 ($238.20), respectively.</w:t>
      </w:r>
    </w:p>
    <w:p w14:paraId="42320224" w14:textId="6DB633CB" w:rsidR="00D70349" w:rsidRPr="00A6439B" w:rsidRDefault="00AB4684" w:rsidP="00147520">
      <w:pPr>
        <w:pStyle w:val="TableFigureFooter"/>
        <w:keepNext/>
        <w:keepLines/>
        <w:spacing w:after="0"/>
        <w:jc w:val="left"/>
      </w:pPr>
      <w:r w:rsidRPr="00A6439B">
        <w:t>Abbreviations: PBS = Pharmaceutical Benefits Scheme; RPBS = Repatriation Pharmaceutical Benefits Scheme.</w:t>
      </w:r>
    </w:p>
    <w:p w14:paraId="2383E293" w14:textId="77777777" w:rsidR="00C958E8" w:rsidRDefault="00D70349" w:rsidP="00C958E8">
      <w:pPr>
        <w:pStyle w:val="TableFigureFooter"/>
        <w:keepNext/>
        <w:keepLines/>
        <w:rPr>
          <w:rFonts w:cstheme="minorHAnsi"/>
          <w:bCs/>
          <w:i/>
          <w:iCs/>
          <w:szCs w:val="18"/>
        </w:rPr>
      </w:pPr>
      <w:r w:rsidRPr="00A6439B">
        <w:t xml:space="preserve">Source: </w:t>
      </w:r>
      <w:r w:rsidR="0033050D" w:rsidRPr="0033050D">
        <w:t>utilisation and cost model workbook</w:t>
      </w:r>
    </w:p>
    <w:p w14:paraId="74E52773" w14:textId="1E544FBE" w:rsidR="00C958E8" w:rsidRPr="00C958E8" w:rsidRDefault="00C958E8" w:rsidP="00C958E8">
      <w:pPr>
        <w:pStyle w:val="TableFigureFooter"/>
        <w:keepNext/>
        <w:keepLines/>
        <w:rPr>
          <w:bCs/>
          <w:i/>
          <w:iCs/>
        </w:rPr>
      </w:pPr>
      <w:r w:rsidRPr="00C958E8">
        <w:rPr>
          <w:bCs/>
          <w:i/>
          <w:iCs/>
        </w:rPr>
        <w:t xml:space="preserve">The redacted values correspond to the following ranges: </w:t>
      </w:r>
    </w:p>
    <w:p w14:paraId="162760C3" w14:textId="10C474B4" w:rsidR="00C958E8" w:rsidRPr="00A43E16" w:rsidRDefault="00C958E8" w:rsidP="00B6186C">
      <w:pPr>
        <w:pStyle w:val="TableFigureFooter"/>
        <w:keepNext/>
        <w:rPr>
          <w:bCs/>
          <w:i/>
        </w:rPr>
      </w:pPr>
      <w:r w:rsidRPr="00C958E8">
        <w:rPr>
          <w:i/>
          <w:vertAlign w:val="superscript"/>
        </w:rPr>
        <w:t>1</w:t>
      </w:r>
      <w:r w:rsidRPr="00C958E8">
        <w:rPr>
          <w:i/>
        </w:rPr>
        <w:t xml:space="preserve"> </w:t>
      </w:r>
      <w:r w:rsidR="00A43E16" w:rsidRPr="00A43E16">
        <w:rPr>
          <w:bCs/>
          <w:i/>
        </w:rPr>
        <w:t>&lt; 500</w:t>
      </w:r>
    </w:p>
    <w:p w14:paraId="6D21A960" w14:textId="0F8A1385" w:rsidR="00D70349" w:rsidRDefault="00C958E8" w:rsidP="00B6186C">
      <w:pPr>
        <w:pStyle w:val="TableFigureFooter"/>
        <w:keepNext/>
        <w:keepLines/>
        <w:rPr>
          <w:color w:val="FF0000"/>
        </w:rPr>
      </w:pPr>
      <w:r w:rsidRPr="00C958E8">
        <w:rPr>
          <w:i/>
          <w:vertAlign w:val="superscript"/>
        </w:rPr>
        <w:t>2</w:t>
      </w:r>
      <w:r w:rsidRPr="00C958E8">
        <w:rPr>
          <w:i/>
        </w:rPr>
        <w:t xml:space="preserve"> </w:t>
      </w:r>
      <w:r w:rsidR="00685B93" w:rsidRPr="00685B93">
        <w:rPr>
          <w:i/>
        </w:rPr>
        <w:t>$0 to &lt; $10 million</w:t>
      </w:r>
    </w:p>
    <w:p w14:paraId="53AE5A14" w14:textId="7087504A" w:rsidR="00F26D80" w:rsidRDefault="00831B88" w:rsidP="00F26D80">
      <w:pPr>
        <w:pStyle w:val="4-SubsectionHeading"/>
        <w:rPr>
          <w:b w:val="0"/>
          <w:bCs/>
          <w:i w:val="0"/>
          <w:iCs/>
          <w:color w:val="FF0000"/>
          <w:lang w:eastAsia="en-US"/>
        </w:rPr>
      </w:pPr>
      <w:r>
        <w:rPr>
          <w:lang w:eastAsia="en-US"/>
        </w:rPr>
        <w:t xml:space="preserve">Quality use of medicines </w:t>
      </w:r>
    </w:p>
    <w:p w14:paraId="1D1CFC3B" w14:textId="54201E80" w:rsidR="00566638" w:rsidRPr="00F37DDC" w:rsidRDefault="00F40FB1" w:rsidP="00D13455">
      <w:pPr>
        <w:pStyle w:val="3-BodyText"/>
        <w:rPr>
          <w:bCs/>
          <w:iCs/>
          <w:lang w:eastAsia="en-US"/>
        </w:rPr>
      </w:pPr>
      <w:bookmarkStart w:id="5" w:name="_Ref215737473"/>
      <w:r w:rsidRPr="00F37DDC">
        <w:rPr>
          <w:bCs/>
          <w:iCs/>
          <w:lang w:eastAsia="en-US"/>
        </w:rPr>
        <w:t>The correspondence from ANZAN</w:t>
      </w:r>
      <w:r w:rsidR="00CD301D">
        <w:rPr>
          <w:bCs/>
          <w:iCs/>
          <w:lang w:eastAsia="en-US"/>
        </w:rPr>
        <w:t xml:space="preserve"> (Attachment </w:t>
      </w:r>
      <w:r w:rsidR="00653F0D" w:rsidRPr="00653F0D">
        <w:rPr>
          <w:bCs/>
          <w:iCs/>
          <w:lang w:eastAsia="en-US"/>
        </w:rPr>
        <w:t>c</w:t>
      </w:r>
      <w:r w:rsidR="006803A1">
        <w:rPr>
          <w:bCs/>
          <w:iCs/>
          <w:lang w:eastAsia="en-US"/>
        </w:rPr>
        <w:t>(</w:t>
      </w:r>
      <w:proofErr w:type="spellStart"/>
      <w:r w:rsidR="00BB010A" w:rsidRPr="00BB010A">
        <w:rPr>
          <w:bCs/>
          <w:iCs/>
          <w:lang w:eastAsia="en-US"/>
        </w:rPr>
        <w:t>i</w:t>
      </w:r>
      <w:proofErr w:type="spellEnd"/>
      <w:r w:rsidR="006803A1">
        <w:rPr>
          <w:bCs/>
          <w:iCs/>
          <w:lang w:eastAsia="en-US"/>
        </w:rPr>
        <w:t>)</w:t>
      </w:r>
      <w:r w:rsidR="00CD301D">
        <w:rPr>
          <w:bCs/>
          <w:iCs/>
          <w:lang w:eastAsia="en-US"/>
        </w:rPr>
        <w:t>)</w:t>
      </w:r>
      <w:r w:rsidRPr="00F37DDC">
        <w:rPr>
          <w:bCs/>
          <w:iCs/>
          <w:lang w:eastAsia="en-US"/>
        </w:rPr>
        <w:t xml:space="preserve"> </w:t>
      </w:r>
      <w:r w:rsidR="00566638" w:rsidRPr="00F37DDC">
        <w:rPr>
          <w:bCs/>
          <w:iCs/>
          <w:lang w:eastAsia="en-US"/>
        </w:rPr>
        <w:t xml:space="preserve">stated its position was that </w:t>
      </w:r>
      <w:r w:rsidR="00E84F18" w:rsidRPr="00F37DDC">
        <w:rPr>
          <w:bCs/>
          <w:iCs/>
          <w:lang w:eastAsia="en-US"/>
        </w:rPr>
        <w:t>community</w:t>
      </w:r>
      <w:r w:rsidR="00566638" w:rsidRPr="00F37DDC">
        <w:rPr>
          <w:bCs/>
          <w:iCs/>
          <w:lang w:eastAsia="en-US"/>
        </w:rPr>
        <w:t xml:space="preserve">-based </w:t>
      </w:r>
      <w:r w:rsidR="00E84F18" w:rsidRPr="00F37DDC">
        <w:rPr>
          <w:bCs/>
          <w:iCs/>
          <w:lang w:eastAsia="en-US"/>
        </w:rPr>
        <w:t>initiation</w:t>
      </w:r>
      <w:r w:rsidR="00566638" w:rsidRPr="00F37DDC">
        <w:rPr>
          <w:bCs/>
          <w:iCs/>
          <w:lang w:eastAsia="en-US"/>
        </w:rPr>
        <w:t xml:space="preserve"> of </w:t>
      </w:r>
      <w:proofErr w:type="spellStart"/>
      <w:r w:rsidR="00566638" w:rsidRPr="00F37DDC">
        <w:rPr>
          <w:bCs/>
          <w:iCs/>
          <w:lang w:eastAsia="en-US"/>
        </w:rPr>
        <w:t>edaravone</w:t>
      </w:r>
      <w:proofErr w:type="spellEnd"/>
      <w:r w:rsidR="00566638" w:rsidRPr="00F37DDC">
        <w:rPr>
          <w:bCs/>
          <w:iCs/>
          <w:lang w:eastAsia="en-US"/>
        </w:rPr>
        <w:t xml:space="preserve"> </w:t>
      </w:r>
      <w:r w:rsidR="007B2B98">
        <w:rPr>
          <w:bCs/>
          <w:iCs/>
          <w:lang w:eastAsia="en-US"/>
        </w:rPr>
        <w:t>is</w:t>
      </w:r>
      <w:r w:rsidR="00566638" w:rsidRPr="00F37DDC">
        <w:rPr>
          <w:bCs/>
          <w:iCs/>
          <w:lang w:eastAsia="en-US"/>
        </w:rPr>
        <w:t xml:space="preserve"> appropriate when:</w:t>
      </w:r>
    </w:p>
    <w:p w14:paraId="75B0F5FE" w14:textId="3C3DB2BE" w:rsidR="00566638" w:rsidRPr="00C40EEF" w:rsidRDefault="00566638" w:rsidP="007B2B98">
      <w:pPr>
        <w:pStyle w:val="ListParagraph"/>
        <w:jc w:val="left"/>
        <w:rPr>
          <w:iCs/>
          <w:lang w:eastAsia="en-US"/>
        </w:rPr>
      </w:pPr>
      <w:r w:rsidRPr="00C40EEF">
        <w:rPr>
          <w:iCs/>
          <w:lang w:eastAsia="en-US"/>
        </w:rPr>
        <w:t xml:space="preserve">The </w:t>
      </w:r>
      <w:r w:rsidR="00E84F18" w:rsidRPr="00C40EEF">
        <w:rPr>
          <w:iCs/>
          <w:lang w:eastAsia="en-US"/>
        </w:rPr>
        <w:t>prescriber</w:t>
      </w:r>
      <w:r w:rsidRPr="00C40EEF">
        <w:rPr>
          <w:iCs/>
          <w:lang w:eastAsia="en-US"/>
        </w:rPr>
        <w:t xml:space="preserve"> is a </w:t>
      </w:r>
      <w:r w:rsidR="00E84F18" w:rsidRPr="00C40EEF">
        <w:rPr>
          <w:iCs/>
          <w:lang w:eastAsia="en-US"/>
        </w:rPr>
        <w:t>consultant</w:t>
      </w:r>
      <w:r w:rsidRPr="00C40EEF">
        <w:rPr>
          <w:iCs/>
          <w:lang w:eastAsia="en-US"/>
        </w:rPr>
        <w:t xml:space="preserve"> neurologist</w:t>
      </w:r>
    </w:p>
    <w:p w14:paraId="5F4E3943" w14:textId="7640584A" w:rsidR="00566638" w:rsidRPr="00C40EEF" w:rsidRDefault="00BA6D85" w:rsidP="007B2B98">
      <w:pPr>
        <w:pStyle w:val="ListParagraph"/>
        <w:jc w:val="left"/>
        <w:rPr>
          <w:lang w:eastAsia="en-US"/>
        </w:rPr>
      </w:pPr>
      <w:r>
        <w:rPr>
          <w:lang w:eastAsia="en-US"/>
        </w:rPr>
        <w:t>A</w:t>
      </w:r>
      <w:r w:rsidR="00566638" w:rsidRPr="00C40EEF">
        <w:rPr>
          <w:lang w:eastAsia="en-US"/>
        </w:rPr>
        <w:t xml:space="preserve"> standardised safety </w:t>
      </w:r>
      <w:r w:rsidR="00E84F18" w:rsidRPr="00C40EEF">
        <w:rPr>
          <w:lang w:eastAsia="en-US"/>
        </w:rPr>
        <w:t>protocol</w:t>
      </w:r>
      <w:r w:rsidR="00566638" w:rsidRPr="00C40EEF">
        <w:rPr>
          <w:lang w:eastAsia="en-US"/>
        </w:rPr>
        <w:t xml:space="preserve"> is followed </w:t>
      </w:r>
      <w:r w:rsidR="009563AA">
        <w:rPr>
          <w:lang w:eastAsia="en-US"/>
        </w:rPr>
        <w:t xml:space="preserve">to </w:t>
      </w:r>
      <w:r w:rsidR="00566638" w:rsidRPr="00C40EEF">
        <w:rPr>
          <w:lang w:eastAsia="en-US"/>
        </w:rPr>
        <w:t>manage</w:t>
      </w:r>
      <w:r>
        <w:rPr>
          <w:lang w:eastAsia="en-US"/>
        </w:rPr>
        <w:t xml:space="preserve"> </w:t>
      </w:r>
      <w:r w:rsidR="00E84F18" w:rsidRPr="00C40EEF">
        <w:rPr>
          <w:lang w:eastAsia="en-US"/>
        </w:rPr>
        <w:t>hypersensitivity</w:t>
      </w:r>
      <w:r w:rsidR="009563AA">
        <w:rPr>
          <w:lang w:eastAsia="en-US"/>
        </w:rPr>
        <w:t xml:space="preserve"> or </w:t>
      </w:r>
      <w:r w:rsidR="00566638" w:rsidRPr="00C40EEF">
        <w:rPr>
          <w:lang w:eastAsia="en-US"/>
        </w:rPr>
        <w:t>anaphyla</w:t>
      </w:r>
      <w:r w:rsidR="00E84F18" w:rsidRPr="00C40EEF">
        <w:rPr>
          <w:lang w:eastAsia="en-US"/>
        </w:rPr>
        <w:t>xis</w:t>
      </w:r>
      <w:r w:rsidR="00566638" w:rsidRPr="00C40EEF">
        <w:rPr>
          <w:lang w:eastAsia="en-US"/>
        </w:rPr>
        <w:t xml:space="preserve"> </w:t>
      </w:r>
      <w:r w:rsidR="00E84F18" w:rsidRPr="00C40EEF">
        <w:rPr>
          <w:lang w:eastAsia="en-US"/>
        </w:rPr>
        <w:t>i</w:t>
      </w:r>
      <w:r w:rsidR="00566638" w:rsidRPr="00C40EEF">
        <w:rPr>
          <w:lang w:eastAsia="en-US"/>
        </w:rPr>
        <w:t>f</w:t>
      </w:r>
      <w:r w:rsidR="00E84F18" w:rsidRPr="00C40EEF">
        <w:rPr>
          <w:lang w:eastAsia="en-US"/>
        </w:rPr>
        <w:t xml:space="preserve"> </w:t>
      </w:r>
      <w:r w:rsidR="00566638" w:rsidRPr="00C40EEF">
        <w:rPr>
          <w:lang w:eastAsia="en-US"/>
        </w:rPr>
        <w:t xml:space="preserve">it </w:t>
      </w:r>
      <w:r w:rsidR="00E84F18" w:rsidRPr="00C40EEF">
        <w:rPr>
          <w:lang w:eastAsia="en-US"/>
        </w:rPr>
        <w:t>occurs</w:t>
      </w:r>
    </w:p>
    <w:p w14:paraId="1C606E1E" w14:textId="0AF507A6" w:rsidR="00566638" w:rsidRPr="00D4104F" w:rsidRDefault="009563AA" w:rsidP="00D4104F">
      <w:pPr>
        <w:pStyle w:val="ListParagraph"/>
        <w:rPr>
          <w:iCs/>
          <w:lang w:eastAsia="en-US"/>
        </w:rPr>
      </w:pPr>
      <w:r>
        <w:rPr>
          <w:iCs/>
          <w:lang w:eastAsia="en-US"/>
        </w:rPr>
        <w:t>H</w:t>
      </w:r>
      <w:r w:rsidR="00566638" w:rsidRPr="00C40EEF">
        <w:rPr>
          <w:iCs/>
          <w:lang w:eastAsia="en-US"/>
        </w:rPr>
        <w:t xml:space="preserve">igh risk </w:t>
      </w:r>
      <w:r w:rsidR="00E84F18" w:rsidRPr="00C40EEF">
        <w:rPr>
          <w:iCs/>
          <w:lang w:eastAsia="en-US"/>
        </w:rPr>
        <w:t xml:space="preserve">individuals </w:t>
      </w:r>
      <w:r w:rsidR="00566638" w:rsidRPr="00C40EEF">
        <w:rPr>
          <w:iCs/>
          <w:lang w:eastAsia="en-US"/>
        </w:rPr>
        <w:t>(e.</w:t>
      </w:r>
      <w:r w:rsidR="00E84F18" w:rsidRPr="00C40EEF">
        <w:rPr>
          <w:iCs/>
          <w:lang w:eastAsia="en-US"/>
        </w:rPr>
        <w:t>g</w:t>
      </w:r>
      <w:r w:rsidR="00566638" w:rsidRPr="00C40EEF">
        <w:rPr>
          <w:iCs/>
          <w:lang w:eastAsia="en-US"/>
        </w:rPr>
        <w:t>.</w:t>
      </w:r>
      <w:r>
        <w:rPr>
          <w:iCs/>
          <w:lang w:eastAsia="en-US"/>
        </w:rPr>
        <w:t>,</w:t>
      </w:r>
      <w:r w:rsidR="00566638" w:rsidRPr="00C40EEF">
        <w:rPr>
          <w:iCs/>
          <w:lang w:eastAsia="en-US"/>
        </w:rPr>
        <w:t xml:space="preserve"> </w:t>
      </w:r>
      <w:r w:rsidR="00D4104F" w:rsidRPr="00D4104F">
        <w:rPr>
          <w:iCs/>
          <w:lang w:eastAsia="en-US"/>
        </w:rPr>
        <w:t xml:space="preserve">those with </w:t>
      </w:r>
      <w:r w:rsidR="00566638" w:rsidRPr="00D4104F">
        <w:rPr>
          <w:iCs/>
          <w:lang w:eastAsia="en-US"/>
        </w:rPr>
        <w:t xml:space="preserve">significant asthma) are </w:t>
      </w:r>
      <w:r w:rsidR="00E84F18" w:rsidRPr="00D4104F">
        <w:rPr>
          <w:iCs/>
          <w:lang w:eastAsia="en-US"/>
        </w:rPr>
        <w:t>initiated</w:t>
      </w:r>
      <w:r w:rsidR="00566638" w:rsidRPr="00D4104F">
        <w:rPr>
          <w:iCs/>
          <w:lang w:eastAsia="en-US"/>
        </w:rPr>
        <w:t xml:space="preserve"> in </w:t>
      </w:r>
      <w:r w:rsidR="00D4104F">
        <w:rPr>
          <w:iCs/>
          <w:lang w:eastAsia="en-US"/>
        </w:rPr>
        <w:t xml:space="preserve">a </w:t>
      </w:r>
      <w:r w:rsidR="00566638" w:rsidRPr="00D4104F">
        <w:rPr>
          <w:iCs/>
          <w:lang w:eastAsia="en-US"/>
        </w:rPr>
        <w:t>hospital</w:t>
      </w:r>
      <w:r w:rsidR="00D4104F">
        <w:rPr>
          <w:iCs/>
          <w:lang w:eastAsia="en-US"/>
        </w:rPr>
        <w:t xml:space="preserve"> setting</w:t>
      </w:r>
    </w:p>
    <w:p w14:paraId="28A5DE46" w14:textId="55D47917" w:rsidR="00D13455" w:rsidRPr="00430AE5" w:rsidRDefault="00566638" w:rsidP="00D13455">
      <w:pPr>
        <w:pStyle w:val="3-BodyText"/>
        <w:rPr>
          <w:bCs/>
          <w:iCs/>
          <w:lang w:eastAsia="en-US"/>
        </w:rPr>
      </w:pPr>
      <w:bookmarkStart w:id="6" w:name="_Ref216444178"/>
      <w:r w:rsidRPr="00F37DDC">
        <w:rPr>
          <w:bCs/>
          <w:iCs/>
          <w:lang w:eastAsia="en-US"/>
        </w:rPr>
        <w:t xml:space="preserve">ANZAN </w:t>
      </w:r>
      <w:r w:rsidR="00F40FB1" w:rsidRPr="00F37DDC">
        <w:rPr>
          <w:bCs/>
          <w:iCs/>
          <w:lang w:eastAsia="en-US"/>
        </w:rPr>
        <w:t xml:space="preserve">emphasised that community-based initiation of </w:t>
      </w:r>
      <w:proofErr w:type="spellStart"/>
      <w:r w:rsidR="00F40FB1" w:rsidRPr="00F37DDC">
        <w:rPr>
          <w:bCs/>
          <w:iCs/>
          <w:lang w:eastAsia="en-US"/>
        </w:rPr>
        <w:t>edaravone</w:t>
      </w:r>
      <w:proofErr w:type="spellEnd"/>
      <w:r w:rsidR="00F40FB1" w:rsidRPr="00F37DDC">
        <w:rPr>
          <w:bCs/>
          <w:iCs/>
          <w:lang w:eastAsia="en-US"/>
        </w:rPr>
        <w:t xml:space="preserve"> should be managed under structured protocols to ensure safe and effective administration. ANZAN noted rare but significant </w:t>
      </w:r>
      <w:r w:rsidR="00335055" w:rsidRPr="00F37DDC">
        <w:rPr>
          <w:bCs/>
          <w:iCs/>
          <w:lang w:eastAsia="en-US"/>
        </w:rPr>
        <w:t xml:space="preserve">safety </w:t>
      </w:r>
      <w:r w:rsidR="00F40FB1" w:rsidRPr="00F37DDC">
        <w:rPr>
          <w:bCs/>
          <w:iCs/>
          <w:lang w:eastAsia="en-US"/>
        </w:rPr>
        <w:t xml:space="preserve">risks, primarily hypersensitivity and allergic-type reactions related to </w:t>
      </w:r>
      <w:proofErr w:type="spellStart"/>
      <w:r w:rsidR="00F40FB1" w:rsidRPr="00F37DDC">
        <w:rPr>
          <w:bCs/>
          <w:iCs/>
          <w:lang w:eastAsia="en-US"/>
        </w:rPr>
        <w:t>sulfite</w:t>
      </w:r>
      <w:proofErr w:type="spellEnd"/>
      <w:r w:rsidR="00F40FB1" w:rsidRPr="00F37DDC">
        <w:rPr>
          <w:bCs/>
          <w:iCs/>
          <w:lang w:eastAsia="en-US"/>
        </w:rPr>
        <w:t xml:space="preserve">, including anaphylaxis and life-threatening or less severe asthmatic episodes in susceptible individuals. Key QUM considerations include appropriate screening for asthma, allergy history, and </w:t>
      </w:r>
      <w:proofErr w:type="spellStart"/>
      <w:r w:rsidR="00F40FB1" w:rsidRPr="00F37DDC">
        <w:rPr>
          <w:bCs/>
          <w:iCs/>
          <w:lang w:eastAsia="en-US"/>
        </w:rPr>
        <w:t>sulfite</w:t>
      </w:r>
      <w:proofErr w:type="spellEnd"/>
      <w:r w:rsidR="00F40FB1" w:rsidRPr="00F37DDC">
        <w:rPr>
          <w:bCs/>
          <w:iCs/>
          <w:lang w:eastAsia="en-US"/>
        </w:rPr>
        <w:t xml:space="preserve"> sensitivity, as well as </w:t>
      </w:r>
      <w:r w:rsidR="00F40FB1" w:rsidRPr="00F37DDC">
        <w:rPr>
          <w:bCs/>
          <w:iCs/>
          <w:lang w:eastAsia="en-US"/>
        </w:rPr>
        <w:lastRenderedPageBreak/>
        <w:t>infusion safety, monitoring, and emergency preparedness.</w:t>
      </w:r>
      <w:bookmarkEnd w:id="5"/>
      <w:bookmarkEnd w:id="6"/>
      <w:r w:rsidR="00D15466">
        <w:rPr>
          <w:bCs/>
          <w:iCs/>
          <w:lang w:eastAsia="en-US"/>
        </w:rPr>
        <w:t xml:space="preserve"> </w:t>
      </w:r>
      <w:r w:rsidR="00D15466" w:rsidRPr="00430AE5">
        <w:rPr>
          <w:bCs/>
          <w:iCs/>
          <w:lang w:eastAsia="en-US"/>
        </w:rPr>
        <w:t>The evaluation has proposed a caution to be applied to the listing highlighting the risk of hypersensitivity and anaphylaxis and referring clinicians to consider the Product Information to address this.</w:t>
      </w:r>
    </w:p>
    <w:p w14:paraId="0807FD0D" w14:textId="2CAE7FA2" w:rsidR="00831B88" w:rsidRPr="007C07EA" w:rsidRDefault="007C07EA" w:rsidP="00D13455">
      <w:pPr>
        <w:pStyle w:val="3-BodyText"/>
        <w:rPr>
          <w:bCs/>
          <w:i/>
          <w:lang w:eastAsia="en-US"/>
        </w:rPr>
      </w:pPr>
      <w:r w:rsidRPr="00F37DDC">
        <w:rPr>
          <w:bCs/>
          <w:iCs/>
          <w:lang w:eastAsia="en-US"/>
        </w:rPr>
        <w:t>ANZAN recommended implementing measures such as clear eligibility criteria, standardised infusion procedures, administration by trained nurses, and monitoring and emergency response plans. These safeguards are intended to mitigate potential risks in community settings and support timely access to treatment for eligible patients</w:t>
      </w:r>
      <w:r w:rsidRPr="007C07EA">
        <w:rPr>
          <w:bCs/>
          <w:i/>
          <w:lang w:eastAsia="en-US"/>
        </w:rPr>
        <w:t>.</w:t>
      </w:r>
    </w:p>
    <w:p w14:paraId="6633DD86" w14:textId="5A6DC516" w:rsidR="00544AC9" w:rsidRDefault="00D72069" w:rsidP="00D72069">
      <w:pPr>
        <w:pStyle w:val="2-SectionHeading"/>
      </w:pPr>
      <w:r w:rsidRPr="00D72069">
        <w:t>PBAC</w:t>
      </w:r>
      <w:r w:rsidR="00544AC9">
        <w:t xml:space="preserve"> outcome</w:t>
      </w:r>
    </w:p>
    <w:p w14:paraId="5FB01F20" w14:textId="7EAE8C1D" w:rsidR="003E11F0" w:rsidRPr="00CD2B90" w:rsidRDefault="005A635F" w:rsidP="00CD2B90">
      <w:pPr>
        <w:pStyle w:val="3-BodyText"/>
      </w:pPr>
      <w:r w:rsidRPr="00C04D60">
        <w:rPr>
          <w:snapToGrid w:val="0"/>
        </w:rPr>
        <w:t>The PBAC r</w:t>
      </w:r>
      <w:r w:rsidR="00705A2F" w:rsidRPr="00C04D60">
        <w:rPr>
          <w:snapToGrid w:val="0"/>
        </w:rPr>
        <w:t>ecommend</w:t>
      </w:r>
      <w:r w:rsidR="006524E8">
        <w:rPr>
          <w:snapToGrid w:val="0"/>
        </w:rPr>
        <w:t>ed</w:t>
      </w:r>
      <w:r w:rsidR="00705A2F" w:rsidRPr="00C04D60">
        <w:rPr>
          <w:snapToGrid w:val="0"/>
        </w:rPr>
        <w:t xml:space="preserve"> </w:t>
      </w:r>
      <w:r w:rsidR="00227033" w:rsidRPr="00227033">
        <w:rPr>
          <w:snapToGrid w:val="0"/>
        </w:rPr>
        <w:t>amending</w:t>
      </w:r>
      <w:r w:rsidR="00227033">
        <w:rPr>
          <w:snapToGrid w:val="0"/>
        </w:rPr>
        <w:t xml:space="preserve"> </w:t>
      </w:r>
      <w:r w:rsidR="00C04D60" w:rsidRPr="00227033">
        <w:rPr>
          <w:snapToGrid w:val="0"/>
        </w:rPr>
        <w:t xml:space="preserve">the </w:t>
      </w:r>
      <w:r w:rsidR="00884142" w:rsidRPr="00227033">
        <w:rPr>
          <w:snapToGrid w:val="0"/>
        </w:rPr>
        <w:t xml:space="preserve">Section 100 (Highly Specialised Drug Program (HSD)) Authority Required (telephone/online PBS Authorities system) listings of </w:t>
      </w:r>
      <w:proofErr w:type="spellStart"/>
      <w:r w:rsidR="00884142" w:rsidRPr="00227033">
        <w:rPr>
          <w:snapToGrid w:val="0"/>
        </w:rPr>
        <w:t>edaravone</w:t>
      </w:r>
      <w:proofErr w:type="spellEnd"/>
      <w:r w:rsidR="00884142" w:rsidRPr="00227033">
        <w:rPr>
          <w:snapToGrid w:val="0"/>
        </w:rPr>
        <w:t xml:space="preserve"> for the treatment of amyotrophic lateral sclerosis (ALS) by adding a Section 100 HSD Community Access (CA) listing for initial treatment</w:t>
      </w:r>
      <w:r w:rsidR="004971C4">
        <w:rPr>
          <w:snapToGrid w:val="0"/>
        </w:rPr>
        <w:t xml:space="preserve"> to </w:t>
      </w:r>
      <w:r w:rsidR="0072466F" w:rsidRPr="0072466F">
        <w:rPr>
          <w:snapToGrid w:val="0"/>
        </w:rPr>
        <w:t>enabl</w:t>
      </w:r>
      <w:r w:rsidR="00256EE6">
        <w:rPr>
          <w:snapToGrid w:val="0"/>
        </w:rPr>
        <w:t>e</w:t>
      </w:r>
      <w:r w:rsidR="0072466F">
        <w:rPr>
          <w:snapToGrid w:val="0"/>
        </w:rPr>
        <w:t xml:space="preserve"> </w:t>
      </w:r>
      <w:r w:rsidR="00884142" w:rsidRPr="0072466F">
        <w:rPr>
          <w:snapToGrid w:val="0"/>
        </w:rPr>
        <w:t xml:space="preserve">community-based neurologists to </w:t>
      </w:r>
      <w:r w:rsidR="00256EE6" w:rsidRPr="003E11F0">
        <w:rPr>
          <w:snapToGrid w:val="0"/>
        </w:rPr>
        <w:t>initiate</w:t>
      </w:r>
      <w:r w:rsidR="00256EE6" w:rsidRPr="0072466F" w:rsidDel="00256EE6">
        <w:rPr>
          <w:snapToGrid w:val="0"/>
        </w:rPr>
        <w:t xml:space="preserve"> </w:t>
      </w:r>
      <w:proofErr w:type="spellStart"/>
      <w:r w:rsidR="008C682E" w:rsidRPr="0072466F">
        <w:rPr>
          <w:snapToGrid w:val="0"/>
        </w:rPr>
        <w:t>edaravone</w:t>
      </w:r>
      <w:proofErr w:type="spellEnd"/>
      <w:r w:rsidR="00FC5B71" w:rsidRPr="0072466F">
        <w:rPr>
          <w:snapToGrid w:val="0"/>
        </w:rPr>
        <w:t xml:space="preserve"> therapy</w:t>
      </w:r>
      <w:r w:rsidR="003340E7" w:rsidRPr="0072466F">
        <w:rPr>
          <w:snapToGrid w:val="0"/>
        </w:rPr>
        <w:t xml:space="preserve">. </w:t>
      </w:r>
    </w:p>
    <w:p w14:paraId="71949BC2" w14:textId="65D3F89D" w:rsidR="003E11F0" w:rsidRPr="00CD2B90" w:rsidRDefault="008E5D11" w:rsidP="00CD2B90">
      <w:pPr>
        <w:pStyle w:val="3-BodyText"/>
        <w:rPr>
          <w:snapToGrid w:val="0"/>
        </w:rPr>
      </w:pPr>
      <w:r w:rsidRPr="008E5D11">
        <w:rPr>
          <w:snapToGrid w:val="0"/>
        </w:rPr>
        <w:t xml:space="preserve">The PBAC considered that allowing CA initiation would provide greater flexibility for patients and ensure equitable, timely access to treatment through both community and hospital settings, particularly for those in rural and remote areas. </w:t>
      </w:r>
    </w:p>
    <w:p w14:paraId="6B42CFAA" w14:textId="50275FA7" w:rsidR="003E11F0" w:rsidRPr="00CD2B90" w:rsidRDefault="008E5D11" w:rsidP="00CD2B90">
      <w:pPr>
        <w:pStyle w:val="3-BodyText"/>
      </w:pPr>
      <w:r w:rsidRPr="008E5D11">
        <w:rPr>
          <w:snapToGrid w:val="0"/>
        </w:rPr>
        <w:t xml:space="preserve">In recommending this change, the PBAC advised that the existing Section 100 HSD Public and Private </w:t>
      </w:r>
      <w:r w:rsidR="005D1E40">
        <w:rPr>
          <w:snapToGrid w:val="0"/>
        </w:rPr>
        <w:t>h</w:t>
      </w:r>
      <w:r w:rsidRPr="008E5D11">
        <w:rPr>
          <w:snapToGrid w:val="0"/>
        </w:rPr>
        <w:t>ospital listings should be removed to avoid multiple PBS item codes, as the CA listing will allow access in hospital settings.</w:t>
      </w:r>
    </w:p>
    <w:p w14:paraId="589B64B5" w14:textId="5591F382" w:rsidR="00C20B77" w:rsidRPr="00632DB1" w:rsidRDefault="003D6C9E" w:rsidP="00F81ADB">
      <w:pPr>
        <w:pStyle w:val="3-BodyText"/>
        <w:rPr>
          <w:snapToGrid w:val="0"/>
        </w:rPr>
      </w:pPr>
      <w:r>
        <w:rPr>
          <w:snapToGrid w:val="0"/>
        </w:rPr>
        <w:t xml:space="preserve">The PBAC noted </w:t>
      </w:r>
      <w:r w:rsidR="005670E0">
        <w:rPr>
          <w:snapToGrid w:val="0"/>
        </w:rPr>
        <w:t xml:space="preserve">advice from </w:t>
      </w:r>
      <w:r w:rsidR="008831B1" w:rsidRPr="008831B1">
        <w:rPr>
          <w:snapToGrid w:val="0"/>
        </w:rPr>
        <w:t>the Australian and New Zealand Association of Neurologists (ANZAN)</w:t>
      </w:r>
      <w:r w:rsidR="00E12DDE">
        <w:rPr>
          <w:snapToGrid w:val="0"/>
        </w:rPr>
        <w:t xml:space="preserve"> </w:t>
      </w:r>
      <w:r w:rsidR="00321FA7">
        <w:rPr>
          <w:snapToGrid w:val="0"/>
        </w:rPr>
        <w:t>regarding</w:t>
      </w:r>
      <w:r w:rsidR="00E12DDE">
        <w:rPr>
          <w:snapToGrid w:val="0"/>
        </w:rPr>
        <w:t xml:space="preserve"> </w:t>
      </w:r>
      <w:r w:rsidR="00E12DDE" w:rsidRPr="00E12DDE">
        <w:rPr>
          <w:snapToGrid w:val="0"/>
        </w:rPr>
        <w:t xml:space="preserve">rare but </w:t>
      </w:r>
      <w:r w:rsidR="00437668" w:rsidRPr="00437668">
        <w:rPr>
          <w:snapToGrid w:val="0"/>
        </w:rPr>
        <w:t xml:space="preserve">clinically </w:t>
      </w:r>
      <w:r w:rsidR="00E12DDE" w:rsidRPr="00E12DDE">
        <w:rPr>
          <w:snapToGrid w:val="0"/>
        </w:rPr>
        <w:t>significant safety risks</w:t>
      </w:r>
      <w:r w:rsidR="00E12DDE">
        <w:rPr>
          <w:snapToGrid w:val="0"/>
        </w:rPr>
        <w:t xml:space="preserve"> </w:t>
      </w:r>
      <w:r w:rsidR="00632DB1" w:rsidRPr="00632DB1">
        <w:rPr>
          <w:snapToGrid w:val="0"/>
        </w:rPr>
        <w:t>associated with</w:t>
      </w:r>
      <w:r w:rsidR="00632DB1">
        <w:rPr>
          <w:snapToGrid w:val="0"/>
        </w:rPr>
        <w:t xml:space="preserve"> </w:t>
      </w:r>
      <w:proofErr w:type="spellStart"/>
      <w:r w:rsidR="00E12DDE" w:rsidRPr="00632DB1">
        <w:rPr>
          <w:snapToGrid w:val="0"/>
        </w:rPr>
        <w:t>edaravone</w:t>
      </w:r>
      <w:proofErr w:type="spellEnd"/>
      <w:r w:rsidR="00E12DDE" w:rsidRPr="00632DB1">
        <w:rPr>
          <w:snapToGrid w:val="0"/>
        </w:rPr>
        <w:t>, primarily hypersensitivity and allergic-type reactions</w:t>
      </w:r>
      <w:r w:rsidR="005277CA">
        <w:rPr>
          <w:snapToGrid w:val="0"/>
        </w:rPr>
        <w:t xml:space="preserve"> </w:t>
      </w:r>
      <w:r w:rsidR="005277CA" w:rsidRPr="005277CA">
        <w:rPr>
          <w:snapToGrid w:val="0"/>
        </w:rPr>
        <w:t xml:space="preserve">related to </w:t>
      </w:r>
      <w:proofErr w:type="spellStart"/>
      <w:r w:rsidR="005277CA" w:rsidRPr="005277CA">
        <w:rPr>
          <w:snapToGrid w:val="0"/>
        </w:rPr>
        <w:t>sulfite</w:t>
      </w:r>
      <w:proofErr w:type="spellEnd"/>
      <w:r w:rsidR="00E12DDE" w:rsidRPr="00632DB1">
        <w:rPr>
          <w:snapToGrid w:val="0"/>
        </w:rPr>
        <w:t>, including anaphylaxis and severe asthmatic episodes in susceptible individuals</w:t>
      </w:r>
      <w:r w:rsidR="00CE4A91" w:rsidRPr="00632DB1">
        <w:rPr>
          <w:snapToGrid w:val="0"/>
        </w:rPr>
        <w:t xml:space="preserve">. </w:t>
      </w:r>
      <w:r w:rsidR="00E6695F" w:rsidRPr="00E6695F">
        <w:rPr>
          <w:snapToGrid w:val="0"/>
        </w:rPr>
        <w:t xml:space="preserve">The PBAC considered it appropriate to include a caution in the listing to </w:t>
      </w:r>
      <w:r w:rsidR="1CAA98FE" w:rsidRPr="00E6695F">
        <w:rPr>
          <w:snapToGrid w:val="0"/>
        </w:rPr>
        <w:t>highlight these risks particularly in the context of administration outside the hospital setting</w:t>
      </w:r>
      <w:r w:rsidR="00E6695F" w:rsidRPr="00E6695F">
        <w:rPr>
          <w:snapToGrid w:val="0"/>
        </w:rPr>
        <w:t>:</w:t>
      </w:r>
    </w:p>
    <w:p w14:paraId="0F1ACE9E" w14:textId="42BA82F4" w:rsidR="00705A2F" w:rsidRPr="009840CA" w:rsidRDefault="00133E1F" w:rsidP="002075F9">
      <w:pPr>
        <w:pStyle w:val="3-BodyText"/>
        <w:numPr>
          <w:ilvl w:val="0"/>
          <w:numId w:val="0"/>
        </w:numPr>
        <w:ind w:left="720"/>
        <w:rPr>
          <w:snapToGrid w:val="0"/>
        </w:rPr>
      </w:pPr>
      <w:r w:rsidRPr="009840CA">
        <w:rPr>
          <w:snapToGrid w:val="0"/>
        </w:rPr>
        <w:t>“</w:t>
      </w:r>
      <w:r w:rsidR="00363632" w:rsidRPr="00363632">
        <w:rPr>
          <w:snapToGrid w:val="0"/>
        </w:rPr>
        <w:t xml:space="preserve">Hypersensitivity reactions and cases of anaphylaxis have been reported following the administration of </w:t>
      </w:r>
      <w:proofErr w:type="spellStart"/>
      <w:r w:rsidR="00363632" w:rsidRPr="00363632">
        <w:rPr>
          <w:snapToGrid w:val="0"/>
        </w:rPr>
        <w:t>edaravone</w:t>
      </w:r>
      <w:proofErr w:type="spellEnd"/>
      <w:r w:rsidR="00363632" w:rsidRPr="00363632">
        <w:rPr>
          <w:snapToGrid w:val="0"/>
        </w:rPr>
        <w:t>. Patients should be monitored carefully for hypersensitivity reactions following administration. For more information on administration schedule, refer to the approved Therapeutic Goods Administration product Information</w:t>
      </w:r>
      <w:r w:rsidR="005F1229">
        <w:rPr>
          <w:snapToGrid w:val="0"/>
        </w:rPr>
        <w:t>.</w:t>
      </w:r>
      <w:r w:rsidR="00363632">
        <w:rPr>
          <w:snapToGrid w:val="0"/>
        </w:rPr>
        <w:t>”</w:t>
      </w:r>
    </w:p>
    <w:p w14:paraId="77138716" w14:textId="000F5CF1" w:rsidR="00125FC3" w:rsidRDefault="009F629A" w:rsidP="009E49B7">
      <w:pPr>
        <w:pStyle w:val="3-BodyText"/>
        <w:rPr>
          <w:snapToGrid w:val="0"/>
        </w:rPr>
      </w:pPr>
      <w:r w:rsidRPr="009F629A">
        <w:rPr>
          <w:snapToGrid w:val="0"/>
        </w:rPr>
        <w:t xml:space="preserve">The PBAC acknowledged concerns raised in the pre-PBAC response that current restrictions may </w:t>
      </w:r>
      <w:r w:rsidR="65428994" w:rsidRPr="009F629A">
        <w:rPr>
          <w:snapToGrid w:val="0"/>
        </w:rPr>
        <w:t xml:space="preserve">be perceived to </w:t>
      </w:r>
      <w:r w:rsidRPr="009F629A">
        <w:rPr>
          <w:snapToGrid w:val="0"/>
        </w:rPr>
        <w:t xml:space="preserve">prevent patients who initiated </w:t>
      </w:r>
      <w:proofErr w:type="spellStart"/>
      <w:r w:rsidRPr="009F629A">
        <w:rPr>
          <w:snapToGrid w:val="0"/>
        </w:rPr>
        <w:t>edaravone</w:t>
      </w:r>
      <w:proofErr w:type="spellEnd"/>
      <w:r w:rsidRPr="009F629A">
        <w:rPr>
          <w:snapToGrid w:val="0"/>
        </w:rPr>
        <w:t xml:space="preserve"> treatment privately from transitioning to PBS-subsidised therapy. </w:t>
      </w:r>
      <w:r w:rsidR="4EF2E956" w:rsidRPr="009F629A">
        <w:rPr>
          <w:snapToGrid w:val="0"/>
        </w:rPr>
        <w:t xml:space="preserve">The PBAC noted these </w:t>
      </w:r>
      <w:r w:rsidR="001C4FCA" w:rsidRPr="009F629A">
        <w:rPr>
          <w:snapToGrid w:val="0"/>
        </w:rPr>
        <w:t>patients</w:t>
      </w:r>
      <w:r w:rsidR="4EF2E956" w:rsidRPr="009F629A">
        <w:rPr>
          <w:snapToGrid w:val="0"/>
        </w:rPr>
        <w:t xml:space="preserve"> were intended to be permitted to transition to PBS-subsidised therapy under the existing restrictions. </w:t>
      </w:r>
      <w:r w:rsidR="00C11A5D">
        <w:rPr>
          <w:snapToGrid w:val="0"/>
        </w:rPr>
        <w:t>While t</w:t>
      </w:r>
      <w:r w:rsidRPr="009F629A">
        <w:rPr>
          <w:snapToGrid w:val="0"/>
        </w:rPr>
        <w:t xml:space="preserve">he PBAC did not </w:t>
      </w:r>
      <w:r w:rsidR="005D0E84">
        <w:rPr>
          <w:snapToGrid w:val="0"/>
        </w:rPr>
        <w:t>consider</w:t>
      </w:r>
      <w:r w:rsidRPr="009F629A">
        <w:rPr>
          <w:snapToGrid w:val="0"/>
        </w:rPr>
        <w:t xml:space="preserve"> a separate grandfathering listing necessary,</w:t>
      </w:r>
      <w:r w:rsidR="00653CB4">
        <w:rPr>
          <w:snapToGrid w:val="0"/>
        </w:rPr>
        <w:t xml:space="preserve"> </w:t>
      </w:r>
      <w:r w:rsidR="00653CB4" w:rsidRPr="00653CB4">
        <w:rPr>
          <w:snapToGrid w:val="0"/>
        </w:rPr>
        <w:t xml:space="preserve">it agreed that clarifying the intended criteria </w:t>
      </w:r>
      <w:proofErr w:type="gramStart"/>
      <w:r w:rsidR="00653CB4" w:rsidRPr="00653CB4">
        <w:rPr>
          <w:snapToGrid w:val="0"/>
        </w:rPr>
        <w:t>would</w:t>
      </w:r>
      <w:proofErr w:type="gramEnd"/>
      <w:r w:rsidR="00653CB4" w:rsidRPr="00653CB4">
        <w:rPr>
          <w:snapToGrid w:val="0"/>
        </w:rPr>
        <w:t xml:space="preserve"> ensure these patients </w:t>
      </w:r>
      <w:r w:rsidR="00653CB4" w:rsidRPr="00653CB4">
        <w:rPr>
          <w:snapToGrid w:val="0"/>
        </w:rPr>
        <w:lastRenderedPageBreak/>
        <w:t>are not disadvantaged if they meet eligibility requirements.</w:t>
      </w:r>
      <w:r w:rsidR="00125FC3">
        <w:t xml:space="preserve"> </w:t>
      </w:r>
      <w:r w:rsidRPr="009F629A">
        <w:rPr>
          <w:snapToGrid w:val="0"/>
        </w:rPr>
        <w:t xml:space="preserve">Accordingly, the PBAC </w:t>
      </w:r>
      <w:r w:rsidR="009C4296">
        <w:rPr>
          <w:snapToGrid w:val="0"/>
        </w:rPr>
        <w:t xml:space="preserve">advised </w:t>
      </w:r>
      <w:r w:rsidRPr="009F629A">
        <w:rPr>
          <w:snapToGrid w:val="0"/>
        </w:rPr>
        <w:t xml:space="preserve">amending the initial treatment criterion </w:t>
      </w:r>
      <w:r w:rsidR="001C550B">
        <w:rPr>
          <w:snapToGrid w:val="0"/>
        </w:rPr>
        <w:t>from “</w:t>
      </w:r>
      <w:r w:rsidR="001C550B" w:rsidRPr="000D75FC">
        <w:rPr>
          <w:snapToGrid w:val="0"/>
        </w:rPr>
        <w:t xml:space="preserve">Patient must not require assistance with eating or ambulation’ to </w:t>
      </w:r>
      <w:r w:rsidR="001C550B">
        <w:rPr>
          <w:snapToGrid w:val="0"/>
        </w:rPr>
        <w:t>“</w:t>
      </w:r>
      <w:r w:rsidR="001C550B" w:rsidRPr="000D75FC">
        <w:rPr>
          <w:snapToGrid w:val="0"/>
        </w:rPr>
        <w:t>Patient must not require assistance with eating or ambulation prior to commencing treatment with this drug</w:t>
      </w:r>
      <w:r w:rsidR="001C550B">
        <w:rPr>
          <w:snapToGrid w:val="0"/>
        </w:rPr>
        <w:t>”.</w:t>
      </w:r>
    </w:p>
    <w:p w14:paraId="1305BE1C" w14:textId="493DDE0F" w:rsidR="00705A2F" w:rsidRPr="00125FC3" w:rsidRDefault="00651DFD" w:rsidP="00125FC3">
      <w:pPr>
        <w:pStyle w:val="3-BodyText"/>
      </w:pPr>
      <w:r w:rsidRPr="00651DFD">
        <w:rPr>
          <w:snapToGrid w:val="0"/>
        </w:rPr>
        <w:t xml:space="preserve">The PBAC also advised including administrative </w:t>
      </w:r>
      <w:r>
        <w:rPr>
          <w:snapToGrid w:val="0"/>
        </w:rPr>
        <w:t>advice</w:t>
      </w:r>
      <w:r w:rsidRPr="00651DFD">
        <w:rPr>
          <w:snapToGrid w:val="0"/>
        </w:rPr>
        <w:t xml:space="preserve"> </w:t>
      </w:r>
      <w:r w:rsidR="00D20C3C" w:rsidRPr="00D20C3C">
        <w:rPr>
          <w:snapToGrid w:val="0"/>
        </w:rPr>
        <w:t xml:space="preserve">and prescribing instruction </w:t>
      </w:r>
      <w:r w:rsidRPr="00651DFD">
        <w:rPr>
          <w:snapToGrid w:val="0"/>
        </w:rPr>
        <w:t xml:space="preserve">to confirm that patients who accessed private supply (i.e., grandfathered patients) and met the eligibility criteria at the time of initiation may transition to PBS therapy. These patients may receive their first PBS supply under the initial treatment restriction and continue therapy under the continuing treatment restriction, provided they meet ongoing eligibility requirements. </w:t>
      </w:r>
      <w:bookmarkStart w:id="7" w:name="_Hlk218593534"/>
      <w:r w:rsidRPr="00651DFD">
        <w:rPr>
          <w:snapToGrid w:val="0"/>
        </w:rPr>
        <w:t>For these patients, prescribers should request quantities sufficient for one month per dispensing, aligned with the treatment cycle, and must request fewer vials than the maximum listed quantity if appropriate.</w:t>
      </w:r>
    </w:p>
    <w:tbl>
      <w:tblPr>
        <w:tblStyle w:val="TableGrid"/>
        <w:tblW w:w="0" w:type="auto"/>
        <w:tblInd w:w="720" w:type="dxa"/>
        <w:tblLook w:val="04A0" w:firstRow="1" w:lastRow="0" w:firstColumn="1" w:lastColumn="0" w:noHBand="0" w:noVBand="1"/>
        <w:tblCaption w:val="Administrative advice"/>
      </w:tblPr>
      <w:tblGrid>
        <w:gridCol w:w="8296"/>
      </w:tblGrid>
      <w:tr w:rsidR="00046B05" w14:paraId="79C25AAE" w14:textId="77777777" w:rsidTr="79BD9D10">
        <w:tc>
          <w:tcPr>
            <w:tcW w:w="9016" w:type="dxa"/>
          </w:tcPr>
          <w:bookmarkEnd w:id="7"/>
          <w:p w14:paraId="4D0B7EB5" w14:textId="16C28E95" w:rsidR="00046B05" w:rsidRPr="0092743A" w:rsidRDefault="778F9004" w:rsidP="000B670D">
            <w:pPr>
              <w:rPr>
                <w:b/>
                <w:bCs/>
              </w:rPr>
            </w:pPr>
            <w:r w:rsidRPr="73A17E91">
              <w:rPr>
                <w:b/>
                <w:bCs/>
              </w:rPr>
              <w:t>Administrative advice:</w:t>
            </w:r>
          </w:p>
          <w:p w14:paraId="27B22F03" w14:textId="4D08CB48" w:rsidR="00046B05" w:rsidRPr="0092743A" w:rsidRDefault="00046B05" w:rsidP="000B670D">
            <w:pPr>
              <w:rPr>
                <w:snapToGrid w:val="0"/>
              </w:rPr>
            </w:pPr>
            <w:r w:rsidRPr="0092743A">
              <w:t>Patients who are receiving non-PBS subsidised treatment with this drug (grandfathered patients) may transition to PBS-subsidised treatment through the initial treatment phase, provided they met the eligibility criteria at the time treatment was commenced. To continue PBS-subsidised treatment, after accessing the initial PBS-subsided therapy, a grandfathered patient must qualify under the continuing treatment restriction.</w:t>
            </w:r>
          </w:p>
        </w:tc>
      </w:tr>
      <w:tr w:rsidR="00046B05" w14:paraId="0195A066" w14:textId="77777777" w:rsidTr="79BD9D10">
        <w:tc>
          <w:tcPr>
            <w:tcW w:w="9016" w:type="dxa"/>
          </w:tcPr>
          <w:p w14:paraId="55183A22" w14:textId="77777777" w:rsidR="003348C7" w:rsidRDefault="5CDA75A8" w:rsidP="79BD9D10">
            <w:pPr>
              <w:rPr>
                <w:b/>
                <w:bCs/>
              </w:rPr>
            </w:pPr>
            <w:r w:rsidRPr="79BD9D10">
              <w:rPr>
                <w:b/>
                <w:bCs/>
              </w:rPr>
              <w:t xml:space="preserve">Prescribing instruction: </w:t>
            </w:r>
          </w:p>
          <w:p w14:paraId="301DC830" w14:textId="531B3049" w:rsidR="00046B05" w:rsidRPr="0092743A" w:rsidRDefault="6184E95E" w:rsidP="79BD9D10">
            <w:pPr>
              <w:rPr>
                <w:rFonts w:ascii="Aptos" w:hAnsi="Aptos"/>
                <w:b/>
                <w:bCs/>
              </w:rPr>
            </w:pPr>
            <w:r>
              <w:t>Prescribers</w:t>
            </w:r>
            <w:r w:rsidR="08DBE668">
              <w:t xml:space="preserve"> </w:t>
            </w:r>
            <w:r w:rsidR="110936AC">
              <w:t xml:space="preserve">must request a quantity sufficient to cover one month per dispensing, in accordance with the patient’s treatment cycle. Prescribers must request a smaller number of </w:t>
            </w:r>
            <w:r w:rsidR="65B9FA5D">
              <w:t>units</w:t>
            </w:r>
            <w:r w:rsidR="110936AC">
              <w:t xml:space="preserve"> than the </w:t>
            </w:r>
            <w:r w:rsidR="41B82D2B">
              <w:t xml:space="preserve">listed </w:t>
            </w:r>
            <w:r w:rsidR="110936AC">
              <w:t xml:space="preserve">maximum quantity </w:t>
            </w:r>
            <w:r w:rsidR="3C609F58">
              <w:t xml:space="preserve">units </w:t>
            </w:r>
            <w:r w:rsidR="110936AC">
              <w:t xml:space="preserve">if it is adequate for the patient’s needs. </w:t>
            </w:r>
          </w:p>
        </w:tc>
      </w:tr>
    </w:tbl>
    <w:p w14:paraId="29429C8E" w14:textId="3F7C3663" w:rsidR="00705A2F" w:rsidRPr="00444BDD" w:rsidRDefault="0081422A" w:rsidP="00444BDD">
      <w:pPr>
        <w:pStyle w:val="3-BodyText"/>
      </w:pPr>
      <w:r w:rsidRPr="0081422A">
        <w:rPr>
          <w:snapToGrid w:val="0"/>
        </w:rPr>
        <w:t xml:space="preserve">The PBAC advised that </w:t>
      </w:r>
      <w:r w:rsidR="00AC5837" w:rsidRPr="00AC5837">
        <w:rPr>
          <w:snapToGrid w:val="0"/>
        </w:rPr>
        <w:t xml:space="preserve">the changes to the existing listings of </w:t>
      </w:r>
      <w:proofErr w:type="spellStart"/>
      <w:r w:rsidR="00AC5837" w:rsidRPr="00AC5837">
        <w:rPr>
          <w:snapToGrid w:val="0"/>
        </w:rPr>
        <w:t>edaravone</w:t>
      </w:r>
      <w:proofErr w:type="spellEnd"/>
      <w:r w:rsidR="00AC5837" w:rsidRPr="00AC5837">
        <w:rPr>
          <w:snapToGrid w:val="0"/>
        </w:rPr>
        <w:t xml:space="preserve"> would not affect the previously agreed patient population estimates, as the proposed incident patient numbers per year and grandfathered patients were likely already accounted for. Therefore, the PBAC considered the financial impact of adding CA initiation to be minor, with only a small additional cost to the PBS due to differences in fees and mark-ups between the Section 100 HSD Public </w:t>
      </w:r>
      <w:r w:rsidR="006C0096">
        <w:rPr>
          <w:snapToGrid w:val="0"/>
        </w:rPr>
        <w:t xml:space="preserve">hospital </w:t>
      </w:r>
      <w:r w:rsidR="00AC5837" w:rsidRPr="00AC5837">
        <w:rPr>
          <w:snapToGrid w:val="0"/>
        </w:rPr>
        <w:t>and CA programs</w:t>
      </w:r>
      <w:r w:rsidR="0EC8CC7A">
        <w:t>,</w:t>
      </w:r>
      <w:r w:rsidR="548C0F3C" w:rsidRPr="00AC5837">
        <w:rPr>
          <w:snapToGrid w:val="0"/>
        </w:rPr>
        <w:t xml:space="preserve"> </w:t>
      </w:r>
      <w:r w:rsidR="00863CD5">
        <w:rPr>
          <w:snapToGrid w:val="0"/>
        </w:rPr>
        <w:t xml:space="preserve">which </w:t>
      </w:r>
      <w:r w:rsidR="20CE092F" w:rsidRPr="00705A2F">
        <w:rPr>
          <w:snapToGrid w:val="0"/>
        </w:rPr>
        <w:t xml:space="preserve">would be mitigated </w:t>
      </w:r>
      <w:r w:rsidR="5301BF61" w:rsidRPr="003758B2">
        <w:rPr>
          <w:snapToGrid w:val="0"/>
        </w:rPr>
        <w:t>by</w:t>
      </w:r>
      <w:r w:rsidR="20CE092F" w:rsidDel="003758B2">
        <w:t xml:space="preserve"> the existing</w:t>
      </w:r>
      <w:r w:rsidR="00705A2F" w:rsidRPr="00705A2F">
        <w:rPr>
          <w:snapToGrid w:val="0"/>
        </w:rPr>
        <w:t xml:space="preserve"> </w:t>
      </w:r>
      <w:r w:rsidR="003758B2">
        <w:t>Risk Sharing Arrangement</w:t>
      </w:r>
      <w:r w:rsidR="00705A2F">
        <w:t>.</w:t>
      </w:r>
    </w:p>
    <w:p w14:paraId="2A72B3AB" w14:textId="01447FF8" w:rsidR="008F524B" w:rsidRDefault="00D401D5" w:rsidP="00243BEB">
      <w:pPr>
        <w:pStyle w:val="3-BodyText"/>
        <w:rPr>
          <w:snapToGrid w:val="0"/>
        </w:rPr>
      </w:pPr>
      <w:r w:rsidRPr="00D401D5">
        <w:rPr>
          <w:snapToGrid w:val="0"/>
        </w:rPr>
        <w:t>The PBAC noted that this submission is not eligible for an Independent Review</w:t>
      </w:r>
      <w:r w:rsidR="00243BEB">
        <w:rPr>
          <w:snapToGrid w:val="0"/>
        </w:rPr>
        <w:t xml:space="preserve"> </w:t>
      </w:r>
      <w:r w:rsidR="00243BEB" w:rsidRPr="00243BEB">
        <w:rPr>
          <w:snapToGrid w:val="0"/>
        </w:rPr>
        <w:t>as it received a positive recommendation.</w:t>
      </w:r>
    </w:p>
    <w:p w14:paraId="5E8EFC5C" w14:textId="77777777" w:rsidR="00443D75" w:rsidRPr="00443D75" w:rsidRDefault="00443D75" w:rsidP="00AC44C4">
      <w:pPr>
        <w:pStyle w:val="3-BodyText"/>
        <w:numPr>
          <w:ilvl w:val="0"/>
          <w:numId w:val="0"/>
        </w:numPr>
        <w:spacing w:before="0" w:after="0"/>
        <w:rPr>
          <w:b/>
          <w:bCs/>
          <w:snapToGrid w:val="0"/>
        </w:rPr>
      </w:pPr>
      <w:r w:rsidRPr="00443D75">
        <w:rPr>
          <w:b/>
          <w:bCs/>
          <w:snapToGrid w:val="0"/>
        </w:rPr>
        <w:t>Outcome:</w:t>
      </w:r>
    </w:p>
    <w:p w14:paraId="203D9ED7" w14:textId="2E744BBC" w:rsidR="00443D75" w:rsidRDefault="00443D75" w:rsidP="00AC44C4">
      <w:pPr>
        <w:pStyle w:val="3-BodyText"/>
        <w:numPr>
          <w:ilvl w:val="0"/>
          <w:numId w:val="0"/>
        </w:numPr>
        <w:spacing w:before="0" w:after="0"/>
        <w:rPr>
          <w:snapToGrid w:val="0"/>
        </w:rPr>
      </w:pPr>
      <w:r w:rsidRPr="00443D75">
        <w:rPr>
          <w:snapToGrid w:val="0"/>
        </w:rPr>
        <w:t>Recommended</w:t>
      </w:r>
    </w:p>
    <w:p w14:paraId="31C913B6" w14:textId="5608054E" w:rsidR="00544AC9" w:rsidRDefault="003F72C1" w:rsidP="00BE4DD7">
      <w:pPr>
        <w:pStyle w:val="2-SectionHeading"/>
      </w:pPr>
      <w:r>
        <w:t>R</w:t>
      </w:r>
      <w:r w:rsidR="00705A2F">
        <w:t>ecommended listing:</w:t>
      </w:r>
    </w:p>
    <w:p w14:paraId="52D09E2C" w14:textId="07B8DF52" w:rsidR="00C4722C" w:rsidRDefault="001543B2" w:rsidP="79BD9D10">
      <w:pPr>
        <w:pStyle w:val="3-BodyText"/>
      </w:pPr>
      <w:r>
        <w:t xml:space="preserve">Add a new </w:t>
      </w:r>
      <w:r w:rsidR="199BE6C4">
        <w:t xml:space="preserve">initial treatment </w:t>
      </w:r>
      <w:r w:rsidR="6FBC5874">
        <w:t>listing</w:t>
      </w:r>
      <w:r>
        <w:t xml:space="preserve"> </w:t>
      </w:r>
      <w:r w:rsidR="1A38993E">
        <w:t>under</w:t>
      </w:r>
      <w:r>
        <w:t xml:space="preserve"> Section 100 HSD Community Access</w:t>
      </w:r>
      <w:r w:rsidR="16AD54E1">
        <w:t xml:space="preserve"> as follows</w:t>
      </w:r>
      <w:r w:rsidR="2AF08321">
        <w:t xml:space="preserve"> </w:t>
      </w:r>
      <w:r>
        <w:t xml:space="preserve">(additions in </w:t>
      </w:r>
      <w:r w:rsidRPr="79BD9D10">
        <w:rPr>
          <w:i/>
          <w:iCs/>
        </w:rPr>
        <w:t>italics</w:t>
      </w:r>
      <w:r>
        <w:t xml:space="preserve"> and deletions in </w:t>
      </w:r>
      <w:r w:rsidRPr="79BD9D10">
        <w:rPr>
          <w:strike/>
        </w:rPr>
        <w:t>strikethrough</w:t>
      </w:r>
      <w:r w:rsidR="00A02599">
        <w:t>)</w:t>
      </w:r>
      <w:r w:rsidR="1E8AE618">
        <w: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705"/>
        <w:gridCol w:w="882"/>
        <w:gridCol w:w="2467"/>
        <w:gridCol w:w="884"/>
        <w:gridCol w:w="795"/>
        <w:gridCol w:w="785"/>
        <w:gridCol w:w="784"/>
        <w:gridCol w:w="1714"/>
      </w:tblGrid>
      <w:tr w:rsidR="008B5155" w:rsidRPr="008811C1" w14:paraId="12934148" w14:textId="77777777" w:rsidTr="79BD9D10">
        <w:trPr>
          <w:trHeight w:val="20"/>
        </w:trPr>
        <w:tc>
          <w:tcPr>
            <w:tcW w:w="4054" w:type="dxa"/>
            <w:gridSpan w:val="3"/>
            <w:vAlign w:val="center"/>
          </w:tcPr>
          <w:p w14:paraId="0AC5B223" w14:textId="77777777" w:rsidR="008B5155" w:rsidRPr="008811C1" w:rsidRDefault="008B5155" w:rsidP="007E19AB">
            <w:pPr>
              <w:keepLines/>
              <w:rPr>
                <w:rFonts w:ascii="Arial Narrow" w:hAnsi="Arial Narrow" w:cs="Arial"/>
                <w:b/>
                <w:bCs/>
                <w:sz w:val="20"/>
                <w:szCs w:val="20"/>
              </w:rPr>
            </w:pPr>
            <w:r w:rsidRPr="008811C1">
              <w:rPr>
                <w:rFonts w:ascii="Arial Narrow" w:hAnsi="Arial Narrow" w:cs="Arial"/>
                <w:b/>
                <w:bCs/>
                <w:sz w:val="20"/>
                <w:szCs w:val="20"/>
              </w:rPr>
              <w:lastRenderedPageBreak/>
              <w:t>MEDICINAL PRODUCT</w:t>
            </w:r>
          </w:p>
          <w:p w14:paraId="5D4F979F" w14:textId="77777777" w:rsidR="008B5155" w:rsidRPr="008811C1" w:rsidRDefault="008B5155" w:rsidP="007E19AB">
            <w:pPr>
              <w:keepLines/>
              <w:rPr>
                <w:rFonts w:ascii="Arial Narrow" w:hAnsi="Arial Narrow" w:cs="Arial"/>
                <w:b/>
                <w:sz w:val="20"/>
                <w:szCs w:val="20"/>
              </w:rPr>
            </w:pPr>
            <w:r w:rsidRPr="008811C1">
              <w:rPr>
                <w:rFonts w:ascii="Arial Narrow" w:hAnsi="Arial Narrow" w:cs="Arial"/>
                <w:b/>
                <w:bCs/>
                <w:sz w:val="20"/>
                <w:szCs w:val="20"/>
              </w:rPr>
              <w:t>medicinal product pack</w:t>
            </w:r>
          </w:p>
        </w:tc>
        <w:tc>
          <w:tcPr>
            <w:tcW w:w="884" w:type="dxa"/>
            <w:vAlign w:val="center"/>
          </w:tcPr>
          <w:p w14:paraId="517888DD" w14:textId="77777777" w:rsidR="008B5155" w:rsidRPr="008811C1" w:rsidRDefault="008B5155" w:rsidP="007E19AB">
            <w:pPr>
              <w:keepLines/>
              <w:jc w:val="center"/>
              <w:rPr>
                <w:rFonts w:ascii="Arial Narrow" w:hAnsi="Arial Narrow" w:cs="Arial"/>
                <w:b/>
                <w:sz w:val="20"/>
                <w:szCs w:val="20"/>
              </w:rPr>
            </w:pPr>
            <w:r w:rsidRPr="008811C1">
              <w:rPr>
                <w:rFonts w:ascii="Arial Narrow" w:hAnsi="Arial Narrow" w:cs="Arial"/>
                <w:b/>
                <w:sz w:val="20"/>
                <w:szCs w:val="20"/>
              </w:rPr>
              <w:t>PBS item code</w:t>
            </w:r>
          </w:p>
        </w:tc>
        <w:tc>
          <w:tcPr>
            <w:tcW w:w="795" w:type="dxa"/>
            <w:vAlign w:val="center"/>
          </w:tcPr>
          <w:p w14:paraId="18275D34" w14:textId="77777777" w:rsidR="008B5155" w:rsidRPr="008811C1" w:rsidRDefault="008B5155" w:rsidP="007E19AB">
            <w:pPr>
              <w:keepLines/>
              <w:jc w:val="center"/>
              <w:rPr>
                <w:rFonts w:ascii="Arial Narrow" w:hAnsi="Arial Narrow" w:cs="Arial"/>
                <w:b/>
                <w:sz w:val="20"/>
                <w:szCs w:val="20"/>
              </w:rPr>
            </w:pPr>
            <w:r w:rsidRPr="008811C1">
              <w:rPr>
                <w:rFonts w:ascii="Arial Narrow" w:hAnsi="Arial Narrow" w:cs="Arial"/>
                <w:b/>
                <w:sz w:val="20"/>
                <w:szCs w:val="20"/>
              </w:rPr>
              <w:t>Max. qty packs</w:t>
            </w:r>
          </w:p>
        </w:tc>
        <w:tc>
          <w:tcPr>
            <w:tcW w:w="785" w:type="dxa"/>
            <w:vAlign w:val="center"/>
          </w:tcPr>
          <w:p w14:paraId="392F6257" w14:textId="77777777" w:rsidR="008B5155" w:rsidRPr="008811C1" w:rsidRDefault="008B5155" w:rsidP="007E19AB">
            <w:pPr>
              <w:keepLines/>
              <w:jc w:val="center"/>
              <w:rPr>
                <w:rFonts w:ascii="Arial Narrow" w:hAnsi="Arial Narrow" w:cs="Arial"/>
                <w:b/>
                <w:sz w:val="20"/>
                <w:szCs w:val="20"/>
              </w:rPr>
            </w:pPr>
            <w:r w:rsidRPr="008811C1">
              <w:rPr>
                <w:rFonts w:ascii="Arial Narrow" w:hAnsi="Arial Narrow" w:cs="Arial"/>
                <w:b/>
                <w:sz w:val="20"/>
                <w:szCs w:val="20"/>
              </w:rPr>
              <w:t>Max. qty units</w:t>
            </w:r>
          </w:p>
        </w:tc>
        <w:tc>
          <w:tcPr>
            <w:tcW w:w="784" w:type="dxa"/>
            <w:vAlign w:val="center"/>
          </w:tcPr>
          <w:p w14:paraId="69DC8443" w14:textId="77777777" w:rsidR="008B5155" w:rsidRPr="008811C1" w:rsidRDefault="008B5155" w:rsidP="007E19AB">
            <w:pPr>
              <w:keepLines/>
              <w:jc w:val="center"/>
              <w:rPr>
                <w:rFonts w:ascii="Arial Narrow" w:hAnsi="Arial Narrow" w:cs="Arial"/>
                <w:b/>
                <w:sz w:val="20"/>
                <w:szCs w:val="20"/>
              </w:rPr>
            </w:pPr>
            <w:proofErr w:type="gramStart"/>
            <w:r w:rsidRPr="008811C1">
              <w:rPr>
                <w:rFonts w:ascii="Arial Narrow" w:hAnsi="Arial Narrow" w:cs="Arial"/>
                <w:b/>
                <w:sz w:val="20"/>
                <w:szCs w:val="20"/>
              </w:rPr>
              <w:t>№.of</w:t>
            </w:r>
            <w:proofErr w:type="gramEnd"/>
          </w:p>
          <w:p w14:paraId="4BCAE451" w14:textId="77777777" w:rsidR="008B5155" w:rsidRPr="008811C1" w:rsidRDefault="008B5155" w:rsidP="007E19AB">
            <w:pPr>
              <w:keepLines/>
              <w:jc w:val="center"/>
              <w:rPr>
                <w:rFonts w:ascii="Arial Narrow" w:hAnsi="Arial Narrow" w:cs="Arial"/>
                <w:b/>
                <w:sz w:val="20"/>
                <w:szCs w:val="20"/>
              </w:rPr>
            </w:pPr>
            <w:proofErr w:type="spellStart"/>
            <w:r w:rsidRPr="008811C1">
              <w:rPr>
                <w:rFonts w:ascii="Arial Narrow" w:hAnsi="Arial Narrow" w:cs="Arial"/>
                <w:b/>
                <w:sz w:val="20"/>
                <w:szCs w:val="20"/>
              </w:rPr>
              <w:t>Rpts</w:t>
            </w:r>
            <w:proofErr w:type="spellEnd"/>
          </w:p>
        </w:tc>
        <w:tc>
          <w:tcPr>
            <w:tcW w:w="1714" w:type="dxa"/>
            <w:vAlign w:val="center"/>
          </w:tcPr>
          <w:p w14:paraId="41A5D96F" w14:textId="77777777" w:rsidR="008B5155" w:rsidRPr="008811C1" w:rsidRDefault="008B5155" w:rsidP="007E19AB">
            <w:pPr>
              <w:keepLines/>
              <w:rPr>
                <w:rFonts w:ascii="Arial Narrow" w:hAnsi="Arial Narrow" w:cs="Arial"/>
                <w:b/>
                <w:sz w:val="20"/>
                <w:szCs w:val="20"/>
                <w:lang w:val="fr-FR"/>
              </w:rPr>
            </w:pPr>
            <w:r w:rsidRPr="008811C1">
              <w:rPr>
                <w:rFonts w:ascii="Arial Narrow" w:hAnsi="Arial Narrow" w:cs="Arial"/>
                <w:b/>
                <w:sz w:val="20"/>
                <w:szCs w:val="20"/>
              </w:rPr>
              <w:t>Available brands</w:t>
            </w:r>
          </w:p>
        </w:tc>
      </w:tr>
      <w:tr w:rsidR="008B5155" w:rsidRPr="008811C1" w14:paraId="3C719808" w14:textId="77777777" w:rsidTr="79BD9D10">
        <w:trPr>
          <w:trHeight w:val="20"/>
        </w:trPr>
        <w:tc>
          <w:tcPr>
            <w:tcW w:w="9016" w:type="dxa"/>
            <w:gridSpan w:val="8"/>
            <w:vAlign w:val="center"/>
          </w:tcPr>
          <w:p w14:paraId="363C2559" w14:textId="77777777" w:rsidR="008B5155" w:rsidRPr="008811C1" w:rsidRDefault="008B5155" w:rsidP="007E19AB">
            <w:pPr>
              <w:keepLines/>
              <w:rPr>
                <w:rFonts w:ascii="Arial Narrow" w:hAnsi="Arial Narrow" w:cs="Arial"/>
                <w:sz w:val="20"/>
                <w:szCs w:val="20"/>
              </w:rPr>
            </w:pPr>
            <w:r w:rsidRPr="008811C1">
              <w:rPr>
                <w:rFonts w:ascii="Arial Narrow" w:hAnsi="Arial Narrow"/>
                <w:sz w:val="20"/>
                <w:szCs w:val="20"/>
              </w:rPr>
              <w:t>EDARAVONE</w:t>
            </w:r>
          </w:p>
        </w:tc>
      </w:tr>
      <w:tr w:rsidR="008B5155" w:rsidRPr="008811C1" w14:paraId="432768C4" w14:textId="77777777" w:rsidTr="79BD9D10">
        <w:trPr>
          <w:trHeight w:val="20"/>
        </w:trPr>
        <w:tc>
          <w:tcPr>
            <w:tcW w:w="4054" w:type="dxa"/>
            <w:gridSpan w:val="3"/>
            <w:vAlign w:val="center"/>
          </w:tcPr>
          <w:p w14:paraId="6CE2366E" w14:textId="77777777" w:rsidR="008B5155" w:rsidRPr="008811C1" w:rsidRDefault="008B5155" w:rsidP="007E19AB">
            <w:pPr>
              <w:keepLines/>
              <w:rPr>
                <w:rFonts w:ascii="Arial Narrow" w:hAnsi="Arial Narrow" w:cs="Arial"/>
                <w:sz w:val="20"/>
                <w:szCs w:val="20"/>
              </w:rPr>
            </w:pPr>
            <w:proofErr w:type="spellStart"/>
            <w:r w:rsidRPr="008811C1">
              <w:rPr>
                <w:rFonts w:ascii="Arial Narrow" w:hAnsi="Arial Narrow" w:cs="Arial"/>
                <w:sz w:val="20"/>
                <w:szCs w:val="20"/>
              </w:rPr>
              <w:t>edaravone</w:t>
            </w:r>
            <w:proofErr w:type="spellEnd"/>
            <w:r w:rsidRPr="008811C1">
              <w:rPr>
                <w:rFonts w:ascii="Arial Narrow" w:hAnsi="Arial Narrow" w:cs="Arial"/>
                <w:sz w:val="20"/>
                <w:szCs w:val="20"/>
              </w:rPr>
              <w:t xml:space="preserve"> 30 mg/20 mL injection, 10 x 20 mL ampoules</w:t>
            </w:r>
          </w:p>
        </w:tc>
        <w:tc>
          <w:tcPr>
            <w:tcW w:w="884" w:type="dxa"/>
            <w:vAlign w:val="center"/>
          </w:tcPr>
          <w:p w14:paraId="3D4F1DC3" w14:textId="77777777" w:rsidR="008B5155" w:rsidRPr="008811C1" w:rsidRDefault="008B5155" w:rsidP="007E19AB">
            <w:pPr>
              <w:keepLines/>
              <w:jc w:val="center"/>
              <w:rPr>
                <w:rFonts w:ascii="Arial Narrow" w:hAnsi="Arial Narrow" w:cs="Arial"/>
                <w:sz w:val="20"/>
                <w:szCs w:val="20"/>
              </w:rPr>
            </w:pPr>
            <w:r w:rsidRPr="008811C1">
              <w:rPr>
                <w:rFonts w:ascii="Arial Narrow" w:hAnsi="Arial Narrow" w:cs="Arial"/>
                <w:sz w:val="20"/>
                <w:szCs w:val="20"/>
              </w:rPr>
              <w:t>NEW</w:t>
            </w:r>
          </w:p>
        </w:tc>
        <w:tc>
          <w:tcPr>
            <w:tcW w:w="795" w:type="dxa"/>
            <w:vAlign w:val="center"/>
          </w:tcPr>
          <w:p w14:paraId="1F3588CD" w14:textId="77777777" w:rsidR="008B5155" w:rsidRPr="008811C1" w:rsidRDefault="008B5155" w:rsidP="007E19AB">
            <w:pPr>
              <w:keepLines/>
              <w:jc w:val="center"/>
              <w:rPr>
                <w:rFonts w:ascii="Arial Narrow" w:hAnsi="Arial Narrow" w:cs="Arial"/>
                <w:sz w:val="20"/>
                <w:szCs w:val="20"/>
              </w:rPr>
            </w:pPr>
            <w:r w:rsidRPr="008811C1">
              <w:rPr>
                <w:rFonts w:ascii="Arial Narrow" w:hAnsi="Arial Narrow"/>
                <w:sz w:val="20"/>
                <w:szCs w:val="20"/>
              </w:rPr>
              <w:t>2.8</w:t>
            </w:r>
          </w:p>
        </w:tc>
        <w:tc>
          <w:tcPr>
            <w:tcW w:w="785" w:type="dxa"/>
            <w:vAlign w:val="center"/>
          </w:tcPr>
          <w:p w14:paraId="63CDD479" w14:textId="77777777" w:rsidR="008B5155" w:rsidRPr="008811C1" w:rsidRDefault="008B5155" w:rsidP="007E19AB">
            <w:pPr>
              <w:keepLines/>
              <w:jc w:val="center"/>
              <w:rPr>
                <w:rFonts w:ascii="Arial Narrow" w:hAnsi="Arial Narrow" w:cs="Arial"/>
                <w:sz w:val="20"/>
                <w:szCs w:val="20"/>
              </w:rPr>
            </w:pPr>
            <w:r w:rsidRPr="008811C1">
              <w:rPr>
                <w:rFonts w:ascii="Arial Narrow" w:hAnsi="Arial Narrow"/>
                <w:sz w:val="20"/>
                <w:szCs w:val="20"/>
              </w:rPr>
              <w:t>28</w:t>
            </w:r>
          </w:p>
        </w:tc>
        <w:tc>
          <w:tcPr>
            <w:tcW w:w="784" w:type="dxa"/>
            <w:vAlign w:val="center"/>
          </w:tcPr>
          <w:p w14:paraId="6A5D020B" w14:textId="77777777" w:rsidR="008B5155" w:rsidRPr="008811C1" w:rsidRDefault="008B5155" w:rsidP="007E19AB">
            <w:pPr>
              <w:keepLines/>
              <w:jc w:val="center"/>
              <w:rPr>
                <w:rFonts w:ascii="Arial Narrow" w:hAnsi="Arial Narrow" w:cs="Arial"/>
                <w:sz w:val="20"/>
                <w:szCs w:val="20"/>
              </w:rPr>
            </w:pPr>
            <w:r w:rsidRPr="008811C1">
              <w:rPr>
                <w:rFonts w:ascii="Arial Narrow" w:hAnsi="Arial Narrow"/>
                <w:sz w:val="20"/>
                <w:szCs w:val="20"/>
              </w:rPr>
              <w:t>0</w:t>
            </w:r>
          </w:p>
        </w:tc>
        <w:tc>
          <w:tcPr>
            <w:tcW w:w="1714" w:type="dxa"/>
            <w:vAlign w:val="center"/>
          </w:tcPr>
          <w:p w14:paraId="0D2442E8" w14:textId="77777777" w:rsidR="008B5155" w:rsidRPr="008811C1" w:rsidRDefault="008B5155" w:rsidP="007E19AB">
            <w:pPr>
              <w:keepLines/>
              <w:rPr>
                <w:rFonts w:ascii="Arial Narrow" w:hAnsi="Arial Narrow" w:cs="Arial"/>
                <w:sz w:val="20"/>
                <w:szCs w:val="20"/>
              </w:rPr>
            </w:pPr>
            <w:proofErr w:type="spellStart"/>
            <w:r w:rsidRPr="008811C1">
              <w:rPr>
                <w:rFonts w:ascii="Arial Narrow" w:hAnsi="Arial Narrow"/>
                <w:sz w:val="20"/>
                <w:szCs w:val="20"/>
              </w:rPr>
              <w:t>Radicava</w:t>
            </w:r>
            <w:proofErr w:type="spellEnd"/>
          </w:p>
        </w:tc>
      </w:tr>
      <w:tr w:rsidR="008B5155" w:rsidRPr="008811C1" w14:paraId="27857551" w14:textId="77777777" w:rsidTr="79BD9D10">
        <w:trPr>
          <w:trHeight w:val="20"/>
        </w:trPr>
        <w:tc>
          <w:tcPr>
            <w:tcW w:w="9016" w:type="dxa"/>
            <w:gridSpan w:val="8"/>
            <w:tcBorders>
              <w:top w:val="single" w:sz="4" w:space="0" w:color="auto"/>
              <w:left w:val="single" w:sz="4" w:space="0" w:color="auto"/>
              <w:right w:val="single" w:sz="4" w:space="0" w:color="auto"/>
            </w:tcBorders>
            <w:vAlign w:val="center"/>
          </w:tcPr>
          <w:p w14:paraId="59EB00AB" w14:textId="77777777" w:rsidR="008B5155" w:rsidRPr="008811C1" w:rsidRDefault="008B5155" w:rsidP="007E19AB">
            <w:pPr>
              <w:rPr>
                <w:rFonts w:ascii="Arial Narrow" w:hAnsi="Arial Narrow" w:cs="Arial"/>
                <w:sz w:val="20"/>
                <w:szCs w:val="20"/>
              </w:rPr>
            </w:pPr>
          </w:p>
        </w:tc>
      </w:tr>
      <w:tr w:rsidR="008B5155" w:rsidRPr="008811C1" w14:paraId="4BEE5FEF" w14:textId="77777777" w:rsidTr="79BD9D10">
        <w:trPr>
          <w:trHeight w:val="20"/>
        </w:trPr>
        <w:tc>
          <w:tcPr>
            <w:tcW w:w="1587" w:type="dxa"/>
            <w:gridSpan w:val="2"/>
            <w:vMerge w:val="restart"/>
            <w:tcBorders>
              <w:top w:val="single" w:sz="4" w:space="0" w:color="auto"/>
              <w:left w:val="single" w:sz="4" w:space="0" w:color="auto"/>
              <w:right w:val="single" w:sz="4" w:space="0" w:color="auto"/>
            </w:tcBorders>
          </w:tcPr>
          <w:p w14:paraId="245760D6" w14:textId="77777777" w:rsidR="008B5155" w:rsidRPr="008811C1" w:rsidRDefault="008B5155" w:rsidP="007E19AB">
            <w:pPr>
              <w:jc w:val="center"/>
              <w:rPr>
                <w:rFonts w:ascii="Arial Narrow" w:hAnsi="Arial Narrow" w:cs="Arial"/>
                <w:b/>
                <w:sz w:val="20"/>
                <w:szCs w:val="20"/>
              </w:rPr>
            </w:pPr>
            <w:r w:rsidRPr="008811C1">
              <w:rPr>
                <w:rFonts w:ascii="Arial Narrow" w:hAnsi="Arial Narrow" w:cs="Arial"/>
                <w:b/>
                <w:bCs/>
                <w:sz w:val="20"/>
                <w:szCs w:val="20"/>
              </w:rPr>
              <w:t xml:space="preserve">Concept ID </w:t>
            </w:r>
            <w:r w:rsidRPr="008811C1">
              <w:rPr>
                <w:rFonts w:ascii="Arial Narrow" w:hAnsi="Arial Narrow" w:cs="Arial"/>
                <w:sz w:val="20"/>
                <w:szCs w:val="20"/>
              </w:rPr>
              <w:t>(for internal Dept. use)</w:t>
            </w:r>
          </w:p>
        </w:tc>
        <w:tc>
          <w:tcPr>
            <w:tcW w:w="7429" w:type="dxa"/>
            <w:gridSpan w:val="6"/>
            <w:tcBorders>
              <w:top w:val="single" w:sz="4" w:space="0" w:color="auto"/>
              <w:left w:val="single" w:sz="4" w:space="0" w:color="auto"/>
              <w:bottom w:val="single" w:sz="4" w:space="0" w:color="auto"/>
              <w:right w:val="single" w:sz="4" w:space="0" w:color="auto"/>
            </w:tcBorders>
            <w:vAlign w:val="center"/>
          </w:tcPr>
          <w:p w14:paraId="472AB1A8" w14:textId="66B94FE7" w:rsidR="008B5155" w:rsidRPr="008811C1" w:rsidRDefault="008B5155" w:rsidP="007E19AB">
            <w:pPr>
              <w:keepLines/>
              <w:jc w:val="left"/>
              <w:rPr>
                <w:rFonts w:ascii="Arial Narrow" w:hAnsi="Arial Narrow" w:cs="Arial"/>
                <w:sz w:val="20"/>
                <w:szCs w:val="20"/>
              </w:rPr>
            </w:pPr>
            <w:r w:rsidRPr="008811C1">
              <w:rPr>
                <w:rFonts w:ascii="Arial Narrow" w:eastAsia="Calibri" w:hAnsi="Arial Narrow" w:cs="Arial"/>
                <w:sz w:val="20"/>
                <w:szCs w:val="20"/>
              </w:rPr>
              <w:fldChar w:fldCharType="begin">
                <w:ffData>
                  <w:name w:val=""/>
                  <w:enabled/>
                  <w:calcOnExit w:val="0"/>
                  <w:checkBox>
                    <w:sizeAuto/>
                    <w:default w:val="1"/>
                  </w:checkBox>
                </w:ffData>
              </w:fldChar>
            </w:r>
            <w:r w:rsidRPr="008811C1">
              <w:rPr>
                <w:rFonts w:ascii="Arial Narrow" w:eastAsia="Calibri" w:hAnsi="Arial Narrow" w:cs="Arial"/>
                <w:sz w:val="20"/>
                <w:szCs w:val="20"/>
              </w:rPr>
              <w:instrText xml:space="preserve"> FORMCHECKBOX </w:instrText>
            </w:r>
            <w:r w:rsidRPr="008811C1">
              <w:rPr>
                <w:rFonts w:ascii="Arial Narrow" w:eastAsia="Calibri" w:hAnsi="Arial Narrow" w:cs="Arial"/>
                <w:sz w:val="20"/>
                <w:szCs w:val="20"/>
              </w:rPr>
            </w:r>
            <w:r w:rsidRPr="008811C1">
              <w:rPr>
                <w:rFonts w:ascii="Arial Narrow" w:eastAsia="Calibri" w:hAnsi="Arial Narrow" w:cs="Arial"/>
                <w:sz w:val="20"/>
                <w:szCs w:val="20"/>
              </w:rPr>
              <w:fldChar w:fldCharType="separate"/>
            </w:r>
            <w:r w:rsidRPr="008811C1">
              <w:rPr>
                <w:rFonts w:ascii="Arial Narrow" w:eastAsia="Calibri" w:hAnsi="Arial Narrow" w:cs="Arial"/>
                <w:sz w:val="20"/>
                <w:szCs w:val="20"/>
              </w:rPr>
              <w:fldChar w:fldCharType="end"/>
            </w:r>
            <w:r w:rsidR="1634548B" w:rsidRPr="008811C1">
              <w:rPr>
                <w:rFonts w:ascii="Arial Narrow" w:hAnsi="Arial Narrow" w:cs="Arial"/>
                <w:b/>
                <w:bCs/>
                <w:sz w:val="20"/>
                <w:szCs w:val="20"/>
              </w:rPr>
              <w:t>Program:</w:t>
            </w:r>
            <w:r w:rsidR="1634548B" w:rsidRPr="008811C1">
              <w:rPr>
                <w:rFonts w:ascii="Arial Narrow" w:hAnsi="Arial Narrow" w:cs="Arial"/>
                <w:sz w:val="20"/>
                <w:szCs w:val="20"/>
              </w:rPr>
              <w:t xml:space="preserve"> </w:t>
            </w:r>
            <w:r w:rsidR="4DD319F1" w:rsidRPr="008811C1">
              <w:rPr>
                <w:rFonts w:ascii="Arial Narrow" w:hAnsi="Arial Narrow" w:cs="Arial"/>
                <w:i/>
                <w:iCs/>
                <w:sz w:val="20"/>
                <w:szCs w:val="20"/>
              </w:rPr>
              <w:t>Section 100 – Highly Specialised Drugs Program - Community Access (Code CA)</w:t>
            </w:r>
            <w:r w:rsidR="4DD319F1" w:rsidRPr="008811C1">
              <w:rPr>
                <w:rFonts w:ascii="Arial Narrow" w:hAnsi="Arial Narrow" w:cs="Arial"/>
                <w:sz w:val="20"/>
                <w:szCs w:val="20"/>
              </w:rPr>
              <w:t xml:space="preserve"> </w:t>
            </w:r>
          </w:p>
        </w:tc>
      </w:tr>
      <w:tr w:rsidR="008B5155" w:rsidRPr="008811C1" w14:paraId="2B26879A" w14:textId="77777777" w:rsidTr="79BD9D10">
        <w:trPr>
          <w:trHeight w:val="20"/>
        </w:trPr>
        <w:tc>
          <w:tcPr>
            <w:tcW w:w="1587" w:type="dxa"/>
            <w:gridSpan w:val="2"/>
            <w:vMerge/>
          </w:tcPr>
          <w:p w14:paraId="12E32EDD" w14:textId="77777777" w:rsidR="008B5155" w:rsidRPr="008811C1" w:rsidRDefault="008B5155" w:rsidP="007E19AB">
            <w:pPr>
              <w:jc w:val="center"/>
              <w:rPr>
                <w:rFonts w:ascii="Arial Narrow" w:hAnsi="Arial Narrow" w:cs="Arial"/>
                <w:b/>
                <w:bCs/>
                <w:sz w:val="20"/>
                <w:szCs w:val="20"/>
              </w:rPr>
            </w:pPr>
          </w:p>
        </w:tc>
        <w:tc>
          <w:tcPr>
            <w:tcW w:w="7429" w:type="dxa"/>
            <w:gridSpan w:val="6"/>
            <w:tcBorders>
              <w:top w:val="single" w:sz="4" w:space="0" w:color="auto"/>
              <w:left w:val="single" w:sz="4" w:space="0" w:color="auto"/>
              <w:bottom w:val="single" w:sz="4" w:space="0" w:color="auto"/>
              <w:right w:val="single" w:sz="4" w:space="0" w:color="auto"/>
            </w:tcBorders>
            <w:vAlign w:val="center"/>
          </w:tcPr>
          <w:p w14:paraId="3089A25D" w14:textId="77777777" w:rsidR="008B5155" w:rsidRPr="008811C1" w:rsidRDefault="008B5155" w:rsidP="007E19AB">
            <w:pPr>
              <w:keepLines/>
              <w:jc w:val="left"/>
              <w:rPr>
                <w:rFonts w:ascii="Arial Narrow" w:eastAsia="Calibri" w:hAnsi="Arial Narrow" w:cs="Arial"/>
                <w:sz w:val="20"/>
                <w:szCs w:val="20"/>
              </w:rPr>
            </w:pPr>
            <w:r w:rsidRPr="008811C1">
              <w:rPr>
                <w:rFonts w:ascii="Arial Narrow" w:hAnsi="Arial Narrow" w:cs="Arial"/>
                <w:b/>
                <w:sz w:val="20"/>
                <w:szCs w:val="20"/>
              </w:rPr>
              <w:t>Prescriber type:</w:t>
            </w:r>
            <w:r w:rsidRPr="008811C1">
              <w:rPr>
                <w:rFonts w:ascii="Arial Narrow" w:hAnsi="Arial Narrow" w:cs="Arial"/>
                <w:sz w:val="20"/>
                <w:szCs w:val="20"/>
              </w:rPr>
              <w:t xml:space="preserve"> </w:t>
            </w:r>
            <w:r w:rsidRPr="008811C1">
              <w:rPr>
                <w:rFonts w:ascii="Arial Narrow" w:hAnsi="Arial Narrow" w:cs="Arial"/>
                <w:sz w:val="20"/>
                <w:szCs w:val="20"/>
              </w:rPr>
              <w:fldChar w:fldCharType="begin">
                <w:ffData>
                  <w:name w:val=""/>
                  <w:enabled/>
                  <w:calcOnExit w:val="0"/>
                  <w:checkBox>
                    <w:sizeAuto/>
                    <w:default w:val="1"/>
                  </w:checkBox>
                </w:ffData>
              </w:fldChar>
            </w:r>
            <w:r w:rsidRPr="008811C1">
              <w:rPr>
                <w:rFonts w:ascii="Arial Narrow" w:hAnsi="Arial Narrow" w:cs="Arial"/>
                <w:sz w:val="20"/>
                <w:szCs w:val="20"/>
              </w:rPr>
              <w:instrText xml:space="preserve"> FORMCHECKBOX </w:instrText>
            </w:r>
            <w:r w:rsidRPr="008811C1">
              <w:rPr>
                <w:rFonts w:ascii="Arial Narrow" w:hAnsi="Arial Narrow" w:cs="Arial"/>
                <w:sz w:val="20"/>
                <w:szCs w:val="20"/>
              </w:rPr>
            </w:r>
            <w:r w:rsidRPr="008811C1">
              <w:rPr>
                <w:rFonts w:ascii="Arial Narrow" w:hAnsi="Arial Narrow" w:cs="Arial"/>
                <w:sz w:val="20"/>
                <w:szCs w:val="20"/>
              </w:rPr>
              <w:fldChar w:fldCharType="separate"/>
            </w:r>
            <w:r w:rsidRPr="008811C1">
              <w:rPr>
                <w:rFonts w:ascii="Arial Narrow" w:hAnsi="Arial Narrow" w:cs="Arial"/>
                <w:sz w:val="20"/>
                <w:szCs w:val="20"/>
              </w:rPr>
              <w:fldChar w:fldCharType="end"/>
            </w:r>
            <w:r w:rsidRPr="008811C1">
              <w:rPr>
                <w:rFonts w:ascii="Arial Narrow" w:hAnsi="Arial Narrow" w:cs="Arial"/>
                <w:sz w:val="20"/>
                <w:szCs w:val="20"/>
              </w:rPr>
              <w:t>Medical Practitioners</w:t>
            </w:r>
          </w:p>
        </w:tc>
      </w:tr>
      <w:tr w:rsidR="008B5155" w:rsidRPr="008811C1" w14:paraId="692641E4" w14:textId="77777777" w:rsidTr="79BD9D10">
        <w:trPr>
          <w:trHeight w:val="20"/>
        </w:trPr>
        <w:tc>
          <w:tcPr>
            <w:tcW w:w="1587" w:type="dxa"/>
            <w:gridSpan w:val="2"/>
            <w:vMerge/>
          </w:tcPr>
          <w:p w14:paraId="002CF32B" w14:textId="77777777" w:rsidR="008B5155" w:rsidRPr="008811C1" w:rsidRDefault="008B5155" w:rsidP="007E19AB">
            <w:pPr>
              <w:jc w:val="center"/>
              <w:rPr>
                <w:rFonts w:ascii="Arial Narrow" w:hAnsi="Arial Narrow" w:cs="Arial"/>
                <w:b/>
                <w:bCs/>
                <w:sz w:val="20"/>
                <w:szCs w:val="20"/>
              </w:rPr>
            </w:pPr>
          </w:p>
        </w:tc>
        <w:tc>
          <w:tcPr>
            <w:tcW w:w="7429" w:type="dxa"/>
            <w:gridSpan w:val="6"/>
            <w:tcBorders>
              <w:top w:val="single" w:sz="4" w:space="0" w:color="auto"/>
              <w:left w:val="single" w:sz="4" w:space="0" w:color="auto"/>
              <w:bottom w:val="single" w:sz="4" w:space="0" w:color="auto"/>
              <w:right w:val="single" w:sz="4" w:space="0" w:color="auto"/>
            </w:tcBorders>
            <w:vAlign w:val="center"/>
          </w:tcPr>
          <w:p w14:paraId="57797264" w14:textId="77777777" w:rsidR="008B5155" w:rsidRPr="008811C1" w:rsidRDefault="008B5155" w:rsidP="007E19AB">
            <w:pPr>
              <w:keepLines/>
              <w:jc w:val="left"/>
              <w:rPr>
                <w:rFonts w:ascii="Arial Narrow" w:eastAsia="Calibri" w:hAnsi="Arial Narrow" w:cs="Arial"/>
                <w:sz w:val="20"/>
                <w:szCs w:val="20"/>
              </w:rPr>
            </w:pPr>
            <w:r w:rsidRPr="008811C1">
              <w:rPr>
                <w:rFonts w:ascii="Arial Narrow" w:hAnsi="Arial Narrow" w:cs="Arial"/>
                <w:b/>
                <w:sz w:val="20"/>
                <w:szCs w:val="20"/>
              </w:rPr>
              <w:t xml:space="preserve">Restriction type: </w:t>
            </w:r>
            <w:r w:rsidRPr="008811C1">
              <w:rPr>
                <w:rFonts w:ascii="Arial Narrow" w:eastAsia="Calibri" w:hAnsi="Arial Narrow" w:cs="Arial"/>
                <w:sz w:val="20"/>
                <w:szCs w:val="20"/>
              </w:rPr>
              <w:fldChar w:fldCharType="begin">
                <w:ffData>
                  <w:name w:val="Check3"/>
                  <w:enabled/>
                  <w:calcOnExit w:val="0"/>
                  <w:checkBox>
                    <w:sizeAuto/>
                    <w:default w:val="1"/>
                  </w:checkBox>
                </w:ffData>
              </w:fldChar>
            </w:r>
            <w:r w:rsidRPr="008811C1">
              <w:rPr>
                <w:rFonts w:ascii="Arial Narrow" w:eastAsia="Calibri" w:hAnsi="Arial Narrow" w:cs="Arial"/>
                <w:sz w:val="20"/>
                <w:szCs w:val="20"/>
              </w:rPr>
              <w:instrText xml:space="preserve"> FORMCHECKBOX </w:instrText>
            </w:r>
            <w:r w:rsidRPr="008811C1">
              <w:rPr>
                <w:rFonts w:ascii="Arial Narrow" w:eastAsia="Calibri" w:hAnsi="Arial Narrow" w:cs="Arial"/>
                <w:sz w:val="20"/>
                <w:szCs w:val="20"/>
              </w:rPr>
            </w:r>
            <w:r w:rsidRPr="008811C1">
              <w:rPr>
                <w:rFonts w:ascii="Arial Narrow" w:eastAsia="Calibri" w:hAnsi="Arial Narrow" w:cs="Arial"/>
                <w:sz w:val="20"/>
                <w:szCs w:val="20"/>
              </w:rPr>
              <w:fldChar w:fldCharType="separate"/>
            </w:r>
            <w:r w:rsidRPr="008811C1">
              <w:rPr>
                <w:rFonts w:ascii="Arial Narrow" w:eastAsia="Calibri" w:hAnsi="Arial Narrow" w:cs="Arial"/>
                <w:sz w:val="20"/>
                <w:szCs w:val="20"/>
              </w:rPr>
              <w:fldChar w:fldCharType="end"/>
            </w:r>
            <w:r w:rsidRPr="008811C1">
              <w:rPr>
                <w:rFonts w:ascii="Arial Narrow" w:eastAsia="Calibri" w:hAnsi="Arial Narrow" w:cs="Arial"/>
                <w:sz w:val="20"/>
                <w:szCs w:val="20"/>
              </w:rPr>
              <w:t>Authority Required (telephone/online PBS Authorities system)</w:t>
            </w:r>
          </w:p>
        </w:tc>
      </w:tr>
      <w:tr w:rsidR="008B5155" w:rsidRPr="008811C1" w14:paraId="2E29B41D" w14:textId="77777777" w:rsidTr="79BD9D10">
        <w:trPr>
          <w:trHeight w:val="20"/>
        </w:trPr>
        <w:tc>
          <w:tcPr>
            <w:tcW w:w="1587" w:type="dxa"/>
            <w:gridSpan w:val="2"/>
            <w:vMerge/>
          </w:tcPr>
          <w:p w14:paraId="7BBAAEB4" w14:textId="77777777" w:rsidR="008B5155" w:rsidRPr="008811C1" w:rsidRDefault="008B5155" w:rsidP="007E19AB">
            <w:pPr>
              <w:jc w:val="center"/>
              <w:rPr>
                <w:rFonts w:ascii="Arial Narrow" w:hAnsi="Arial Narrow" w:cs="Arial"/>
                <w:b/>
                <w:bCs/>
                <w:sz w:val="20"/>
                <w:szCs w:val="20"/>
              </w:rPr>
            </w:pPr>
          </w:p>
        </w:tc>
        <w:tc>
          <w:tcPr>
            <w:tcW w:w="7429" w:type="dxa"/>
            <w:gridSpan w:val="6"/>
            <w:tcBorders>
              <w:top w:val="single" w:sz="4" w:space="0" w:color="auto"/>
              <w:left w:val="single" w:sz="4" w:space="0" w:color="auto"/>
              <w:bottom w:val="single" w:sz="4" w:space="0" w:color="auto"/>
              <w:right w:val="single" w:sz="4" w:space="0" w:color="auto"/>
            </w:tcBorders>
            <w:vAlign w:val="center"/>
          </w:tcPr>
          <w:p w14:paraId="43CD184A" w14:textId="77777777" w:rsidR="008B5155" w:rsidRPr="008811C1" w:rsidRDefault="008B5155" w:rsidP="007E19AB">
            <w:pPr>
              <w:keepLines/>
              <w:jc w:val="left"/>
              <w:rPr>
                <w:rFonts w:ascii="Arial Narrow" w:hAnsi="Arial Narrow" w:cs="Arial"/>
                <w:b/>
                <w:sz w:val="20"/>
                <w:szCs w:val="20"/>
              </w:rPr>
            </w:pPr>
            <w:r w:rsidRPr="008811C1">
              <w:rPr>
                <w:rFonts w:ascii="Arial Narrow" w:hAnsi="Arial Narrow" w:cs="Arial"/>
                <w:b/>
                <w:sz w:val="20"/>
                <w:szCs w:val="20"/>
              </w:rPr>
              <w:t xml:space="preserve">Authority type: </w:t>
            </w:r>
            <w:r w:rsidRPr="008811C1">
              <w:rPr>
                <w:rFonts w:ascii="Arial Narrow" w:eastAsia="Calibri" w:hAnsi="Arial Narrow" w:cs="Arial"/>
                <w:sz w:val="20"/>
                <w:szCs w:val="20"/>
              </w:rPr>
              <w:fldChar w:fldCharType="begin">
                <w:ffData>
                  <w:name w:val="Check3"/>
                  <w:enabled/>
                  <w:calcOnExit w:val="0"/>
                  <w:checkBox>
                    <w:sizeAuto/>
                    <w:default w:val="1"/>
                  </w:checkBox>
                </w:ffData>
              </w:fldChar>
            </w:r>
            <w:r w:rsidRPr="008811C1">
              <w:rPr>
                <w:rFonts w:ascii="Arial Narrow" w:eastAsia="Calibri" w:hAnsi="Arial Narrow" w:cs="Arial"/>
                <w:sz w:val="20"/>
                <w:szCs w:val="20"/>
              </w:rPr>
              <w:instrText xml:space="preserve"> FORMCHECKBOX </w:instrText>
            </w:r>
            <w:r w:rsidRPr="008811C1">
              <w:rPr>
                <w:rFonts w:ascii="Arial Narrow" w:eastAsia="Calibri" w:hAnsi="Arial Narrow" w:cs="Arial"/>
                <w:sz w:val="20"/>
                <w:szCs w:val="20"/>
              </w:rPr>
            </w:r>
            <w:r w:rsidRPr="008811C1">
              <w:rPr>
                <w:rFonts w:ascii="Arial Narrow" w:eastAsia="Calibri" w:hAnsi="Arial Narrow" w:cs="Arial"/>
                <w:sz w:val="20"/>
                <w:szCs w:val="20"/>
              </w:rPr>
              <w:fldChar w:fldCharType="separate"/>
            </w:r>
            <w:r w:rsidRPr="008811C1">
              <w:rPr>
                <w:rFonts w:ascii="Arial Narrow" w:eastAsia="Calibri" w:hAnsi="Arial Narrow" w:cs="Arial"/>
                <w:sz w:val="20"/>
                <w:szCs w:val="20"/>
              </w:rPr>
              <w:fldChar w:fldCharType="end"/>
            </w:r>
            <w:r w:rsidRPr="008811C1">
              <w:rPr>
                <w:rFonts w:ascii="Arial Narrow" w:eastAsia="Calibri" w:hAnsi="Arial Narrow" w:cs="Arial"/>
                <w:sz w:val="20"/>
                <w:szCs w:val="20"/>
              </w:rPr>
              <w:t xml:space="preserve"> </w:t>
            </w:r>
            <w:r w:rsidRPr="008811C1">
              <w:rPr>
                <w:rFonts w:ascii="Arial Narrow" w:hAnsi="Arial Narrow" w:cs="Arial"/>
                <w:bCs/>
                <w:sz w:val="20"/>
                <w:szCs w:val="20"/>
              </w:rPr>
              <w:t>Non-complex Authority Required (non-CAR)</w:t>
            </w:r>
          </w:p>
        </w:tc>
      </w:tr>
      <w:tr w:rsidR="008B5155" w:rsidRPr="008811C1" w14:paraId="4E595CD2" w14:textId="77777777" w:rsidTr="79BD9D10">
        <w:trPr>
          <w:trHeight w:val="20"/>
        </w:trPr>
        <w:tc>
          <w:tcPr>
            <w:tcW w:w="705" w:type="dxa"/>
            <w:vMerge w:val="restart"/>
            <w:tcBorders>
              <w:left w:val="single" w:sz="4" w:space="0" w:color="auto"/>
              <w:right w:val="single" w:sz="4" w:space="0" w:color="auto"/>
            </w:tcBorders>
            <w:textDirection w:val="btLr"/>
            <w:vAlign w:val="center"/>
          </w:tcPr>
          <w:p w14:paraId="10EF7F39" w14:textId="77777777" w:rsidR="008B5155" w:rsidRPr="008811C1" w:rsidRDefault="008B5155" w:rsidP="007E19AB">
            <w:pPr>
              <w:ind w:left="113" w:right="113"/>
              <w:jc w:val="center"/>
              <w:rPr>
                <w:rFonts w:ascii="Arial Narrow" w:hAnsi="Arial Narrow" w:cs="Arial"/>
                <w:sz w:val="20"/>
                <w:szCs w:val="20"/>
              </w:rPr>
            </w:pPr>
            <w:r w:rsidRPr="008811C1">
              <w:rPr>
                <w:rFonts w:ascii="Arial Narrow" w:hAnsi="Arial Narrow" w:cs="Arial"/>
                <w:sz w:val="20"/>
                <w:szCs w:val="20"/>
              </w:rPr>
              <w:t>Prescribing rule level</w:t>
            </w:r>
          </w:p>
        </w:tc>
        <w:tc>
          <w:tcPr>
            <w:tcW w:w="882" w:type="dxa"/>
            <w:tcBorders>
              <w:left w:val="single" w:sz="4" w:space="0" w:color="auto"/>
            </w:tcBorders>
            <w:vAlign w:val="center"/>
          </w:tcPr>
          <w:p w14:paraId="4EF07A82" w14:textId="5962C14A" w:rsidR="008B5155" w:rsidRPr="008811C1" w:rsidRDefault="008B5155" w:rsidP="007E19AB">
            <w:pPr>
              <w:jc w:val="center"/>
              <w:rPr>
                <w:rFonts w:ascii="Arial Narrow" w:hAnsi="Arial Narrow"/>
                <w:color w:val="333333"/>
                <w:sz w:val="20"/>
                <w:szCs w:val="20"/>
              </w:rPr>
            </w:pPr>
          </w:p>
        </w:tc>
        <w:tc>
          <w:tcPr>
            <w:tcW w:w="7429" w:type="dxa"/>
            <w:gridSpan w:val="6"/>
            <w:vAlign w:val="center"/>
          </w:tcPr>
          <w:p w14:paraId="7A98AE08" w14:textId="77777777" w:rsidR="008B5155" w:rsidRPr="008811C1" w:rsidRDefault="008B5155" w:rsidP="007E19AB">
            <w:pPr>
              <w:rPr>
                <w:rFonts w:ascii="Arial Narrow" w:hAnsi="Arial Narrow"/>
                <w:sz w:val="20"/>
                <w:szCs w:val="20"/>
              </w:rPr>
            </w:pPr>
            <w:r w:rsidRPr="008811C1">
              <w:rPr>
                <w:rFonts w:ascii="Arial Narrow" w:hAnsi="Arial Narrow"/>
                <w:b/>
                <w:bCs/>
                <w:sz w:val="20"/>
                <w:szCs w:val="20"/>
              </w:rPr>
              <w:t xml:space="preserve">Administrative Advice: </w:t>
            </w:r>
            <w:r w:rsidRPr="008811C1">
              <w:rPr>
                <w:rFonts w:ascii="Arial Narrow" w:hAnsi="Arial Narrow"/>
                <w:bCs/>
                <w:sz w:val="20"/>
                <w:szCs w:val="20"/>
              </w:rPr>
              <w:t>No increase in the maximum quantity or number of units may be authorised.</w:t>
            </w:r>
          </w:p>
        </w:tc>
      </w:tr>
      <w:tr w:rsidR="008B5155" w:rsidRPr="008811C1" w14:paraId="265FBA3F" w14:textId="77777777" w:rsidTr="79BD9D10">
        <w:trPr>
          <w:trHeight w:val="20"/>
        </w:trPr>
        <w:tc>
          <w:tcPr>
            <w:tcW w:w="705" w:type="dxa"/>
            <w:vMerge/>
          </w:tcPr>
          <w:p w14:paraId="554ABE21" w14:textId="77777777" w:rsidR="008B5155" w:rsidRPr="008811C1" w:rsidRDefault="008B5155" w:rsidP="007E19AB">
            <w:pPr>
              <w:rPr>
                <w:rFonts w:ascii="Arial Narrow" w:hAnsi="Arial Narrow" w:cs="Arial"/>
                <w:sz w:val="20"/>
                <w:szCs w:val="20"/>
              </w:rPr>
            </w:pPr>
          </w:p>
        </w:tc>
        <w:tc>
          <w:tcPr>
            <w:tcW w:w="882" w:type="dxa"/>
            <w:tcBorders>
              <w:left w:val="single" w:sz="4" w:space="0" w:color="auto"/>
            </w:tcBorders>
            <w:vAlign w:val="center"/>
          </w:tcPr>
          <w:p w14:paraId="2F6CC9A9" w14:textId="6DBC3A17" w:rsidR="008B5155" w:rsidRPr="008811C1" w:rsidRDefault="008B5155" w:rsidP="007E19AB">
            <w:pPr>
              <w:jc w:val="center"/>
              <w:rPr>
                <w:rFonts w:ascii="Arial Narrow" w:hAnsi="Arial Narrow"/>
                <w:sz w:val="20"/>
                <w:szCs w:val="20"/>
              </w:rPr>
            </w:pPr>
          </w:p>
        </w:tc>
        <w:tc>
          <w:tcPr>
            <w:tcW w:w="7429" w:type="dxa"/>
            <w:gridSpan w:val="6"/>
            <w:vAlign w:val="center"/>
          </w:tcPr>
          <w:p w14:paraId="7B8131C8" w14:textId="77777777" w:rsidR="008B5155" w:rsidRPr="008811C1" w:rsidRDefault="008B5155" w:rsidP="007E19AB">
            <w:pPr>
              <w:rPr>
                <w:rFonts w:ascii="Arial Narrow" w:hAnsi="Arial Narrow"/>
                <w:b/>
                <w:bCs/>
                <w:sz w:val="20"/>
                <w:szCs w:val="20"/>
              </w:rPr>
            </w:pPr>
            <w:r w:rsidRPr="008811C1">
              <w:rPr>
                <w:rFonts w:ascii="Arial Narrow" w:hAnsi="Arial Narrow"/>
                <w:b/>
                <w:bCs/>
                <w:sz w:val="20"/>
                <w:szCs w:val="20"/>
              </w:rPr>
              <w:t xml:space="preserve">Administrative Advice: </w:t>
            </w:r>
            <w:r w:rsidRPr="008811C1">
              <w:rPr>
                <w:rFonts w:ascii="Arial Narrow" w:hAnsi="Arial Narrow"/>
                <w:bCs/>
                <w:sz w:val="20"/>
                <w:szCs w:val="20"/>
              </w:rPr>
              <w:t>No increase in the maximum number of repeats may be authorised.</w:t>
            </w:r>
          </w:p>
        </w:tc>
      </w:tr>
      <w:tr w:rsidR="008B5155" w:rsidRPr="008811C1" w14:paraId="51ABC2CA" w14:textId="77777777" w:rsidTr="79BD9D10">
        <w:trPr>
          <w:trHeight w:val="20"/>
        </w:trPr>
        <w:tc>
          <w:tcPr>
            <w:tcW w:w="705" w:type="dxa"/>
            <w:vMerge/>
          </w:tcPr>
          <w:p w14:paraId="4178CEA4" w14:textId="77777777" w:rsidR="008B5155" w:rsidRPr="008811C1" w:rsidRDefault="008B5155" w:rsidP="007E19AB">
            <w:pPr>
              <w:rPr>
                <w:rFonts w:ascii="Arial Narrow" w:hAnsi="Arial Narrow" w:cs="Arial"/>
                <w:sz w:val="20"/>
                <w:szCs w:val="20"/>
              </w:rPr>
            </w:pPr>
          </w:p>
        </w:tc>
        <w:tc>
          <w:tcPr>
            <w:tcW w:w="882" w:type="dxa"/>
            <w:tcBorders>
              <w:left w:val="single" w:sz="4" w:space="0" w:color="auto"/>
            </w:tcBorders>
            <w:vAlign w:val="center"/>
          </w:tcPr>
          <w:p w14:paraId="529C358E" w14:textId="769C26C8" w:rsidR="008B5155" w:rsidRPr="002251C1" w:rsidRDefault="008B5155" w:rsidP="007E19AB">
            <w:pPr>
              <w:jc w:val="center"/>
              <w:rPr>
                <w:rFonts w:ascii="Arial Narrow" w:hAnsi="Arial Narrow"/>
                <w:sz w:val="20"/>
                <w:szCs w:val="20"/>
              </w:rPr>
            </w:pPr>
          </w:p>
        </w:tc>
        <w:tc>
          <w:tcPr>
            <w:tcW w:w="7429" w:type="dxa"/>
            <w:gridSpan w:val="6"/>
            <w:vAlign w:val="center"/>
          </w:tcPr>
          <w:p w14:paraId="4DBF6978" w14:textId="77777777" w:rsidR="008B5155" w:rsidRPr="002251C1" w:rsidRDefault="008B5155" w:rsidP="007E19AB">
            <w:pPr>
              <w:rPr>
                <w:rFonts w:ascii="Arial Narrow" w:hAnsi="Arial Narrow"/>
                <w:bCs/>
                <w:sz w:val="20"/>
                <w:szCs w:val="20"/>
              </w:rPr>
            </w:pPr>
            <w:r w:rsidRPr="002251C1">
              <w:rPr>
                <w:rFonts w:ascii="Arial Narrow" w:hAnsi="Arial Narrow"/>
                <w:b/>
                <w:bCs/>
                <w:sz w:val="20"/>
                <w:szCs w:val="20"/>
              </w:rPr>
              <w:t>Administrative Advice:</w:t>
            </w:r>
            <w:r w:rsidRPr="002251C1">
              <w:rPr>
                <w:rFonts w:ascii="Arial Narrow" w:hAnsi="Arial Narrow"/>
                <w:bCs/>
                <w:sz w:val="20"/>
                <w:szCs w:val="20"/>
              </w:rPr>
              <w:t xml:space="preserve"> </w:t>
            </w:r>
          </w:p>
          <w:p w14:paraId="433DF51D" w14:textId="77777777" w:rsidR="008B5155" w:rsidRPr="002251C1" w:rsidRDefault="008B5155" w:rsidP="007E19AB">
            <w:pPr>
              <w:rPr>
                <w:rFonts w:ascii="Arial Narrow" w:hAnsi="Arial Narrow"/>
                <w:bCs/>
                <w:sz w:val="20"/>
                <w:szCs w:val="20"/>
              </w:rPr>
            </w:pPr>
            <w:r w:rsidRPr="002251C1">
              <w:rPr>
                <w:rFonts w:ascii="Arial Narrow" w:hAnsi="Arial Narrow"/>
                <w:bCs/>
                <w:sz w:val="20"/>
                <w:szCs w:val="20"/>
              </w:rPr>
              <w:t>The ALS Functional Rating Scale - Revised (ALSFRS-R) can be accessed online at:</w:t>
            </w:r>
          </w:p>
          <w:p w14:paraId="3AF12F2E" w14:textId="77777777" w:rsidR="008B5155" w:rsidRPr="002251C1" w:rsidRDefault="008B5155" w:rsidP="007E19AB">
            <w:pPr>
              <w:rPr>
                <w:rFonts w:ascii="Arial Narrow" w:hAnsi="Arial Narrow"/>
                <w:bCs/>
                <w:sz w:val="20"/>
                <w:szCs w:val="20"/>
              </w:rPr>
            </w:pPr>
            <w:r w:rsidRPr="002251C1">
              <w:rPr>
                <w:rFonts w:ascii="Arial Narrow" w:hAnsi="Arial Narrow"/>
                <w:bCs/>
                <w:sz w:val="20"/>
                <w:szCs w:val="20"/>
              </w:rPr>
              <w:t>www.mdcalc.com/calc/10166/revised-amyotrophic-lateral-sclerosis-functional-rating-scale-alsfrs-r or https://neurotoolkit.com/alsfrs-r/</w:t>
            </w:r>
          </w:p>
        </w:tc>
      </w:tr>
      <w:tr w:rsidR="008B5155" w:rsidRPr="008811C1" w14:paraId="0544621F" w14:textId="77777777" w:rsidTr="79BD9D10">
        <w:trPr>
          <w:trHeight w:val="20"/>
        </w:trPr>
        <w:tc>
          <w:tcPr>
            <w:tcW w:w="705" w:type="dxa"/>
            <w:vMerge/>
          </w:tcPr>
          <w:p w14:paraId="455C995F" w14:textId="77777777" w:rsidR="008B5155" w:rsidRPr="008811C1" w:rsidRDefault="008B5155" w:rsidP="007E19AB">
            <w:pPr>
              <w:rPr>
                <w:rFonts w:ascii="Arial Narrow" w:hAnsi="Arial Narrow" w:cs="Arial"/>
                <w:sz w:val="20"/>
                <w:szCs w:val="20"/>
              </w:rPr>
            </w:pPr>
          </w:p>
        </w:tc>
        <w:tc>
          <w:tcPr>
            <w:tcW w:w="882" w:type="dxa"/>
            <w:tcBorders>
              <w:left w:val="single" w:sz="4" w:space="0" w:color="auto"/>
            </w:tcBorders>
            <w:vAlign w:val="center"/>
          </w:tcPr>
          <w:p w14:paraId="0C74B120" w14:textId="270A09F7" w:rsidR="008B5155" w:rsidRPr="002251C1" w:rsidRDefault="008B5155" w:rsidP="007E19AB">
            <w:pPr>
              <w:jc w:val="center"/>
              <w:rPr>
                <w:rFonts w:ascii="Arial Narrow" w:hAnsi="Arial Narrow"/>
                <w:sz w:val="20"/>
                <w:szCs w:val="20"/>
              </w:rPr>
            </w:pPr>
          </w:p>
        </w:tc>
        <w:tc>
          <w:tcPr>
            <w:tcW w:w="7429" w:type="dxa"/>
            <w:gridSpan w:val="6"/>
            <w:vAlign w:val="center"/>
          </w:tcPr>
          <w:p w14:paraId="73BBC368" w14:textId="77777777" w:rsidR="008B5155" w:rsidRPr="002251C1" w:rsidRDefault="008B5155" w:rsidP="007E19AB">
            <w:pPr>
              <w:rPr>
                <w:rFonts w:ascii="Arial Narrow" w:hAnsi="Arial Narrow"/>
                <w:b/>
                <w:bCs/>
                <w:sz w:val="20"/>
                <w:szCs w:val="20"/>
              </w:rPr>
            </w:pPr>
            <w:r w:rsidRPr="002251C1">
              <w:rPr>
                <w:rFonts w:ascii="Arial Narrow" w:hAnsi="Arial Narrow"/>
                <w:b/>
                <w:bCs/>
                <w:sz w:val="20"/>
                <w:szCs w:val="20"/>
              </w:rPr>
              <w:t xml:space="preserve">Administrative Advice: </w:t>
            </w:r>
            <w:r w:rsidRPr="002251C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8B5155" w:rsidRPr="008811C1" w14:paraId="78095055" w14:textId="77777777" w:rsidTr="79BD9D10">
        <w:trPr>
          <w:trHeight w:val="20"/>
        </w:trPr>
        <w:tc>
          <w:tcPr>
            <w:tcW w:w="705" w:type="dxa"/>
            <w:vMerge/>
            <w:vAlign w:val="center"/>
          </w:tcPr>
          <w:p w14:paraId="2B75041F" w14:textId="77777777" w:rsidR="008B5155" w:rsidRPr="008811C1" w:rsidRDefault="008B5155" w:rsidP="007E19AB">
            <w:pPr>
              <w:rPr>
                <w:rFonts w:ascii="Arial Narrow" w:hAnsi="Arial Narrow"/>
                <w:sz w:val="20"/>
                <w:szCs w:val="20"/>
              </w:rPr>
            </w:pPr>
          </w:p>
        </w:tc>
        <w:tc>
          <w:tcPr>
            <w:tcW w:w="882" w:type="dxa"/>
            <w:tcBorders>
              <w:left w:val="single" w:sz="4" w:space="0" w:color="auto"/>
            </w:tcBorders>
            <w:vAlign w:val="center"/>
          </w:tcPr>
          <w:p w14:paraId="432BF054" w14:textId="15DCA393" w:rsidR="008B5155" w:rsidRPr="002251C1" w:rsidRDefault="008B5155" w:rsidP="007E19AB">
            <w:pPr>
              <w:jc w:val="center"/>
              <w:rPr>
                <w:rFonts w:ascii="Arial Narrow" w:hAnsi="Arial Narrow"/>
                <w:i/>
                <w:iCs/>
                <w:color w:val="000000" w:themeColor="text1"/>
                <w:sz w:val="20"/>
                <w:szCs w:val="20"/>
              </w:rPr>
            </w:pPr>
          </w:p>
        </w:tc>
        <w:tc>
          <w:tcPr>
            <w:tcW w:w="7429" w:type="dxa"/>
            <w:gridSpan w:val="6"/>
            <w:vAlign w:val="center"/>
          </w:tcPr>
          <w:p w14:paraId="07AFA2E8" w14:textId="5DBC7A60" w:rsidR="008B5155" w:rsidRPr="002251C1" w:rsidRDefault="4DD319F1" w:rsidP="79BD9D10">
            <w:pPr>
              <w:rPr>
                <w:rFonts w:ascii="Arial Narrow" w:hAnsi="Arial Narrow"/>
                <w:i/>
                <w:iCs/>
                <w:color w:val="000000" w:themeColor="text1"/>
                <w:sz w:val="20"/>
                <w:szCs w:val="20"/>
              </w:rPr>
            </w:pPr>
            <w:r w:rsidRPr="002251C1">
              <w:rPr>
                <w:rFonts w:ascii="Arial Narrow" w:hAnsi="Arial Narrow"/>
                <w:b/>
                <w:bCs/>
                <w:i/>
                <w:iCs/>
                <w:color w:val="000000" w:themeColor="text1"/>
                <w:sz w:val="20"/>
                <w:szCs w:val="20"/>
              </w:rPr>
              <w:t xml:space="preserve">Caution: </w:t>
            </w:r>
            <w:r w:rsidRPr="002251C1">
              <w:rPr>
                <w:rFonts w:ascii="Arial Narrow" w:hAnsi="Arial Narrow"/>
                <w:i/>
                <w:iCs/>
                <w:color w:val="000000" w:themeColor="text1"/>
                <w:sz w:val="20"/>
                <w:szCs w:val="20"/>
              </w:rPr>
              <w:t xml:space="preserve">Hypersensitivity reactions and cases of anaphylaxis have been reported following the administration of </w:t>
            </w:r>
            <w:proofErr w:type="spellStart"/>
            <w:r w:rsidRPr="002251C1">
              <w:rPr>
                <w:rFonts w:ascii="Arial Narrow" w:hAnsi="Arial Narrow"/>
                <w:i/>
                <w:iCs/>
                <w:color w:val="000000" w:themeColor="text1"/>
                <w:sz w:val="20"/>
                <w:szCs w:val="20"/>
              </w:rPr>
              <w:t>edaravone</w:t>
            </w:r>
            <w:proofErr w:type="spellEnd"/>
            <w:r w:rsidRPr="002251C1">
              <w:rPr>
                <w:rFonts w:ascii="Arial Narrow" w:hAnsi="Arial Narrow"/>
                <w:i/>
                <w:iCs/>
                <w:color w:val="000000" w:themeColor="text1"/>
                <w:sz w:val="20"/>
                <w:szCs w:val="20"/>
              </w:rPr>
              <w:t xml:space="preserve">. </w:t>
            </w:r>
            <w:r w:rsidRPr="002251C1">
              <w:rPr>
                <w:rFonts w:ascii="Arial Narrow" w:eastAsia="Arial Narrow" w:hAnsi="Arial Narrow" w:cs="Arial Narrow"/>
                <w:i/>
                <w:iCs/>
                <w:color w:val="000000" w:themeColor="text1"/>
                <w:sz w:val="20"/>
                <w:szCs w:val="20"/>
              </w:rPr>
              <w:t>Patients should be monitored carefully for hypersensitivity reactions following administration. For more information on administration schedule, refer to</w:t>
            </w:r>
            <w:r w:rsidRPr="002251C1">
              <w:rPr>
                <w:rFonts w:ascii="Arial Narrow" w:hAnsi="Arial Narrow"/>
                <w:i/>
                <w:iCs/>
                <w:color w:val="000000" w:themeColor="text1"/>
                <w:sz w:val="20"/>
                <w:szCs w:val="20"/>
              </w:rPr>
              <w:t xml:space="preserve"> the approved Therapeutic Goods Administration</w:t>
            </w:r>
            <w:r w:rsidR="4888D0B5" w:rsidRPr="002251C1">
              <w:rPr>
                <w:rFonts w:ascii="Arial Narrow" w:hAnsi="Arial Narrow"/>
                <w:i/>
                <w:iCs/>
                <w:color w:val="000000" w:themeColor="text1"/>
                <w:sz w:val="20"/>
                <w:szCs w:val="20"/>
              </w:rPr>
              <w:t xml:space="preserve"> (</w:t>
            </w:r>
            <w:r w:rsidR="6FEEB705" w:rsidRPr="002251C1">
              <w:rPr>
                <w:rFonts w:ascii="Arial Narrow" w:hAnsi="Arial Narrow"/>
                <w:i/>
                <w:iCs/>
                <w:color w:val="000000" w:themeColor="text1"/>
                <w:sz w:val="20"/>
                <w:szCs w:val="20"/>
              </w:rPr>
              <w:t>TGA)</w:t>
            </w:r>
            <w:r w:rsidRPr="002251C1">
              <w:rPr>
                <w:rFonts w:ascii="Arial Narrow" w:hAnsi="Arial Narrow"/>
                <w:i/>
                <w:iCs/>
                <w:color w:val="000000" w:themeColor="text1"/>
                <w:sz w:val="20"/>
                <w:szCs w:val="20"/>
              </w:rPr>
              <w:t xml:space="preserve"> </w:t>
            </w:r>
            <w:r w:rsidR="71ED96D1" w:rsidRPr="002251C1">
              <w:rPr>
                <w:rFonts w:ascii="Arial Narrow" w:hAnsi="Arial Narrow"/>
                <w:i/>
                <w:iCs/>
                <w:color w:val="000000" w:themeColor="text1"/>
                <w:sz w:val="20"/>
                <w:szCs w:val="20"/>
              </w:rPr>
              <w:t>P</w:t>
            </w:r>
            <w:r w:rsidRPr="002251C1">
              <w:rPr>
                <w:rFonts w:ascii="Arial Narrow" w:hAnsi="Arial Narrow"/>
                <w:i/>
                <w:iCs/>
                <w:color w:val="000000" w:themeColor="text1"/>
                <w:sz w:val="20"/>
                <w:szCs w:val="20"/>
              </w:rPr>
              <w:t xml:space="preserve">roduct Information. </w:t>
            </w:r>
          </w:p>
        </w:tc>
      </w:tr>
      <w:tr w:rsidR="008B5155" w:rsidRPr="008811C1" w14:paraId="327A5069" w14:textId="77777777" w:rsidTr="79BD9D10">
        <w:trPr>
          <w:trHeight w:val="20"/>
        </w:trPr>
        <w:tc>
          <w:tcPr>
            <w:tcW w:w="1587" w:type="dxa"/>
            <w:gridSpan w:val="2"/>
            <w:vAlign w:val="center"/>
            <w:hideMark/>
          </w:tcPr>
          <w:p w14:paraId="185BB39C" w14:textId="0494409D" w:rsidR="008B5155" w:rsidRPr="002251C1" w:rsidRDefault="008B5155" w:rsidP="007E19AB">
            <w:pPr>
              <w:keepLines/>
              <w:jc w:val="center"/>
              <w:rPr>
                <w:rFonts w:ascii="Arial Narrow" w:hAnsi="Arial Narrow"/>
                <w:sz w:val="20"/>
                <w:szCs w:val="20"/>
              </w:rPr>
            </w:pPr>
          </w:p>
        </w:tc>
        <w:tc>
          <w:tcPr>
            <w:tcW w:w="7429" w:type="dxa"/>
            <w:gridSpan w:val="6"/>
            <w:vAlign w:val="center"/>
            <w:hideMark/>
          </w:tcPr>
          <w:p w14:paraId="11061C5A" w14:textId="77777777" w:rsidR="008B5155" w:rsidRPr="002251C1" w:rsidRDefault="008B5155" w:rsidP="007E19AB">
            <w:pPr>
              <w:keepLines/>
              <w:rPr>
                <w:rFonts w:ascii="Arial Narrow" w:hAnsi="Arial Narrow"/>
                <w:color w:val="333333"/>
                <w:sz w:val="20"/>
                <w:szCs w:val="20"/>
              </w:rPr>
            </w:pPr>
            <w:r w:rsidRPr="002251C1">
              <w:rPr>
                <w:rFonts w:ascii="Arial Narrow" w:hAnsi="Arial Narrow"/>
                <w:b/>
                <w:bCs/>
                <w:sz w:val="20"/>
                <w:szCs w:val="20"/>
              </w:rPr>
              <w:t>Indication:</w:t>
            </w:r>
            <w:r w:rsidRPr="002251C1">
              <w:rPr>
                <w:rFonts w:ascii="Arial Narrow" w:hAnsi="Arial Narrow"/>
                <w:sz w:val="20"/>
                <w:szCs w:val="20"/>
              </w:rPr>
              <w:t xml:space="preserve"> </w:t>
            </w:r>
            <w:r w:rsidRPr="002251C1">
              <w:rPr>
                <w:rFonts w:ascii="Arial Narrow" w:hAnsi="Arial Narrow" w:cs="Arial Narrow"/>
                <w:iCs/>
                <w:sz w:val="20"/>
                <w:szCs w:val="20"/>
              </w:rPr>
              <w:t>Amyotrophic lateral sclerosis</w:t>
            </w:r>
          </w:p>
        </w:tc>
      </w:tr>
      <w:tr w:rsidR="008B5155" w:rsidRPr="008811C1" w14:paraId="6D0A389F" w14:textId="77777777" w:rsidTr="79BD9D10">
        <w:trPr>
          <w:trHeight w:val="20"/>
        </w:trPr>
        <w:tc>
          <w:tcPr>
            <w:tcW w:w="1587" w:type="dxa"/>
            <w:gridSpan w:val="2"/>
            <w:vAlign w:val="center"/>
            <w:hideMark/>
          </w:tcPr>
          <w:p w14:paraId="196B89F7" w14:textId="77777777" w:rsidR="008B5155" w:rsidRPr="002251C1" w:rsidRDefault="008B5155" w:rsidP="007E19AB">
            <w:pPr>
              <w:jc w:val="center"/>
              <w:rPr>
                <w:rFonts w:ascii="Arial Narrow" w:hAnsi="Arial Narrow"/>
                <w:sz w:val="20"/>
                <w:szCs w:val="20"/>
              </w:rPr>
            </w:pPr>
          </w:p>
        </w:tc>
        <w:tc>
          <w:tcPr>
            <w:tcW w:w="7429" w:type="dxa"/>
            <w:gridSpan w:val="6"/>
            <w:vAlign w:val="center"/>
            <w:hideMark/>
          </w:tcPr>
          <w:p w14:paraId="4D987696" w14:textId="77777777" w:rsidR="008B5155" w:rsidRPr="002251C1" w:rsidRDefault="008B5155" w:rsidP="007E19AB">
            <w:pPr>
              <w:rPr>
                <w:rFonts w:ascii="Arial Narrow" w:hAnsi="Arial Narrow"/>
                <w:sz w:val="20"/>
                <w:szCs w:val="20"/>
              </w:rPr>
            </w:pPr>
            <w:r w:rsidRPr="002251C1">
              <w:rPr>
                <w:rFonts w:ascii="Arial Narrow" w:hAnsi="Arial Narrow"/>
                <w:b/>
                <w:bCs/>
                <w:sz w:val="20"/>
                <w:szCs w:val="20"/>
              </w:rPr>
              <w:t>Treatment Phase:</w:t>
            </w:r>
            <w:r w:rsidRPr="002251C1">
              <w:rPr>
                <w:rFonts w:ascii="Arial Narrow" w:hAnsi="Arial Narrow"/>
                <w:sz w:val="20"/>
                <w:szCs w:val="20"/>
              </w:rPr>
              <w:t xml:space="preserve"> Initial treatment</w:t>
            </w:r>
          </w:p>
        </w:tc>
      </w:tr>
      <w:tr w:rsidR="008B5155" w:rsidRPr="008811C1" w14:paraId="7BD1B008" w14:textId="77777777" w:rsidTr="79BD9D10">
        <w:trPr>
          <w:trHeight w:val="20"/>
        </w:trPr>
        <w:tc>
          <w:tcPr>
            <w:tcW w:w="1587" w:type="dxa"/>
            <w:gridSpan w:val="2"/>
            <w:vAlign w:val="center"/>
          </w:tcPr>
          <w:p w14:paraId="3C2B2DB0" w14:textId="6E386D33" w:rsidR="008B5155" w:rsidRPr="002251C1" w:rsidRDefault="008B5155" w:rsidP="007E19AB">
            <w:pPr>
              <w:jc w:val="center"/>
              <w:rPr>
                <w:rFonts w:ascii="Arial Narrow" w:hAnsi="Arial Narrow"/>
                <w:sz w:val="20"/>
                <w:szCs w:val="20"/>
              </w:rPr>
            </w:pPr>
          </w:p>
        </w:tc>
        <w:tc>
          <w:tcPr>
            <w:tcW w:w="7429" w:type="dxa"/>
            <w:gridSpan w:val="6"/>
            <w:vAlign w:val="center"/>
            <w:hideMark/>
          </w:tcPr>
          <w:p w14:paraId="5F849193" w14:textId="77777777" w:rsidR="008B5155" w:rsidRPr="002251C1" w:rsidRDefault="008B5155" w:rsidP="007E19AB">
            <w:pPr>
              <w:rPr>
                <w:rFonts w:ascii="Arial Narrow" w:hAnsi="Arial Narrow"/>
                <w:sz w:val="20"/>
                <w:szCs w:val="20"/>
              </w:rPr>
            </w:pPr>
            <w:r w:rsidRPr="002251C1">
              <w:rPr>
                <w:rFonts w:ascii="Arial Narrow" w:hAnsi="Arial Narrow"/>
                <w:b/>
                <w:bCs/>
                <w:sz w:val="20"/>
                <w:szCs w:val="20"/>
              </w:rPr>
              <w:t xml:space="preserve">Clinical criteria: </w:t>
            </w:r>
          </w:p>
        </w:tc>
      </w:tr>
      <w:tr w:rsidR="008B5155" w:rsidRPr="008811C1" w14:paraId="6CF39E21" w14:textId="77777777" w:rsidTr="79BD9D10">
        <w:trPr>
          <w:trHeight w:val="20"/>
        </w:trPr>
        <w:tc>
          <w:tcPr>
            <w:tcW w:w="1587" w:type="dxa"/>
            <w:gridSpan w:val="2"/>
            <w:vAlign w:val="center"/>
          </w:tcPr>
          <w:p w14:paraId="365B17DF" w14:textId="50A070E3" w:rsidR="008B5155" w:rsidRPr="002251C1" w:rsidRDefault="008B5155" w:rsidP="007E19AB">
            <w:pPr>
              <w:jc w:val="center"/>
              <w:rPr>
                <w:rFonts w:ascii="Arial Narrow" w:hAnsi="Arial Narrow"/>
                <w:sz w:val="20"/>
                <w:szCs w:val="20"/>
              </w:rPr>
            </w:pPr>
          </w:p>
        </w:tc>
        <w:tc>
          <w:tcPr>
            <w:tcW w:w="7429" w:type="dxa"/>
            <w:gridSpan w:val="6"/>
            <w:vAlign w:val="center"/>
            <w:hideMark/>
          </w:tcPr>
          <w:p w14:paraId="5FAF8E51" w14:textId="77777777" w:rsidR="008B5155" w:rsidRPr="002251C1" w:rsidRDefault="008B5155" w:rsidP="007E19AB">
            <w:pPr>
              <w:jc w:val="left"/>
              <w:rPr>
                <w:rFonts w:ascii="Arial Narrow" w:hAnsi="Arial Narrow"/>
                <w:color w:val="333333"/>
                <w:sz w:val="20"/>
                <w:szCs w:val="20"/>
              </w:rPr>
            </w:pPr>
            <w:r w:rsidRPr="002251C1">
              <w:rPr>
                <w:rFonts w:ascii="Arial Narrow" w:hAnsi="Arial Narrow"/>
                <w:color w:val="333333"/>
                <w:sz w:val="20"/>
                <w:szCs w:val="20"/>
              </w:rPr>
              <w:t>The condition must be/have been diagnosed by a neurologist</w:t>
            </w:r>
          </w:p>
        </w:tc>
      </w:tr>
      <w:tr w:rsidR="008B5155" w:rsidRPr="008811C1" w14:paraId="31448934" w14:textId="77777777" w:rsidTr="79BD9D10">
        <w:trPr>
          <w:trHeight w:val="20"/>
        </w:trPr>
        <w:tc>
          <w:tcPr>
            <w:tcW w:w="1587" w:type="dxa"/>
            <w:gridSpan w:val="2"/>
            <w:vAlign w:val="center"/>
          </w:tcPr>
          <w:p w14:paraId="5906369F" w14:textId="77777777" w:rsidR="008B5155" w:rsidRPr="002251C1" w:rsidRDefault="008B5155" w:rsidP="007E19AB">
            <w:pPr>
              <w:jc w:val="center"/>
              <w:rPr>
                <w:rFonts w:ascii="Arial Narrow" w:hAnsi="Arial Narrow"/>
                <w:sz w:val="20"/>
                <w:szCs w:val="20"/>
              </w:rPr>
            </w:pPr>
          </w:p>
        </w:tc>
        <w:tc>
          <w:tcPr>
            <w:tcW w:w="7429" w:type="dxa"/>
            <w:gridSpan w:val="6"/>
            <w:vAlign w:val="center"/>
            <w:hideMark/>
          </w:tcPr>
          <w:p w14:paraId="5E6A5B7C" w14:textId="77777777" w:rsidR="008B5155" w:rsidRPr="002251C1" w:rsidRDefault="008B5155" w:rsidP="007E19AB">
            <w:pPr>
              <w:jc w:val="left"/>
              <w:rPr>
                <w:rFonts w:ascii="Arial Narrow" w:hAnsi="Arial Narrow"/>
                <w:sz w:val="20"/>
                <w:szCs w:val="20"/>
              </w:rPr>
            </w:pPr>
            <w:r w:rsidRPr="002251C1">
              <w:rPr>
                <w:rFonts w:ascii="Arial Narrow" w:hAnsi="Arial Narrow"/>
                <w:b/>
                <w:bCs/>
                <w:sz w:val="20"/>
                <w:szCs w:val="20"/>
              </w:rPr>
              <w:t>AND</w:t>
            </w:r>
          </w:p>
        </w:tc>
      </w:tr>
      <w:tr w:rsidR="008B5155" w:rsidRPr="008811C1" w14:paraId="26F957A7" w14:textId="77777777" w:rsidTr="79BD9D10">
        <w:trPr>
          <w:trHeight w:val="20"/>
        </w:trPr>
        <w:tc>
          <w:tcPr>
            <w:tcW w:w="1587" w:type="dxa"/>
            <w:gridSpan w:val="2"/>
            <w:vAlign w:val="center"/>
          </w:tcPr>
          <w:p w14:paraId="2D504B9C" w14:textId="759866D1" w:rsidR="008B5155" w:rsidRPr="002251C1" w:rsidRDefault="008B5155" w:rsidP="007E19AB">
            <w:pPr>
              <w:jc w:val="center"/>
              <w:rPr>
                <w:rFonts w:ascii="Arial Narrow" w:hAnsi="Arial Narrow"/>
                <w:sz w:val="20"/>
                <w:szCs w:val="20"/>
              </w:rPr>
            </w:pPr>
          </w:p>
        </w:tc>
        <w:tc>
          <w:tcPr>
            <w:tcW w:w="7429" w:type="dxa"/>
            <w:gridSpan w:val="6"/>
            <w:vAlign w:val="center"/>
            <w:hideMark/>
          </w:tcPr>
          <w:p w14:paraId="7C717097" w14:textId="77777777" w:rsidR="008B5155" w:rsidRPr="002251C1" w:rsidRDefault="008B5155" w:rsidP="007E19AB">
            <w:pPr>
              <w:jc w:val="left"/>
              <w:rPr>
                <w:rFonts w:ascii="Arial Narrow" w:hAnsi="Arial Narrow"/>
                <w:sz w:val="20"/>
                <w:szCs w:val="20"/>
              </w:rPr>
            </w:pPr>
            <w:r w:rsidRPr="002251C1">
              <w:rPr>
                <w:rFonts w:ascii="Arial Narrow" w:hAnsi="Arial Narrow"/>
                <w:b/>
                <w:bCs/>
                <w:sz w:val="20"/>
                <w:szCs w:val="20"/>
              </w:rPr>
              <w:t>Clinical criteria:</w:t>
            </w:r>
          </w:p>
        </w:tc>
      </w:tr>
      <w:tr w:rsidR="008B5155" w:rsidRPr="008811C1" w14:paraId="743E84A0" w14:textId="77777777" w:rsidTr="79BD9D10">
        <w:trPr>
          <w:trHeight w:val="20"/>
        </w:trPr>
        <w:tc>
          <w:tcPr>
            <w:tcW w:w="1587" w:type="dxa"/>
            <w:gridSpan w:val="2"/>
            <w:vAlign w:val="center"/>
          </w:tcPr>
          <w:p w14:paraId="46A472D1" w14:textId="0046123F" w:rsidR="008B5155" w:rsidRPr="002251C1" w:rsidRDefault="008B5155" w:rsidP="007E19AB">
            <w:pPr>
              <w:jc w:val="center"/>
              <w:rPr>
                <w:rFonts w:ascii="Arial Narrow" w:hAnsi="Arial Narrow"/>
                <w:sz w:val="20"/>
                <w:szCs w:val="20"/>
              </w:rPr>
            </w:pPr>
          </w:p>
        </w:tc>
        <w:tc>
          <w:tcPr>
            <w:tcW w:w="7429" w:type="dxa"/>
            <w:gridSpan w:val="6"/>
            <w:vAlign w:val="center"/>
            <w:hideMark/>
          </w:tcPr>
          <w:p w14:paraId="2DD58AE7" w14:textId="77777777" w:rsidR="008B5155" w:rsidRPr="002251C1" w:rsidRDefault="2F9A2B33" w:rsidP="007E19AB">
            <w:pPr>
              <w:rPr>
                <w:rFonts w:ascii="Arial Narrow" w:hAnsi="Arial Narrow"/>
                <w:color w:val="FF0000"/>
                <w:sz w:val="20"/>
                <w:szCs w:val="20"/>
              </w:rPr>
            </w:pPr>
            <w:r w:rsidRPr="002251C1">
              <w:rPr>
                <w:rFonts w:ascii="Arial Narrow" w:hAnsi="Arial Narrow"/>
                <w:sz w:val="20"/>
                <w:szCs w:val="20"/>
              </w:rPr>
              <w:t>Patient must not have had symptoms for more than 2 years prior to commencing therapy with this drug</w:t>
            </w:r>
          </w:p>
        </w:tc>
      </w:tr>
      <w:tr w:rsidR="008B5155" w:rsidRPr="008811C1" w14:paraId="345B7336" w14:textId="77777777" w:rsidTr="79BD9D10">
        <w:trPr>
          <w:trHeight w:val="20"/>
        </w:trPr>
        <w:tc>
          <w:tcPr>
            <w:tcW w:w="1587" w:type="dxa"/>
            <w:gridSpan w:val="2"/>
            <w:vAlign w:val="center"/>
          </w:tcPr>
          <w:p w14:paraId="1D72DD9F" w14:textId="77777777" w:rsidR="008B5155" w:rsidRPr="002251C1" w:rsidRDefault="008B5155" w:rsidP="007E19AB">
            <w:pPr>
              <w:jc w:val="center"/>
              <w:rPr>
                <w:rFonts w:ascii="Arial Narrow" w:hAnsi="Arial Narrow"/>
                <w:sz w:val="20"/>
                <w:szCs w:val="20"/>
              </w:rPr>
            </w:pPr>
          </w:p>
        </w:tc>
        <w:tc>
          <w:tcPr>
            <w:tcW w:w="7429" w:type="dxa"/>
            <w:gridSpan w:val="6"/>
            <w:vAlign w:val="center"/>
            <w:hideMark/>
          </w:tcPr>
          <w:p w14:paraId="5AACDB07" w14:textId="77777777" w:rsidR="008B5155" w:rsidRPr="002251C1" w:rsidRDefault="008B5155" w:rsidP="007E19AB">
            <w:pPr>
              <w:rPr>
                <w:rFonts w:ascii="Arial Narrow" w:hAnsi="Arial Narrow"/>
                <w:sz w:val="20"/>
                <w:szCs w:val="20"/>
              </w:rPr>
            </w:pPr>
            <w:r w:rsidRPr="002251C1">
              <w:rPr>
                <w:rFonts w:ascii="Arial Narrow" w:hAnsi="Arial Narrow"/>
                <w:b/>
                <w:bCs/>
                <w:sz w:val="20"/>
                <w:szCs w:val="20"/>
              </w:rPr>
              <w:t>AND</w:t>
            </w:r>
          </w:p>
        </w:tc>
      </w:tr>
      <w:tr w:rsidR="008B5155" w:rsidRPr="008811C1" w14:paraId="47CC00A2" w14:textId="77777777" w:rsidTr="79BD9D10">
        <w:trPr>
          <w:trHeight w:val="20"/>
        </w:trPr>
        <w:tc>
          <w:tcPr>
            <w:tcW w:w="1587" w:type="dxa"/>
            <w:gridSpan w:val="2"/>
            <w:vAlign w:val="center"/>
          </w:tcPr>
          <w:p w14:paraId="335FA606" w14:textId="2E893596" w:rsidR="008B5155" w:rsidRPr="002251C1" w:rsidRDefault="008B5155" w:rsidP="007E19AB">
            <w:pPr>
              <w:jc w:val="center"/>
              <w:rPr>
                <w:rFonts w:ascii="Arial Narrow" w:hAnsi="Arial Narrow"/>
                <w:sz w:val="20"/>
                <w:szCs w:val="20"/>
              </w:rPr>
            </w:pPr>
          </w:p>
        </w:tc>
        <w:tc>
          <w:tcPr>
            <w:tcW w:w="7429" w:type="dxa"/>
            <w:gridSpan w:val="6"/>
            <w:vAlign w:val="center"/>
            <w:hideMark/>
          </w:tcPr>
          <w:p w14:paraId="777111FD" w14:textId="77777777" w:rsidR="008B5155" w:rsidRPr="002251C1" w:rsidRDefault="008B5155" w:rsidP="007E19AB">
            <w:pPr>
              <w:rPr>
                <w:rFonts w:ascii="Arial Narrow" w:hAnsi="Arial Narrow"/>
                <w:sz w:val="20"/>
                <w:szCs w:val="20"/>
              </w:rPr>
            </w:pPr>
            <w:r w:rsidRPr="002251C1">
              <w:rPr>
                <w:rFonts w:ascii="Arial Narrow" w:hAnsi="Arial Narrow"/>
                <w:b/>
                <w:bCs/>
                <w:sz w:val="20"/>
                <w:szCs w:val="20"/>
              </w:rPr>
              <w:t>Clinical criteria:</w:t>
            </w:r>
          </w:p>
        </w:tc>
      </w:tr>
      <w:tr w:rsidR="008B5155" w:rsidRPr="008811C1" w14:paraId="28F7C461" w14:textId="77777777" w:rsidTr="79BD9D10">
        <w:trPr>
          <w:trHeight w:val="20"/>
        </w:trPr>
        <w:tc>
          <w:tcPr>
            <w:tcW w:w="1587" w:type="dxa"/>
            <w:gridSpan w:val="2"/>
            <w:vAlign w:val="center"/>
          </w:tcPr>
          <w:p w14:paraId="78412C14" w14:textId="719535F9" w:rsidR="008B5155" w:rsidRPr="002251C1" w:rsidRDefault="008B5155" w:rsidP="007E19AB">
            <w:pPr>
              <w:jc w:val="center"/>
              <w:rPr>
                <w:rFonts w:ascii="Arial Narrow" w:hAnsi="Arial Narrow"/>
                <w:sz w:val="20"/>
                <w:szCs w:val="20"/>
              </w:rPr>
            </w:pPr>
          </w:p>
        </w:tc>
        <w:tc>
          <w:tcPr>
            <w:tcW w:w="7429" w:type="dxa"/>
            <w:gridSpan w:val="6"/>
            <w:vAlign w:val="center"/>
            <w:hideMark/>
          </w:tcPr>
          <w:p w14:paraId="7744E450" w14:textId="77777777" w:rsidR="008B5155" w:rsidRPr="002251C1" w:rsidRDefault="2F9A2B33" w:rsidP="007E19AB">
            <w:pPr>
              <w:rPr>
                <w:rFonts w:ascii="Arial Narrow" w:hAnsi="Arial Narrow"/>
                <w:sz w:val="20"/>
                <w:szCs w:val="20"/>
              </w:rPr>
            </w:pPr>
            <w:r w:rsidRPr="002251C1">
              <w:rPr>
                <w:rFonts w:ascii="Arial Narrow" w:hAnsi="Arial Narrow"/>
                <w:sz w:val="20"/>
                <w:szCs w:val="20"/>
              </w:rPr>
              <w:t>Patient must have at least 80 percent of predicted forced vital capacity (FVC) or slow vital capacity (SVC) within the 2 months prior to commencing therapy with this drug</w:t>
            </w:r>
          </w:p>
        </w:tc>
      </w:tr>
      <w:tr w:rsidR="008B5155" w:rsidRPr="008811C1" w14:paraId="208DF8F2" w14:textId="77777777" w:rsidTr="79BD9D10">
        <w:trPr>
          <w:trHeight w:val="20"/>
        </w:trPr>
        <w:tc>
          <w:tcPr>
            <w:tcW w:w="1587" w:type="dxa"/>
            <w:gridSpan w:val="2"/>
            <w:vAlign w:val="center"/>
          </w:tcPr>
          <w:p w14:paraId="443585B2" w14:textId="77777777" w:rsidR="008B5155" w:rsidRPr="002251C1" w:rsidRDefault="008B5155" w:rsidP="007E19AB">
            <w:pPr>
              <w:jc w:val="center"/>
              <w:rPr>
                <w:rFonts w:ascii="Arial Narrow" w:hAnsi="Arial Narrow"/>
                <w:sz w:val="20"/>
                <w:szCs w:val="20"/>
              </w:rPr>
            </w:pPr>
          </w:p>
        </w:tc>
        <w:tc>
          <w:tcPr>
            <w:tcW w:w="7429" w:type="dxa"/>
            <w:gridSpan w:val="6"/>
            <w:vAlign w:val="center"/>
          </w:tcPr>
          <w:p w14:paraId="5456C9F1" w14:textId="77777777" w:rsidR="008B5155" w:rsidRPr="002251C1" w:rsidRDefault="008B5155" w:rsidP="007E19AB">
            <w:pPr>
              <w:rPr>
                <w:rFonts w:ascii="Arial Narrow" w:hAnsi="Arial Narrow"/>
                <w:sz w:val="20"/>
                <w:szCs w:val="20"/>
              </w:rPr>
            </w:pPr>
            <w:r w:rsidRPr="002251C1">
              <w:rPr>
                <w:rFonts w:ascii="Arial Narrow" w:hAnsi="Arial Narrow"/>
                <w:b/>
                <w:bCs/>
                <w:sz w:val="20"/>
                <w:szCs w:val="20"/>
              </w:rPr>
              <w:t>AND</w:t>
            </w:r>
          </w:p>
        </w:tc>
      </w:tr>
      <w:tr w:rsidR="008B5155" w:rsidRPr="008811C1" w14:paraId="04D6E03B" w14:textId="77777777" w:rsidTr="79BD9D10">
        <w:trPr>
          <w:trHeight w:val="20"/>
        </w:trPr>
        <w:tc>
          <w:tcPr>
            <w:tcW w:w="1587" w:type="dxa"/>
            <w:gridSpan w:val="2"/>
            <w:vAlign w:val="center"/>
          </w:tcPr>
          <w:p w14:paraId="01941FF4" w14:textId="23B74DD8" w:rsidR="008B5155" w:rsidRPr="002251C1" w:rsidRDefault="008B5155" w:rsidP="007E19AB">
            <w:pPr>
              <w:jc w:val="center"/>
              <w:rPr>
                <w:rFonts w:ascii="Arial Narrow" w:hAnsi="Arial Narrow"/>
                <w:sz w:val="20"/>
                <w:szCs w:val="20"/>
              </w:rPr>
            </w:pPr>
          </w:p>
        </w:tc>
        <w:tc>
          <w:tcPr>
            <w:tcW w:w="7429" w:type="dxa"/>
            <w:gridSpan w:val="6"/>
            <w:vAlign w:val="center"/>
          </w:tcPr>
          <w:p w14:paraId="2A9A846C" w14:textId="77777777" w:rsidR="008B5155" w:rsidRPr="002251C1" w:rsidRDefault="008B5155" w:rsidP="007E19AB">
            <w:pPr>
              <w:rPr>
                <w:rFonts w:ascii="Arial Narrow" w:hAnsi="Arial Narrow"/>
                <w:b/>
                <w:bCs/>
                <w:sz w:val="20"/>
                <w:szCs w:val="20"/>
              </w:rPr>
            </w:pPr>
            <w:r w:rsidRPr="002251C1">
              <w:rPr>
                <w:rFonts w:ascii="Arial Narrow" w:hAnsi="Arial Narrow"/>
                <w:b/>
                <w:bCs/>
                <w:sz w:val="20"/>
                <w:szCs w:val="20"/>
              </w:rPr>
              <w:t>Clinical criteria:</w:t>
            </w:r>
          </w:p>
        </w:tc>
      </w:tr>
      <w:tr w:rsidR="008B5155" w:rsidRPr="008811C1" w14:paraId="0833E517" w14:textId="77777777" w:rsidTr="79BD9D10">
        <w:trPr>
          <w:trHeight w:val="20"/>
        </w:trPr>
        <w:tc>
          <w:tcPr>
            <w:tcW w:w="1587" w:type="dxa"/>
            <w:gridSpan w:val="2"/>
            <w:vAlign w:val="center"/>
          </w:tcPr>
          <w:p w14:paraId="4264F0DE" w14:textId="1A1EDBB5" w:rsidR="008B5155" w:rsidRPr="002251C1" w:rsidRDefault="008B5155" w:rsidP="007E19AB">
            <w:pPr>
              <w:jc w:val="center"/>
              <w:rPr>
                <w:rFonts w:ascii="Arial Narrow" w:hAnsi="Arial Narrow"/>
                <w:sz w:val="20"/>
                <w:szCs w:val="20"/>
              </w:rPr>
            </w:pPr>
          </w:p>
        </w:tc>
        <w:tc>
          <w:tcPr>
            <w:tcW w:w="7429" w:type="dxa"/>
            <w:gridSpan w:val="6"/>
            <w:vAlign w:val="center"/>
          </w:tcPr>
          <w:p w14:paraId="35794409" w14:textId="6C5D684C" w:rsidR="008B5155" w:rsidRPr="002251C1" w:rsidRDefault="2F9A2B33" w:rsidP="79BD9D10">
            <w:pPr>
              <w:rPr>
                <w:rFonts w:ascii="Arial Narrow" w:hAnsi="Arial Narrow"/>
                <w:i/>
                <w:iCs/>
                <w:sz w:val="20"/>
                <w:szCs w:val="20"/>
              </w:rPr>
            </w:pPr>
            <w:r w:rsidRPr="002251C1">
              <w:rPr>
                <w:rFonts w:ascii="Arial Narrow" w:hAnsi="Arial Narrow"/>
                <w:sz w:val="20"/>
                <w:szCs w:val="20"/>
              </w:rPr>
              <w:t>Patient must not require assistance with eating or ambulation</w:t>
            </w:r>
            <w:r w:rsidR="41EBC70F" w:rsidRPr="002251C1">
              <w:rPr>
                <w:rFonts w:ascii="Arial Narrow" w:hAnsi="Arial Narrow"/>
                <w:sz w:val="20"/>
                <w:szCs w:val="20"/>
              </w:rPr>
              <w:t xml:space="preserve"> </w:t>
            </w:r>
            <w:r w:rsidR="41EBC70F" w:rsidRPr="002251C1">
              <w:rPr>
                <w:rFonts w:ascii="Arial Narrow" w:hAnsi="Arial Narrow"/>
                <w:i/>
                <w:iCs/>
                <w:sz w:val="20"/>
                <w:szCs w:val="20"/>
              </w:rPr>
              <w:t>prior to commencing treatment with this drug</w:t>
            </w:r>
          </w:p>
        </w:tc>
      </w:tr>
      <w:tr w:rsidR="008B5155" w:rsidRPr="008811C1" w14:paraId="7EC629AB" w14:textId="77777777" w:rsidTr="79BD9D10">
        <w:trPr>
          <w:trHeight w:val="20"/>
        </w:trPr>
        <w:tc>
          <w:tcPr>
            <w:tcW w:w="1587" w:type="dxa"/>
            <w:gridSpan w:val="2"/>
            <w:vAlign w:val="center"/>
          </w:tcPr>
          <w:p w14:paraId="49E85256" w14:textId="77777777" w:rsidR="008B5155" w:rsidRPr="002251C1" w:rsidRDefault="008B5155" w:rsidP="007E19AB">
            <w:pPr>
              <w:jc w:val="center"/>
              <w:rPr>
                <w:rFonts w:ascii="Arial Narrow" w:hAnsi="Arial Narrow"/>
                <w:sz w:val="20"/>
                <w:szCs w:val="20"/>
              </w:rPr>
            </w:pPr>
          </w:p>
        </w:tc>
        <w:tc>
          <w:tcPr>
            <w:tcW w:w="7429" w:type="dxa"/>
            <w:gridSpan w:val="6"/>
            <w:vAlign w:val="center"/>
          </w:tcPr>
          <w:p w14:paraId="70AB82CF" w14:textId="77777777" w:rsidR="008B5155" w:rsidRPr="002251C1" w:rsidRDefault="008B5155" w:rsidP="007E19AB">
            <w:pPr>
              <w:rPr>
                <w:rFonts w:ascii="Arial Narrow" w:hAnsi="Arial Narrow"/>
                <w:sz w:val="20"/>
                <w:szCs w:val="20"/>
              </w:rPr>
            </w:pPr>
            <w:r w:rsidRPr="002251C1">
              <w:rPr>
                <w:rFonts w:ascii="Arial Narrow" w:hAnsi="Arial Narrow"/>
                <w:b/>
                <w:bCs/>
                <w:sz w:val="20"/>
                <w:szCs w:val="20"/>
              </w:rPr>
              <w:t>AND</w:t>
            </w:r>
          </w:p>
        </w:tc>
      </w:tr>
      <w:tr w:rsidR="008B5155" w:rsidRPr="008811C1" w14:paraId="79505F91" w14:textId="77777777" w:rsidTr="79BD9D10">
        <w:trPr>
          <w:trHeight w:val="20"/>
        </w:trPr>
        <w:tc>
          <w:tcPr>
            <w:tcW w:w="1587" w:type="dxa"/>
            <w:gridSpan w:val="2"/>
            <w:vAlign w:val="center"/>
          </w:tcPr>
          <w:p w14:paraId="133989AC" w14:textId="79038A02" w:rsidR="008B5155" w:rsidRPr="002251C1" w:rsidRDefault="008B5155" w:rsidP="007E19AB">
            <w:pPr>
              <w:jc w:val="center"/>
              <w:rPr>
                <w:rFonts w:ascii="Arial Narrow" w:hAnsi="Arial Narrow"/>
                <w:sz w:val="20"/>
                <w:szCs w:val="20"/>
              </w:rPr>
            </w:pPr>
          </w:p>
        </w:tc>
        <w:tc>
          <w:tcPr>
            <w:tcW w:w="7429" w:type="dxa"/>
            <w:gridSpan w:val="6"/>
            <w:vAlign w:val="center"/>
          </w:tcPr>
          <w:p w14:paraId="21634B67" w14:textId="77777777" w:rsidR="008B5155" w:rsidRPr="002251C1" w:rsidRDefault="008B5155" w:rsidP="007E19AB">
            <w:pPr>
              <w:rPr>
                <w:rFonts w:ascii="Arial Narrow" w:hAnsi="Arial Narrow"/>
                <w:b/>
                <w:bCs/>
                <w:sz w:val="20"/>
                <w:szCs w:val="20"/>
              </w:rPr>
            </w:pPr>
            <w:r w:rsidRPr="002251C1">
              <w:rPr>
                <w:rFonts w:ascii="Arial Narrow" w:hAnsi="Arial Narrow"/>
                <w:b/>
                <w:bCs/>
                <w:sz w:val="20"/>
                <w:szCs w:val="20"/>
              </w:rPr>
              <w:t>Clinical criteria:</w:t>
            </w:r>
          </w:p>
        </w:tc>
      </w:tr>
      <w:tr w:rsidR="008B5155" w:rsidRPr="008811C1" w14:paraId="06BE36A9" w14:textId="77777777" w:rsidTr="79BD9D10">
        <w:trPr>
          <w:trHeight w:val="20"/>
        </w:trPr>
        <w:tc>
          <w:tcPr>
            <w:tcW w:w="1587" w:type="dxa"/>
            <w:gridSpan w:val="2"/>
            <w:vAlign w:val="center"/>
          </w:tcPr>
          <w:p w14:paraId="1B6F43E0" w14:textId="0D681FA2" w:rsidR="008B5155" w:rsidRPr="002251C1" w:rsidRDefault="008B5155" w:rsidP="007E19AB">
            <w:pPr>
              <w:jc w:val="center"/>
              <w:rPr>
                <w:rFonts w:ascii="Arial Narrow" w:hAnsi="Arial Narrow"/>
                <w:sz w:val="20"/>
                <w:szCs w:val="20"/>
              </w:rPr>
            </w:pPr>
          </w:p>
        </w:tc>
        <w:tc>
          <w:tcPr>
            <w:tcW w:w="7429" w:type="dxa"/>
            <w:gridSpan w:val="6"/>
            <w:vAlign w:val="center"/>
          </w:tcPr>
          <w:p w14:paraId="168BA824" w14:textId="77777777" w:rsidR="008B5155" w:rsidRPr="002251C1" w:rsidRDefault="2F9A2B33" w:rsidP="007E19AB">
            <w:pPr>
              <w:rPr>
                <w:rFonts w:ascii="Arial Narrow" w:hAnsi="Arial Narrow"/>
                <w:sz w:val="20"/>
                <w:szCs w:val="20"/>
              </w:rPr>
            </w:pPr>
            <w:r w:rsidRPr="002251C1">
              <w:rPr>
                <w:rFonts w:ascii="Arial Narrow" w:hAnsi="Arial Narrow"/>
                <w:sz w:val="20"/>
                <w:szCs w:val="20"/>
              </w:rPr>
              <w:t>Patient must have at least two points on each individual item of the ALS Functional Rating Scale - Revised (ALSFRS-R) score prior to commencing therapy with this drug</w:t>
            </w:r>
          </w:p>
        </w:tc>
      </w:tr>
      <w:tr w:rsidR="008B5155" w:rsidRPr="008811C1" w14:paraId="4B4D3A30" w14:textId="77777777" w:rsidTr="79BD9D10">
        <w:trPr>
          <w:trHeight w:val="20"/>
        </w:trPr>
        <w:tc>
          <w:tcPr>
            <w:tcW w:w="1587" w:type="dxa"/>
            <w:gridSpan w:val="2"/>
            <w:vAlign w:val="center"/>
          </w:tcPr>
          <w:p w14:paraId="4A43B31B" w14:textId="77777777" w:rsidR="008B5155" w:rsidRPr="002251C1" w:rsidRDefault="008B5155" w:rsidP="007E19AB">
            <w:pPr>
              <w:jc w:val="center"/>
              <w:rPr>
                <w:rFonts w:ascii="Arial Narrow" w:hAnsi="Arial Narrow"/>
                <w:sz w:val="20"/>
                <w:szCs w:val="20"/>
              </w:rPr>
            </w:pPr>
          </w:p>
        </w:tc>
        <w:tc>
          <w:tcPr>
            <w:tcW w:w="7429" w:type="dxa"/>
            <w:gridSpan w:val="6"/>
            <w:vAlign w:val="center"/>
          </w:tcPr>
          <w:p w14:paraId="223AF81D" w14:textId="77777777" w:rsidR="008B5155" w:rsidRPr="002251C1" w:rsidRDefault="008B5155" w:rsidP="007E19AB">
            <w:pPr>
              <w:rPr>
                <w:rFonts w:ascii="Arial Narrow" w:hAnsi="Arial Narrow"/>
                <w:sz w:val="20"/>
                <w:szCs w:val="20"/>
              </w:rPr>
            </w:pPr>
            <w:r w:rsidRPr="002251C1">
              <w:rPr>
                <w:rFonts w:ascii="Arial Narrow" w:hAnsi="Arial Narrow"/>
                <w:b/>
                <w:bCs/>
                <w:sz w:val="20"/>
                <w:szCs w:val="20"/>
              </w:rPr>
              <w:t>AND</w:t>
            </w:r>
          </w:p>
        </w:tc>
      </w:tr>
      <w:tr w:rsidR="008B5155" w:rsidRPr="008811C1" w14:paraId="358703C1" w14:textId="77777777" w:rsidTr="79BD9D10">
        <w:trPr>
          <w:trHeight w:val="20"/>
        </w:trPr>
        <w:tc>
          <w:tcPr>
            <w:tcW w:w="1587" w:type="dxa"/>
            <w:gridSpan w:val="2"/>
            <w:vAlign w:val="center"/>
          </w:tcPr>
          <w:p w14:paraId="6CBE327B" w14:textId="286DDC66" w:rsidR="008B5155" w:rsidRPr="002251C1" w:rsidRDefault="008B5155" w:rsidP="007E19AB">
            <w:pPr>
              <w:jc w:val="center"/>
              <w:rPr>
                <w:rFonts w:ascii="Arial Narrow" w:hAnsi="Arial Narrow"/>
                <w:sz w:val="20"/>
                <w:szCs w:val="20"/>
              </w:rPr>
            </w:pPr>
          </w:p>
        </w:tc>
        <w:tc>
          <w:tcPr>
            <w:tcW w:w="7429" w:type="dxa"/>
            <w:gridSpan w:val="6"/>
            <w:vAlign w:val="center"/>
          </w:tcPr>
          <w:p w14:paraId="57A379DD" w14:textId="77777777" w:rsidR="008B5155" w:rsidRPr="002251C1" w:rsidRDefault="008B5155" w:rsidP="007E19AB">
            <w:pPr>
              <w:rPr>
                <w:rFonts w:ascii="Arial Narrow" w:hAnsi="Arial Narrow"/>
                <w:b/>
                <w:bCs/>
                <w:sz w:val="20"/>
                <w:szCs w:val="20"/>
              </w:rPr>
            </w:pPr>
            <w:r w:rsidRPr="002251C1">
              <w:rPr>
                <w:rFonts w:ascii="Arial Narrow" w:hAnsi="Arial Narrow"/>
                <w:b/>
                <w:bCs/>
                <w:sz w:val="20"/>
                <w:szCs w:val="20"/>
              </w:rPr>
              <w:t>Clinical criteria:</w:t>
            </w:r>
          </w:p>
        </w:tc>
      </w:tr>
      <w:tr w:rsidR="008B5155" w:rsidRPr="008811C1" w14:paraId="20777A76" w14:textId="77777777" w:rsidTr="79BD9D10">
        <w:trPr>
          <w:trHeight w:val="20"/>
        </w:trPr>
        <w:tc>
          <w:tcPr>
            <w:tcW w:w="1587" w:type="dxa"/>
            <w:gridSpan w:val="2"/>
            <w:vAlign w:val="center"/>
          </w:tcPr>
          <w:p w14:paraId="17A7CF3E" w14:textId="72619FB2" w:rsidR="008B5155" w:rsidRPr="002251C1" w:rsidRDefault="008B5155" w:rsidP="007E19AB">
            <w:pPr>
              <w:jc w:val="center"/>
              <w:rPr>
                <w:rFonts w:ascii="Arial Narrow" w:hAnsi="Arial Narrow"/>
                <w:sz w:val="20"/>
                <w:szCs w:val="20"/>
              </w:rPr>
            </w:pPr>
          </w:p>
        </w:tc>
        <w:tc>
          <w:tcPr>
            <w:tcW w:w="7429" w:type="dxa"/>
            <w:gridSpan w:val="6"/>
            <w:vAlign w:val="center"/>
          </w:tcPr>
          <w:p w14:paraId="1BC645FB" w14:textId="77777777" w:rsidR="008B5155" w:rsidRPr="002251C1" w:rsidRDefault="008B5155" w:rsidP="007E19AB">
            <w:pPr>
              <w:rPr>
                <w:rFonts w:ascii="Arial Narrow" w:hAnsi="Arial Narrow"/>
                <w:sz w:val="20"/>
                <w:szCs w:val="20"/>
              </w:rPr>
            </w:pPr>
            <w:r w:rsidRPr="002251C1">
              <w:rPr>
                <w:rFonts w:ascii="Arial Narrow" w:hAnsi="Arial Narrow"/>
                <w:sz w:val="20"/>
                <w:szCs w:val="20"/>
              </w:rPr>
              <w:t>Patient must not have undergone a tracheostomy</w:t>
            </w:r>
          </w:p>
        </w:tc>
      </w:tr>
      <w:tr w:rsidR="008B5155" w:rsidRPr="008811C1" w14:paraId="6AC4DF04" w14:textId="77777777" w:rsidTr="79BD9D10">
        <w:trPr>
          <w:trHeight w:val="20"/>
        </w:trPr>
        <w:tc>
          <w:tcPr>
            <w:tcW w:w="1587" w:type="dxa"/>
            <w:gridSpan w:val="2"/>
            <w:vAlign w:val="center"/>
          </w:tcPr>
          <w:p w14:paraId="22A1D743" w14:textId="77777777" w:rsidR="008B5155" w:rsidRPr="002251C1" w:rsidRDefault="008B5155" w:rsidP="007E19AB">
            <w:pPr>
              <w:jc w:val="center"/>
              <w:rPr>
                <w:rFonts w:ascii="Arial Narrow" w:hAnsi="Arial Narrow"/>
                <w:sz w:val="20"/>
                <w:szCs w:val="20"/>
              </w:rPr>
            </w:pPr>
          </w:p>
        </w:tc>
        <w:tc>
          <w:tcPr>
            <w:tcW w:w="7429" w:type="dxa"/>
            <w:gridSpan w:val="6"/>
            <w:vAlign w:val="center"/>
          </w:tcPr>
          <w:p w14:paraId="35CBE960" w14:textId="77777777" w:rsidR="008B5155" w:rsidRPr="002251C1" w:rsidRDefault="008B5155" w:rsidP="007E19AB">
            <w:pPr>
              <w:rPr>
                <w:rFonts w:ascii="Arial Narrow" w:hAnsi="Arial Narrow"/>
                <w:sz w:val="20"/>
                <w:szCs w:val="20"/>
              </w:rPr>
            </w:pPr>
            <w:r w:rsidRPr="002251C1">
              <w:rPr>
                <w:rFonts w:ascii="Arial Narrow" w:hAnsi="Arial Narrow"/>
                <w:b/>
                <w:bCs/>
                <w:sz w:val="20"/>
                <w:szCs w:val="20"/>
              </w:rPr>
              <w:t>AND</w:t>
            </w:r>
          </w:p>
        </w:tc>
      </w:tr>
      <w:tr w:rsidR="008B5155" w:rsidRPr="008811C1" w14:paraId="637C149D" w14:textId="77777777" w:rsidTr="79BD9D10">
        <w:trPr>
          <w:trHeight w:val="20"/>
        </w:trPr>
        <w:tc>
          <w:tcPr>
            <w:tcW w:w="1587" w:type="dxa"/>
            <w:gridSpan w:val="2"/>
            <w:vAlign w:val="center"/>
          </w:tcPr>
          <w:p w14:paraId="1DAC7FCF" w14:textId="091B7FD4" w:rsidR="008B5155" w:rsidRPr="002251C1" w:rsidRDefault="008B5155" w:rsidP="007E19AB">
            <w:pPr>
              <w:jc w:val="center"/>
              <w:rPr>
                <w:rFonts w:ascii="Arial Narrow" w:hAnsi="Arial Narrow"/>
                <w:sz w:val="20"/>
                <w:szCs w:val="20"/>
              </w:rPr>
            </w:pPr>
          </w:p>
        </w:tc>
        <w:tc>
          <w:tcPr>
            <w:tcW w:w="7429" w:type="dxa"/>
            <w:gridSpan w:val="6"/>
            <w:vAlign w:val="center"/>
          </w:tcPr>
          <w:p w14:paraId="7DAFFCA4" w14:textId="77777777" w:rsidR="008B5155" w:rsidRPr="002251C1" w:rsidRDefault="008B5155" w:rsidP="007E19AB">
            <w:pPr>
              <w:rPr>
                <w:rFonts w:ascii="Arial Narrow" w:hAnsi="Arial Narrow"/>
                <w:b/>
                <w:bCs/>
                <w:sz w:val="20"/>
                <w:szCs w:val="20"/>
              </w:rPr>
            </w:pPr>
            <w:r w:rsidRPr="002251C1">
              <w:rPr>
                <w:rFonts w:ascii="Arial Narrow" w:hAnsi="Arial Narrow"/>
                <w:b/>
                <w:bCs/>
                <w:sz w:val="20"/>
                <w:szCs w:val="20"/>
              </w:rPr>
              <w:t>Clinical criteria:</w:t>
            </w:r>
          </w:p>
        </w:tc>
      </w:tr>
      <w:tr w:rsidR="008B5155" w:rsidRPr="008811C1" w14:paraId="43684013" w14:textId="77777777" w:rsidTr="79BD9D10">
        <w:trPr>
          <w:trHeight w:val="20"/>
        </w:trPr>
        <w:tc>
          <w:tcPr>
            <w:tcW w:w="1587" w:type="dxa"/>
            <w:gridSpan w:val="2"/>
            <w:vAlign w:val="center"/>
          </w:tcPr>
          <w:p w14:paraId="2A2FC0C0" w14:textId="66266D72" w:rsidR="008B5155" w:rsidRPr="002251C1" w:rsidRDefault="008B5155" w:rsidP="007E19AB">
            <w:pPr>
              <w:jc w:val="center"/>
              <w:rPr>
                <w:rFonts w:ascii="Arial Narrow" w:hAnsi="Arial Narrow"/>
                <w:sz w:val="20"/>
                <w:szCs w:val="20"/>
              </w:rPr>
            </w:pPr>
          </w:p>
        </w:tc>
        <w:tc>
          <w:tcPr>
            <w:tcW w:w="7429" w:type="dxa"/>
            <w:gridSpan w:val="6"/>
            <w:vAlign w:val="center"/>
          </w:tcPr>
          <w:p w14:paraId="050246F1" w14:textId="77777777" w:rsidR="008B5155" w:rsidRPr="002251C1" w:rsidRDefault="008B5155" w:rsidP="007E19AB">
            <w:pPr>
              <w:rPr>
                <w:rFonts w:ascii="Arial Narrow" w:hAnsi="Arial Narrow"/>
                <w:sz w:val="20"/>
                <w:szCs w:val="20"/>
              </w:rPr>
            </w:pPr>
            <w:r w:rsidRPr="002251C1">
              <w:rPr>
                <w:rFonts w:ascii="Arial Narrow" w:hAnsi="Arial Narrow"/>
                <w:sz w:val="20"/>
                <w:szCs w:val="20"/>
              </w:rPr>
              <w:t>Patient must not have experienced respiratory failure</w:t>
            </w:r>
          </w:p>
        </w:tc>
      </w:tr>
      <w:tr w:rsidR="008B5155" w:rsidRPr="008811C1" w14:paraId="0D655194" w14:textId="77777777" w:rsidTr="79BD9D10">
        <w:trPr>
          <w:trHeight w:val="20"/>
        </w:trPr>
        <w:tc>
          <w:tcPr>
            <w:tcW w:w="1587" w:type="dxa"/>
            <w:gridSpan w:val="2"/>
            <w:vAlign w:val="center"/>
            <w:hideMark/>
          </w:tcPr>
          <w:p w14:paraId="116EFF68" w14:textId="5F66C639" w:rsidR="008B5155" w:rsidRPr="002251C1" w:rsidRDefault="008B5155" w:rsidP="007E19AB">
            <w:pPr>
              <w:jc w:val="center"/>
              <w:rPr>
                <w:rFonts w:ascii="Arial Narrow" w:hAnsi="Arial Narrow"/>
                <w:sz w:val="20"/>
                <w:szCs w:val="20"/>
              </w:rPr>
            </w:pPr>
          </w:p>
        </w:tc>
        <w:tc>
          <w:tcPr>
            <w:tcW w:w="7429" w:type="dxa"/>
            <w:gridSpan w:val="6"/>
            <w:vAlign w:val="center"/>
            <w:hideMark/>
          </w:tcPr>
          <w:p w14:paraId="6A48FED6" w14:textId="77777777" w:rsidR="008B5155" w:rsidRPr="002251C1" w:rsidRDefault="2F9A2B33" w:rsidP="007E19AB">
            <w:pPr>
              <w:rPr>
                <w:rFonts w:ascii="Arial Narrow" w:hAnsi="Arial Narrow"/>
                <w:sz w:val="20"/>
                <w:szCs w:val="20"/>
              </w:rPr>
            </w:pPr>
            <w:r w:rsidRPr="002251C1">
              <w:rPr>
                <w:rFonts w:ascii="Arial Narrow" w:hAnsi="Arial Narrow"/>
                <w:b/>
                <w:bCs/>
                <w:sz w:val="20"/>
                <w:szCs w:val="20"/>
              </w:rPr>
              <w:t xml:space="preserve">Prescribing Instructions: </w:t>
            </w:r>
            <w:r w:rsidRPr="002251C1">
              <w:rPr>
                <w:rFonts w:ascii="Arial Narrow" w:hAnsi="Arial Narrow"/>
                <w:sz w:val="20"/>
                <w:szCs w:val="20"/>
              </w:rPr>
              <w:t>The date of diagnosis, the date and results of spirometry (in terms of percent of predicted forced vital capacity or slow vital capacity) must be supplied with the initial authority application.</w:t>
            </w:r>
          </w:p>
        </w:tc>
      </w:tr>
      <w:tr w:rsidR="73A17E91" w:rsidRPr="008811C1" w14:paraId="13B2FDA1" w14:textId="77777777" w:rsidTr="79BD9D10">
        <w:trPr>
          <w:trHeight w:val="255"/>
        </w:trPr>
        <w:tc>
          <w:tcPr>
            <w:tcW w:w="1587" w:type="dxa"/>
            <w:gridSpan w:val="2"/>
            <w:vAlign w:val="center"/>
            <w:hideMark/>
          </w:tcPr>
          <w:p w14:paraId="3BA4E90B" w14:textId="700711AB" w:rsidR="192CC6E1" w:rsidRPr="002251C1" w:rsidRDefault="192CC6E1" w:rsidP="73A17E91">
            <w:pPr>
              <w:jc w:val="center"/>
              <w:rPr>
                <w:rFonts w:ascii="Arial Narrow" w:hAnsi="Arial Narrow"/>
                <w:sz w:val="20"/>
                <w:szCs w:val="20"/>
              </w:rPr>
            </w:pPr>
          </w:p>
        </w:tc>
        <w:tc>
          <w:tcPr>
            <w:tcW w:w="7429" w:type="dxa"/>
            <w:gridSpan w:val="6"/>
            <w:vAlign w:val="center"/>
            <w:hideMark/>
          </w:tcPr>
          <w:p w14:paraId="59E9D8B7" w14:textId="448FAC32" w:rsidR="79FF6854" w:rsidRPr="002251C1" w:rsidRDefault="4040DC40" w:rsidP="73A17E91">
            <w:pPr>
              <w:spacing w:line="259" w:lineRule="auto"/>
              <w:rPr>
                <w:rFonts w:ascii="Arial Narrow" w:hAnsi="Arial Narrow"/>
                <w:b/>
                <w:bCs/>
                <w:sz w:val="20"/>
                <w:szCs w:val="20"/>
              </w:rPr>
            </w:pPr>
            <w:r w:rsidRPr="002251C1">
              <w:rPr>
                <w:rFonts w:ascii="Arial Narrow" w:eastAsia="Aptos" w:hAnsi="Arial Narrow" w:cs="Arial"/>
                <w:b/>
                <w:bCs/>
                <w:i/>
                <w:iCs/>
                <w:sz w:val="20"/>
                <w:szCs w:val="20"/>
              </w:rPr>
              <w:t xml:space="preserve">Prescribing instruction: </w:t>
            </w:r>
          </w:p>
          <w:p w14:paraId="39F3BEBC" w14:textId="21EFE21B" w:rsidR="5213C8D3" w:rsidRPr="002251C1" w:rsidRDefault="09875994" w:rsidP="79BD9D10">
            <w:pPr>
              <w:spacing w:line="259" w:lineRule="auto"/>
              <w:rPr>
                <w:rFonts w:ascii="Arial Narrow" w:hAnsi="Arial Narrow"/>
                <w:b/>
                <w:bCs/>
                <w:sz w:val="20"/>
                <w:szCs w:val="20"/>
              </w:rPr>
            </w:pPr>
            <w:r w:rsidRPr="002251C1">
              <w:rPr>
                <w:rFonts w:ascii="Arial Narrow" w:eastAsia="Aptos" w:hAnsi="Arial Narrow" w:cs="Arial"/>
                <w:i/>
                <w:iCs/>
                <w:sz w:val="20"/>
                <w:szCs w:val="20"/>
              </w:rPr>
              <w:t>Prescribers</w:t>
            </w:r>
            <w:r w:rsidR="4040DC40" w:rsidRPr="002251C1">
              <w:rPr>
                <w:rFonts w:ascii="Arial Narrow" w:eastAsia="Aptos" w:hAnsi="Arial Narrow" w:cs="Arial"/>
                <w:i/>
                <w:iCs/>
                <w:sz w:val="20"/>
                <w:szCs w:val="20"/>
              </w:rPr>
              <w:t xml:space="preserve"> must request a quantity sufficient to cover one month per dispensing, in accordance with the patient’s treatment cycle. Prescribers must request a smaller number of </w:t>
            </w:r>
            <w:r w:rsidR="62E25757" w:rsidRPr="002251C1">
              <w:rPr>
                <w:rFonts w:ascii="Arial Narrow" w:eastAsia="Aptos" w:hAnsi="Arial Narrow" w:cs="Arial"/>
                <w:i/>
                <w:iCs/>
                <w:sz w:val="20"/>
                <w:szCs w:val="20"/>
              </w:rPr>
              <w:t>units</w:t>
            </w:r>
            <w:r w:rsidR="4040DC40" w:rsidRPr="002251C1">
              <w:rPr>
                <w:rFonts w:ascii="Arial Narrow" w:eastAsia="Aptos" w:hAnsi="Arial Narrow" w:cs="Arial"/>
                <w:i/>
                <w:iCs/>
                <w:sz w:val="20"/>
                <w:szCs w:val="20"/>
              </w:rPr>
              <w:t xml:space="preserve"> than the </w:t>
            </w:r>
            <w:r w:rsidR="2EB672B4" w:rsidRPr="002251C1">
              <w:rPr>
                <w:rFonts w:ascii="Arial Narrow" w:eastAsia="Aptos" w:hAnsi="Arial Narrow" w:cs="Arial"/>
                <w:i/>
                <w:iCs/>
                <w:sz w:val="20"/>
                <w:szCs w:val="20"/>
              </w:rPr>
              <w:t xml:space="preserve">listed </w:t>
            </w:r>
            <w:r w:rsidR="4040DC40" w:rsidRPr="002251C1">
              <w:rPr>
                <w:rFonts w:ascii="Arial Narrow" w:eastAsia="Aptos" w:hAnsi="Arial Narrow" w:cs="Arial"/>
                <w:i/>
                <w:iCs/>
                <w:sz w:val="20"/>
                <w:szCs w:val="20"/>
              </w:rPr>
              <w:t xml:space="preserve">maximum quantity </w:t>
            </w:r>
            <w:r w:rsidR="6F195A21" w:rsidRPr="002251C1">
              <w:rPr>
                <w:rFonts w:ascii="Arial Narrow" w:eastAsia="Aptos" w:hAnsi="Arial Narrow" w:cs="Arial"/>
                <w:i/>
                <w:iCs/>
                <w:sz w:val="20"/>
                <w:szCs w:val="20"/>
              </w:rPr>
              <w:t xml:space="preserve">units </w:t>
            </w:r>
            <w:r w:rsidR="4040DC40" w:rsidRPr="002251C1">
              <w:rPr>
                <w:rFonts w:ascii="Arial Narrow" w:eastAsia="Aptos" w:hAnsi="Arial Narrow" w:cs="Arial"/>
                <w:i/>
                <w:iCs/>
                <w:sz w:val="20"/>
                <w:szCs w:val="20"/>
              </w:rPr>
              <w:t>if it is adequate for the patient’s needs.</w:t>
            </w:r>
          </w:p>
          <w:p w14:paraId="2BB5E1DF" w14:textId="313CF25F" w:rsidR="73A17E91" w:rsidRPr="002251C1" w:rsidRDefault="73A17E91" w:rsidP="73A17E91">
            <w:pPr>
              <w:rPr>
                <w:rFonts w:ascii="Arial Narrow" w:hAnsi="Arial Narrow"/>
                <w:b/>
                <w:bCs/>
                <w:sz w:val="20"/>
                <w:szCs w:val="20"/>
              </w:rPr>
            </w:pPr>
          </w:p>
        </w:tc>
      </w:tr>
      <w:tr w:rsidR="73A17E91" w:rsidRPr="008811C1" w14:paraId="4891BA10" w14:textId="77777777" w:rsidTr="79BD9D10">
        <w:trPr>
          <w:trHeight w:val="20"/>
        </w:trPr>
        <w:tc>
          <w:tcPr>
            <w:tcW w:w="1587" w:type="dxa"/>
            <w:gridSpan w:val="2"/>
            <w:vAlign w:val="center"/>
            <w:hideMark/>
          </w:tcPr>
          <w:p w14:paraId="63C61A29" w14:textId="52F625F2" w:rsidR="1F99FD86" w:rsidRPr="002251C1" w:rsidRDefault="1F99FD86" w:rsidP="73A17E91">
            <w:pPr>
              <w:jc w:val="center"/>
              <w:rPr>
                <w:rFonts w:ascii="Arial Narrow" w:hAnsi="Arial Narrow"/>
                <w:sz w:val="20"/>
                <w:szCs w:val="20"/>
              </w:rPr>
            </w:pPr>
          </w:p>
        </w:tc>
        <w:tc>
          <w:tcPr>
            <w:tcW w:w="7429" w:type="dxa"/>
            <w:gridSpan w:val="6"/>
            <w:vAlign w:val="center"/>
            <w:hideMark/>
          </w:tcPr>
          <w:p w14:paraId="65D778D1" w14:textId="42140025" w:rsidR="79FF6854" w:rsidRPr="002251C1" w:rsidRDefault="4040DC40" w:rsidP="73A17E91">
            <w:pPr>
              <w:rPr>
                <w:rFonts w:ascii="Arial Narrow" w:hAnsi="Arial Narrow"/>
                <w:b/>
                <w:bCs/>
                <w:sz w:val="20"/>
                <w:szCs w:val="20"/>
              </w:rPr>
            </w:pPr>
            <w:r w:rsidRPr="002251C1">
              <w:rPr>
                <w:rFonts w:ascii="Arial Narrow" w:hAnsi="Arial Narrow" w:cs="Arial"/>
                <w:b/>
                <w:bCs/>
                <w:i/>
                <w:iCs/>
                <w:sz w:val="20"/>
                <w:szCs w:val="20"/>
              </w:rPr>
              <w:t xml:space="preserve">Administrative advice: </w:t>
            </w:r>
          </w:p>
          <w:p w14:paraId="197ECBD6" w14:textId="51C721AE" w:rsidR="73A17E91" w:rsidRPr="002251C1" w:rsidRDefault="4040DC40" w:rsidP="73A17E91">
            <w:pPr>
              <w:rPr>
                <w:rFonts w:ascii="Arial Narrow" w:hAnsi="Arial Narrow"/>
                <w:b/>
                <w:bCs/>
                <w:sz w:val="20"/>
                <w:szCs w:val="20"/>
              </w:rPr>
            </w:pPr>
            <w:r w:rsidRPr="002251C1">
              <w:rPr>
                <w:rFonts w:ascii="Arial Narrow" w:hAnsi="Arial Narrow" w:cs="Arial"/>
                <w:i/>
                <w:iCs/>
                <w:sz w:val="20"/>
                <w:szCs w:val="20"/>
              </w:rPr>
              <w:t>Patients who are receiving non-PBS subsidised treatment with this drug (grandfathered patients) may transition to PBS-subsidised treatment through the initial treatment phase, provided they met the eligibility criteria at the time treatment was commenced. To continue PBS-subsidised treatment, after accessing the initial PBS-subsided therapy, a grandfathered patient must qualify under the continuing treatment restriction.</w:t>
            </w:r>
          </w:p>
        </w:tc>
      </w:tr>
    </w:tbl>
    <w:p w14:paraId="4ECB2E33" w14:textId="10FAFFF4" w:rsidR="00855C3B" w:rsidRPr="00BA21CD" w:rsidRDefault="137165FD" w:rsidP="79BD9D10">
      <w:pPr>
        <w:pStyle w:val="3-BodyText"/>
        <w:jc w:val="left"/>
        <w:rPr>
          <w:b/>
          <w:bCs/>
          <w:i/>
          <w:iCs/>
          <w:sz w:val="22"/>
        </w:rPr>
      </w:pPr>
      <w:r>
        <w:t xml:space="preserve">Remove </w:t>
      </w:r>
      <w:proofErr w:type="spellStart"/>
      <w:r>
        <w:t>edaravone</w:t>
      </w:r>
      <w:proofErr w:type="spellEnd"/>
      <w:r>
        <w:t xml:space="preserve"> listings </w:t>
      </w:r>
      <w:r w:rsidR="4D48FA7F">
        <w:t xml:space="preserve">for initial treatment </w:t>
      </w:r>
      <w:r>
        <w:t>under Section 100 HSD Public and Private hospitals</w:t>
      </w:r>
      <w:r w:rsidR="006A3240">
        <w:t xml:space="preserve"> </w:t>
      </w:r>
      <w:r>
        <w:t>- PBS item codes 14804E and 14805F.</w:t>
      </w:r>
    </w:p>
    <w:p w14:paraId="51F9D6E0" w14:textId="67D52D28" w:rsidR="00855C3B" w:rsidRDefault="00BA21CD" w:rsidP="006A3240">
      <w:pPr>
        <w:pStyle w:val="3-BodyText"/>
        <w:numPr>
          <w:ilvl w:val="0"/>
          <w:numId w:val="0"/>
        </w:numPr>
        <w:jc w:val="left"/>
        <w:rPr>
          <w:b/>
          <w:bCs/>
          <w:i/>
          <w:iCs/>
          <w:szCs w:val="24"/>
        </w:rPr>
      </w:pPr>
      <w:r w:rsidRPr="00B6186C">
        <w:rPr>
          <w:b/>
          <w:bCs/>
          <w:i/>
          <w:iCs/>
          <w:szCs w:val="24"/>
        </w:rPr>
        <w:t>These restrictions may be subject to further review. Should there be any changes made to the restriction the sponsor will be informed.</w:t>
      </w:r>
    </w:p>
    <w:p w14:paraId="7A767E8C" w14:textId="4CD78A68" w:rsidR="00074FFE" w:rsidRPr="00074FFE" w:rsidRDefault="00074FFE" w:rsidP="00074FFE">
      <w:pPr>
        <w:keepNext/>
        <w:spacing w:before="240" w:after="120"/>
        <w:ind w:left="720" w:hanging="720"/>
        <w:jc w:val="left"/>
        <w:outlineLvl w:val="0"/>
        <w:rPr>
          <w:rFonts w:asciiTheme="minorHAnsi" w:hAnsiTheme="minorHAnsi" w:cs="Arial"/>
          <w:b/>
          <w:snapToGrid w:val="0"/>
          <w:sz w:val="32"/>
          <w:szCs w:val="32"/>
          <w:lang w:val="en-GB" w:eastAsia="en-US"/>
        </w:rPr>
      </w:pPr>
      <w:r>
        <w:rPr>
          <w:rFonts w:asciiTheme="minorHAnsi" w:hAnsiTheme="minorHAnsi" w:cs="Arial"/>
          <w:b/>
          <w:snapToGrid w:val="0"/>
          <w:sz w:val="32"/>
          <w:szCs w:val="32"/>
          <w:lang w:eastAsia="en-US"/>
        </w:rPr>
        <w:t>7</w:t>
      </w:r>
      <w:r w:rsidRPr="00074FFE">
        <w:rPr>
          <w:rFonts w:asciiTheme="minorHAnsi" w:hAnsiTheme="minorHAnsi" w:cs="Arial"/>
          <w:b/>
          <w:snapToGrid w:val="0"/>
          <w:sz w:val="32"/>
          <w:szCs w:val="32"/>
          <w:lang w:eastAsia="en-US"/>
        </w:rPr>
        <w:tab/>
        <w:t>Context for Decision</w:t>
      </w:r>
    </w:p>
    <w:p w14:paraId="5BC56998" w14:textId="2A40B673" w:rsidR="002348E1" w:rsidRPr="00074FFE" w:rsidRDefault="00074FFE" w:rsidP="00FE3C93">
      <w:pPr>
        <w:spacing w:after="120"/>
        <w:ind w:left="720"/>
        <w:rPr>
          <w:rFonts w:cs="Calibri"/>
          <w:bCs/>
          <w:szCs w:val="22"/>
          <w:lang w:val="en-GB"/>
        </w:rPr>
      </w:pPr>
      <w:r w:rsidRPr="00074FFE">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3F508F1" w14:textId="35EE1EE7" w:rsidR="00074FFE" w:rsidRPr="00074FFE" w:rsidRDefault="00074FFE" w:rsidP="00074FFE">
      <w:pPr>
        <w:keepNext/>
        <w:spacing w:before="240" w:after="120"/>
        <w:ind w:left="720" w:hanging="720"/>
        <w:jc w:val="left"/>
        <w:outlineLvl w:val="0"/>
        <w:rPr>
          <w:rFonts w:asciiTheme="minorHAnsi" w:hAnsiTheme="minorHAnsi" w:cs="Arial"/>
          <w:b/>
          <w:snapToGrid w:val="0"/>
          <w:sz w:val="32"/>
          <w:szCs w:val="32"/>
          <w:lang w:eastAsia="en-US"/>
        </w:rPr>
      </w:pPr>
      <w:r>
        <w:rPr>
          <w:rFonts w:asciiTheme="minorHAnsi" w:hAnsiTheme="minorHAnsi" w:cs="Arial"/>
          <w:b/>
          <w:snapToGrid w:val="0"/>
          <w:sz w:val="32"/>
          <w:szCs w:val="32"/>
          <w:lang w:eastAsia="en-US"/>
        </w:rPr>
        <w:t>8</w:t>
      </w:r>
      <w:r w:rsidRPr="00074FFE">
        <w:rPr>
          <w:rFonts w:asciiTheme="minorHAnsi" w:hAnsiTheme="minorHAnsi" w:cs="Arial"/>
          <w:b/>
          <w:snapToGrid w:val="0"/>
          <w:sz w:val="32"/>
          <w:szCs w:val="32"/>
          <w:lang w:eastAsia="en-US"/>
        </w:rPr>
        <w:tab/>
        <w:t>Sponsor’s Comment</w:t>
      </w:r>
    </w:p>
    <w:p w14:paraId="5D511C98" w14:textId="53CBC0CC" w:rsidR="003D11B7" w:rsidRPr="00074FFE" w:rsidRDefault="003D11B7" w:rsidP="003D11B7">
      <w:pPr>
        <w:spacing w:after="120"/>
        <w:ind w:left="720"/>
        <w:rPr>
          <w:rFonts w:cs="Calibri"/>
          <w:bCs/>
          <w:szCs w:val="22"/>
          <w:lang w:eastAsia="en-US"/>
        </w:rPr>
      </w:pPr>
      <w:r>
        <w:rPr>
          <w:rFonts w:cs="Calibri"/>
          <w:bCs/>
          <w:szCs w:val="22"/>
          <w:lang w:val="en-GB" w:eastAsia="en-US"/>
        </w:rPr>
        <w:t xml:space="preserve">Teva welcomes the Committee’s rapid </w:t>
      </w:r>
      <w:r w:rsidRPr="00FA06FC">
        <w:rPr>
          <w:rFonts w:cs="Calibri"/>
          <w:bCs/>
          <w:szCs w:val="22"/>
          <w:lang w:val="en-GB" w:eastAsia="en-US"/>
        </w:rPr>
        <w:t xml:space="preserve">out-of-session consideration </w:t>
      </w:r>
      <w:r>
        <w:rPr>
          <w:rFonts w:cs="Calibri"/>
          <w:bCs/>
          <w:szCs w:val="22"/>
          <w:lang w:val="en-GB" w:eastAsia="en-US"/>
        </w:rPr>
        <w:t>given</w:t>
      </w:r>
      <w:r w:rsidRPr="00FA06FC">
        <w:rPr>
          <w:rFonts w:cs="Calibri"/>
          <w:bCs/>
          <w:szCs w:val="22"/>
          <w:lang w:val="en-GB" w:eastAsia="en-US"/>
        </w:rPr>
        <w:t xml:space="preserve"> to the</w:t>
      </w:r>
      <w:r>
        <w:rPr>
          <w:rFonts w:cs="Calibri"/>
          <w:bCs/>
          <w:szCs w:val="22"/>
          <w:lang w:val="en-GB" w:eastAsia="en-US"/>
        </w:rPr>
        <w:t xml:space="preserve"> </w:t>
      </w:r>
      <w:r w:rsidRPr="00FA06FC">
        <w:rPr>
          <w:rFonts w:cs="Calibri"/>
          <w:bCs/>
          <w:szCs w:val="22"/>
          <w:lang w:val="en-GB" w:eastAsia="en-US"/>
        </w:rPr>
        <w:t>urgent clinical need</w:t>
      </w:r>
      <w:r w:rsidR="00EC1BE7">
        <w:rPr>
          <w:rFonts w:cs="Calibri"/>
          <w:bCs/>
          <w:szCs w:val="22"/>
          <w:lang w:val="en-GB" w:eastAsia="en-US"/>
        </w:rPr>
        <w:t>.</w:t>
      </w:r>
      <w:r w:rsidRPr="00FA06FC">
        <w:rPr>
          <w:rFonts w:cs="Calibri"/>
          <w:bCs/>
          <w:szCs w:val="22"/>
          <w:lang w:val="en-GB" w:eastAsia="en-US"/>
        </w:rPr>
        <w:t xml:space="preserve"> </w:t>
      </w:r>
      <w:r w:rsidR="005E0C1E">
        <w:rPr>
          <w:rFonts w:cs="Calibri"/>
          <w:bCs/>
          <w:szCs w:val="22"/>
          <w:lang w:val="en-GB" w:eastAsia="en-US"/>
        </w:rPr>
        <w:t>This change enables an imp</w:t>
      </w:r>
      <w:r w:rsidR="00402C3D">
        <w:rPr>
          <w:rFonts w:cs="Calibri"/>
          <w:bCs/>
          <w:szCs w:val="22"/>
          <w:lang w:val="en-GB" w:eastAsia="en-US"/>
        </w:rPr>
        <w:t xml:space="preserve">ortant </w:t>
      </w:r>
      <w:r w:rsidR="005E0C1E">
        <w:rPr>
          <w:rFonts w:cs="Calibri"/>
          <w:bCs/>
          <w:szCs w:val="22"/>
          <w:lang w:val="en-GB" w:eastAsia="en-US"/>
        </w:rPr>
        <w:t>ease of access for patients diagnosed with ALS</w:t>
      </w:r>
      <w:r w:rsidR="00EC1BE7">
        <w:rPr>
          <w:rFonts w:cs="Calibri"/>
          <w:bCs/>
          <w:szCs w:val="22"/>
          <w:lang w:val="en-GB" w:eastAsia="en-US"/>
        </w:rPr>
        <w:t>, where initiating treatment is of time-critical nature.</w:t>
      </w:r>
      <w:r w:rsidR="0004521C">
        <w:rPr>
          <w:rFonts w:cs="Calibri"/>
          <w:bCs/>
          <w:szCs w:val="22"/>
          <w:lang w:val="en-GB" w:eastAsia="en-US"/>
        </w:rPr>
        <w:t xml:space="preserve"> </w:t>
      </w:r>
    </w:p>
    <w:p w14:paraId="0A64C159" w14:textId="0BC2D800" w:rsidR="00074FFE" w:rsidRPr="00074FFE" w:rsidRDefault="00FA06FC" w:rsidP="00074FFE">
      <w:pPr>
        <w:spacing w:after="120"/>
        <w:ind w:left="720"/>
        <w:rPr>
          <w:rFonts w:cs="Calibri"/>
          <w:bCs/>
          <w:szCs w:val="22"/>
          <w:lang w:eastAsia="en-US"/>
        </w:rPr>
      </w:pPr>
      <w:r>
        <w:rPr>
          <w:rFonts w:cs="Calibri"/>
          <w:bCs/>
          <w:szCs w:val="22"/>
          <w:lang w:val="en-GB" w:eastAsia="en-US"/>
        </w:rPr>
        <w:t xml:space="preserve"> </w:t>
      </w:r>
    </w:p>
    <w:p w14:paraId="044FC070" w14:textId="77777777" w:rsidR="00E27072" w:rsidRPr="00B6186C" w:rsidRDefault="00E27072" w:rsidP="00B6186C">
      <w:pPr>
        <w:pStyle w:val="3-BodyText"/>
        <w:numPr>
          <w:ilvl w:val="0"/>
          <w:numId w:val="0"/>
        </w:numPr>
        <w:ind w:firstLine="720"/>
        <w:jc w:val="left"/>
        <w:rPr>
          <w:b/>
          <w:bCs/>
          <w:szCs w:val="24"/>
        </w:rPr>
      </w:pPr>
    </w:p>
    <w:sectPr w:rsidR="00E27072" w:rsidRPr="00B6186C"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239D" w14:textId="77777777" w:rsidR="007A140C" w:rsidRDefault="007A140C">
      <w:r>
        <w:separator/>
      </w:r>
    </w:p>
    <w:p w14:paraId="42462237" w14:textId="77777777" w:rsidR="007A140C" w:rsidRDefault="007A140C"/>
  </w:endnote>
  <w:endnote w:type="continuationSeparator" w:id="0">
    <w:p w14:paraId="4092C0A9" w14:textId="77777777" w:rsidR="007A140C" w:rsidRDefault="007A140C">
      <w:r>
        <w:continuationSeparator/>
      </w:r>
    </w:p>
    <w:p w14:paraId="58F5EEF5" w14:textId="77777777" w:rsidR="007A140C" w:rsidRDefault="007A140C"/>
  </w:endnote>
  <w:endnote w:type="continuationNotice" w:id="1">
    <w:p w14:paraId="5328A078" w14:textId="77777777" w:rsidR="007A140C" w:rsidRDefault="007A1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1C366890" w:rsidR="009C26AA" w:rsidRPr="005A3173" w:rsidRDefault="00CD32A6"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6E5627EA" wp14:editId="0B3CCEDC">
                    <wp:simplePos x="635" y="635"/>
                    <wp:positionH relativeFrom="page">
                      <wp:align>center</wp:align>
                    </wp:positionH>
                    <wp:positionV relativeFrom="page">
                      <wp:align>bottom</wp:align>
                    </wp:positionV>
                    <wp:extent cx="622300" cy="376555"/>
                    <wp:effectExtent l="0" t="0" r="6350" b="0"/>
                    <wp:wrapNone/>
                    <wp:docPr id="17269382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564544" w14:textId="5BAC3BE9"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627E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F564544" w14:textId="5BAC3BE9"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09F7CE2C"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6B6A">
      <w:rPr>
        <w:rStyle w:val="PageNumber"/>
        <w:noProof/>
      </w:rPr>
      <w:t>1</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2D785A3E" w:rsidR="009C26AA" w:rsidRPr="00D429EC" w:rsidRDefault="00CD32A6"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7D2AC307" wp14:editId="2D6E681B">
              <wp:simplePos x="635" y="635"/>
              <wp:positionH relativeFrom="page">
                <wp:align>center</wp:align>
              </wp:positionH>
              <wp:positionV relativeFrom="page">
                <wp:align>bottom</wp:align>
              </wp:positionV>
              <wp:extent cx="622300" cy="376555"/>
              <wp:effectExtent l="0" t="0" r="6350" b="0"/>
              <wp:wrapNone/>
              <wp:docPr id="119167070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25CD1A" w14:textId="773A3F2D"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AC307"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A25CD1A" w14:textId="773A3F2D"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2864" w14:textId="22E13448" w:rsidR="00272DE5" w:rsidRDefault="00CD32A6">
    <w:pPr>
      <w:pStyle w:val="Footer"/>
    </w:pPr>
    <w:r>
      <w:rPr>
        <w:noProof/>
      </w:rPr>
      <mc:AlternateContent>
        <mc:Choice Requires="wps">
          <w:drawing>
            <wp:anchor distT="0" distB="0" distL="0" distR="0" simplePos="0" relativeHeight="251658243" behindDoc="0" locked="0" layoutInCell="1" allowOverlap="1" wp14:anchorId="349F6741" wp14:editId="00C41870">
              <wp:simplePos x="635" y="635"/>
              <wp:positionH relativeFrom="page">
                <wp:align>center</wp:align>
              </wp:positionH>
              <wp:positionV relativeFrom="page">
                <wp:align>bottom</wp:align>
              </wp:positionV>
              <wp:extent cx="622300" cy="376555"/>
              <wp:effectExtent l="0" t="0" r="6350" b="0"/>
              <wp:wrapNone/>
              <wp:docPr id="15101245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8BD4DF" w14:textId="697232F8"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F6741"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28BD4DF" w14:textId="697232F8"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7D78" w14:textId="77777777" w:rsidR="007A140C" w:rsidRDefault="007A140C">
      <w:r>
        <w:separator/>
      </w:r>
    </w:p>
    <w:p w14:paraId="1FA44CF9" w14:textId="77777777" w:rsidR="007A140C" w:rsidRDefault="007A140C"/>
  </w:footnote>
  <w:footnote w:type="continuationSeparator" w:id="0">
    <w:p w14:paraId="410EC3D1" w14:textId="77777777" w:rsidR="007A140C" w:rsidRDefault="007A140C">
      <w:r>
        <w:continuationSeparator/>
      </w:r>
    </w:p>
    <w:p w14:paraId="6E7AF32D" w14:textId="77777777" w:rsidR="007A140C" w:rsidRDefault="007A140C"/>
  </w:footnote>
  <w:footnote w:type="continuationNotice" w:id="1">
    <w:p w14:paraId="307A63A8" w14:textId="77777777" w:rsidR="007A140C" w:rsidRDefault="007A1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22AB711A" w:rsidR="009C26AA" w:rsidRPr="00A06225" w:rsidRDefault="00CD32A6">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261EB356" wp14:editId="6F56182D">
                    <wp:simplePos x="635" y="635"/>
                    <wp:positionH relativeFrom="page">
                      <wp:align>center</wp:align>
                    </wp:positionH>
                    <wp:positionV relativeFrom="page">
                      <wp:align>top</wp:align>
                    </wp:positionV>
                    <wp:extent cx="622300" cy="376555"/>
                    <wp:effectExtent l="0" t="0" r="6350" b="4445"/>
                    <wp:wrapNone/>
                    <wp:docPr id="10769728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B41999" w14:textId="2646ED82"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1EB35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6B41999" w14:textId="2646ED82"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96C1" w14:textId="48397C22" w:rsidR="00D13ED6" w:rsidRPr="004359EE" w:rsidRDefault="00CD32A6" w:rsidP="00D13ED6">
    <w:pPr>
      <w:pStyle w:val="paragraph"/>
      <w:spacing w:before="0" w:beforeAutospacing="0" w:after="0" w:afterAutospacing="0"/>
      <w:ind w:left="-120"/>
      <w:jc w:val="center"/>
      <w:textAlignment w:val="baseline"/>
      <w:rPr>
        <w:rFonts w:asciiTheme="minorHAnsi" w:eastAsiaTheme="minorEastAsia" w:hAnsiTheme="minorHAnsi" w:cstheme="minorHAnsi"/>
        <w:i/>
        <w:iCs/>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3A4160D0" wp14:editId="19C6EFC4">
              <wp:simplePos x="635" y="635"/>
              <wp:positionH relativeFrom="page">
                <wp:align>center</wp:align>
              </wp:positionH>
              <wp:positionV relativeFrom="page">
                <wp:align>top</wp:align>
              </wp:positionV>
              <wp:extent cx="622300" cy="376555"/>
              <wp:effectExtent l="0" t="0" r="6350" b="4445"/>
              <wp:wrapNone/>
              <wp:docPr id="16468626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2F478F" w14:textId="0AD90BE6"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4160D0"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22F478F" w14:textId="0AD90BE6"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v:textbox>
              <w10:wrap anchorx="page" anchory="page"/>
            </v:shape>
          </w:pict>
        </mc:Fallback>
      </mc:AlternateContent>
    </w:r>
    <w:r w:rsidR="00757191">
      <w:rPr>
        <w:rFonts w:asciiTheme="minorHAnsi" w:hAnsiTheme="minorHAnsi" w:cs="Arial"/>
        <w:i/>
        <w:color w:val="808080"/>
      </w:rPr>
      <w:t>Public Summary Document</w:t>
    </w:r>
    <w:r w:rsidR="005732FD" w:rsidRPr="00056684">
      <w:rPr>
        <w:rFonts w:asciiTheme="minorHAnsi" w:hAnsiTheme="minorHAnsi" w:cs="Arial"/>
        <w:i/>
        <w:color w:val="808080"/>
      </w:rPr>
      <w:t xml:space="preserve"> </w:t>
    </w:r>
    <w:r w:rsidR="00CC2224">
      <w:rPr>
        <w:rFonts w:asciiTheme="minorHAnsi" w:eastAsiaTheme="minorEastAsia" w:hAnsiTheme="minorHAnsi" w:cstheme="minorHAnsi"/>
        <w:i/>
        <w:color w:val="808080"/>
      </w:rPr>
      <w:t xml:space="preserve">– </w:t>
    </w:r>
    <w:r w:rsidR="004234BE">
      <w:rPr>
        <w:rFonts w:asciiTheme="minorHAnsi" w:eastAsiaTheme="minorEastAsia" w:hAnsiTheme="minorHAnsi" w:cstheme="minorHAnsi"/>
        <w:i/>
        <w:color w:val="808080"/>
      </w:rPr>
      <w:t xml:space="preserve">December </w:t>
    </w:r>
    <w:r w:rsidR="00C56D78">
      <w:rPr>
        <w:rFonts w:asciiTheme="minorHAnsi" w:eastAsiaTheme="minorEastAsia" w:hAnsiTheme="minorHAnsi" w:cstheme="minorHAnsi"/>
        <w:i/>
        <w:color w:val="808080"/>
      </w:rPr>
      <w:t>202</w:t>
    </w:r>
    <w:r w:rsidR="004234BE">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w:t>
    </w:r>
    <w:r w:rsidR="00D13ED6">
      <w:rPr>
        <w:rFonts w:asciiTheme="minorHAnsi" w:eastAsiaTheme="minorEastAsia" w:hAnsiTheme="minorHAnsi" w:cstheme="minorHAnsi"/>
        <w:i/>
        <w:color w:val="808080"/>
      </w:rPr>
      <w:t xml:space="preserve"> </w:t>
    </w:r>
    <w:r w:rsidR="00D13ED6" w:rsidRPr="004359EE">
      <w:rPr>
        <w:rFonts w:asciiTheme="minorHAnsi" w:eastAsiaTheme="minorEastAsia" w:hAnsiTheme="minorHAnsi" w:cstheme="minorHAnsi"/>
        <w:i/>
        <w:iCs/>
        <w:color w:val="808080"/>
      </w:rPr>
      <w:t>Out-of-Session Consideration </w:t>
    </w:r>
  </w:p>
  <w:p w14:paraId="49E1B9F5" w14:textId="3E98F003" w:rsidR="009C26AA" w:rsidRPr="00C56D78" w:rsidRDefault="009C26AA" w:rsidP="004359EE">
    <w:pPr>
      <w:keepNext/>
      <w:tabs>
        <w:tab w:val="center" w:pos="4513"/>
        <w:tab w:val="right" w:pos="9026"/>
      </w:tabs>
      <w:jc w:val="center"/>
      <w:rPr>
        <w:rFonts w:asciiTheme="minorHAnsi" w:hAnsiTheme="minorHAnsi" w:cstheme="minorHAnsi"/>
      </w:rPr>
    </w:pP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D2EE" w14:textId="699B53A8" w:rsidR="00272DE5" w:rsidRDefault="00CD32A6">
    <w:pPr>
      <w:pStyle w:val="Header"/>
    </w:pPr>
    <w:r>
      <w:rPr>
        <w:noProof/>
      </w:rPr>
      <mc:AlternateContent>
        <mc:Choice Requires="wps">
          <w:drawing>
            <wp:anchor distT="0" distB="0" distL="0" distR="0" simplePos="0" relativeHeight="251658240" behindDoc="0" locked="0" layoutInCell="1" allowOverlap="1" wp14:anchorId="06E542C7" wp14:editId="3AA2FB34">
              <wp:simplePos x="635" y="635"/>
              <wp:positionH relativeFrom="page">
                <wp:align>center</wp:align>
              </wp:positionH>
              <wp:positionV relativeFrom="page">
                <wp:align>top</wp:align>
              </wp:positionV>
              <wp:extent cx="622300" cy="376555"/>
              <wp:effectExtent l="0" t="0" r="6350" b="4445"/>
              <wp:wrapNone/>
              <wp:docPr id="3706212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5C19B76" w14:textId="5F75C187"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542C7"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5C19B76" w14:textId="5F75C187" w:rsidR="00CD32A6" w:rsidRPr="00CD32A6" w:rsidRDefault="00CD32A6" w:rsidP="00CD32A6">
                    <w:pPr>
                      <w:rPr>
                        <w:rFonts w:ascii="Aptos" w:eastAsia="Aptos" w:hAnsi="Aptos" w:cs="Aptos"/>
                        <w:noProof/>
                        <w:color w:val="FF0000"/>
                      </w:rPr>
                    </w:pPr>
                    <w:r w:rsidRPr="00CD32A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E12BD"/>
    <w:multiLevelType w:val="multilevel"/>
    <w:tmpl w:val="1D58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2912522"/>
    <w:multiLevelType w:val="hybridMultilevel"/>
    <w:tmpl w:val="508A4EEA"/>
    <w:lvl w:ilvl="0" w:tplc="F7B23328">
      <w:start w:val="1"/>
      <w:numFmt w:val="lowerLetter"/>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E501E4"/>
    <w:multiLevelType w:val="hybridMultilevel"/>
    <w:tmpl w:val="587CDE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F073B8"/>
    <w:multiLevelType w:val="hybridMultilevel"/>
    <w:tmpl w:val="9FD2BC46"/>
    <w:lvl w:ilvl="0" w:tplc="CB122A1A">
      <w:start w:val="11"/>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E4142D6"/>
    <w:multiLevelType w:val="hybridMultilevel"/>
    <w:tmpl w:val="A4503B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0346AD7"/>
    <w:multiLevelType w:val="hybridMultilevel"/>
    <w:tmpl w:val="3BA8EF8A"/>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405C3F42"/>
    <w:multiLevelType w:val="hybridMultilevel"/>
    <w:tmpl w:val="612E92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71D5578"/>
    <w:multiLevelType w:val="hybridMultilevel"/>
    <w:tmpl w:val="E0CEE0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9591491"/>
    <w:multiLevelType w:val="multilevel"/>
    <w:tmpl w:val="4F22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06E3D"/>
    <w:multiLevelType w:val="multilevel"/>
    <w:tmpl w:val="0210A2FA"/>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4B61C5"/>
    <w:multiLevelType w:val="multilevel"/>
    <w:tmpl w:val="D6F28A08"/>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4B534D"/>
    <w:multiLevelType w:val="multilevel"/>
    <w:tmpl w:val="CB16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E006D1"/>
    <w:multiLevelType w:val="hybridMultilevel"/>
    <w:tmpl w:val="9D4CD96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00D2A30"/>
    <w:multiLevelType w:val="multilevel"/>
    <w:tmpl w:val="4A26F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784D033C"/>
    <w:multiLevelType w:val="multilevel"/>
    <w:tmpl w:val="3EF48AA0"/>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3B1E5C"/>
    <w:multiLevelType w:val="hybridMultilevel"/>
    <w:tmpl w:val="070EF55A"/>
    <w:lvl w:ilvl="0" w:tplc="C69AB3C8">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ABD703E"/>
    <w:multiLevelType w:val="multilevel"/>
    <w:tmpl w:val="95AC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57570559">
    <w:abstractNumId w:val="24"/>
  </w:num>
  <w:num w:numId="2" w16cid:durableId="1159004663">
    <w:abstractNumId w:val="17"/>
  </w:num>
  <w:num w:numId="3" w16cid:durableId="418600173">
    <w:abstractNumId w:val="27"/>
  </w:num>
  <w:num w:numId="4" w16cid:durableId="34236669">
    <w:abstractNumId w:val="21"/>
  </w:num>
  <w:num w:numId="5" w16cid:durableId="1279799443">
    <w:abstractNumId w:val="13"/>
  </w:num>
  <w:num w:numId="6" w16cid:durableId="495537779">
    <w:abstractNumId w:val="8"/>
  </w:num>
  <w:num w:numId="7" w16cid:durableId="1468400811">
    <w:abstractNumId w:val="0"/>
  </w:num>
  <w:num w:numId="8" w16cid:durableId="1915313393">
    <w:abstractNumId w:val="20"/>
  </w:num>
  <w:num w:numId="9" w16cid:durableId="1751541441">
    <w:abstractNumId w:val="2"/>
  </w:num>
  <w:num w:numId="10" w16cid:durableId="670838392">
    <w:abstractNumId w:val="23"/>
  </w:num>
  <w:num w:numId="11" w16cid:durableId="1103570019">
    <w:abstractNumId w:val="7"/>
  </w:num>
  <w:num w:numId="12" w16cid:durableId="2041346921">
    <w:abstractNumId w:val="24"/>
  </w:num>
  <w:num w:numId="13" w16cid:durableId="209535915">
    <w:abstractNumId w:val="10"/>
  </w:num>
  <w:num w:numId="14" w16cid:durableId="1931543473">
    <w:abstractNumId w:val="16"/>
  </w:num>
  <w:num w:numId="15" w16cid:durableId="1448817168">
    <w:abstractNumId w:val="9"/>
  </w:num>
  <w:num w:numId="16" w16cid:durableId="19069108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0088413">
    <w:abstractNumId w:val="3"/>
  </w:num>
  <w:num w:numId="18" w16cid:durableId="1130392293">
    <w:abstractNumId w:val="6"/>
  </w:num>
  <w:num w:numId="19" w16cid:durableId="2032759299">
    <w:abstractNumId w:val="19"/>
  </w:num>
  <w:num w:numId="20" w16cid:durableId="1701735470">
    <w:abstractNumId w:val="22"/>
  </w:num>
  <w:num w:numId="21" w16cid:durableId="485365226">
    <w:abstractNumId w:val="14"/>
  </w:num>
  <w:num w:numId="22" w16cid:durableId="2086494754">
    <w:abstractNumId w:val="12"/>
  </w:num>
  <w:num w:numId="23" w16cid:durableId="1677265632">
    <w:abstractNumId w:val="25"/>
  </w:num>
  <w:num w:numId="24" w16cid:durableId="1545559376">
    <w:abstractNumId w:val="4"/>
  </w:num>
  <w:num w:numId="25" w16cid:durableId="1065177735">
    <w:abstractNumId w:val="24"/>
  </w:num>
  <w:num w:numId="26" w16cid:durableId="1614021658">
    <w:abstractNumId w:val="7"/>
  </w:num>
  <w:num w:numId="27" w16cid:durableId="370419209">
    <w:abstractNumId w:val="24"/>
  </w:num>
  <w:num w:numId="28" w16cid:durableId="334692606">
    <w:abstractNumId w:val="24"/>
  </w:num>
  <w:num w:numId="29" w16cid:durableId="248856057">
    <w:abstractNumId w:val="5"/>
  </w:num>
  <w:num w:numId="30" w16cid:durableId="949582999">
    <w:abstractNumId w:val="24"/>
  </w:num>
  <w:num w:numId="31" w16cid:durableId="260189995">
    <w:abstractNumId w:val="18"/>
  </w:num>
  <w:num w:numId="32" w16cid:durableId="70085080">
    <w:abstractNumId w:val="11"/>
  </w:num>
  <w:num w:numId="33" w16cid:durableId="1581332409">
    <w:abstractNumId w:val="26"/>
  </w:num>
  <w:num w:numId="34" w16cid:durableId="1057358673">
    <w:abstractNumId w:val="15"/>
  </w:num>
  <w:num w:numId="35" w16cid:durableId="143748525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6B9"/>
    <w:rsid w:val="000025AD"/>
    <w:rsid w:val="0000335D"/>
    <w:rsid w:val="00003EC5"/>
    <w:rsid w:val="00004655"/>
    <w:rsid w:val="000049B0"/>
    <w:rsid w:val="00006782"/>
    <w:rsid w:val="00006993"/>
    <w:rsid w:val="00006BD1"/>
    <w:rsid w:val="00010F05"/>
    <w:rsid w:val="0001143A"/>
    <w:rsid w:val="0001179A"/>
    <w:rsid w:val="00011A59"/>
    <w:rsid w:val="00012368"/>
    <w:rsid w:val="000127B3"/>
    <w:rsid w:val="00012CAA"/>
    <w:rsid w:val="00013F9C"/>
    <w:rsid w:val="00014D69"/>
    <w:rsid w:val="00015CBC"/>
    <w:rsid w:val="0001618B"/>
    <w:rsid w:val="00016A41"/>
    <w:rsid w:val="000177A8"/>
    <w:rsid w:val="00020C06"/>
    <w:rsid w:val="000214D1"/>
    <w:rsid w:val="00021E20"/>
    <w:rsid w:val="00021F20"/>
    <w:rsid w:val="000240A7"/>
    <w:rsid w:val="0002464A"/>
    <w:rsid w:val="00024E40"/>
    <w:rsid w:val="00025A04"/>
    <w:rsid w:val="0002693D"/>
    <w:rsid w:val="000279C0"/>
    <w:rsid w:val="00027A58"/>
    <w:rsid w:val="0003050E"/>
    <w:rsid w:val="0003106B"/>
    <w:rsid w:val="00031E2A"/>
    <w:rsid w:val="00033051"/>
    <w:rsid w:val="0003329D"/>
    <w:rsid w:val="000335B9"/>
    <w:rsid w:val="00033DE6"/>
    <w:rsid w:val="00034905"/>
    <w:rsid w:val="0003679B"/>
    <w:rsid w:val="00037906"/>
    <w:rsid w:val="00040A30"/>
    <w:rsid w:val="000414C9"/>
    <w:rsid w:val="000416F5"/>
    <w:rsid w:val="000421A1"/>
    <w:rsid w:val="0004240E"/>
    <w:rsid w:val="000425A2"/>
    <w:rsid w:val="00042AAC"/>
    <w:rsid w:val="00044E52"/>
    <w:rsid w:val="00044EC4"/>
    <w:rsid w:val="0004521C"/>
    <w:rsid w:val="00045E26"/>
    <w:rsid w:val="00046903"/>
    <w:rsid w:val="00046B05"/>
    <w:rsid w:val="00046FEF"/>
    <w:rsid w:val="00047247"/>
    <w:rsid w:val="000510F4"/>
    <w:rsid w:val="000514B5"/>
    <w:rsid w:val="00051F2D"/>
    <w:rsid w:val="000521ED"/>
    <w:rsid w:val="00052C10"/>
    <w:rsid w:val="0005322E"/>
    <w:rsid w:val="000546CF"/>
    <w:rsid w:val="00054E2B"/>
    <w:rsid w:val="000559FB"/>
    <w:rsid w:val="00055A8E"/>
    <w:rsid w:val="00056896"/>
    <w:rsid w:val="00060E64"/>
    <w:rsid w:val="000621AB"/>
    <w:rsid w:val="0006291B"/>
    <w:rsid w:val="00062C03"/>
    <w:rsid w:val="00062E88"/>
    <w:rsid w:val="00063891"/>
    <w:rsid w:val="00064269"/>
    <w:rsid w:val="00066193"/>
    <w:rsid w:val="00066755"/>
    <w:rsid w:val="000708F3"/>
    <w:rsid w:val="00071A5B"/>
    <w:rsid w:val="00072730"/>
    <w:rsid w:val="0007337F"/>
    <w:rsid w:val="00074320"/>
    <w:rsid w:val="000746A3"/>
    <w:rsid w:val="000749A4"/>
    <w:rsid w:val="00074A3B"/>
    <w:rsid w:val="00074FFE"/>
    <w:rsid w:val="000752EB"/>
    <w:rsid w:val="000756A5"/>
    <w:rsid w:val="000763D5"/>
    <w:rsid w:val="00076C38"/>
    <w:rsid w:val="00077143"/>
    <w:rsid w:val="000774F9"/>
    <w:rsid w:val="00077896"/>
    <w:rsid w:val="00077DF7"/>
    <w:rsid w:val="0008050C"/>
    <w:rsid w:val="00080963"/>
    <w:rsid w:val="00081FBA"/>
    <w:rsid w:val="00082169"/>
    <w:rsid w:val="0008349F"/>
    <w:rsid w:val="000834BE"/>
    <w:rsid w:val="00083F01"/>
    <w:rsid w:val="00085F0B"/>
    <w:rsid w:val="000862E6"/>
    <w:rsid w:val="000865EF"/>
    <w:rsid w:val="0008713C"/>
    <w:rsid w:val="00087C4C"/>
    <w:rsid w:val="00087E15"/>
    <w:rsid w:val="000907D5"/>
    <w:rsid w:val="000918CB"/>
    <w:rsid w:val="00091B06"/>
    <w:rsid w:val="00091F39"/>
    <w:rsid w:val="00093BA2"/>
    <w:rsid w:val="00094E12"/>
    <w:rsid w:val="0009509E"/>
    <w:rsid w:val="000951C4"/>
    <w:rsid w:val="00095ADA"/>
    <w:rsid w:val="00095F3A"/>
    <w:rsid w:val="00096425"/>
    <w:rsid w:val="000969AD"/>
    <w:rsid w:val="000975FB"/>
    <w:rsid w:val="000A02F8"/>
    <w:rsid w:val="000A1653"/>
    <w:rsid w:val="000A35ED"/>
    <w:rsid w:val="000A36A4"/>
    <w:rsid w:val="000A3AA2"/>
    <w:rsid w:val="000A3F01"/>
    <w:rsid w:val="000A3FDF"/>
    <w:rsid w:val="000A42EF"/>
    <w:rsid w:val="000A44B2"/>
    <w:rsid w:val="000A52F6"/>
    <w:rsid w:val="000A58B8"/>
    <w:rsid w:val="000A78B8"/>
    <w:rsid w:val="000A7A55"/>
    <w:rsid w:val="000B25F2"/>
    <w:rsid w:val="000B3FD2"/>
    <w:rsid w:val="000B4144"/>
    <w:rsid w:val="000B44C3"/>
    <w:rsid w:val="000B558D"/>
    <w:rsid w:val="000B55C4"/>
    <w:rsid w:val="000B5A89"/>
    <w:rsid w:val="000B5F02"/>
    <w:rsid w:val="000B65F6"/>
    <w:rsid w:val="000B670D"/>
    <w:rsid w:val="000B7767"/>
    <w:rsid w:val="000C0321"/>
    <w:rsid w:val="000C1AFF"/>
    <w:rsid w:val="000C45D2"/>
    <w:rsid w:val="000C4E9F"/>
    <w:rsid w:val="000C5740"/>
    <w:rsid w:val="000C5F95"/>
    <w:rsid w:val="000C6996"/>
    <w:rsid w:val="000C7B09"/>
    <w:rsid w:val="000C7C46"/>
    <w:rsid w:val="000D09E9"/>
    <w:rsid w:val="000D113F"/>
    <w:rsid w:val="000D1326"/>
    <w:rsid w:val="000D23BA"/>
    <w:rsid w:val="000D3DE1"/>
    <w:rsid w:val="000D4F18"/>
    <w:rsid w:val="000D75FC"/>
    <w:rsid w:val="000E0AF9"/>
    <w:rsid w:val="000E19B7"/>
    <w:rsid w:val="000E1BA4"/>
    <w:rsid w:val="000E20FC"/>
    <w:rsid w:val="000E3168"/>
    <w:rsid w:val="000E3C1D"/>
    <w:rsid w:val="000E3DFB"/>
    <w:rsid w:val="000E417D"/>
    <w:rsid w:val="000E4190"/>
    <w:rsid w:val="000E4C2B"/>
    <w:rsid w:val="000E5EA1"/>
    <w:rsid w:val="000E681E"/>
    <w:rsid w:val="000E696B"/>
    <w:rsid w:val="000E72B7"/>
    <w:rsid w:val="000E7E52"/>
    <w:rsid w:val="000E7E90"/>
    <w:rsid w:val="000EE1C7"/>
    <w:rsid w:val="000F0003"/>
    <w:rsid w:val="000F29C6"/>
    <w:rsid w:val="000F2B2B"/>
    <w:rsid w:val="000F3195"/>
    <w:rsid w:val="000F337D"/>
    <w:rsid w:val="000F3384"/>
    <w:rsid w:val="000F3438"/>
    <w:rsid w:val="000F4640"/>
    <w:rsid w:val="000F4A3F"/>
    <w:rsid w:val="000F4E6A"/>
    <w:rsid w:val="000F63B3"/>
    <w:rsid w:val="000F6ABB"/>
    <w:rsid w:val="000F7354"/>
    <w:rsid w:val="000F7689"/>
    <w:rsid w:val="000F7C27"/>
    <w:rsid w:val="00100BE2"/>
    <w:rsid w:val="00101215"/>
    <w:rsid w:val="00101ABE"/>
    <w:rsid w:val="00102202"/>
    <w:rsid w:val="00102700"/>
    <w:rsid w:val="00102A78"/>
    <w:rsid w:val="00102DEC"/>
    <w:rsid w:val="00103118"/>
    <w:rsid w:val="0010352E"/>
    <w:rsid w:val="00103F1B"/>
    <w:rsid w:val="00104227"/>
    <w:rsid w:val="0010424C"/>
    <w:rsid w:val="00104E33"/>
    <w:rsid w:val="001053D5"/>
    <w:rsid w:val="00105876"/>
    <w:rsid w:val="00106B53"/>
    <w:rsid w:val="00106C68"/>
    <w:rsid w:val="00107409"/>
    <w:rsid w:val="0010764B"/>
    <w:rsid w:val="00107CEA"/>
    <w:rsid w:val="001107BF"/>
    <w:rsid w:val="00111F03"/>
    <w:rsid w:val="00111F92"/>
    <w:rsid w:val="001131EA"/>
    <w:rsid w:val="00113649"/>
    <w:rsid w:val="00113D5C"/>
    <w:rsid w:val="00113FE0"/>
    <w:rsid w:val="001155B6"/>
    <w:rsid w:val="0011607D"/>
    <w:rsid w:val="001167B2"/>
    <w:rsid w:val="00116B03"/>
    <w:rsid w:val="0011739E"/>
    <w:rsid w:val="00117563"/>
    <w:rsid w:val="00120AA6"/>
    <w:rsid w:val="001219EF"/>
    <w:rsid w:val="00121BA5"/>
    <w:rsid w:val="00122086"/>
    <w:rsid w:val="001228CF"/>
    <w:rsid w:val="00122F38"/>
    <w:rsid w:val="00123426"/>
    <w:rsid w:val="001239DB"/>
    <w:rsid w:val="0012417C"/>
    <w:rsid w:val="00124742"/>
    <w:rsid w:val="00124BF2"/>
    <w:rsid w:val="00125837"/>
    <w:rsid w:val="0012597F"/>
    <w:rsid w:val="00125FC3"/>
    <w:rsid w:val="001267EC"/>
    <w:rsid w:val="00126B19"/>
    <w:rsid w:val="00126D3A"/>
    <w:rsid w:val="0012749D"/>
    <w:rsid w:val="00127A23"/>
    <w:rsid w:val="00127FF9"/>
    <w:rsid w:val="001306A5"/>
    <w:rsid w:val="00130918"/>
    <w:rsid w:val="001311AE"/>
    <w:rsid w:val="001336F9"/>
    <w:rsid w:val="00133C24"/>
    <w:rsid w:val="00133E1F"/>
    <w:rsid w:val="00134994"/>
    <w:rsid w:val="001352D8"/>
    <w:rsid w:val="00135729"/>
    <w:rsid w:val="001366C2"/>
    <w:rsid w:val="00136C17"/>
    <w:rsid w:val="00137340"/>
    <w:rsid w:val="00140B74"/>
    <w:rsid w:val="00140CFC"/>
    <w:rsid w:val="00140D94"/>
    <w:rsid w:val="0014170C"/>
    <w:rsid w:val="001418CB"/>
    <w:rsid w:val="00142395"/>
    <w:rsid w:val="0014250D"/>
    <w:rsid w:val="00142714"/>
    <w:rsid w:val="00143741"/>
    <w:rsid w:val="00144152"/>
    <w:rsid w:val="00144D09"/>
    <w:rsid w:val="00144E06"/>
    <w:rsid w:val="001452ED"/>
    <w:rsid w:val="001454D2"/>
    <w:rsid w:val="00146E89"/>
    <w:rsid w:val="00147520"/>
    <w:rsid w:val="00147C52"/>
    <w:rsid w:val="00147D84"/>
    <w:rsid w:val="0015020E"/>
    <w:rsid w:val="001503C3"/>
    <w:rsid w:val="00150854"/>
    <w:rsid w:val="00150C9E"/>
    <w:rsid w:val="001510F0"/>
    <w:rsid w:val="0015166F"/>
    <w:rsid w:val="00151CBD"/>
    <w:rsid w:val="00153009"/>
    <w:rsid w:val="001533C3"/>
    <w:rsid w:val="001537B8"/>
    <w:rsid w:val="001543B2"/>
    <w:rsid w:val="001549C1"/>
    <w:rsid w:val="00154CBA"/>
    <w:rsid w:val="0015564A"/>
    <w:rsid w:val="00155713"/>
    <w:rsid w:val="00156C8D"/>
    <w:rsid w:val="00160F4D"/>
    <w:rsid w:val="00161AFE"/>
    <w:rsid w:val="001623F1"/>
    <w:rsid w:val="00162BDD"/>
    <w:rsid w:val="00162D4E"/>
    <w:rsid w:val="00163329"/>
    <w:rsid w:val="00164623"/>
    <w:rsid w:val="00165126"/>
    <w:rsid w:val="001652DE"/>
    <w:rsid w:val="001653EC"/>
    <w:rsid w:val="00165B64"/>
    <w:rsid w:val="001661F3"/>
    <w:rsid w:val="0016756E"/>
    <w:rsid w:val="00167B9C"/>
    <w:rsid w:val="00167C39"/>
    <w:rsid w:val="001700D9"/>
    <w:rsid w:val="00170C4D"/>
    <w:rsid w:val="0017104A"/>
    <w:rsid w:val="001727FD"/>
    <w:rsid w:val="00173101"/>
    <w:rsid w:val="00174EB8"/>
    <w:rsid w:val="001756CB"/>
    <w:rsid w:val="00175787"/>
    <w:rsid w:val="00175C08"/>
    <w:rsid w:val="00175F27"/>
    <w:rsid w:val="00176B9D"/>
    <w:rsid w:val="00177933"/>
    <w:rsid w:val="00180713"/>
    <w:rsid w:val="00180720"/>
    <w:rsid w:val="00182954"/>
    <w:rsid w:val="001830CE"/>
    <w:rsid w:val="001836E3"/>
    <w:rsid w:val="00183D67"/>
    <w:rsid w:val="00183EC6"/>
    <w:rsid w:val="00184659"/>
    <w:rsid w:val="00184B63"/>
    <w:rsid w:val="001860E5"/>
    <w:rsid w:val="0018643B"/>
    <w:rsid w:val="001869D3"/>
    <w:rsid w:val="00186A4D"/>
    <w:rsid w:val="00191747"/>
    <w:rsid w:val="00192A9A"/>
    <w:rsid w:val="0019331D"/>
    <w:rsid w:val="00193E3B"/>
    <w:rsid w:val="001943E0"/>
    <w:rsid w:val="00194941"/>
    <w:rsid w:val="00196307"/>
    <w:rsid w:val="00197C70"/>
    <w:rsid w:val="00197F00"/>
    <w:rsid w:val="00197F03"/>
    <w:rsid w:val="001A0D10"/>
    <w:rsid w:val="001A33EA"/>
    <w:rsid w:val="001A3615"/>
    <w:rsid w:val="001A4413"/>
    <w:rsid w:val="001A4679"/>
    <w:rsid w:val="001A4C4F"/>
    <w:rsid w:val="001A5A2B"/>
    <w:rsid w:val="001A76FB"/>
    <w:rsid w:val="001B017F"/>
    <w:rsid w:val="001B0B79"/>
    <w:rsid w:val="001B19EA"/>
    <w:rsid w:val="001B1A19"/>
    <w:rsid w:val="001B2BBC"/>
    <w:rsid w:val="001B2BCD"/>
    <w:rsid w:val="001B3A40"/>
    <w:rsid w:val="001B3FFE"/>
    <w:rsid w:val="001B5028"/>
    <w:rsid w:val="001B5129"/>
    <w:rsid w:val="001B5D55"/>
    <w:rsid w:val="001B762D"/>
    <w:rsid w:val="001B7A87"/>
    <w:rsid w:val="001C01BC"/>
    <w:rsid w:val="001C0B4C"/>
    <w:rsid w:val="001C0EC4"/>
    <w:rsid w:val="001C1195"/>
    <w:rsid w:val="001C12AE"/>
    <w:rsid w:val="001C1E84"/>
    <w:rsid w:val="001C20E1"/>
    <w:rsid w:val="001C246F"/>
    <w:rsid w:val="001C2A0F"/>
    <w:rsid w:val="001C2E42"/>
    <w:rsid w:val="001C3277"/>
    <w:rsid w:val="001C4FCA"/>
    <w:rsid w:val="001C550B"/>
    <w:rsid w:val="001C5CD1"/>
    <w:rsid w:val="001C5D92"/>
    <w:rsid w:val="001C6D9D"/>
    <w:rsid w:val="001C7ACF"/>
    <w:rsid w:val="001C7F94"/>
    <w:rsid w:val="001D09E5"/>
    <w:rsid w:val="001D1F5F"/>
    <w:rsid w:val="001D2138"/>
    <w:rsid w:val="001D279E"/>
    <w:rsid w:val="001D30A6"/>
    <w:rsid w:val="001D4346"/>
    <w:rsid w:val="001D57B2"/>
    <w:rsid w:val="001D595B"/>
    <w:rsid w:val="001D7DF9"/>
    <w:rsid w:val="001E06D2"/>
    <w:rsid w:val="001E17C4"/>
    <w:rsid w:val="001E2603"/>
    <w:rsid w:val="001E2A47"/>
    <w:rsid w:val="001E2D65"/>
    <w:rsid w:val="001E37E0"/>
    <w:rsid w:val="001E3BA7"/>
    <w:rsid w:val="001E3D2D"/>
    <w:rsid w:val="001E4655"/>
    <w:rsid w:val="001E4BE1"/>
    <w:rsid w:val="001E4FAF"/>
    <w:rsid w:val="001E5C84"/>
    <w:rsid w:val="001E6384"/>
    <w:rsid w:val="001E6D3C"/>
    <w:rsid w:val="001E778F"/>
    <w:rsid w:val="001F005B"/>
    <w:rsid w:val="001F01E8"/>
    <w:rsid w:val="001F0266"/>
    <w:rsid w:val="001F0639"/>
    <w:rsid w:val="001F1850"/>
    <w:rsid w:val="001F1FBF"/>
    <w:rsid w:val="001F208B"/>
    <w:rsid w:val="001F2311"/>
    <w:rsid w:val="001F2B80"/>
    <w:rsid w:val="001F2C55"/>
    <w:rsid w:val="001F2F1C"/>
    <w:rsid w:val="001F3006"/>
    <w:rsid w:val="001F3189"/>
    <w:rsid w:val="001F3FF0"/>
    <w:rsid w:val="001F4236"/>
    <w:rsid w:val="001F59D5"/>
    <w:rsid w:val="001F6BF2"/>
    <w:rsid w:val="0020067A"/>
    <w:rsid w:val="00200BEA"/>
    <w:rsid w:val="00201FB8"/>
    <w:rsid w:val="00203FAC"/>
    <w:rsid w:val="00205D09"/>
    <w:rsid w:val="002063E3"/>
    <w:rsid w:val="002075F9"/>
    <w:rsid w:val="00207FA8"/>
    <w:rsid w:val="002104C4"/>
    <w:rsid w:val="00210562"/>
    <w:rsid w:val="00213354"/>
    <w:rsid w:val="002133CC"/>
    <w:rsid w:val="002133FB"/>
    <w:rsid w:val="00213CFB"/>
    <w:rsid w:val="00214CBB"/>
    <w:rsid w:val="0021553C"/>
    <w:rsid w:val="0021557B"/>
    <w:rsid w:val="00215B4C"/>
    <w:rsid w:val="00216B87"/>
    <w:rsid w:val="00216F57"/>
    <w:rsid w:val="0021729D"/>
    <w:rsid w:val="002174FD"/>
    <w:rsid w:val="00217BE1"/>
    <w:rsid w:val="002206D5"/>
    <w:rsid w:val="00220D76"/>
    <w:rsid w:val="00221361"/>
    <w:rsid w:val="002214B9"/>
    <w:rsid w:val="00222680"/>
    <w:rsid w:val="00223370"/>
    <w:rsid w:val="00223F4F"/>
    <w:rsid w:val="00224953"/>
    <w:rsid w:val="00224D1E"/>
    <w:rsid w:val="002251C1"/>
    <w:rsid w:val="0022550B"/>
    <w:rsid w:val="00226611"/>
    <w:rsid w:val="00226B28"/>
    <w:rsid w:val="00227033"/>
    <w:rsid w:val="002274EB"/>
    <w:rsid w:val="00227BC5"/>
    <w:rsid w:val="00230F63"/>
    <w:rsid w:val="00234252"/>
    <w:rsid w:val="0023466E"/>
    <w:rsid w:val="002348E1"/>
    <w:rsid w:val="00234E7F"/>
    <w:rsid w:val="00235AF2"/>
    <w:rsid w:val="00237A91"/>
    <w:rsid w:val="00237AC6"/>
    <w:rsid w:val="00240249"/>
    <w:rsid w:val="002409A0"/>
    <w:rsid w:val="00240F54"/>
    <w:rsid w:val="00241384"/>
    <w:rsid w:val="002418D5"/>
    <w:rsid w:val="00242B64"/>
    <w:rsid w:val="00242BFD"/>
    <w:rsid w:val="00243BEB"/>
    <w:rsid w:val="00243F37"/>
    <w:rsid w:val="00244139"/>
    <w:rsid w:val="002441E6"/>
    <w:rsid w:val="00244490"/>
    <w:rsid w:val="00244BEC"/>
    <w:rsid w:val="00244F8E"/>
    <w:rsid w:val="00245444"/>
    <w:rsid w:val="00245B9C"/>
    <w:rsid w:val="002475BB"/>
    <w:rsid w:val="00250874"/>
    <w:rsid w:val="00251B85"/>
    <w:rsid w:val="00252587"/>
    <w:rsid w:val="00253499"/>
    <w:rsid w:val="002551A4"/>
    <w:rsid w:val="00256EE6"/>
    <w:rsid w:val="002572DE"/>
    <w:rsid w:val="00257664"/>
    <w:rsid w:val="00257C28"/>
    <w:rsid w:val="00257D6F"/>
    <w:rsid w:val="00260165"/>
    <w:rsid w:val="002616B1"/>
    <w:rsid w:val="002620DC"/>
    <w:rsid w:val="002648DC"/>
    <w:rsid w:val="00265151"/>
    <w:rsid w:val="00265A2A"/>
    <w:rsid w:val="00265C2C"/>
    <w:rsid w:val="00266509"/>
    <w:rsid w:val="00267098"/>
    <w:rsid w:val="00270E32"/>
    <w:rsid w:val="00271679"/>
    <w:rsid w:val="00271BA1"/>
    <w:rsid w:val="00272BEA"/>
    <w:rsid w:val="00272DE5"/>
    <w:rsid w:val="00273AC5"/>
    <w:rsid w:val="0027436E"/>
    <w:rsid w:val="00274AB3"/>
    <w:rsid w:val="002762FA"/>
    <w:rsid w:val="00276BE3"/>
    <w:rsid w:val="00276C1E"/>
    <w:rsid w:val="00277505"/>
    <w:rsid w:val="00277873"/>
    <w:rsid w:val="00277C96"/>
    <w:rsid w:val="0028158C"/>
    <w:rsid w:val="002823B6"/>
    <w:rsid w:val="002825EA"/>
    <w:rsid w:val="002861EC"/>
    <w:rsid w:val="002867C6"/>
    <w:rsid w:val="00286D34"/>
    <w:rsid w:val="00290C03"/>
    <w:rsid w:val="00290D15"/>
    <w:rsid w:val="0029217C"/>
    <w:rsid w:val="00292392"/>
    <w:rsid w:val="00292B8C"/>
    <w:rsid w:val="00292DD3"/>
    <w:rsid w:val="00292E3B"/>
    <w:rsid w:val="002933A8"/>
    <w:rsid w:val="002935F0"/>
    <w:rsid w:val="00294274"/>
    <w:rsid w:val="0029458F"/>
    <w:rsid w:val="00295D04"/>
    <w:rsid w:val="002960F3"/>
    <w:rsid w:val="00296143"/>
    <w:rsid w:val="002962B3"/>
    <w:rsid w:val="002967F3"/>
    <w:rsid w:val="00297A63"/>
    <w:rsid w:val="002A018F"/>
    <w:rsid w:val="002A0831"/>
    <w:rsid w:val="002A0C9A"/>
    <w:rsid w:val="002A0E04"/>
    <w:rsid w:val="002A104C"/>
    <w:rsid w:val="002A1E30"/>
    <w:rsid w:val="002A1EF7"/>
    <w:rsid w:val="002A26EB"/>
    <w:rsid w:val="002A2B50"/>
    <w:rsid w:val="002A2B7B"/>
    <w:rsid w:val="002A3810"/>
    <w:rsid w:val="002A494D"/>
    <w:rsid w:val="002A4960"/>
    <w:rsid w:val="002A636A"/>
    <w:rsid w:val="002A74E3"/>
    <w:rsid w:val="002A755F"/>
    <w:rsid w:val="002B0AE0"/>
    <w:rsid w:val="002B0B2B"/>
    <w:rsid w:val="002B1AE6"/>
    <w:rsid w:val="002B1D51"/>
    <w:rsid w:val="002B2DE8"/>
    <w:rsid w:val="002B3032"/>
    <w:rsid w:val="002B30F8"/>
    <w:rsid w:val="002B388A"/>
    <w:rsid w:val="002B3BFE"/>
    <w:rsid w:val="002B3C1A"/>
    <w:rsid w:val="002B3FF0"/>
    <w:rsid w:val="002B4C2A"/>
    <w:rsid w:val="002B5596"/>
    <w:rsid w:val="002B5871"/>
    <w:rsid w:val="002B60F1"/>
    <w:rsid w:val="002B77D7"/>
    <w:rsid w:val="002C0484"/>
    <w:rsid w:val="002C0763"/>
    <w:rsid w:val="002C1B23"/>
    <w:rsid w:val="002C212F"/>
    <w:rsid w:val="002C2F35"/>
    <w:rsid w:val="002C3898"/>
    <w:rsid w:val="002C4AFA"/>
    <w:rsid w:val="002C5850"/>
    <w:rsid w:val="002C6AA9"/>
    <w:rsid w:val="002C7485"/>
    <w:rsid w:val="002C773B"/>
    <w:rsid w:val="002D2641"/>
    <w:rsid w:val="002D26E1"/>
    <w:rsid w:val="002D2710"/>
    <w:rsid w:val="002D283A"/>
    <w:rsid w:val="002D4184"/>
    <w:rsid w:val="002D4543"/>
    <w:rsid w:val="002D6A15"/>
    <w:rsid w:val="002D6BDD"/>
    <w:rsid w:val="002D715F"/>
    <w:rsid w:val="002D7249"/>
    <w:rsid w:val="002D7276"/>
    <w:rsid w:val="002D73C1"/>
    <w:rsid w:val="002D74E8"/>
    <w:rsid w:val="002E022A"/>
    <w:rsid w:val="002E0AF2"/>
    <w:rsid w:val="002E0D50"/>
    <w:rsid w:val="002E148F"/>
    <w:rsid w:val="002E2938"/>
    <w:rsid w:val="002E3153"/>
    <w:rsid w:val="002E3310"/>
    <w:rsid w:val="002E3FD4"/>
    <w:rsid w:val="002E4A02"/>
    <w:rsid w:val="002E5292"/>
    <w:rsid w:val="002E5B3D"/>
    <w:rsid w:val="002E6AAC"/>
    <w:rsid w:val="002E72CA"/>
    <w:rsid w:val="002E75DD"/>
    <w:rsid w:val="002F05D6"/>
    <w:rsid w:val="002F16D8"/>
    <w:rsid w:val="002F1D07"/>
    <w:rsid w:val="002F3A29"/>
    <w:rsid w:val="002F5C5B"/>
    <w:rsid w:val="002F600D"/>
    <w:rsid w:val="002F673C"/>
    <w:rsid w:val="002F6F0F"/>
    <w:rsid w:val="002F7E47"/>
    <w:rsid w:val="00300AD6"/>
    <w:rsid w:val="00300B1B"/>
    <w:rsid w:val="00300D77"/>
    <w:rsid w:val="00301848"/>
    <w:rsid w:val="003019D0"/>
    <w:rsid w:val="003019DE"/>
    <w:rsid w:val="0030311E"/>
    <w:rsid w:val="00303A0D"/>
    <w:rsid w:val="00303B3D"/>
    <w:rsid w:val="00303CFE"/>
    <w:rsid w:val="00304774"/>
    <w:rsid w:val="00305433"/>
    <w:rsid w:val="003064AF"/>
    <w:rsid w:val="0030782F"/>
    <w:rsid w:val="00307DC6"/>
    <w:rsid w:val="00310A8B"/>
    <w:rsid w:val="00310B68"/>
    <w:rsid w:val="0031158B"/>
    <w:rsid w:val="003160D2"/>
    <w:rsid w:val="00316EA9"/>
    <w:rsid w:val="003173FC"/>
    <w:rsid w:val="00317C6C"/>
    <w:rsid w:val="003207B7"/>
    <w:rsid w:val="00320B80"/>
    <w:rsid w:val="00320CD3"/>
    <w:rsid w:val="00320FC6"/>
    <w:rsid w:val="003215FF"/>
    <w:rsid w:val="00321DA7"/>
    <w:rsid w:val="00321FA7"/>
    <w:rsid w:val="00322667"/>
    <w:rsid w:val="003242A8"/>
    <w:rsid w:val="0032607C"/>
    <w:rsid w:val="00326E79"/>
    <w:rsid w:val="0032748A"/>
    <w:rsid w:val="003279D0"/>
    <w:rsid w:val="003301B1"/>
    <w:rsid w:val="0033050D"/>
    <w:rsid w:val="00331189"/>
    <w:rsid w:val="00331C7F"/>
    <w:rsid w:val="0033263D"/>
    <w:rsid w:val="00332BE6"/>
    <w:rsid w:val="00333212"/>
    <w:rsid w:val="003340E7"/>
    <w:rsid w:val="003348C7"/>
    <w:rsid w:val="00334E69"/>
    <w:rsid w:val="00335055"/>
    <w:rsid w:val="0033518A"/>
    <w:rsid w:val="00335535"/>
    <w:rsid w:val="00335F8B"/>
    <w:rsid w:val="003367EF"/>
    <w:rsid w:val="00336E12"/>
    <w:rsid w:val="00337B75"/>
    <w:rsid w:val="00340F00"/>
    <w:rsid w:val="00341AE4"/>
    <w:rsid w:val="003425CA"/>
    <w:rsid w:val="003432E5"/>
    <w:rsid w:val="00343FB7"/>
    <w:rsid w:val="0034463F"/>
    <w:rsid w:val="00344DA7"/>
    <w:rsid w:val="00345146"/>
    <w:rsid w:val="003476EE"/>
    <w:rsid w:val="00347941"/>
    <w:rsid w:val="00350220"/>
    <w:rsid w:val="003516E1"/>
    <w:rsid w:val="00351F82"/>
    <w:rsid w:val="003541DD"/>
    <w:rsid w:val="00355E71"/>
    <w:rsid w:val="00356E5B"/>
    <w:rsid w:val="003572B1"/>
    <w:rsid w:val="00357BC4"/>
    <w:rsid w:val="00360887"/>
    <w:rsid w:val="0036249F"/>
    <w:rsid w:val="0036316F"/>
    <w:rsid w:val="00363632"/>
    <w:rsid w:val="00364378"/>
    <w:rsid w:val="00365965"/>
    <w:rsid w:val="0036718C"/>
    <w:rsid w:val="003703E1"/>
    <w:rsid w:val="00371246"/>
    <w:rsid w:val="00371C7A"/>
    <w:rsid w:val="00372E4D"/>
    <w:rsid w:val="003736C9"/>
    <w:rsid w:val="003758B2"/>
    <w:rsid w:val="00376964"/>
    <w:rsid w:val="003770FF"/>
    <w:rsid w:val="003802B4"/>
    <w:rsid w:val="00380529"/>
    <w:rsid w:val="00380995"/>
    <w:rsid w:val="003809B4"/>
    <w:rsid w:val="00380A0B"/>
    <w:rsid w:val="00381C26"/>
    <w:rsid w:val="00381D5D"/>
    <w:rsid w:val="003832DB"/>
    <w:rsid w:val="00383AD0"/>
    <w:rsid w:val="00383B77"/>
    <w:rsid w:val="00384988"/>
    <w:rsid w:val="00385910"/>
    <w:rsid w:val="003859FF"/>
    <w:rsid w:val="003872CF"/>
    <w:rsid w:val="003874CB"/>
    <w:rsid w:val="003902E1"/>
    <w:rsid w:val="0039038A"/>
    <w:rsid w:val="0039458A"/>
    <w:rsid w:val="0039472C"/>
    <w:rsid w:val="00396E08"/>
    <w:rsid w:val="003970DD"/>
    <w:rsid w:val="0039782C"/>
    <w:rsid w:val="00397F98"/>
    <w:rsid w:val="003A01D7"/>
    <w:rsid w:val="003A023D"/>
    <w:rsid w:val="003A0354"/>
    <w:rsid w:val="003A0A18"/>
    <w:rsid w:val="003A1203"/>
    <w:rsid w:val="003A13A6"/>
    <w:rsid w:val="003A1BEB"/>
    <w:rsid w:val="003A1FC4"/>
    <w:rsid w:val="003A2165"/>
    <w:rsid w:val="003A272B"/>
    <w:rsid w:val="003A2C1A"/>
    <w:rsid w:val="003A38E2"/>
    <w:rsid w:val="003A3AF3"/>
    <w:rsid w:val="003A3FD4"/>
    <w:rsid w:val="003A586A"/>
    <w:rsid w:val="003A5B4A"/>
    <w:rsid w:val="003A5D95"/>
    <w:rsid w:val="003A6510"/>
    <w:rsid w:val="003A673C"/>
    <w:rsid w:val="003A74E2"/>
    <w:rsid w:val="003B06B9"/>
    <w:rsid w:val="003B09BD"/>
    <w:rsid w:val="003B0D3A"/>
    <w:rsid w:val="003B1141"/>
    <w:rsid w:val="003B2302"/>
    <w:rsid w:val="003B23C5"/>
    <w:rsid w:val="003B2A75"/>
    <w:rsid w:val="003B491E"/>
    <w:rsid w:val="003B49B2"/>
    <w:rsid w:val="003B6124"/>
    <w:rsid w:val="003B71CF"/>
    <w:rsid w:val="003B7960"/>
    <w:rsid w:val="003B7CF0"/>
    <w:rsid w:val="003C0908"/>
    <w:rsid w:val="003C093A"/>
    <w:rsid w:val="003C1ECF"/>
    <w:rsid w:val="003C28CF"/>
    <w:rsid w:val="003C2FB5"/>
    <w:rsid w:val="003C39D7"/>
    <w:rsid w:val="003C461F"/>
    <w:rsid w:val="003D11B7"/>
    <w:rsid w:val="003D1D95"/>
    <w:rsid w:val="003D24C5"/>
    <w:rsid w:val="003D2705"/>
    <w:rsid w:val="003D274B"/>
    <w:rsid w:val="003D4594"/>
    <w:rsid w:val="003D4AC4"/>
    <w:rsid w:val="003D5433"/>
    <w:rsid w:val="003D60AD"/>
    <w:rsid w:val="003D63B7"/>
    <w:rsid w:val="003D67D6"/>
    <w:rsid w:val="003D6C9E"/>
    <w:rsid w:val="003D74C5"/>
    <w:rsid w:val="003E11F0"/>
    <w:rsid w:val="003E2DB7"/>
    <w:rsid w:val="003E4374"/>
    <w:rsid w:val="003E468B"/>
    <w:rsid w:val="003E5B86"/>
    <w:rsid w:val="003E62BD"/>
    <w:rsid w:val="003E658D"/>
    <w:rsid w:val="003E6A84"/>
    <w:rsid w:val="003F044F"/>
    <w:rsid w:val="003F0C3A"/>
    <w:rsid w:val="003F15F0"/>
    <w:rsid w:val="003F27FF"/>
    <w:rsid w:val="003F2AD9"/>
    <w:rsid w:val="003F3228"/>
    <w:rsid w:val="003F4447"/>
    <w:rsid w:val="003F5C8C"/>
    <w:rsid w:val="003F6006"/>
    <w:rsid w:val="003F63CE"/>
    <w:rsid w:val="003F72C1"/>
    <w:rsid w:val="003F775A"/>
    <w:rsid w:val="00400042"/>
    <w:rsid w:val="00400E55"/>
    <w:rsid w:val="0040128E"/>
    <w:rsid w:val="00401640"/>
    <w:rsid w:val="004017AD"/>
    <w:rsid w:val="004018CC"/>
    <w:rsid w:val="00401AEC"/>
    <w:rsid w:val="0040216B"/>
    <w:rsid w:val="00402943"/>
    <w:rsid w:val="00402C20"/>
    <w:rsid w:val="00402C3D"/>
    <w:rsid w:val="004031DE"/>
    <w:rsid w:val="00403EFE"/>
    <w:rsid w:val="00404537"/>
    <w:rsid w:val="00404852"/>
    <w:rsid w:val="00405299"/>
    <w:rsid w:val="00405595"/>
    <w:rsid w:val="0040590E"/>
    <w:rsid w:val="00406645"/>
    <w:rsid w:val="00406AA3"/>
    <w:rsid w:val="004070BF"/>
    <w:rsid w:val="004077E6"/>
    <w:rsid w:val="00407CC8"/>
    <w:rsid w:val="00410B0E"/>
    <w:rsid w:val="0041132F"/>
    <w:rsid w:val="00411D3A"/>
    <w:rsid w:val="00411DC0"/>
    <w:rsid w:val="00412DAA"/>
    <w:rsid w:val="00413C50"/>
    <w:rsid w:val="00414F0C"/>
    <w:rsid w:val="004152D9"/>
    <w:rsid w:val="00417703"/>
    <w:rsid w:val="00420400"/>
    <w:rsid w:val="00420419"/>
    <w:rsid w:val="00421C44"/>
    <w:rsid w:val="004234BE"/>
    <w:rsid w:val="00423B6E"/>
    <w:rsid w:val="00423E78"/>
    <w:rsid w:val="004252EC"/>
    <w:rsid w:val="00427FEB"/>
    <w:rsid w:val="0043058E"/>
    <w:rsid w:val="00430AE5"/>
    <w:rsid w:val="00430D39"/>
    <w:rsid w:val="00432084"/>
    <w:rsid w:val="00432EBF"/>
    <w:rsid w:val="0043584E"/>
    <w:rsid w:val="004359EE"/>
    <w:rsid w:val="00437668"/>
    <w:rsid w:val="00442C91"/>
    <w:rsid w:val="00442CEF"/>
    <w:rsid w:val="00442F95"/>
    <w:rsid w:val="00443D75"/>
    <w:rsid w:val="00443F38"/>
    <w:rsid w:val="00444BDD"/>
    <w:rsid w:val="00444E9D"/>
    <w:rsid w:val="004465BD"/>
    <w:rsid w:val="00446938"/>
    <w:rsid w:val="0045275E"/>
    <w:rsid w:val="004528FA"/>
    <w:rsid w:val="00452A6C"/>
    <w:rsid w:val="00454F16"/>
    <w:rsid w:val="00454FF3"/>
    <w:rsid w:val="004558B7"/>
    <w:rsid w:val="00456AD8"/>
    <w:rsid w:val="0045733A"/>
    <w:rsid w:val="00460648"/>
    <w:rsid w:val="00460677"/>
    <w:rsid w:val="00461A44"/>
    <w:rsid w:val="0046238F"/>
    <w:rsid w:val="00462D26"/>
    <w:rsid w:val="0046368B"/>
    <w:rsid w:val="0046385A"/>
    <w:rsid w:val="00463B1F"/>
    <w:rsid w:val="00464039"/>
    <w:rsid w:val="00465FFE"/>
    <w:rsid w:val="00466ADA"/>
    <w:rsid w:val="0046737B"/>
    <w:rsid w:val="00467CD4"/>
    <w:rsid w:val="004702BB"/>
    <w:rsid w:val="004711C6"/>
    <w:rsid w:val="004720CD"/>
    <w:rsid w:val="0047211D"/>
    <w:rsid w:val="0047244D"/>
    <w:rsid w:val="0047494B"/>
    <w:rsid w:val="00475138"/>
    <w:rsid w:val="00476245"/>
    <w:rsid w:val="004766D3"/>
    <w:rsid w:val="00476D1B"/>
    <w:rsid w:val="004773C4"/>
    <w:rsid w:val="00477A9B"/>
    <w:rsid w:val="00477F28"/>
    <w:rsid w:val="0048094D"/>
    <w:rsid w:val="00480CFA"/>
    <w:rsid w:val="0048191A"/>
    <w:rsid w:val="00482AE4"/>
    <w:rsid w:val="00483035"/>
    <w:rsid w:val="004835D9"/>
    <w:rsid w:val="00483963"/>
    <w:rsid w:val="004840C1"/>
    <w:rsid w:val="00485940"/>
    <w:rsid w:val="0048630E"/>
    <w:rsid w:val="0048639C"/>
    <w:rsid w:val="00486C95"/>
    <w:rsid w:val="004877C2"/>
    <w:rsid w:val="00487A44"/>
    <w:rsid w:val="004904B9"/>
    <w:rsid w:val="00490590"/>
    <w:rsid w:val="00490BB5"/>
    <w:rsid w:val="00491533"/>
    <w:rsid w:val="00491EDC"/>
    <w:rsid w:val="00491F25"/>
    <w:rsid w:val="004928E1"/>
    <w:rsid w:val="00492D8D"/>
    <w:rsid w:val="00494981"/>
    <w:rsid w:val="00494A3C"/>
    <w:rsid w:val="00496662"/>
    <w:rsid w:val="00496E85"/>
    <w:rsid w:val="004971C4"/>
    <w:rsid w:val="004A1431"/>
    <w:rsid w:val="004A2484"/>
    <w:rsid w:val="004A2A1A"/>
    <w:rsid w:val="004A2D3E"/>
    <w:rsid w:val="004A378E"/>
    <w:rsid w:val="004A45CC"/>
    <w:rsid w:val="004A4BD1"/>
    <w:rsid w:val="004A5A85"/>
    <w:rsid w:val="004A6829"/>
    <w:rsid w:val="004A6E40"/>
    <w:rsid w:val="004A71D1"/>
    <w:rsid w:val="004A7C5B"/>
    <w:rsid w:val="004B0425"/>
    <w:rsid w:val="004B1845"/>
    <w:rsid w:val="004B2348"/>
    <w:rsid w:val="004B2553"/>
    <w:rsid w:val="004B2E01"/>
    <w:rsid w:val="004B2E98"/>
    <w:rsid w:val="004B5640"/>
    <w:rsid w:val="004B6084"/>
    <w:rsid w:val="004BCF29"/>
    <w:rsid w:val="004C0206"/>
    <w:rsid w:val="004C03D0"/>
    <w:rsid w:val="004C0FA4"/>
    <w:rsid w:val="004C145E"/>
    <w:rsid w:val="004C1BD7"/>
    <w:rsid w:val="004C1BF2"/>
    <w:rsid w:val="004C239C"/>
    <w:rsid w:val="004C31FE"/>
    <w:rsid w:val="004C4514"/>
    <w:rsid w:val="004C524C"/>
    <w:rsid w:val="004C5EDD"/>
    <w:rsid w:val="004C5FE6"/>
    <w:rsid w:val="004C5FFA"/>
    <w:rsid w:val="004C65D8"/>
    <w:rsid w:val="004C67F9"/>
    <w:rsid w:val="004C691D"/>
    <w:rsid w:val="004C6C07"/>
    <w:rsid w:val="004C7E15"/>
    <w:rsid w:val="004C7EC6"/>
    <w:rsid w:val="004D1EA0"/>
    <w:rsid w:val="004D1F92"/>
    <w:rsid w:val="004D20DF"/>
    <w:rsid w:val="004D2CD1"/>
    <w:rsid w:val="004D33E4"/>
    <w:rsid w:val="004D341F"/>
    <w:rsid w:val="004D365C"/>
    <w:rsid w:val="004D4FF6"/>
    <w:rsid w:val="004D5107"/>
    <w:rsid w:val="004D5ADD"/>
    <w:rsid w:val="004E09A4"/>
    <w:rsid w:val="004E0CC3"/>
    <w:rsid w:val="004E351A"/>
    <w:rsid w:val="004E561D"/>
    <w:rsid w:val="004E692D"/>
    <w:rsid w:val="004E6E00"/>
    <w:rsid w:val="004E7230"/>
    <w:rsid w:val="004E7D87"/>
    <w:rsid w:val="004F0175"/>
    <w:rsid w:val="004F0225"/>
    <w:rsid w:val="004F2553"/>
    <w:rsid w:val="004F2F10"/>
    <w:rsid w:val="004F306A"/>
    <w:rsid w:val="004F38F6"/>
    <w:rsid w:val="004F3983"/>
    <w:rsid w:val="004F40DC"/>
    <w:rsid w:val="004F6368"/>
    <w:rsid w:val="00500288"/>
    <w:rsid w:val="005003D2"/>
    <w:rsid w:val="0050067E"/>
    <w:rsid w:val="00501554"/>
    <w:rsid w:val="00502AFE"/>
    <w:rsid w:val="00502B9B"/>
    <w:rsid w:val="00502E64"/>
    <w:rsid w:val="00503AD7"/>
    <w:rsid w:val="00503E89"/>
    <w:rsid w:val="0050420B"/>
    <w:rsid w:val="00504E0C"/>
    <w:rsid w:val="00504E13"/>
    <w:rsid w:val="00505ACA"/>
    <w:rsid w:val="00506208"/>
    <w:rsid w:val="00506402"/>
    <w:rsid w:val="00506BC9"/>
    <w:rsid w:val="005109D4"/>
    <w:rsid w:val="0051230A"/>
    <w:rsid w:val="00512FAE"/>
    <w:rsid w:val="00513776"/>
    <w:rsid w:val="00514CD7"/>
    <w:rsid w:val="005167EC"/>
    <w:rsid w:val="00516992"/>
    <w:rsid w:val="005170DA"/>
    <w:rsid w:val="005172B0"/>
    <w:rsid w:val="005178CD"/>
    <w:rsid w:val="00517D2B"/>
    <w:rsid w:val="00520893"/>
    <w:rsid w:val="00520D6A"/>
    <w:rsid w:val="00521E36"/>
    <w:rsid w:val="00522DB6"/>
    <w:rsid w:val="00523A4A"/>
    <w:rsid w:val="00524D5D"/>
    <w:rsid w:val="005252C3"/>
    <w:rsid w:val="0052604B"/>
    <w:rsid w:val="005260B4"/>
    <w:rsid w:val="005264A7"/>
    <w:rsid w:val="00526B86"/>
    <w:rsid w:val="005277CA"/>
    <w:rsid w:val="0052792D"/>
    <w:rsid w:val="00530246"/>
    <w:rsid w:val="005303D8"/>
    <w:rsid w:val="005310C1"/>
    <w:rsid w:val="005319B2"/>
    <w:rsid w:val="00532402"/>
    <w:rsid w:val="00532C74"/>
    <w:rsid w:val="0053319E"/>
    <w:rsid w:val="00533239"/>
    <w:rsid w:val="00533789"/>
    <w:rsid w:val="00533D65"/>
    <w:rsid w:val="00534E2E"/>
    <w:rsid w:val="00534EFC"/>
    <w:rsid w:val="00535004"/>
    <w:rsid w:val="00535133"/>
    <w:rsid w:val="00535DCC"/>
    <w:rsid w:val="0054064C"/>
    <w:rsid w:val="00542BBA"/>
    <w:rsid w:val="00544552"/>
    <w:rsid w:val="00544AC9"/>
    <w:rsid w:val="00545130"/>
    <w:rsid w:val="0054549F"/>
    <w:rsid w:val="00546623"/>
    <w:rsid w:val="00546B36"/>
    <w:rsid w:val="00550241"/>
    <w:rsid w:val="0055174E"/>
    <w:rsid w:val="0055286A"/>
    <w:rsid w:val="00552B17"/>
    <w:rsid w:val="005547D0"/>
    <w:rsid w:val="00554CDB"/>
    <w:rsid w:val="00555745"/>
    <w:rsid w:val="0055636D"/>
    <w:rsid w:val="00557D4F"/>
    <w:rsid w:val="0056122E"/>
    <w:rsid w:val="00561E9F"/>
    <w:rsid w:val="005629C3"/>
    <w:rsid w:val="00562B44"/>
    <w:rsid w:val="00562EB6"/>
    <w:rsid w:val="00563352"/>
    <w:rsid w:val="0056484E"/>
    <w:rsid w:val="00564DFE"/>
    <w:rsid w:val="00565999"/>
    <w:rsid w:val="00566638"/>
    <w:rsid w:val="005670E0"/>
    <w:rsid w:val="00567335"/>
    <w:rsid w:val="00567D8A"/>
    <w:rsid w:val="00570231"/>
    <w:rsid w:val="005714B7"/>
    <w:rsid w:val="00571D41"/>
    <w:rsid w:val="00572FF1"/>
    <w:rsid w:val="005732FD"/>
    <w:rsid w:val="00573304"/>
    <w:rsid w:val="00574EF1"/>
    <w:rsid w:val="005750E9"/>
    <w:rsid w:val="005764CD"/>
    <w:rsid w:val="005769A5"/>
    <w:rsid w:val="0057703E"/>
    <w:rsid w:val="00577C4D"/>
    <w:rsid w:val="00580532"/>
    <w:rsid w:val="00580F95"/>
    <w:rsid w:val="00581932"/>
    <w:rsid w:val="00583002"/>
    <w:rsid w:val="005856E2"/>
    <w:rsid w:val="005903BB"/>
    <w:rsid w:val="00590609"/>
    <w:rsid w:val="00590AAF"/>
    <w:rsid w:val="00590E33"/>
    <w:rsid w:val="00593893"/>
    <w:rsid w:val="00595E5A"/>
    <w:rsid w:val="005963BB"/>
    <w:rsid w:val="0059645C"/>
    <w:rsid w:val="00596D37"/>
    <w:rsid w:val="005A0C24"/>
    <w:rsid w:val="005A0F65"/>
    <w:rsid w:val="005A15D2"/>
    <w:rsid w:val="005A19A5"/>
    <w:rsid w:val="005A1ADA"/>
    <w:rsid w:val="005A21A3"/>
    <w:rsid w:val="005A3173"/>
    <w:rsid w:val="005A3223"/>
    <w:rsid w:val="005A3AD0"/>
    <w:rsid w:val="005A3DA3"/>
    <w:rsid w:val="005A52C4"/>
    <w:rsid w:val="005A6239"/>
    <w:rsid w:val="005A635F"/>
    <w:rsid w:val="005A63A1"/>
    <w:rsid w:val="005B0486"/>
    <w:rsid w:val="005B1032"/>
    <w:rsid w:val="005B1226"/>
    <w:rsid w:val="005B1473"/>
    <w:rsid w:val="005B293F"/>
    <w:rsid w:val="005B2B3F"/>
    <w:rsid w:val="005B2F2A"/>
    <w:rsid w:val="005B36FA"/>
    <w:rsid w:val="005B4D58"/>
    <w:rsid w:val="005B7B02"/>
    <w:rsid w:val="005C0A70"/>
    <w:rsid w:val="005C3209"/>
    <w:rsid w:val="005C4599"/>
    <w:rsid w:val="005C4996"/>
    <w:rsid w:val="005C4F73"/>
    <w:rsid w:val="005C5378"/>
    <w:rsid w:val="005C5AC1"/>
    <w:rsid w:val="005C70E5"/>
    <w:rsid w:val="005D0144"/>
    <w:rsid w:val="005D03AB"/>
    <w:rsid w:val="005D0E84"/>
    <w:rsid w:val="005D1259"/>
    <w:rsid w:val="005D1E40"/>
    <w:rsid w:val="005D259E"/>
    <w:rsid w:val="005D2D47"/>
    <w:rsid w:val="005D401D"/>
    <w:rsid w:val="005D4D24"/>
    <w:rsid w:val="005D5017"/>
    <w:rsid w:val="005D50DF"/>
    <w:rsid w:val="005D5708"/>
    <w:rsid w:val="005D5A4A"/>
    <w:rsid w:val="005D62E9"/>
    <w:rsid w:val="005D63FA"/>
    <w:rsid w:val="005D643D"/>
    <w:rsid w:val="005D73C7"/>
    <w:rsid w:val="005E0050"/>
    <w:rsid w:val="005E0C1E"/>
    <w:rsid w:val="005E0C2D"/>
    <w:rsid w:val="005E0D82"/>
    <w:rsid w:val="005E0F59"/>
    <w:rsid w:val="005E1196"/>
    <w:rsid w:val="005E1333"/>
    <w:rsid w:val="005E1B1E"/>
    <w:rsid w:val="005E3136"/>
    <w:rsid w:val="005E3CDA"/>
    <w:rsid w:val="005E507D"/>
    <w:rsid w:val="005E5B11"/>
    <w:rsid w:val="005E6227"/>
    <w:rsid w:val="005E684E"/>
    <w:rsid w:val="005F0AD0"/>
    <w:rsid w:val="005F0C3F"/>
    <w:rsid w:val="005F1229"/>
    <w:rsid w:val="005F25A4"/>
    <w:rsid w:val="005F309D"/>
    <w:rsid w:val="005F3BC8"/>
    <w:rsid w:val="005F4F46"/>
    <w:rsid w:val="005F5603"/>
    <w:rsid w:val="005F6F56"/>
    <w:rsid w:val="006006C7"/>
    <w:rsid w:val="00600A18"/>
    <w:rsid w:val="00601A91"/>
    <w:rsid w:val="00602063"/>
    <w:rsid w:val="00602BA3"/>
    <w:rsid w:val="00604357"/>
    <w:rsid w:val="00605B63"/>
    <w:rsid w:val="00605F9A"/>
    <w:rsid w:val="00606442"/>
    <w:rsid w:val="00606A7B"/>
    <w:rsid w:val="00606EED"/>
    <w:rsid w:val="006070DA"/>
    <w:rsid w:val="00607DDB"/>
    <w:rsid w:val="0061282B"/>
    <w:rsid w:val="00612A95"/>
    <w:rsid w:val="00612E34"/>
    <w:rsid w:val="00613BD9"/>
    <w:rsid w:val="00614159"/>
    <w:rsid w:val="006158A3"/>
    <w:rsid w:val="00615B69"/>
    <w:rsid w:val="00616C5F"/>
    <w:rsid w:val="00616DAC"/>
    <w:rsid w:val="0061761A"/>
    <w:rsid w:val="00617640"/>
    <w:rsid w:val="00617725"/>
    <w:rsid w:val="00617878"/>
    <w:rsid w:val="00617C00"/>
    <w:rsid w:val="006214D1"/>
    <w:rsid w:val="00621E88"/>
    <w:rsid w:val="00622897"/>
    <w:rsid w:val="00622B0C"/>
    <w:rsid w:val="0062316F"/>
    <w:rsid w:val="00623716"/>
    <w:rsid w:val="00624574"/>
    <w:rsid w:val="006256B9"/>
    <w:rsid w:val="0062636F"/>
    <w:rsid w:val="006263BF"/>
    <w:rsid w:val="0062748A"/>
    <w:rsid w:val="0063017F"/>
    <w:rsid w:val="00630546"/>
    <w:rsid w:val="00630A2C"/>
    <w:rsid w:val="00630CBC"/>
    <w:rsid w:val="006315B5"/>
    <w:rsid w:val="00632180"/>
    <w:rsid w:val="00632216"/>
    <w:rsid w:val="00632DB1"/>
    <w:rsid w:val="006337C2"/>
    <w:rsid w:val="00634A75"/>
    <w:rsid w:val="006355AC"/>
    <w:rsid w:val="00635F98"/>
    <w:rsid w:val="006360DE"/>
    <w:rsid w:val="0063682E"/>
    <w:rsid w:val="00636ACB"/>
    <w:rsid w:val="00636D93"/>
    <w:rsid w:val="00640088"/>
    <w:rsid w:val="00640D16"/>
    <w:rsid w:val="00641A10"/>
    <w:rsid w:val="00642672"/>
    <w:rsid w:val="00642DA8"/>
    <w:rsid w:val="006436CD"/>
    <w:rsid w:val="00645C11"/>
    <w:rsid w:val="006472DE"/>
    <w:rsid w:val="00647769"/>
    <w:rsid w:val="00650976"/>
    <w:rsid w:val="00651169"/>
    <w:rsid w:val="00651DFD"/>
    <w:rsid w:val="00651FFE"/>
    <w:rsid w:val="006524E8"/>
    <w:rsid w:val="00653CB4"/>
    <w:rsid w:val="00653D69"/>
    <w:rsid w:val="00653F0D"/>
    <w:rsid w:val="00654A0C"/>
    <w:rsid w:val="006552E6"/>
    <w:rsid w:val="00655794"/>
    <w:rsid w:val="00656F2F"/>
    <w:rsid w:val="00657C63"/>
    <w:rsid w:val="006619BD"/>
    <w:rsid w:val="00661CBC"/>
    <w:rsid w:val="00661E58"/>
    <w:rsid w:val="00662AA1"/>
    <w:rsid w:val="00662B85"/>
    <w:rsid w:val="00663700"/>
    <w:rsid w:val="00663EE9"/>
    <w:rsid w:val="00664987"/>
    <w:rsid w:val="00664CA4"/>
    <w:rsid w:val="00666EB8"/>
    <w:rsid w:val="006670B3"/>
    <w:rsid w:val="006670BE"/>
    <w:rsid w:val="00667B58"/>
    <w:rsid w:val="00670A76"/>
    <w:rsid w:val="00671061"/>
    <w:rsid w:val="006711AA"/>
    <w:rsid w:val="00672B57"/>
    <w:rsid w:val="00673F1F"/>
    <w:rsid w:val="00675622"/>
    <w:rsid w:val="00675DEB"/>
    <w:rsid w:val="00676D5E"/>
    <w:rsid w:val="0067720F"/>
    <w:rsid w:val="0067747D"/>
    <w:rsid w:val="006803A1"/>
    <w:rsid w:val="00680C05"/>
    <w:rsid w:val="00680E1D"/>
    <w:rsid w:val="006818D5"/>
    <w:rsid w:val="00681CA4"/>
    <w:rsid w:val="0068227B"/>
    <w:rsid w:val="006846A6"/>
    <w:rsid w:val="00685287"/>
    <w:rsid w:val="00685983"/>
    <w:rsid w:val="00685A0C"/>
    <w:rsid w:val="00685A0D"/>
    <w:rsid w:val="00685B93"/>
    <w:rsid w:val="00686559"/>
    <w:rsid w:val="0068769C"/>
    <w:rsid w:val="0069039D"/>
    <w:rsid w:val="0069063B"/>
    <w:rsid w:val="006906DB"/>
    <w:rsid w:val="00691900"/>
    <w:rsid w:val="00691A2C"/>
    <w:rsid w:val="00691E6C"/>
    <w:rsid w:val="00693425"/>
    <w:rsid w:val="0069342D"/>
    <w:rsid w:val="00693DFB"/>
    <w:rsid w:val="00694545"/>
    <w:rsid w:val="00694FD5"/>
    <w:rsid w:val="0069501D"/>
    <w:rsid w:val="00696129"/>
    <w:rsid w:val="00696213"/>
    <w:rsid w:val="00696853"/>
    <w:rsid w:val="006969CD"/>
    <w:rsid w:val="00697CF2"/>
    <w:rsid w:val="006A12A5"/>
    <w:rsid w:val="006A1BB9"/>
    <w:rsid w:val="006A2515"/>
    <w:rsid w:val="006A3240"/>
    <w:rsid w:val="006A40B5"/>
    <w:rsid w:val="006A4270"/>
    <w:rsid w:val="006A4D54"/>
    <w:rsid w:val="006A572D"/>
    <w:rsid w:val="006A5E20"/>
    <w:rsid w:val="006A7240"/>
    <w:rsid w:val="006A7C5F"/>
    <w:rsid w:val="006B0D94"/>
    <w:rsid w:val="006B0E65"/>
    <w:rsid w:val="006B16B6"/>
    <w:rsid w:val="006B485D"/>
    <w:rsid w:val="006B56BE"/>
    <w:rsid w:val="006B7DDA"/>
    <w:rsid w:val="006C0096"/>
    <w:rsid w:val="006C0C45"/>
    <w:rsid w:val="006C159C"/>
    <w:rsid w:val="006C1654"/>
    <w:rsid w:val="006C22F6"/>
    <w:rsid w:val="006C2806"/>
    <w:rsid w:val="006C2963"/>
    <w:rsid w:val="006C2A19"/>
    <w:rsid w:val="006C334C"/>
    <w:rsid w:val="006C4EA5"/>
    <w:rsid w:val="006C520B"/>
    <w:rsid w:val="006C5F92"/>
    <w:rsid w:val="006C69FF"/>
    <w:rsid w:val="006C6C10"/>
    <w:rsid w:val="006C708E"/>
    <w:rsid w:val="006C7E95"/>
    <w:rsid w:val="006D14E7"/>
    <w:rsid w:val="006D401B"/>
    <w:rsid w:val="006D4444"/>
    <w:rsid w:val="006D4B7B"/>
    <w:rsid w:val="006D5304"/>
    <w:rsid w:val="006D6493"/>
    <w:rsid w:val="006D6EC7"/>
    <w:rsid w:val="006D7496"/>
    <w:rsid w:val="006D7B05"/>
    <w:rsid w:val="006D7E45"/>
    <w:rsid w:val="006D7F2C"/>
    <w:rsid w:val="006E0482"/>
    <w:rsid w:val="006E1143"/>
    <w:rsid w:val="006E1391"/>
    <w:rsid w:val="006E1BCD"/>
    <w:rsid w:val="006E1FAE"/>
    <w:rsid w:val="006E242D"/>
    <w:rsid w:val="006E24ED"/>
    <w:rsid w:val="006E2732"/>
    <w:rsid w:val="006E4730"/>
    <w:rsid w:val="006E47D2"/>
    <w:rsid w:val="006E59CD"/>
    <w:rsid w:val="006E6752"/>
    <w:rsid w:val="006E6E51"/>
    <w:rsid w:val="006E7630"/>
    <w:rsid w:val="006E7656"/>
    <w:rsid w:val="006F00ED"/>
    <w:rsid w:val="006F026F"/>
    <w:rsid w:val="006F0A71"/>
    <w:rsid w:val="006F0BFD"/>
    <w:rsid w:val="006F1424"/>
    <w:rsid w:val="006F1C6B"/>
    <w:rsid w:val="006F2A20"/>
    <w:rsid w:val="006F2ECE"/>
    <w:rsid w:val="006F356A"/>
    <w:rsid w:val="006F40C2"/>
    <w:rsid w:val="006F4F82"/>
    <w:rsid w:val="006F5125"/>
    <w:rsid w:val="006F531B"/>
    <w:rsid w:val="006F6D41"/>
    <w:rsid w:val="006F733D"/>
    <w:rsid w:val="006F7F37"/>
    <w:rsid w:val="00700765"/>
    <w:rsid w:val="00701237"/>
    <w:rsid w:val="00701682"/>
    <w:rsid w:val="007024A8"/>
    <w:rsid w:val="007026AB"/>
    <w:rsid w:val="00702959"/>
    <w:rsid w:val="00702B6F"/>
    <w:rsid w:val="007030B4"/>
    <w:rsid w:val="00703B86"/>
    <w:rsid w:val="00704069"/>
    <w:rsid w:val="00705044"/>
    <w:rsid w:val="00705A2F"/>
    <w:rsid w:val="00706A2F"/>
    <w:rsid w:val="0070718E"/>
    <w:rsid w:val="007079A2"/>
    <w:rsid w:val="00707CC3"/>
    <w:rsid w:val="00707E52"/>
    <w:rsid w:val="00710259"/>
    <w:rsid w:val="0071031F"/>
    <w:rsid w:val="00710670"/>
    <w:rsid w:val="00710737"/>
    <w:rsid w:val="00712112"/>
    <w:rsid w:val="0071340B"/>
    <w:rsid w:val="00713548"/>
    <w:rsid w:val="00713C50"/>
    <w:rsid w:val="00713CA0"/>
    <w:rsid w:val="0071405A"/>
    <w:rsid w:val="00714268"/>
    <w:rsid w:val="0071436D"/>
    <w:rsid w:val="00714DEE"/>
    <w:rsid w:val="0071508D"/>
    <w:rsid w:val="00715BBB"/>
    <w:rsid w:val="00716D24"/>
    <w:rsid w:val="007174BB"/>
    <w:rsid w:val="00717E4B"/>
    <w:rsid w:val="0072025D"/>
    <w:rsid w:val="007212B8"/>
    <w:rsid w:val="00723328"/>
    <w:rsid w:val="007237DE"/>
    <w:rsid w:val="0072466F"/>
    <w:rsid w:val="0072502E"/>
    <w:rsid w:val="00726DAB"/>
    <w:rsid w:val="00727E72"/>
    <w:rsid w:val="0073137C"/>
    <w:rsid w:val="007338F3"/>
    <w:rsid w:val="007340B9"/>
    <w:rsid w:val="007353D3"/>
    <w:rsid w:val="00735CF5"/>
    <w:rsid w:val="0073736F"/>
    <w:rsid w:val="0074156B"/>
    <w:rsid w:val="00741619"/>
    <w:rsid w:val="00742885"/>
    <w:rsid w:val="00745C7E"/>
    <w:rsid w:val="00747092"/>
    <w:rsid w:val="007477FF"/>
    <w:rsid w:val="00747D78"/>
    <w:rsid w:val="00750FE4"/>
    <w:rsid w:val="007526E6"/>
    <w:rsid w:val="00753952"/>
    <w:rsid w:val="00754C18"/>
    <w:rsid w:val="00754D1A"/>
    <w:rsid w:val="00754DF9"/>
    <w:rsid w:val="007555E8"/>
    <w:rsid w:val="00755CC5"/>
    <w:rsid w:val="0075632F"/>
    <w:rsid w:val="00757191"/>
    <w:rsid w:val="00757B1E"/>
    <w:rsid w:val="00762862"/>
    <w:rsid w:val="00764178"/>
    <w:rsid w:val="0076420C"/>
    <w:rsid w:val="00764428"/>
    <w:rsid w:val="00771D07"/>
    <w:rsid w:val="00772649"/>
    <w:rsid w:val="00772F5D"/>
    <w:rsid w:val="007735FB"/>
    <w:rsid w:val="00773BE3"/>
    <w:rsid w:val="007743DD"/>
    <w:rsid w:val="00774E2C"/>
    <w:rsid w:val="0077503C"/>
    <w:rsid w:val="0077518D"/>
    <w:rsid w:val="007753C2"/>
    <w:rsid w:val="00776068"/>
    <w:rsid w:val="00777A91"/>
    <w:rsid w:val="00777E07"/>
    <w:rsid w:val="00781CA0"/>
    <w:rsid w:val="007821C4"/>
    <w:rsid w:val="007838B8"/>
    <w:rsid w:val="007840F7"/>
    <w:rsid w:val="00784F94"/>
    <w:rsid w:val="00785779"/>
    <w:rsid w:val="007866B3"/>
    <w:rsid w:val="00787FD8"/>
    <w:rsid w:val="007904F7"/>
    <w:rsid w:val="007908C1"/>
    <w:rsid w:val="00791304"/>
    <w:rsid w:val="007915BA"/>
    <w:rsid w:val="00791844"/>
    <w:rsid w:val="0079250E"/>
    <w:rsid w:val="00793235"/>
    <w:rsid w:val="00793CE9"/>
    <w:rsid w:val="007941E6"/>
    <w:rsid w:val="00795364"/>
    <w:rsid w:val="00795E31"/>
    <w:rsid w:val="00796667"/>
    <w:rsid w:val="007966D4"/>
    <w:rsid w:val="007968E7"/>
    <w:rsid w:val="00797068"/>
    <w:rsid w:val="007973F8"/>
    <w:rsid w:val="007979BD"/>
    <w:rsid w:val="007A140C"/>
    <w:rsid w:val="007A1521"/>
    <w:rsid w:val="007A231E"/>
    <w:rsid w:val="007A3D8E"/>
    <w:rsid w:val="007A5202"/>
    <w:rsid w:val="007A5C88"/>
    <w:rsid w:val="007A6A2F"/>
    <w:rsid w:val="007B024E"/>
    <w:rsid w:val="007B1A7C"/>
    <w:rsid w:val="007B2A09"/>
    <w:rsid w:val="007B2B98"/>
    <w:rsid w:val="007B2EC4"/>
    <w:rsid w:val="007B3BAF"/>
    <w:rsid w:val="007B3DDC"/>
    <w:rsid w:val="007B67DA"/>
    <w:rsid w:val="007B6FBB"/>
    <w:rsid w:val="007B72A6"/>
    <w:rsid w:val="007B774B"/>
    <w:rsid w:val="007B7B82"/>
    <w:rsid w:val="007B7D0B"/>
    <w:rsid w:val="007C06D2"/>
    <w:rsid w:val="007C07EA"/>
    <w:rsid w:val="007C08E0"/>
    <w:rsid w:val="007C0F57"/>
    <w:rsid w:val="007C11C0"/>
    <w:rsid w:val="007C1CA9"/>
    <w:rsid w:val="007C215A"/>
    <w:rsid w:val="007C2A99"/>
    <w:rsid w:val="007C2F4B"/>
    <w:rsid w:val="007C3221"/>
    <w:rsid w:val="007C40B6"/>
    <w:rsid w:val="007C5173"/>
    <w:rsid w:val="007C5975"/>
    <w:rsid w:val="007C5DBD"/>
    <w:rsid w:val="007C729F"/>
    <w:rsid w:val="007C72AD"/>
    <w:rsid w:val="007C78F9"/>
    <w:rsid w:val="007D0A9E"/>
    <w:rsid w:val="007D15CA"/>
    <w:rsid w:val="007D1A6F"/>
    <w:rsid w:val="007D262E"/>
    <w:rsid w:val="007D503D"/>
    <w:rsid w:val="007D59E7"/>
    <w:rsid w:val="007D5F2A"/>
    <w:rsid w:val="007D64E8"/>
    <w:rsid w:val="007D7BE5"/>
    <w:rsid w:val="007E07AC"/>
    <w:rsid w:val="007E087D"/>
    <w:rsid w:val="007E1014"/>
    <w:rsid w:val="007E12F8"/>
    <w:rsid w:val="007E14EB"/>
    <w:rsid w:val="007E15D5"/>
    <w:rsid w:val="007E1673"/>
    <w:rsid w:val="007E19AB"/>
    <w:rsid w:val="007E1D28"/>
    <w:rsid w:val="007E4564"/>
    <w:rsid w:val="007E490F"/>
    <w:rsid w:val="007E6533"/>
    <w:rsid w:val="007F0021"/>
    <w:rsid w:val="007F1007"/>
    <w:rsid w:val="007F1009"/>
    <w:rsid w:val="007F13B4"/>
    <w:rsid w:val="007F2641"/>
    <w:rsid w:val="007F44B4"/>
    <w:rsid w:val="007F46EC"/>
    <w:rsid w:val="007F4B73"/>
    <w:rsid w:val="007F7C36"/>
    <w:rsid w:val="007F7F45"/>
    <w:rsid w:val="0080001F"/>
    <w:rsid w:val="00801958"/>
    <w:rsid w:val="00801A32"/>
    <w:rsid w:val="0080350A"/>
    <w:rsid w:val="008054C9"/>
    <w:rsid w:val="008055AF"/>
    <w:rsid w:val="008057CD"/>
    <w:rsid w:val="008066B8"/>
    <w:rsid w:val="00806796"/>
    <w:rsid w:val="00806A87"/>
    <w:rsid w:val="00810167"/>
    <w:rsid w:val="008104D0"/>
    <w:rsid w:val="00811413"/>
    <w:rsid w:val="00811C57"/>
    <w:rsid w:val="00811CC0"/>
    <w:rsid w:val="0081215C"/>
    <w:rsid w:val="0081218E"/>
    <w:rsid w:val="00813A25"/>
    <w:rsid w:val="0081422A"/>
    <w:rsid w:val="00814276"/>
    <w:rsid w:val="0081489A"/>
    <w:rsid w:val="008151D6"/>
    <w:rsid w:val="00816322"/>
    <w:rsid w:val="008206E1"/>
    <w:rsid w:val="00820803"/>
    <w:rsid w:val="00821527"/>
    <w:rsid w:val="00822029"/>
    <w:rsid w:val="00822162"/>
    <w:rsid w:val="008225CE"/>
    <w:rsid w:val="00822696"/>
    <w:rsid w:val="00825A6C"/>
    <w:rsid w:val="00825AD2"/>
    <w:rsid w:val="0082617E"/>
    <w:rsid w:val="008268BB"/>
    <w:rsid w:val="00826F6D"/>
    <w:rsid w:val="00827097"/>
    <w:rsid w:val="008306F3"/>
    <w:rsid w:val="00830E40"/>
    <w:rsid w:val="00831B88"/>
    <w:rsid w:val="00832D9A"/>
    <w:rsid w:val="00835470"/>
    <w:rsid w:val="00835B92"/>
    <w:rsid w:val="00835C62"/>
    <w:rsid w:val="008368A1"/>
    <w:rsid w:val="0083711D"/>
    <w:rsid w:val="008378C9"/>
    <w:rsid w:val="00837B7F"/>
    <w:rsid w:val="00840EF7"/>
    <w:rsid w:val="00841B1A"/>
    <w:rsid w:val="00843237"/>
    <w:rsid w:val="008434C5"/>
    <w:rsid w:val="00844C0A"/>
    <w:rsid w:val="00844FD0"/>
    <w:rsid w:val="00846056"/>
    <w:rsid w:val="0084681F"/>
    <w:rsid w:val="00846E28"/>
    <w:rsid w:val="00847D08"/>
    <w:rsid w:val="00847EC0"/>
    <w:rsid w:val="0085037E"/>
    <w:rsid w:val="00852FB4"/>
    <w:rsid w:val="00853883"/>
    <w:rsid w:val="00854506"/>
    <w:rsid w:val="00855C3B"/>
    <w:rsid w:val="00855DF3"/>
    <w:rsid w:val="00855FD6"/>
    <w:rsid w:val="00856DDD"/>
    <w:rsid w:val="00860233"/>
    <w:rsid w:val="00860870"/>
    <w:rsid w:val="00860E9A"/>
    <w:rsid w:val="008615B2"/>
    <w:rsid w:val="008618BF"/>
    <w:rsid w:val="00861AEE"/>
    <w:rsid w:val="00861CAC"/>
    <w:rsid w:val="00863218"/>
    <w:rsid w:val="00863CD5"/>
    <w:rsid w:val="00863E68"/>
    <w:rsid w:val="008647B5"/>
    <w:rsid w:val="00864A11"/>
    <w:rsid w:val="00864E2A"/>
    <w:rsid w:val="0086523B"/>
    <w:rsid w:val="00867D64"/>
    <w:rsid w:val="00867D85"/>
    <w:rsid w:val="0087056E"/>
    <w:rsid w:val="00870ED0"/>
    <w:rsid w:val="00872E8F"/>
    <w:rsid w:val="008749B1"/>
    <w:rsid w:val="00874CB8"/>
    <w:rsid w:val="00875DCB"/>
    <w:rsid w:val="008769D0"/>
    <w:rsid w:val="00876FBF"/>
    <w:rsid w:val="0087755A"/>
    <w:rsid w:val="008811C1"/>
    <w:rsid w:val="00882085"/>
    <w:rsid w:val="00883188"/>
    <w:rsid w:val="008831B1"/>
    <w:rsid w:val="00883A4D"/>
    <w:rsid w:val="00884142"/>
    <w:rsid w:val="00884A0C"/>
    <w:rsid w:val="00886ACA"/>
    <w:rsid w:val="00886B01"/>
    <w:rsid w:val="0089031E"/>
    <w:rsid w:val="0089109A"/>
    <w:rsid w:val="008916D0"/>
    <w:rsid w:val="00892D8F"/>
    <w:rsid w:val="00893D5C"/>
    <w:rsid w:val="0089460B"/>
    <w:rsid w:val="00895657"/>
    <w:rsid w:val="00896AA4"/>
    <w:rsid w:val="00897D58"/>
    <w:rsid w:val="00897F22"/>
    <w:rsid w:val="008A051E"/>
    <w:rsid w:val="008A0B39"/>
    <w:rsid w:val="008A0E9C"/>
    <w:rsid w:val="008A17A3"/>
    <w:rsid w:val="008A1956"/>
    <w:rsid w:val="008A1E85"/>
    <w:rsid w:val="008A2419"/>
    <w:rsid w:val="008A2483"/>
    <w:rsid w:val="008A25A3"/>
    <w:rsid w:val="008A4937"/>
    <w:rsid w:val="008A50F1"/>
    <w:rsid w:val="008A59D9"/>
    <w:rsid w:val="008A62F4"/>
    <w:rsid w:val="008A643E"/>
    <w:rsid w:val="008A6819"/>
    <w:rsid w:val="008B007A"/>
    <w:rsid w:val="008B0C61"/>
    <w:rsid w:val="008B244B"/>
    <w:rsid w:val="008B2EC0"/>
    <w:rsid w:val="008B336F"/>
    <w:rsid w:val="008B33F4"/>
    <w:rsid w:val="008B3AD4"/>
    <w:rsid w:val="008B4945"/>
    <w:rsid w:val="008B5155"/>
    <w:rsid w:val="008B606C"/>
    <w:rsid w:val="008B6942"/>
    <w:rsid w:val="008B6D47"/>
    <w:rsid w:val="008B6DCF"/>
    <w:rsid w:val="008C09ED"/>
    <w:rsid w:val="008C3B74"/>
    <w:rsid w:val="008C3B7D"/>
    <w:rsid w:val="008C4767"/>
    <w:rsid w:val="008C4D49"/>
    <w:rsid w:val="008C5580"/>
    <w:rsid w:val="008C61F0"/>
    <w:rsid w:val="008C682E"/>
    <w:rsid w:val="008D0531"/>
    <w:rsid w:val="008D0945"/>
    <w:rsid w:val="008D1409"/>
    <w:rsid w:val="008D1576"/>
    <w:rsid w:val="008D15CC"/>
    <w:rsid w:val="008D1729"/>
    <w:rsid w:val="008D1B5C"/>
    <w:rsid w:val="008D3C82"/>
    <w:rsid w:val="008D3F32"/>
    <w:rsid w:val="008D4296"/>
    <w:rsid w:val="008D447E"/>
    <w:rsid w:val="008D4CA1"/>
    <w:rsid w:val="008D4CD3"/>
    <w:rsid w:val="008D5F24"/>
    <w:rsid w:val="008D6536"/>
    <w:rsid w:val="008D661A"/>
    <w:rsid w:val="008D6ACF"/>
    <w:rsid w:val="008D7A41"/>
    <w:rsid w:val="008D7FEB"/>
    <w:rsid w:val="008E039B"/>
    <w:rsid w:val="008E1603"/>
    <w:rsid w:val="008E1788"/>
    <w:rsid w:val="008E2C72"/>
    <w:rsid w:val="008E3680"/>
    <w:rsid w:val="008E4455"/>
    <w:rsid w:val="008E4F87"/>
    <w:rsid w:val="008E5180"/>
    <w:rsid w:val="008E5870"/>
    <w:rsid w:val="008E5D11"/>
    <w:rsid w:val="008E699A"/>
    <w:rsid w:val="008E77E4"/>
    <w:rsid w:val="008F0213"/>
    <w:rsid w:val="008F064B"/>
    <w:rsid w:val="008F07ED"/>
    <w:rsid w:val="008F11F8"/>
    <w:rsid w:val="008F1434"/>
    <w:rsid w:val="008F1622"/>
    <w:rsid w:val="008F17C5"/>
    <w:rsid w:val="008F2BB9"/>
    <w:rsid w:val="008F3B07"/>
    <w:rsid w:val="008F3D6A"/>
    <w:rsid w:val="008F3E2B"/>
    <w:rsid w:val="008F524B"/>
    <w:rsid w:val="008F54C3"/>
    <w:rsid w:val="008F56F2"/>
    <w:rsid w:val="008F5B54"/>
    <w:rsid w:val="008F7355"/>
    <w:rsid w:val="009005AA"/>
    <w:rsid w:val="009023DC"/>
    <w:rsid w:val="009027C5"/>
    <w:rsid w:val="00902FFD"/>
    <w:rsid w:val="00904413"/>
    <w:rsid w:val="00905E43"/>
    <w:rsid w:val="009067B7"/>
    <w:rsid w:val="00906E7A"/>
    <w:rsid w:val="00906E7F"/>
    <w:rsid w:val="0090775A"/>
    <w:rsid w:val="00907DFD"/>
    <w:rsid w:val="00910055"/>
    <w:rsid w:val="00913076"/>
    <w:rsid w:val="00913C99"/>
    <w:rsid w:val="009154BA"/>
    <w:rsid w:val="00917D69"/>
    <w:rsid w:val="00920822"/>
    <w:rsid w:val="00920B6D"/>
    <w:rsid w:val="00921CD6"/>
    <w:rsid w:val="00921F65"/>
    <w:rsid w:val="00924168"/>
    <w:rsid w:val="009253F3"/>
    <w:rsid w:val="009256A9"/>
    <w:rsid w:val="00925B71"/>
    <w:rsid w:val="00926560"/>
    <w:rsid w:val="00926B15"/>
    <w:rsid w:val="0092743A"/>
    <w:rsid w:val="00927F34"/>
    <w:rsid w:val="00927FFD"/>
    <w:rsid w:val="00930291"/>
    <w:rsid w:val="0093083E"/>
    <w:rsid w:val="00930937"/>
    <w:rsid w:val="009324A6"/>
    <w:rsid w:val="00933742"/>
    <w:rsid w:val="00933B7D"/>
    <w:rsid w:val="00933E6C"/>
    <w:rsid w:val="00934CFC"/>
    <w:rsid w:val="0093562E"/>
    <w:rsid w:val="00935A67"/>
    <w:rsid w:val="00935A6E"/>
    <w:rsid w:val="009372D7"/>
    <w:rsid w:val="00937958"/>
    <w:rsid w:val="00940340"/>
    <w:rsid w:val="00940529"/>
    <w:rsid w:val="009406E5"/>
    <w:rsid w:val="00940B19"/>
    <w:rsid w:val="00941602"/>
    <w:rsid w:val="00942160"/>
    <w:rsid w:val="00942334"/>
    <w:rsid w:val="0094386E"/>
    <w:rsid w:val="009439A4"/>
    <w:rsid w:val="009446F2"/>
    <w:rsid w:val="009448AE"/>
    <w:rsid w:val="009459A7"/>
    <w:rsid w:val="00946921"/>
    <w:rsid w:val="00947343"/>
    <w:rsid w:val="0095108C"/>
    <w:rsid w:val="0095146F"/>
    <w:rsid w:val="00951F2D"/>
    <w:rsid w:val="00952839"/>
    <w:rsid w:val="00952F3F"/>
    <w:rsid w:val="00952FB7"/>
    <w:rsid w:val="0095344C"/>
    <w:rsid w:val="009534C7"/>
    <w:rsid w:val="00954DA0"/>
    <w:rsid w:val="009563AA"/>
    <w:rsid w:val="00956809"/>
    <w:rsid w:val="00956F8E"/>
    <w:rsid w:val="009571F7"/>
    <w:rsid w:val="00957944"/>
    <w:rsid w:val="009602C5"/>
    <w:rsid w:val="009609AF"/>
    <w:rsid w:val="0096103A"/>
    <w:rsid w:val="00961505"/>
    <w:rsid w:val="00962223"/>
    <w:rsid w:val="009623C5"/>
    <w:rsid w:val="0096252B"/>
    <w:rsid w:val="00963028"/>
    <w:rsid w:val="009644D9"/>
    <w:rsid w:val="00964A9F"/>
    <w:rsid w:val="00964D5D"/>
    <w:rsid w:val="0096572D"/>
    <w:rsid w:val="00965D91"/>
    <w:rsid w:val="00965DAA"/>
    <w:rsid w:val="00966839"/>
    <w:rsid w:val="00966D0D"/>
    <w:rsid w:val="00967732"/>
    <w:rsid w:val="0096783C"/>
    <w:rsid w:val="00970023"/>
    <w:rsid w:val="0097007D"/>
    <w:rsid w:val="009722B3"/>
    <w:rsid w:val="00973174"/>
    <w:rsid w:val="00973DBA"/>
    <w:rsid w:val="00973E24"/>
    <w:rsid w:val="00974119"/>
    <w:rsid w:val="00974C21"/>
    <w:rsid w:val="00974D5F"/>
    <w:rsid w:val="00975948"/>
    <w:rsid w:val="00976AFB"/>
    <w:rsid w:val="00976C2B"/>
    <w:rsid w:val="009772FD"/>
    <w:rsid w:val="009775DA"/>
    <w:rsid w:val="00977BF3"/>
    <w:rsid w:val="009803E4"/>
    <w:rsid w:val="00980B0E"/>
    <w:rsid w:val="00982B39"/>
    <w:rsid w:val="00982CFA"/>
    <w:rsid w:val="009836A3"/>
    <w:rsid w:val="00983A3A"/>
    <w:rsid w:val="009840CA"/>
    <w:rsid w:val="00984C58"/>
    <w:rsid w:val="0098543A"/>
    <w:rsid w:val="009855A8"/>
    <w:rsid w:val="00985CBE"/>
    <w:rsid w:val="00985D1A"/>
    <w:rsid w:val="009877B0"/>
    <w:rsid w:val="00990CF8"/>
    <w:rsid w:val="009913F4"/>
    <w:rsid w:val="00991782"/>
    <w:rsid w:val="00992052"/>
    <w:rsid w:val="00992CB7"/>
    <w:rsid w:val="009937F7"/>
    <w:rsid w:val="009942E5"/>
    <w:rsid w:val="0099465B"/>
    <w:rsid w:val="009951A1"/>
    <w:rsid w:val="00997087"/>
    <w:rsid w:val="009972A2"/>
    <w:rsid w:val="009979DF"/>
    <w:rsid w:val="00997A44"/>
    <w:rsid w:val="009A0CDD"/>
    <w:rsid w:val="009A0D2B"/>
    <w:rsid w:val="009A1584"/>
    <w:rsid w:val="009A21A5"/>
    <w:rsid w:val="009A29D8"/>
    <w:rsid w:val="009A3168"/>
    <w:rsid w:val="009A4464"/>
    <w:rsid w:val="009A44A3"/>
    <w:rsid w:val="009A4621"/>
    <w:rsid w:val="009A4BDF"/>
    <w:rsid w:val="009A5991"/>
    <w:rsid w:val="009A5D04"/>
    <w:rsid w:val="009A61CA"/>
    <w:rsid w:val="009A627B"/>
    <w:rsid w:val="009A7E2A"/>
    <w:rsid w:val="009B0062"/>
    <w:rsid w:val="009B097E"/>
    <w:rsid w:val="009B0C64"/>
    <w:rsid w:val="009B0F67"/>
    <w:rsid w:val="009B208A"/>
    <w:rsid w:val="009B2756"/>
    <w:rsid w:val="009B3437"/>
    <w:rsid w:val="009B3478"/>
    <w:rsid w:val="009B3D56"/>
    <w:rsid w:val="009B3F8C"/>
    <w:rsid w:val="009B43F5"/>
    <w:rsid w:val="009B4650"/>
    <w:rsid w:val="009B533B"/>
    <w:rsid w:val="009B546B"/>
    <w:rsid w:val="009B72A5"/>
    <w:rsid w:val="009C26AA"/>
    <w:rsid w:val="009C33A9"/>
    <w:rsid w:val="009C3621"/>
    <w:rsid w:val="009C3EE6"/>
    <w:rsid w:val="009C4296"/>
    <w:rsid w:val="009C703C"/>
    <w:rsid w:val="009C7FA7"/>
    <w:rsid w:val="009D09C5"/>
    <w:rsid w:val="009D0C29"/>
    <w:rsid w:val="009D13D2"/>
    <w:rsid w:val="009D206E"/>
    <w:rsid w:val="009D3CAA"/>
    <w:rsid w:val="009D507A"/>
    <w:rsid w:val="009D6532"/>
    <w:rsid w:val="009D71FD"/>
    <w:rsid w:val="009E06F0"/>
    <w:rsid w:val="009E0755"/>
    <w:rsid w:val="009E10AD"/>
    <w:rsid w:val="009E13DD"/>
    <w:rsid w:val="009E18F3"/>
    <w:rsid w:val="009E1DE1"/>
    <w:rsid w:val="009E1E6B"/>
    <w:rsid w:val="009E2588"/>
    <w:rsid w:val="009E2E8E"/>
    <w:rsid w:val="009E3D58"/>
    <w:rsid w:val="009E40E1"/>
    <w:rsid w:val="009E49B7"/>
    <w:rsid w:val="009E6E56"/>
    <w:rsid w:val="009E7CA6"/>
    <w:rsid w:val="009E7E77"/>
    <w:rsid w:val="009F01A6"/>
    <w:rsid w:val="009F03CB"/>
    <w:rsid w:val="009F0EFA"/>
    <w:rsid w:val="009F11ED"/>
    <w:rsid w:val="009F1650"/>
    <w:rsid w:val="009F1827"/>
    <w:rsid w:val="009F2B18"/>
    <w:rsid w:val="009F2EF3"/>
    <w:rsid w:val="009F3BCA"/>
    <w:rsid w:val="009F4E46"/>
    <w:rsid w:val="009F52BA"/>
    <w:rsid w:val="009F5B65"/>
    <w:rsid w:val="009F5F2E"/>
    <w:rsid w:val="009F629A"/>
    <w:rsid w:val="009F709A"/>
    <w:rsid w:val="009F778C"/>
    <w:rsid w:val="009F7C14"/>
    <w:rsid w:val="00A01402"/>
    <w:rsid w:val="00A01432"/>
    <w:rsid w:val="00A0167A"/>
    <w:rsid w:val="00A0172B"/>
    <w:rsid w:val="00A01980"/>
    <w:rsid w:val="00A02599"/>
    <w:rsid w:val="00A0324B"/>
    <w:rsid w:val="00A0326D"/>
    <w:rsid w:val="00A03D49"/>
    <w:rsid w:val="00A04800"/>
    <w:rsid w:val="00A04973"/>
    <w:rsid w:val="00A06225"/>
    <w:rsid w:val="00A062EC"/>
    <w:rsid w:val="00A066E6"/>
    <w:rsid w:val="00A07C8F"/>
    <w:rsid w:val="00A10ADB"/>
    <w:rsid w:val="00A10B2D"/>
    <w:rsid w:val="00A10BF0"/>
    <w:rsid w:val="00A110D1"/>
    <w:rsid w:val="00A112B8"/>
    <w:rsid w:val="00A11324"/>
    <w:rsid w:val="00A11576"/>
    <w:rsid w:val="00A11F4D"/>
    <w:rsid w:val="00A12587"/>
    <w:rsid w:val="00A128E6"/>
    <w:rsid w:val="00A13282"/>
    <w:rsid w:val="00A13762"/>
    <w:rsid w:val="00A1380F"/>
    <w:rsid w:val="00A144D3"/>
    <w:rsid w:val="00A15687"/>
    <w:rsid w:val="00A17690"/>
    <w:rsid w:val="00A17EA7"/>
    <w:rsid w:val="00A213BC"/>
    <w:rsid w:val="00A218A7"/>
    <w:rsid w:val="00A21D7D"/>
    <w:rsid w:val="00A21FC0"/>
    <w:rsid w:val="00A2205C"/>
    <w:rsid w:val="00A22AC3"/>
    <w:rsid w:val="00A2351E"/>
    <w:rsid w:val="00A23D49"/>
    <w:rsid w:val="00A23F3F"/>
    <w:rsid w:val="00A24067"/>
    <w:rsid w:val="00A24A4B"/>
    <w:rsid w:val="00A250DB"/>
    <w:rsid w:val="00A25160"/>
    <w:rsid w:val="00A25A7A"/>
    <w:rsid w:val="00A2744D"/>
    <w:rsid w:val="00A2785D"/>
    <w:rsid w:val="00A27A91"/>
    <w:rsid w:val="00A306F6"/>
    <w:rsid w:val="00A30D16"/>
    <w:rsid w:val="00A310EA"/>
    <w:rsid w:val="00A31462"/>
    <w:rsid w:val="00A31CE1"/>
    <w:rsid w:val="00A323A8"/>
    <w:rsid w:val="00A33EB7"/>
    <w:rsid w:val="00A34E6C"/>
    <w:rsid w:val="00A34FD0"/>
    <w:rsid w:val="00A35441"/>
    <w:rsid w:val="00A35782"/>
    <w:rsid w:val="00A361EA"/>
    <w:rsid w:val="00A36398"/>
    <w:rsid w:val="00A36CC1"/>
    <w:rsid w:val="00A37C8D"/>
    <w:rsid w:val="00A4020E"/>
    <w:rsid w:val="00A40493"/>
    <w:rsid w:val="00A408E8"/>
    <w:rsid w:val="00A40FB5"/>
    <w:rsid w:val="00A4136C"/>
    <w:rsid w:val="00A42826"/>
    <w:rsid w:val="00A429B3"/>
    <w:rsid w:val="00A429CA"/>
    <w:rsid w:val="00A43248"/>
    <w:rsid w:val="00A43E16"/>
    <w:rsid w:val="00A44D02"/>
    <w:rsid w:val="00A44EC1"/>
    <w:rsid w:val="00A46130"/>
    <w:rsid w:val="00A46164"/>
    <w:rsid w:val="00A47244"/>
    <w:rsid w:val="00A5100E"/>
    <w:rsid w:val="00A510E4"/>
    <w:rsid w:val="00A512C1"/>
    <w:rsid w:val="00A51F8C"/>
    <w:rsid w:val="00A526F7"/>
    <w:rsid w:val="00A5273B"/>
    <w:rsid w:val="00A528A3"/>
    <w:rsid w:val="00A52FDD"/>
    <w:rsid w:val="00A53A9D"/>
    <w:rsid w:val="00A55FEE"/>
    <w:rsid w:val="00A56304"/>
    <w:rsid w:val="00A57422"/>
    <w:rsid w:val="00A62C1A"/>
    <w:rsid w:val="00A63CA2"/>
    <w:rsid w:val="00A6426D"/>
    <w:rsid w:val="00A6439B"/>
    <w:rsid w:val="00A65998"/>
    <w:rsid w:val="00A665C1"/>
    <w:rsid w:val="00A672B7"/>
    <w:rsid w:val="00A673A4"/>
    <w:rsid w:val="00A7001A"/>
    <w:rsid w:val="00A70622"/>
    <w:rsid w:val="00A70977"/>
    <w:rsid w:val="00A70D58"/>
    <w:rsid w:val="00A7204C"/>
    <w:rsid w:val="00A744F9"/>
    <w:rsid w:val="00A7502F"/>
    <w:rsid w:val="00A753A1"/>
    <w:rsid w:val="00A7555D"/>
    <w:rsid w:val="00A762F6"/>
    <w:rsid w:val="00A77613"/>
    <w:rsid w:val="00A77B87"/>
    <w:rsid w:val="00A77E01"/>
    <w:rsid w:val="00A801AD"/>
    <w:rsid w:val="00A80B36"/>
    <w:rsid w:val="00A81851"/>
    <w:rsid w:val="00A821D1"/>
    <w:rsid w:val="00A8390C"/>
    <w:rsid w:val="00A85078"/>
    <w:rsid w:val="00A86AE0"/>
    <w:rsid w:val="00A912B0"/>
    <w:rsid w:val="00A91362"/>
    <w:rsid w:val="00A9151C"/>
    <w:rsid w:val="00A919C6"/>
    <w:rsid w:val="00A92628"/>
    <w:rsid w:val="00A928BD"/>
    <w:rsid w:val="00A92D61"/>
    <w:rsid w:val="00A933EF"/>
    <w:rsid w:val="00A936B6"/>
    <w:rsid w:val="00A95193"/>
    <w:rsid w:val="00A95725"/>
    <w:rsid w:val="00A95E0D"/>
    <w:rsid w:val="00A96637"/>
    <w:rsid w:val="00A9724E"/>
    <w:rsid w:val="00A97DE9"/>
    <w:rsid w:val="00AA12CD"/>
    <w:rsid w:val="00AA24E9"/>
    <w:rsid w:val="00AA4195"/>
    <w:rsid w:val="00AA49A3"/>
    <w:rsid w:val="00AA4D1C"/>
    <w:rsid w:val="00AA4EF1"/>
    <w:rsid w:val="00AA52FD"/>
    <w:rsid w:val="00AA5D40"/>
    <w:rsid w:val="00AA7006"/>
    <w:rsid w:val="00AB1E26"/>
    <w:rsid w:val="00AB2621"/>
    <w:rsid w:val="00AB3138"/>
    <w:rsid w:val="00AB3DCD"/>
    <w:rsid w:val="00AB420C"/>
    <w:rsid w:val="00AB4684"/>
    <w:rsid w:val="00AB5856"/>
    <w:rsid w:val="00AB5E7B"/>
    <w:rsid w:val="00AB6A80"/>
    <w:rsid w:val="00AB7C41"/>
    <w:rsid w:val="00AC081D"/>
    <w:rsid w:val="00AC0C6F"/>
    <w:rsid w:val="00AC1266"/>
    <w:rsid w:val="00AC193C"/>
    <w:rsid w:val="00AC2A3A"/>
    <w:rsid w:val="00AC30C1"/>
    <w:rsid w:val="00AC310B"/>
    <w:rsid w:val="00AC4225"/>
    <w:rsid w:val="00AC44C4"/>
    <w:rsid w:val="00AC4DE5"/>
    <w:rsid w:val="00AC5206"/>
    <w:rsid w:val="00AC543B"/>
    <w:rsid w:val="00AC55FC"/>
    <w:rsid w:val="00AC5837"/>
    <w:rsid w:val="00AC64A3"/>
    <w:rsid w:val="00AC67DE"/>
    <w:rsid w:val="00AC6B25"/>
    <w:rsid w:val="00AC6F9E"/>
    <w:rsid w:val="00AC7E8E"/>
    <w:rsid w:val="00AD00CF"/>
    <w:rsid w:val="00AD095B"/>
    <w:rsid w:val="00AD3106"/>
    <w:rsid w:val="00AD4322"/>
    <w:rsid w:val="00AD61FE"/>
    <w:rsid w:val="00AD6719"/>
    <w:rsid w:val="00AE11A5"/>
    <w:rsid w:val="00AE13E2"/>
    <w:rsid w:val="00AE22D3"/>
    <w:rsid w:val="00AE3410"/>
    <w:rsid w:val="00AE3D9B"/>
    <w:rsid w:val="00AE419C"/>
    <w:rsid w:val="00AE5254"/>
    <w:rsid w:val="00AE5684"/>
    <w:rsid w:val="00AE5987"/>
    <w:rsid w:val="00AE5A49"/>
    <w:rsid w:val="00AE5D98"/>
    <w:rsid w:val="00AE7713"/>
    <w:rsid w:val="00AF03E6"/>
    <w:rsid w:val="00AF11D8"/>
    <w:rsid w:val="00AF4038"/>
    <w:rsid w:val="00AF5867"/>
    <w:rsid w:val="00AF62DF"/>
    <w:rsid w:val="00AF68CC"/>
    <w:rsid w:val="00AF6901"/>
    <w:rsid w:val="00AF70D7"/>
    <w:rsid w:val="00B00086"/>
    <w:rsid w:val="00B002AD"/>
    <w:rsid w:val="00B00CD0"/>
    <w:rsid w:val="00B00E7F"/>
    <w:rsid w:val="00B00F6D"/>
    <w:rsid w:val="00B0123F"/>
    <w:rsid w:val="00B01FF4"/>
    <w:rsid w:val="00B02842"/>
    <w:rsid w:val="00B0326D"/>
    <w:rsid w:val="00B03838"/>
    <w:rsid w:val="00B04D19"/>
    <w:rsid w:val="00B059C5"/>
    <w:rsid w:val="00B06037"/>
    <w:rsid w:val="00B06478"/>
    <w:rsid w:val="00B0719E"/>
    <w:rsid w:val="00B0729F"/>
    <w:rsid w:val="00B07533"/>
    <w:rsid w:val="00B07CFB"/>
    <w:rsid w:val="00B1059E"/>
    <w:rsid w:val="00B10EE5"/>
    <w:rsid w:val="00B1168D"/>
    <w:rsid w:val="00B130F8"/>
    <w:rsid w:val="00B13320"/>
    <w:rsid w:val="00B13AC1"/>
    <w:rsid w:val="00B13AD1"/>
    <w:rsid w:val="00B13B8E"/>
    <w:rsid w:val="00B1463A"/>
    <w:rsid w:val="00B149BA"/>
    <w:rsid w:val="00B14A36"/>
    <w:rsid w:val="00B14D8C"/>
    <w:rsid w:val="00B16092"/>
    <w:rsid w:val="00B16273"/>
    <w:rsid w:val="00B164B4"/>
    <w:rsid w:val="00B169A7"/>
    <w:rsid w:val="00B170A5"/>
    <w:rsid w:val="00B1725F"/>
    <w:rsid w:val="00B176C8"/>
    <w:rsid w:val="00B17EE5"/>
    <w:rsid w:val="00B202BF"/>
    <w:rsid w:val="00B205AA"/>
    <w:rsid w:val="00B20F2B"/>
    <w:rsid w:val="00B2100A"/>
    <w:rsid w:val="00B21A91"/>
    <w:rsid w:val="00B22E6C"/>
    <w:rsid w:val="00B22E84"/>
    <w:rsid w:val="00B233AD"/>
    <w:rsid w:val="00B23E25"/>
    <w:rsid w:val="00B24244"/>
    <w:rsid w:val="00B24840"/>
    <w:rsid w:val="00B24F1B"/>
    <w:rsid w:val="00B25F75"/>
    <w:rsid w:val="00B26B3F"/>
    <w:rsid w:val="00B2778F"/>
    <w:rsid w:val="00B278E4"/>
    <w:rsid w:val="00B27D28"/>
    <w:rsid w:val="00B31F51"/>
    <w:rsid w:val="00B327E2"/>
    <w:rsid w:val="00B33635"/>
    <w:rsid w:val="00B34F5F"/>
    <w:rsid w:val="00B36AE3"/>
    <w:rsid w:val="00B3776E"/>
    <w:rsid w:val="00B37A23"/>
    <w:rsid w:val="00B37CF8"/>
    <w:rsid w:val="00B40E8A"/>
    <w:rsid w:val="00B41294"/>
    <w:rsid w:val="00B4272A"/>
    <w:rsid w:val="00B42AF4"/>
    <w:rsid w:val="00B43E90"/>
    <w:rsid w:val="00B44308"/>
    <w:rsid w:val="00B445B6"/>
    <w:rsid w:val="00B44A5B"/>
    <w:rsid w:val="00B44FAC"/>
    <w:rsid w:val="00B45722"/>
    <w:rsid w:val="00B460F4"/>
    <w:rsid w:val="00B467DC"/>
    <w:rsid w:val="00B47A88"/>
    <w:rsid w:val="00B51E09"/>
    <w:rsid w:val="00B52303"/>
    <w:rsid w:val="00B5392A"/>
    <w:rsid w:val="00B539EF"/>
    <w:rsid w:val="00B54492"/>
    <w:rsid w:val="00B56118"/>
    <w:rsid w:val="00B5633E"/>
    <w:rsid w:val="00B566E1"/>
    <w:rsid w:val="00B56AFB"/>
    <w:rsid w:val="00B56CAF"/>
    <w:rsid w:val="00B572BE"/>
    <w:rsid w:val="00B57D27"/>
    <w:rsid w:val="00B602F6"/>
    <w:rsid w:val="00B6053A"/>
    <w:rsid w:val="00B60ED3"/>
    <w:rsid w:val="00B6186C"/>
    <w:rsid w:val="00B621EC"/>
    <w:rsid w:val="00B62DE1"/>
    <w:rsid w:val="00B62EC1"/>
    <w:rsid w:val="00B63251"/>
    <w:rsid w:val="00B632DD"/>
    <w:rsid w:val="00B64A96"/>
    <w:rsid w:val="00B6533B"/>
    <w:rsid w:val="00B65FD1"/>
    <w:rsid w:val="00B6773F"/>
    <w:rsid w:val="00B70EB3"/>
    <w:rsid w:val="00B72906"/>
    <w:rsid w:val="00B72923"/>
    <w:rsid w:val="00B7317B"/>
    <w:rsid w:val="00B73E84"/>
    <w:rsid w:val="00B74F48"/>
    <w:rsid w:val="00B7512E"/>
    <w:rsid w:val="00B7525E"/>
    <w:rsid w:val="00B75433"/>
    <w:rsid w:val="00B75F70"/>
    <w:rsid w:val="00B760FB"/>
    <w:rsid w:val="00B766DA"/>
    <w:rsid w:val="00B76765"/>
    <w:rsid w:val="00B767AB"/>
    <w:rsid w:val="00B76D7A"/>
    <w:rsid w:val="00B80134"/>
    <w:rsid w:val="00B801BA"/>
    <w:rsid w:val="00B80D50"/>
    <w:rsid w:val="00B812D6"/>
    <w:rsid w:val="00B8225D"/>
    <w:rsid w:val="00B825AB"/>
    <w:rsid w:val="00B82BFB"/>
    <w:rsid w:val="00B82C3A"/>
    <w:rsid w:val="00B846E6"/>
    <w:rsid w:val="00B84D5C"/>
    <w:rsid w:val="00B85AF6"/>
    <w:rsid w:val="00B906EE"/>
    <w:rsid w:val="00B90D38"/>
    <w:rsid w:val="00B916E5"/>
    <w:rsid w:val="00B91A0C"/>
    <w:rsid w:val="00B91E5C"/>
    <w:rsid w:val="00B91F91"/>
    <w:rsid w:val="00B92317"/>
    <w:rsid w:val="00B92E46"/>
    <w:rsid w:val="00B92E7A"/>
    <w:rsid w:val="00B936FC"/>
    <w:rsid w:val="00B941ED"/>
    <w:rsid w:val="00B9485D"/>
    <w:rsid w:val="00B94AE1"/>
    <w:rsid w:val="00B955F7"/>
    <w:rsid w:val="00B956ED"/>
    <w:rsid w:val="00B96560"/>
    <w:rsid w:val="00BA04C7"/>
    <w:rsid w:val="00BA184E"/>
    <w:rsid w:val="00BA21CD"/>
    <w:rsid w:val="00BA2BE6"/>
    <w:rsid w:val="00BA2DA8"/>
    <w:rsid w:val="00BA33A1"/>
    <w:rsid w:val="00BA347C"/>
    <w:rsid w:val="00BA3778"/>
    <w:rsid w:val="00BA4B94"/>
    <w:rsid w:val="00BA4C79"/>
    <w:rsid w:val="00BA4D84"/>
    <w:rsid w:val="00BA6B1E"/>
    <w:rsid w:val="00BA6D85"/>
    <w:rsid w:val="00BA7AB9"/>
    <w:rsid w:val="00BB010A"/>
    <w:rsid w:val="00BB03CA"/>
    <w:rsid w:val="00BB120A"/>
    <w:rsid w:val="00BB12CE"/>
    <w:rsid w:val="00BB298A"/>
    <w:rsid w:val="00BB2FAA"/>
    <w:rsid w:val="00BB3469"/>
    <w:rsid w:val="00BB55C1"/>
    <w:rsid w:val="00BB5C49"/>
    <w:rsid w:val="00BB6240"/>
    <w:rsid w:val="00BB6285"/>
    <w:rsid w:val="00BB6830"/>
    <w:rsid w:val="00BB69F5"/>
    <w:rsid w:val="00BB6E48"/>
    <w:rsid w:val="00BB7595"/>
    <w:rsid w:val="00BB7EC3"/>
    <w:rsid w:val="00BC04B1"/>
    <w:rsid w:val="00BC056E"/>
    <w:rsid w:val="00BC27D5"/>
    <w:rsid w:val="00BC2C08"/>
    <w:rsid w:val="00BC32FE"/>
    <w:rsid w:val="00BC470E"/>
    <w:rsid w:val="00BC4B9A"/>
    <w:rsid w:val="00BC5783"/>
    <w:rsid w:val="00BC57BC"/>
    <w:rsid w:val="00BC607C"/>
    <w:rsid w:val="00BD02C3"/>
    <w:rsid w:val="00BD0FF4"/>
    <w:rsid w:val="00BD3119"/>
    <w:rsid w:val="00BD3CD2"/>
    <w:rsid w:val="00BD47B6"/>
    <w:rsid w:val="00BD4933"/>
    <w:rsid w:val="00BD5C51"/>
    <w:rsid w:val="00BD6EC0"/>
    <w:rsid w:val="00BD725D"/>
    <w:rsid w:val="00BD7483"/>
    <w:rsid w:val="00BD748D"/>
    <w:rsid w:val="00BD784C"/>
    <w:rsid w:val="00BE020A"/>
    <w:rsid w:val="00BE13DF"/>
    <w:rsid w:val="00BE1EF0"/>
    <w:rsid w:val="00BE25D7"/>
    <w:rsid w:val="00BE36C9"/>
    <w:rsid w:val="00BE4DD7"/>
    <w:rsid w:val="00BF092C"/>
    <w:rsid w:val="00BF17E5"/>
    <w:rsid w:val="00BF21D1"/>
    <w:rsid w:val="00BF27A0"/>
    <w:rsid w:val="00BF287D"/>
    <w:rsid w:val="00BF2BDF"/>
    <w:rsid w:val="00BF40E6"/>
    <w:rsid w:val="00BF4A32"/>
    <w:rsid w:val="00BF4CB6"/>
    <w:rsid w:val="00BF5066"/>
    <w:rsid w:val="00BF51E1"/>
    <w:rsid w:val="00BF5808"/>
    <w:rsid w:val="00BF5D23"/>
    <w:rsid w:val="00BF6BDA"/>
    <w:rsid w:val="00BF6CBD"/>
    <w:rsid w:val="00C00DA7"/>
    <w:rsid w:val="00C01A1A"/>
    <w:rsid w:val="00C034FB"/>
    <w:rsid w:val="00C0350E"/>
    <w:rsid w:val="00C03DE6"/>
    <w:rsid w:val="00C03F5D"/>
    <w:rsid w:val="00C04CDE"/>
    <w:rsid w:val="00C04D60"/>
    <w:rsid w:val="00C055FE"/>
    <w:rsid w:val="00C059D5"/>
    <w:rsid w:val="00C05BCF"/>
    <w:rsid w:val="00C0631D"/>
    <w:rsid w:val="00C064E2"/>
    <w:rsid w:val="00C068A6"/>
    <w:rsid w:val="00C0714D"/>
    <w:rsid w:val="00C11A5D"/>
    <w:rsid w:val="00C11DEA"/>
    <w:rsid w:val="00C124D5"/>
    <w:rsid w:val="00C12768"/>
    <w:rsid w:val="00C12D70"/>
    <w:rsid w:val="00C152BD"/>
    <w:rsid w:val="00C15EEF"/>
    <w:rsid w:val="00C16724"/>
    <w:rsid w:val="00C16B71"/>
    <w:rsid w:val="00C20B77"/>
    <w:rsid w:val="00C215BF"/>
    <w:rsid w:val="00C21B09"/>
    <w:rsid w:val="00C2254A"/>
    <w:rsid w:val="00C22F28"/>
    <w:rsid w:val="00C237A6"/>
    <w:rsid w:val="00C23BE9"/>
    <w:rsid w:val="00C23C38"/>
    <w:rsid w:val="00C23D7D"/>
    <w:rsid w:val="00C23FD5"/>
    <w:rsid w:val="00C25EFF"/>
    <w:rsid w:val="00C2673A"/>
    <w:rsid w:val="00C278CD"/>
    <w:rsid w:val="00C2794B"/>
    <w:rsid w:val="00C27B58"/>
    <w:rsid w:val="00C27C1C"/>
    <w:rsid w:val="00C27CA5"/>
    <w:rsid w:val="00C27E86"/>
    <w:rsid w:val="00C307A2"/>
    <w:rsid w:val="00C312B2"/>
    <w:rsid w:val="00C3166C"/>
    <w:rsid w:val="00C33186"/>
    <w:rsid w:val="00C331C1"/>
    <w:rsid w:val="00C342E7"/>
    <w:rsid w:val="00C35996"/>
    <w:rsid w:val="00C35D53"/>
    <w:rsid w:val="00C366F9"/>
    <w:rsid w:val="00C36736"/>
    <w:rsid w:val="00C36EF1"/>
    <w:rsid w:val="00C40D62"/>
    <w:rsid w:val="00C40EEF"/>
    <w:rsid w:val="00C42BCD"/>
    <w:rsid w:val="00C4385C"/>
    <w:rsid w:val="00C446E3"/>
    <w:rsid w:val="00C4485F"/>
    <w:rsid w:val="00C44DED"/>
    <w:rsid w:val="00C4696C"/>
    <w:rsid w:val="00C46C13"/>
    <w:rsid w:val="00C4722C"/>
    <w:rsid w:val="00C4747E"/>
    <w:rsid w:val="00C5151E"/>
    <w:rsid w:val="00C52256"/>
    <w:rsid w:val="00C5342C"/>
    <w:rsid w:val="00C53B2B"/>
    <w:rsid w:val="00C53CDC"/>
    <w:rsid w:val="00C5473E"/>
    <w:rsid w:val="00C547F5"/>
    <w:rsid w:val="00C54F3F"/>
    <w:rsid w:val="00C55176"/>
    <w:rsid w:val="00C55475"/>
    <w:rsid w:val="00C56D78"/>
    <w:rsid w:val="00C57465"/>
    <w:rsid w:val="00C60272"/>
    <w:rsid w:val="00C603D4"/>
    <w:rsid w:val="00C60EE6"/>
    <w:rsid w:val="00C6256A"/>
    <w:rsid w:val="00C62FE8"/>
    <w:rsid w:val="00C63AE2"/>
    <w:rsid w:val="00C63C34"/>
    <w:rsid w:val="00C63FDA"/>
    <w:rsid w:val="00C64D84"/>
    <w:rsid w:val="00C64EBC"/>
    <w:rsid w:val="00C657F1"/>
    <w:rsid w:val="00C664D2"/>
    <w:rsid w:val="00C66D2A"/>
    <w:rsid w:val="00C674A1"/>
    <w:rsid w:val="00C677E1"/>
    <w:rsid w:val="00C703F7"/>
    <w:rsid w:val="00C70E6E"/>
    <w:rsid w:val="00C710E2"/>
    <w:rsid w:val="00C71978"/>
    <w:rsid w:val="00C71C3F"/>
    <w:rsid w:val="00C7409E"/>
    <w:rsid w:val="00C74D6D"/>
    <w:rsid w:val="00C7549D"/>
    <w:rsid w:val="00C760EB"/>
    <w:rsid w:val="00C76BD3"/>
    <w:rsid w:val="00C76E76"/>
    <w:rsid w:val="00C77891"/>
    <w:rsid w:val="00C77B74"/>
    <w:rsid w:val="00C77E67"/>
    <w:rsid w:val="00C80047"/>
    <w:rsid w:val="00C81642"/>
    <w:rsid w:val="00C81D14"/>
    <w:rsid w:val="00C82062"/>
    <w:rsid w:val="00C829A9"/>
    <w:rsid w:val="00C84AB1"/>
    <w:rsid w:val="00C870B8"/>
    <w:rsid w:val="00C871C5"/>
    <w:rsid w:val="00C87B80"/>
    <w:rsid w:val="00C90330"/>
    <w:rsid w:val="00C91449"/>
    <w:rsid w:val="00C9220C"/>
    <w:rsid w:val="00C92D10"/>
    <w:rsid w:val="00C92F79"/>
    <w:rsid w:val="00C932E7"/>
    <w:rsid w:val="00C9500C"/>
    <w:rsid w:val="00C95200"/>
    <w:rsid w:val="00C95216"/>
    <w:rsid w:val="00C958E8"/>
    <w:rsid w:val="00C96EC0"/>
    <w:rsid w:val="00CA06F9"/>
    <w:rsid w:val="00CA0707"/>
    <w:rsid w:val="00CA1403"/>
    <w:rsid w:val="00CA140B"/>
    <w:rsid w:val="00CA14BB"/>
    <w:rsid w:val="00CA230C"/>
    <w:rsid w:val="00CA38BC"/>
    <w:rsid w:val="00CA48D9"/>
    <w:rsid w:val="00CB018F"/>
    <w:rsid w:val="00CB1193"/>
    <w:rsid w:val="00CB1B2E"/>
    <w:rsid w:val="00CB1D6C"/>
    <w:rsid w:val="00CB358A"/>
    <w:rsid w:val="00CB4767"/>
    <w:rsid w:val="00CB493D"/>
    <w:rsid w:val="00CB61AA"/>
    <w:rsid w:val="00CB6A7F"/>
    <w:rsid w:val="00CB6B9C"/>
    <w:rsid w:val="00CC0637"/>
    <w:rsid w:val="00CC2224"/>
    <w:rsid w:val="00CC3B97"/>
    <w:rsid w:val="00CC474D"/>
    <w:rsid w:val="00CC58AB"/>
    <w:rsid w:val="00CC6D08"/>
    <w:rsid w:val="00CC7504"/>
    <w:rsid w:val="00CC7650"/>
    <w:rsid w:val="00CD0AF7"/>
    <w:rsid w:val="00CD1EEC"/>
    <w:rsid w:val="00CD2B90"/>
    <w:rsid w:val="00CD301D"/>
    <w:rsid w:val="00CD32A6"/>
    <w:rsid w:val="00CD499B"/>
    <w:rsid w:val="00CD4A8C"/>
    <w:rsid w:val="00CD6141"/>
    <w:rsid w:val="00CD6257"/>
    <w:rsid w:val="00CD64D1"/>
    <w:rsid w:val="00CD7978"/>
    <w:rsid w:val="00CD7C0B"/>
    <w:rsid w:val="00CE10C4"/>
    <w:rsid w:val="00CE1A9C"/>
    <w:rsid w:val="00CE1ED7"/>
    <w:rsid w:val="00CE2343"/>
    <w:rsid w:val="00CE27B5"/>
    <w:rsid w:val="00CE2AB2"/>
    <w:rsid w:val="00CE2BDF"/>
    <w:rsid w:val="00CE4A91"/>
    <w:rsid w:val="00CE6D24"/>
    <w:rsid w:val="00CE6DAF"/>
    <w:rsid w:val="00CE7EC0"/>
    <w:rsid w:val="00CF1BFC"/>
    <w:rsid w:val="00CF1C5E"/>
    <w:rsid w:val="00CF29A3"/>
    <w:rsid w:val="00CF2AB1"/>
    <w:rsid w:val="00CF3E2E"/>
    <w:rsid w:val="00CF410A"/>
    <w:rsid w:val="00CF47B8"/>
    <w:rsid w:val="00CF7528"/>
    <w:rsid w:val="00CF7801"/>
    <w:rsid w:val="00CF7E69"/>
    <w:rsid w:val="00CF7FDE"/>
    <w:rsid w:val="00D00AB2"/>
    <w:rsid w:val="00D00AB9"/>
    <w:rsid w:val="00D012AF"/>
    <w:rsid w:val="00D01FEC"/>
    <w:rsid w:val="00D0243A"/>
    <w:rsid w:val="00D0321E"/>
    <w:rsid w:val="00D035D9"/>
    <w:rsid w:val="00D03901"/>
    <w:rsid w:val="00D05457"/>
    <w:rsid w:val="00D069EB"/>
    <w:rsid w:val="00D07A8A"/>
    <w:rsid w:val="00D1025B"/>
    <w:rsid w:val="00D10827"/>
    <w:rsid w:val="00D10B5F"/>
    <w:rsid w:val="00D10E31"/>
    <w:rsid w:val="00D11199"/>
    <w:rsid w:val="00D11582"/>
    <w:rsid w:val="00D11C91"/>
    <w:rsid w:val="00D12E6D"/>
    <w:rsid w:val="00D13455"/>
    <w:rsid w:val="00D13645"/>
    <w:rsid w:val="00D13721"/>
    <w:rsid w:val="00D13ED6"/>
    <w:rsid w:val="00D1455A"/>
    <w:rsid w:val="00D14573"/>
    <w:rsid w:val="00D14A70"/>
    <w:rsid w:val="00D15466"/>
    <w:rsid w:val="00D16465"/>
    <w:rsid w:val="00D1705E"/>
    <w:rsid w:val="00D20602"/>
    <w:rsid w:val="00D207EA"/>
    <w:rsid w:val="00D20C3C"/>
    <w:rsid w:val="00D210FA"/>
    <w:rsid w:val="00D211FB"/>
    <w:rsid w:val="00D22093"/>
    <w:rsid w:val="00D2425A"/>
    <w:rsid w:val="00D25DC9"/>
    <w:rsid w:val="00D30106"/>
    <w:rsid w:val="00D30D9E"/>
    <w:rsid w:val="00D31150"/>
    <w:rsid w:val="00D3138B"/>
    <w:rsid w:val="00D31FCE"/>
    <w:rsid w:val="00D3280C"/>
    <w:rsid w:val="00D329F3"/>
    <w:rsid w:val="00D3406A"/>
    <w:rsid w:val="00D34988"/>
    <w:rsid w:val="00D34D24"/>
    <w:rsid w:val="00D36E01"/>
    <w:rsid w:val="00D401D5"/>
    <w:rsid w:val="00D40B11"/>
    <w:rsid w:val="00D4104F"/>
    <w:rsid w:val="00D41D07"/>
    <w:rsid w:val="00D4271C"/>
    <w:rsid w:val="00D42864"/>
    <w:rsid w:val="00D429EC"/>
    <w:rsid w:val="00D43047"/>
    <w:rsid w:val="00D441F1"/>
    <w:rsid w:val="00D44925"/>
    <w:rsid w:val="00D44BD3"/>
    <w:rsid w:val="00D4572C"/>
    <w:rsid w:val="00D469B2"/>
    <w:rsid w:val="00D47A15"/>
    <w:rsid w:val="00D47CA4"/>
    <w:rsid w:val="00D50810"/>
    <w:rsid w:val="00D52B24"/>
    <w:rsid w:val="00D52EAA"/>
    <w:rsid w:val="00D52ECF"/>
    <w:rsid w:val="00D53078"/>
    <w:rsid w:val="00D53873"/>
    <w:rsid w:val="00D53F0C"/>
    <w:rsid w:val="00D5411A"/>
    <w:rsid w:val="00D54B09"/>
    <w:rsid w:val="00D559EF"/>
    <w:rsid w:val="00D55D5F"/>
    <w:rsid w:val="00D564F5"/>
    <w:rsid w:val="00D60DE4"/>
    <w:rsid w:val="00D6243E"/>
    <w:rsid w:val="00D62A78"/>
    <w:rsid w:val="00D65658"/>
    <w:rsid w:val="00D65FCD"/>
    <w:rsid w:val="00D66754"/>
    <w:rsid w:val="00D67EB2"/>
    <w:rsid w:val="00D70349"/>
    <w:rsid w:val="00D71954"/>
    <w:rsid w:val="00D72069"/>
    <w:rsid w:val="00D72B6F"/>
    <w:rsid w:val="00D73FB2"/>
    <w:rsid w:val="00D741EB"/>
    <w:rsid w:val="00D74CEA"/>
    <w:rsid w:val="00D74DB8"/>
    <w:rsid w:val="00D74F09"/>
    <w:rsid w:val="00D75758"/>
    <w:rsid w:val="00D7679C"/>
    <w:rsid w:val="00D76FA9"/>
    <w:rsid w:val="00D80DE2"/>
    <w:rsid w:val="00D81658"/>
    <w:rsid w:val="00D817A9"/>
    <w:rsid w:val="00D820F3"/>
    <w:rsid w:val="00D82376"/>
    <w:rsid w:val="00D8248B"/>
    <w:rsid w:val="00D83605"/>
    <w:rsid w:val="00D83F8A"/>
    <w:rsid w:val="00D8445F"/>
    <w:rsid w:val="00D84934"/>
    <w:rsid w:val="00D85491"/>
    <w:rsid w:val="00D8668A"/>
    <w:rsid w:val="00D866EB"/>
    <w:rsid w:val="00D86C52"/>
    <w:rsid w:val="00D86C64"/>
    <w:rsid w:val="00D86D9E"/>
    <w:rsid w:val="00D87D1A"/>
    <w:rsid w:val="00D906DA"/>
    <w:rsid w:val="00D91200"/>
    <w:rsid w:val="00D91271"/>
    <w:rsid w:val="00D919F5"/>
    <w:rsid w:val="00D91D82"/>
    <w:rsid w:val="00D92388"/>
    <w:rsid w:val="00D945F6"/>
    <w:rsid w:val="00D94F03"/>
    <w:rsid w:val="00D95161"/>
    <w:rsid w:val="00D951E2"/>
    <w:rsid w:val="00D95A76"/>
    <w:rsid w:val="00D95C23"/>
    <w:rsid w:val="00D95F82"/>
    <w:rsid w:val="00D97711"/>
    <w:rsid w:val="00DA0A82"/>
    <w:rsid w:val="00DA0D14"/>
    <w:rsid w:val="00DA194A"/>
    <w:rsid w:val="00DA1D1E"/>
    <w:rsid w:val="00DA1FC9"/>
    <w:rsid w:val="00DA2CB5"/>
    <w:rsid w:val="00DA32AE"/>
    <w:rsid w:val="00DA358F"/>
    <w:rsid w:val="00DA35D5"/>
    <w:rsid w:val="00DA383E"/>
    <w:rsid w:val="00DA463E"/>
    <w:rsid w:val="00DA4BAC"/>
    <w:rsid w:val="00DA4F69"/>
    <w:rsid w:val="00DA5E33"/>
    <w:rsid w:val="00DA6A6E"/>
    <w:rsid w:val="00DA6F06"/>
    <w:rsid w:val="00DA7104"/>
    <w:rsid w:val="00DA722E"/>
    <w:rsid w:val="00DA792A"/>
    <w:rsid w:val="00DB0151"/>
    <w:rsid w:val="00DB0160"/>
    <w:rsid w:val="00DB04D7"/>
    <w:rsid w:val="00DB0674"/>
    <w:rsid w:val="00DB0F8F"/>
    <w:rsid w:val="00DB2C37"/>
    <w:rsid w:val="00DB50E1"/>
    <w:rsid w:val="00DC0566"/>
    <w:rsid w:val="00DC05E1"/>
    <w:rsid w:val="00DC05EF"/>
    <w:rsid w:val="00DC1499"/>
    <w:rsid w:val="00DC16CF"/>
    <w:rsid w:val="00DC2544"/>
    <w:rsid w:val="00DC2C3E"/>
    <w:rsid w:val="00DC3137"/>
    <w:rsid w:val="00DC3A71"/>
    <w:rsid w:val="00DC4880"/>
    <w:rsid w:val="00DC4AB7"/>
    <w:rsid w:val="00DC581F"/>
    <w:rsid w:val="00DC5E90"/>
    <w:rsid w:val="00DC6EC3"/>
    <w:rsid w:val="00DC732A"/>
    <w:rsid w:val="00DD04D7"/>
    <w:rsid w:val="00DD0BE9"/>
    <w:rsid w:val="00DD1D2C"/>
    <w:rsid w:val="00DD26F9"/>
    <w:rsid w:val="00DD350E"/>
    <w:rsid w:val="00DD3EEE"/>
    <w:rsid w:val="00DD42AB"/>
    <w:rsid w:val="00DD57E0"/>
    <w:rsid w:val="00DD74AD"/>
    <w:rsid w:val="00DE06AF"/>
    <w:rsid w:val="00DE1E7F"/>
    <w:rsid w:val="00DE3D84"/>
    <w:rsid w:val="00DE53BA"/>
    <w:rsid w:val="00DE6035"/>
    <w:rsid w:val="00DE6D27"/>
    <w:rsid w:val="00DE76EA"/>
    <w:rsid w:val="00DE78CA"/>
    <w:rsid w:val="00DE7ABB"/>
    <w:rsid w:val="00DF01F8"/>
    <w:rsid w:val="00DF021D"/>
    <w:rsid w:val="00DF1246"/>
    <w:rsid w:val="00DF14EE"/>
    <w:rsid w:val="00DF1BDA"/>
    <w:rsid w:val="00DF217D"/>
    <w:rsid w:val="00DF26A7"/>
    <w:rsid w:val="00DF3277"/>
    <w:rsid w:val="00DF53EB"/>
    <w:rsid w:val="00DF6A31"/>
    <w:rsid w:val="00DF7407"/>
    <w:rsid w:val="00DF77A1"/>
    <w:rsid w:val="00DF7919"/>
    <w:rsid w:val="00E00C0E"/>
    <w:rsid w:val="00E01424"/>
    <w:rsid w:val="00E0207E"/>
    <w:rsid w:val="00E02584"/>
    <w:rsid w:val="00E02AE6"/>
    <w:rsid w:val="00E02D5B"/>
    <w:rsid w:val="00E03156"/>
    <w:rsid w:val="00E03912"/>
    <w:rsid w:val="00E0423C"/>
    <w:rsid w:val="00E04748"/>
    <w:rsid w:val="00E04CB8"/>
    <w:rsid w:val="00E0503D"/>
    <w:rsid w:val="00E05321"/>
    <w:rsid w:val="00E060AF"/>
    <w:rsid w:val="00E078D9"/>
    <w:rsid w:val="00E10293"/>
    <w:rsid w:val="00E102FD"/>
    <w:rsid w:val="00E103A0"/>
    <w:rsid w:val="00E1043F"/>
    <w:rsid w:val="00E1157E"/>
    <w:rsid w:val="00E1160A"/>
    <w:rsid w:val="00E11F44"/>
    <w:rsid w:val="00E12DDE"/>
    <w:rsid w:val="00E13E60"/>
    <w:rsid w:val="00E15627"/>
    <w:rsid w:val="00E1567C"/>
    <w:rsid w:val="00E164B3"/>
    <w:rsid w:val="00E16910"/>
    <w:rsid w:val="00E179E6"/>
    <w:rsid w:val="00E17A2C"/>
    <w:rsid w:val="00E17A2F"/>
    <w:rsid w:val="00E21117"/>
    <w:rsid w:val="00E21164"/>
    <w:rsid w:val="00E21886"/>
    <w:rsid w:val="00E235FF"/>
    <w:rsid w:val="00E239E2"/>
    <w:rsid w:val="00E249DE"/>
    <w:rsid w:val="00E24E09"/>
    <w:rsid w:val="00E26C3A"/>
    <w:rsid w:val="00E27072"/>
    <w:rsid w:val="00E27234"/>
    <w:rsid w:val="00E27F99"/>
    <w:rsid w:val="00E31F2A"/>
    <w:rsid w:val="00E32CB3"/>
    <w:rsid w:val="00E3495C"/>
    <w:rsid w:val="00E355D8"/>
    <w:rsid w:val="00E36A9F"/>
    <w:rsid w:val="00E36AE6"/>
    <w:rsid w:val="00E371AB"/>
    <w:rsid w:val="00E41F6A"/>
    <w:rsid w:val="00E426C9"/>
    <w:rsid w:val="00E42BDB"/>
    <w:rsid w:val="00E42E2A"/>
    <w:rsid w:val="00E446D3"/>
    <w:rsid w:val="00E478D3"/>
    <w:rsid w:val="00E47DA6"/>
    <w:rsid w:val="00E504DC"/>
    <w:rsid w:val="00E50665"/>
    <w:rsid w:val="00E50B8F"/>
    <w:rsid w:val="00E50F18"/>
    <w:rsid w:val="00E5200D"/>
    <w:rsid w:val="00E524A9"/>
    <w:rsid w:val="00E53A21"/>
    <w:rsid w:val="00E53F1A"/>
    <w:rsid w:val="00E54079"/>
    <w:rsid w:val="00E545A0"/>
    <w:rsid w:val="00E557AF"/>
    <w:rsid w:val="00E5726D"/>
    <w:rsid w:val="00E57EEB"/>
    <w:rsid w:val="00E62D94"/>
    <w:rsid w:val="00E62ECC"/>
    <w:rsid w:val="00E643BE"/>
    <w:rsid w:val="00E6471F"/>
    <w:rsid w:val="00E64F37"/>
    <w:rsid w:val="00E65091"/>
    <w:rsid w:val="00E65393"/>
    <w:rsid w:val="00E65E54"/>
    <w:rsid w:val="00E661C7"/>
    <w:rsid w:val="00E66679"/>
    <w:rsid w:val="00E6695F"/>
    <w:rsid w:val="00E66BA0"/>
    <w:rsid w:val="00E66D8C"/>
    <w:rsid w:val="00E72947"/>
    <w:rsid w:val="00E732C4"/>
    <w:rsid w:val="00E73551"/>
    <w:rsid w:val="00E7445C"/>
    <w:rsid w:val="00E74C18"/>
    <w:rsid w:val="00E74E41"/>
    <w:rsid w:val="00E75151"/>
    <w:rsid w:val="00E751D0"/>
    <w:rsid w:val="00E76381"/>
    <w:rsid w:val="00E7674C"/>
    <w:rsid w:val="00E80155"/>
    <w:rsid w:val="00E8134B"/>
    <w:rsid w:val="00E81E0D"/>
    <w:rsid w:val="00E81F28"/>
    <w:rsid w:val="00E82089"/>
    <w:rsid w:val="00E848C0"/>
    <w:rsid w:val="00E84B51"/>
    <w:rsid w:val="00E84BB8"/>
    <w:rsid w:val="00E84DB2"/>
    <w:rsid w:val="00E84F18"/>
    <w:rsid w:val="00E85A21"/>
    <w:rsid w:val="00E866CE"/>
    <w:rsid w:val="00E86F92"/>
    <w:rsid w:val="00E878D6"/>
    <w:rsid w:val="00E90AC9"/>
    <w:rsid w:val="00E91B96"/>
    <w:rsid w:val="00E91CC1"/>
    <w:rsid w:val="00E920F9"/>
    <w:rsid w:val="00E92996"/>
    <w:rsid w:val="00E92F2E"/>
    <w:rsid w:val="00E935DA"/>
    <w:rsid w:val="00E93B24"/>
    <w:rsid w:val="00E93D1E"/>
    <w:rsid w:val="00E941A1"/>
    <w:rsid w:val="00E95CE3"/>
    <w:rsid w:val="00E95F9A"/>
    <w:rsid w:val="00E965DC"/>
    <w:rsid w:val="00E96852"/>
    <w:rsid w:val="00E96E99"/>
    <w:rsid w:val="00E9764D"/>
    <w:rsid w:val="00EA0856"/>
    <w:rsid w:val="00EA1DC4"/>
    <w:rsid w:val="00EA252F"/>
    <w:rsid w:val="00EA2825"/>
    <w:rsid w:val="00EA3DA7"/>
    <w:rsid w:val="00EA5027"/>
    <w:rsid w:val="00EA6060"/>
    <w:rsid w:val="00EA64C2"/>
    <w:rsid w:val="00EA6518"/>
    <w:rsid w:val="00EA651B"/>
    <w:rsid w:val="00EA71A2"/>
    <w:rsid w:val="00EA7466"/>
    <w:rsid w:val="00EA7DFC"/>
    <w:rsid w:val="00EA7EDE"/>
    <w:rsid w:val="00EB04F1"/>
    <w:rsid w:val="00EB0B63"/>
    <w:rsid w:val="00EB0EB5"/>
    <w:rsid w:val="00EB1936"/>
    <w:rsid w:val="00EB2095"/>
    <w:rsid w:val="00EB3545"/>
    <w:rsid w:val="00EB37BE"/>
    <w:rsid w:val="00EB4619"/>
    <w:rsid w:val="00EB46A8"/>
    <w:rsid w:val="00EB4BAE"/>
    <w:rsid w:val="00EB5088"/>
    <w:rsid w:val="00EB6213"/>
    <w:rsid w:val="00EB687A"/>
    <w:rsid w:val="00EB7210"/>
    <w:rsid w:val="00EB7C12"/>
    <w:rsid w:val="00EC03CB"/>
    <w:rsid w:val="00EC1633"/>
    <w:rsid w:val="00EC1ADC"/>
    <w:rsid w:val="00EC1BE7"/>
    <w:rsid w:val="00EC1D4A"/>
    <w:rsid w:val="00EC2726"/>
    <w:rsid w:val="00EC2815"/>
    <w:rsid w:val="00EC2FB7"/>
    <w:rsid w:val="00EC35C7"/>
    <w:rsid w:val="00EC4323"/>
    <w:rsid w:val="00EC4C5C"/>
    <w:rsid w:val="00EC575E"/>
    <w:rsid w:val="00EC681C"/>
    <w:rsid w:val="00EC6DB9"/>
    <w:rsid w:val="00EC739B"/>
    <w:rsid w:val="00EC7B87"/>
    <w:rsid w:val="00ED1644"/>
    <w:rsid w:val="00ED1C63"/>
    <w:rsid w:val="00ED2593"/>
    <w:rsid w:val="00ED3709"/>
    <w:rsid w:val="00ED432F"/>
    <w:rsid w:val="00ED47CE"/>
    <w:rsid w:val="00ED4E77"/>
    <w:rsid w:val="00ED61AF"/>
    <w:rsid w:val="00ED6E34"/>
    <w:rsid w:val="00ED7D55"/>
    <w:rsid w:val="00ED7D9C"/>
    <w:rsid w:val="00EE00A7"/>
    <w:rsid w:val="00EE2F77"/>
    <w:rsid w:val="00EE3158"/>
    <w:rsid w:val="00EE31A2"/>
    <w:rsid w:val="00EE3B1C"/>
    <w:rsid w:val="00EE41F9"/>
    <w:rsid w:val="00EE4329"/>
    <w:rsid w:val="00EE6203"/>
    <w:rsid w:val="00EE6CBA"/>
    <w:rsid w:val="00EF0069"/>
    <w:rsid w:val="00EF10D4"/>
    <w:rsid w:val="00EF229C"/>
    <w:rsid w:val="00EF3C52"/>
    <w:rsid w:val="00EF44A0"/>
    <w:rsid w:val="00EF4580"/>
    <w:rsid w:val="00EF4FED"/>
    <w:rsid w:val="00EF5F45"/>
    <w:rsid w:val="00EF6843"/>
    <w:rsid w:val="00EF6941"/>
    <w:rsid w:val="00EF6FB3"/>
    <w:rsid w:val="00EF7D26"/>
    <w:rsid w:val="00F0068B"/>
    <w:rsid w:val="00F007C6"/>
    <w:rsid w:val="00F0172E"/>
    <w:rsid w:val="00F02A41"/>
    <w:rsid w:val="00F02C9D"/>
    <w:rsid w:val="00F03F70"/>
    <w:rsid w:val="00F050BD"/>
    <w:rsid w:val="00F05657"/>
    <w:rsid w:val="00F058BD"/>
    <w:rsid w:val="00F05AB0"/>
    <w:rsid w:val="00F06A6A"/>
    <w:rsid w:val="00F06B6A"/>
    <w:rsid w:val="00F10856"/>
    <w:rsid w:val="00F1293E"/>
    <w:rsid w:val="00F12C74"/>
    <w:rsid w:val="00F13214"/>
    <w:rsid w:val="00F1559A"/>
    <w:rsid w:val="00F1663D"/>
    <w:rsid w:val="00F17BD7"/>
    <w:rsid w:val="00F17ED6"/>
    <w:rsid w:val="00F20350"/>
    <w:rsid w:val="00F20676"/>
    <w:rsid w:val="00F209E2"/>
    <w:rsid w:val="00F2398F"/>
    <w:rsid w:val="00F25578"/>
    <w:rsid w:val="00F25707"/>
    <w:rsid w:val="00F258E5"/>
    <w:rsid w:val="00F25B9C"/>
    <w:rsid w:val="00F2675A"/>
    <w:rsid w:val="00F26768"/>
    <w:rsid w:val="00F26785"/>
    <w:rsid w:val="00F26B25"/>
    <w:rsid w:val="00F26CC6"/>
    <w:rsid w:val="00F26D80"/>
    <w:rsid w:val="00F300BC"/>
    <w:rsid w:val="00F305FA"/>
    <w:rsid w:val="00F309EC"/>
    <w:rsid w:val="00F3263C"/>
    <w:rsid w:val="00F32F89"/>
    <w:rsid w:val="00F3334E"/>
    <w:rsid w:val="00F348CD"/>
    <w:rsid w:val="00F34AD0"/>
    <w:rsid w:val="00F3573A"/>
    <w:rsid w:val="00F369E3"/>
    <w:rsid w:val="00F36CCB"/>
    <w:rsid w:val="00F36FAF"/>
    <w:rsid w:val="00F37492"/>
    <w:rsid w:val="00F374E5"/>
    <w:rsid w:val="00F3797E"/>
    <w:rsid w:val="00F37B93"/>
    <w:rsid w:val="00F37BAD"/>
    <w:rsid w:val="00F37DDC"/>
    <w:rsid w:val="00F37ECA"/>
    <w:rsid w:val="00F37FF9"/>
    <w:rsid w:val="00F4037C"/>
    <w:rsid w:val="00F40A1C"/>
    <w:rsid w:val="00F40FB1"/>
    <w:rsid w:val="00F410B6"/>
    <w:rsid w:val="00F41E53"/>
    <w:rsid w:val="00F43AF2"/>
    <w:rsid w:val="00F43E61"/>
    <w:rsid w:val="00F44F0C"/>
    <w:rsid w:val="00F45216"/>
    <w:rsid w:val="00F46632"/>
    <w:rsid w:val="00F5007E"/>
    <w:rsid w:val="00F508F6"/>
    <w:rsid w:val="00F50EC4"/>
    <w:rsid w:val="00F52232"/>
    <w:rsid w:val="00F5247A"/>
    <w:rsid w:val="00F527B1"/>
    <w:rsid w:val="00F52DC2"/>
    <w:rsid w:val="00F5314F"/>
    <w:rsid w:val="00F53E25"/>
    <w:rsid w:val="00F54AF9"/>
    <w:rsid w:val="00F54D2C"/>
    <w:rsid w:val="00F550CF"/>
    <w:rsid w:val="00F553D2"/>
    <w:rsid w:val="00F55859"/>
    <w:rsid w:val="00F55B15"/>
    <w:rsid w:val="00F56A2D"/>
    <w:rsid w:val="00F57A6D"/>
    <w:rsid w:val="00F57E87"/>
    <w:rsid w:val="00F6044B"/>
    <w:rsid w:val="00F62F19"/>
    <w:rsid w:val="00F6321F"/>
    <w:rsid w:val="00F63482"/>
    <w:rsid w:val="00F638CC"/>
    <w:rsid w:val="00F64215"/>
    <w:rsid w:val="00F64261"/>
    <w:rsid w:val="00F64681"/>
    <w:rsid w:val="00F648EF"/>
    <w:rsid w:val="00F64C9E"/>
    <w:rsid w:val="00F64CC1"/>
    <w:rsid w:val="00F64FC8"/>
    <w:rsid w:val="00F6517D"/>
    <w:rsid w:val="00F6614E"/>
    <w:rsid w:val="00F67742"/>
    <w:rsid w:val="00F708B1"/>
    <w:rsid w:val="00F72317"/>
    <w:rsid w:val="00F732F9"/>
    <w:rsid w:val="00F73BA2"/>
    <w:rsid w:val="00F73DC1"/>
    <w:rsid w:val="00F73F08"/>
    <w:rsid w:val="00F7543D"/>
    <w:rsid w:val="00F759C3"/>
    <w:rsid w:val="00F75AF1"/>
    <w:rsid w:val="00F75BB8"/>
    <w:rsid w:val="00F77714"/>
    <w:rsid w:val="00F8009D"/>
    <w:rsid w:val="00F80475"/>
    <w:rsid w:val="00F80E6E"/>
    <w:rsid w:val="00F81390"/>
    <w:rsid w:val="00F81ADB"/>
    <w:rsid w:val="00F81F7A"/>
    <w:rsid w:val="00F8247A"/>
    <w:rsid w:val="00F82E5C"/>
    <w:rsid w:val="00F831CF"/>
    <w:rsid w:val="00F83E86"/>
    <w:rsid w:val="00F83F58"/>
    <w:rsid w:val="00F84894"/>
    <w:rsid w:val="00F85206"/>
    <w:rsid w:val="00F86333"/>
    <w:rsid w:val="00F87C22"/>
    <w:rsid w:val="00F87C7A"/>
    <w:rsid w:val="00F87CEA"/>
    <w:rsid w:val="00F90459"/>
    <w:rsid w:val="00F904EB"/>
    <w:rsid w:val="00F90AAC"/>
    <w:rsid w:val="00F90E5F"/>
    <w:rsid w:val="00F9265D"/>
    <w:rsid w:val="00F938BD"/>
    <w:rsid w:val="00F93EA1"/>
    <w:rsid w:val="00F944E2"/>
    <w:rsid w:val="00F9508A"/>
    <w:rsid w:val="00F9629A"/>
    <w:rsid w:val="00F97EFC"/>
    <w:rsid w:val="00FA06FC"/>
    <w:rsid w:val="00FA0B04"/>
    <w:rsid w:val="00FA0C7C"/>
    <w:rsid w:val="00FA0CFA"/>
    <w:rsid w:val="00FA1BDD"/>
    <w:rsid w:val="00FA305C"/>
    <w:rsid w:val="00FA31BA"/>
    <w:rsid w:val="00FA31CF"/>
    <w:rsid w:val="00FA3326"/>
    <w:rsid w:val="00FA3A19"/>
    <w:rsid w:val="00FA4335"/>
    <w:rsid w:val="00FA462E"/>
    <w:rsid w:val="00FA4DD5"/>
    <w:rsid w:val="00FA53EA"/>
    <w:rsid w:val="00FA5883"/>
    <w:rsid w:val="00FA6055"/>
    <w:rsid w:val="00FA6446"/>
    <w:rsid w:val="00FA6AE9"/>
    <w:rsid w:val="00FA6ED7"/>
    <w:rsid w:val="00FA7D78"/>
    <w:rsid w:val="00FB0612"/>
    <w:rsid w:val="00FB0B39"/>
    <w:rsid w:val="00FB322F"/>
    <w:rsid w:val="00FB4162"/>
    <w:rsid w:val="00FB442F"/>
    <w:rsid w:val="00FB592A"/>
    <w:rsid w:val="00FB5E1A"/>
    <w:rsid w:val="00FC118C"/>
    <w:rsid w:val="00FC1929"/>
    <w:rsid w:val="00FC2023"/>
    <w:rsid w:val="00FC24E3"/>
    <w:rsid w:val="00FC5B46"/>
    <w:rsid w:val="00FC5B71"/>
    <w:rsid w:val="00FC6157"/>
    <w:rsid w:val="00FC7E52"/>
    <w:rsid w:val="00FD184D"/>
    <w:rsid w:val="00FD1D4F"/>
    <w:rsid w:val="00FD24BF"/>
    <w:rsid w:val="00FD362E"/>
    <w:rsid w:val="00FD3B6E"/>
    <w:rsid w:val="00FD4140"/>
    <w:rsid w:val="00FD46BD"/>
    <w:rsid w:val="00FD4ED6"/>
    <w:rsid w:val="00FD57EB"/>
    <w:rsid w:val="00FD65D9"/>
    <w:rsid w:val="00FD6953"/>
    <w:rsid w:val="00FD6D8E"/>
    <w:rsid w:val="00FD7AE9"/>
    <w:rsid w:val="00FE0663"/>
    <w:rsid w:val="00FE0E94"/>
    <w:rsid w:val="00FE25A5"/>
    <w:rsid w:val="00FE2CBB"/>
    <w:rsid w:val="00FE2E98"/>
    <w:rsid w:val="00FE33F1"/>
    <w:rsid w:val="00FE3633"/>
    <w:rsid w:val="00FE369C"/>
    <w:rsid w:val="00FE3C93"/>
    <w:rsid w:val="00FE3CD9"/>
    <w:rsid w:val="00FE43B3"/>
    <w:rsid w:val="00FE5BDD"/>
    <w:rsid w:val="00FE7829"/>
    <w:rsid w:val="00FF00BD"/>
    <w:rsid w:val="00FF067C"/>
    <w:rsid w:val="00FF0B13"/>
    <w:rsid w:val="00FF1203"/>
    <w:rsid w:val="00FF1672"/>
    <w:rsid w:val="00FF1ED4"/>
    <w:rsid w:val="00FF24E9"/>
    <w:rsid w:val="00FF2604"/>
    <w:rsid w:val="00FF2801"/>
    <w:rsid w:val="00FF29D4"/>
    <w:rsid w:val="00FF313F"/>
    <w:rsid w:val="00FF3EC0"/>
    <w:rsid w:val="00FF4C70"/>
    <w:rsid w:val="00FF799B"/>
    <w:rsid w:val="0101F854"/>
    <w:rsid w:val="012A7082"/>
    <w:rsid w:val="013CFD8D"/>
    <w:rsid w:val="0143FC8B"/>
    <w:rsid w:val="01472274"/>
    <w:rsid w:val="01BAC867"/>
    <w:rsid w:val="01CE9A68"/>
    <w:rsid w:val="022AB6AA"/>
    <w:rsid w:val="0254441C"/>
    <w:rsid w:val="02755856"/>
    <w:rsid w:val="02AA5039"/>
    <w:rsid w:val="02E816C3"/>
    <w:rsid w:val="0321FA03"/>
    <w:rsid w:val="032394EB"/>
    <w:rsid w:val="033B2F40"/>
    <w:rsid w:val="03863030"/>
    <w:rsid w:val="040A04F2"/>
    <w:rsid w:val="043237B5"/>
    <w:rsid w:val="0437B5A4"/>
    <w:rsid w:val="04A12F4E"/>
    <w:rsid w:val="04DBE9EA"/>
    <w:rsid w:val="05182518"/>
    <w:rsid w:val="051D99F9"/>
    <w:rsid w:val="0598B66E"/>
    <w:rsid w:val="05B612E3"/>
    <w:rsid w:val="0605216C"/>
    <w:rsid w:val="0610316A"/>
    <w:rsid w:val="063EE9F7"/>
    <w:rsid w:val="069F379E"/>
    <w:rsid w:val="076CEE75"/>
    <w:rsid w:val="08185FB9"/>
    <w:rsid w:val="082A09EB"/>
    <w:rsid w:val="0849492B"/>
    <w:rsid w:val="089BC592"/>
    <w:rsid w:val="08DBE668"/>
    <w:rsid w:val="092B51C6"/>
    <w:rsid w:val="09875994"/>
    <w:rsid w:val="09BF3939"/>
    <w:rsid w:val="09D3DB4D"/>
    <w:rsid w:val="0A0C7AE1"/>
    <w:rsid w:val="0A2D92ED"/>
    <w:rsid w:val="0A663D94"/>
    <w:rsid w:val="0B1BF5E7"/>
    <w:rsid w:val="0CC9C3BA"/>
    <w:rsid w:val="0CF130DF"/>
    <w:rsid w:val="0CFE1DFD"/>
    <w:rsid w:val="0D0BED51"/>
    <w:rsid w:val="0D4FC7CF"/>
    <w:rsid w:val="0DC4E36E"/>
    <w:rsid w:val="0DE23012"/>
    <w:rsid w:val="0E4F98EE"/>
    <w:rsid w:val="0E5E506F"/>
    <w:rsid w:val="0E638D3B"/>
    <w:rsid w:val="0EC8CC7A"/>
    <w:rsid w:val="0F137DE6"/>
    <w:rsid w:val="0F5CF529"/>
    <w:rsid w:val="0F8C7D76"/>
    <w:rsid w:val="0FC31246"/>
    <w:rsid w:val="0FFBDBCE"/>
    <w:rsid w:val="1023E0F9"/>
    <w:rsid w:val="110936AC"/>
    <w:rsid w:val="114EB587"/>
    <w:rsid w:val="1239B758"/>
    <w:rsid w:val="12702FAA"/>
    <w:rsid w:val="1272477B"/>
    <w:rsid w:val="12B95C68"/>
    <w:rsid w:val="12D343E1"/>
    <w:rsid w:val="130A467B"/>
    <w:rsid w:val="130AEA09"/>
    <w:rsid w:val="137165FD"/>
    <w:rsid w:val="14315F47"/>
    <w:rsid w:val="1434C0BA"/>
    <w:rsid w:val="14F07869"/>
    <w:rsid w:val="15107A79"/>
    <w:rsid w:val="1559BAC6"/>
    <w:rsid w:val="162634B9"/>
    <w:rsid w:val="162998A6"/>
    <w:rsid w:val="1634548B"/>
    <w:rsid w:val="16AD54E1"/>
    <w:rsid w:val="1716948F"/>
    <w:rsid w:val="17FD5F39"/>
    <w:rsid w:val="183BAC7A"/>
    <w:rsid w:val="18657CF4"/>
    <w:rsid w:val="1879A6BC"/>
    <w:rsid w:val="188AB564"/>
    <w:rsid w:val="189A38E1"/>
    <w:rsid w:val="192831B1"/>
    <w:rsid w:val="192CC6E1"/>
    <w:rsid w:val="1958941B"/>
    <w:rsid w:val="1966035D"/>
    <w:rsid w:val="19890FA6"/>
    <w:rsid w:val="199BE6C4"/>
    <w:rsid w:val="19B44400"/>
    <w:rsid w:val="19F2311B"/>
    <w:rsid w:val="19F7AA11"/>
    <w:rsid w:val="1A0D3C6A"/>
    <w:rsid w:val="1A2D1BE7"/>
    <w:rsid w:val="1A38993E"/>
    <w:rsid w:val="1A8A0C43"/>
    <w:rsid w:val="1ACE0055"/>
    <w:rsid w:val="1AF33C5F"/>
    <w:rsid w:val="1B0BFFE7"/>
    <w:rsid w:val="1B4DABE9"/>
    <w:rsid w:val="1B8C599E"/>
    <w:rsid w:val="1BB09254"/>
    <w:rsid w:val="1CAA98FE"/>
    <w:rsid w:val="1D4E7C25"/>
    <w:rsid w:val="1D6033D6"/>
    <w:rsid w:val="1DD1B8C0"/>
    <w:rsid w:val="1DDBDA0D"/>
    <w:rsid w:val="1DE139B4"/>
    <w:rsid w:val="1E26029A"/>
    <w:rsid w:val="1E382E8C"/>
    <w:rsid w:val="1E8AE618"/>
    <w:rsid w:val="1E938E64"/>
    <w:rsid w:val="1EAFF635"/>
    <w:rsid w:val="1F02C0FD"/>
    <w:rsid w:val="1F2DA26A"/>
    <w:rsid w:val="1F3EECBD"/>
    <w:rsid w:val="1F99FD86"/>
    <w:rsid w:val="1FB6E350"/>
    <w:rsid w:val="1FF3162D"/>
    <w:rsid w:val="2009EB8A"/>
    <w:rsid w:val="201E32A3"/>
    <w:rsid w:val="2083C525"/>
    <w:rsid w:val="2087F8ED"/>
    <w:rsid w:val="20880E99"/>
    <w:rsid w:val="208D13AB"/>
    <w:rsid w:val="20CE092F"/>
    <w:rsid w:val="210F5AF1"/>
    <w:rsid w:val="21231B3A"/>
    <w:rsid w:val="212CBC64"/>
    <w:rsid w:val="22060A14"/>
    <w:rsid w:val="224021FC"/>
    <w:rsid w:val="231C3354"/>
    <w:rsid w:val="23631C0D"/>
    <w:rsid w:val="238CC620"/>
    <w:rsid w:val="24246711"/>
    <w:rsid w:val="244B8CF8"/>
    <w:rsid w:val="24C0A041"/>
    <w:rsid w:val="24CA5046"/>
    <w:rsid w:val="24CC5783"/>
    <w:rsid w:val="24F49182"/>
    <w:rsid w:val="260FCD27"/>
    <w:rsid w:val="26615FE7"/>
    <w:rsid w:val="2678B15D"/>
    <w:rsid w:val="26A52A7D"/>
    <w:rsid w:val="26F6F44A"/>
    <w:rsid w:val="27394882"/>
    <w:rsid w:val="274D152A"/>
    <w:rsid w:val="274F3319"/>
    <w:rsid w:val="27755C90"/>
    <w:rsid w:val="28279525"/>
    <w:rsid w:val="2869035D"/>
    <w:rsid w:val="2869B180"/>
    <w:rsid w:val="289122EB"/>
    <w:rsid w:val="28B27485"/>
    <w:rsid w:val="290EAF8A"/>
    <w:rsid w:val="29365BD7"/>
    <w:rsid w:val="293DE6C5"/>
    <w:rsid w:val="294FC0F1"/>
    <w:rsid w:val="29882150"/>
    <w:rsid w:val="29B24FC6"/>
    <w:rsid w:val="29C0D0AE"/>
    <w:rsid w:val="29E0E709"/>
    <w:rsid w:val="2A9903FD"/>
    <w:rsid w:val="2AA490C3"/>
    <w:rsid w:val="2AB480AD"/>
    <w:rsid w:val="2AEBA01A"/>
    <w:rsid w:val="2AF08321"/>
    <w:rsid w:val="2AFD957E"/>
    <w:rsid w:val="2B240C8C"/>
    <w:rsid w:val="2B8D5B09"/>
    <w:rsid w:val="2BB6F4D4"/>
    <w:rsid w:val="2BCC246B"/>
    <w:rsid w:val="2BEEE4B5"/>
    <w:rsid w:val="2C4C1D68"/>
    <w:rsid w:val="2C7C3DFB"/>
    <w:rsid w:val="2D08379D"/>
    <w:rsid w:val="2D470254"/>
    <w:rsid w:val="2D874F5C"/>
    <w:rsid w:val="2DECC312"/>
    <w:rsid w:val="2E4579D6"/>
    <w:rsid w:val="2EA43614"/>
    <w:rsid w:val="2EAC2A2C"/>
    <w:rsid w:val="2EB672B4"/>
    <w:rsid w:val="2EB969AD"/>
    <w:rsid w:val="2EF0545B"/>
    <w:rsid w:val="2F24AA5B"/>
    <w:rsid w:val="2F9A2B33"/>
    <w:rsid w:val="2FA7395F"/>
    <w:rsid w:val="2FC97F8A"/>
    <w:rsid w:val="300EDF22"/>
    <w:rsid w:val="3079EB0D"/>
    <w:rsid w:val="307D714D"/>
    <w:rsid w:val="3093AC95"/>
    <w:rsid w:val="30E8B387"/>
    <w:rsid w:val="31274F9B"/>
    <w:rsid w:val="31439BA0"/>
    <w:rsid w:val="31AE749F"/>
    <w:rsid w:val="31C1265F"/>
    <w:rsid w:val="321F658F"/>
    <w:rsid w:val="32FFC29C"/>
    <w:rsid w:val="3320F36F"/>
    <w:rsid w:val="3399BE2D"/>
    <w:rsid w:val="3409855F"/>
    <w:rsid w:val="340D0A3D"/>
    <w:rsid w:val="343A4F58"/>
    <w:rsid w:val="34E6AD91"/>
    <w:rsid w:val="34E6C138"/>
    <w:rsid w:val="34E7EA92"/>
    <w:rsid w:val="34F3378E"/>
    <w:rsid w:val="3536939B"/>
    <w:rsid w:val="361135C7"/>
    <w:rsid w:val="363425FC"/>
    <w:rsid w:val="36F211DD"/>
    <w:rsid w:val="373C6128"/>
    <w:rsid w:val="37C1F8E8"/>
    <w:rsid w:val="37CE4574"/>
    <w:rsid w:val="3805C0E7"/>
    <w:rsid w:val="38168071"/>
    <w:rsid w:val="38436049"/>
    <w:rsid w:val="38B908ED"/>
    <w:rsid w:val="393376D2"/>
    <w:rsid w:val="395463D1"/>
    <w:rsid w:val="398863F1"/>
    <w:rsid w:val="39B31B00"/>
    <w:rsid w:val="3A20C143"/>
    <w:rsid w:val="3A36CFDB"/>
    <w:rsid w:val="3A4C135D"/>
    <w:rsid w:val="3B3A9E86"/>
    <w:rsid w:val="3BA095AD"/>
    <w:rsid w:val="3BE5E30F"/>
    <w:rsid w:val="3BF891DD"/>
    <w:rsid w:val="3C609F58"/>
    <w:rsid w:val="3CD8FF28"/>
    <w:rsid w:val="3D84C6A1"/>
    <w:rsid w:val="3DE94BBD"/>
    <w:rsid w:val="3E7D1694"/>
    <w:rsid w:val="3EDC23CB"/>
    <w:rsid w:val="3F0F0A0C"/>
    <w:rsid w:val="3F313563"/>
    <w:rsid w:val="3FD11E34"/>
    <w:rsid w:val="4040DC40"/>
    <w:rsid w:val="40771079"/>
    <w:rsid w:val="40930EF5"/>
    <w:rsid w:val="409940BE"/>
    <w:rsid w:val="4110CDB4"/>
    <w:rsid w:val="4175B387"/>
    <w:rsid w:val="41B82D2B"/>
    <w:rsid w:val="41BBA590"/>
    <w:rsid w:val="41C22191"/>
    <w:rsid w:val="41EBB0B6"/>
    <w:rsid w:val="41EBC70F"/>
    <w:rsid w:val="41F6EB4A"/>
    <w:rsid w:val="421D10BD"/>
    <w:rsid w:val="42691D0F"/>
    <w:rsid w:val="426FC17C"/>
    <w:rsid w:val="42ADCDEC"/>
    <w:rsid w:val="4317216C"/>
    <w:rsid w:val="4372D6C2"/>
    <w:rsid w:val="43926E38"/>
    <w:rsid w:val="43956C72"/>
    <w:rsid w:val="443448FB"/>
    <w:rsid w:val="44505BFC"/>
    <w:rsid w:val="450F5A46"/>
    <w:rsid w:val="454751C9"/>
    <w:rsid w:val="454EC9D9"/>
    <w:rsid w:val="456C4AA2"/>
    <w:rsid w:val="45974C94"/>
    <w:rsid w:val="45FBF5DE"/>
    <w:rsid w:val="46034F0F"/>
    <w:rsid w:val="46152500"/>
    <w:rsid w:val="4641A0D0"/>
    <w:rsid w:val="4644971B"/>
    <w:rsid w:val="46546310"/>
    <w:rsid w:val="466D47B8"/>
    <w:rsid w:val="46BB6A3E"/>
    <w:rsid w:val="47785B18"/>
    <w:rsid w:val="47AF637C"/>
    <w:rsid w:val="4830A045"/>
    <w:rsid w:val="483DA525"/>
    <w:rsid w:val="4873567A"/>
    <w:rsid w:val="4888D0B5"/>
    <w:rsid w:val="48F582C0"/>
    <w:rsid w:val="495D9BBE"/>
    <w:rsid w:val="49A06F78"/>
    <w:rsid w:val="49B7B512"/>
    <w:rsid w:val="49E2367E"/>
    <w:rsid w:val="4A506E2D"/>
    <w:rsid w:val="4ABB15C0"/>
    <w:rsid w:val="4AE86C22"/>
    <w:rsid w:val="4B2277F3"/>
    <w:rsid w:val="4C8B405E"/>
    <w:rsid w:val="4CA8BA21"/>
    <w:rsid w:val="4D21EA56"/>
    <w:rsid w:val="4D368D2B"/>
    <w:rsid w:val="4D48FA7F"/>
    <w:rsid w:val="4D7D33CC"/>
    <w:rsid w:val="4DA14906"/>
    <w:rsid w:val="4DD319F1"/>
    <w:rsid w:val="4DD3C7DD"/>
    <w:rsid w:val="4DD74500"/>
    <w:rsid w:val="4DF8282F"/>
    <w:rsid w:val="4E2CBAFB"/>
    <w:rsid w:val="4E51508E"/>
    <w:rsid w:val="4E97EB94"/>
    <w:rsid w:val="4EE3854C"/>
    <w:rsid w:val="4EF2E956"/>
    <w:rsid w:val="4F1DBECC"/>
    <w:rsid w:val="4F28A562"/>
    <w:rsid w:val="5057B658"/>
    <w:rsid w:val="50768FC8"/>
    <w:rsid w:val="50F1C25A"/>
    <w:rsid w:val="51299256"/>
    <w:rsid w:val="517C50E5"/>
    <w:rsid w:val="51A107A9"/>
    <w:rsid w:val="51E8B088"/>
    <w:rsid w:val="5213C8D3"/>
    <w:rsid w:val="521C1C44"/>
    <w:rsid w:val="5301BF61"/>
    <w:rsid w:val="53044900"/>
    <w:rsid w:val="53229BC9"/>
    <w:rsid w:val="53917144"/>
    <w:rsid w:val="53B39A2E"/>
    <w:rsid w:val="548C0F3C"/>
    <w:rsid w:val="54C0677D"/>
    <w:rsid w:val="54C17BA2"/>
    <w:rsid w:val="54FAF495"/>
    <w:rsid w:val="553311EF"/>
    <w:rsid w:val="55ACD1A0"/>
    <w:rsid w:val="56A8CED9"/>
    <w:rsid w:val="56AFA43F"/>
    <w:rsid w:val="57942884"/>
    <w:rsid w:val="58963761"/>
    <w:rsid w:val="59185BFB"/>
    <w:rsid w:val="591BE46D"/>
    <w:rsid w:val="593F501C"/>
    <w:rsid w:val="5969F8EB"/>
    <w:rsid w:val="59C7587B"/>
    <w:rsid w:val="5A05D725"/>
    <w:rsid w:val="5A6474E7"/>
    <w:rsid w:val="5ACA5516"/>
    <w:rsid w:val="5ADD90BE"/>
    <w:rsid w:val="5AE1A6D4"/>
    <w:rsid w:val="5AEA3C66"/>
    <w:rsid w:val="5B1E38D7"/>
    <w:rsid w:val="5B9D8C93"/>
    <w:rsid w:val="5C0A19BA"/>
    <w:rsid w:val="5C67826A"/>
    <w:rsid w:val="5C8D9805"/>
    <w:rsid w:val="5CB076C8"/>
    <w:rsid w:val="5CDA75A8"/>
    <w:rsid w:val="5D4375A9"/>
    <w:rsid w:val="5D5832E9"/>
    <w:rsid w:val="5D785179"/>
    <w:rsid w:val="5D80A09E"/>
    <w:rsid w:val="5DC1C88E"/>
    <w:rsid w:val="5DF2A876"/>
    <w:rsid w:val="5E852E6F"/>
    <w:rsid w:val="5EACEEBD"/>
    <w:rsid w:val="5EBDDC85"/>
    <w:rsid w:val="5F698BA5"/>
    <w:rsid w:val="5F8C18FC"/>
    <w:rsid w:val="5FBA8A52"/>
    <w:rsid w:val="6009E32C"/>
    <w:rsid w:val="600E03FD"/>
    <w:rsid w:val="60B3BBD5"/>
    <w:rsid w:val="6184E95E"/>
    <w:rsid w:val="61E49BB8"/>
    <w:rsid w:val="6207462E"/>
    <w:rsid w:val="6238D218"/>
    <w:rsid w:val="628CB478"/>
    <w:rsid w:val="62AD93BA"/>
    <w:rsid w:val="62B44AE8"/>
    <w:rsid w:val="62BE49BE"/>
    <w:rsid w:val="62E25757"/>
    <w:rsid w:val="62F86F86"/>
    <w:rsid w:val="63537721"/>
    <w:rsid w:val="63555756"/>
    <w:rsid w:val="63CAEF81"/>
    <w:rsid w:val="6430F2E9"/>
    <w:rsid w:val="644E444D"/>
    <w:rsid w:val="64CF6C2E"/>
    <w:rsid w:val="65428994"/>
    <w:rsid w:val="65573E26"/>
    <w:rsid w:val="65AD35BA"/>
    <w:rsid w:val="65B9FA5D"/>
    <w:rsid w:val="65C2D45A"/>
    <w:rsid w:val="65E14415"/>
    <w:rsid w:val="65EB763D"/>
    <w:rsid w:val="660A10D4"/>
    <w:rsid w:val="6657D135"/>
    <w:rsid w:val="66877ECD"/>
    <w:rsid w:val="66D9E62A"/>
    <w:rsid w:val="66E8E023"/>
    <w:rsid w:val="66F0C447"/>
    <w:rsid w:val="6728F4B3"/>
    <w:rsid w:val="673BE400"/>
    <w:rsid w:val="674D996E"/>
    <w:rsid w:val="67B6BAF7"/>
    <w:rsid w:val="68654B6D"/>
    <w:rsid w:val="68E0347C"/>
    <w:rsid w:val="6956685D"/>
    <w:rsid w:val="699B3EBB"/>
    <w:rsid w:val="69A7D5B7"/>
    <w:rsid w:val="6A2AAF49"/>
    <w:rsid w:val="6A605BD5"/>
    <w:rsid w:val="6A637C41"/>
    <w:rsid w:val="6AF63044"/>
    <w:rsid w:val="6BAD574D"/>
    <w:rsid w:val="6BF205E7"/>
    <w:rsid w:val="6CA1EF53"/>
    <w:rsid w:val="6CA77350"/>
    <w:rsid w:val="6CCB7CED"/>
    <w:rsid w:val="6CFFCF6A"/>
    <w:rsid w:val="6E6C8E10"/>
    <w:rsid w:val="6E8DF4FF"/>
    <w:rsid w:val="6ED9FE72"/>
    <w:rsid w:val="6F195A21"/>
    <w:rsid w:val="6F5FE2F8"/>
    <w:rsid w:val="6F8B5336"/>
    <w:rsid w:val="6FBC5874"/>
    <w:rsid w:val="6FEEB705"/>
    <w:rsid w:val="70971A32"/>
    <w:rsid w:val="709A626A"/>
    <w:rsid w:val="71691D4C"/>
    <w:rsid w:val="716D6D8F"/>
    <w:rsid w:val="71ED96D1"/>
    <w:rsid w:val="729C9837"/>
    <w:rsid w:val="72B7C73D"/>
    <w:rsid w:val="731BA24E"/>
    <w:rsid w:val="736C8F59"/>
    <w:rsid w:val="739BADAB"/>
    <w:rsid w:val="73A17E91"/>
    <w:rsid w:val="73B004DA"/>
    <w:rsid w:val="73C929CD"/>
    <w:rsid w:val="73E7CF48"/>
    <w:rsid w:val="7400438C"/>
    <w:rsid w:val="745EA2FA"/>
    <w:rsid w:val="748A06B9"/>
    <w:rsid w:val="75572CF6"/>
    <w:rsid w:val="75B5D97D"/>
    <w:rsid w:val="75B9CE48"/>
    <w:rsid w:val="75D37E91"/>
    <w:rsid w:val="764DA178"/>
    <w:rsid w:val="769ED7C1"/>
    <w:rsid w:val="773F674E"/>
    <w:rsid w:val="778F9004"/>
    <w:rsid w:val="77B642A1"/>
    <w:rsid w:val="77FB1478"/>
    <w:rsid w:val="78063D85"/>
    <w:rsid w:val="78168F3E"/>
    <w:rsid w:val="787CE3AD"/>
    <w:rsid w:val="78C05BB5"/>
    <w:rsid w:val="78E271BD"/>
    <w:rsid w:val="78E93C4E"/>
    <w:rsid w:val="78EC5AB3"/>
    <w:rsid w:val="79106F67"/>
    <w:rsid w:val="7914D48E"/>
    <w:rsid w:val="79BD9D10"/>
    <w:rsid w:val="79E941EA"/>
    <w:rsid w:val="79FF6854"/>
    <w:rsid w:val="7A3DE86F"/>
    <w:rsid w:val="7AD6838E"/>
    <w:rsid w:val="7AE30FD1"/>
    <w:rsid w:val="7B180F93"/>
    <w:rsid w:val="7B1B6DA9"/>
    <w:rsid w:val="7B2FC7D0"/>
    <w:rsid w:val="7B349606"/>
    <w:rsid w:val="7C366BA1"/>
    <w:rsid w:val="7C5C919F"/>
    <w:rsid w:val="7C63B7C1"/>
    <w:rsid w:val="7C73E7A8"/>
    <w:rsid w:val="7C7878ED"/>
    <w:rsid w:val="7CDEBC17"/>
    <w:rsid w:val="7D587CA2"/>
    <w:rsid w:val="7D61AEBC"/>
    <w:rsid w:val="7D98DA3E"/>
    <w:rsid w:val="7DAC400C"/>
    <w:rsid w:val="7DEAEE06"/>
    <w:rsid w:val="7E2F8698"/>
    <w:rsid w:val="7E303FD3"/>
    <w:rsid w:val="7E3EF267"/>
    <w:rsid w:val="7E77EEEF"/>
    <w:rsid w:val="7E784689"/>
    <w:rsid w:val="7E87F5AF"/>
    <w:rsid w:val="7E92E9C5"/>
    <w:rsid w:val="7E9A54A9"/>
    <w:rsid w:val="7F1F59DE"/>
    <w:rsid w:val="7F47C472"/>
    <w:rsid w:val="7F81CD3F"/>
    <w:rsid w:val="7FA82C29"/>
    <w:rsid w:val="7FAC855D"/>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72"/>
    <w:qFormat/>
    <w:rsid w:val="00D86C52"/>
    <w:pPr>
      <w:numPr>
        <w:numId w:val="11"/>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99"/>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2"/>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paragraph">
    <w:name w:val="paragraph"/>
    <w:basedOn w:val="Normal"/>
    <w:rsid w:val="00D13ED6"/>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D13ED6"/>
  </w:style>
  <w:style w:type="character" w:customStyle="1" w:styleId="eop">
    <w:name w:val="eop"/>
    <w:basedOn w:val="DefaultParagraphFont"/>
    <w:rsid w:val="00D13ED6"/>
  </w:style>
  <w:style w:type="paragraph" w:styleId="NormalWeb">
    <w:name w:val="Normal (Web)"/>
    <w:basedOn w:val="Normal"/>
    <w:semiHidden/>
    <w:unhideWhenUsed/>
    <w:rsid w:val="00A11F4D"/>
    <w:rPr>
      <w:rFonts w:ascii="Times New Roman" w:hAnsi="Times New Roman"/>
    </w:rPr>
  </w:style>
  <w:style w:type="paragraph" w:customStyle="1" w:styleId="bullet">
    <w:name w:val="bullet"/>
    <w:basedOn w:val="ListParagraph"/>
    <w:rsid w:val="000A1653"/>
    <w:pPr>
      <w:numPr>
        <w:numId w:val="19"/>
      </w:numPr>
      <w:spacing w:before="0"/>
    </w:pPr>
    <w:rPr>
      <w:rFonts w:ascii="Calibri" w:hAnsi="Calibri" w:cstheme="minorBidi"/>
      <w:i/>
      <w:snapToGrid/>
      <w:sz w:val="22"/>
      <w:szCs w:val="22"/>
      <w:lang w:eastAsia="en-US"/>
    </w:rPr>
  </w:style>
  <w:style w:type="paragraph" w:styleId="FootnoteText">
    <w:name w:val="footnote text"/>
    <w:aliases w:val="KMC16 - Footnote Text, Znak4, Char Char Char Char, Char Char Char1 Char, Char Char Char1 Char Char, Char Char Char1 Char Char Char, Char1,Car5,Char Char Char Char,Char Char Char1 Char,Char Char Char1 Char Char"/>
    <w:basedOn w:val="Normal"/>
    <w:link w:val="FootnoteTextChar"/>
    <w:uiPriority w:val="99"/>
    <w:unhideWhenUsed/>
    <w:qFormat/>
    <w:rsid w:val="00A2785D"/>
    <w:pPr>
      <w:jc w:val="left"/>
    </w:pPr>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aliases w:val="KMC16 - Footnote Text Char, Znak4 Char, Char Char Char Char Char, Char Char Char1 Char Char1, Char Char Char1 Char Char Char1, Char Char Char1 Char Char Char Char, Char1 Char,Car5 Char,Char Char Char Char Char"/>
    <w:basedOn w:val="DefaultParagraphFont"/>
    <w:link w:val="FootnoteText"/>
    <w:uiPriority w:val="99"/>
    <w:rsid w:val="00A2785D"/>
    <w:rPr>
      <w:rFonts w:asciiTheme="minorHAnsi" w:eastAsiaTheme="minorHAnsi" w:hAnsiTheme="minorHAnsi" w:cstheme="minorBidi"/>
      <w:kern w:val="2"/>
      <w:lang w:eastAsia="en-US"/>
      <w14:ligatures w14:val="standardContextual"/>
    </w:rPr>
  </w:style>
  <w:style w:type="character" w:styleId="FootnoteReference">
    <w:name w:val="footnote reference"/>
    <w:aliases w:val="KMC16 - Footnote Reference"/>
    <w:basedOn w:val="DefaultParagraphFont"/>
    <w:uiPriority w:val="99"/>
    <w:unhideWhenUsed/>
    <w:rsid w:val="00A2785D"/>
    <w:rPr>
      <w:vertAlign w:val="superscript"/>
    </w:rPr>
  </w:style>
  <w:style w:type="character" w:styleId="Mention">
    <w:name w:val="Mention"/>
    <w:basedOn w:val="DefaultParagraphFont"/>
    <w:uiPriority w:val="99"/>
    <w:unhideWhenUsed/>
    <w:rsid w:val="00292D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f95629-adac-4ec1-8738-e1cec852b92b" xsi:nil="true"/>
    <lcf76f155ced4ddcb4097134ff3c332f xmlns="7f856f8d-13b3-495a-9a4b-41f8182eda4c">
      <Terms xmlns="http://schemas.microsoft.com/office/infopath/2007/PartnerControls"/>
    </lcf76f155ced4ddcb4097134ff3c332f>
    <Datecreated xmlns="7f856f8d-13b3-495a-9a4b-41f8182eda4c"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49ED82AF-377C-455A-A110-B0B970A20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9FF06-915A-4CCE-B0E8-1A8FD7924736}">
  <ds:schemaRefs>
    <ds:schemaRef ds:uri="http://schemas.microsoft.com/sharepoint/v3/contenttype/forms"/>
  </ds:schemaRefs>
</ds:datastoreItem>
</file>

<file path=customXml/itemProps4.xml><?xml version="1.0" encoding="utf-8"?>
<ds:datastoreItem xmlns:ds="http://schemas.openxmlformats.org/officeDocument/2006/customXml" ds:itemID="{24104112-B27C-4E41-B5C6-6147861949D4}">
  <ds:schemaRefs>
    <ds:schemaRef ds:uri="http://schemas.microsoft.com/office/2006/metadata/properties"/>
    <ds:schemaRef ds:uri="http://schemas.microsoft.com/office/infopath/2007/PartnerControls"/>
    <ds:schemaRef ds:uri="72f95629-adac-4ec1-8738-e1cec852b92b"/>
    <ds:schemaRef ds:uri="7f856f8d-13b3-495a-9a4b-41f8182eda4c"/>
  </ds:schemaRefs>
</ds:datastoreItem>
</file>

<file path=docMetadata/LabelInfo.xml><?xml version="1.0" encoding="utf-8"?>
<clbl:labelList xmlns:clbl="http://schemas.microsoft.com/office/2020/mipLabelMetadata">
  <clbl:label id="{3f991a7b-ea93-4169-b28c-c36ff3e5b0d1}" enabled="0" method="" siteId="{3f991a7b-ea93-4169-b28c-c36ff3e5b0d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4532</Words>
  <Characters>27651</Characters>
  <Application>Microsoft Office Word</Application>
  <DocSecurity>0</DocSecurity>
  <Lines>921</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2026-07-07T06:31:00Z</dcterms:created>
  <dcterms:modified xsi:type="dcterms:W3CDTF">2026-07-07T06:31:00Z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10, 0, 1, 1</vt:lpwstr>
  </property>
  <property fmtid="{D5CDD505-2E9C-101B-9397-08002B2CF9AE}" pid="6" name="ClassificationContentMarkingHeaderText">
    <vt:lpwstr>OFFICIAL</vt:lpwstr>
  </property>
  <property fmtid="{D5CDD505-2E9C-101B-9397-08002B2CF9AE}" pid="7" name="MSIP_Label_7cd3e8b9-ffed-43a8-b7f4-cc2fa0382d36_ActionId">
    <vt:lpwstr>69b5a7c8-8a90-4a94-bdc2-8708ac159c89</vt:lpwstr>
  </property>
  <property fmtid="{D5CDD505-2E9C-101B-9397-08002B2CF9AE}" pid="8" name="MediaServiceImageTags">
    <vt:lpwstr/>
  </property>
  <property fmtid="{D5CDD505-2E9C-101B-9397-08002B2CF9AE}" pid="9" name="ContentTypeId">
    <vt:lpwstr>0x0101007FED174C5281F747A8037A05221D6DBD</vt:lpwstr>
  </property>
  <property fmtid="{D5CDD505-2E9C-101B-9397-08002B2CF9AE}" pid="10" name="ClassificationContentMarkingHeaderFontProps">
    <vt:lpwstr>#ff0000,12,Aptos</vt:lpwstr>
  </property>
  <property fmtid="{D5CDD505-2E9C-101B-9397-08002B2CF9AE}" pid="11" name="MSIP_Label_7cd3e8b9-ffed-43a8-b7f4-cc2fa0382d36_ContentBits">
    <vt:lpwstr>3</vt:lpwstr>
  </property>
  <property fmtid="{D5CDD505-2E9C-101B-9397-08002B2CF9AE}" pid="12" name="docLang">
    <vt:lpwstr>en</vt:lpwstr>
  </property>
  <property fmtid="{D5CDD505-2E9C-101B-9397-08002B2CF9AE}" pid="13" name="MSIP_Label_7cd3e8b9-ffed-43a8-b7f4-cc2fa0382d36_Name">
    <vt:lpwstr>O</vt:lpwstr>
  </property>
  <property fmtid="{D5CDD505-2E9C-101B-9397-08002B2CF9AE}" pid="14" name="ClassificationContentMarkingFooterShapeIds">
    <vt:lpwstr>5a02ac0b,66eefcaa,470773ae</vt:lpwstr>
  </property>
  <property fmtid="{D5CDD505-2E9C-101B-9397-08002B2CF9AE}" pid="15" name="MSIP_Label_7cd3e8b9-ffed-43a8-b7f4-cc2fa0382d36_Enabled">
    <vt:lpwstr>true</vt:lpwstr>
  </property>
  <property fmtid="{D5CDD505-2E9C-101B-9397-08002B2CF9AE}" pid="16" name="ClassificationContentMarkingHeaderShapeIds">
    <vt:lpwstr>16173b61,40314d38,6229213c</vt:lpwstr>
  </property>
  <property fmtid="{D5CDD505-2E9C-101B-9397-08002B2CF9AE}" pid="17" name="ClassificationContentMarkingFooterFontProps">
    <vt:lpwstr>#ff0000,12,Aptos</vt:lpwstr>
  </property>
  <property fmtid="{D5CDD505-2E9C-101B-9397-08002B2CF9AE}" pid="18" name="MSIP_Label_7cd3e8b9-ffed-43a8-b7f4-cc2fa0382d36_SetDate">
    <vt:lpwstr>2025-12-15T00:41:58Z</vt:lpwstr>
  </property>
  <property fmtid="{D5CDD505-2E9C-101B-9397-08002B2CF9AE}" pid="19" name="Order">
    <vt:r8>59770600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