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D3713" w14:textId="77777777" w:rsidR="00AE5A37" w:rsidRPr="009020C9" w:rsidRDefault="00AE5A37" w:rsidP="009020C9">
      <w:pPr>
        <w:rPr>
          <w:rFonts w:asciiTheme="minorHAnsi" w:hAnsiTheme="minorHAnsi" w:cstheme="minorHAnsi"/>
        </w:rPr>
      </w:pPr>
    </w:p>
    <w:p w14:paraId="181DB627" w14:textId="5614A4D3" w:rsidR="00872E8F" w:rsidRPr="00A6439B" w:rsidRDefault="0008301D" w:rsidP="007A5C88">
      <w:pPr>
        <w:pStyle w:val="1MainTitle"/>
        <w:jc w:val="left"/>
      </w:pPr>
      <w:r>
        <w:t>5</w:t>
      </w:r>
      <w:r w:rsidR="70971A32" w:rsidRPr="00A6439B">
        <w:t>.</w:t>
      </w:r>
      <w:r>
        <w:t>14</w:t>
      </w:r>
      <w:r w:rsidR="00872E8F" w:rsidRPr="00A6439B">
        <w:tab/>
      </w:r>
      <w:r w:rsidR="00320FE0">
        <w:t>EFGARTI</w:t>
      </w:r>
      <w:r w:rsidR="00D50F47">
        <w:t>GIMOD ALFA</w:t>
      </w:r>
      <w:r w:rsidR="70971A32" w:rsidRPr="00A6439B">
        <w:t>,</w:t>
      </w:r>
      <w:r w:rsidR="00872E8F" w:rsidRPr="00A6439B">
        <w:br/>
      </w:r>
      <w:r w:rsidR="00797353">
        <w:t>Injection 1000</w:t>
      </w:r>
      <w:r w:rsidR="008F2883">
        <w:t xml:space="preserve"> </w:t>
      </w:r>
      <w:r w:rsidR="00C31B4E">
        <w:t>mg in 5.0</w:t>
      </w:r>
      <w:r w:rsidR="008F2883">
        <w:t xml:space="preserve"> </w:t>
      </w:r>
      <w:r w:rsidR="00C31B4E">
        <w:t>mL pre</w:t>
      </w:r>
      <w:r w:rsidR="00AF0956">
        <w:noBreakHyphen/>
      </w:r>
      <w:r w:rsidR="00C31B4E">
        <w:t>filled syringe</w:t>
      </w:r>
      <w:r w:rsidR="70971A32" w:rsidRPr="00A6439B">
        <w:t>,</w:t>
      </w:r>
      <w:r w:rsidR="00872E8F" w:rsidRPr="00A6439B">
        <w:br/>
      </w:r>
      <w:r w:rsidR="008F3491">
        <w:t>Vy</w:t>
      </w:r>
      <w:r w:rsidR="004E4DB6">
        <w:t>v</w:t>
      </w:r>
      <w:r w:rsidR="008F3491">
        <w:t>gart</w:t>
      </w:r>
      <w:r w:rsidR="70971A32" w:rsidRPr="00A6439B">
        <w:t>®,</w:t>
      </w:r>
      <w:r w:rsidR="00872E8F" w:rsidRPr="00A6439B">
        <w:br/>
      </w:r>
      <w:r w:rsidR="001B3CDD">
        <w:t>Argenx Australia Pty Ltd</w:t>
      </w:r>
    </w:p>
    <w:p w14:paraId="5F4D54C1" w14:textId="735A4674" w:rsidR="00E11F44" w:rsidRPr="00A6439B" w:rsidRDefault="007E490F" w:rsidP="00CD6257">
      <w:pPr>
        <w:pStyle w:val="2-SectionHeading"/>
        <w:rPr>
          <w:rFonts w:cstheme="minorHAnsi"/>
          <w:color w:val="FF0000"/>
        </w:rPr>
      </w:pPr>
      <w:r w:rsidRPr="007E1673">
        <w:t xml:space="preserve">Purpose of </w:t>
      </w:r>
      <w:r w:rsidR="00FA0B04" w:rsidRPr="007E1673">
        <w:t>Submission</w:t>
      </w:r>
    </w:p>
    <w:p w14:paraId="26210DAE" w14:textId="6F91DC06" w:rsidR="0073736F" w:rsidRPr="00240007" w:rsidRDefault="3AE91C6C" w:rsidP="444EDE7E">
      <w:pPr>
        <w:pStyle w:val="3-BodyText"/>
        <w:spacing w:line="259" w:lineRule="auto"/>
      </w:pPr>
      <w:r>
        <w:t xml:space="preserve">The Category </w:t>
      </w:r>
      <w:r w:rsidR="18FF12F8">
        <w:t>4</w:t>
      </w:r>
      <w:r w:rsidR="3ED20DFA">
        <w:t xml:space="preserve"> </w:t>
      </w:r>
      <w:r>
        <w:t xml:space="preserve">submission </w:t>
      </w:r>
      <w:r w:rsidR="18FF12F8">
        <w:t>requested</w:t>
      </w:r>
      <w:r>
        <w:t xml:space="preserve"> to</w:t>
      </w:r>
      <w:r w:rsidR="56FD8280">
        <w:t xml:space="preserve"> </w:t>
      </w:r>
      <w:r w:rsidR="2C14A5D2">
        <w:t xml:space="preserve">add </w:t>
      </w:r>
      <w:r w:rsidR="7DF83DEA">
        <w:t>an</w:t>
      </w:r>
      <w:r w:rsidR="2C14A5D2">
        <w:t xml:space="preserve"> </w:t>
      </w:r>
      <w:r w:rsidR="266BCA3A">
        <w:t>efgartigimod alfa</w:t>
      </w:r>
      <w:r w:rsidR="243759EB">
        <w:t xml:space="preserve"> </w:t>
      </w:r>
      <w:r w:rsidR="2DF46B25">
        <w:t xml:space="preserve">(EFG) </w:t>
      </w:r>
      <w:r w:rsidR="243759EB">
        <w:t>1000 mg / 5.0</w:t>
      </w:r>
      <w:r w:rsidR="00D612A5">
        <w:t> </w:t>
      </w:r>
      <w:r w:rsidR="243759EB">
        <w:t>mL pre</w:t>
      </w:r>
      <w:r w:rsidR="00AF0956">
        <w:noBreakHyphen/>
      </w:r>
      <w:r w:rsidR="243759EB">
        <w:t>filled syringe (PFS)</w:t>
      </w:r>
      <w:r w:rsidR="266BCA3A">
        <w:t xml:space="preserve">, alongside </w:t>
      </w:r>
      <w:r w:rsidR="2C14A5D2">
        <w:t xml:space="preserve">the </w:t>
      </w:r>
      <w:r w:rsidR="5B44FFF7">
        <w:t xml:space="preserve">already </w:t>
      </w:r>
      <w:r w:rsidR="08C86C0D">
        <w:t>PBAC</w:t>
      </w:r>
      <w:r w:rsidR="00AF0956">
        <w:noBreakHyphen/>
      </w:r>
      <w:r w:rsidR="08C86C0D">
        <w:t>recommended</w:t>
      </w:r>
      <w:r w:rsidR="001C2AE5">
        <w:t xml:space="preserve"> intravenous</w:t>
      </w:r>
      <w:r w:rsidR="2C14A5D2">
        <w:t xml:space="preserve"> </w:t>
      </w:r>
      <w:r w:rsidR="001C2AE5">
        <w:t>(</w:t>
      </w:r>
      <w:r w:rsidR="002A38C1">
        <w:t>IV</w:t>
      </w:r>
      <w:r w:rsidR="001C2AE5">
        <w:t>)</w:t>
      </w:r>
      <w:r w:rsidR="002A38C1">
        <w:t xml:space="preserve"> and </w:t>
      </w:r>
      <w:r w:rsidR="001C2AE5">
        <w:t>subcutaneous (</w:t>
      </w:r>
      <w:r w:rsidR="002A38C1">
        <w:t>SC</w:t>
      </w:r>
      <w:r w:rsidR="001C2AE5">
        <w:t>)</w:t>
      </w:r>
      <w:r w:rsidR="00540F89">
        <w:t xml:space="preserve"> formulations of EFG</w:t>
      </w:r>
      <w:r w:rsidR="4C18A355">
        <w:t xml:space="preserve"> for the treatment of adult patients with generalised myasthenia gravis (gMG) who are anti</w:t>
      </w:r>
      <w:r w:rsidR="00AF0956">
        <w:noBreakHyphen/>
      </w:r>
      <w:r w:rsidR="4C18A355">
        <w:t>acetylcholine receptor (AChR) antibody positive</w:t>
      </w:r>
      <w:r w:rsidR="2C14A5D2">
        <w:t xml:space="preserve">. </w:t>
      </w:r>
    </w:p>
    <w:p w14:paraId="6D96FEB6" w14:textId="65BEAA6F" w:rsidR="00DC732A" w:rsidRPr="00747E8B" w:rsidRDefault="3F5BBDBF" w:rsidP="444EDE7E">
      <w:pPr>
        <w:pStyle w:val="3-BodyText"/>
        <w:spacing w:line="259" w:lineRule="auto"/>
        <w:rPr>
          <w:color w:val="FF0000"/>
        </w:rPr>
      </w:pPr>
      <w:r>
        <w:t xml:space="preserve">Listing </w:t>
      </w:r>
      <w:r w:rsidR="2AC48382">
        <w:t xml:space="preserve">was requested </w:t>
      </w:r>
      <w:proofErr w:type="gramStart"/>
      <w:r w:rsidR="2AC48382">
        <w:t>on the basis of</w:t>
      </w:r>
      <w:proofErr w:type="gramEnd"/>
      <w:r w:rsidR="2AC48382">
        <w:t xml:space="preserve"> cost</w:t>
      </w:r>
      <w:r w:rsidR="00AF0956">
        <w:noBreakHyphen/>
      </w:r>
      <w:r w:rsidR="2AC48382">
        <w:t xml:space="preserve">minimisation versus </w:t>
      </w:r>
      <w:r w:rsidR="26736AF4">
        <w:t>E</w:t>
      </w:r>
      <w:r w:rsidR="5D4A8AC4">
        <w:t>FG</w:t>
      </w:r>
      <w:r w:rsidR="26736AF4">
        <w:t xml:space="preserve"> SC.</w:t>
      </w:r>
      <w:r w:rsidR="007B005F">
        <w:t xml:space="preserve"> The cost</w:t>
      </w:r>
      <w:r w:rsidR="00AF0956">
        <w:noBreakHyphen/>
      </w:r>
      <w:r w:rsidR="007B005F">
        <w:t xml:space="preserve">minimisation was based on a proposed published price for </w:t>
      </w:r>
      <w:r w:rsidR="00C1672C">
        <w:t xml:space="preserve">EFG SC, </w:t>
      </w:r>
      <w:r w:rsidR="003F3173">
        <w:t>as</w:t>
      </w:r>
      <w:r w:rsidR="00F02A68">
        <w:t xml:space="preserve"> an effective price was not available</w:t>
      </w:r>
      <w:r w:rsidR="00C1672C">
        <w:t xml:space="preserve">. </w:t>
      </w:r>
    </w:p>
    <w:p w14:paraId="3D1D4320" w14:textId="77777777" w:rsidR="007E490F" w:rsidRDefault="007E490F" w:rsidP="00ED248B">
      <w:pPr>
        <w:pStyle w:val="2-SectionHeading"/>
        <w:numPr>
          <w:ilvl w:val="0"/>
          <w:numId w:val="1"/>
        </w:numPr>
      </w:pPr>
      <w:r w:rsidRPr="00A6439B">
        <w:t xml:space="preserve">Background </w:t>
      </w:r>
    </w:p>
    <w:p w14:paraId="4B73C540" w14:textId="43350D7A" w:rsidR="004A0461" w:rsidRDefault="004A0461" w:rsidP="004A0461">
      <w:pPr>
        <w:pStyle w:val="3-BodyText"/>
      </w:pPr>
      <w:r>
        <w:t xml:space="preserve">March 2025 PBAC meeting: EFG IV was recommended as a Section 100 Highly Specialised Drug (s100 HSD) listing, along with 3 </w:t>
      </w:r>
      <w:r w:rsidR="00E66EFF">
        <w:t>other therapies</w:t>
      </w:r>
      <w:r>
        <w:t xml:space="preserve"> for the treatment of gMG: ravulizumab, rozanolixizumab and zilucoplan. All 4 submissions were recommended </w:t>
      </w:r>
      <w:proofErr w:type="gramStart"/>
      <w:r>
        <w:t>on the basis of</w:t>
      </w:r>
      <w:proofErr w:type="gramEnd"/>
      <w:r>
        <w:t xml:space="preserve"> a cost</w:t>
      </w:r>
      <w:r w:rsidR="00AF0956">
        <w:noBreakHyphen/>
      </w:r>
      <w:r>
        <w:t>comparison versus intravenous immunoglobulin (IVIg), supported by a cost</w:t>
      </w:r>
      <w:r w:rsidR="00AF0956">
        <w:noBreakHyphen/>
      </w:r>
      <w:r>
        <w:t>per</w:t>
      </w:r>
      <w:r w:rsidR="00AF0956">
        <w:noBreakHyphen/>
      </w:r>
      <w:r>
        <w:t>responder analysis versus placebo. The PBAC considered that all 4 therapies were non</w:t>
      </w:r>
      <w:r w:rsidR="00AF0956">
        <w:noBreakHyphen/>
      </w:r>
      <w:r>
        <w:t>inferior in effectiveness and safety compared to IVIg. The PBAC advised that these 4 therapies should be listed for 3 settings</w:t>
      </w:r>
      <w:r w:rsidR="008559AB">
        <w:t xml:space="preserve">: </w:t>
      </w:r>
      <w:r>
        <w:t>acute severe, bridging therapy and treatment refractory. The PBAC advised that a single Risk Sharing Arrangement (RSA) including all four therapies would be required to mitigate the risk of use outside intended restrictions, and for the FcRn blockers (efgartigimod alfa and rozanolixizumab) the RSA would need to mitigate the risk of an increase in the frequency of cycles received over time.</w:t>
      </w:r>
    </w:p>
    <w:p w14:paraId="33630B3B" w14:textId="37411EF9" w:rsidR="004A0461" w:rsidRDefault="004A0461" w:rsidP="004A0461">
      <w:pPr>
        <w:pStyle w:val="3-BodyText"/>
      </w:pPr>
      <w:r>
        <w:t>November 2025 PBAC meeting: EFG SC was recommended under the same circumstances as the IV</w:t>
      </w:r>
      <w:r w:rsidR="00392EF5">
        <w:t xml:space="preserve"> form</w:t>
      </w:r>
      <w:r w:rsidR="009E5A1A">
        <w:t>ulation</w:t>
      </w:r>
      <w:r>
        <w:t xml:space="preserve"> (</w:t>
      </w:r>
      <w:r w:rsidRPr="74EB87D5">
        <w:rPr>
          <w:lang w:val="en-GB"/>
        </w:rPr>
        <w:t>based on a cost comparison to IVIg</w:t>
      </w:r>
      <w:r>
        <w:rPr>
          <w:lang w:val="en-GB"/>
        </w:rPr>
        <w:t>)</w:t>
      </w:r>
      <w:r>
        <w:t>.</w:t>
      </w:r>
      <w:r w:rsidRPr="002341B0">
        <w:t xml:space="preserve"> </w:t>
      </w:r>
      <w:r>
        <w:t>The PBAC advised that the requested general schedule (s85) listing would be inappropriate and recommended a s100 HSD listing, consistent with the IV formulation</w:t>
      </w:r>
      <w:r w:rsidR="009E5A1A">
        <w:t>,</w:t>
      </w:r>
      <w:r>
        <w:t xml:space="preserve"> </w:t>
      </w:r>
      <w:r w:rsidRPr="004E0583">
        <w:t>ravulizumab</w:t>
      </w:r>
      <w:r>
        <w:t>,</w:t>
      </w:r>
      <w:r w:rsidRPr="004E0583">
        <w:t xml:space="preserve"> rozanolixizumab and zilucoplan</w:t>
      </w:r>
      <w:r>
        <w:t>. The PBAC noted that the proposed cost</w:t>
      </w:r>
      <w:r w:rsidR="00AF0956">
        <w:noBreakHyphen/>
      </w:r>
      <w:r>
        <w:t xml:space="preserve">minimisation approach (CMA) of IV versus SC was not reasonable. </w:t>
      </w:r>
      <w:r w:rsidRPr="009E3BFA">
        <w:rPr>
          <w:lang w:val="en-GB"/>
        </w:rPr>
        <w:t>In particular, the PBAC did not accept the reduced use of MBS items as an acceptable cost offset as part of the CMA, as it was unclear that the savings would be realised in practice</w:t>
      </w:r>
      <w:r>
        <w:t xml:space="preserve">. For EFG SC, noting the submission’s proposed equivalence of 1 SC vial to 2.4 vials of EFG IV, the PBAC advised </w:t>
      </w:r>
      <w:r>
        <w:lastRenderedPageBreak/>
        <w:t xml:space="preserve">that the cost comparison should incorporate an annual dose EFG SC of 18,880 mg per year (or simply put, the 1 vial EFC SC should be priced equivalent to 2.4 vials of EFG IV). The PBAC provided additional advice in November 2025 with respect to the price premium for these therapies over the cost of IVIg </w:t>
      </w:r>
      <w:proofErr w:type="gramStart"/>
      <w:r>
        <w:t>and also</w:t>
      </w:r>
      <w:proofErr w:type="gramEnd"/>
      <w:r>
        <w:t xml:space="preserve"> the reimbursement rates for expenditure over the RSA caps. The outcomes of the November 2025 PBAC meeting were not available to the sponsor at the time of submission for the March 2026 PBAC meeting.</w:t>
      </w:r>
    </w:p>
    <w:p w14:paraId="58DA5821" w14:textId="430285BE" w:rsidR="004A0461" w:rsidRPr="00DA13E3" w:rsidRDefault="00C20A75" w:rsidP="004A0461">
      <w:pPr>
        <w:pStyle w:val="3-BodyText"/>
      </w:pPr>
      <w:r>
        <w:t>A</w:t>
      </w:r>
      <w:r w:rsidR="004A0461" w:rsidRPr="00DA13E3">
        <w:t xml:space="preserve">s </w:t>
      </w:r>
      <w:r w:rsidR="004A02E3" w:rsidRPr="00DA13E3">
        <w:t>of</w:t>
      </w:r>
      <w:r w:rsidR="004A0461" w:rsidRPr="00DA13E3">
        <w:t xml:space="preserve"> </w:t>
      </w:r>
      <w:r w:rsidR="007B1351" w:rsidRPr="00DA13E3">
        <w:t>March</w:t>
      </w:r>
      <w:r w:rsidR="004A0461" w:rsidRPr="00DA13E3">
        <w:t xml:space="preserve"> 202</w:t>
      </w:r>
      <w:r w:rsidR="007B1351" w:rsidRPr="00DA13E3">
        <w:t>6</w:t>
      </w:r>
      <w:r w:rsidR="004A0461" w:rsidRPr="00DA13E3">
        <w:t xml:space="preserve">, listing arrangements for zilucoplan have been agreed </w:t>
      </w:r>
      <w:r w:rsidR="0070052B" w:rsidRPr="00DA13E3">
        <w:t xml:space="preserve">and </w:t>
      </w:r>
      <w:r w:rsidR="00DA13E3" w:rsidRPr="00DA13E3">
        <w:t>ravulizumab is</w:t>
      </w:r>
      <w:r w:rsidR="004A0461" w:rsidRPr="00DA13E3">
        <w:t xml:space="preserve"> </w:t>
      </w:r>
      <w:r w:rsidR="00DA13E3">
        <w:t>now</w:t>
      </w:r>
      <w:r w:rsidR="004A0461" w:rsidRPr="00DA13E3">
        <w:t xml:space="preserve"> available on the PBS. The sponsor </w:t>
      </w:r>
      <w:r w:rsidR="00DA13E3">
        <w:t xml:space="preserve">for EFG </w:t>
      </w:r>
      <w:r w:rsidR="004A0461" w:rsidRPr="00DA13E3">
        <w:t>lodged a post</w:t>
      </w:r>
      <w:r w:rsidR="00AF0956">
        <w:noBreakHyphen/>
      </w:r>
      <w:r w:rsidR="004A0461" w:rsidRPr="00DA13E3">
        <w:t xml:space="preserve">PBAC listing proposal for EFG IV on 23 July 2025, however it </w:t>
      </w:r>
      <w:r w:rsidR="00162287">
        <w:t>had</w:t>
      </w:r>
      <w:r w:rsidR="00162287" w:rsidRPr="00DA13E3">
        <w:t xml:space="preserve"> </w:t>
      </w:r>
      <w:r w:rsidR="004A0461" w:rsidRPr="00DA13E3">
        <w:t>not progressed.</w:t>
      </w:r>
    </w:p>
    <w:p w14:paraId="33C2C319" w14:textId="66DF215F" w:rsidR="007E490F" w:rsidRPr="005E0E66" w:rsidRDefault="007E490F" w:rsidP="005E0E66">
      <w:pPr>
        <w:pStyle w:val="4-SubsectionHeading"/>
      </w:pPr>
      <w:r w:rsidRPr="005E0E66">
        <w:t>Registration status</w:t>
      </w:r>
    </w:p>
    <w:p w14:paraId="34C6DFC0" w14:textId="64D3C3BB" w:rsidR="00DA3950" w:rsidRPr="003904B2" w:rsidRDefault="009771CD" w:rsidP="49CAE3F1">
      <w:pPr>
        <w:pStyle w:val="3-BodyText"/>
      </w:pPr>
      <w:r w:rsidRPr="003904B2">
        <w:t>EFG</w:t>
      </w:r>
      <w:r w:rsidR="00BB30EE" w:rsidRPr="003904B2">
        <w:t xml:space="preserve"> </w:t>
      </w:r>
      <w:r w:rsidR="007D23DF" w:rsidRPr="003904B2">
        <w:t xml:space="preserve">(Vyvgart) </w:t>
      </w:r>
      <w:r w:rsidR="00BB30EE" w:rsidRPr="003904B2">
        <w:t xml:space="preserve">PFS </w:t>
      </w:r>
      <w:r w:rsidR="00D40618">
        <w:t>was approved by the Therapeutic Goods Administration (TGA) on 16 February 2026.</w:t>
      </w:r>
    </w:p>
    <w:p w14:paraId="056E0FC8" w14:textId="56F404C4" w:rsidR="00FA6ED7" w:rsidRPr="00D14C31" w:rsidRDefault="000B45F7" w:rsidP="00240007">
      <w:pPr>
        <w:pStyle w:val="3-BodyText"/>
      </w:pPr>
      <w:r>
        <w:t>EFG</w:t>
      </w:r>
      <w:r w:rsidR="00DA3950">
        <w:t xml:space="preserve"> </w:t>
      </w:r>
      <w:r w:rsidR="007D23DF">
        <w:t xml:space="preserve">(Vyvgart) </w:t>
      </w:r>
      <w:r w:rsidR="00DA3950">
        <w:t>IV and SC were</w:t>
      </w:r>
      <w:r w:rsidR="00ED1A64">
        <w:t xml:space="preserve"> </w:t>
      </w:r>
      <w:r w:rsidR="007E490F">
        <w:t xml:space="preserve">TGA registered on </w:t>
      </w:r>
      <w:r w:rsidR="00A01F52">
        <w:t xml:space="preserve">24 February </w:t>
      </w:r>
      <w:r w:rsidR="007D23DF">
        <w:t>2025</w:t>
      </w:r>
      <w:r w:rsidR="007E490F">
        <w:t xml:space="preserve"> for</w:t>
      </w:r>
      <w:r w:rsidR="00342E46">
        <w:t xml:space="preserve"> the treatment of adult patients with</w:t>
      </w:r>
      <w:r w:rsidR="00240007" w:rsidRPr="31361354">
        <w:rPr>
          <w:rFonts w:ascii="Calibri" w:eastAsia="Times New Roman" w:hAnsi="Calibri" w:cs="Times New Roman"/>
        </w:rPr>
        <w:t xml:space="preserve"> </w:t>
      </w:r>
      <w:r w:rsidR="00240007">
        <w:t>gMG who are AChR antibody positive</w:t>
      </w:r>
      <w:r w:rsidR="00342E46">
        <w:t>.</w:t>
      </w:r>
    </w:p>
    <w:p w14:paraId="1B8790B6" w14:textId="77777777" w:rsidR="00964A9F" w:rsidRPr="00A6439B" w:rsidRDefault="00964A9F" w:rsidP="00964A9F">
      <w:pPr>
        <w:pStyle w:val="2-SectionHeading"/>
      </w:pPr>
      <w:r w:rsidRPr="00A6439B">
        <w:t xml:space="preserve">Requested listing </w:t>
      </w:r>
    </w:p>
    <w:p w14:paraId="53E88702" w14:textId="32FFA98D" w:rsidR="0062790E" w:rsidRDefault="00964A9F" w:rsidP="0062790E">
      <w:pPr>
        <w:pStyle w:val="3-BodyText"/>
      </w:pPr>
      <w:r>
        <w:t>The submission requested</w:t>
      </w:r>
      <w:r w:rsidR="00CB7F76">
        <w:t xml:space="preserve"> a new </w:t>
      </w:r>
      <w:r w:rsidR="00C47317">
        <w:t xml:space="preserve">form of </w:t>
      </w:r>
      <w:r w:rsidR="00FD7491">
        <w:t>EFG</w:t>
      </w:r>
      <w:r w:rsidR="00C47317">
        <w:t xml:space="preserve">, a </w:t>
      </w:r>
      <w:r w:rsidR="00FD7491">
        <w:t>PFS</w:t>
      </w:r>
      <w:r w:rsidR="00C47317">
        <w:t xml:space="preserve">. </w:t>
      </w:r>
      <w:r w:rsidR="009D7FCE">
        <w:t xml:space="preserve">The sponsor requested </w:t>
      </w:r>
      <w:r w:rsidR="001F3CEE">
        <w:t xml:space="preserve">a </w:t>
      </w:r>
      <w:r w:rsidR="009D7FCE">
        <w:t xml:space="preserve">listing </w:t>
      </w:r>
      <w:r w:rsidR="001F3CEE">
        <w:t xml:space="preserve">that </w:t>
      </w:r>
      <w:r w:rsidR="00C132B0">
        <w:t xml:space="preserve">would </w:t>
      </w:r>
      <w:r w:rsidR="00D275E8">
        <w:t>include the same restriction wording, administrative advice and prescribing instructions as the IV and SC</w:t>
      </w:r>
      <w:r w:rsidR="00012506">
        <w:t xml:space="preserve">. </w:t>
      </w:r>
      <w:r w:rsidR="0021189C">
        <w:t>However, the submission proposed a different</w:t>
      </w:r>
      <w:r w:rsidR="004864C7">
        <w:t xml:space="preserve"> </w:t>
      </w:r>
      <w:r w:rsidR="00E35E99">
        <w:t xml:space="preserve">category/program of </w:t>
      </w:r>
      <w:r w:rsidR="00CB3F6D">
        <w:t>g</w:t>
      </w:r>
      <w:r w:rsidR="00E35E99">
        <w:t xml:space="preserve">eneral </w:t>
      </w:r>
      <w:r w:rsidR="00CB3F6D">
        <w:t>s</w:t>
      </w:r>
      <w:r w:rsidR="00E35E99">
        <w:t>chedule (</w:t>
      </w:r>
      <w:r w:rsidR="00E1179C">
        <w:t>s</w:t>
      </w:r>
      <w:r w:rsidR="00E35E99">
        <w:t xml:space="preserve">85) </w:t>
      </w:r>
      <w:r w:rsidR="004C60F5">
        <w:t xml:space="preserve">and a lower authority level of Telephone/Online, </w:t>
      </w:r>
      <w:r w:rsidR="008F52B7">
        <w:t xml:space="preserve">instead of </w:t>
      </w:r>
      <w:r w:rsidR="00574F0C">
        <w:t xml:space="preserve">the previously PBAC recommended </w:t>
      </w:r>
      <w:r w:rsidR="003904B2">
        <w:t xml:space="preserve">s100 </w:t>
      </w:r>
      <w:r w:rsidR="009919C2">
        <w:t>HSD</w:t>
      </w:r>
      <w:r w:rsidR="008F52B7">
        <w:t xml:space="preserve"> </w:t>
      </w:r>
      <w:r w:rsidR="004C60F5">
        <w:t xml:space="preserve">and </w:t>
      </w:r>
      <w:r w:rsidR="00183A00">
        <w:t>Written/Online</w:t>
      </w:r>
      <w:r w:rsidR="004C60F5">
        <w:t xml:space="preserve"> authority</w:t>
      </w:r>
      <w:r w:rsidR="00183A00">
        <w:t xml:space="preserve">. </w:t>
      </w:r>
      <w:r w:rsidR="006C4B9C">
        <w:t>F</w:t>
      </w:r>
      <w:r w:rsidR="00012506">
        <w:t>or brevity, the full</w:t>
      </w:r>
      <w:r w:rsidR="00FD7491">
        <w:t xml:space="preserve"> recommended</w:t>
      </w:r>
      <w:r w:rsidR="00012506">
        <w:t xml:space="preserve"> restrictions have not been reproduced</w:t>
      </w:r>
      <w:r w:rsidR="00CE589E">
        <w:t>.</w:t>
      </w:r>
      <w:r w:rsidR="00BD0E43" w:rsidRPr="00BD0E43">
        <w:t xml:space="preserve"> </w:t>
      </w:r>
      <w:r w:rsidR="0097267F">
        <w:t>Secretariat a</w:t>
      </w:r>
      <w:r w:rsidR="00BD0E43">
        <w:t xml:space="preserve">dditions </w:t>
      </w:r>
      <w:r w:rsidR="0097267F">
        <w:t xml:space="preserve">are </w:t>
      </w:r>
      <w:r w:rsidR="00BD0E43">
        <w:t xml:space="preserve">in </w:t>
      </w:r>
      <w:r w:rsidR="00BD0E43" w:rsidRPr="000E3AEA">
        <w:rPr>
          <w:i/>
        </w:rPr>
        <w:t>italics</w:t>
      </w:r>
      <w:r w:rsidR="00BD0E43" w:rsidRPr="000E3AEA">
        <w:t xml:space="preserve"> </w:t>
      </w:r>
      <w:r w:rsidR="00BD0E43">
        <w:t xml:space="preserve">and </w:t>
      </w:r>
      <w:r w:rsidR="0097267F">
        <w:t xml:space="preserve">deletions are in </w:t>
      </w:r>
      <w:r w:rsidR="00BD0E43">
        <w:t>strikethrough below.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1"/>
        <w:gridCol w:w="2668"/>
        <w:gridCol w:w="734"/>
        <w:gridCol w:w="709"/>
        <w:gridCol w:w="709"/>
        <w:gridCol w:w="1984"/>
        <w:gridCol w:w="941"/>
      </w:tblGrid>
      <w:tr w:rsidR="0062790E" w:rsidRPr="001428E9" w14:paraId="466F120F" w14:textId="77777777" w:rsidTr="00852D51">
        <w:trPr>
          <w:cantSplit/>
          <w:trHeight w:val="20"/>
        </w:trPr>
        <w:tc>
          <w:tcPr>
            <w:tcW w:w="3939" w:type="dxa"/>
            <w:gridSpan w:val="2"/>
            <w:vAlign w:val="center"/>
          </w:tcPr>
          <w:p w14:paraId="049D5946" w14:textId="77777777" w:rsidR="0062790E" w:rsidRPr="001428E9" w:rsidRDefault="0062790E">
            <w:pPr>
              <w:keepLines/>
              <w:jc w:val="left"/>
              <w:rPr>
                <w:rFonts w:ascii="Arial Narrow" w:hAnsi="Arial Narrow" w:cs="Arial"/>
                <w:b/>
                <w:bCs/>
                <w:sz w:val="20"/>
                <w:szCs w:val="20"/>
              </w:rPr>
            </w:pPr>
            <w:r w:rsidRPr="001428E9">
              <w:rPr>
                <w:rFonts w:ascii="Arial Narrow" w:hAnsi="Arial Narrow" w:cs="Arial"/>
                <w:b/>
                <w:bCs/>
                <w:sz w:val="20"/>
                <w:szCs w:val="20"/>
              </w:rPr>
              <w:t>MEDICINAL PRODUCT</w:t>
            </w:r>
          </w:p>
          <w:p w14:paraId="237693EB" w14:textId="77777777" w:rsidR="0062790E" w:rsidRPr="001428E9" w:rsidRDefault="0062790E">
            <w:pPr>
              <w:keepLines/>
              <w:jc w:val="left"/>
              <w:rPr>
                <w:rFonts w:ascii="Arial Narrow" w:hAnsi="Arial Narrow" w:cs="Arial"/>
                <w:b/>
                <w:sz w:val="20"/>
                <w:szCs w:val="20"/>
              </w:rPr>
            </w:pPr>
            <w:r w:rsidRPr="001428E9">
              <w:rPr>
                <w:rFonts w:ascii="Arial Narrow" w:hAnsi="Arial Narrow" w:cs="Arial"/>
                <w:b/>
                <w:bCs/>
                <w:sz w:val="20"/>
                <w:szCs w:val="20"/>
              </w:rPr>
              <w:t>medicinal product pack</w:t>
            </w:r>
          </w:p>
        </w:tc>
        <w:tc>
          <w:tcPr>
            <w:tcW w:w="734" w:type="dxa"/>
            <w:vAlign w:val="center"/>
          </w:tcPr>
          <w:p w14:paraId="17156EC6" w14:textId="77777777" w:rsidR="0062790E" w:rsidRPr="001428E9" w:rsidRDefault="0062790E">
            <w:pPr>
              <w:keepLines/>
              <w:jc w:val="center"/>
              <w:rPr>
                <w:rFonts w:ascii="Arial Narrow" w:hAnsi="Arial Narrow" w:cs="Arial"/>
                <w:b/>
                <w:sz w:val="20"/>
                <w:szCs w:val="20"/>
              </w:rPr>
            </w:pPr>
            <w:r w:rsidRPr="001428E9">
              <w:rPr>
                <w:rFonts w:ascii="Arial Narrow" w:hAnsi="Arial Narrow" w:cs="Arial"/>
                <w:b/>
                <w:sz w:val="20"/>
                <w:szCs w:val="20"/>
              </w:rPr>
              <w:t>PBS item code</w:t>
            </w:r>
          </w:p>
        </w:tc>
        <w:tc>
          <w:tcPr>
            <w:tcW w:w="709" w:type="dxa"/>
            <w:vAlign w:val="center"/>
          </w:tcPr>
          <w:p w14:paraId="2C475196" w14:textId="77777777" w:rsidR="0062790E" w:rsidRPr="001428E9" w:rsidRDefault="0062790E">
            <w:pPr>
              <w:keepLines/>
              <w:jc w:val="center"/>
              <w:rPr>
                <w:rFonts w:ascii="Arial Narrow" w:hAnsi="Arial Narrow" w:cs="Arial"/>
                <w:b/>
                <w:sz w:val="20"/>
                <w:szCs w:val="20"/>
              </w:rPr>
            </w:pPr>
            <w:r w:rsidRPr="001428E9">
              <w:rPr>
                <w:rFonts w:ascii="Arial Narrow" w:hAnsi="Arial Narrow" w:cs="Arial"/>
                <w:b/>
                <w:sz w:val="20"/>
                <w:szCs w:val="20"/>
              </w:rPr>
              <w:t>Max. qty packs</w:t>
            </w:r>
          </w:p>
        </w:tc>
        <w:tc>
          <w:tcPr>
            <w:tcW w:w="709" w:type="dxa"/>
            <w:vAlign w:val="center"/>
          </w:tcPr>
          <w:p w14:paraId="4711AF0C" w14:textId="77777777" w:rsidR="0062790E" w:rsidRPr="001428E9" w:rsidRDefault="0062790E">
            <w:pPr>
              <w:keepLines/>
              <w:jc w:val="center"/>
              <w:rPr>
                <w:rFonts w:ascii="Arial Narrow" w:hAnsi="Arial Narrow" w:cs="Arial"/>
                <w:b/>
                <w:sz w:val="20"/>
                <w:szCs w:val="20"/>
              </w:rPr>
            </w:pPr>
            <w:r w:rsidRPr="001428E9">
              <w:rPr>
                <w:rFonts w:ascii="Arial Narrow" w:hAnsi="Arial Narrow" w:cs="Arial"/>
                <w:b/>
                <w:sz w:val="20"/>
                <w:szCs w:val="20"/>
              </w:rPr>
              <w:t>Max. qty units</w:t>
            </w:r>
          </w:p>
        </w:tc>
        <w:tc>
          <w:tcPr>
            <w:tcW w:w="1984" w:type="dxa"/>
            <w:vAlign w:val="center"/>
          </w:tcPr>
          <w:p w14:paraId="0C754B1C" w14:textId="77777777" w:rsidR="0062790E" w:rsidRPr="001428E9" w:rsidRDefault="0062790E">
            <w:pPr>
              <w:keepLines/>
              <w:jc w:val="center"/>
              <w:rPr>
                <w:rFonts w:ascii="Arial Narrow" w:hAnsi="Arial Narrow" w:cs="Arial"/>
                <w:b/>
                <w:sz w:val="20"/>
                <w:szCs w:val="20"/>
              </w:rPr>
            </w:pPr>
            <w:r w:rsidRPr="001428E9">
              <w:rPr>
                <w:rFonts w:ascii="Arial Narrow" w:hAnsi="Arial Narrow" w:cs="Arial"/>
                <w:b/>
                <w:sz w:val="20"/>
                <w:szCs w:val="20"/>
              </w:rPr>
              <w:t>№.of</w:t>
            </w:r>
          </w:p>
          <w:p w14:paraId="0ACF2C4B" w14:textId="77777777" w:rsidR="0062790E" w:rsidRPr="001428E9" w:rsidRDefault="0062790E">
            <w:pPr>
              <w:keepLines/>
              <w:jc w:val="center"/>
              <w:rPr>
                <w:rFonts w:ascii="Arial Narrow" w:hAnsi="Arial Narrow" w:cs="Arial"/>
                <w:b/>
                <w:sz w:val="20"/>
                <w:szCs w:val="20"/>
              </w:rPr>
            </w:pPr>
            <w:r w:rsidRPr="001428E9">
              <w:rPr>
                <w:rFonts w:ascii="Arial Narrow" w:hAnsi="Arial Narrow" w:cs="Arial"/>
                <w:b/>
                <w:sz w:val="20"/>
                <w:szCs w:val="20"/>
              </w:rPr>
              <w:t>Rpts</w:t>
            </w:r>
          </w:p>
        </w:tc>
        <w:tc>
          <w:tcPr>
            <w:tcW w:w="941" w:type="dxa"/>
            <w:vAlign w:val="center"/>
          </w:tcPr>
          <w:p w14:paraId="48E2F8C9" w14:textId="77777777" w:rsidR="0062790E" w:rsidRPr="001428E9" w:rsidRDefault="0062790E">
            <w:pPr>
              <w:keepLines/>
              <w:jc w:val="left"/>
              <w:rPr>
                <w:rFonts w:ascii="Arial Narrow" w:hAnsi="Arial Narrow" w:cs="Arial"/>
                <w:b/>
                <w:sz w:val="20"/>
                <w:szCs w:val="20"/>
                <w:lang w:val="fr-FR"/>
              </w:rPr>
            </w:pPr>
            <w:r w:rsidRPr="001428E9">
              <w:rPr>
                <w:rFonts w:ascii="Arial Narrow" w:hAnsi="Arial Narrow" w:cs="Arial"/>
                <w:b/>
                <w:sz w:val="20"/>
                <w:szCs w:val="20"/>
              </w:rPr>
              <w:t>Available brands</w:t>
            </w:r>
          </w:p>
        </w:tc>
      </w:tr>
      <w:tr w:rsidR="0062790E" w:rsidRPr="001428E9" w14:paraId="6705D3DB" w14:textId="77777777">
        <w:trPr>
          <w:cantSplit/>
          <w:trHeight w:val="20"/>
        </w:trPr>
        <w:tc>
          <w:tcPr>
            <w:tcW w:w="9016" w:type="dxa"/>
            <w:gridSpan w:val="7"/>
            <w:vAlign w:val="center"/>
          </w:tcPr>
          <w:p w14:paraId="2E149787" w14:textId="77777777" w:rsidR="0062790E" w:rsidRPr="001428E9" w:rsidRDefault="0062790E">
            <w:pPr>
              <w:keepLines/>
              <w:jc w:val="left"/>
              <w:rPr>
                <w:rFonts w:ascii="Arial Narrow" w:hAnsi="Arial Narrow" w:cs="Arial"/>
                <w:sz w:val="20"/>
                <w:szCs w:val="20"/>
              </w:rPr>
            </w:pPr>
            <w:r>
              <w:rPr>
                <w:rFonts w:ascii="Arial Narrow" w:hAnsi="Arial Narrow" w:cs="Arial"/>
                <w:sz w:val="20"/>
                <w:szCs w:val="20"/>
              </w:rPr>
              <w:t>EFGARTIGIMOD ALFA</w:t>
            </w:r>
          </w:p>
        </w:tc>
      </w:tr>
      <w:tr w:rsidR="0062790E" w:rsidRPr="001428E9" w14:paraId="0AD36199" w14:textId="77777777" w:rsidTr="00852D51">
        <w:trPr>
          <w:cantSplit/>
          <w:trHeight w:val="20"/>
        </w:trPr>
        <w:tc>
          <w:tcPr>
            <w:tcW w:w="3939" w:type="dxa"/>
            <w:gridSpan w:val="2"/>
            <w:vAlign w:val="center"/>
          </w:tcPr>
          <w:p w14:paraId="1B68F651" w14:textId="4F404A31" w:rsidR="00C67F26" w:rsidRPr="000E3AEA" w:rsidRDefault="0062790E">
            <w:pPr>
              <w:keepLines/>
              <w:jc w:val="left"/>
              <w:rPr>
                <w:rFonts w:ascii="Arial Narrow" w:hAnsi="Arial Narrow"/>
                <w:sz w:val="20"/>
                <w:szCs w:val="20"/>
              </w:rPr>
            </w:pPr>
            <w:r w:rsidRPr="000E3AEA">
              <w:rPr>
                <w:rFonts w:ascii="Arial Narrow" w:hAnsi="Arial Narrow"/>
                <w:strike/>
                <w:sz w:val="20"/>
                <w:szCs w:val="20"/>
              </w:rPr>
              <w:t>Injection 1000mg in 5.0mL pre</w:t>
            </w:r>
            <w:r w:rsidR="00AF0956">
              <w:rPr>
                <w:rFonts w:ascii="Arial Narrow" w:hAnsi="Arial Narrow"/>
                <w:strike/>
                <w:sz w:val="20"/>
                <w:szCs w:val="20"/>
              </w:rPr>
              <w:noBreakHyphen/>
            </w:r>
            <w:r w:rsidRPr="000E3AEA">
              <w:rPr>
                <w:rFonts w:ascii="Arial Narrow" w:hAnsi="Arial Narrow"/>
                <w:strike/>
                <w:sz w:val="20"/>
                <w:szCs w:val="20"/>
              </w:rPr>
              <w:t>filled syringe</w:t>
            </w:r>
          </w:p>
          <w:p w14:paraId="659D7324" w14:textId="74F2A320" w:rsidR="00BF4774" w:rsidRPr="000E3AEA" w:rsidRDefault="00954D44">
            <w:pPr>
              <w:keepLines/>
              <w:jc w:val="left"/>
              <w:rPr>
                <w:rFonts w:ascii="Arial Narrow" w:hAnsi="Arial Narrow" w:cs="Arial"/>
                <w:i/>
                <w:sz w:val="20"/>
                <w:szCs w:val="20"/>
              </w:rPr>
            </w:pPr>
            <w:r w:rsidRPr="000E3AEA">
              <w:rPr>
                <w:rFonts w:ascii="Arial Narrow" w:hAnsi="Arial Narrow" w:cs="Arial"/>
                <w:i/>
                <w:sz w:val="20"/>
                <w:szCs w:val="20"/>
              </w:rPr>
              <w:t>efgartigimod alfa 1 g/5 mL injection, 5 mL syringe</w:t>
            </w:r>
          </w:p>
        </w:tc>
        <w:tc>
          <w:tcPr>
            <w:tcW w:w="734" w:type="dxa"/>
            <w:vAlign w:val="center"/>
          </w:tcPr>
          <w:p w14:paraId="64570C36" w14:textId="77777777" w:rsidR="0062790E" w:rsidRPr="001428E9" w:rsidRDefault="0062790E">
            <w:pPr>
              <w:keepLines/>
              <w:jc w:val="center"/>
              <w:rPr>
                <w:rFonts w:ascii="Arial Narrow" w:hAnsi="Arial Narrow" w:cs="Arial"/>
                <w:sz w:val="20"/>
                <w:szCs w:val="20"/>
              </w:rPr>
            </w:pPr>
            <w:r w:rsidRPr="001428E9">
              <w:rPr>
                <w:rFonts w:ascii="Arial Narrow" w:hAnsi="Arial Narrow" w:cs="Arial"/>
                <w:sz w:val="20"/>
                <w:szCs w:val="20"/>
              </w:rPr>
              <w:t>NEW</w:t>
            </w:r>
          </w:p>
        </w:tc>
        <w:tc>
          <w:tcPr>
            <w:tcW w:w="709" w:type="dxa"/>
            <w:vAlign w:val="center"/>
          </w:tcPr>
          <w:p w14:paraId="7A7C4F2D" w14:textId="77777777" w:rsidR="0062790E" w:rsidRPr="001428E9" w:rsidRDefault="0062790E">
            <w:pPr>
              <w:keepLines/>
              <w:jc w:val="center"/>
              <w:rPr>
                <w:rFonts w:ascii="Arial Narrow" w:hAnsi="Arial Narrow" w:cs="Arial"/>
                <w:sz w:val="20"/>
                <w:szCs w:val="20"/>
              </w:rPr>
            </w:pPr>
            <w:r>
              <w:rPr>
                <w:rFonts w:ascii="Arial Narrow" w:hAnsi="Arial Narrow" w:cs="Arial"/>
                <w:sz w:val="20"/>
                <w:szCs w:val="20"/>
              </w:rPr>
              <w:t>4</w:t>
            </w:r>
          </w:p>
        </w:tc>
        <w:tc>
          <w:tcPr>
            <w:tcW w:w="709" w:type="dxa"/>
            <w:vAlign w:val="center"/>
          </w:tcPr>
          <w:p w14:paraId="0DF67034" w14:textId="77777777" w:rsidR="0062790E" w:rsidRPr="001428E9" w:rsidRDefault="0062790E">
            <w:pPr>
              <w:keepLines/>
              <w:jc w:val="center"/>
              <w:rPr>
                <w:rFonts w:ascii="Arial Narrow" w:hAnsi="Arial Narrow" w:cs="Arial"/>
                <w:sz w:val="20"/>
                <w:szCs w:val="20"/>
              </w:rPr>
            </w:pPr>
            <w:r>
              <w:rPr>
                <w:rFonts w:ascii="Arial Narrow" w:hAnsi="Arial Narrow" w:cs="Arial"/>
                <w:sz w:val="20"/>
                <w:szCs w:val="20"/>
              </w:rPr>
              <w:t>4</w:t>
            </w:r>
          </w:p>
        </w:tc>
        <w:tc>
          <w:tcPr>
            <w:tcW w:w="1984" w:type="dxa"/>
            <w:vAlign w:val="center"/>
          </w:tcPr>
          <w:p w14:paraId="423B424C" w14:textId="26CAC169" w:rsidR="0006144B" w:rsidRPr="001428E9" w:rsidRDefault="00D516E1" w:rsidP="00A46564">
            <w:pPr>
              <w:keepLines/>
              <w:jc w:val="center"/>
              <w:rPr>
                <w:rFonts w:ascii="Arial Narrow" w:hAnsi="Arial Narrow" w:cs="Arial"/>
                <w:sz w:val="20"/>
                <w:szCs w:val="20"/>
              </w:rPr>
            </w:pPr>
            <w:r>
              <w:rPr>
                <w:rFonts w:ascii="Arial Narrow" w:hAnsi="Arial Narrow" w:cs="Arial"/>
                <w:sz w:val="20"/>
                <w:szCs w:val="20"/>
              </w:rPr>
              <w:t>1 (acute severe)</w:t>
            </w:r>
          </w:p>
        </w:tc>
        <w:tc>
          <w:tcPr>
            <w:tcW w:w="941" w:type="dxa"/>
            <w:vAlign w:val="center"/>
          </w:tcPr>
          <w:p w14:paraId="766B3B6B" w14:textId="77777777" w:rsidR="0062790E" w:rsidRPr="001428E9" w:rsidRDefault="0062790E">
            <w:pPr>
              <w:keepLines/>
              <w:jc w:val="left"/>
              <w:rPr>
                <w:rFonts w:ascii="Arial Narrow" w:hAnsi="Arial Narrow" w:cs="Arial"/>
                <w:sz w:val="20"/>
                <w:szCs w:val="20"/>
              </w:rPr>
            </w:pPr>
            <w:r>
              <w:rPr>
                <w:rFonts w:ascii="Arial Narrow" w:hAnsi="Arial Narrow" w:cs="Arial"/>
                <w:sz w:val="20"/>
                <w:szCs w:val="20"/>
              </w:rPr>
              <w:t>Vyvgart</w:t>
            </w:r>
          </w:p>
        </w:tc>
      </w:tr>
      <w:tr w:rsidR="00A46564" w:rsidRPr="001428E9" w14:paraId="560108BF" w14:textId="77777777" w:rsidTr="00852D51">
        <w:trPr>
          <w:cantSplit/>
          <w:trHeight w:val="20"/>
        </w:trPr>
        <w:tc>
          <w:tcPr>
            <w:tcW w:w="3939" w:type="dxa"/>
            <w:gridSpan w:val="2"/>
            <w:vAlign w:val="center"/>
          </w:tcPr>
          <w:p w14:paraId="2920C149" w14:textId="39140AED" w:rsidR="00A46564" w:rsidRPr="000E3AEA" w:rsidDel="00BF4774" w:rsidRDefault="00A46564" w:rsidP="00A46564">
            <w:pPr>
              <w:keepLines/>
              <w:jc w:val="left"/>
              <w:rPr>
                <w:rFonts w:ascii="Arial Narrow" w:hAnsi="Arial Narrow"/>
                <w:i/>
                <w:sz w:val="20"/>
                <w:szCs w:val="20"/>
              </w:rPr>
            </w:pPr>
            <w:r w:rsidRPr="000E3AEA">
              <w:rPr>
                <w:rFonts w:ascii="Arial Narrow" w:hAnsi="Arial Narrow" w:cs="Arial"/>
                <w:i/>
                <w:sz w:val="20"/>
                <w:szCs w:val="20"/>
              </w:rPr>
              <w:t>efgartigimod alfa 1 g/5 mL injection, 5 mL syringe</w:t>
            </w:r>
          </w:p>
        </w:tc>
        <w:tc>
          <w:tcPr>
            <w:tcW w:w="734" w:type="dxa"/>
            <w:vAlign w:val="center"/>
          </w:tcPr>
          <w:p w14:paraId="68A3CC62" w14:textId="50F3EBB5" w:rsidR="00A46564" w:rsidRPr="001428E9" w:rsidRDefault="00A46564" w:rsidP="00A46564">
            <w:pPr>
              <w:keepLines/>
              <w:jc w:val="center"/>
              <w:rPr>
                <w:rFonts w:ascii="Arial Narrow" w:hAnsi="Arial Narrow" w:cs="Arial"/>
                <w:sz w:val="20"/>
                <w:szCs w:val="20"/>
              </w:rPr>
            </w:pPr>
            <w:r w:rsidRPr="001428E9">
              <w:rPr>
                <w:rFonts w:ascii="Arial Narrow" w:hAnsi="Arial Narrow" w:cs="Arial"/>
                <w:sz w:val="20"/>
                <w:szCs w:val="20"/>
              </w:rPr>
              <w:t>NEW</w:t>
            </w:r>
          </w:p>
        </w:tc>
        <w:tc>
          <w:tcPr>
            <w:tcW w:w="709" w:type="dxa"/>
            <w:vAlign w:val="center"/>
          </w:tcPr>
          <w:p w14:paraId="6EE4B4A6" w14:textId="38A64EC7" w:rsidR="00A46564" w:rsidRDefault="00A46564" w:rsidP="00A46564">
            <w:pPr>
              <w:keepLines/>
              <w:jc w:val="center"/>
              <w:rPr>
                <w:rFonts w:ascii="Arial Narrow" w:hAnsi="Arial Narrow" w:cs="Arial"/>
                <w:sz w:val="20"/>
                <w:szCs w:val="20"/>
              </w:rPr>
            </w:pPr>
            <w:r>
              <w:rPr>
                <w:rFonts w:ascii="Arial Narrow" w:hAnsi="Arial Narrow" w:cs="Arial"/>
                <w:sz w:val="20"/>
                <w:szCs w:val="20"/>
              </w:rPr>
              <w:t>4</w:t>
            </w:r>
          </w:p>
        </w:tc>
        <w:tc>
          <w:tcPr>
            <w:tcW w:w="709" w:type="dxa"/>
            <w:vAlign w:val="center"/>
          </w:tcPr>
          <w:p w14:paraId="56F33778" w14:textId="5F2901D5" w:rsidR="00A46564" w:rsidRDefault="00A46564" w:rsidP="00A46564">
            <w:pPr>
              <w:keepLines/>
              <w:jc w:val="center"/>
              <w:rPr>
                <w:rFonts w:ascii="Arial Narrow" w:hAnsi="Arial Narrow" w:cs="Arial"/>
                <w:sz w:val="20"/>
                <w:szCs w:val="20"/>
              </w:rPr>
            </w:pPr>
            <w:r>
              <w:rPr>
                <w:rFonts w:ascii="Arial Narrow" w:hAnsi="Arial Narrow" w:cs="Arial"/>
                <w:sz w:val="20"/>
                <w:szCs w:val="20"/>
              </w:rPr>
              <w:t>4</w:t>
            </w:r>
          </w:p>
        </w:tc>
        <w:tc>
          <w:tcPr>
            <w:tcW w:w="1984" w:type="dxa"/>
            <w:vAlign w:val="center"/>
          </w:tcPr>
          <w:p w14:paraId="4BA3D77A" w14:textId="1B17B2BB" w:rsidR="00A46564" w:rsidDel="00D516E1" w:rsidRDefault="004A5EB5" w:rsidP="00A46564">
            <w:pPr>
              <w:keepLines/>
              <w:jc w:val="center"/>
              <w:rPr>
                <w:rFonts w:ascii="Arial Narrow" w:hAnsi="Arial Narrow" w:cs="Arial"/>
                <w:sz w:val="20"/>
                <w:szCs w:val="20"/>
              </w:rPr>
            </w:pPr>
            <w:r>
              <w:rPr>
                <w:rFonts w:ascii="Arial Narrow" w:hAnsi="Arial Narrow" w:cs="Arial"/>
                <w:sz w:val="20"/>
                <w:szCs w:val="20"/>
              </w:rPr>
              <w:t>3</w:t>
            </w:r>
            <w:r w:rsidR="00A46564">
              <w:rPr>
                <w:rFonts w:ascii="Arial Narrow" w:hAnsi="Arial Narrow" w:cs="Arial"/>
                <w:sz w:val="20"/>
                <w:szCs w:val="20"/>
              </w:rPr>
              <w:t xml:space="preserve"> (bridging therapy)</w:t>
            </w:r>
          </w:p>
        </w:tc>
        <w:tc>
          <w:tcPr>
            <w:tcW w:w="941" w:type="dxa"/>
            <w:vAlign w:val="center"/>
          </w:tcPr>
          <w:p w14:paraId="678E37D6" w14:textId="3B675CFB" w:rsidR="00A46564" w:rsidRDefault="00A46564" w:rsidP="00A46564">
            <w:pPr>
              <w:keepLines/>
              <w:jc w:val="left"/>
              <w:rPr>
                <w:rFonts w:ascii="Arial Narrow" w:hAnsi="Arial Narrow" w:cs="Arial"/>
                <w:sz w:val="20"/>
                <w:szCs w:val="20"/>
              </w:rPr>
            </w:pPr>
            <w:r>
              <w:rPr>
                <w:rFonts w:ascii="Arial Narrow" w:hAnsi="Arial Narrow" w:cs="Arial"/>
                <w:sz w:val="20"/>
                <w:szCs w:val="20"/>
              </w:rPr>
              <w:t>Vyvgart</w:t>
            </w:r>
          </w:p>
        </w:tc>
      </w:tr>
      <w:tr w:rsidR="00A46564" w:rsidRPr="001428E9" w14:paraId="0F489609" w14:textId="77777777" w:rsidTr="00852D51">
        <w:trPr>
          <w:cantSplit/>
          <w:trHeight w:val="20"/>
        </w:trPr>
        <w:tc>
          <w:tcPr>
            <w:tcW w:w="3939" w:type="dxa"/>
            <w:gridSpan w:val="2"/>
            <w:vAlign w:val="center"/>
          </w:tcPr>
          <w:p w14:paraId="273D868C" w14:textId="52A10F53" w:rsidR="00A46564" w:rsidRPr="000E3AEA" w:rsidDel="00BF4774" w:rsidRDefault="00A46564" w:rsidP="00A46564">
            <w:pPr>
              <w:keepLines/>
              <w:jc w:val="left"/>
              <w:rPr>
                <w:rFonts w:ascii="Arial Narrow" w:hAnsi="Arial Narrow"/>
                <w:i/>
                <w:sz w:val="20"/>
                <w:szCs w:val="20"/>
              </w:rPr>
            </w:pPr>
            <w:r w:rsidRPr="000E3AEA">
              <w:rPr>
                <w:rFonts w:ascii="Arial Narrow" w:hAnsi="Arial Narrow" w:cs="Arial"/>
                <w:i/>
                <w:sz w:val="20"/>
                <w:szCs w:val="20"/>
              </w:rPr>
              <w:t>efgartigimod alfa 1 g/5 mL injection, 5 mL syringe</w:t>
            </w:r>
          </w:p>
        </w:tc>
        <w:tc>
          <w:tcPr>
            <w:tcW w:w="734" w:type="dxa"/>
            <w:vAlign w:val="center"/>
          </w:tcPr>
          <w:p w14:paraId="7E5F5EBB" w14:textId="07D5C04B" w:rsidR="00A46564" w:rsidRPr="001428E9" w:rsidRDefault="00A46564" w:rsidP="00A46564">
            <w:pPr>
              <w:keepLines/>
              <w:jc w:val="center"/>
              <w:rPr>
                <w:rFonts w:ascii="Arial Narrow" w:hAnsi="Arial Narrow" w:cs="Arial"/>
                <w:sz w:val="20"/>
                <w:szCs w:val="20"/>
              </w:rPr>
            </w:pPr>
            <w:r w:rsidRPr="001428E9">
              <w:rPr>
                <w:rFonts w:ascii="Arial Narrow" w:hAnsi="Arial Narrow" w:cs="Arial"/>
                <w:sz w:val="20"/>
                <w:szCs w:val="20"/>
              </w:rPr>
              <w:t>NEW</w:t>
            </w:r>
          </w:p>
        </w:tc>
        <w:tc>
          <w:tcPr>
            <w:tcW w:w="709" w:type="dxa"/>
            <w:vAlign w:val="center"/>
          </w:tcPr>
          <w:p w14:paraId="2BC21CC7" w14:textId="2E3EA842" w:rsidR="00A46564" w:rsidRDefault="00A46564" w:rsidP="00A46564">
            <w:pPr>
              <w:keepLines/>
              <w:jc w:val="center"/>
              <w:rPr>
                <w:rFonts w:ascii="Arial Narrow" w:hAnsi="Arial Narrow" w:cs="Arial"/>
                <w:sz w:val="20"/>
                <w:szCs w:val="20"/>
              </w:rPr>
            </w:pPr>
            <w:r>
              <w:rPr>
                <w:rFonts w:ascii="Arial Narrow" w:hAnsi="Arial Narrow" w:cs="Arial"/>
                <w:sz w:val="20"/>
                <w:szCs w:val="20"/>
              </w:rPr>
              <w:t>4</w:t>
            </w:r>
          </w:p>
        </w:tc>
        <w:tc>
          <w:tcPr>
            <w:tcW w:w="709" w:type="dxa"/>
            <w:vAlign w:val="center"/>
          </w:tcPr>
          <w:p w14:paraId="50D6C70C" w14:textId="34C9A97E" w:rsidR="00A46564" w:rsidRDefault="00A46564" w:rsidP="00A46564">
            <w:pPr>
              <w:keepLines/>
              <w:jc w:val="center"/>
              <w:rPr>
                <w:rFonts w:ascii="Arial Narrow" w:hAnsi="Arial Narrow" w:cs="Arial"/>
                <w:sz w:val="20"/>
                <w:szCs w:val="20"/>
              </w:rPr>
            </w:pPr>
            <w:r>
              <w:rPr>
                <w:rFonts w:ascii="Arial Narrow" w:hAnsi="Arial Narrow" w:cs="Arial"/>
                <w:sz w:val="20"/>
                <w:szCs w:val="20"/>
              </w:rPr>
              <w:t>4</w:t>
            </w:r>
          </w:p>
        </w:tc>
        <w:tc>
          <w:tcPr>
            <w:tcW w:w="1984" w:type="dxa"/>
            <w:vAlign w:val="center"/>
          </w:tcPr>
          <w:p w14:paraId="5A9EFF82" w14:textId="7636D67E" w:rsidR="00A46564" w:rsidDel="00D516E1" w:rsidRDefault="004A5EB5" w:rsidP="00A46564">
            <w:pPr>
              <w:keepLines/>
              <w:jc w:val="center"/>
              <w:rPr>
                <w:rFonts w:ascii="Arial Narrow" w:hAnsi="Arial Narrow" w:cs="Arial"/>
                <w:sz w:val="20"/>
                <w:szCs w:val="20"/>
              </w:rPr>
            </w:pPr>
            <w:r>
              <w:rPr>
                <w:rFonts w:ascii="Arial Narrow" w:hAnsi="Arial Narrow" w:cs="Arial"/>
                <w:sz w:val="20"/>
                <w:szCs w:val="20"/>
              </w:rPr>
              <w:t>3</w:t>
            </w:r>
            <w:r w:rsidR="00A46564">
              <w:rPr>
                <w:rFonts w:ascii="Arial Narrow" w:hAnsi="Arial Narrow" w:cs="Arial"/>
                <w:sz w:val="20"/>
                <w:szCs w:val="20"/>
              </w:rPr>
              <w:t xml:space="preserve"> (treatment refractory)</w:t>
            </w:r>
          </w:p>
        </w:tc>
        <w:tc>
          <w:tcPr>
            <w:tcW w:w="941" w:type="dxa"/>
            <w:vAlign w:val="center"/>
          </w:tcPr>
          <w:p w14:paraId="20BD0A80" w14:textId="793DF409" w:rsidR="00A46564" w:rsidRDefault="00A46564" w:rsidP="00A46564">
            <w:pPr>
              <w:keepLines/>
              <w:jc w:val="left"/>
              <w:rPr>
                <w:rFonts w:ascii="Arial Narrow" w:hAnsi="Arial Narrow" w:cs="Arial"/>
                <w:sz w:val="20"/>
                <w:szCs w:val="20"/>
              </w:rPr>
            </w:pPr>
            <w:r>
              <w:rPr>
                <w:rFonts w:ascii="Arial Narrow" w:hAnsi="Arial Narrow" w:cs="Arial"/>
                <w:sz w:val="20"/>
                <w:szCs w:val="20"/>
              </w:rPr>
              <w:t>Vyvgart</w:t>
            </w:r>
          </w:p>
        </w:tc>
      </w:tr>
      <w:tr w:rsidR="00A46564" w:rsidRPr="001428E9" w14:paraId="302FA377" w14:textId="77777777">
        <w:tblPrEx>
          <w:tblCellMar>
            <w:top w:w="15" w:type="dxa"/>
            <w:bottom w:w="15" w:type="dxa"/>
          </w:tblCellMar>
          <w:tblLook w:val="04A0" w:firstRow="1" w:lastRow="0" w:firstColumn="1" w:lastColumn="0" w:noHBand="0" w:noVBand="1"/>
        </w:tblPrEx>
        <w:trPr>
          <w:trHeight w:val="20"/>
        </w:trPr>
        <w:tc>
          <w:tcPr>
            <w:tcW w:w="9016" w:type="dxa"/>
            <w:gridSpan w:val="7"/>
            <w:tcBorders>
              <w:top w:val="single" w:sz="4" w:space="0" w:color="auto"/>
              <w:left w:val="single" w:sz="4" w:space="0" w:color="auto"/>
              <w:right w:val="single" w:sz="4" w:space="0" w:color="auto"/>
            </w:tcBorders>
            <w:vAlign w:val="center"/>
          </w:tcPr>
          <w:p w14:paraId="6A53E972" w14:textId="77777777" w:rsidR="00A46564" w:rsidRPr="001428E9" w:rsidRDefault="00A46564" w:rsidP="00A46564">
            <w:pPr>
              <w:jc w:val="left"/>
              <w:rPr>
                <w:rFonts w:ascii="Arial Narrow" w:hAnsi="Arial Narrow" w:cs="Arial"/>
                <w:sz w:val="20"/>
                <w:szCs w:val="20"/>
              </w:rPr>
            </w:pPr>
          </w:p>
        </w:tc>
      </w:tr>
      <w:tr w:rsidR="00A46564" w:rsidRPr="001428E9" w14:paraId="188CFF31" w14:textId="77777777">
        <w:tblPrEx>
          <w:tblCellMar>
            <w:top w:w="15" w:type="dxa"/>
            <w:bottom w:w="15" w:type="dxa"/>
          </w:tblCellMar>
          <w:tblLook w:val="04A0" w:firstRow="1" w:lastRow="0" w:firstColumn="1" w:lastColumn="0" w:noHBand="0" w:noVBand="1"/>
        </w:tblPrEx>
        <w:trPr>
          <w:trHeight w:val="20"/>
        </w:trPr>
        <w:tc>
          <w:tcPr>
            <w:tcW w:w="1271" w:type="dxa"/>
            <w:vMerge w:val="restart"/>
            <w:tcBorders>
              <w:top w:val="single" w:sz="4" w:space="0" w:color="auto"/>
              <w:left w:val="single" w:sz="4" w:space="0" w:color="auto"/>
              <w:right w:val="single" w:sz="4" w:space="0" w:color="auto"/>
            </w:tcBorders>
            <w:vAlign w:val="center"/>
          </w:tcPr>
          <w:p w14:paraId="4E048208" w14:textId="77777777" w:rsidR="00A46564" w:rsidRPr="001428E9" w:rsidRDefault="00A46564" w:rsidP="00A46564">
            <w:pPr>
              <w:jc w:val="left"/>
              <w:rPr>
                <w:rFonts w:ascii="Arial Narrow" w:hAnsi="Arial Narrow" w:cs="Arial"/>
                <w:b/>
                <w:sz w:val="20"/>
                <w:szCs w:val="20"/>
              </w:rPr>
            </w:pPr>
            <w:r w:rsidRPr="001428E9">
              <w:rPr>
                <w:rFonts w:ascii="Arial Narrow" w:hAnsi="Arial Narrow" w:cs="Arial"/>
                <w:b/>
                <w:sz w:val="20"/>
                <w:szCs w:val="20"/>
              </w:rPr>
              <w:t>Concept ID</w:t>
            </w: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1DFD46AC" w14:textId="54FD41D9" w:rsidR="00A46564" w:rsidRPr="001428E9" w:rsidRDefault="00A46564" w:rsidP="00A46564">
            <w:pPr>
              <w:keepLines/>
              <w:jc w:val="left"/>
              <w:rPr>
                <w:rFonts w:ascii="Arial Narrow" w:hAnsi="Arial Narrow" w:cs="Arial"/>
                <w:sz w:val="20"/>
                <w:szCs w:val="20"/>
              </w:rPr>
            </w:pPr>
            <w:r w:rsidRPr="001428E9">
              <w:rPr>
                <w:rFonts w:ascii="Arial Narrow" w:hAnsi="Arial Narrow" w:cs="Arial"/>
                <w:b/>
                <w:sz w:val="20"/>
                <w:szCs w:val="20"/>
              </w:rPr>
              <w:t>Category / Program:</w:t>
            </w:r>
            <w:r w:rsidRPr="001428E9">
              <w:rPr>
                <w:rFonts w:ascii="Arial Narrow" w:hAnsi="Arial Narrow" w:cs="Arial"/>
                <w:color w:val="FF0000"/>
                <w:sz w:val="20"/>
                <w:szCs w:val="20"/>
              </w:rPr>
              <w:t xml:space="preserve"> </w:t>
            </w:r>
            <w:r>
              <w:rPr>
                <w:rFonts w:ascii="Arial Narrow" w:eastAsia="Calibri" w:hAnsi="Arial Narrow" w:cs="Arial"/>
                <w:sz w:val="20"/>
                <w:szCs w:val="20"/>
              </w:rPr>
              <w:fldChar w:fldCharType="begin">
                <w:ffData>
                  <w:name w:val="Check1"/>
                  <w:enabled/>
                  <w:calcOnExit w:val="0"/>
                  <w:checkBox>
                    <w:sizeAuto/>
                    <w:default w:val="1"/>
                  </w:checkBox>
                </w:ffData>
              </w:fldChar>
            </w:r>
            <w:bookmarkStart w:id="0" w:name="Check1"/>
            <w:r>
              <w:rPr>
                <w:rFonts w:ascii="Arial Narrow" w:eastAsia="Calibri" w:hAnsi="Arial Narrow" w:cs="Arial"/>
                <w:sz w:val="20"/>
                <w:szCs w:val="20"/>
              </w:rPr>
              <w:instrText xml:space="preserve"> FORMCHECKBOX </w:instrText>
            </w:r>
            <w:r>
              <w:rPr>
                <w:rFonts w:ascii="Arial Narrow" w:eastAsia="Calibri" w:hAnsi="Arial Narrow" w:cs="Arial"/>
                <w:sz w:val="20"/>
                <w:szCs w:val="20"/>
              </w:rPr>
            </w:r>
            <w:r>
              <w:rPr>
                <w:rFonts w:ascii="Arial Narrow" w:eastAsia="Calibri" w:hAnsi="Arial Narrow" w:cs="Arial"/>
                <w:sz w:val="20"/>
                <w:szCs w:val="20"/>
              </w:rPr>
              <w:fldChar w:fldCharType="separate"/>
            </w:r>
            <w:r>
              <w:rPr>
                <w:rFonts w:ascii="Arial Narrow" w:eastAsia="Calibri" w:hAnsi="Arial Narrow" w:cs="Arial"/>
                <w:sz w:val="20"/>
                <w:szCs w:val="20"/>
              </w:rPr>
              <w:fldChar w:fldCharType="end"/>
            </w:r>
            <w:bookmarkEnd w:id="0"/>
            <w:r>
              <w:rPr>
                <w:rFonts w:ascii="Arial Narrow" w:eastAsia="Calibri" w:hAnsi="Arial Narrow" w:cs="Arial"/>
                <w:sz w:val="20"/>
                <w:szCs w:val="20"/>
              </w:rPr>
              <w:t xml:space="preserve"> </w:t>
            </w:r>
            <w:r w:rsidRPr="0017024D">
              <w:rPr>
                <w:rFonts w:ascii="Arial Narrow" w:eastAsia="Calibri" w:hAnsi="Arial Narrow" w:cs="Arial"/>
                <w:strike/>
                <w:sz w:val="20"/>
                <w:szCs w:val="20"/>
              </w:rPr>
              <w:t xml:space="preserve">GENERAL </w:t>
            </w:r>
            <w:r w:rsidR="00AF0956">
              <w:rPr>
                <w:rFonts w:ascii="Arial Narrow" w:eastAsia="Calibri" w:hAnsi="Arial Narrow" w:cs="Arial"/>
                <w:strike/>
                <w:sz w:val="20"/>
                <w:szCs w:val="20"/>
              </w:rPr>
              <w:noBreakHyphen/>
            </w:r>
            <w:r w:rsidRPr="0017024D">
              <w:rPr>
                <w:rFonts w:ascii="Arial Narrow" w:eastAsia="Calibri" w:hAnsi="Arial Narrow" w:cs="Arial"/>
                <w:strike/>
                <w:sz w:val="20"/>
                <w:szCs w:val="20"/>
              </w:rPr>
              <w:t xml:space="preserve"> </w:t>
            </w:r>
            <w:proofErr w:type="spellStart"/>
            <w:r w:rsidRPr="0017024D">
              <w:rPr>
                <w:rFonts w:ascii="Arial Narrow" w:eastAsia="Calibri" w:hAnsi="Arial Narrow" w:cs="Arial"/>
                <w:strike/>
                <w:sz w:val="20"/>
                <w:szCs w:val="20"/>
              </w:rPr>
              <w:t>General</w:t>
            </w:r>
            <w:proofErr w:type="spellEnd"/>
            <w:r w:rsidRPr="0017024D">
              <w:rPr>
                <w:rFonts w:ascii="Arial Narrow" w:eastAsia="Calibri" w:hAnsi="Arial Narrow" w:cs="Arial"/>
                <w:strike/>
                <w:sz w:val="20"/>
                <w:szCs w:val="20"/>
              </w:rPr>
              <w:t xml:space="preserve"> Schedule (Code GE)</w:t>
            </w:r>
            <w:r>
              <w:rPr>
                <w:rFonts w:ascii="Arial Narrow" w:eastAsia="Calibri" w:hAnsi="Arial Narrow" w:cs="Arial"/>
                <w:sz w:val="20"/>
                <w:szCs w:val="20"/>
              </w:rPr>
              <w:t xml:space="preserve"> </w:t>
            </w:r>
            <w:r w:rsidR="00CC7802" w:rsidRPr="000E3AEA">
              <w:rPr>
                <w:rFonts w:ascii="Arial Narrow" w:eastAsia="Calibri" w:hAnsi="Arial Narrow" w:cs="Arial"/>
                <w:i/>
                <w:sz w:val="20"/>
                <w:szCs w:val="20"/>
              </w:rPr>
              <w:t>Section 100 – Highly Specialised Drugs Program – Public (Code HB) / Private (Code HS)</w:t>
            </w:r>
          </w:p>
        </w:tc>
      </w:tr>
      <w:tr w:rsidR="00A46564" w:rsidRPr="001428E9" w14:paraId="1C511257" w14:textId="77777777">
        <w:tblPrEx>
          <w:tblCellMar>
            <w:top w:w="15" w:type="dxa"/>
            <w:bottom w:w="15" w:type="dxa"/>
          </w:tblCellMar>
          <w:tblLook w:val="04A0" w:firstRow="1" w:lastRow="0" w:firstColumn="1" w:lastColumn="0" w:noHBand="0" w:noVBand="1"/>
        </w:tblPrEx>
        <w:trPr>
          <w:trHeight w:val="20"/>
        </w:trPr>
        <w:tc>
          <w:tcPr>
            <w:tcW w:w="1271" w:type="dxa"/>
            <w:vMerge/>
            <w:tcBorders>
              <w:left w:val="single" w:sz="4" w:space="0" w:color="auto"/>
              <w:right w:val="single" w:sz="4" w:space="0" w:color="auto"/>
            </w:tcBorders>
            <w:vAlign w:val="center"/>
          </w:tcPr>
          <w:p w14:paraId="7426B1F2" w14:textId="77777777" w:rsidR="00A46564" w:rsidRPr="001428E9" w:rsidRDefault="00A46564" w:rsidP="00A46564">
            <w:pPr>
              <w:jc w:val="left"/>
              <w:rPr>
                <w:rFonts w:ascii="Arial Narrow" w:hAnsi="Arial Narrow" w:cs="Arial"/>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0B858522" w14:textId="53A9E565" w:rsidR="00A46564" w:rsidRPr="001428E9" w:rsidRDefault="00A46564" w:rsidP="00A46564">
            <w:pPr>
              <w:keepLines/>
              <w:jc w:val="left"/>
              <w:rPr>
                <w:rFonts w:ascii="Arial Narrow" w:hAnsi="Arial Narrow" w:cs="Arial"/>
                <w:b/>
                <w:sz w:val="20"/>
                <w:szCs w:val="20"/>
              </w:rPr>
            </w:pPr>
            <w:r w:rsidRPr="001428E9">
              <w:rPr>
                <w:rFonts w:ascii="Arial Narrow" w:hAnsi="Arial Narrow" w:cs="Arial"/>
                <w:b/>
                <w:sz w:val="20"/>
                <w:szCs w:val="20"/>
              </w:rPr>
              <w:t>Prescriber type:</w:t>
            </w:r>
            <w:r w:rsidR="00D67312">
              <w:rPr>
                <w:rFonts w:ascii="Arial Narrow" w:hAnsi="Arial Narrow" w:cs="Arial"/>
                <w:b/>
                <w:sz w:val="20"/>
                <w:szCs w:val="20"/>
              </w:rPr>
              <w:t xml:space="preserve"> </w:t>
            </w: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sz w:val="20"/>
                <w:szCs w:val="20"/>
              </w:rPr>
              <w:fldChar w:fldCharType="end"/>
            </w:r>
            <w:r>
              <w:rPr>
                <w:rFonts w:ascii="Arial Narrow" w:hAnsi="Arial Narrow" w:cs="Arial"/>
                <w:sz w:val="20"/>
                <w:szCs w:val="20"/>
              </w:rPr>
              <w:t xml:space="preserve"> </w:t>
            </w:r>
            <w:r w:rsidRPr="001428E9">
              <w:rPr>
                <w:rFonts w:ascii="Arial Narrow" w:hAnsi="Arial Narrow" w:cs="Arial"/>
                <w:sz w:val="20"/>
                <w:szCs w:val="20"/>
              </w:rPr>
              <w:t>Medical Practitioners</w:t>
            </w:r>
            <w:r w:rsidRPr="001428E9">
              <w:rPr>
                <w:rFonts w:ascii="Arial Narrow" w:hAnsi="Arial Narrow" w:cs="Arial"/>
                <w:color w:val="FF0000"/>
                <w:sz w:val="20"/>
                <w:szCs w:val="20"/>
              </w:rPr>
              <w:t xml:space="preserve"> </w:t>
            </w:r>
          </w:p>
        </w:tc>
      </w:tr>
      <w:tr w:rsidR="00A46564" w:rsidRPr="00D56F94" w14:paraId="27488F6E" w14:textId="77777777">
        <w:tblPrEx>
          <w:tblCellMar>
            <w:top w:w="15" w:type="dxa"/>
            <w:bottom w:w="15" w:type="dxa"/>
          </w:tblCellMar>
          <w:tblLook w:val="04A0" w:firstRow="1" w:lastRow="0" w:firstColumn="1" w:lastColumn="0" w:noHBand="0" w:noVBand="1"/>
        </w:tblPrEx>
        <w:trPr>
          <w:trHeight w:val="20"/>
        </w:trPr>
        <w:tc>
          <w:tcPr>
            <w:tcW w:w="1271" w:type="dxa"/>
            <w:vMerge/>
            <w:tcBorders>
              <w:left w:val="single" w:sz="4" w:space="0" w:color="auto"/>
              <w:right w:val="single" w:sz="4" w:space="0" w:color="auto"/>
            </w:tcBorders>
            <w:vAlign w:val="center"/>
          </w:tcPr>
          <w:p w14:paraId="6D3954CA" w14:textId="77777777" w:rsidR="00A46564" w:rsidRPr="001428E9" w:rsidRDefault="00A46564" w:rsidP="00A46564">
            <w:pPr>
              <w:jc w:val="left"/>
              <w:rPr>
                <w:rFonts w:ascii="Arial Narrow" w:hAnsi="Arial Narrow" w:cs="Arial"/>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4B76CAA2" w14:textId="16A50E75" w:rsidR="00A46564" w:rsidRPr="00D56F94" w:rsidRDefault="00A46564" w:rsidP="00A46564">
            <w:pPr>
              <w:keepLines/>
              <w:jc w:val="left"/>
              <w:rPr>
                <w:rFonts w:ascii="Arial Narrow" w:eastAsia="Calibri" w:hAnsi="Arial Narrow" w:cs="Arial"/>
                <w:color w:val="FF0000"/>
                <w:sz w:val="20"/>
                <w:szCs w:val="20"/>
              </w:rPr>
            </w:pPr>
            <w:r w:rsidRPr="001428E9">
              <w:rPr>
                <w:rFonts w:ascii="Arial Narrow" w:hAnsi="Arial Narrow" w:cs="Arial"/>
                <w:b/>
                <w:sz w:val="20"/>
                <w:szCs w:val="20"/>
              </w:rPr>
              <w:t>Restriction type:</w:t>
            </w:r>
            <w:r>
              <w:rPr>
                <w:rFonts w:ascii="Arial Narrow" w:hAnsi="Arial Narrow" w:cs="Arial"/>
                <w:b/>
                <w:sz w:val="20"/>
                <w:szCs w:val="20"/>
              </w:rPr>
              <w:t xml:space="preserve"> </w:t>
            </w:r>
            <w:r>
              <w:rPr>
                <w:rFonts w:ascii="Arial Narrow" w:eastAsia="Calibri" w:hAnsi="Arial Narrow" w:cs="Arial"/>
                <w:sz w:val="20"/>
                <w:szCs w:val="20"/>
              </w:rPr>
              <w:fldChar w:fldCharType="begin">
                <w:ffData>
                  <w:name w:val="Check3"/>
                  <w:enabled/>
                  <w:calcOnExit w:val="0"/>
                  <w:checkBox>
                    <w:sizeAuto/>
                    <w:default w:val="1"/>
                  </w:checkBox>
                </w:ffData>
              </w:fldChar>
            </w:r>
            <w:bookmarkStart w:id="1" w:name="Check3"/>
            <w:r>
              <w:rPr>
                <w:rFonts w:ascii="Arial Narrow" w:eastAsia="Calibri" w:hAnsi="Arial Narrow" w:cs="Arial"/>
                <w:sz w:val="20"/>
                <w:szCs w:val="20"/>
              </w:rPr>
              <w:instrText xml:space="preserve"> FORMCHECKBOX </w:instrText>
            </w:r>
            <w:r>
              <w:rPr>
                <w:rFonts w:ascii="Arial Narrow" w:eastAsia="Calibri" w:hAnsi="Arial Narrow" w:cs="Arial"/>
                <w:sz w:val="20"/>
                <w:szCs w:val="20"/>
              </w:rPr>
            </w:r>
            <w:r>
              <w:rPr>
                <w:rFonts w:ascii="Arial Narrow" w:eastAsia="Calibri" w:hAnsi="Arial Narrow" w:cs="Arial"/>
                <w:sz w:val="20"/>
                <w:szCs w:val="20"/>
              </w:rPr>
              <w:fldChar w:fldCharType="separate"/>
            </w:r>
            <w:r>
              <w:rPr>
                <w:rFonts w:ascii="Arial Narrow" w:eastAsia="Calibri" w:hAnsi="Arial Narrow" w:cs="Arial"/>
                <w:sz w:val="20"/>
                <w:szCs w:val="20"/>
              </w:rPr>
              <w:fldChar w:fldCharType="end"/>
            </w:r>
            <w:bookmarkEnd w:id="1"/>
            <w:r>
              <w:rPr>
                <w:rFonts w:ascii="Arial Narrow" w:eastAsia="Calibri" w:hAnsi="Arial Narrow" w:cs="Arial"/>
                <w:sz w:val="20"/>
                <w:szCs w:val="20"/>
              </w:rPr>
              <w:t xml:space="preserve"> </w:t>
            </w:r>
            <w:r w:rsidRPr="001428E9">
              <w:rPr>
                <w:rFonts w:ascii="Arial Narrow" w:eastAsia="Calibri" w:hAnsi="Arial Narrow" w:cs="Arial"/>
                <w:sz w:val="20"/>
                <w:szCs w:val="20"/>
              </w:rPr>
              <w:t>Authority Required (</w:t>
            </w:r>
            <w:r w:rsidRPr="0017024D">
              <w:rPr>
                <w:rFonts w:ascii="Arial Narrow" w:eastAsia="Calibri" w:hAnsi="Arial Narrow" w:cs="Arial"/>
                <w:strike/>
                <w:sz w:val="20"/>
                <w:szCs w:val="20"/>
              </w:rPr>
              <w:t>telephone</w:t>
            </w:r>
            <w:r w:rsidR="0090074C" w:rsidRPr="00C079BC">
              <w:rPr>
                <w:rFonts w:ascii="Arial Narrow" w:eastAsia="Calibri" w:hAnsi="Arial Narrow" w:cs="Arial"/>
                <w:iCs/>
                <w:color w:val="FF0000"/>
                <w:sz w:val="20"/>
                <w:szCs w:val="20"/>
              </w:rPr>
              <w:t xml:space="preserve"> </w:t>
            </w:r>
            <w:r w:rsidR="0090074C" w:rsidRPr="000E3AEA">
              <w:rPr>
                <w:rFonts w:ascii="Arial Narrow" w:eastAsia="Calibri" w:hAnsi="Arial Narrow" w:cs="Arial"/>
                <w:i/>
                <w:sz w:val="20"/>
                <w:szCs w:val="20"/>
              </w:rPr>
              <w:t>Written</w:t>
            </w:r>
            <w:r w:rsidRPr="001428E9">
              <w:rPr>
                <w:rFonts w:ascii="Arial Narrow" w:eastAsia="Calibri" w:hAnsi="Arial Narrow" w:cs="Arial"/>
                <w:sz w:val="20"/>
                <w:szCs w:val="20"/>
              </w:rPr>
              <w:t>/online PBS Authorities system)</w:t>
            </w:r>
          </w:p>
        </w:tc>
      </w:tr>
    </w:tbl>
    <w:p w14:paraId="5F944656" w14:textId="01A54A99" w:rsidR="00D016A4" w:rsidRPr="009F2BD9" w:rsidRDefault="6F4C380F" w:rsidP="00FA6ED7">
      <w:pPr>
        <w:pStyle w:val="3-BodyText"/>
      </w:pPr>
      <w:r>
        <w:t xml:space="preserve">The </w:t>
      </w:r>
      <w:r w:rsidR="03EB8233">
        <w:t xml:space="preserve">sponsor requested a general schedule (s85) listing for </w:t>
      </w:r>
      <w:r w:rsidR="1BA5D41F">
        <w:t>EFG</w:t>
      </w:r>
      <w:r w:rsidR="40FE3CA2">
        <w:t xml:space="preserve"> PFS, claiming that</w:t>
      </w:r>
      <w:r w:rsidR="2D8C3EB5">
        <w:t xml:space="preserve"> subcutaneous delivery is appropriate for community administration, and </w:t>
      </w:r>
      <w:r w:rsidR="24C15468">
        <w:t xml:space="preserve">a s85 listing </w:t>
      </w:r>
      <w:r w:rsidR="2D8C3EB5">
        <w:t>would allow dispensing f</w:t>
      </w:r>
      <w:r w:rsidR="24C15468">
        <w:t>rom community pharmacies, supporting equitable access for patients in rural and regional areas.</w:t>
      </w:r>
    </w:p>
    <w:p w14:paraId="387B87C2" w14:textId="070D3320" w:rsidR="00F17B11" w:rsidRPr="00DB14C9" w:rsidRDefault="00F17B11" w:rsidP="00442C63">
      <w:pPr>
        <w:pStyle w:val="3-BodyText"/>
      </w:pPr>
      <w:r>
        <w:lastRenderedPageBreak/>
        <w:t>The submission did not propose an effective price</w:t>
      </w:r>
      <w:r w:rsidR="00D720E9">
        <w:t xml:space="preserve"> as </w:t>
      </w:r>
      <w:r w:rsidR="009D2F01">
        <w:t>pricing for EFG SC on the PBS has not been agreed. It requested a</w:t>
      </w:r>
      <w:r w:rsidR="00A06BAD">
        <w:t xml:space="preserve"> Special Pricing Arrangement with a</w:t>
      </w:r>
      <w:r w:rsidR="009D2F01">
        <w:t xml:space="preserve"> published </w:t>
      </w:r>
      <w:r w:rsidR="00061721">
        <w:t>AEMP</w:t>
      </w:r>
      <w:r w:rsidR="009D2F01">
        <w:t xml:space="preserve"> of </w:t>
      </w:r>
      <w:r w:rsidR="00061721">
        <w:t>$</w:t>
      </w:r>
      <w:r w:rsidR="002408E2" w:rsidRPr="002408E2">
        <w:rPr>
          <w:sz w:val="2"/>
          <w:highlight w:val="black"/>
        </w:rPr>
        <w:t>redacted content</w:t>
      </w:r>
      <w:r w:rsidR="002408E2" w:rsidRPr="002408E2">
        <w:t xml:space="preserve"> </w:t>
      </w:r>
      <w:r w:rsidR="00141B69">
        <w:t>for the EFG PFS (</w:t>
      </w:r>
      <w:r w:rsidR="0069261D">
        <w:t>this was also requested to apply to EFG</w:t>
      </w:r>
      <w:r w:rsidR="00141B69">
        <w:t xml:space="preserve"> SC, </w:t>
      </w:r>
      <w:r w:rsidR="00F83C39">
        <w:t xml:space="preserve">and was </w:t>
      </w:r>
      <w:r w:rsidR="006D162F">
        <w:t xml:space="preserve">reduced from the </w:t>
      </w:r>
      <w:r w:rsidR="00141B69">
        <w:t>November</w:t>
      </w:r>
      <w:r w:rsidR="0069261D">
        <w:t> </w:t>
      </w:r>
      <w:r w:rsidR="00141B69">
        <w:t>2025 reques</w:t>
      </w:r>
      <w:r w:rsidR="007D6E42">
        <w:t xml:space="preserve">ted published price </w:t>
      </w:r>
      <w:r w:rsidR="007D6E42" w:rsidRPr="00DB14C9">
        <w:t>of $</w:t>
      </w:r>
      <w:r w:rsidR="002408E2" w:rsidRPr="002408E2">
        <w:rPr>
          <w:sz w:val="2"/>
          <w:highlight w:val="black"/>
        </w:rPr>
        <w:t>redacted content</w:t>
      </w:r>
      <w:r w:rsidR="007D6E42" w:rsidRPr="00DB14C9">
        <w:t>).</w:t>
      </w:r>
    </w:p>
    <w:p w14:paraId="29A96004" w14:textId="77777777" w:rsidR="00C27C1C" w:rsidRPr="00A6439B" w:rsidRDefault="00C27C1C" w:rsidP="00303CFE">
      <w:pPr>
        <w:pStyle w:val="2-SectionHeading"/>
        <w:rPr>
          <w:color w:val="FF0000"/>
        </w:rPr>
      </w:pPr>
      <w:r w:rsidRPr="002E3FD4">
        <w:t>Comparator</w:t>
      </w:r>
      <w:r w:rsidRPr="00A6439B">
        <w:t xml:space="preserve"> </w:t>
      </w:r>
    </w:p>
    <w:p w14:paraId="5A35AD53" w14:textId="69034BCF" w:rsidR="00C27C1C" w:rsidRPr="00B41B7D" w:rsidRDefault="00C27C1C" w:rsidP="00B41B7D">
      <w:pPr>
        <w:pStyle w:val="3-BodyText"/>
        <w:rPr>
          <w:rFonts w:eastAsiaTheme="minorEastAsia"/>
        </w:rPr>
      </w:pPr>
      <w:r w:rsidRPr="00A6439B">
        <w:t xml:space="preserve">The submission </w:t>
      </w:r>
      <w:r w:rsidRPr="009A28CC">
        <w:t>propose</w:t>
      </w:r>
      <w:r w:rsidR="00ED6A02">
        <w:t>d</w:t>
      </w:r>
      <w:r w:rsidRPr="009A28CC">
        <w:t xml:space="preserve"> a </w:t>
      </w:r>
      <w:r w:rsidR="00ED1CF6" w:rsidRPr="009A28CC">
        <w:t>PFS</w:t>
      </w:r>
      <w:r w:rsidRPr="009A28CC">
        <w:t xml:space="preserve"> </w:t>
      </w:r>
      <w:r w:rsidR="00ED1CF6" w:rsidRPr="009A28CC">
        <w:t xml:space="preserve">formulation </w:t>
      </w:r>
      <w:r w:rsidRPr="009A28CC">
        <w:t xml:space="preserve">of </w:t>
      </w:r>
      <w:r w:rsidR="00725926">
        <w:t>EFG</w:t>
      </w:r>
      <w:r w:rsidRPr="009A28CC">
        <w:t>, and compare</w:t>
      </w:r>
      <w:r w:rsidR="00ED6A02">
        <w:t>d</w:t>
      </w:r>
      <w:r w:rsidRPr="009A28CC">
        <w:t xml:space="preserve"> </w:t>
      </w:r>
      <w:r w:rsidRPr="00ED1CF6">
        <w:t xml:space="preserve">this to the </w:t>
      </w:r>
      <w:r w:rsidR="00ED1CF6" w:rsidRPr="00ED1CF6">
        <w:t xml:space="preserve">previously recommended SC and IV formulations </w:t>
      </w:r>
      <w:r w:rsidRPr="00ED1CF6">
        <w:t>of the same</w:t>
      </w:r>
      <w:r w:rsidRPr="00A6439B">
        <w:t xml:space="preserve"> drug.</w:t>
      </w:r>
      <w:r w:rsidR="00D43638">
        <w:t xml:space="preserve"> The submission did not consider other near</w:t>
      </w:r>
      <w:r w:rsidR="00AF0956">
        <w:noBreakHyphen/>
      </w:r>
      <w:r w:rsidR="00D43638">
        <w:t>market comparators.</w:t>
      </w:r>
    </w:p>
    <w:p w14:paraId="62835B8C" w14:textId="05E287E6" w:rsidR="00E732C4" w:rsidRPr="003975DE" w:rsidRDefault="5ECDE145" w:rsidP="32494C9F">
      <w:pPr>
        <w:pStyle w:val="3-BodyText"/>
        <w:rPr>
          <w:lang w:eastAsia="en-US"/>
        </w:rPr>
      </w:pPr>
      <w:bookmarkStart w:id="2" w:name="_Hlk194997518"/>
      <w:r w:rsidRPr="00A6439B">
        <w:t xml:space="preserve">The PBAC could only recommend </w:t>
      </w:r>
      <w:r w:rsidRPr="009A28CC">
        <w:t xml:space="preserve">listing </w:t>
      </w:r>
      <w:r w:rsidR="6ECFE2FB" w:rsidRPr="009A28CC">
        <w:t>efgartigimod alfa PFS</w:t>
      </w:r>
      <w:r w:rsidR="4E14B4B5" w:rsidRPr="009A28CC">
        <w:t xml:space="preserve"> </w:t>
      </w:r>
      <w:r w:rsidRPr="009A28CC">
        <w:t xml:space="preserve">at </w:t>
      </w:r>
      <w:r w:rsidRPr="00A6439B">
        <w:t>a higher price than the alternative therapy or therapies if it is satisfied that it provides, for some patients, a significant improvement in efficacy or reduction of toxicity over the alternative therapy or therapies</w:t>
      </w:r>
      <w:r w:rsidRPr="00C079BC">
        <w:rPr>
          <w:iCs/>
          <w:color w:val="FF0000"/>
        </w:rPr>
        <w:t xml:space="preserve"> </w:t>
      </w:r>
      <w:r w:rsidRPr="000E3AEA">
        <w:rPr>
          <w:i/>
        </w:rPr>
        <w:t>(National Health Act 1953, Section 101(3B)).</w:t>
      </w:r>
      <w:r w:rsidRPr="00C079BC">
        <w:rPr>
          <w:iCs/>
          <w:color w:val="FF0000"/>
        </w:rPr>
        <w:t xml:space="preserve"> </w:t>
      </w:r>
      <w:r w:rsidRPr="00A6439B">
        <w:t>The alternative therapies in this case</w:t>
      </w:r>
      <w:r w:rsidRPr="009A28CC">
        <w:t xml:space="preserve"> </w:t>
      </w:r>
      <w:r w:rsidR="00710DFB">
        <w:t>could</w:t>
      </w:r>
      <w:r w:rsidRPr="009A28CC">
        <w:t xml:space="preserve"> include the </w:t>
      </w:r>
      <w:r w:rsidR="407C29CE">
        <w:t>EFG</w:t>
      </w:r>
      <w:r w:rsidR="3A32D63E" w:rsidRPr="009A28CC">
        <w:t xml:space="preserve"> IV and SC, </w:t>
      </w:r>
      <w:r w:rsidR="0D2E6088" w:rsidRPr="009A28CC">
        <w:rPr>
          <w:snapToGrid w:val="0"/>
          <w:lang w:eastAsia="en-US"/>
        </w:rPr>
        <w:t>ravulizumab</w:t>
      </w:r>
      <w:r w:rsidR="749DA41E" w:rsidRPr="009A28CC">
        <w:t xml:space="preserve">, </w:t>
      </w:r>
      <w:r w:rsidR="4E9B2185" w:rsidRPr="32494C9F">
        <w:rPr>
          <w:snapToGrid w:val="0"/>
          <w:lang w:eastAsia="en-US"/>
        </w:rPr>
        <w:t xml:space="preserve">rozanolixizumab </w:t>
      </w:r>
      <w:r w:rsidR="749DA41E" w:rsidRPr="009A28CC">
        <w:t xml:space="preserve">and </w:t>
      </w:r>
      <w:r w:rsidR="60BE40C9" w:rsidRPr="32494C9F">
        <w:rPr>
          <w:snapToGrid w:val="0"/>
          <w:lang w:eastAsia="en-US"/>
        </w:rPr>
        <w:t>zilucoplan</w:t>
      </w:r>
      <w:r w:rsidR="00BB39E0">
        <w:rPr>
          <w:snapToGrid w:val="0"/>
          <w:lang w:eastAsia="en-US"/>
        </w:rPr>
        <w:t>, or IVIg</w:t>
      </w:r>
      <w:r w:rsidRPr="009A28CC">
        <w:t>. Since there are no data to establish superiority over the comparator</w:t>
      </w:r>
      <w:r w:rsidR="60BE40C9" w:rsidRPr="009A28CC">
        <w:t>s</w:t>
      </w:r>
      <w:r w:rsidRPr="009A28CC">
        <w:t xml:space="preserve">, there is no justification for the price of </w:t>
      </w:r>
      <w:r w:rsidR="407C29CE">
        <w:t>EFG</w:t>
      </w:r>
      <w:r w:rsidR="4F77174D" w:rsidRPr="009A28CC">
        <w:t xml:space="preserve"> PFS</w:t>
      </w:r>
      <w:r w:rsidRPr="009A28CC">
        <w:t xml:space="preserve"> to be higher than </w:t>
      </w:r>
      <w:r w:rsidR="0089532A">
        <w:t>any of</w:t>
      </w:r>
      <w:r w:rsidR="00AF0A2A">
        <w:t xml:space="preserve"> </w:t>
      </w:r>
      <w:r w:rsidR="407C29CE">
        <w:t>EFG</w:t>
      </w:r>
      <w:r w:rsidR="4F77174D" w:rsidRPr="009A28CC">
        <w:t xml:space="preserve"> IV</w:t>
      </w:r>
      <w:r w:rsidR="00AF0A2A">
        <w:t>, EFC </w:t>
      </w:r>
      <w:r w:rsidR="4F77174D" w:rsidRPr="009A28CC">
        <w:t xml:space="preserve">SC, </w:t>
      </w:r>
      <w:r w:rsidR="4F77174D" w:rsidRPr="009A28CC">
        <w:rPr>
          <w:snapToGrid w:val="0"/>
          <w:lang w:eastAsia="en-US"/>
        </w:rPr>
        <w:t>ravulizumab</w:t>
      </w:r>
      <w:r w:rsidR="4F77174D" w:rsidRPr="009A28CC">
        <w:t xml:space="preserve">, </w:t>
      </w:r>
      <w:r w:rsidR="4F77174D" w:rsidRPr="32494C9F">
        <w:rPr>
          <w:snapToGrid w:val="0"/>
          <w:lang w:eastAsia="en-US"/>
        </w:rPr>
        <w:t xml:space="preserve">rozanolixizumab </w:t>
      </w:r>
      <w:r w:rsidR="00AF0A2A">
        <w:t>or</w:t>
      </w:r>
      <w:r w:rsidR="00AF0A2A" w:rsidRPr="009A28CC">
        <w:t xml:space="preserve"> </w:t>
      </w:r>
      <w:r w:rsidR="4F77174D" w:rsidRPr="32494C9F">
        <w:rPr>
          <w:snapToGrid w:val="0"/>
          <w:lang w:eastAsia="en-US"/>
        </w:rPr>
        <w:t>zilucoplan.</w:t>
      </w:r>
    </w:p>
    <w:p w14:paraId="7DB4998C" w14:textId="3FAC99C7" w:rsidR="009A28CC" w:rsidRDefault="3B61A4AA">
      <w:pPr>
        <w:pStyle w:val="3-BodyText"/>
      </w:pPr>
      <w:r>
        <w:t xml:space="preserve">This submission was made prior to outcomes of the November 2025 PBAC meeting being available to the sponsor. </w:t>
      </w:r>
      <w:r w:rsidR="004F50D1" w:rsidRPr="009B27D5">
        <w:rPr>
          <w:snapToGrid w:val="0"/>
          <w:lang w:eastAsia="en-US"/>
        </w:rPr>
        <w:t xml:space="preserve">In its consideration of the SC formulation, the PBAC had agreed that EFG IV was a relevant comparator, but considered that EFG SC could also be used in place of IVIg, zilucoplan, ravulizumab or rozanolixizumab. The PBAC had </w:t>
      </w:r>
      <w:r w:rsidR="004F50D1">
        <w:t>considered that there was insufficient evidence to support superior efficacy or safety of any of these newly recommended agents (including EFG SC) over IVIg, hence PBAC advised that the subcutaneous form be priced as per the other gMG medicines recommended at the March 2025 PBAC meeting.</w:t>
      </w:r>
    </w:p>
    <w:bookmarkEnd w:id="2"/>
    <w:p w14:paraId="0436B7D8" w14:textId="77777777" w:rsidR="00C27C1C" w:rsidRPr="00A6439B" w:rsidRDefault="00C27C1C" w:rsidP="00ED248B">
      <w:pPr>
        <w:pStyle w:val="Heading1"/>
        <w:keepLines/>
        <w:numPr>
          <w:ilvl w:val="0"/>
          <w:numId w:val="1"/>
        </w:numPr>
        <w:spacing w:before="240"/>
        <w:ind w:left="709" w:hanging="709"/>
        <w:rPr>
          <w:sz w:val="32"/>
          <w:szCs w:val="32"/>
        </w:rPr>
      </w:pPr>
      <w:r w:rsidRPr="00A6439B">
        <w:rPr>
          <w:sz w:val="32"/>
          <w:szCs w:val="32"/>
        </w:rPr>
        <w:t>Consideration of the evidence</w:t>
      </w:r>
    </w:p>
    <w:p w14:paraId="3BFE2B1D" w14:textId="182406AE" w:rsidR="00664583" w:rsidRDefault="00664583" w:rsidP="00664583">
      <w:pPr>
        <w:pStyle w:val="4-SubsectionHeading"/>
      </w:pPr>
      <w:r>
        <w:t>Sponsor hearing</w:t>
      </w:r>
    </w:p>
    <w:p w14:paraId="418887E7" w14:textId="38F2F5BB" w:rsidR="00664583" w:rsidRPr="00664583" w:rsidRDefault="00664583" w:rsidP="00664583">
      <w:pPr>
        <w:pStyle w:val="3-BodyText"/>
      </w:pPr>
      <w:r w:rsidRPr="00664583">
        <w:t>There was no hearing for this item.</w:t>
      </w:r>
    </w:p>
    <w:p w14:paraId="6B8174EF" w14:textId="707A0386" w:rsidR="00664583" w:rsidRDefault="00664583" w:rsidP="00664583">
      <w:pPr>
        <w:pStyle w:val="4-SubsectionHeading"/>
      </w:pPr>
      <w:r>
        <w:t>Consumer inputs</w:t>
      </w:r>
    </w:p>
    <w:p w14:paraId="7E3185CF" w14:textId="503192ED" w:rsidR="00664583" w:rsidRDefault="00D236CA" w:rsidP="00880C31">
      <w:pPr>
        <w:pStyle w:val="3-BodyText"/>
      </w:pPr>
      <w:r>
        <w:t xml:space="preserve">The PBAC </w:t>
      </w:r>
      <w:r w:rsidR="00C80DBD">
        <w:t xml:space="preserve">noted and welcomed input from </w:t>
      </w:r>
      <w:r w:rsidR="003A1066">
        <w:t>one health car</w:t>
      </w:r>
      <w:r w:rsidR="005538D1">
        <w:t xml:space="preserve">e </w:t>
      </w:r>
      <w:r w:rsidR="003A1066">
        <w:t>professional and one</w:t>
      </w:r>
      <w:r w:rsidR="005538D1">
        <w:t xml:space="preserve"> organisation, Myasthenia Alliance Australia</w:t>
      </w:r>
      <w:r w:rsidR="004032B4">
        <w:t xml:space="preserve"> </w:t>
      </w:r>
      <w:r w:rsidR="004032B4" w:rsidRPr="004032B4">
        <w:t>via the Office of Health Technology Assessment Consultation Hub</w:t>
      </w:r>
      <w:r w:rsidR="005538D1">
        <w:t>. The</w:t>
      </w:r>
      <w:r w:rsidR="003D6DE3">
        <w:t>ir</w:t>
      </w:r>
      <w:r w:rsidR="005538D1">
        <w:t xml:space="preserve"> inputs described </w:t>
      </w:r>
      <w:r w:rsidR="004126C2">
        <w:t xml:space="preserve">a range of benefits </w:t>
      </w:r>
      <w:r w:rsidR="00140F63">
        <w:t>of treatment with EFG PFS including a reduction in medicine burden</w:t>
      </w:r>
      <w:r w:rsidR="000B44E8">
        <w:t xml:space="preserve"> and</w:t>
      </w:r>
      <w:r w:rsidR="00140F63">
        <w:t xml:space="preserve"> </w:t>
      </w:r>
      <w:r w:rsidR="00A52F95">
        <w:t>improved access for regional and rural patients</w:t>
      </w:r>
      <w:r w:rsidR="00787A0E">
        <w:t>,</w:t>
      </w:r>
      <w:r w:rsidR="00D711DA">
        <w:t xml:space="preserve"> as subcutaneous forms allow self</w:t>
      </w:r>
      <w:r w:rsidR="00AF0956">
        <w:noBreakHyphen/>
      </w:r>
      <w:r w:rsidR="00D711DA">
        <w:t>administration at home.</w:t>
      </w:r>
      <w:r w:rsidR="00F600D8">
        <w:t xml:space="preserve"> The inputs also noted the need for </w:t>
      </w:r>
      <w:r w:rsidR="008756E8">
        <w:t>new treatment pathways</w:t>
      </w:r>
      <w:r w:rsidR="009A571A">
        <w:t xml:space="preserve"> and administration </w:t>
      </w:r>
      <w:r w:rsidR="00640174">
        <w:t>forms</w:t>
      </w:r>
      <w:r w:rsidR="008756E8">
        <w:t xml:space="preserve"> to provide more options for people with gMG</w:t>
      </w:r>
      <w:r w:rsidR="00631420">
        <w:t>, especially treatments that can be provided outside of the hospital environment.</w:t>
      </w:r>
    </w:p>
    <w:p w14:paraId="03681971" w14:textId="53D18C57" w:rsidR="00D564E3" w:rsidRDefault="00D564E3" w:rsidP="00D564E3">
      <w:pPr>
        <w:pStyle w:val="4-SubsectionHeading"/>
      </w:pPr>
      <w:r w:rsidRPr="00D65425">
        <w:lastRenderedPageBreak/>
        <w:t xml:space="preserve">Clinical trials </w:t>
      </w:r>
    </w:p>
    <w:p w14:paraId="18FC479D" w14:textId="04F4DA9C" w:rsidR="00785E73" w:rsidRDefault="006B7F1C" w:rsidP="31361354">
      <w:pPr>
        <w:pStyle w:val="3-BodyText"/>
      </w:pPr>
      <w:r w:rsidRPr="007B4196">
        <w:t>At</w:t>
      </w:r>
      <w:r w:rsidR="00426CEB" w:rsidRPr="007B4196">
        <w:t xml:space="preserve"> the</w:t>
      </w:r>
      <w:r w:rsidRPr="007B4196">
        <w:t xml:space="preserve"> March 2025</w:t>
      </w:r>
      <w:r w:rsidR="00426CEB" w:rsidRPr="007B4196">
        <w:t xml:space="preserve"> PBAC meeting, the PBAC</w:t>
      </w:r>
      <w:r w:rsidR="00CF7A3D" w:rsidRPr="007B4196">
        <w:t xml:space="preserve"> advised that </w:t>
      </w:r>
      <w:r w:rsidR="005E722C" w:rsidRPr="007B4196">
        <w:t>the clinical ef</w:t>
      </w:r>
      <w:r w:rsidR="005515A6" w:rsidRPr="007B4196">
        <w:t xml:space="preserve">fectiveness and safety of </w:t>
      </w:r>
      <w:r w:rsidR="00822C0B" w:rsidRPr="31361354">
        <w:rPr>
          <w:snapToGrid w:val="0"/>
          <w:lang w:eastAsia="en-US"/>
        </w:rPr>
        <w:t>EFG</w:t>
      </w:r>
      <w:r w:rsidR="00CF7A3D" w:rsidRPr="31361354">
        <w:rPr>
          <w:snapToGrid w:val="0"/>
          <w:lang w:eastAsia="en-US"/>
        </w:rPr>
        <w:t xml:space="preserve"> IV, </w:t>
      </w:r>
      <w:r w:rsidR="00CF7A3D" w:rsidRPr="007B4196">
        <w:t>ravulizumab, rozanolixizumab and zilucoplan</w:t>
      </w:r>
      <w:r w:rsidR="00CF7A3D" w:rsidRPr="31361354">
        <w:rPr>
          <w:snapToGrid w:val="0"/>
          <w:lang w:eastAsia="en-US"/>
        </w:rPr>
        <w:t xml:space="preserve"> should be considered as non</w:t>
      </w:r>
      <w:r w:rsidR="00AF0956">
        <w:rPr>
          <w:snapToGrid w:val="0"/>
          <w:lang w:eastAsia="en-US"/>
        </w:rPr>
        <w:noBreakHyphen/>
      </w:r>
      <w:r w:rsidR="00CF7A3D" w:rsidRPr="31361354">
        <w:rPr>
          <w:snapToGrid w:val="0"/>
          <w:lang w:eastAsia="en-US"/>
        </w:rPr>
        <w:t>inferior with each other and with IVIg.</w:t>
      </w:r>
    </w:p>
    <w:p w14:paraId="7F3F895F" w14:textId="0F89968C" w:rsidR="002E0697" w:rsidRPr="00272885" w:rsidRDefault="002E0697" w:rsidP="31361354">
      <w:pPr>
        <w:pStyle w:val="3-BodyText"/>
      </w:pPr>
      <w:r>
        <w:t xml:space="preserve">At the </w:t>
      </w:r>
      <w:r w:rsidR="006B7F1C">
        <w:t xml:space="preserve">November 2025 PBAC meeting, the PBAC considered </w:t>
      </w:r>
      <w:r>
        <w:t>that the clinical claim of non</w:t>
      </w:r>
      <w:r w:rsidR="00AF0956">
        <w:noBreakHyphen/>
      </w:r>
      <w:r>
        <w:t>inferior effectiveness and non</w:t>
      </w:r>
      <w:r w:rsidR="00AF0956">
        <w:noBreakHyphen/>
      </w:r>
      <w:r>
        <w:t xml:space="preserve">inferior safety of </w:t>
      </w:r>
      <w:r w:rsidR="00822C0B">
        <w:t>EFG</w:t>
      </w:r>
      <w:r>
        <w:t xml:space="preserve"> SC</w:t>
      </w:r>
      <w:r w:rsidR="00964B84">
        <w:t xml:space="preserve"> </w:t>
      </w:r>
      <w:r>
        <w:t>versus IV</w:t>
      </w:r>
      <w:r w:rsidR="00964B84">
        <w:t xml:space="preserve"> </w:t>
      </w:r>
      <w:r>
        <w:t>was reasonable, noting the clinical data provided, along with the opinion of the TGA and</w:t>
      </w:r>
      <w:r w:rsidR="00513FF4">
        <w:t xml:space="preserve"> European Medicines Agency</w:t>
      </w:r>
      <w:r>
        <w:t xml:space="preserve"> </w:t>
      </w:r>
      <w:r w:rsidR="00513FF4">
        <w:t>(</w:t>
      </w:r>
      <w:r>
        <w:t>EMA</w:t>
      </w:r>
      <w:r w:rsidR="00513FF4">
        <w:t>)</w:t>
      </w:r>
      <w:r>
        <w:t xml:space="preserve"> that the SC and IV forms are therapeutically equivalent.</w:t>
      </w:r>
    </w:p>
    <w:p w14:paraId="57696886" w14:textId="651E09D9" w:rsidR="00272885" w:rsidRPr="00A6439B" w:rsidRDefault="00272885" w:rsidP="00272885">
      <w:pPr>
        <w:pStyle w:val="3-BodyText"/>
      </w:pPr>
      <w:bookmarkStart w:id="3" w:name="_Hlk86163265"/>
      <w:r w:rsidRPr="00272885">
        <w:t>The</w:t>
      </w:r>
      <w:r w:rsidRPr="00A6439B">
        <w:t xml:space="preserve"> submission </w:t>
      </w:r>
      <w:r>
        <w:t>provided a</w:t>
      </w:r>
      <w:r w:rsidR="006705B4">
        <w:t xml:space="preserve"> </w:t>
      </w:r>
      <w:r w:rsidRPr="00C470CB">
        <w:t>phase 1, open</w:t>
      </w:r>
      <w:r w:rsidR="00AF0956">
        <w:noBreakHyphen/>
      </w:r>
      <w:r w:rsidRPr="00C470CB">
        <w:t xml:space="preserve">label, randomised, </w:t>
      </w:r>
      <w:r>
        <w:t>single</w:t>
      </w:r>
      <w:r w:rsidR="00AF0956">
        <w:noBreakHyphen/>
      </w:r>
      <w:r>
        <w:t xml:space="preserve">dose, </w:t>
      </w:r>
      <w:r w:rsidRPr="00C470CB">
        <w:t>2</w:t>
      </w:r>
      <w:r w:rsidR="00AF0956">
        <w:noBreakHyphen/>
      </w:r>
      <w:r w:rsidRPr="00C470CB">
        <w:t>period crossover bioequivalence study (ARGX</w:t>
      </w:r>
      <w:r w:rsidR="00AF0956">
        <w:noBreakHyphen/>
      </w:r>
      <w:r w:rsidRPr="00C470CB">
        <w:t>113</w:t>
      </w:r>
      <w:r w:rsidR="00AF0956">
        <w:noBreakHyphen/>
      </w:r>
      <w:r w:rsidRPr="00C470CB">
        <w:t>2312).</w:t>
      </w:r>
      <w:r w:rsidR="006705B4">
        <w:t xml:space="preserve"> </w:t>
      </w:r>
      <w:r w:rsidR="00BB5F19">
        <w:t xml:space="preserve">This study was considered by the EMA in </w:t>
      </w:r>
      <w:r w:rsidR="002C5B71">
        <w:t xml:space="preserve">its </w:t>
      </w:r>
      <w:r w:rsidR="00BB5F19">
        <w:t>EFG PFS assessment report.</w:t>
      </w:r>
    </w:p>
    <w:p w14:paraId="01DBB9F8" w14:textId="05007A92" w:rsidR="00272885" w:rsidRPr="00A6439B" w:rsidRDefault="004749CE" w:rsidP="004749CE">
      <w:pPr>
        <w:pStyle w:val="Caption"/>
        <w:rPr>
          <w:rStyle w:val="CommentReference"/>
          <w:b w:val="0"/>
          <w:sz w:val="20"/>
          <w:szCs w:val="20"/>
        </w:rPr>
      </w:pPr>
      <w:bookmarkStart w:id="4" w:name="_Ref104803956"/>
      <w:r>
        <w:t xml:space="preserve">Table </w:t>
      </w:r>
      <w:fldSimple w:instr=" SEQ Table \* ARABIC ">
        <w:r w:rsidR="00D9315D">
          <w:rPr>
            <w:noProof/>
          </w:rPr>
          <w:t>1</w:t>
        </w:r>
      </w:fldSimple>
      <w:bookmarkEnd w:id="4"/>
      <w:r w:rsidR="00272885" w:rsidRPr="00A6439B">
        <w:rPr>
          <w:szCs w:val="20"/>
        </w:rPr>
        <w:t>:</w:t>
      </w:r>
      <w:r w:rsidR="00272885" w:rsidRPr="00A6439B">
        <w:rPr>
          <w:rStyle w:val="CommentReference"/>
          <w:sz w:val="20"/>
          <w:szCs w:val="20"/>
        </w:rPr>
        <w:t xml:space="preserve"> </w:t>
      </w:r>
      <w:r w:rsidR="00272885">
        <w:rPr>
          <w:rStyle w:val="CommentReference"/>
          <w:sz w:val="20"/>
          <w:szCs w:val="20"/>
        </w:rPr>
        <w:t>Stud</w:t>
      </w:r>
      <w:r w:rsidR="005F517C">
        <w:rPr>
          <w:rStyle w:val="CommentReference"/>
          <w:sz w:val="20"/>
          <w:szCs w:val="20"/>
        </w:rPr>
        <w:t xml:space="preserve">y </w:t>
      </w:r>
      <w:r w:rsidR="00272885" w:rsidRPr="00A6439B">
        <w:rPr>
          <w:rStyle w:val="CommentReference"/>
          <w:sz w:val="20"/>
          <w:szCs w:val="20"/>
        </w:rPr>
        <w:t>presented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148"/>
        <w:gridCol w:w="6298"/>
        <w:gridCol w:w="1570"/>
      </w:tblGrid>
      <w:tr w:rsidR="00272885" w:rsidRPr="00A6439B" w14:paraId="4A9CFF8D" w14:textId="77777777">
        <w:trPr>
          <w:cantSplit/>
          <w:tblHeader/>
        </w:trPr>
        <w:tc>
          <w:tcPr>
            <w:tcW w:w="548" w:type="pct"/>
            <w:vAlign w:val="center"/>
          </w:tcPr>
          <w:p w14:paraId="657A180A" w14:textId="77777777" w:rsidR="00272885" w:rsidRPr="00A6439B" w:rsidRDefault="00272885">
            <w:pPr>
              <w:pStyle w:val="In-tableHeading"/>
              <w:rPr>
                <w:lang w:val="en-AU"/>
              </w:rPr>
            </w:pPr>
            <w:r w:rsidRPr="00A6439B">
              <w:rPr>
                <w:lang w:val="en-AU"/>
              </w:rPr>
              <w:t>Trial ID</w:t>
            </w:r>
          </w:p>
        </w:tc>
        <w:tc>
          <w:tcPr>
            <w:tcW w:w="3537" w:type="pct"/>
            <w:vAlign w:val="center"/>
          </w:tcPr>
          <w:p w14:paraId="17F91346" w14:textId="77777777" w:rsidR="00272885" w:rsidRPr="00A6439B" w:rsidRDefault="00272885">
            <w:pPr>
              <w:pStyle w:val="In-tableHeading"/>
              <w:rPr>
                <w:lang w:val="en-AU"/>
              </w:rPr>
            </w:pPr>
            <w:r w:rsidRPr="00A6439B">
              <w:rPr>
                <w:lang w:val="en-AU"/>
              </w:rPr>
              <w:t>Protocol title/ Publication title</w:t>
            </w:r>
          </w:p>
        </w:tc>
        <w:tc>
          <w:tcPr>
            <w:tcW w:w="915" w:type="pct"/>
            <w:vAlign w:val="center"/>
          </w:tcPr>
          <w:p w14:paraId="49653487" w14:textId="77777777" w:rsidR="00272885" w:rsidRPr="00A6439B" w:rsidRDefault="00272885">
            <w:pPr>
              <w:pStyle w:val="In-tableHeading"/>
              <w:rPr>
                <w:lang w:val="en-AU"/>
              </w:rPr>
            </w:pPr>
            <w:r w:rsidRPr="00A6439B">
              <w:rPr>
                <w:lang w:val="en-AU"/>
              </w:rPr>
              <w:t>Publication citation</w:t>
            </w:r>
          </w:p>
        </w:tc>
      </w:tr>
      <w:tr w:rsidR="00272885" w:rsidRPr="00A6439B" w14:paraId="3DC94D0C" w14:textId="77777777">
        <w:trPr>
          <w:cantSplit/>
        </w:trPr>
        <w:tc>
          <w:tcPr>
            <w:tcW w:w="548" w:type="pct"/>
            <w:vAlign w:val="center"/>
          </w:tcPr>
          <w:p w14:paraId="04049C44" w14:textId="1C51E4AC" w:rsidR="00272885" w:rsidRPr="00042E02" w:rsidRDefault="00272885">
            <w:pPr>
              <w:pStyle w:val="TableText0"/>
              <w:rPr>
                <w:sz w:val="18"/>
                <w:szCs w:val="18"/>
              </w:rPr>
            </w:pPr>
            <w:r w:rsidRPr="00042E02">
              <w:rPr>
                <w:sz w:val="18"/>
                <w:szCs w:val="18"/>
              </w:rPr>
              <w:t>ARGX</w:t>
            </w:r>
            <w:r w:rsidR="00AF0956">
              <w:rPr>
                <w:sz w:val="18"/>
                <w:szCs w:val="18"/>
              </w:rPr>
              <w:noBreakHyphen/>
            </w:r>
            <w:r w:rsidRPr="00042E02">
              <w:rPr>
                <w:sz w:val="18"/>
                <w:szCs w:val="18"/>
              </w:rPr>
              <w:t>113</w:t>
            </w:r>
            <w:r w:rsidR="00AF0956">
              <w:rPr>
                <w:sz w:val="18"/>
                <w:szCs w:val="18"/>
              </w:rPr>
              <w:noBreakHyphen/>
            </w:r>
            <w:r w:rsidRPr="00042E02">
              <w:rPr>
                <w:sz w:val="18"/>
                <w:szCs w:val="18"/>
              </w:rPr>
              <w:t>2312</w:t>
            </w:r>
          </w:p>
        </w:tc>
        <w:tc>
          <w:tcPr>
            <w:tcW w:w="3537" w:type="pct"/>
            <w:vAlign w:val="center"/>
          </w:tcPr>
          <w:p w14:paraId="3FEBA097" w14:textId="2B66DA1F" w:rsidR="00272885" w:rsidRPr="00A6439B" w:rsidRDefault="00272885">
            <w:pPr>
              <w:pStyle w:val="TableText0"/>
            </w:pPr>
            <w:r>
              <w:t>A Phase 1, Open</w:t>
            </w:r>
            <w:r w:rsidR="00AF0956">
              <w:noBreakHyphen/>
            </w:r>
            <w:r>
              <w:t>Label, Randomized, Single</w:t>
            </w:r>
            <w:r w:rsidR="00AF0956">
              <w:noBreakHyphen/>
            </w:r>
            <w:r>
              <w:t>Dose, 2</w:t>
            </w:r>
            <w:r w:rsidR="00AF0956">
              <w:noBreakHyphen/>
            </w:r>
            <w:r>
              <w:t>Period Cross</w:t>
            </w:r>
            <w:r w:rsidR="00AF0956">
              <w:noBreakHyphen/>
            </w:r>
            <w:r>
              <w:t>Over, Bioequivalence Study of Efgartigimod PH20 SC Administered via a Prefilled Syringe Versus a Vial + Syringe Presentation in Healthy Participants</w:t>
            </w:r>
          </w:p>
        </w:tc>
        <w:tc>
          <w:tcPr>
            <w:tcW w:w="915" w:type="pct"/>
            <w:vAlign w:val="center"/>
          </w:tcPr>
          <w:p w14:paraId="4D7C8A0F" w14:textId="77777777" w:rsidR="00272885" w:rsidRPr="00A6439B" w:rsidRDefault="00272885">
            <w:pPr>
              <w:pStyle w:val="TableText0"/>
            </w:pPr>
            <w:r w:rsidRPr="000E3AEA">
              <w:t>Not published</w:t>
            </w:r>
          </w:p>
        </w:tc>
      </w:tr>
    </w:tbl>
    <w:p w14:paraId="75D9E5C9" w14:textId="382383AB" w:rsidR="006C34C2" w:rsidRPr="00874FE3" w:rsidRDefault="42D2A489" w:rsidP="444EDE7E">
      <w:pPr>
        <w:pStyle w:val="FooterTableFigure"/>
        <w:spacing w:line="259" w:lineRule="auto"/>
        <w:rPr>
          <w:sz w:val="20"/>
          <w:szCs w:val="20"/>
        </w:rPr>
      </w:pPr>
      <w:r>
        <w:t>Source: p</w:t>
      </w:r>
      <w:r w:rsidR="6AC65B2D">
        <w:t>7</w:t>
      </w:r>
      <w:r>
        <w:t xml:space="preserve"> of the submission.</w:t>
      </w:r>
      <w:bookmarkEnd w:id="3"/>
    </w:p>
    <w:p w14:paraId="45A9C60E" w14:textId="3DCC20D7" w:rsidR="007B1351" w:rsidRPr="007B1351" w:rsidRDefault="00DB7EAB" w:rsidP="00ED248B">
      <w:pPr>
        <w:pStyle w:val="3-BodyText"/>
        <w:numPr>
          <w:ilvl w:val="1"/>
          <w:numId w:val="1"/>
        </w:numPr>
        <w:rPr>
          <w:color w:val="FF0000"/>
        </w:rPr>
      </w:pPr>
      <w:r>
        <w:rPr>
          <w:iCs/>
        </w:rPr>
        <w:t xml:space="preserve">The study </w:t>
      </w:r>
      <w:r w:rsidR="009332FD">
        <w:rPr>
          <w:iCs/>
        </w:rPr>
        <w:t>recruited 72 healthy adult participants</w:t>
      </w:r>
      <w:r w:rsidR="008331B5">
        <w:rPr>
          <w:iCs/>
        </w:rPr>
        <w:t xml:space="preserve">, half of </w:t>
      </w:r>
      <w:r w:rsidR="007F4B86">
        <w:rPr>
          <w:iCs/>
        </w:rPr>
        <w:t xml:space="preserve">whom </w:t>
      </w:r>
      <w:r w:rsidR="006B5CAB">
        <w:rPr>
          <w:iCs/>
        </w:rPr>
        <w:t xml:space="preserve">were randomised to receive </w:t>
      </w:r>
      <w:r w:rsidR="008331B5">
        <w:rPr>
          <w:iCs/>
        </w:rPr>
        <w:t xml:space="preserve">the SC injection followed by the PFS. The other half </w:t>
      </w:r>
      <w:r w:rsidR="00E767FF">
        <w:rPr>
          <w:iCs/>
        </w:rPr>
        <w:t>received the PFS followed by the SC injection</w:t>
      </w:r>
      <w:r w:rsidR="006B5CAB">
        <w:rPr>
          <w:iCs/>
        </w:rPr>
        <w:t>.</w:t>
      </w:r>
    </w:p>
    <w:p w14:paraId="402A7776" w14:textId="031131A2" w:rsidR="00C27C1C" w:rsidRPr="007B1351" w:rsidRDefault="00C27C1C" w:rsidP="007B1351">
      <w:pPr>
        <w:pStyle w:val="4-SubsectionHeading"/>
        <w:rPr>
          <w:color w:val="FF0000"/>
        </w:rPr>
      </w:pPr>
      <w:r w:rsidRPr="00D65425">
        <w:t xml:space="preserve">Comparative </w:t>
      </w:r>
      <w:r w:rsidR="0026158F" w:rsidRPr="00D65425">
        <w:t>bioequivalence</w:t>
      </w:r>
    </w:p>
    <w:p w14:paraId="504D7456" w14:textId="4706E4AE" w:rsidR="008A4F98" w:rsidRDefault="35A9736E" w:rsidP="008A4F98">
      <w:pPr>
        <w:pStyle w:val="3-BodyText"/>
        <w:rPr>
          <w:lang w:eastAsia="en-US"/>
        </w:rPr>
      </w:pPr>
      <w:r w:rsidRPr="444EDE7E">
        <w:rPr>
          <w:lang w:eastAsia="en-US"/>
        </w:rPr>
        <w:t xml:space="preserve">The claim of comparative bioequivalence between </w:t>
      </w:r>
      <w:r w:rsidR="72D5C0BA" w:rsidRPr="444EDE7E">
        <w:rPr>
          <w:lang w:eastAsia="en-US"/>
        </w:rPr>
        <w:t>EFG</w:t>
      </w:r>
      <w:r w:rsidRPr="444EDE7E">
        <w:rPr>
          <w:lang w:eastAsia="en-US"/>
        </w:rPr>
        <w:t xml:space="preserve"> SC and PFS </w:t>
      </w:r>
      <w:r w:rsidR="72D5C0BA" w:rsidRPr="444EDE7E">
        <w:rPr>
          <w:lang w:eastAsia="en-US"/>
        </w:rPr>
        <w:t>is</w:t>
      </w:r>
      <w:r w:rsidRPr="444EDE7E">
        <w:rPr>
          <w:lang w:eastAsia="en-US"/>
        </w:rPr>
        <w:t xml:space="preserve"> supported with</w:t>
      </w:r>
      <w:r w:rsidR="643787E5" w:rsidRPr="444EDE7E">
        <w:rPr>
          <w:lang w:eastAsia="en-US"/>
        </w:rPr>
        <w:t xml:space="preserve"> a statistical analysis which </w:t>
      </w:r>
      <w:r w:rsidR="6BFAAE8A" w:rsidRPr="444EDE7E">
        <w:rPr>
          <w:lang w:eastAsia="en-US"/>
        </w:rPr>
        <w:t>resulted in</w:t>
      </w:r>
      <w:r w:rsidR="5D8C244F" w:rsidRPr="444EDE7E">
        <w:rPr>
          <w:lang w:eastAsia="en-US"/>
        </w:rPr>
        <w:t xml:space="preserve"> a 90% confidence interval </w:t>
      </w:r>
      <w:r w:rsidR="4B69AE5A" w:rsidRPr="444EDE7E">
        <w:rPr>
          <w:lang w:eastAsia="en-US"/>
        </w:rPr>
        <w:t>(CI) around th</w:t>
      </w:r>
      <w:r w:rsidR="654BAD90" w:rsidRPr="444EDE7E">
        <w:rPr>
          <w:lang w:eastAsia="en-US"/>
        </w:rPr>
        <w:t>e geometric least</w:t>
      </w:r>
      <w:r w:rsidR="00AF0956">
        <w:rPr>
          <w:lang w:eastAsia="en-US"/>
        </w:rPr>
        <w:noBreakHyphen/>
      </w:r>
      <w:r w:rsidR="654BAD90" w:rsidRPr="444EDE7E">
        <w:rPr>
          <w:lang w:eastAsia="en-US"/>
        </w:rPr>
        <w:t>squares mean ratio</w:t>
      </w:r>
      <w:r w:rsidR="49E99C24" w:rsidRPr="444EDE7E">
        <w:rPr>
          <w:lang w:eastAsia="en-US"/>
        </w:rPr>
        <w:t>s</w:t>
      </w:r>
      <w:r w:rsidR="654BAD90" w:rsidRPr="444EDE7E">
        <w:rPr>
          <w:lang w:eastAsia="en-US"/>
        </w:rPr>
        <w:t xml:space="preserve"> (GMR) of C</w:t>
      </w:r>
      <w:r w:rsidR="654BAD90" w:rsidRPr="444EDE7E">
        <w:rPr>
          <w:vertAlign w:val="subscript"/>
          <w:lang w:eastAsia="en-US"/>
        </w:rPr>
        <w:t>max</w:t>
      </w:r>
      <w:r w:rsidR="654BAD90" w:rsidRPr="444EDE7E">
        <w:rPr>
          <w:lang w:eastAsia="en-US"/>
        </w:rPr>
        <w:t xml:space="preserve"> and </w:t>
      </w:r>
      <w:r w:rsidR="263EAFBF" w:rsidRPr="444EDE7E">
        <w:rPr>
          <w:lang w:eastAsia="en-US"/>
        </w:rPr>
        <w:t xml:space="preserve">of </w:t>
      </w:r>
      <w:r w:rsidR="654BAD90" w:rsidRPr="444EDE7E">
        <w:rPr>
          <w:lang w:eastAsia="en-US"/>
        </w:rPr>
        <w:t>AUC</w:t>
      </w:r>
      <w:r w:rsidR="6BFAAE8A" w:rsidRPr="444EDE7E">
        <w:rPr>
          <w:vertAlign w:val="subscript"/>
          <w:lang w:eastAsia="en-US"/>
        </w:rPr>
        <w:t>0</w:t>
      </w:r>
      <w:r w:rsidR="00AF0956">
        <w:rPr>
          <w:vertAlign w:val="subscript"/>
          <w:lang w:eastAsia="en-US"/>
        </w:rPr>
        <w:noBreakHyphen/>
      </w:r>
      <w:r w:rsidR="6BFAAE8A" w:rsidRPr="444EDE7E">
        <w:rPr>
          <w:vertAlign w:val="subscript"/>
          <w:lang w:eastAsia="en-US"/>
        </w:rPr>
        <w:t>inf</w:t>
      </w:r>
      <w:r w:rsidR="6BFAAE8A" w:rsidRPr="444EDE7E">
        <w:rPr>
          <w:lang w:eastAsia="en-US"/>
        </w:rPr>
        <w:t xml:space="preserve"> between the </w:t>
      </w:r>
      <w:r w:rsidR="0664A3B1" w:rsidRPr="444EDE7E">
        <w:rPr>
          <w:lang w:eastAsia="en-US"/>
        </w:rPr>
        <w:t xml:space="preserve">predefined </w:t>
      </w:r>
      <w:r w:rsidR="5FBBF1A5" w:rsidRPr="444EDE7E">
        <w:rPr>
          <w:lang w:eastAsia="en-US"/>
        </w:rPr>
        <w:t xml:space="preserve">bioequivalence </w:t>
      </w:r>
      <w:r w:rsidR="0664A3B1" w:rsidRPr="444EDE7E">
        <w:rPr>
          <w:lang w:eastAsia="en-US"/>
        </w:rPr>
        <w:t xml:space="preserve">criteria of 80% to 125%. </w:t>
      </w:r>
      <w:r w:rsidR="24FBB808" w:rsidRPr="444EDE7E">
        <w:rPr>
          <w:lang w:eastAsia="en-US"/>
        </w:rPr>
        <w:t>B</w:t>
      </w:r>
      <w:r w:rsidR="34623671" w:rsidRPr="444EDE7E">
        <w:rPr>
          <w:lang w:eastAsia="en-US"/>
        </w:rPr>
        <w:t>ased on the GMRs, C</w:t>
      </w:r>
      <w:r w:rsidR="34623671" w:rsidRPr="444EDE7E">
        <w:rPr>
          <w:vertAlign w:val="subscript"/>
          <w:lang w:eastAsia="en-US"/>
        </w:rPr>
        <w:t>max</w:t>
      </w:r>
      <w:r w:rsidR="34623671" w:rsidRPr="444EDE7E">
        <w:rPr>
          <w:lang w:eastAsia="en-US"/>
        </w:rPr>
        <w:t xml:space="preserve"> </w:t>
      </w:r>
      <w:r w:rsidR="2EC50B11" w:rsidRPr="444EDE7E">
        <w:rPr>
          <w:lang w:eastAsia="en-US"/>
        </w:rPr>
        <w:t>for</w:t>
      </w:r>
      <w:r w:rsidR="34623671" w:rsidRPr="444EDE7E">
        <w:rPr>
          <w:lang w:eastAsia="en-US"/>
        </w:rPr>
        <w:t xml:space="preserve"> the PFS was 9.70% higher than that </w:t>
      </w:r>
      <w:r w:rsidR="34949411" w:rsidRPr="444EDE7E">
        <w:rPr>
          <w:lang w:eastAsia="en-US"/>
        </w:rPr>
        <w:t>for</w:t>
      </w:r>
      <w:r w:rsidR="34623671" w:rsidRPr="444EDE7E">
        <w:rPr>
          <w:lang w:eastAsia="en-US"/>
        </w:rPr>
        <w:t xml:space="preserve"> the SC, and AUC</w:t>
      </w:r>
      <w:r w:rsidR="34623671" w:rsidRPr="444EDE7E">
        <w:rPr>
          <w:vertAlign w:val="subscript"/>
          <w:lang w:eastAsia="en-US"/>
        </w:rPr>
        <w:t>[0</w:t>
      </w:r>
      <w:r w:rsidR="00AF0956">
        <w:rPr>
          <w:vertAlign w:val="subscript"/>
          <w:lang w:eastAsia="en-US"/>
        </w:rPr>
        <w:noBreakHyphen/>
      </w:r>
      <w:r w:rsidR="34623671" w:rsidRPr="444EDE7E">
        <w:rPr>
          <w:vertAlign w:val="subscript"/>
          <w:lang w:eastAsia="en-US"/>
        </w:rPr>
        <w:t>inf]</w:t>
      </w:r>
      <w:r w:rsidR="34623671" w:rsidRPr="444EDE7E">
        <w:rPr>
          <w:lang w:eastAsia="en-US"/>
        </w:rPr>
        <w:t xml:space="preserve"> </w:t>
      </w:r>
      <w:r w:rsidR="2EC50B11" w:rsidRPr="444EDE7E">
        <w:rPr>
          <w:lang w:eastAsia="en-US"/>
        </w:rPr>
        <w:t>for</w:t>
      </w:r>
      <w:r w:rsidR="34623671" w:rsidRPr="444EDE7E">
        <w:rPr>
          <w:lang w:eastAsia="en-US"/>
        </w:rPr>
        <w:t xml:space="preserve"> the PFS was 7.89% higher than that </w:t>
      </w:r>
      <w:r w:rsidR="34949411" w:rsidRPr="444EDE7E">
        <w:rPr>
          <w:lang w:eastAsia="en-US"/>
        </w:rPr>
        <w:t>for</w:t>
      </w:r>
      <w:r w:rsidR="34623671" w:rsidRPr="444EDE7E">
        <w:rPr>
          <w:lang w:eastAsia="en-US"/>
        </w:rPr>
        <w:t xml:space="preserve"> the SC, after a single injection</w:t>
      </w:r>
      <w:r w:rsidR="4FCA4025" w:rsidRPr="444EDE7E">
        <w:rPr>
          <w:lang w:eastAsia="en-US"/>
        </w:rPr>
        <w:t xml:space="preserve">, but </w:t>
      </w:r>
      <w:r w:rsidR="6B4F28F9" w:rsidRPr="444EDE7E">
        <w:rPr>
          <w:lang w:eastAsia="en-US"/>
        </w:rPr>
        <w:t>the upper bound</w:t>
      </w:r>
      <w:r w:rsidR="3E0FE3A2" w:rsidRPr="444EDE7E">
        <w:rPr>
          <w:lang w:eastAsia="en-US"/>
        </w:rPr>
        <w:t>s</w:t>
      </w:r>
      <w:r w:rsidR="6B4F28F9" w:rsidRPr="444EDE7E">
        <w:rPr>
          <w:lang w:eastAsia="en-US"/>
        </w:rPr>
        <w:t xml:space="preserve"> of the </w:t>
      </w:r>
      <w:r w:rsidR="75A80FFF" w:rsidRPr="444EDE7E">
        <w:rPr>
          <w:lang w:eastAsia="en-US"/>
        </w:rPr>
        <w:t xml:space="preserve">90% CIs </w:t>
      </w:r>
      <w:r w:rsidR="3E0FE3A2" w:rsidRPr="444EDE7E">
        <w:rPr>
          <w:lang w:eastAsia="en-US"/>
        </w:rPr>
        <w:t>were</w:t>
      </w:r>
      <w:r w:rsidR="5520BE40" w:rsidRPr="444EDE7E">
        <w:rPr>
          <w:lang w:eastAsia="en-US"/>
        </w:rPr>
        <w:t xml:space="preserve"> </w:t>
      </w:r>
      <w:r w:rsidR="696578C7" w:rsidRPr="444EDE7E">
        <w:rPr>
          <w:lang w:eastAsia="en-US"/>
        </w:rPr>
        <w:t>less than 125%</w:t>
      </w:r>
      <w:r w:rsidR="34623671" w:rsidRPr="444EDE7E">
        <w:rPr>
          <w:lang w:eastAsia="en-US"/>
        </w:rPr>
        <w:t>.</w:t>
      </w:r>
    </w:p>
    <w:p w14:paraId="10F44860" w14:textId="340179B5" w:rsidR="00BB5F19" w:rsidRPr="00C079BC" w:rsidRDefault="00BB5F19" w:rsidP="00BB5F19">
      <w:pPr>
        <w:pStyle w:val="3-BodyText"/>
        <w:rPr>
          <w:iCs/>
          <w:color w:val="FF0000"/>
          <w:lang w:eastAsia="en-US"/>
        </w:rPr>
      </w:pPr>
      <w:r>
        <w:rPr>
          <w:lang w:eastAsia="en-US"/>
        </w:rPr>
        <w:t xml:space="preserve">The EMA assessment report states </w:t>
      </w:r>
      <w:r w:rsidRPr="004D4E0B">
        <w:rPr>
          <w:lang w:eastAsia="en-US"/>
        </w:rPr>
        <w:t>“Vyvgart formulated for and presented in a prefilled syringe is considered bioequivalent to the currently marketed formulation presented in a vial in terms of key pharmacokinetic parameters Cmax, Tmax, AUC0</w:t>
      </w:r>
      <w:r w:rsidR="00AF0956">
        <w:rPr>
          <w:lang w:eastAsia="en-US"/>
        </w:rPr>
        <w:noBreakHyphen/>
      </w:r>
      <w:r w:rsidRPr="004D4E0B">
        <w:rPr>
          <w:lang w:eastAsia="en-US"/>
        </w:rPr>
        <w:t>t and AUCinf.</w:t>
      </w:r>
      <w:r>
        <w:rPr>
          <w:lang w:eastAsia="en-US"/>
        </w:rPr>
        <w:t>”</w:t>
      </w:r>
    </w:p>
    <w:p w14:paraId="058972E5" w14:textId="77777777" w:rsidR="00C27C1C" w:rsidRPr="003D3F2E" w:rsidRDefault="00C27C1C" w:rsidP="003D3F2E">
      <w:pPr>
        <w:pStyle w:val="4-SubsectionHeading"/>
      </w:pPr>
      <w:r w:rsidRPr="003D3F2E">
        <w:t>Comparative harms</w:t>
      </w:r>
    </w:p>
    <w:p w14:paraId="2E720A4D" w14:textId="1B30027A" w:rsidR="00952312" w:rsidRDefault="2C80FA81" w:rsidP="00952312">
      <w:pPr>
        <w:pStyle w:val="3-BodyText"/>
        <w:rPr>
          <w:lang w:eastAsia="en-US"/>
        </w:rPr>
      </w:pPr>
      <w:r w:rsidRPr="513B0D4E">
        <w:rPr>
          <w:lang w:eastAsia="en-US"/>
        </w:rPr>
        <w:t xml:space="preserve">The study claimed that frequency of adverse events (AEs) </w:t>
      </w:r>
      <w:r w:rsidR="76FF895C" w:rsidRPr="513B0D4E">
        <w:rPr>
          <w:lang w:eastAsia="en-US"/>
        </w:rPr>
        <w:t>and treatment</w:t>
      </w:r>
      <w:r w:rsidR="00AF0956">
        <w:rPr>
          <w:lang w:eastAsia="en-US"/>
        </w:rPr>
        <w:noBreakHyphen/>
      </w:r>
      <w:r w:rsidR="76FF895C" w:rsidRPr="513B0D4E">
        <w:rPr>
          <w:lang w:eastAsia="en-US"/>
        </w:rPr>
        <w:t xml:space="preserve">related AEs was similar between participants who received </w:t>
      </w:r>
      <w:r w:rsidR="72F2C99F" w:rsidRPr="513B0D4E">
        <w:rPr>
          <w:lang w:eastAsia="en-US"/>
        </w:rPr>
        <w:t xml:space="preserve">SC vs PFS. One grade </w:t>
      </w:r>
      <w:r w:rsidR="09984876" w:rsidRPr="513B0D4E">
        <w:rPr>
          <w:lang w:eastAsia="en-US"/>
        </w:rPr>
        <w:t>≥</w:t>
      </w:r>
      <w:r w:rsidR="72F2C99F" w:rsidRPr="513B0D4E">
        <w:rPr>
          <w:lang w:eastAsia="en-US"/>
        </w:rPr>
        <w:t>3</w:t>
      </w:r>
      <w:r w:rsidR="3D382E89" w:rsidRPr="513B0D4E">
        <w:rPr>
          <w:lang w:eastAsia="en-US"/>
        </w:rPr>
        <w:t xml:space="preserve"> AE was reported for a participant receiving SC, all other AEs were </w:t>
      </w:r>
      <w:r w:rsidR="74AA6A4A" w:rsidRPr="513B0D4E">
        <w:rPr>
          <w:lang w:eastAsia="en-US"/>
        </w:rPr>
        <w:t>reported as grade 1 or 2. No serious AEs were reported, and n</w:t>
      </w:r>
      <w:r w:rsidR="461CED71" w:rsidRPr="513B0D4E">
        <w:rPr>
          <w:lang w:eastAsia="en-US"/>
        </w:rPr>
        <w:t>o AEs lead to discontinuation from the study.</w:t>
      </w:r>
    </w:p>
    <w:p w14:paraId="643F059E" w14:textId="3823807E" w:rsidR="00BB5F19" w:rsidRDefault="00BB5F19" w:rsidP="00BB5F19">
      <w:pPr>
        <w:pStyle w:val="3-BodyText"/>
        <w:rPr>
          <w:lang w:eastAsia="en-US"/>
        </w:rPr>
      </w:pPr>
      <w:r>
        <w:rPr>
          <w:lang w:eastAsia="en-US"/>
        </w:rPr>
        <w:t xml:space="preserve">The EMA assessment report states “the clinical safety of SC efgartigimod administration via prefilled syringe is </w:t>
      </w:r>
      <w:proofErr w:type="gramStart"/>
      <w:r>
        <w:rPr>
          <w:lang w:eastAsia="en-US"/>
        </w:rPr>
        <w:t>similar to</w:t>
      </w:r>
      <w:proofErr w:type="gramEnd"/>
      <w:r>
        <w:rPr>
          <w:lang w:eastAsia="en-US"/>
        </w:rPr>
        <w:t xml:space="preserve"> SC administration via vial + syringe </w:t>
      </w:r>
      <w:r>
        <w:rPr>
          <w:lang w:eastAsia="en-US"/>
        </w:rPr>
        <w:lastRenderedPageBreak/>
        <w:t>(short</w:t>
      </w:r>
      <w:r w:rsidR="00AF0956">
        <w:rPr>
          <w:lang w:eastAsia="en-US"/>
        </w:rPr>
        <w:noBreakHyphen/>
      </w:r>
      <w:r>
        <w:rPr>
          <w:lang w:eastAsia="en-US"/>
        </w:rPr>
        <w:t>term). The long</w:t>
      </w:r>
      <w:r w:rsidR="00AF0956">
        <w:rPr>
          <w:lang w:eastAsia="en-US"/>
        </w:rPr>
        <w:noBreakHyphen/>
      </w:r>
      <w:r>
        <w:rPr>
          <w:lang w:eastAsia="en-US"/>
        </w:rPr>
        <w:t>term safety profile of efgartigimod administered via prefilled syringe can be extrapolated from the known long</w:t>
      </w:r>
      <w:r w:rsidR="00AF0956">
        <w:rPr>
          <w:lang w:eastAsia="en-US"/>
        </w:rPr>
        <w:noBreakHyphen/>
      </w:r>
      <w:r>
        <w:rPr>
          <w:lang w:eastAsia="en-US"/>
        </w:rPr>
        <w:t>term safety profile of efgartigimod administered via vial + syringe given that bioequivalence is also shown.”</w:t>
      </w:r>
    </w:p>
    <w:p w14:paraId="2CDF3682" w14:textId="678D2FDC" w:rsidR="00C27C1C" w:rsidRPr="003D3F2E" w:rsidRDefault="00C27C1C" w:rsidP="003D3F2E">
      <w:pPr>
        <w:pStyle w:val="4-SubsectionHeading"/>
      </w:pPr>
      <w:r w:rsidRPr="003D3F2E">
        <w:t>Clinical claim</w:t>
      </w:r>
    </w:p>
    <w:p w14:paraId="0C250CAA" w14:textId="482D95DA" w:rsidR="00E767FF" w:rsidRDefault="0B3D0AF8" w:rsidP="444EDE7E">
      <w:pPr>
        <w:pStyle w:val="3-BodyText"/>
        <w:spacing w:line="259" w:lineRule="auto"/>
      </w:pPr>
      <w:r>
        <w:t xml:space="preserve">Clinical </w:t>
      </w:r>
      <w:r w:rsidR="2E02B3FE">
        <w:t xml:space="preserve">effectiveness </w:t>
      </w:r>
      <w:r>
        <w:t>and safety non</w:t>
      </w:r>
      <w:r w:rsidR="00AF0956">
        <w:noBreakHyphen/>
      </w:r>
      <w:r>
        <w:t xml:space="preserve">inferiority has previously been established between </w:t>
      </w:r>
      <w:r w:rsidR="5E081EA3">
        <w:t>EFG</w:t>
      </w:r>
      <w:r>
        <w:t xml:space="preserve"> IV/SC, other </w:t>
      </w:r>
      <w:r w:rsidR="189F5B7C">
        <w:t xml:space="preserve">FcRn </w:t>
      </w:r>
      <w:r w:rsidR="444E6E1E">
        <w:t xml:space="preserve">and </w:t>
      </w:r>
      <w:r w:rsidR="04CEDB22">
        <w:t>complement</w:t>
      </w:r>
      <w:r w:rsidR="00AF0956">
        <w:noBreakHyphen/>
      </w:r>
      <w:r w:rsidR="257E34CC">
        <w:t xml:space="preserve">based </w:t>
      </w:r>
      <w:r>
        <w:t>therapies and</w:t>
      </w:r>
      <w:r w:rsidR="00CF0C1E">
        <w:t xml:space="preserve"> chronic</w:t>
      </w:r>
      <w:r>
        <w:t xml:space="preserve"> IVIg</w:t>
      </w:r>
      <w:r w:rsidR="4C1EF4D3">
        <w:t>.</w:t>
      </w:r>
    </w:p>
    <w:p w14:paraId="7AFC7B9C" w14:textId="3AF24F80" w:rsidR="003D3F2E" w:rsidRPr="003D3F2E" w:rsidRDefault="00C27C1C" w:rsidP="00E70EF8">
      <w:pPr>
        <w:pStyle w:val="3-BodyText"/>
        <w:rPr>
          <w:iCs/>
          <w:color w:val="FF0000"/>
        </w:rPr>
      </w:pPr>
      <w:r w:rsidRPr="00A6439B">
        <w:t xml:space="preserve">The submission claimed </w:t>
      </w:r>
      <w:r w:rsidR="001D4012">
        <w:t xml:space="preserve">bioequivalence between </w:t>
      </w:r>
      <w:r w:rsidR="00021E41">
        <w:t>EFG</w:t>
      </w:r>
      <w:r w:rsidR="001D4012">
        <w:t xml:space="preserve"> SC and PFS.</w:t>
      </w:r>
      <w:r w:rsidR="003A30C4">
        <w:t xml:space="preserve"> </w:t>
      </w:r>
      <w:r w:rsidR="00DC0541">
        <w:t xml:space="preserve">The </w:t>
      </w:r>
      <w:r w:rsidR="00DC0541" w:rsidRPr="00DC0541">
        <w:t xml:space="preserve">TGA evaluation leveraged the </w:t>
      </w:r>
      <w:r w:rsidR="00DC0541">
        <w:t>EMA assessment report</w:t>
      </w:r>
      <w:r w:rsidR="00DC0541" w:rsidRPr="00DC0541">
        <w:t xml:space="preserve"> via the TGA Comparable Overseas Regulator (COR</w:t>
      </w:r>
      <w:r w:rsidR="00AF0956">
        <w:noBreakHyphen/>
      </w:r>
      <w:r w:rsidR="00DC0541" w:rsidRPr="00DC0541">
        <w:t xml:space="preserve">B) pathway, </w:t>
      </w:r>
      <w:r w:rsidR="00086408">
        <w:t>as such, the TGA have accepted the EMA</w:t>
      </w:r>
      <w:r w:rsidR="00053E27">
        <w:t xml:space="preserve"> conclusion that EFG PFS is bioequivalent to EFG SC</w:t>
      </w:r>
      <w:r w:rsidR="00DC0541" w:rsidRPr="00DC0541">
        <w:t>.</w:t>
      </w:r>
    </w:p>
    <w:p w14:paraId="0C79A2BA" w14:textId="55576094" w:rsidR="003D3F2E" w:rsidRPr="003D3F2E" w:rsidRDefault="003D3F2E" w:rsidP="00E70EF8">
      <w:pPr>
        <w:pStyle w:val="3-BodyText"/>
        <w:rPr>
          <w:iCs/>
          <w:color w:val="FF0000"/>
        </w:rPr>
      </w:pPr>
      <w:r>
        <w:rPr>
          <w:szCs w:val="24"/>
        </w:rPr>
        <w:t xml:space="preserve">The PBAC considered that </w:t>
      </w:r>
      <w:r w:rsidR="000D0D42">
        <w:rPr>
          <w:szCs w:val="24"/>
        </w:rPr>
        <w:t xml:space="preserve">a </w:t>
      </w:r>
      <w:r>
        <w:rPr>
          <w:szCs w:val="24"/>
        </w:rPr>
        <w:t>claim of non</w:t>
      </w:r>
      <w:r w:rsidR="00AF0956">
        <w:rPr>
          <w:szCs w:val="24"/>
        </w:rPr>
        <w:noBreakHyphen/>
      </w:r>
      <w:r>
        <w:rPr>
          <w:szCs w:val="24"/>
        </w:rPr>
        <w:t>inferior effectiveness was reasonable.</w:t>
      </w:r>
    </w:p>
    <w:p w14:paraId="0436CFE0" w14:textId="4D003B61" w:rsidR="00C27C1C" w:rsidRPr="00C079BC" w:rsidRDefault="003D3F2E" w:rsidP="00E70EF8">
      <w:pPr>
        <w:pStyle w:val="3-BodyText"/>
        <w:rPr>
          <w:iCs/>
          <w:color w:val="FF0000"/>
        </w:rPr>
      </w:pPr>
      <w:r>
        <w:rPr>
          <w:szCs w:val="24"/>
        </w:rPr>
        <w:t xml:space="preserve">The PBAC considered that </w:t>
      </w:r>
      <w:r w:rsidR="001A4820">
        <w:rPr>
          <w:szCs w:val="24"/>
        </w:rPr>
        <w:t xml:space="preserve">a </w:t>
      </w:r>
      <w:r>
        <w:rPr>
          <w:szCs w:val="24"/>
        </w:rPr>
        <w:t>claim of non</w:t>
      </w:r>
      <w:r w:rsidR="00AF0956">
        <w:rPr>
          <w:szCs w:val="24"/>
        </w:rPr>
        <w:noBreakHyphen/>
      </w:r>
      <w:r>
        <w:rPr>
          <w:szCs w:val="24"/>
        </w:rPr>
        <w:t xml:space="preserve">inferior </w:t>
      </w:r>
      <w:r w:rsidR="008B6D22">
        <w:rPr>
          <w:szCs w:val="24"/>
        </w:rPr>
        <w:t>comparative safety was reasonable.</w:t>
      </w:r>
    </w:p>
    <w:p w14:paraId="45D181E4" w14:textId="77777777" w:rsidR="00C27C1C" w:rsidRPr="003D3F2E" w:rsidRDefault="00C27C1C" w:rsidP="003D3F2E">
      <w:pPr>
        <w:pStyle w:val="4-SubsectionHeading"/>
      </w:pPr>
      <w:r w:rsidRPr="003D3F2E">
        <w:t xml:space="preserve">Economic analysis </w:t>
      </w:r>
    </w:p>
    <w:p w14:paraId="44699CB5" w14:textId="29C4BD57" w:rsidR="002A1D5C" w:rsidRPr="002A1D5C" w:rsidRDefault="00C27C1C" w:rsidP="7EFD1F40">
      <w:pPr>
        <w:pStyle w:val="3-BodyText"/>
      </w:pPr>
      <w:r>
        <w:t xml:space="preserve">The submission presented a </w:t>
      </w:r>
      <w:r w:rsidR="0064348F">
        <w:t xml:space="preserve">CMA </w:t>
      </w:r>
      <w:r>
        <w:t xml:space="preserve">of </w:t>
      </w:r>
      <w:r w:rsidR="002458DD">
        <w:t>EFG</w:t>
      </w:r>
      <w:r w:rsidR="00393E4B">
        <w:t xml:space="preserve"> PFS</w:t>
      </w:r>
      <w:r>
        <w:t xml:space="preserve"> compared </w:t>
      </w:r>
      <w:r w:rsidR="006E72F9">
        <w:t>to</w:t>
      </w:r>
      <w:r>
        <w:t xml:space="preserve"> </w:t>
      </w:r>
      <w:r w:rsidR="00393E4B">
        <w:t>SC</w:t>
      </w:r>
      <w:r w:rsidR="00C415E1">
        <w:t>, assuming a 1:1 substitution and requesting the same price per unit</w:t>
      </w:r>
      <w:r>
        <w:t>.</w:t>
      </w:r>
      <w:r w:rsidR="00596BD5">
        <w:t xml:space="preserve"> </w:t>
      </w:r>
      <w:r w:rsidR="000F6455">
        <w:t>The sponsor stated that as</w:t>
      </w:r>
      <w:r w:rsidR="000F6455" w:rsidRPr="000F6455">
        <w:t xml:space="preserve"> a simplifying assumption, it </w:t>
      </w:r>
      <w:r w:rsidR="000F6455">
        <w:t>was</w:t>
      </w:r>
      <w:r w:rsidR="000F6455" w:rsidRPr="000F6455">
        <w:t xml:space="preserve"> assumed that </w:t>
      </w:r>
      <w:r w:rsidR="000F6455">
        <w:t>EFG</w:t>
      </w:r>
      <w:r w:rsidR="000F6455" w:rsidRPr="000F6455">
        <w:t xml:space="preserve"> is the only treatment listed for gMG on the PBS and therefore that all potential patients would use </w:t>
      </w:r>
      <w:r w:rsidR="000F6455">
        <w:t>EFG</w:t>
      </w:r>
      <w:r w:rsidR="000F6455" w:rsidRPr="000F6455">
        <w:t xml:space="preserve"> to the exclusion of all other therapies</w:t>
      </w:r>
      <w:r w:rsidR="000F6455">
        <w:t>.</w:t>
      </w:r>
    </w:p>
    <w:p w14:paraId="5A4E4005" w14:textId="286132BC" w:rsidR="00785E73" w:rsidRDefault="000E7D64" w:rsidP="00785E73">
      <w:pPr>
        <w:pStyle w:val="3-BodyText"/>
        <w:rPr>
          <w:rFonts w:cstheme="minorHAnsi"/>
          <w:szCs w:val="24"/>
        </w:rPr>
      </w:pPr>
      <w:r>
        <w:t>The proposed equi</w:t>
      </w:r>
      <w:r w:rsidR="00AF0956">
        <w:noBreakHyphen/>
      </w:r>
      <w:r>
        <w:t>effective dose is 1x1000</w:t>
      </w:r>
      <w:r w:rsidR="00C6425F">
        <w:t xml:space="preserve"> </w:t>
      </w:r>
      <w:r>
        <w:t>mg/5.6</w:t>
      </w:r>
      <w:r w:rsidR="00055527">
        <w:t> </w:t>
      </w:r>
      <w:r>
        <w:t>mL SC = 1x1000</w:t>
      </w:r>
      <w:r w:rsidR="00C6425F">
        <w:t xml:space="preserve"> </w:t>
      </w:r>
      <w:r>
        <w:t>mg/5.0</w:t>
      </w:r>
      <w:r w:rsidR="00055527">
        <w:t> </w:t>
      </w:r>
      <w:r>
        <w:t>mL PFS.</w:t>
      </w:r>
    </w:p>
    <w:p w14:paraId="342A8649" w14:textId="77777777" w:rsidR="00785E73" w:rsidRDefault="00C3556E" w:rsidP="00ED248B">
      <w:pPr>
        <w:pStyle w:val="3-BodyText"/>
        <w:numPr>
          <w:ilvl w:val="0"/>
          <w:numId w:val="7"/>
        </w:numPr>
        <w:rPr>
          <w:rFonts w:cstheme="minorHAnsi"/>
          <w:szCs w:val="24"/>
        </w:rPr>
      </w:pPr>
      <w:r>
        <w:t>At the March 2025 meeting, the PBAC recommended</w:t>
      </w:r>
      <w:r w:rsidR="00C56484">
        <w:t xml:space="preserve"> </w:t>
      </w:r>
      <w:r>
        <w:t>4.72 cycles of treatment per year</w:t>
      </w:r>
      <w:r w:rsidR="0060206D">
        <w:t xml:space="preserve"> in a pattern of 4 weeks of treatment followed by 4 weeks of no treatment. This equates to</w:t>
      </w:r>
      <w:r w:rsidR="00F832CA">
        <w:t xml:space="preserve"> an annual dose of 18,880 mg of </w:t>
      </w:r>
      <w:r w:rsidR="00831C20">
        <w:t>EFG</w:t>
      </w:r>
      <w:r w:rsidR="00F832CA">
        <w:t xml:space="preserve"> per patient per year.</w:t>
      </w:r>
      <w:r w:rsidR="00300B3E">
        <w:t xml:space="preserve"> </w:t>
      </w:r>
    </w:p>
    <w:p w14:paraId="7D61B4AD" w14:textId="52AD50AE" w:rsidR="00C776FD" w:rsidRPr="009F2BD9" w:rsidRDefault="1AA04D2A" w:rsidP="003E0F1A">
      <w:pPr>
        <w:pStyle w:val="3-BodyText"/>
        <w:rPr>
          <w:lang w:val="en-GB"/>
        </w:rPr>
      </w:pPr>
      <w:r>
        <w:t xml:space="preserve">At the </w:t>
      </w:r>
      <w:r w:rsidRPr="00731019">
        <w:t>November</w:t>
      </w:r>
      <w:r>
        <w:t xml:space="preserve"> 2025 meeting, the PBAC advised that </w:t>
      </w:r>
      <w:r w:rsidR="145664F1" w:rsidRPr="444EDE7E">
        <w:rPr>
          <w:lang w:val="en-GB"/>
        </w:rPr>
        <w:t>the equi</w:t>
      </w:r>
      <w:r w:rsidR="00AF0956">
        <w:rPr>
          <w:lang w:val="en-GB"/>
        </w:rPr>
        <w:noBreakHyphen/>
      </w:r>
      <w:r w:rsidR="145664F1" w:rsidRPr="444EDE7E">
        <w:rPr>
          <w:lang w:val="en-GB"/>
        </w:rPr>
        <w:t xml:space="preserve">effective dose of </w:t>
      </w:r>
      <w:r w:rsidR="33CFA963">
        <w:t>2.4</w:t>
      </w:r>
      <w:r w:rsidR="004E46A0">
        <w:t> </w:t>
      </w:r>
      <w:r w:rsidR="33CFA963">
        <w:t>vials of 400</w:t>
      </w:r>
      <w:r w:rsidR="0107EE73">
        <w:t xml:space="preserve"> </w:t>
      </w:r>
      <w:r w:rsidR="33CFA963">
        <w:t>mg/20</w:t>
      </w:r>
      <w:r w:rsidR="007E25F8">
        <w:t> </w:t>
      </w:r>
      <w:r w:rsidR="33CFA963">
        <w:t>mL for IV (96</w:t>
      </w:r>
      <w:r w:rsidR="1371F08E">
        <w:t>0</w:t>
      </w:r>
      <w:r w:rsidR="0107EE73">
        <w:t xml:space="preserve"> </w:t>
      </w:r>
      <w:r w:rsidR="33CFA963">
        <w:t>mg) was equivalent to 1x1000</w:t>
      </w:r>
      <w:r w:rsidR="0107EE73">
        <w:t xml:space="preserve"> </w:t>
      </w:r>
      <w:r w:rsidR="33CFA963">
        <w:t>mg/5.6</w:t>
      </w:r>
      <w:r w:rsidR="007E25F8">
        <w:t> </w:t>
      </w:r>
      <w:r w:rsidR="33CFA963">
        <w:t xml:space="preserve">mL SC </w:t>
      </w:r>
      <w:r w:rsidR="145664F1" w:rsidRPr="444EDE7E">
        <w:rPr>
          <w:lang w:val="en-GB"/>
        </w:rPr>
        <w:t>(1000 mg)</w:t>
      </w:r>
      <w:r w:rsidR="2E02B3FE" w:rsidRPr="444EDE7E">
        <w:rPr>
          <w:lang w:val="en-GB"/>
        </w:rPr>
        <w:t>.</w:t>
      </w:r>
    </w:p>
    <w:p w14:paraId="516287CC" w14:textId="3253107A" w:rsidR="002F77E5" w:rsidRPr="0019112B" w:rsidRDefault="00D17DB5" w:rsidP="63285C1E">
      <w:pPr>
        <w:pStyle w:val="3-BodyText"/>
        <w:spacing w:line="259" w:lineRule="auto"/>
        <w:rPr>
          <w:rStyle w:val="cf01"/>
          <w:rFonts w:asciiTheme="minorHAnsi" w:hAnsiTheme="minorHAnsi" w:cstheme="minorBidi"/>
          <w:sz w:val="24"/>
          <w:szCs w:val="24"/>
        </w:rPr>
      </w:pPr>
      <w:r>
        <w:t>T</w:t>
      </w:r>
      <w:r w:rsidR="002F77E5" w:rsidRPr="00E10A78">
        <w:t xml:space="preserve">he TGA </w:t>
      </w:r>
      <w:r w:rsidR="004742DF">
        <w:t xml:space="preserve">has </w:t>
      </w:r>
      <w:r w:rsidR="002F77E5" w:rsidRPr="00E10A78">
        <w:t>determine</w:t>
      </w:r>
      <w:r>
        <w:t>d</w:t>
      </w:r>
      <w:r w:rsidR="4574226D" w:rsidRPr="00E10A78">
        <w:t xml:space="preserve"> </w:t>
      </w:r>
      <w:r w:rsidR="002F77E5" w:rsidRPr="00E10A78">
        <w:t>EFG PFS to</w:t>
      </w:r>
      <w:r w:rsidR="002F77E5">
        <w:t xml:space="preserve"> be bioequivalent to EFG SC,</w:t>
      </w:r>
      <w:r>
        <w:t xml:space="preserve"> as such</w:t>
      </w:r>
      <w:r w:rsidR="24BE925C">
        <w:t xml:space="preserve"> the</w:t>
      </w:r>
      <w:r w:rsidR="002F77E5">
        <w:t xml:space="preserve"> </w:t>
      </w:r>
      <w:r w:rsidR="002F77E5" w:rsidRPr="00E10A78">
        <w:t xml:space="preserve">listing </w:t>
      </w:r>
      <w:r w:rsidR="25B3E4FE" w:rsidRPr="00E10A78">
        <w:t>of the</w:t>
      </w:r>
      <w:r w:rsidR="002F77E5">
        <w:t xml:space="preserve"> PFS </w:t>
      </w:r>
      <w:r w:rsidR="616905B3">
        <w:t>–</w:t>
      </w:r>
      <w:r w:rsidR="5F3313A5">
        <w:t xml:space="preserve"> </w:t>
      </w:r>
      <w:r w:rsidR="616905B3" w:rsidRPr="0F4393B8">
        <w:rPr>
          <w:rFonts w:ascii="Calibri" w:eastAsia="Calibri" w:hAnsi="Calibri" w:cs="Arial"/>
          <w:szCs w:val="24"/>
        </w:rPr>
        <w:t>provided</w:t>
      </w:r>
      <w:r w:rsidR="616905B3" w:rsidRPr="315C9413">
        <w:rPr>
          <w:rFonts w:ascii="Calibri" w:eastAsia="Calibri" w:hAnsi="Calibri" w:cs="Arial"/>
          <w:szCs w:val="24"/>
        </w:rPr>
        <w:t xml:space="preserve"> </w:t>
      </w:r>
      <w:r w:rsidR="616905B3" w:rsidRPr="0F4393B8">
        <w:rPr>
          <w:rFonts w:ascii="Calibri" w:eastAsia="Calibri" w:hAnsi="Calibri" w:cs="Arial"/>
          <w:szCs w:val="24"/>
        </w:rPr>
        <w:t xml:space="preserve">that </w:t>
      </w:r>
      <w:r w:rsidR="0088076C">
        <w:rPr>
          <w:rFonts w:ascii="Calibri" w:eastAsia="Calibri" w:hAnsi="Calibri" w:cs="Arial"/>
          <w:szCs w:val="24"/>
        </w:rPr>
        <w:t xml:space="preserve">the </w:t>
      </w:r>
      <w:r w:rsidR="616905B3" w:rsidRPr="0F4393B8">
        <w:rPr>
          <w:rFonts w:ascii="Calibri" w:eastAsia="Calibri" w:hAnsi="Calibri" w:cs="Arial"/>
          <w:szCs w:val="24"/>
        </w:rPr>
        <w:t>SC is already listed at that time—would trigger a first brand statutory price reduction of 25% under</w:t>
      </w:r>
      <w:r w:rsidR="616905B3" w:rsidRPr="67C3E715">
        <w:rPr>
          <w:rFonts w:ascii="Calibri" w:eastAsia="Calibri" w:hAnsi="Calibri" w:cs="Arial"/>
          <w:szCs w:val="24"/>
        </w:rPr>
        <w:t xml:space="preserve"> t</w:t>
      </w:r>
      <w:r w:rsidR="002F77E5">
        <w:t xml:space="preserve">he </w:t>
      </w:r>
      <w:r w:rsidR="002F77E5" w:rsidRPr="000E3AEA">
        <w:rPr>
          <w:i/>
        </w:rPr>
        <w:t>National Health Act 1953</w:t>
      </w:r>
      <w:r w:rsidR="604D6576" w:rsidRPr="000E3AEA">
        <w:rPr>
          <w:iCs/>
        </w:rPr>
        <w:t xml:space="preserve"> </w:t>
      </w:r>
      <w:r w:rsidR="604D6576" w:rsidRPr="242B32A2">
        <w:t>(the Act)</w:t>
      </w:r>
      <w:r w:rsidR="002F77E5" w:rsidRPr="00642D3D">
        <w:rPr>
          <w:iCs/>
          <w:color w:val="000000" w:themeColor="text1"/>
        </w:rPr>
        <w:t>.</w:t>
      </w:r>
      <w:r w:rsidR="002F77E5">
        <w:t xml:space="preserve"> </w:t>
      </w:r>
    </w:p>
    <w:p w14:paraId="5E35036D" w14:textId="6AE8D7B2" w:rsidR="002F77E5" w:rsidRPr="0019112B" w:rsidRDefault="002F77E5" w:rsidP="00ED248B">
      <w:pPr>
        <w:pStyle w:val="3-BodyText"/>
        <w:numPr>
          <w:ilvl w:val="0"/>
          <w:numId w:val="7"/>
        </w:numPr>
        <w:spacing w:line="259" w:lineRule="auto"/>
        <w:rPr>
          <w:rStyle w:val="cf01"/>
          <w:rFonts w:asciiTheme="minorHAnsi" w:hAnsiTheme="minorHAnsi" w:cstheme="minorBidi"/>
          <w:sz w:val="24"/>
          <w:szCs w:val="24"/>
        </w:rPr>
      </w:pPr>
      <w:r w:rsidRPr="75A6DE5F">
        <w:rPr>
          <w:rStyle w:val="cf01"/>
          <w:rFonts w:asciiTheme="minorHAnsi" w:hAnsiTheme="minorHAnsi" w:cstheme="minorBidi"/>
          <w:sz w:val="24"/>
          <w:szCs w:val="24"/>
        </w:rPr>
        <w:t xml:space="preserve">The sponsor has submitted a 'New Presentation' request whereby if the Minster recognises the PFS as a new presentation under </w:t>
      </w:r>
      <w:r w:rsidRPr="000E3AEA">
        <w:rPr>
          <w:rStyle w:val="cf01"/>
          <w:rFonts w:asciiTheme="minorHAnsi" w:hAnsiTheme="minorHAnsi" w:cstheme="minorBidi"/>
          <w:i/>
          <w:sz w:val="24"/>
          <w:szCs w:val="24"/>
        </w:rPr>
        <w:t>99ACB(3A)</w:t>
      </w:r>
      <w:r w:rsidRPr="000E3AEA">
        <w:rPr>
          <w:rStyle w:val="cf01"/>
          <w:rFonts w:asciiTheme="minorHAnsi" w:hAnsiTheme="minorHAnsi" w:cstheme="minorBidi"/>
          <w:sz w:val="24"/>
          <w:szCs w:val="24"/>
        </w:rPr>
        <w:t xml:space="preserve"> </w:t>
      </w:r>
      <w:r w:rsidRPr="75A6DE5F">
        <w:rPr>
          <w:rStyle w:val="cf01"/>
          <w:rFonts w:asciiTheme="minorHAnsi" w:hAnsiTheme="minorHAnsi" w:cstheme="minorBidi"/>
          <w:sz w:val="24"/>
          <w:szCs w:val="24"/>
        </w:rPr>
        <w:t xml:space="preserve">of the </w:t>
      </w:r>
      <w:r w:rsidR="008871F3">
        <w:rPr>
          <w:rStyle w:val="cf01"/>
          <w:rFonts w:asciiTheme="minorHAnsi" w:hAnsiTheme="minorHAnsi" w:cstheme="minorBidi"/>
          <w:sz w:val="24"/>
          <w:szCs w:val="24"/>
        </w:rPr>
        <w:t>A</w:t>
      </w:r>
      <w:r w:rsidRPr="75A6DE5F">
        <w:rPr>
          <w:rStyle w:val="cf01"/>
          <w:rFonts w:asciiTheme="minorHAnsi" w:hAnsiTheme="minorHAnsi" w:cstheme="minorBidi"/>
          <w:sz w:val="24"/>
          <w:szCs w:val="24"/>
        </w:rPr>
        <w:t xml:space="preserve">ct, then </w:t>
      </w:r>
      <w:r w:rsidR="347045BD" w:rsidRPr="24A01595">
        <w:rPr>
          <w:rStyle w:val="cf01"/>
          <w:rFonts w:asciiTheme="minorHAnsi" w:hAnsiTheme="minorHAnsi" w:cstheme="minorBidi"/>
          <w:sz w:val="24"/>
          <w:szCs w:val="24"/>
        </w:rPr>
        <w:t>its</w:t>
      </w:r>
      <w:r w:rsidRPr="75A6DE5F">
        <w:rPr>
          <w:rStyle w:val="cf01"/>
          <w:rFonts w:asciiTheme="minorHAnsi" w:hAnsiTheme="minorHAnsi" w:cstheme="minorBidi"/>
          <w:sz w:val="24"/>
          <w:szCs w:val="24"/>
        </w:rPr>
        <w:t xml:space="preserve"> listing </w:t>
      </w:r>
      <w:r w:rsidR="008A5266">
        <w:rPr>
          <w:rStyle w:val="cf01"/>
          <w:rFonts w:asciiTheme="minorHAnsi" w:hAnsiTheme="minorHAnsi" w:cstheme="minorBidi"/>
          <w:sz w:val="24"/>
          <w:szCs w:val="24"/>
        </w:rPr>
        <w:t xml:space="preserve">will </w:t>
      </w:r>
      <w:r w:rsidRPr="75A6DE5F">
        <w:rPr>
          <w:rStyle w:val="cf01"/>
          <w:rFonts w:asciiTheme="minorHAnsi" w:hAnsiTheme="minorHAnsi" w:cstheme="minorBidi"/>
          <w:sz w:val="24"/>
          <w:szCs w:val="24"/>
        </w:rPr>
        <w:t>not trigger a statutory price reduction</w:t>
      </w:r>
      <w:r w:rsidR="0EEBB008" w:rsidRPr="75A6DE5F">
        <w:rPr>
          <w:rStyle w:val="cf01"/>
          <w:rFonts w:asciiTheme="minorHAnsi" w:hAnsiTheme="minorHAnsi" w:cstheme="minorBidi"/>
          <w:sz w:val="24"/>
          <w:szCs w:val="24"/>
        </w:rPr>
        <w:t xml:space="preserve"> at the time of listing</w:t>
      </w:r>
      <w:r w:rsidRPr="75A6DE5F">
        <w:rPr>
          <w:rStyle w:val="cf01"/>
          <w:rFonts w:asciiTheme="minorHAnsi" w:hAnsiTheme="minorHAnsi" w:cstheme="minorBidi"/>
          <w:sz w:val="24"/>
          <w:szCs w:val="24"/>
        </w:rPr>
        <w:t xml:space="preserve">. </w:t>
      </w:r>
    </w:p>
    <w:p w14:paraId="14231B5A" w14:textId="5FD0D387" w:rsidR="0047618A" w:rsidRPr="000E3AEA" w:rsidRDefault="00F85206" w:rsidP="000E3AEA">
      <w:pPr>
        <w:pStyle w:val="4-SubsectionHeading"/>
      </w:pPr>
      <w:r w:rsidRPr="000E3AEA">
        <w:t xml:space="preserve">Drug cost/patient/year: </w:t>
      </w:r>
      <w:r w:rsidR="0047618A" w:rsidRPr="000E3AEA">
        <w:t>$</w:t>
      </w:r>
      <w:r w:rsidR="002408E2" w:rsidRPr="002408E2">
        <w:rPr>
          <w:sz w:val="2"/>
          <w:highlight w:val="black"/>
        </w:rPr>
        <w:t>redacted content</w:t>
      </w:r>
    </w:p>
    <w:p w14:paraId="385729B5" w14:textId="229F3E5A" w:rsidR="00025749" w:rsidRPr="00A6439B" w:rsidRDefault="05C4DCEF" w:rsidP="00025749">
      <w:pPr>
        <w:pStyle w:val="3-BodyText"/>
        <w:spacing w:line="259" w:lineRule="auto"/>
        <w:rPr>
          <w:rFonts w:cs="Calibri"/>
        </w:rPr>
      </w:pPr>
      <w:bookmarkStart w:id="5" w:name="_Hlk209698889"/>
      <w:r>
        <w:t xml:space="preserve">The estimated drug cost of </w:t>
      </w:r>
      <w:r w:rsidR="53EB3FB1">
        <w:t>EFG</w:t>
      </w:r>
      <w:r w:rsidR="2124F4CA">
        <w:t xml:space="preserve"> PFS</w:t>
      </w:r>
      <w:r>
        <w:t xml:space="preserve"> per patient per year would be $</w:t>
      </w:r>
      <w:r w:rsidR="002408E2" w:rsidRPr="002408E2">
        <w:rPr>
          <w:sz w:val="2"/>
          <w:highlight w:val="black"/>
          <w:lang w:eastAsia="en-US"/>
        </w:rPr>
        <w:t>redacted content</w:t>
      </w:r>
      <w:r>
        <w:t>, based on 18.88 required injections</w:t>
      </w:r>
      <w:r w:rsidR="59BC8DD7">
        <w:t xml:space="preserve"> of 1000</w:t>
      </w:r>
      <w:r w:rsidR="003E7B68">
        <w:t> </w:t>
      </w:r>
      <w:r w:rsidR="59BC8DD7">
        <w:t>mg to reach the recommended 18,880</w:t>
      </w:r>
      <w:r w:rsidR="003E7B68">
        <w:t> </w:t>
      </w:r>
      <w:r w:rsidR="59BC8DD7">
        <w:t>mg per year</w:t>
      </w:r>
      <w:r w:rsidR="5D1559E5">
        <w:t>.</w:t>
      </w:r>
      <w:r w:rsidR="00E30D97">
        <w:t xml:space="preserve"> This cost is based on t</w:t>
      </w:r>
      <w:r w:rsidR="005D42D3">
        <w:t>he sponsor’s proposed effective AEMP for the EFG SC</w:t>
      </w:r>
      <w:r w:rsidR="00671DFC">
        <w:t xml:space="preserve"> from its submission to the November 2025 PBAC meeting ($</w:t>
      </w:r>
      <w:r w:rsidR="002408E2" w:rsidRPr="002408E2">
        <w:rPr>
          <w:sz w:val="2"/>
          <w:highlight w:val="black"/>
        </w:rPr>
        <w:t>redacted content</w:t>
      </w:r>
      <w:r w:rsidR="00671DFC">
        <w:t>)</w:t>
      </w:r>
      <w:r w:rsidR="3869565B">
        <w:t xml:space="preserve">, </w:t>
      </w:r>
      <w:r w:rsidR="092D8680">
        <w:t xml:space="preserve">on the understanding that the </w:t>
      </w:r>
      <w:r w:rsidR="092D8680">
        <w:lastRenderedPageBreak/>
        <w:t xml:space="preserve">annual drug cost for the PFS </w:t>
      </w:r>
      <w:r w:rsidR="05C98DF0">
        <w:t xml:space="preserve">will equate </w:t>
      </w:r>
      <w:r w:rsidR="092D8680">
        <w:t xml:space="preserve">with that for the SC, </w:t>
      </w:r>
      <w:r w:rsidR="6CF8E27A">
        <w:t xml:space="preserve">and </w:t>
      </w:r>
      <w:r w:rsidR="3FDC7963">
        <w:t xml:space="preserve">noting that </w:t>
      </w:r>
      <w:r w:rsidR="5B646A9C">
        <w:t xml:space="preserve">the </w:t>
      </w:r>
      <w:r w:rsidR="3FDC7963">
        <w:t xml:space="preserve">proposed effective price </w:t>
      </w:r>
      <w:r w:rsidR="3869565B">
        <w:t>is not an agreed price for listing.</w:t>
      </w:r>
    </w:p>
    <w:bookmarkEnd w:id="5"/>
    <w:p w14:paraId="5EB16602" w14:textId="72913842" w:rsidR="00D70349" w:rsidRPr="000E3AEA" w:rsidRDefault="00D70349" w:rsidP="000E3AEA">
      <w:pPr>
        <w:pStyle w:val="4-SubsectionHeading"/>
      </w:pPr>
      <w:r w:rsidRPr="000E3AEA">
        <w:t xml:space="preserve">Estimated PBS </w:t>
      </w:r>
      <w:r w:rsidR="00276BE3" w:rsidRPr="000E3AEA">
        <w:t>usage</w:t>
      </w:r>
      <w:r w:rsidRPr="000E3AEA">
        <w:t xml:space="preserve"> and financial implications</w:t>
      </w:r>
    </w:p>
    <w:p w14:paraId="235550E5" w14:textId="4F6F7477" w:rsidR="00175CA2" w:rsidRDefault="00D939E1" w:rsidP="00ED248B">
      <w:pPr>
        <w:pStyle w:val="3-BodyText"/>
        <w:numPr>
          <w:ilvl w:val="1"/>
          <w:numId w:val="1"/>
        </w:numPr>
      </w:pPr>
      <w:r>
        <w:t xml:space="preserve">This submission </w:t>
      </w:r>
      <w:r w:rsidR="00831C20">
        <w:t>included usage</w:t>
      </w:r>
      <w:r w:rsidR="000A1A6A">
        <w:t xml:space="preserve"> and financial estimates that </w:t>
      </w:r>
      <w:r w:rsidR="005743B0">
        <w:t>were</w:t>
      </w:r>
      <w:r w:rsidR="00E12CF9">
        <w:t xml:space="preserve"> </w:t>
      </w:r>
      <w:r w:rsidR="004B2CB8">
        <w:t xml:space="preserve">previously </w:t>
      </w:r>
      <w:r w:rsidR="00E12CF9">
        <w:t>assessed by the PBAC</w:t>
      </w:r>
      <w:r w:rsidR="005743B0">
        <w:t xml:space="preserve"> in November 2025</w:t>
      </w:r>
      <w:r w:rsidR="00E12CF9">
        <w:t>.</w:t>
      </w:r>
      <w:r w:rsidR="000A1A6A">
        <w:t xml:space="preserve"> </w:t>
      </w:r>
      <w:r w:rsidR="00B51BFA">
        <w:t>Noting that t</w:t>
      </w:r>
      <w:r w:rsidR="000A1A6A">
        <w:t xml:space="preserve">he sponsor </w:t>
      </w:r>
      <w:r w:rsidR="007E32FB">
        <w:t>made</w:t>
      </w:r>
      <w:r w:rsidR="000A1A6A">
        <w:t xml:space="preserve"> this submission prior to receiving outcomes from the November 2025 PBAC meeting</w:t>
      </w:r>
      <w:r w:rsidR="00B51BFA">
        <w:t xml:space="preserve">, the following section </w:t>
      </w:r>
      <w:r w:rsidR="005743B0">
        <w:t xml:space="preserve">will </w:t>
      </w:r>
      <w:r w:rsidR="00504155">
        <w:t xml:space="preserve">only </w:t>
      </w:r>
      <w:r w:rsidR="005743B0">
        <w:t>provide a brief overview.</w:t>
      </w:r>
    </w:p>
    <w:p w14:paraId="3C71CC3F" w14:textId="15B741D7" w:rsidR="00F26D80" w:rsidRDefault="0D029FA3" w:rsidP="32494C9F">
      <w:pPr>
        <w:pStyle w:val="3-BodyText"/>
      </w:pPr>
      <w:r>
        <w:t xml:space="preserve">Refer to Table </w:t>
      </w:r>
      <w:r w:rsidR="4DAB684F">
        <w:t>2</w:t>
      </w:r>
      <w:r>
        <w:t xml:space="preserve"> which presents the estimated extent of use, cost of </w:t>
      </w:r>
      <w:r w:rsidR="4DAB684F">
        <w:t>EFG PFS</w:t>
      </w:r>
      <w:r w:rsidR="11675DF7">
        <w:t xml:space="preserve"> </w:t>
      </w:r>
      <w:r>
        <w:t xml:space="preserve">to the PBS/RPBS and net financial implications to the PBS/RPBS, </w:t>
      </w:r>
      <w:r w:rsidR="4DAB684F">
        <w:t xml:space="preserve">and </w:t>
      </w:r>
      <w:r>
        <w:t>MBS</w:t>
      </w:r>
      <w:r w:rsidR="4DAB684F">
        <w:t xml:space="preserve">. </w:t>
      </w:r>
      <w:r>
        <w:t>The financial impact to Services Australia will be determined by that agency as part of the post PBAC process.</w:t>
      </w:r>
      <w:r w:rsidR="0C1C3B26">
        <w:t xml:space="preserve"> The following assumptions have been included in these calculations:</w:t>
      </w:r>
    </w:p>
    <w:p w14:paraId="255489AC" w14:textId="694FAD46" w:rsidR="00C7375F" w:rsidRDefault="006221FE" w:rsidP="00ED248B">
      <w:pPr>
        <w:pStyle w:val="3-BodyText"/>
        <w:numPr>
          <w:ilvl w:val="0"/>
          <w:numId w:val="16"/>
        </w:numPr>
      </w:pPr>
      <w:r>
        <w:t>Market share</w:t>
      </w:r>
      <w:r w:rsidR="00C7375F">
        <w:t xml:space="preserve"> has been displayed for both EFG SC and EFG PFS in </w:t>
      </w:r>
      <w:r w:rsidR="005512B9">
        <w:t>T</w:t>
      </w:r>
      <w:r w:rsidR="00C7375F">
        <w:t>able</w:t>
      </w:r>
      <w:r w:rsidR="005512B9">
        <w:t xml:space="preserve"> 2</w:t>
      </w:r>
      <w:r w:rsidR="00C7375F">
        <w:t xml:space="preserve">, as the sponsor has stated that </w:t>
      </w:r>
      <w:r w:rsidR="002278BC">
        <w:t>“f</w:t>
      </w:r>
      <w:r w:rsidR="002278BC" w:rsidRPr="004A78D7">
        <w:t xml:space="preserve">or the purposes of the submission, it is assumed that PFS is listed </w:t>
      </w:r>
      <w:r w:rsidR="002408E2" w:rsidRPr="002408E2">
        <w:rPr>
          <w:sz w:val="2"/>
          <w:highlight w:val="black"/>
        </w:rPr>
        <w:t>redacted content</w:t>
      </w:r>
      <w:r w:rsidR="002408E2" w:rsidRPr="002408E2">
        <w:t xml:space="preserve"> </w:t>
      </w:r>
      <w:r w:rsidR="002408E2" w:rsidRPr="002408E2">
        <w:rPr>
          <w:sz w:val="2"/>
          <w:highlight w:val="black"/>
        </w:rPr>
        <w:t>redacted content</w:t>
      </w:r>
      <w:r w:rsidR="002408E2" w:rsidRPr="002408E2">
        <w:t xml:space="preserve"> </w:t>
      </w:r>
      <w:r w:rsidR="002278BC" w:rsidRPr="004A78D7">
        <w:t xml:space="preserve">after the </w:t>
      </w:r>
      <w:r w:rsidR="002278BC">
        <w:t>SC</w:t>
      </w:r>
      <w:r w:rsidR="002278BC" w:rsidRPr="004A78D7">
        <w:t xml:space="preserve"> vial and </w:t>
      </w:r>
      <w:r w:rsidR="002408E2" w:rsidRPr="002408E2">
        <w:rPr>
          <w:sz w:val="2"/>
          <w:highlight w:val="black"/>
        </w:rPr>
        <w:t>redacted content</w:t>
      </w:r>
      <w:r w:rsidR="002408E2" w:rsidRPr="002408E2">
        <w:t xml:space="preserve"> </w:t>
      </w:r>
      <w:r w:rsidR="002408E2" w:rsidRPr="002408E2">
        <w:rPr>
          <w:sz w:val="2"/>
          <w:highlight w:val="black"/>
        </w:rPr>
        <w:t>redacted content</w:t>
      </w:r>
      <w:r w:rsidR="002408E2" w:rsidRPr="002408E2">
        <w:t xml:space="preserve"> </w:t>
      </w:r>
      <w:r w:rsidR="002408E2" w:rsidRPr="002408E2">
        <w:rPr>
          <w:sz w:val="2"/>
          <w:highlight w:val="black"/>
        </w:rPr>
        <w:t>redacted content</w:t>
      </w:r>
      <w:r w:rsidR="002408E2" w:rsidRPr="002408E2">
        <w:t xml:space="preserve"> </w:t>
      </w:r>
      <w:r w:rsidR="002408E2" w:rsidRPr="002408E2">
        <w:rPr>
          <w:sz w:val="2"/>
          <w:highlight w:val="black"/>
        </w:rPr>
        <w:t>redacted content</w:t>
      </w:r>
      <w:r w:rsidR="002408E2" w:rsidRPr="002408E2">
        <w:t xml:space="preserve"> </w:t>
      </w:r>
      <w:r w:rsidR="002408E2" w:rsidRPr="002408E2">
        <w:rPr>
          <w:sz w:val="2"/>
          <w:highlight w:val="black"/>
        </w:rPr>
        <w:t>redacted content</w:t>
      </w:r>
      <w:r w:rsidR="002408E2" w:rsidRPr="002408E2">
        <w:t xml:space="preserve"> </w:t>
      </w:r>
      <w:r w:rsidR="002408E2" w:rsidRPr="002408E2">
        <w:rPr>
          <w:sz w:val="2"/>
          <w:highlight w:val="black"/>
        </w:rPr>
        <w:t>redacted content</w:t>
      </w:r>
      <w:r w:rsidR="002408E2" w:rsidRPr="002408E2">
        <w:t xml:space="preserve"> </w:t>
      </w:r>
      <w:r w:rsidR="002408E2" w:rsidRPr="002408E2">
        <w:rPr>
          <w:sz w:val="2"/>
          <w:highlight w:val="black"/>
        </w:rPr>
        <w:t>redacted content</w:t>
      </w:r>
      <w:r w:rsidR="002408E2" w:rsidRPr="002408E2">
        <w:t xml:space="preserve"> </w:t>
      </w:r>
      <w:r w:rsidR="002408E2" w:rsidRPr="002408E2">
        <w:rPr>
          <w:sz w:val="2"/>
          <w:highlight w:val="black"/>
        </w:rPr>
        <w:t>redacted content</w:t>
      </w:r>
      <w:r w:rsidR="002408E2" w:rsidRPr="002408E2">
        <w:t xml:space="preserve"> </w:t>
      </w:r>
      <w:r w:rsidR="002408E2" w:rsidRPr="002408E2">
        <w:rPr>
          <w:sz w:val="2"/>
          <w:highlight w:val="black"/>
        </w:rPr>
        <w:t>redacted content</w:t>
      </w:r>
      <w:r w:rsidR="002278BC" w:rsidRPr="005C596A">
        <w:t>.</w:t>
      </w:r>
      <w:r w:rsidR="002278BC">
        <w:t xml:space="preserve"> </w:t>
      </w:r>
      <w:r w:rsidR="002278BC" w:rsidRPr="00B5251B">
        <w:t>The rate of uptake</w:t>
      </w:r>
      <w:r w:rsidR="002278BC" w:rsidRPr="004A78D7">
        <w:rPr>
          <w:bCs/>
        </w:rPr>
        <w:t xml:space="preserve"> </w:t>
      </w:r>
      <w:proofErr w:type="gramStart"/>
      <w:r w:rsidR="002278BC" w:rsidRPr="00B5251B">
        <w:t>is based on the assumption</w:t>
      </w:r>
      <w:proofErr w:type="gramEnd"/>
      <w:r w:rsidR="002278BC" w:rsidRPr="00B5251B">
        <w:t xml:space="preserve"> that patients will rapidly preferentially</w:t>
      </w:r>
      <w:r w:rsidR="002278BC">
        <w:rPr>
          <w:b/>
        </w:rPr>
        <w:t xml:space="preserve"> </w:t>
      </w:r>
      <w:r w:rsidR="002278BC" w:rsidRPr="00B5251B">
        <w:t xml:space="preserve">adopt the PFS based on ease of use versus the </w:t>
      </w:r>
      <w:r w:rsidR="002278BC">
        <w:t>SC</w:t>
      </w:r>
      <w:r w:rsidR="002278BC" w:rsidRPr="00B5251B">
        <w:t xml:space="preserve"> vial. Should both subcutaneous presentations be listed, it is anticipated that the </w:t>
      </w:r>
      <w:r w:rsidR="002278BC">
        <w:t>SC</w:t>
      </w:r>
      <w:r w:rsidR="002278BC" w:rsidRPr="00B5251B">
        <w:t xml:space="preserve"> vial will be </w:t>
      </w:r>
      <w:r w:rsidR="002408E2" w:rsidRPr="002408E2">
        <w:rPr>
          <w:sz w:val="2"/>
          <w:highlight w:val="black"/>
        </w:rPr>
        <w:t>redacted content</w:t>
      </w:r>
      <w:r w:rsidR="002408E2" w:rsidRPr="002408E2">
        <w:t xml:space="preserve"> </w:t>
      </w:r>
      <w:r w:rsidR="002408E2" w:rsidRPr="002408E2">
        <w:rPr>
          <w:sz w:val="2"/>
          <w:highlight w:val="black"/>
        </w:rPr>
        <w:t>redacted content</w:t>
      </w:r>
      <w:r w:rsidR="002408E2" w:rsidRPr="002408E2">
        <w:t xml:space="preserve"> </w:t>
      </w:r>
      <w:r w:rsidR="002408E2" w:rsidRPr="002408E2">
        <w:rPr>
          <w:sz w:val="2"/>
          <w:highlight w:val="black"/>
        </w:rPr>
        <w:t>redacted content</w:t>
      </w:r>
      <w:r w:rsidR="002408E2" w:rsidRPr="002408E2">
        <w:t xml:space="preserve"> </w:t>
      </w:r>
      <w:r w:rsidR="002408E2" w:rsidRPr="002408E2">
        <w:rPr>
          <w:sz w:val="2"/>
          <w:highlight w:val="black"/>
        </w:rPr>
        <w:t>redacted content</w:t>
      </w:r>
      <w:r w:rsidR="002408E2" w:rsidRPr="002408E2">
        <w:t xml:space="preserve"> </w:t>
      </w:r>
      <w:r w:rsidR="002408E2" w:rsidRPr="002408E2">
        <w:rPr>
          <w:sz w:val="2"/>
          <w:highlight w:val="black"/>
        </w:rPr>
        <w:t>redacted content</w:t>
      </w:r>
      <w:r w:rsidR="002408E2" w:rsidRPr="002408E2">
        <w:t xml:space="preserve"> </w:t>
      </w:r>
      <w:r w:rsidR="002408E2" w:rsidRPr="002408E2">
        <w:rPr>
          <w:sz w:val="2"/>
          <w:highlight w:val="black"/>
        </w:rPr>
        <w:t>redacted content</w:t>
      </w:r>
      <w:r w:rsidR="002408E2" w:rsidRPr="002408E2">
        <w:t xml:space="preserve"> </w:t>
      </w:r>
      <w:r w:rsidR="002408E2" w:rsidRPr="002408E2">
        <w:rPr>
          <w:sz w:val="2"/>
          <w:highlight w:val="black"/>
        </w:rPr>
        <w:t>redacted content</w:t>
      </w:r>
      <w:r w:rsidR="005512B9">
        <w:t>”.</w:t>
      </w:r>
    </w:p>
    <w:p w14:paraId="39A5FD8E" w14:textId="4EA01F65" w:rsidR="001E456D" w:rsidRPr="00C079BC" w:rsidRDefault="001E456D" w:rsidP="00472800">
      <w:pPr>
        <w:pStyle w:val="3-BodyText"/>
        <w:rPr>
          <w:iCs/>
          <w:color w:val="FF0000"/>
        </w:rPr>
      </w:pPr>
      <w:r>
        <w:t>The number of scripts was calculated based on a pack quantity of 4</w:t>
      </w:r>
      <w:r w:rsidR="009621FA">
        <w:t>, which would cover the</w:t>
      </w:r>
      <w:r w:rsidR="006B00B7">
        <w:t xml:space="preserve"> previously</w:t>
      </w:r>
      <w:r w:rsidR="009621FA">
        <w:t xml:space="preserve"> recommended 18,8</w:t>
      </w:r>
      <w:r w:rsidR="36B5131D">
        <w:t>8</w:t>
      </w:r>
      <w:r w:rsidR="009621FA">
        <w:t>0</w:t>
      </w:r>
      <w:r w:rsidR="00F82871">
        <w:t xml:space="preserve"> </w:t>
      </w:r>
      <w:r w:rsidR="009621FA">
        <w:t xml:space="preserve">mg </w:t>
      </w:r>
      <w:r w:rsidR="00161E4C">
        <w:t xml:space="preserve">annual </w:t>
      </w:r>
      <w:r w:rsidR="00535AE6">
        <w:t xml:space="preserve">dosage </w:t>
      </w:r>
      <w:r w:rsidR="009621FA">
        <w:t>of EFG.</w:t>
      </w:r>
    </w:p>
    <w:p w14:paraId="13C3BE10" w14:textId="3D2460A0" w:rsidR="00912951" w:rsidRDefault="00912951" w:rsidP="7EFD1F40">
      <w:pPr>
        <w:pStyle w:val="3-BodyText"/>
      </w:pPr>
      <w:r>
        <w:t xml:space="preserve">The number of patients treated </w:t>
      </w:r>
      <w:proofErr w:type="gramStart"/>
      <w:r>
        <w:t xml:space="preserve">is </w:t>
      </w:r>
      <w:r w:rsidR="00BA71FA">
        <w:t>based</w:t>
      </w:r>
      <w:r>
        <w:t xml:space="preserve"> on an assumption</w:t>
      </w:r>
      <w:proofErr w:type="gramEnd"/>
      <w:r>
        <w:t xml:space="preserve"> that all gMG patients eligible for </w:t>
      </w:r>
      <w:r w:rsidR="00AA4F49">
        <w:t xml:space="preserve">other </w:t>
      </w:r>
      <w:r w:rsidR="00BA71FA">
        <w:t xml:space="preserve">therapies </w:t>
      </w:r>
      <w:r w:rsidR="00AA4F49">
        <w:t xml:space="preserve">to treat gMG </w:t>
      </w:r>
      <w:r w:rsidR="00BA71FA">
        <w:t>are using EFG SC or PFS and the other medicines hold no market share.</w:t>
      </w:r>
    </w:p>
    <w:p w14:paraId="69F0C81D" w14:textId="1D7DCAE2" w:rsidR="00F26D80" w:rsidRPr="00F26D80" w:rsidRDefault="0D029FA3" w:rsidP="32494C9F">
      <w:pPr>
        <w:pStyle w:val="3-BodyText"/>
      </w:pPr>
      <w:r>
        <w:t xml:space="preserve">The submission estimated that </w:t>
      </w:r>
      <w:r w:rsidR="008F12FC" w:rsidRPr="008F12FC">
        <w:t>20,000 to &lt; 30,000</w:t>
      </w:r>
      <w:r>
        <w:t xml:space="preserve"> </w:t>
      </w:r>
      <w:r w:rsidR="245BD4B9">
        <w:t>scripts</w:t>
      </w:r>
      <w:r>
        <w:t xml:space="preserve"> would be supplied</w:t>
      </w:r>
      <w:r w:rsidR="7E88D400">
        <w:t xml:space="preserve"> between EFG SC and PFS</w:t>
      </w:r>
      <w:r>
        <w:t xml:space="preserve"> over the first six years of listing (</w:t>
      </w:r>
      <w:r w:rsidR="00856B79" w:rsidRPr="00856B79">
        <w:t>500 to &lt; 5,000</w:t>
      </w:r>
      <w:r w:rsidR="40A59A29">
        <w:t xml:space="preserve"> in Year 1</w:t>
      </w:r>
      <w:r>
        <w:t xml:space="preserve"> to </w:t>
      </w:r>
      <w:r w:rsidR="00856B79" w:rsidRPr="00856B79">
        <w:t>500 to &lt; 5,000</w:t>
      </w:r>
      <w:r w:rsidR="40A59A29">
        <w:t xml:space="preserve"> in Year 6</w:t>
      </w:r>
      <w:r>
        <w:t>).</w:t>
      </w:r>
      <w:r w:rsidR="008F12FC">
        <w:t xml:space="preserve"> </w:t>
      </w:r>
    </w:p>
    <w:p w14:paraId="23693998" w14:textId="71EABA87" w:rsidR="09B5901F" w:rsidRDefault="09B5901F" w:rsidP="444EDE7E">
      <w:pPr>
        <w:pStyle w:val="ListParagraph"/>
        <w:spacing w:line="259" w:lineRule="auto"/>
      </w:pPr>
      <w:r>
        <w:t>The submission stated that there is expected to be no net cost to the PBS/RPBS or MBS over the forecast horizon</w:t>
      </w:r>
      <w:r w:rsidR="4819E2FF">
        <w:t xml:space="preserve"> </w:t>
      </w:r>
      <w:r w:rsidR="1F58416E">
        <w:t>from</w:t>
      </w:r>
      <w:r w:rsidR="4819E2FF">
        <w:t xml:space="preserve"> introduction of the PFS form</w:t>
      </w:r>
      <w:r>
        <w:t>, as the PFS and SC vial are at price parity and require the sam</w:t>
      </w:r>
      <w:r w:rsidR="7BACCCC3">
        <w:t>e healthcare resources (and introduction of the PFS is not expected to grow the market).</w:t>
      </w:r>
    </w:p>
    <w:p w14:paraId="74F1EFA3" w14:textId="7CAD9B36" w:rsidR="002408E2" w:rsidRDefault="6293B19C" w:rsidP="444EDE7E">
      <w:pPr>
        <w:pStyle w:val="ListParagraph"/>
        <w:spacing w:line="259" w:lineRule="auto"/>
      </w:pPr>
      <w:r>
        <w:t>The submission stated that t</w:t>
      </w:r>
      <w:r w:rsidR="0D029FA3">
        <w:t xml:space="preserve">he estimated financial impact to the PBS/RPBS for the listing of </w:t>
      </w:r>
      <w:r w:rsidR="4AE47A69">
        <w:t>EFG</w:t>
      </w:r>
      <w:r w:rsidR="30F163B4">
        <w:t xml:space="preserve"> PFS</w:t>
      </w:r>
      <w:r w:rsidR="0D029FA3">
        <w:t xml:space="preserve"> is </w:t>
      </w:r>
      <w:r w:rsidR="006434E5" w:rsidRPr="006434E5">
        <w:t>&gt; $1 billion</w:t>
      </w:r>
      <w:r w:rsidR="2C9709B4">
        <w:t xml:space="preserve"> </w:t>
      </w:r>
      <w:r w:rsidR="0D029FA3">
        <w:t xml:space="preserve">over six years (Year 1 </w:t>
      </w:r>
      <w:r w:rsidR="00596F25" w:rsidRPr="00596F25">
        <w:t>$80 million to &lt; $90 million</w:t>
      </w:r>
      <w:r w:rsidR="0D029FA3">
        <w:t xml:space="preserve"> to Year 6 </w:t>
      </w:r>
      <w:r w:rsidR="00173473" w:rsidRPr="00173473">
        <w:t>$400 million to &lt; $500 million</w:t>
      </w:r>
      <w:r w:rsidR="0D029FA3">
        <w:t>)</w:t>
      </w:r>
      <w:r w:rsidR="07C11D94">
        <w:t xml:space="preserve">, based </w:t>
      </w:r>
      <w:r w:rsidR="7C53821C">
        <w:t xml:space="preserve">estimated PFS script volume and </w:t>
      </w:r>
      <w:r w:rsidR="07C11D94">
        <w:t>on the published PFS price</w:t>
      </w:r>
      <w:r w:rsidR="0D029FA3">
        <w:t>.</w:t>
      </w:r>
      <w:r w:rsidR="49625175">
        <w:t xml:space="preserve"> </w:t>
      </w:r>
      <w:r w:rsidR="35C366B0">
        <w:t>T</w:t>
      </w:r>
      <w:r w:rsidR="49625175">
        <w:t xml:space="preserve">his is </w:t>
      </w:r>
      <w:r w:rsidR="008F4C90">
        <w:t xml:space="preserve">offset </w:t>
      </w:r>
      <w:r w:rsidR="49625175">
        <w:t xml:space="preserve">by </w:t>
      </w:r>
      <w:r w:rsidR="257A5378">
        <w:t xml:space="preserve">the </w:t>
      </w:r>
      <w:r w:rsidR="49625175">
        <w:t>estimated displacement of SC scripts.</w:t>
      </w:r>
    </w:p>
    <w:p w14:paraId="2B286D1D" w14:textId="77777777" w:rsidR="002408E2" w:rsidRDefault="002408E2">
      <w:pPr>
        <w:jc w:val="left"/>
        <w:rPr>
          <w:rFonts w:asciiTheme="minorHAnsi" w:hAnsiTheme="minorHAnsi" w:cs="Arial"/>
          <w:snapToGrid w:val="0"/>
        </w:rPr>
      </w:pPr>
      <w:r>
        <w:br w:type="page"/>
      </w:r>
    </w:p>
    <w:p w14:paraId="5776D7DB" w14:textId="66CA1A4C" w:rsidR="00272DE5" w:rsidRPr="001661F3" w:rsidRDefault="00D9315D" w:rsidP="00D9315D">
      <w:pPr>
        <w:pStyle w:val="Caption"/>
        <w:rPr>
          <w:rFonts w:asciiTheme="minorHAnsi" w:hAnsiTheme="minorHAnsi" w:cstheme="minorHAnsi"/>
          <w:sz w:val="24"/>
          <w:szCs w:val="24"/>
        </w:rPr>
      </w:pPr>
      <w:bookmarkStart w:id="6" w:name="_Hlk121755068"/>
      <w:r>
        <w:lastRenderedPageBreak/>
        <w:t xml:space="preserve">Table </w:t>
      </w:r>
      <w:fldSimple w:instr=" SEQ Table \* ARABIC ">
        <w:r>
          <w:rPr>
            <w:noProof/>
          </w:rPr>
          <w:t>2</w:t>
        </w:r>
      </w:fldSimple>
      <w:r w:rsidR="00D70349" w:rsidRPr="00A6439B">
        <w:rPr>
          <w:rFonts w:eastAsiaTheme="majorEastAsia"/>
        </w:rPr>
        <w:t>:</w:t>
      </w:r>
      <w:bookmarkEnd w:id="6"/>
      <w:r w:rsidR="00D70349" w:rsidRPr="00A6439B">
        <w:rPr>
          <w:rFonts w:eastAsiaTheme="majorEastAsia"/>
        </w:rPr>
        <w:t xml:space="preserve"> </w:t>
      </w:r>
      <w:r w:rsidR="000C34DF">
        <w:rPr>
          <w:rFonts w:eastAsiaTheme="majorEastAsia"/>
        </w:rPr>
        <w:t>Esti</w:t>
      </w:r>
      <w:r w:rsidR="00D70349" w:rsidRPr="00A6439B">
        <w:rPr>
          <w:rStyle w:val="CommentReference"/>
          <w:sz w:val="20"/>
          <w:szCs w:val="22"/>
        </w:rPr>
        <w:t>mated use and financial implications</w:t>
      </w:r>
      <w:r w:rsidR="00BF6DA4">
        <w:rPr>
          <w:rStyle w:val="CommentReference"/>
          <w:sz w:val="20"/>
          <w:szCs w:val="22"/>
        </w:rPr>
        <w:t xml:space="preserve"> of EFG SC &amp; PFS</w:t>
      </w:r>
    </w:p>
    <w:tbl>
      <w:tblPr>
        <w:tblW w:w="495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998"/>
        <w:gridCol w:w="1156"/>
        <w:gridCol w:w="1156"/>
        <w:gridCol w:w="1157"/>
        <w:gridCol w:w="1157"/>
        <w:gridCol w:w="1157"/>
        <w:gridCol w:w="1157"/>
      </w:tblGrid>
      <w:tr w:rsidR="00D70349" w:rsidRPr="00A6439B" w14:paraId="50517F09" w14:textId="77777777" w:rsidTr="444EDE7E">
        <w:trPr>
          <w:cantSplit/>
          <w:tblHeader/>
          <w:jc w:val="center"/>
        </w:trPr>
        <w:tc>
          <w:tcPr>
            <w:tcW w:w="1118" w:type="pct"/>
            <w:vAlign w:val="center"/>
          </w:tcPr>
          <w:p w14:paraId="146FDDC6" w14:textId="77777777" w:rsidR="00D70349" w:rsidRPr="00C90E0C" w:rsidRDefault="00D70349" w:rsidP="00222680">
            <w:pPr>
              <w:pStyle w:val="TableText0"/>
              <w:keepLines/>
              <w:rPr>
                <w:szCs w:val="20"/>
              </w:rPr>
            </w:pPr>
          </w:p>
        </w:tc>
        <w:tc>
          <w:tcPr>
            <w:tcW w:w="647" w:type="pct"/>
            <w:vAlign w:val="center"/>
          </w:tcPr>
          <w:p w14:paraId="229BAAA8" w14:textId="77777777" w:rsidR="00D70349" w:rsidRPr="00C90E0C" w:rsidRDefault="00D70349" w:rsidP="00222680">
            <w:pPr>
              <w:pStyle w:val="TableText0"/>
              <w:keepLines/>
              <w:rPr>
                <w:b/>
                <w:szCs w:val="20"/>
              </w:rPr>
            </w:pPr>
            <w:r w:rsidRPr="00C90E0C">
              <w:rPr>
                <w:b/>
                <w:szCs w:val="20"/>
              </w:rPr>
              <w:t>Year 1</w:t>
            </w:r>
          </w:p>
        </w:tc>
        <w:tc>
          <w:tcPr>
            <w:tcW w:w="647" w:type="pct"/>
            <w:vAlign w:val="center"/>
          </w:tcPr>
          <w:p w14:paraId="48EEAB93" w14:textId="77777777" w:rsidR="00D70349" w:rsidRPr="00C90E0C" w:rsidRDefault="00D70349" w:rsidP="00222680">
            <w:pPr>
              <w:pStyle w:val="TableText0"/>
              <w:keepLines/>
              <w:rPr>
                <w:b/>
                <w:szCs w:val="20"/>
              </w:rPr>
            </w:pPr>
            <w:r w:rsidRPr="00C90E0C">
              <w:rPr>
                <w:b/>
                <w:szCs w:val="20"/>
              </w:rPr>
              <w:t>Year 2</w:t>
            </w:r>
          </w:p>
        </w:tc>
        <w:tc>
          <w:tcPr>
            <w:tcW w:w="647" w:type="pct"/>
            <w:vAlign w:val="center"/>
          </w:tcPr>
          <w:p w14:paraId="0738F741" w14:textId="77777777" w:rsidR="00D70349" w:rsidRPr="00C90E0C" w:rsidRDefault="00D70349" w:rsidP="00222680">
            <w:pPr>
              <w:pStyle w:val="TableText0"/>
              <w:keepLines/>
              <w:rPr>
                <w:b/>
                <w:szCs w:val="20"/>
              </w:rPr>
            </w:pPr>
            <w:r w:rsidRPr="00C90E0C">
              <w:rPr>
                <w:b/>
                <w:szCs w:val="20"/>
              </w:rPr>
              <w:t>Year 3</w:t>
            </w:r>
          </w:p>
        </w:tc>
        <w:tc>
          <w:tcPr>
            <w:tcW w:w="647" w:type="pct"/>
            <w:vAlign w:val="center"/>
          </w:tcPr>
          <w:p w14:paraId="2F722BB7" w14:textId="77777777" w:rsidR="00D70349" w:rsidRPr="00C90E0C" w:rsidRDefault="00D70349" w:rsidP="00222680">
            <w:pPr>
              <w:pStyle w:val="TableText0"/>
              <w:keepLines/>
              <w:rPr>
                <w:b/>
                <w:szCs w:val="20"/>
              </w:rPr>
            </w:pPr>
            <w:r w:rsidRPr="00C90E0C">
              <w:rPr>
                <w:b/>
                <w:szCs w:val="20"/>
              </w:rPr>
              <w:t>Year 4</w:t>
            </w:r>
          </w:p>
        </w:tc>
        <w:tc>
          <w:tcPr>
            <w:tcW w:w="647" w:type="pct"/>
            <w:vAlign w:val="center"/>
          </w:tcPr>
          <w:p w14:paraId="4A03E0AC" w14:textId="77777777" w:rsidR="00D70349" w:rsidRPr="00C90E0C" w:rsidRDefault="00D70349" w:rsidP="00222680">
            <w:pPr>
              <w:pStyle w:val="TableText0"/>
              <w:keepLines/>
              <w:rPr>
                <w:b/>
                <w:szCs w:val="20"/>
              </w:rPr>
            </w:pPr>
            <w:r w:rsidRPr="00C90E0C">
              <w:rPr>
                <w:b/>
                <w:szCs w:val="20"/>
              </w:rPr>
              <w:t>Year 5</w:t>
            </w:r>
          </w:p>
        </w:tc>
        <w:tc>
          <w:tcPr>
            <w:tcW w:w="647" w:type="pct"/>
          </w:tcPr>
          <w:p w14:paraId="11CF147B" w14:textId="77777777" w:rsidR="00D70349" w:rsidRPr="00C90E0C" w:rsidRDefault="00D70349" w:rsidP="00222680">
            <w:pPr>
              <w:pStyle w:val="TableText0"/>
              <w:keepLines/>
              <w:rPr>
                <w:b/>
                <w:szCs w:val="20"/>
              </w:rPr>
            </w:pPr>
            <w:r w:rsidRPr="00C90E0C">
              <w:rPr>
                <w:b/>
                <w:szCs w:val="20"/>
              </w:rPr>
              <w:t>Year 6</w:t>
            </w:r>
          </w:p>
        </w:tc>
      </w:tr>
      <w:tr w:rsidR="00D70349" w:rsidRPr="00A6439B" w14:paraId="07125BC5" w14:textId="77777777" w:rsidTr="444EDE7E">
        <w:trPr>
          <w:cantSplit/>
          <w:jc w:val="center"/>
        </w:trPr>
        <w:tc>
          <w:tcPr>
            <w:tcW w:w="5000" w:type="pct"/>
            <w:gridSpan w:val="7"/>
            <w:vAlign w:val="center"/>
          </w:tcPr>
          <w:p w14:paraId="618359A1" w14:textId="77777777" w:rsidR="00D70349" w:rsidRPr="00C90E0C" w:rsidRDefault="00D70349" w:rsidP="00222680">
            <w:pPr>
              <w:pStyle w:val="TableText0"/>
              <w:keepLines/>
              <w:rPr>
                <w:b/>
                <w:color w:val="000000"/>
                <w:szCs w:val="20"/>
              </w:rPr>
            </w:pPr>
            <w:r w:rsidRPr="00C90E0C">
              <w:rPr>
                <w:b/>
                <w:color w:val="000000"/>
                <w:szCs w:val="20"/>
              </w:rPr>
              <w:t>Estimated extent of use</w:t>
            </w:r>
          </w:p>
        </w:tc>
      </w:tr>
      <w:tr w:rsidR="001D1D70" w:rsidRPr="00A6439B" w14:paraId="5D4B879C" w14:textId="77777777" w:rsidTr="444EDE7E">
        <w:trPr>
          <w:cantSplit/>
          <w:jc w:val="center"/>
        </w:trPr>
        <w:tc>
          <w:tcPr>
            <w:tcW w:w="1118" w:type="pct"/>
            <w:shd w:val="clear" w:color="auto" w:fill="FFFFFF" w:themeFill="background1"/>
            <w:vAlign w:val="center"/>
          </w:tcPr>
          <w:p w14:paraId="3D1A83AD" w14:textId="3A42C48C" w:rsidR="001D1D70" w:rsidRPr="00943F9C" w:rsidRDefault="001D1D70" w:rsidP="001D1D70">
            <w:pPr>
              <w:pStyle w:val="TableText0"/>
              <w:keepLines/>
              <w:rPr>
                <w:szCs w:val="20"/>
              </w:rPr>
            </w:pPr>
            <w:r w:rsidRPr="00943F9C">
              <w:rPr>
                <w:szCs w:val="20"/>
              </w:rPr>
              <w:t>Number of patients treated</w:t>
            </w:r>
            <w:r w:rsidR="00E16727" w:rsidRPr="00943F9C">
              <w:rPr>
                <w:szCs w:val="20"/>
              </w:rPr>
              <w:t xml:space="preserve"> (SC &amp; PFS)</w:t>
            </w:r>
            <w:r w:rsidR="00001A46" w:rsidRPr="00943F9C">
              <w:rPr>
                <w:szCs w:val="20"/>
              </w:rPr>
              <w:t xml:space="preserve"> </w:t>
            </w:r>
          </w:p>
        </w:tc>
        <w:tc>
          <w:tcPr>
            <w:tcW w:w="647" w:type="pct"/>
            <w:tcBorders>
              <w:top w:val="nil"/>
              <w:left w:val="nil"/>
              <w:bottom w:val="single" w:sz="4" w:space="0" w:color="auto"/>
              <w:right w:val="single" w:sz="4" w:space="0" w:color="auto"/>
            </w:tcBorders>
            <w:shd w:val="clear" w:color="auto" w:fill="FFFFFF" w:themeFill="background1"/>
            <w:vAlign w:val="center"/>
          </w:tcPr>
          <w:p w14:paraId="3D3A69E7" w14:textId="00F13FA7" w:rsidR="001D1D70" w:rsidRPr="00C90E0C" w:rsidRDefault="002408E2" w:rsidP="001D1D70">
            <w:pPr>
              <w:pStyle w:val="TableText0"/>
              <w:keepLines/>
              <w:jc w:val="right"/>
              <w:rPr>
                <w:bCs w:val="0"/>
                <w:color w:val="000000"/>
                <w:szCs w:val="20"/>
              </w:rPr>
            </w:pPr>
            <w:r w:rsidRPr="002408E2">
              <w:rPr>
                <w:rFonts w:cs="Arial"/>
                <w:bCs w:val="0"/>
                <w:sz w:val="2"/>
                <w:szCs w:val="20"/>
                <w:highlight w:val="black"/>
              </w:rPr>
              <w:t>redacted content</w:t>
            </w:r>
            <w:r w:rsidR="000A7F37">
              <w:rPr>
                <w:rFonts w:cs="Arial"/>
                <w:bCs w:val="0"/>
                <w:szCs w:val="20"/>
                <w:vertAlign w:val="superscript"/>
              </w:rPr>
              <w:t>1</w:t>
            </w:r>
            <w:r w:rsidR="001D1D70" w:rsidRPr="00C90E0C">
              <w:rPr>
                <w:rFonts w:cs="Arial"/>
                <w:bCs w:val="0"/>
                <w:szCs w:val="20"/>
              </w:rPr>
              <w:t xml:space="preserve"> </w:t>
            </w:r>
          </w:p>
        </w:tc>
        <w:tc>
          <w:tcPr>
            <w:tcW w:w="647" w:type="pct"/>
            <w:tcBorders>
              <w:top w:val="nil"/>
              <w:left w:val="nil"/>
              <w:bottom w:val="single" w:sz="4" w:space="0" w:color="auto"/>
              <w:right w:val="single" w:sz="4" w:space="0" w:color="auto"/>
            </w:tcBorders>
            <w:shd w:val="clear" w:color="auto" w:fill="FFFFFF" w:themeFill="background1"/>
            <w:vAlign w:val="center"/>
          </w:tcPr>
          <w:p w14:paraId="04FD8588" w14:textId="6C2ADC49" w:rsidR="001D1D70" w:rsidRPr="00C90E0C" w:rsidRDefault="002408E2" w:rsidP="001D1D70">
            <w:pPr>
              <w:pStyle w:val="TableText0"/>
              <w:keepLines/>
              <w:jc w:val="right"/>
              <w:rPr>
                <w:bCs w:val="0"/>
                <w:color w:val="000000"/>
                <w:szCs w:val="20"/>
              </w:rPr>
            </w:pPr>
            <w:r w:rsidRPr="002408E2">
              <w:rPr>
                <w:rFonts w:cs="Arial"/>
                <w:bCs w:val="0"/>
                <w:sz w:val="2"/>
                <w:szCs w:val="20"/>
                <w:highlight w:val="black"/>
              </w:rPr>
              <w:t>redacted content</w:t>
            </w:r>
            <w:r w:rsidR="000A7F37">
              <w:rPr>
                <w:rFonts w:cs="Arial"/>
                <w:bCs w:val="0"/>
                <w:szCs w:val="20"/>
                <w:vertAlign w:val="superscript"/>
              </w:rPr>
              <w:t>1</w:t>
            </w:r>
            <w:r w:rsidR="001D1D70" w:rsidRPr="00C90E0C">
              <w:rPr>
                <w:rFonts w:cs="Arial"/>
                <w:bCs w:val="0"/>
                <w:szCs w:val="20"/>
              </w:rPr>
              <w:t xml:space="preserve"> </w:t>
            </w:r>
          </w:p>
        </w:tc>
        <w:tc>
          <w:tcPr>
            <w:tcW w:w="647" w:type="pct"/>
            <w:tcBorders>
              <w:top w:val="nil"/>
              <w:left w:val="nil"/>
              <w:bottom w:val="single" w:sz="4" w:space="0" w:color="auto"/>
              <w:right w:val="single" w:sz="4" w:space="0" w:color="auto"/>
            </w:tcBorders>
            <w:shd w:val="clear" w:color="auto" w:fill="FFFFFF" w:themeFill="background1"/>
            <w:vAlign w:val="center"/>
          </w:tcPr>
          <w:p w14:paraId="0CF8783E" w14:textId="3182D119" w:rsidR="001D1D70" w:rsidRPr="00C90E0C" w:rsidRDefault="002408E2" w:rsidP="001D1D70">
            <w:pPr>
              <w:pStyle w:val="TableText0"/>
              <w:keepLines/>
              <w:jc w:val="right"/>
              <w:rPr>
                <w:bCs w:val="0"/>
                <w:color w:val="000000"/>
                <w:szCs w:val="20"/>
              </w:rPr>
            </w:pPr>
            <w:r w:rsidRPr="002408E2">
              <w:rPr>
                <w:rFonts w:cs="Arial"/>
                <w:bCs w:val="0"/>
                <w:sz w:val="2"/>
                <w:szCs w:val="20"/>
                <w:highlight w:val="black"/>
              </w:rPr>
              <w:t>redacted content</w:t>
            </w:r>
            <w:r w:rsidR="000A7F37">
              <w:rPr>
                <w:rFonts w:cs="Arial"/>
                <w:bCs w:val="0"/>
                <w:szCs w:val="20"/>
                <w:vertAlign w:val="superscript"/>
              </w:rPr>
              <w:t>1</w:t>
            </w:r>
            <w:r w:rsidR="001D1D70" w:rsidRPr="00C90E0C">
              <w:rPr>
                <w:rFonts w:cs="Arial"/>
                <w:bCs w:val="0"/>
                <w:szCs w:val="20"/>
              </w:rPr>
              <w:t xml:space="preserve"> </w:t>
            </w:r>
          </w:p>
        </w:tc>
        <w:tc>
          <w:tcPr>
            <w:tcW w:w="647" w:type="pct"/>
            <w:tcBorders>
              <w:top w:val="nil"/>
              <w:left w:val="nil"/>
              <w:bottom w:val="single" w:sz="4" w:space="0" w:color="auto"/>
              <w:right w:val="single" w:sz="4" w:space="0" w:color="auto"/>
            </w:tcBorders>
            <w:shd w:val="clear" w:color="auto" w:fill="FFFFFF" w:themeFill="background1"/>
            <w:vAlign w:val="center"/>
          </w:tcPr>
          <w:p w14:paraId="3329A117" w14:textId="47663BF4" w:rsidR="001D1D70" w:rsidRPr="00C90E0C" w:rsidRDefault="002408E2" w:rsidP="001D1D70">
            <w:pPr>
              <w:pStyle w:val="TableText0"/>
              <w:keepLines/>
              <w:jc w:val="right"/>
              <w:rPr>
                <w:bCs w:val="0"/>
                <w:color w:val="000000"/>
                <w:szCs w:val="20"/>
              </w:rPr>
            </w:pPr>
            <w:r w:rsidRPr="002408E2">
              <w:rPr>
                <w:rFonts w:cs="Arial"/>
                <w:bCs w:val="0"/>
                <w:sz w:val="2"/>
                <w:szCs w:val="20"/>
                <w:highlight w:val="black"/>
              </w:rPr>
              <w:t>redacted content</w:t>
            </w:r>
            <w:r w:rsidR="000A7F37">
              <w:rPr>
                <w:rFonts w:cs="Arial"/>
                <w:bCs w:val="0"/>
                <w:szCs w:val="20"/>
                <w:vertAlign w:val="superscript"/>
              </w:rPr>
              <w:t>1</w:t>
            </w:r>
            <w:r w:rsidR="001D1D70" w:rsidRPr="00C90E0C">
              <w:rPr>
                <w:rFonts w:cs="Arial"/>
                <w:bCs w:val="0"/>
                <w:szCs w:val="20"/>
              </w:rPr>
              <w:t xml:space="preserve"> </w:t>
            </w:r>
          </w:p>
        </w:tc>
        <w:tc>
          <w:tcPr>
            <w:tcW w:w="647" w:type="pct"/>
            <w:tcBorders>
              <w:top w:val="nil"/>
              <w:left w:val="nil"/>
              <w:bottom w:val="single" w:sz="4" w:space="0" w:color="auto"/>
              <w:right w:val="single" w:sz="4" w:space="0" w:color="auto"/>
            </w:tcBorders>
            <w:shd w:val="clear" w:color="auto" w:fill="FFFFFF" w:themeFill="background1"/>
            <w:vAlign w:val="center"/>
          </w:tcPr>
          <w:p w14:paraId="5F15BC88" w14:textId="5EE19506" w:rsidR="001D1D70" w:rsidRPr="00C90E0C" w:rsidRDefault="002408E2" w:rsidP="001D1D70">
            <w:pPr>
              <w:pStyle w:val="TableText0"/>
              <w:keepLines/>
              <w:jc w:val="right"/>
              <w:rPr>
                <w:bCs w:val="0"/>
                <w:color w:val="000000"/>
                <w:szCs w:val="20"/>
              </w:rPr>
            </w:pPr>
            <w:r w:rsidRPr="002408E2">
              <w:rPr>
                <w:rFonts w:cs="Arial"/>
                <w:bCs w:val="0"/>
                <w:sz w:val="2"/>
                <w:szCs w:val="20"/>
                <w:highlight w:val="black"/>
              </w:rPr>
              <w:t>redacted content</w:t>
            </w:r>
            <w:r w:rsidR="000A7F37">
              <w:rPr>
                <w:rFonts w:cs="Arial"/>
                <w:bCs w:val="0"/>
                <w:szCs w:val="20"/>
                <w:vertAlign w:val="superscript"/>
              </w:rPr>
              <w:t>1</w:t>
            </w:r>
            <w:r w:rsidR="001D1D70" w:rsidRPr="00C90E0C">
              <w:rPr>
                <w:rFonts w:cs="Arial"/>
                <w:bCs w:val="0"/>
                <w:szCs w:val="20"/>
              </w:rPr>
              <w:t xml:space="preserve"> </w:t>
            </w:r>
          </w:p>
        </w:tc>
        <w:tc>
          <w:tcPr>
            <w:tcW w:w="647" w:type="pct"/>
            <w:tcBorders>
              <w:top w:val="nil"/>
              <w:left w:val="nil"/>
              <w:bottom w:val="single" w:sz="4" w:space="0" w:color="auto"/>
              <w:right w:val="single" w:sz="4" w:space="0" w:color="auto"/>
            </w:tcBorders>
            <w:shd w:val="clear" w:color="auto" w:fill="FFFFFF" w:themeFill="background1"/>
            <w:vAlign w:val="center"/>
          </w:tcPr>
          <w:p w14:paraId="5FEE8AB1" w14:textId="2E6091DA" w:rsidR="001D1D70" w:rsidRPr="00C90E0C" w:rsidRDefault="002408E2" w:rsidP="001D1D70">
            <w:pPr>
              <w:pStyle w:val="TableText0"/>
              <w:keepLines/>
              <w:jc w:val="right"/>
              <w:rPr>
                <w:bCs w:val="0"/>
                <w:color w:val="000000"/>
                <w:szCs w:val="20"/>
              </w:rPr>
            </w:pPr>
            <w:r w:rsidRPr="002408E2">
              <w:rPr>
                <w:rFonts w:cs="Arial"/>
                <w:bCs w:val="0"/>
                <w:sz w:val="2"/>
                <w:szCs w:val="20"/>
                <w:highlight w:val="black"/>
              </w:rPr>
              <w:t>redacted content</w:t>
            </w:r>
            <w:r w:rsidR="000A7F37">
              <w:rPr>
                <w:rFonts w:cs="Arial"/>
                <w:bCs w:val="0"/>
                <w:szCs w:val="20"/>
                <w:vertAlign w:val="superscript"/>
              </w:rPr>
              <w:t>1</w:t>
            </w:r>
            <w:r w:rsidR="001D1D70" w:rsidRPr="00C90E0C">
              <w:rPr>
                <w:rFonts w:cs="Arial"/>
                <w:bCs w:val="0"/>
                <w:szCs w:val="20"/>
              </w:rPr>
              <w:t xml:space="preserve"> </w:t>
            </w:r>
          </w:p>
        </w:tc>
      </w:tr>
      <w:tr w:rsidR="00AA74CE" w:rsidRPr="00A6439B" w14:paraId="6815E9D0" w14:textId="77777777" w:rsidTr="444EDE7E">
        <w:trPr>
          <w:cantSplit/>
          <w:jc w:val="center"/>
        </w:trPr>
        <w:tc>
          <w:tcPr>
            <w:tcW w:w="1118" w:type="pct"/>
            <w:shd w:val="clear" w:color="auto" w:fill="FFFFFF" w:themeFill="background1"/>
            <w:vAlign w:val="center"/>
          </w:tcPr>
          <w:p w14:paraId="466155A2" w14:textId="70ECF51F" w:rsidR="00AA74CE" w:rsidRPr="00943F9C" w:rsidRDefault="00AA74CE" w:rsidP="00AA74CE">
            <w:pPr>
              <w:pStyle w:val="TableText0"/>
              <w:keepLines/>
              <w:rPr>
                <w:szCs w:val="20"/>
              </w:rPr>
            </w:pPr>
            <w:r w:rsidRPr="00943F9C">
              <w:rPr>
                <w:szCs w:val="20"/>
              </w:rPr>
              <w:t>Number of scripts dispensed (SC &amp; PFS)</w:t>
            </w:r>
          </w:p>
        </w:tc>
        <w:tc>
          <w:tcPr>
            <w:tcW w:w="647" w:type="pct"/>
            <w:tcBorders>
              <w:top w:val="nil"/>
              <w:left w:val="nil"/>
              <w:bottom w:val="single" w:sz="4" w:space="0" w:color="auto"/>
              <w:right w:val="single" w:sz="4" w:space="0" w:color="auto"/>
            </w:tcBorders>
            <w:shd w:val="clear" w:color="auto" w:fill="FFFFFF" w:themeFill="background1"/>
            <w:vAlign w:val="center"/>
          </w:tcPr>
          <w:p w14:paraId="1F1F054A" w14:textId="1EF2636E" w:rsidR="00AA74CE" w:rsidRPr="002408E2" w:rsidRDefault="002408E2" w:rsidP="00AA74CE">
            <w:pPr>
              <w:pStyle w:val="TableText0"/>
              <w:keepLines/>
              <w:jc w:val="right"/>
              <w:rPr>
                <w:rFonts w:cs="Arial"/>
                <w:bCs w:val="0"/>
                <w:szCs w:val="20"/>
                <w:vertAlign w:val="superscript"/>
              </w:rPr>
            </w:pPr>
            <w:r w:rsidRPr="002408E2">
              <w:rPr>
                <w:rFonts w:cs="Arial"/>
                <w:bCs w:val="0"/>
                <w:sz w:val="2"/>
                <w:szCs w:val="20"/>
                <w:highlight w:val="black"/>
              </w:rPr>
              <w:t>redacted content</w:t>
            </w:r>
            <w:r w:rsidR="000A7F37">
              <w:rPr>
                <w:rFonts w:cs="Arial"/>
                <w:bCs w:val="0"/>
                <w:szCs w:val="20"/>
                <w:vertAlign w:val="superscript"/>
              </w:rPr>
              <w:t>1</w:t>
            </w:r>
          </w:p>
        </w:tc>
        <w:tc>
          <w:tcPr>
            <w:tcW w:w="647" w:type="pct"/>
            <w:tcBorders>
              <w:top w:val="nil"/>
              <w:left w:val="nil"/>
              <w:bottom w:val="single" w:sz="4" w:space="0" w:color="auto"/>
              <w:right w:val="single" w:sz="4" w:space="0" w:color="auto"/>
            </w:tcBorders>
            <w:shd w:val="clear" w:color="auto" w:fill="FFFFFF" w:themeFill="background1"/>
            <w:vAlign w:val="center"/>
          </w:tcPr>
          <w:p w14:paraId="041AAEC5" w14:textId="66352710" w:rsidR="00AA74CE" w:rsidRPr="002408E2" w:rsidRDefault="002408E2" w:rsidP="00AA74CE">
            <w:pPr>
              <w:pStyle w:val="TableText0"/>
              <w:keepLines/>
              <w:jc w:val="right"/>
              <w:rPr>
                <w:rFonts w:cs="Arial"/>
                <w:bCs w:val="0"/>
                <w:szCs w:val="20"/>
                <w:vertAlign w:val="superscript"/>
              </w:rPr>
            </w:pPr>
            <w:r w:rsidRPr="002408E2">
              <w:rPr>
                <w:rFonts w:cs="Arial"/>
                <w:bCs w:val="0"/>
                <w:sz w:val="2"/>
                <w:szCs w:val="20"/>
                <w:highlight w:val="black"/>
              </w:rPr>
              <w:t>redacted content</w:t>
            </w:r>
            <w:r w:rsidR="000A7F37">
              <w:rPr>
                <w:rFonts w:cs="Arial"/>
                <w:bCs w:val="0"/>
                <w:szCs w:val="20"/>
                <w:vertAlign w:val="superscript"/>
              </w:rPr>
              <w:t>1</w:t>
            </w:r>
          </w:p>
        </w:tc>
        <w:tc>
          <w:tcPr>
            <w:tcW w:w="647" w:type="pct"/>
            <w:tcBorders>
              <w:top w:val="nil"/>
              <w:left w:val="nil"/>
              <w:bottom w:val="single" w:sz="4" w:space="0" w:color="auto"/>
              <w:right w:val="single" w:sz="4" w:space="0" w:color="auto"/>
            </w:tcBorders>
            <w:shd w:val="clear" w:color="auto" w:fill="FFFFFF" w:themeFill="background1"/>
            <w:vAlign w:val="center"/>
          </w:tcPr>
          <w:p w14:paraId="0EAF689A" w14:textId="4ED19DD1" w:rsidR="00AA74CE" w:rsidRPr="00C90E0C" w:rsidRDefault="002408E2" w:rsidP="00AA74CE">
            <w:pPr>
              <w:pStyle w:val="TableText0"/>
              <w:keepLines/>
              <w:jc w:val="right"/>
              <w:rPr>
                <w:rFonts w:cs="Arial"/>
                <w:bCs w:val="0"/>
                <w:szCs w:val="20"/>
              </w:rPr>
            </w:pPr>
            <w:r w:rsidRPr="002408E2">
              <w:rPr>
                <w:bCs w:val="0"/>
                <w:sz w:val="2"/>
                <w:szCs w:val="20"/>
                <w:highlight w:val="black"/>
              </w:rPr>
              <w:t>redacted content</w:t>
            </w:r>
            <w:r w:rsidR="000A7F37">
              <w:rPr>
                <w:bCs w:val="0"/>
                <w:szCs w:val="20"/>
                <w:vertAlign w:val="superscript"/>
              </w:rPr>
              <w:t>1</w:t>
            </w:r>
            <w:r w:rsidR="00AA74CE" w:rsidRPr="00C90E0C">
              <w:rPr>
                <w:bCs w:val="0"/>
                <w:szCs w:val="20"/>
              </w:rPr>
              <w:t xml:space="preserve"> </w:t>
            </w:r>
          </w:p>
        </w:tc>
        <w:tc>
          <w:tcPr>
            <w:tcW w:w="647" w:type="pct"/>
            <w:tcBorders>
              <w:top w:val="nil"/>
              <w:left w:val="nil"/>
              <w:bottom w:val="single" w:sz="4" w:space="0" w:color="auto"/>
              <w:right w:val="single" w:sz="4" w:space="0" w:color="auto"/>
            </w:tcBorders>
            <w:shd w:val="clear" w:color="auto" w:fill="FFFFFF" w:themeFill="background1"/>
            <w:vAlign w:val="center"/>
          </w:tcPr>
          <w:p w14:paraId="7A4C95C9" w14:textId="4D7167C2" w:rsidR="00AA74CE" w:rsidRPr="002408E2" w:rsidRDefault="002408E2" w:rsidP="00AA74CE">
            <w:pPr>
              <w:pStyle w:val="TableText0"/>
              <w:keepLines/>
              <w:jc w:val="right"/>
              <w:rPr>
                <w:rFonts w:cs="Arial"/>
                <w:bCs w:val="0"/>
                <w:szCs w:val="20"/>
                <w:vertAlign w:val="superscript"/>
              </w:rPr>
            </w:pPr>
            <w:r w:rsidRPr="002408E2">
              <w:rPr>
                <w:bCs w:val="0"/>
                <w:sz w:val="2"/>
                <w:szCs w:val="20"/>
                <w:highlight w:val="black"/>
              </w:rPr>
              <w:t>redacted content</w:t>
            </w:r>
            <w:r w:rsidR="000A7F37">
              <w:rPr>
                <w:bCs w:val="0"/>
                <w:szCs w:val="20"/>
                <w:vertAlign w:val="superscript"/>
              </w:rPr>
              <w:t>1</w:t>
            </w:r>
          </w:p>
        </w:tc>
        <w:tc>
          <w:tcPr>
            <w:tcW w:w="647" w:type="pct"/>
            <w:tcBorders>
              <w:top w:val="nil"/>
              <w:left w:val="nil"/>
              <w:bottom w:val="single" w:sz="4" w:space="0" w:color="auto"/>
              <w:right w:val="single" w:sz="4" w:space="0" w:color="auto"/>
            </w:tcBorders>
            <w:shd w:val="clear" w:color="auto" w:fill="FFFFFF" w:themeFill="background1"/>
            <w:vAlign w:val="center"/>
          </w:tcPr>
          <w:p w14:paraId="671B48E9" w14:textId="108DA5D4" w:rsidR="00AA74CE" w:rsidRPr="00C90E0C" w:rsidRDefault="002408E2" w:rsidP="00AA74CE">
            <w:pPr>
              <w:pStyle w:val="TableText0"/>
              <w:keepLines/>
              <w:jc w:val="right"/>
              <w:rPr>
                <w:rFonts w:cs="Arial"/>
                <w:bCs w:val="0"/>
                <w:szCs w:val="20"/>
              </w:rPr>
            </w:pPr>
            <w:r w:rsidRPr="002408E2">
              <w:rPr>
                <w:bCs w:val="0"/>
                <w:sz w:val="2"/>
                <w:szCs w:val="20"/>
                <w:highlight w:val="black"/>
              </w:rPr>
              <w:t>redacted content</w:t>
            </w:r>
            <w:r w:rsidR="000A7F37">
              <w:rPr>
                <w:bCs w:val="0"/>
                <w:szCs w:val="20"/>
                <w:vertAlign w:val="superscript"/>
              </w:rPr>
              <w:t>1</w:t>
            </w:r>
            <w:r w:rsidR="00AA74CE" w:rsidRPr="00C90E0C">
              <w:rPr>
                <w:bCs w:val="0"/>
                <w:szCs w:val="20"/>
              </w:rPr>
              <w:t xml:space="preserve"> </w:t>
            </w:r>
          </w:p>
        </w:tc>
        <w:tc>
          <w:tcPr>
            <w:tcW w:w="647" w:type="pct"/>
            <w:tcBorders>
              <w:top w:val="nil"/>
              <w:left w:val="nil"/>
              <w:bottom w:val="single" w:sz="4" w:space="0" w:color="auto"/>
              <w:right w:val="single" w:sz="4" w:space="0" w:color="auto"/>
            </w:tcBorders>
            <w:shd w:val="clear" w:color="auto" w:fill="FFFFFF" w:themeFill="background1"/>
            <w:vAlign w:val="center"/>
          </w:tcPr>
          <w:p w14:paraId="1CC90D74" w14:textId="4152961E" w:rsidR="00AA74CE" w:rsidRPr="00C90E0C" w:rsidRDefault="002408E2" w:rsidP="00AA74CE">
            <w:pPr>
              <w:pStyle w:val="TableText0"/>
              <w:keepLines/>
              <w:jc w:val="right"/>
              <w:rPr>
                <w:rFonts w:cs="Arial"/>
                <w:bCs w:val="0"/>
                <w:szCs w:val="20"/>
              </w:rPr>
            </w:pPr>
            <w:r w:rsidRPr="002408E2">
              <w:rPr>
                <w:bCs w:val="0"/>
                <w:sz w:val="2"/>
                <w:szCs w:val="20"/>
                <w:highlight w:val="black"/>
              </w:rPr>
              <w:t>redacted content</w:t>
            </w:r>
            <w:r w:rsidR="000A7F37">
              <w:rPr>
                <w:bCs w:val="0"/>
                <w:szCs w:val="20"/>
                <w:vertAlign w:val="superscript"/>
              </w:rPr>
              <w:t>1</w:t>
            </w:r>
            <w:r w:rsidR="00AA74CE" w:rsidRPr="00C90E0C">
              <w:rPr>
                <w:bCs w:val="0"/>
                <w:szCs w:val="20"/>
              </w:rPr>
              <w:t xml:space="preserve"> </w:t>
            </w:r>
          </w:p>
        </w:tc>
      </w:tr>
      <w:tr w:rsidR="00EE008E" w:rsidRPr="00A6439B" w14:paraId="5D5D440C" w14:textId="77777777" w:rsidTr="444EDE7E">
        <w:trPr>
          <w:cantSplit/>
          <w:jc w:val="center"/>
        </w:trPr>
        <w:tc>
          <w:tcPr>
            <w:tcW w:w="1118" w:type="pct"/>
            <w:shd w:val="clear" w:color="auto" w:fill="FFFFFF" w:themeFill="background1"/>
            <w:vAlign w:val="center"/>
          </w:tcPr>
          <w:p w14:paraId="359E474F" w14:textId="23487021" w:rsidR="00EE008E" w:rsidRPr="00943F9C" w:rsidRDefault="00EE008E" w:rsidP="00EE008E">
            <w:pPr>
              <w:pStyle w:val="TableText0"/>
              <w:keepLines/>
              <w:rPr>
                <w:szCs w:val="20"/>
                <w:vertAlign w:val="superscript"/>
              </w:rPr>
            </w:pPr>
            <w:r w:rsidRPr="00943F9C">
              <w:rPr>
                <w:szCs w:val="20"/>
              </w:rPr>
              <w:t>Number of scripts dispensed</w:t>
            </w:r>
            <w:r w:rsidR="00E16727" w:rsidRPr="00943F9C">
              <w:rPr>
                <w:szCs w:val="20"/>
              </w:rPr>
              <w:t xml:space="preserve"> (PFS)</w:t>
            </w:r>
            <w:r w:rsidRPr="00943F9C">
              <w:rPr>
                <w:szCs w:val="20"/>
                <w:vertAlign w:val="superscript"/>
              </w:rPr>
              <w:t>a</w:t>
            </w:r>
          </w:p>
        </w:tc>
        <w:tc>
          <w:tcPr>
            <w:tcW w:w="647" w:type="pct"/>
            <w:tcBorders>
              <w:top w:val="nil"/>
              <w:left w:val="nil"/>
              <w:bottom w:val="single" w:sz="4" w:space="0" w:color="auto"/>
              <w:right w:val="single" w:sz="4" w:space="0" w:color="auto"/>
            </w:tcBorders>
            <w:shd w:val="clear" w:color="auto" w:fill="FFFFFF" w:themeFill="background1"/>
          </w:tcPr>
          <w:p w14:paraId="14228129" w14:textId="306C5EB6" w:rsidR="00EE008E" w:rsidRPr="00C90E0C" w:rsidRDefault="002408E2" w:rsidP="00EE008E">
            <w:pPr>
              <w:pStyle w:val="TableText0"/>
              <w:keepLines/>
              <w:jc w:val="right"/>
              <w:rPr>
                <w:bCs w:val="0"/>
                <w:color w:val="00B0F0"/>
                <w:szCs w:val="20"/>
              </w:rPr>
            </w:pPr>
            <w:r w:rsidRPr="002408E2">
              <w:rPr>
                <w:bCs w:val="0"/>
                <w:sz w:val="2"/>
                <w:szCs w:val="20"/>
                <w:highlight w:val="black"/>
              </w:rPr>
              <w:t>redacted content</w:t>
            </w:r>
            <w:r w:rsidR="000A7F37">
              <w:rPr>
                <w:bCs w:val="0"/>
                <w:szCs w:val="20"/>
                <w:vertAlign w:val="superscript"/>
              </w:rPr>
              <w:t>1</w:t>
            </w:r>
            <w:r w:rsidR="00EE008E" w:rsidRPr="00C90E0C">
              <w:rPr>
                <w:bCs w:val="0"/>
                <w:szCs w:val="20"/>
              </w:rPr>
              <w:t xml:space="preserve"> </w:t>
            </w:r>
          </w:p>
        </w:tc>
        <w:tc>
          <w:tcPr>
            <w:tcW w:w="647" w:type="pct"/>
            <w:tcBorders>
              <w:top w:val="nil"/>
              <w:left w:val="nil"/>
              <w:bottom w:val="single" w:sz="4" w:space="0" w:color="auto"/>
              <w:right w:val="single" w:sz="4" w:space="0" w:color="auto"/>
            </w:tcBorders>
            <w:shd w:val="clear" w:color="auto" w:fill="FFFFFF" w:themeFill="background1"/>
          </w:tcPr>
          <w:p w14:paraId="0AC1C51C" w14:textId="15BDDAF9" w:rsidR="00EE008E" w:rsidRPr="00C90E0C" w:rsidRDefault="002408E2" w:rsidP="00EE008E">
            <w:pPr>
              <w:pStyle w:val="TableText0"/>
              <w:keepLines/>
              <w:jc w:val="right"/>
              <w:rPr>
                <w:bCs w:val="0"/>
                <w:color w:val="00B0F0"/>
                <w:szCs w:val="20"/>
              </w:rPr>
            </w:pPr>
            <w:r w:rsidRPr="002408E2">
              <w:rPr>
                <w:bCs w:val="0"/>
                <w:sz w:val="2"/>
                <w:szCs w:val="20"/>
                <w:highlight w:val="black"/>
              </w:rPr>
              <w:t>redacted content</w:t>
            </w:r>
            <w:r w:rsidR="000A7F37">
              <w:rPr>
                <w:bCs w:val="0"/>
                <w:szCs w:val="20"/>
                <w:vertAlign w:val="superscript"/>
              </w:rPr>
              <w:t>1</w:t>
            </w:r>
            <w:r w:rsidR="00EE008E" w:rsidRPr="00C90E0C">
              <w:rPr>
                <w:bCs w:val="0"/>
                <w:szCs w:val="20"/>
              </w:rPr>
              <w:t xml:space="preserve"> </w:t>
            </w:r>
          </w:p>
        </w:tc>
        <w:tc>
          <w:tcPr>
            <w:tcW w:w="647" w:type="pct"/>
            <w:tcBorders>
              <w:top w:val="nil"/>
              <w:left w:val="nil"/>
              <w:bottom w:val="single" w:sz="4" w:space="0" w:color="auto"/>
              <w:right w:val="single" w:sz="4" w:space="0" w:color="auto"/>
            </w:tcBorders>
            <w:shd w:val="clear" w:color="auto" w:fill="FFFFFF" w:themeFill="background1"/>
          </w:tcPr>
          <w:p w14:paraId="46B37406" w14:textId="4B2BDF5B" w:rsidR="00EE008E" w:rsidRPr="00C90E0C" w:rsidRDefault="002408E2" w:rsidP="00EE008E">
            <w:pPr>
              <w:pStyle w:val="TableText0"/>
              <w:keepLines/>
              <w:jc w:val="right"/>
              <w:rPr>
                <w:bCs w:val="0"/>
                <w:color w:val="00B0F0"/>
                <w:szCs w:val="20"/>
              </w:rPr>
            </w:pPr>
            <w:r w:rsidRPr="002408E2">
              <w:rPr>
                <w:bCs w:val="0"/>
                <w:sz w:val="2"/>
                <w:szCs w:val="20"/>
                <w:highlight w:val="black"/>
              </w:rPr>
              <w:t>redacted content</w:t>
            </w:r>
            <w:r w:rsidR="000A7F37">
              <w:rPr>
                <w:bCs w:val="0"/>
                <w:szCs w:val="20"/>
                <w:vertAlign w:val="superscript"/>
              </w:rPr>
              <w:t>1</w:t>
            </w:r>
            <w:r w:rsidR="00EE008E" w:rsidRPr="00C90E0C">
              <w:rPr>
                <w:bCs w:val="0"/>
                <w:szCs w:val="20"/>
              </w:rPr>
              <w:t xml:space="preserve"> </w:t>
            </w:r>
          </w:p>
        </w:tc>
        <w:tc>
          <w:tcPr>
            <w:tcW w:w="647" w:type="pct"/>
            <w:tcBorders>
              <w:top w:val="nil"/>
              <w:left w:val="nil"/>
              <w:bottom w:val="single" w:sz="4" w:space="0" w:color="auto"/>
              <w:right w:val="single" w:sz="4" w:space="0" w:color="auto"/>
            </w:tcBorders>
            <w:shd w:val="clear" w:color="auto" w:fill="FFFFFF" w:themeFill="background1"/>
          </w:tcPr>
          <w:p w14:paraId="6D76F480" w14:textId="2F7607C2" w:rsidR="00EE008E" w:rsidRPr="002408E2" w:rsidRDefault="002408E2" w:rsidP="00EE008E">
            <w:pPr>
              <w:pStyle w:val="TableText0"/>
              <w:keepLines/>
              <w:jc w:val="right"/>
              <w:rPr>
                <w:bCs w:val="0"/>
                <w:color w:val="00B0F0"/>
                <w:szCs w:val="20"/>
                <w:vertAlign w:val="superscript"/>
              </w:rPr>
            </w:pPr>
            <w:r w:rsidRPr="002408E2">
              <w:rPr>
                <w:bCs w:val="0"/>
                <w:sz w:val="2"/>
                <w:szCs w:val="20"/>
                <w:highlight w:val="black"/>
              </w:rPr>
              <w:t>redacted content</w:t>
            </w:r>
            <w:r w:rsidR="000A7F37">
              <w:rPr>
                <w:bCs w:val="0"/>
                <w:szCs w:val="20"/>
                <w:vertAlign w:val="superscript"/>
              </w:rPr>
              <w:t>1</w:t>
            </w:r>
          </w:p>
        </w:tc>
        <w:tc>
          <w:tcPr>
            <w:tcW w:w="647" w:type="pct"/>
            <w:tcBorders>
              <w:top w:val="nil"/>
              <w:left w:val="nil"/>
              <w:bottom w:val="single" w:sz="4" w:space="0" w:color="auto"/>
              <w:right w:val="single" w:sz="4" w:space="0" w:color="auto"/>
            </w:tcBorders>
            <w:shd w:val="clear" w:color="auto" w:fill="FFFFFF" w:themeFill="background1"/>
          </w:tcPr>
          <w:p w14:paraId="078EC90A" w14:textId="5071C446" w:rsidR="00EE008E" w:rsidRPr="00C90E0C" w:rsidRDefault="002408E2" w:rsidP="00EE008E">
            <w:pPr>
              <w:pStyle w:val="TableText0"/>
              <w:keepLines/>
              <w:jc w:val="right"/>
              <w:rPr>
                <w:bCs w:val="0"/>
                <w:color w:val="00B0F0"/>
                <w:szCs w:val="20"/>
              </w:rPr>
            </w:pPr>
            <w:r w:rsidRPr="002408E2">
              <w:rPr>
                <w:bCs w:val="0"/>
                <w:sz w:val="2"/>
                <w:szCs w:val="20"/>
                <w:highlight w:val="black"/>
              </w:rPr>
              <w:t>redacted content</w:t>
            </w:r>
            <w:r w:rsidR="000A7F37">
              <w:rPr>
                <w:bCs w:val="0"/>
                <w:szCs w:val="20"/>
                <w:vertAlign w:val="superscript"/>
              </w:rPr>
              <w:t>1</w:t>
            </w:r>
            <w:r w:rsidR="00EE008E" w:rsidRPr="00C90E0C">
              <w:rPr>
                <w:bCs w:val="0"/>
                <w:szCs w:val="20"/>
              </w:rPr>
              <w:t xml:space="preserve"> </w:t>
            </w:r>
          </w:p>
        </w:tc>
        <w:tc>
          <w:tcPr>
            <w:tcW w:w="647" w:type="pct"/>
            <w:tcBorders>
              <w:top w:val="nil"/>
              <w:left w:val="nil"/>
              <w:bottom w:val="single" w:sz="4" w:space="0" w:color="auto"/>
              <w:right w:val="single" w:sz="4" w:space="0" w:color="auto"/>
            </w:tcBorders>
            <w:shd w:val="clear" w:color="auto" w:fill="FFFFFF" w:themeFill="background1"/>
          </w:tcPr>
          <w:p w14:paraId="0BC345E6" w14:textId="4B0CF88D" w:rsidR="00EE008E" w:rsidRPr="00C90E0C" w:rsidRDefault="002408E2" w:rsidP="00EE008E">
            <w:pPr>
              <w:pStyle w:val="TableText0"/>
              <w:keepLines/>
              <w:jc w:val="right"/>
              <w:rPr>
                <w:bCs w:val="0"/>
                <w:color w:val="00B0F0"/>
                <w:szCs w:val="20"/>
              </w:rPr>
            </w:pPr>
            <w:r w:rsidRPr="002408E2">
              <w:rPr>
                <w:bCs w:val="0"/>
                <w:sz w:val="2"/>
                <w:szCs w:val="20"/>
                <w:highlight w:val="black"/>
              </w:rPr>
              <w:t>redacted content</w:t>
            </w:r>
            <w:r w:rsidR="000A7F37">
              <w:rPr>
                <w:bCs w:val="0"/>
                <w:szCs w:val="20"/>
                <w:vertAlign w:val="superscript"/>
              </w:rPr>
              <w:t>1</w:t>
            </w:r>
            <w:r w:rsidR="00EE008E" w:rsidRPr="00C90E0C">
              <w:rPr>
                <w:bCs w:val="0"/>
                <w:szCs w:val="20"/>
              </w:rPr>
              <w:t xml:space="preserve"> </w:t>
            </w:r>
          </w:p>
        </w:tc>
      </w:tr>
      <w:tr w:rsidR="00943F9C" w:rsidRPr="00A6439B" w14:paraId="417664F2" w14:textId="77777777" w:rsidTr="444EDE7E">
        <w:trPr>
          <w:cantSplit/>
          <w:jc w:val="center"/>
        </w:trPr>
        <w:tc>
          <w:tcPr>
            <w:tcW w:w="1118" w:type="pct"/>
            <w:shd w:val="clear" w:color="auto" w:fill="FFFFFF" w:themeFill="background1"/>
            <w:vAlign w:val="center"/>
          </w:tcPr>
          <w:p w14:paraId="3CF87EC7" w14:textId="4EF9F09B" w:rsidR="00943F9C" w:rsidRPr="00943F9C" w:rsidRDefault="00943F9C" w:rsidP="00943F9C">
            <w:pPr>
              <w:pStyle w:val="TableText0"/>
              <w:keepLines/>
              <w:rPr>
                <w:szCs w:val="20"/>
              </w:rPr>
            </w:pPr>
            <w:r w:rsidRPr="00943F9C">
              <w:rPr>
                <w:szCs w:val="20"/>
              </w:rPr>
              <w:t>SC market share</w:t>
            </w:r>
          </w:p>
        </w:tc>
        <w:tc>
          <w:tcPr>
            <w:tcW w:w="647" w:type="pct"/>
            <w:tcBorders>
              <w:top w:val="nil"/>
              <w:left w:val="nil"/>
              <w:bottom w:val="single" w:sz="4" w:space="0" w:color="auto"/>
              <w:right w:val="single" w:sz="4" w:space="0" w:color="auto"/>
            </w:tcBorders>
            <w:shd w:val="clear" w:color="auto" w:fill="FFFFFF" w:themeFill="background1"/>
          </w:tcPr>
          <w:p w14:paraId="24245E6E" w14:textId="09AB2198" w:rsidR="00943F9C" w:rsidRPr="00005F92" w:rsidRDefault="002408E2" w:rsidP="00943F9C">
            <w:pPr>
              <w:pStyle w:val="TableText0"/>
              <w:keepLines/>
              <w:jc w:val="right"/>
              <w:rPr>
                <w:szCs w:val="20"/>
              </w:rPr>
            </w:pPr>
            <w:r w:rsidRPr="002408E2">
              <w:rPr>
                <w:bCs w:val="0"/>
                <w:sz w:val="2"/>
                <w:szCs w:val="20"/>
                <w:highlight w:val="black"/>
              </w:rPr>
              <w:t>redacted content</w:t>
            </w:r>
            <w:r w:rsidR="00943F9C" w:rsidRPr="00005F92">
              <w:rPr>
                <w:bCs w:val="0"/>
                <w:szCs w:val="20"/>
              </w:rPr>
              <w:t>%</w:t>
            </w:r>
          </w:p>
        </w:tc>
        <w:tc>
          <w:tcPr>
            <w:tcW w:w="647" w:type="pct"/>
            <w:tcBorders>
              <w:top w:val="nil"/>
              <w:left w:val="nil"/>
              <w:bottom w:val="single" w:sz="4" w:space="0" w:color="auto"/>
              <w:right w:val="single" w:sz="4" w:space="0" w:color="auto"/>
            </w:tcBorders>
            <w:shd w:val="clear" w:color="auto" w:fill="FFFFFF" w:themeFill="background1"/>
          </w:tcPr>
          <w:p w14:paraId="2247560A" w14:textId="4662960C" w:rsidR="00943F9C" w:rsidRPr="00005F92" w:rsidRDefault="002408E2" w:rsidP="00943F9C">
            <w:pPr>
              <w:pStyle w:val="TableText0"/>
              <w:keepLines/>
              <w:jc w:val="right"/>
              <w:rPr>
                <w:szCs w:val="20"/>
              </w:rPr>
            </w:pPr>
            <w:r w:rsidRPr="002408E2">
              <w:rPr>
                <w:bCs w:val="0"/>
                <w:sz w:val="2"/>
                <w:szCs w:val="20"/>
                <w:highlight w:val="black"/>
              </w:rPr>
              <w:t>redacted content</w:t>
            </w:r>
            <w:r w:rsidR="00943F9C" w:rsidRPr="00005F92">
              <w:rPr>
                <w:bCs w:val="0"/>
                <w:szCs w:val="20"/>
              </w:rPr>
              <w:t>%</w:t>
            </w:r>
          </w:p>
        </w:tc>
        <w:tc>
          <w:tcPr>
            <w:tcW w:w="647" w:type="pct"/>
            <w:tcBorders>
              <w:top w:val="nil"/>
              <w:left w:val="nil"/>
              <w:bottom w:val="single" w:sz="4" w:space="0" w:color="auto"/>
              <w:right w:val="single" w:sz="4" w:space="0" w:color="auto"/>
            </w:tcBorders>
            <w:shd w:val="clear" w:color="auto" w:fill="FFFFFF" w:themeFill="background1"/>
          </w:tcPr>
          <w:p w14:paraId="25BC7A54" w14:textId="113F1511" w:rsidR="00943F9C" w:rsidRPr="00005F92" w:rsidRDefault="002408E2" w:rsidP="00943F9C">
            <w:pPr>
              <w:pStyle w:val="TableText0"/>
              <w:keepLines/>
              <w:jc w:val="right"/>
              <w:rPr>
                <w:szCs w:val="20"/>
              </w:rPr>
            </w:pPr>
            <w:r w:rsidRPr="002408E2">
              <w:rPr>
                <w:bCs w:val="0"/>
                <w:sz w:val="2"/>
                <w:szCs w:val="20"/>
                <w:highlight w:val="black"/>
              </w:rPr>
              <w:t>redacted content</w:t>
            </w:r>
            <w:r w:rsidR="00943F9C" w:rsidRPr="00005F92">
              <w:rPr>
                <w:bCs w:val="0"/>
                <w:szCs w:val="20"/>
              </w:rPr>
              <w:t>%</w:t>
            </w:r>
          </w:p>
        </w:tc>
        <w:tc>
          <w:tcPr>
            <w:tcW w:w="647" w:type="pct"/>
            <w:tcBorders>
              <w:top w:val="nil"/>
              <w:left w:val="nil"/>
              <w:bottom w:val="single" w:sz="4" w:space="0" w:color="auto"/>
              <w:right w:val="single" w:sz="4" w:space="0" w:color="auto"/>
            </w:tcBorders>
            <w:shd w:val="clear" w:color="auto" w:fill="FFFFFF" w:themeFill="background1"/>
          </w:tcPr>
          <w:p w14:paraId="4AADA0F0" w14:textId="7B237790" w:rsidR="00943F9C" w:rsidRPr="00005F92" w:rsidRDefault="002408E2" w:rsidP="00943F9C">
            <w:pPr>
              <w:pStyle w:val="TableText0"/>
              <w:keepLines/>
              <w:jc w:val="right"/>
              <w:rPr>
                <w:szCs w:val="20"/>
              </w:rPr>
            </w:pPr>
            <w:r w:rsidRPr="002408E2">
              <w:rPr>
                <w:bCs w:val="0"/>
                <w:sz w:val="2"/>
                <w:szCs w:val="20"/>
                <w:highlight w:val="black"/>
              </w:rPr>
              <w:t>redacted content</w:t>
            </w:r>
            <w:r w:rsidR="00943F9C" w:rsidRPr="00005F92">
              <w:rPr>
                <w:bCs w:val="0"/>
                <w:szCs w:val="20"/>
              </w:rPr>
              <w:t>%</w:t>
            </w:r>
          </w:p>
        </w:tc>
        <w:tc>
          <w:tcPr>
            <w:tcW w:w="647" w:type="pct"/>
            <w:tcBorders>
              <w:top w:val="nil"/>
              <w:left w:val="nil"/>
              <w:bottom w:val="single" w:sz="4" w:space="0" w:color="auto"/>
              <w:right w:val="single" w:sz="4" w:space="0" w:color="auto"/>
            </w:tcBorders>
            <w:shd w:val="clear" w:color="auto" w:fill="FFFFFF" w:themeFill="background1"/>
          </w:tcPr>
          <w:p w14:paraId="0203E86A" w14:textId="3B95F827" w:rsidR="00943F9C" w:rsidRPr="00005F92" w:rsidRDefault="002408E2" w:rsidP="00943F9C">
            <w:pPr>
              <w:pStyle w:val="TableText0"/>
              <w:keepLines/>
              <w:jc w:val="right"/>
              <w:rPr>
                <w:szCs w:val="20"/>
              </w:rPr>
            </w:pPr>
            <w:r w:rsidRPr="002408E2">
              <w:rPr>
                <w:bCs w:val="0"/>
                <w:sz w:val="2"/>
                <w:szCs w:val="20"/>
                <w:highlight w:val="black"/>
              </w:rPr>
              <w:t>redacted content</w:t>
            </w:r>
            <w:r w:rsidR="00943F9C" w:rsidRPr="00005F92">
              <w:rPr>
                <w:bCs w:val="0"/>
                <w:szCs w:val="20"/>
              </w:rPr>
              <w:t>%</w:t>
            </w:r>
          </w:p>
        </w:tc>
        <w:tc>
          <w:tcPr>
            <w:tcW w:w="647" w:type="pct"/>
            <w:tcBorders>
              <w:top w:val="nil"/>
              <w:left w:val="nil"/>
              <w:bottom w:val="single" w:sz="4" w:space="0" w:color="auto"/>
              <w:right w:val="single" w:sz="4" w:space="0" w:color="auto"/>
            </w:tcBorders>
            <w:shd w:val="clear" w:color="auto" w:fill="FFFFFF" w:themeFill="background1"/>
          </w:tcPr>
          <w:p w14:paraId="6AF7DA16" w14:textId="419F8EF1" w:rsidR="00943F9C" w:rsidRPr="00005F92" w:rsidRDefault="002408E2" w:rsidP="00943F9C">
            <w:pPr>
              <w:pStyle w:val="TableText0"/>
              <w:keepLines/>
              <w:jc w:val="right"/>
              <w:rPr>
                <w:szCs w:val="20"/>
              </w:rPr>
            </w:pPr>
            <w:r w:rsidRPr="002408E2">
              <w:rPr>
                <w:bCs w:val="0"/>
                <w:sz w:val="2"/>
                <w:szCs w:val="20"/>
                <w:highlight w:val="black"/>
              </w:rPr>
              <w:t>redacted content</w:t>
            </w:r>
            <w:r w:rsidR="00943F9C" w:rsidRPr="00005F92">
              <w:rPr>
                <w:bCs w:val="0"/>
                <w:szCs w:val="20"/>
              </w:rPr>
              <w:t>%</w:t>
            </w:r>
          </w:p>
        </w:tc>
      </w:tr>
      <w:tr w:rsidR="000E3F0F" w:rsidRPr="00A6439B" w14:paraId="7B6B7A90" w14:textId="77777777" w:rsidTr="444EDE7E">
        <w:trPr>
          <w:cantSplit/>
          <w:jc w:val="center"/>
        </w:trPr>
        <w:tc>
          <w:tcPr>
            <w:tcW w:w="1118" w:type="pct"/>
            <w:shd w:val="clear" w:color="auto" w:fill="FFFFFF" w:themeFill="background1"/>
            <w:vAlign w:val="center"/>
          </w:tcPr>
          <w:p w14:paraId="17BDEBF6" w14:textId="09E24019" w:rsidR="000E3F0F" w:rsidRPr="00943F9C" w:rsidRDefault="000E3F0F" w:rsidP="000E3F0F">
            <w:pPr>
              <w:pStyle w:val="TableText0"/>
              <w:keepLines/>
              <w:rPr>
                <w:szCs w:val="20"/>
              </w:rPr>
            </w:pPr>
            <w:r w:rsidRPr="00943F9C">
              <w:rPr>
                <w:szCs w:val="20"/>
              </w:rPr>
              <w:t xml:space="preserve">PFS market </w:t>
            </w:r>
            <w:r w:rsidR="00E16727" w:rsidRPr="00943F9C">
              <w:rPr>
                <w:szCs w:val="20"/>
              </w:rPr>
              <w:t>share</w:t>
            </w:r>
          </w:p>
        </w:tc>
        <w:tc>
          <w:tcPr>
            <w:tcW w:w="647" w:type="pct"/>
            <w:tcBorders>
              <w:top w:val="nil"/>
              <w:left w:val="nil"/>
              <w:bottom w:val="single" w:sz="4" w:space="0" w:color="auto"/>
              <w:right w:val="single" w:sz="4" w:space="0" w:color="auto"/>
            </w:tcBorders>
            <w:shd w:val="clear" w:color="auto" w:fill="FFFFFF" w:themeFill="background1"/>
          </w:tcPr>
          <w:p w14:paraId="6C11F1A4" w14:textId="01B80904" w:rsidR="000E3F0F" w:rsidRPr="00AB2C09" w:rsidRDefault="002408E2" w:rsidP="000E3F0F">
            <w:pPr>
              <w:pStyle w:val="TableText0"/>
              <w:keepLines/>
              <w:jc w:val="right"/>
              <w:rPr>
                <w:b/>
                <w:szCs w:val="20"/>
              </w:rPr>
            </w:pPr>
            <w:r w:rsidRPr="002408E2">
              <w:rPr>
                <w:sz w:val="2"/>
                <w:szCs w:val="20"/>
                <w:highlight w:val="black"/>
              </w:rPr>
              <w:t>redacted content</w:t>
            </w:r>
            <w:r w:rsidR="000E3F0F" w:rsidRPr="00AB2C09">
              <w:rPr>
                <w:szCs w:val="20"/>
              </w:rPr>
              <w:t>%</w:t>
            </w:r>
          </w:p>
        </w:tc>
        <w:tc>
          <w:tcPr>
            <w:tcW w:w="647" w:type="pct"/>
            <w:tcBorders>
              <w:top w:val="nil"/>
              <w:left w:val="nil"/>
              <w:bottom w:val="single" w:sz="4" w:space="0" w:color="auto"/>
              <w:right w:val="single" w:sz="4" w:space="0" w:color="auto"/>
            </w:tcBorders>
            <w:shd w:val="clear" w:color="auto" w:fill="FFFFFF" w:themeFill="background1"/>
          </w:tcPr>
          <w:p w14:paraId="0770000A" w14:textId="58D2B93A" w:rsidR="000E3F0F" w:rsidRPr="00AB2C09" w:rsidRDefault="002408E2" w:rsidP="000E3F0F">
            <w:pPr>
              <w:pStyle w:val="TableText0"/>
              <w:keepLines/>
              <w:jc w:val="right"/>
              <w:rPr>
                <w:b/>
                <w:szCs w:val="20"/>
              </w:rPr>
            </w:pPr>
            <w:r w:rsidRPr="002408E2">
              <w:rPr>
                <w:sz w:val="2"/>
                <w:szCs w:val="20"/>
                <w:highlight w:val="black"/>
              </w:rPr>
              <w:t>redacted content</w:t>
            </w:r>
            <w:r w:rsidR="000E3F0F" w:rsidRPr="00AB2C09">
              <w:rPr>
                <w:szCs w:val="20"/>
              </w:rPr>
              <w:t>%</w:t>
            </w:r>
          </w:p>
        </w:tc>
        <w:tc>
          <w:tcPr>
            <w:tcW w:w="647" w:type="pct"/>
            <w:tcBorders>
              <w:top w:val="nil"/>
              <w:left w:val="nil"/>
              <w:bottom w:val="single" w:sz="4" w:space="0" w:color="auto"/>
              <w:right w:val="single" w:sz="4" w:space="0" w:color="auto"/>
            </w:tcBorders>
            <w:shd w:val="clear" w:color="auto" w:fill="FFFFFF" w:themeFill="background1"/>
          </w:tcPr>
          <w:p w14:paraId="6EBE42FE" w14:textId="7DAEAA78" w:rsidR="000E3F0F" w:rsidRPr="00AB2C09" w:rsidRDefault="002408E2" w:rsidP="000E3F0F">
            <w:pPr>
              <w:pStyle w:val="TableText0"/>
              <w:keepLines/>
              <w:jc w:val="right"/>
              <w:rPr>
                <w:b/>
                <w:szCs w:val="20"/>
              </w:rPr>
            </w:pPr>
            <w:r w:rsidRPr="002408E2">
              <w:rPr>
                <w:sz w:val="2"/>
                <w:szCs w:val="20"/>
                <w:highlight w:val="black"/>
              </w:rPr>
              <w:t>redacted content</w:t>
            </w:r>
            <w:r w:rsidR="000E3F0F" w:rsidRPr="00AB2C09">
              <w:rPr>
                <w:szCs w:val="20"/>
              </w:rPr>
              <w:t>%</w:t>
            </w:r>
          </w:p>
        </w:tc>
        <w:tc>
          <w:tcPr>
            <w:tcW w:w="647" w:type="pct"/>
            <w:tcBorders>
              <w:top w:val="nil"/>
              <w:left w:val="nil"/>
              <w:bottom w:val="single" w:sz="4" w:space="0" w:color="auto"/>
              <w:right w:val="single" w:sz="4" w:space="0" w:color="auto"/>
            </w:tcBorders>
            <w:shd w:val="clear" w:color="auto" w:fill="FFFFFF" w:themeFill="background1"/>
          </w:tcPr>
          <w:p w14:paraId="141CEF6E" w14:textId="081A386D" w:rsidR="000E3F0F" w:rsidRPr="00AB2C09" w:rsidRDefault="002408E2" w:rsidP="000E3F0F">
            <w:pPr>
              <w:pStyle w:val="TableText0"/>
              <w:keepLines/>
              <w:jc w:val="right"/>
              <w:rPr>
                <w:b/>
                <w:szCs w:val="20"/>
              </w:rPr>
            </w:pPr>
            <w:r w:rsidRPr="002408E2">
              <w:rPr>
                <w:sz w:val="2"/>
                <w:szCs w:val="20"/>
                <w:highlight w:val="black"/>
              </w:rPr>
              <w:t>redacted content</w:t>
            </w:r>
            <w:r w:rsidR="000E3F0F" w:rsidRPr="00AB2C09">
              <w:rPr>
                <w:szCs w:val="20"/>
              </w:rPr>
              <w:t>%</w:t>
            </w:r>
          </w:p>
        </w:tc>
        <w:tc>
          <w:tcPr>
            <w:tcW w:w="647" w:type="pct"/>
            <w:tcBorders>
              <w:top w:val="nil"/>
              <w:left w:val="nil"/>
              <w:bottom w:val="single" w:sz="4" w:space="0" w:color="auto"/>
              <w:right w:val="single" w:sz="4" w:space="0" w:color="auto"/>
            </w:tcBorders>
            <w:shd w:val="clear" w:color="auto" w:fill="FFFFFF" w:themeFill="background1"/>
          </w:tcPr>
          <w:p w14:paraId="351A0AD4" w14:textId="45023A83" w:rsidR="000E3F0F" w:rsidRPr="00AB2C09" w:rsidRDefault="002408E2" w:rsidP="000E3F0F">
            <w:pPr>
              <w:pStyle w:val="TableText0"/>
              <w:keepLines/>
              <w:jc w:val="right"/>
              <w:rPr>
                <w:b/>
                <w:szCs w:val="20"/>
              </w:rPr>
            </w:pPr>
            <w:r w:rsidRPr="002408E2">
              <w:rPr>
                <w:sz w:val="2"/>
                <w:szCs w:val="20"/>
                <w:highlight w:val="black"/>
              </w:rPr>
              <w:t>redacted content</w:t>
            </w:r>
            <w:r w:rsidR="000E3F0F" w:rsidRPr="00AB2C09">
              <w:rPr>
                <w:szCs w:val="20"/>
              </w:rPr>
              <w:t>%</w:t>
            </w:r>
          </w:p>
        </w:tc>
        <w:tc>
          <w:tcPr>
            <w:tcW w:w="647" w:type="pct"/>
            <w:tcBorders>
              <w:top w:val="nil"/>
              <w:left w:val="nil"/>
              <w:bottom w:val="single" w:sz="4" w:space="0" w:color="auto"/>
              <w:right w:val="single" w:sz="4" w:space="0" w:color="auto"/>
            </w:tcBorders>
            <w:shd w:val="clear" w:color="auto" w:fill="FFFFFF" w:themeFill="background1"/>
          </w:tcPr>
          <w:p w14:paraId="431E45E0" w14:textId="628C7D52" w:rsidR="000E3F0F" w:rsidRPr="00AB2C09" w:rsidRDefault="002408E2" w:rsidP="000E3F0F">
            <w:pPr>
              <w:pStyle w:val="TableText0"/>
              <w:keepLines/>
              <w:jc w:val="right"/>
              <w:rPr>
                <w:b/>
                <w:szCs w:val="20"/>
              </w:rPr>
            </w:pPr>
            <w:r w:rsidRPr="002408E2">
              <w:rPr>
                <w:sz w:val="2"/>
                <w:szCs w:val="20"/>
                <w:highlight w:val="black"/>
              </w:rPr>
              <w:t>redacted content</w:t>
            </w:r>
            <w:r w:rsidR="000E3F0F" w:rsidRPr="00AB2C09">
              <w:rPr>
                <w:szCs w:val="20"/>
              </w:rPr>
              <w:t>%</w:t>
            </w:r>
          </w:p>
        </w:tc>
      </w:tr>
      <w:tr w:rsidR="000C1AFF" w:rsidRPr="00A6439B" w14:paraId="046AEB1E" w14:textId="77777777" w:rsidTr="444EDE7E">
        <w:trPr>
          <w:cantSplit/>
          <w:jc w:val="center"/>
        </w:trPr>
        <w:tc>
          <w:tcPr>
            <w:tcW w:w="5000" w:type="pct"/>
            <w:gridSpan w:val="7"/>
            <w:vAlign w:val="center"/>
          </w:tcPr>
          <w:p w14:paraId="750CBAE5" w14:textId="1A193FC9" w:rsidR="000C1AFF" w:rsidRPr="00943F9C" w:rsidRDefault="1CE415B0" w:rsidP="444EDE7E">
            <w:pPr>
              <w:pStyle w:val="TableText0"/>
              <w:keepLines/>
              <w:spacing w:line="259" w:lineRule="auto"/>
              <w:rPr>
                <w:b/>
                <w:color w:val="000000" w:themeColor="text1"/>
              </w:rPr>
            </w:pPr>
            <w:r w:rsidRPr="444EDE7E">
              <w:rPr>
                <w:b/>
                <w:color w:val="000000" w:themeColor="text1"/>
              </w:rPr>
              <w:t xml:space="preserve">Estimated financial implications of </w:t>
            </w:r>
            <w:r w:rsidR="5B09FB99" w:rsidRPr="444EDE7E">
              <w:rPr>
                <w:b/>
                <w:color w:val="000000" w:themeColor="text1"/>
              </w:rPr>
              <w:t>incremental changes to PBS/RPBS due to proposed listing</w:t>
            </w:r>
          </w:p>
        </w:tc>
      </w:tr>
      <w:tr w:rsidR="000C1AFF" w:rsidRPr="00A6439B" w14:paraId="3993658E" w14:textId="77777777" w:rsidTr="444EDE7E">
        <w:trPr>
          <w:cantSplit/>
          <w:jc w:val="center"/>
        </w:trPr>
        <w:tc>
          <w:tcPr>
            <w:tcW w:w="1118" w:type="pct"/>
            <w:shd w:val="clear" w:color="auto" w:fill="FFFFFF" w:themeFill="background1"/>
            <w:vAlign w:val="center"/>
          </w:tcPr>
          <w:p w14:paraId="375802A8" w14:textId="1D964B16" w:rsidR="000C1AFF" w:rsidRPr="00943F9C" w:rsidRDefault="75FBC1BE" w:rsidP="444EDE7E">
            <w:pPr>
              <w:pStyle w:val="TableText0"/>
              <w:keepLines/>
              <w:spacing w:line="259" w:lineRule="auto"/>
            </w:pPr>
            <w:r>
              <w:t>Increase</w:t>
            </w:r>
            <w:r w:rsidR="572036C5">
              <w:t>d</w:t>
            </w:r>
            <w:r>
              <w:t xml:space="preserve"> </w:t>
            </w:r>
            <w:r w:rsidR="3ADDCB7B">
              <w:t xml:space="preserve">net cost </w:t>
            </w:r>
            <w:r w:rsidR="085C8FF8">
              <w:t>(PFS)</w:t>
            </w:r>
          </w:p>
        </w:tc>
        <w:tc>
          <w:tcPr>
            <w:tcW w:w="647" w:type="pct"/>
            <w:shd w:val="clear" w:color="auto" w:fill="FFFFFF" w:themeFill="background1"/>
            <w:vAlign w:val="center"/>
          </w:tcPr>
          <w:p w14:paraId="466AAD3D" w14:textId="0B8588D1" w:rsidR="000C1AFF" w:rsidRPr="002408E2" w:rsidRDefault="22711BE7" w:rsidP="444EDE7E">
            <w:pPr>
              <w:pStyle w:val="TableText0"/>
              <w:keepLines/>
              <w:spacing w:line="259" w:lineRule="auto"/>
              <w:jc w:val="right"/>
              <w:rPr>
                <w:color w:val="000000" w:themeColor="text1"/>
                <w:vertAlign w:val="superscript"/>
              </w:rPr>
            </w:pPr>
            <w:r w:rsidRPr="444EDE7E">
              <w:rPr>
                <w:color w:val="000000" w:themeColor="text1"/>
              </w:rPr>
              <w:t>$</w:t>
            </w:r>
            <w:r w:rsidR="002408E2" w:rsidRPr="002408E2">
              <w:rPr>
                <w:color w:val="000000" w:themeColor="text1"/>
                <w:sz w:val="2"/>
                <w:highlight w:val="black"/>
              </w:rPr>
              <w:t>redacted content</w:t>
            </w:r>
            <w:r w:rsidR="00D31931">
              <w:rPr>
                <w:color w:val="000000" w:themeColor="text1"/>
                <w:vertAlign w:val="superscript"/>
              </w:rPr>
              <w:t>2</w:t>
            </w:r>
          </w:p>
        </w:tc>
        <w:tc>
          <w:tcPr>
            <w:tcW w:w="647" w:type="pct"/>
            <w:shd w:val="clear" w:color="auto" w:fill="FFFFFF" w:themeFill="background1"/>
            <w:vAlign w:val="center"/>
          </w:tcPr>
          <w:p w14:paraId="0584DE92" w14:textId="1B06C661" w:rsidR="000C1AFF" w:rsidRPr="002408E2" w:rsidRDefault="22711BE7" w:rsidP="444EDE7E">
            <w:pPr>
              <w:pStyle w:val="TableText0"/>
              <w:keepLines/>
              <w:spacing w:line="259" w:lineRule="auto"/>
              <w:jc w:val="right"/>
              <w:rPr>
                <w:color w:val="000000" w:themeColor="text1"/>
                <w:vertAlign w:val="superscript"/>
              </w:rPr>
            </w:pPr>
            <w:r w:rsidRPr="444EDE7E">
              <w:rPr>
                <w:color w:val="000000" w:themeColor="text1"/>
              </w:rPr>
              <w:t>$</w:t>
            </w:r>
            <w:r w:rsidR="002408E2" w:rsidRPr="002408E2">
              <w:rPr>
                <w:color w:val="000000" w:themeColor="text1"/>
                <w:sz w:val="2"/>
                <w:highlight w:val="black"/>
              </w:rPr>
              <w:t>redacted content</w:t>
            </w:r>
            <w:r w:rsidR="00102EAE">
              <w:rPr>
                <w:color w:val="000000" w:themeColor="text1"/>
                <w:vertAlign w:val="superscript"/>
              </w:rPr>
              <w:t>3</w:t>
            </w:r>
          </w:p>
        </w:tc>
        <w:tc>
          <w:tcPr>
            <w:tcW w:w="647" w:type="pct"/>
            <w:shd w:val="clear" w:color="auto" w:fill="FFFFFF" w:themeFill="background1"/>
            <w:vAlign w:val="center"/>
          </w:tcPr>
          <w:p w14:paraId="555B3F9C" w14:textId="72911359" w:rsidR="000C1AFF" w:rsidRPr="002408E2" w:rsidRDefault="5044945D" w:rsidP="444EDE7E">
            <w:pPr>
              <w:pStyle w:val="TableText0"/>
              <w:keepLines/>
              <w:spacing w:line="259" w:lineRule="auto"/>
              <w:jc w:val="right"/>
              <w:rPr>
                <w:color w:val="000000" w:themeColor="text1"/>
                <w:vertAlign w:val="superscript"/>
              </w:rPr>
            </w:pPr>
            <w:r w:rsidRPr="444EDE7E">
              <w:rPr>
                <w:color w:val="000000" w:themeColor="text1"/>
              </w:rPr>
              <w:t>$</w:t>
            </w:r>
            <w:r w:rsidR="002408E2" w:rsidRPr="002408E2">
              <w:rPr>
                <w:color w:val="000000" w:themeColor="text1"/>
                <w:sz w:val="2"/>
                <w:highlight w:val="black"/>
              </w:rPr>
              <w:t>redacted content</w:t>
            </w:r>
            <w:r w:rsidR="00A31936">
              <w:rPr>
                <w:color w:val="000000" w:themeColor="text1"/>
                <w:vertAlign w:val="superscript"/>
              </w:rPr>
              <w:t>4</w:t>
            </w:r>
          </w:p>
        </w:tc>
        <w:tc>
          <w:tcPr>
            <w:tcW w:w="647" w:type="pct"/>
            <w:shd w:val="clear" w:color="auto" w:fill="FFFFFF" w:themeFill="background1"/>
            <w:vAlign w:val="center"/>
          </w:tcPr>
          <w:p w14:paraId="28A422D5" w14:textId="14B0ED32" w:rsidR="000C1AFF" w:rsidRPr="002408E2" w:rsidRDefault="7AA5BDFC" w:rsidP="444EDE7E">
            <w:pPr>
              <w:pStyle w:val="TableText0"/>
              <w:keepLines/>
              <w:spacing w:line="259" w:lineRule="auto"/>
              <w:jc w:val="right"/>
              <w:rPr>
                <w:color w:val="000000" w:themeColor="text1"/>
                <w:vertAlign w:val="superscript"/>
              </w:rPr>
            </w:pPr>
            <w:r w:rsidRPr="444EDE7E">
              <w:rPr>
                <w:color w:val="000000" w:themeColor="text1"/>
              </w:rPr>
              <w:t>$</w:t>
            </w:r>
            <w:r w:rsidR="002408E2" w:rsidRPr="002408E2">
              <w:rPr>
                <w:color w:val="000000" w:themeColor="text1"/>
                <w:sz w:val="2"/>
                <w:highlight w:val="black"/>
              </w:rPr>
              <w:t>redacted content</w:t>
            </w:r>
            <w:r w:rsidR="00A31936">
              <w:rPr>
                <w:color w:val="000000" w:themeColor="text1"/>
                <w:vertAlign w:val="superscript"/>
              </w:rPr>
              <w:t>4</w:t>
            </w:r>
          </w:p>
        </w:tc>
        <w:tc>
          <w:tcPr>
            <w:tcW w:w="647" w:type="pct"/>
            <w:shd w:val="clear" w:color="auto" w:fill="FFFFFF" w:themeFill="background1"/>
            <w:vAlign w:val="center"/>
          </w:tcPr>
          <w:p w14:paraId="3BD91315" w14:textId="25337E41" w:rsidR="000C1AFF" w:rsidRPr="002408E2" w:rsidRDefault="10DEB195" w:rsidP="444EDE7E">
            <w:pPr>
              <w:pStyle w:val="TableText0"/>
              <w:keepLines/>
              <w:spacing w:line="259" w:lineRule="auto"/>
              <w:jc w:val="right"/>
              <w:rPr>
                <w:color w:val="000000" w:themeColor="text1"/>
                <w:vertAlign w:val="superscript"/>
              </w:rPr>
            </w:pPr>
            <w:r w:rsidRPr="444EDE7E">
              <w:rPr>
                <w:color w:val="000000" w:themeColor="text1"/>
              </w:rPr>
              <w:t>$</w:t>
            </w:r>
            <w:r w:rsidR="002408E2" w:rsidRPr="002408E2">
              <w:rPr>
                <w:color w:val="000000" w:themeColor="text1"/>
                <w:sz w:val="2"/>
                <w:highlight w:val="black"/>
              </w:rPr>
              <w:t>redacted content</w:t>
            </w:r>
            <w:r w:rsidR="00A31936">
              <w:rPr>
                <w:color w:val="000000" w:themeColor="text1"/>
                <w:vertAlign w:val="superscript"/>
              </w:rPr>
              <w:t>4</w:t>
            </w:r>
          </w:p>
        </w:tc>
        <w:tc>
          <w:tcPr>
            <w:tcW w:w="647" w:type="pct"/>
            <w:shd w:val="clear" w:color="auto" w:fill="FFFFFF" w:themeFill="background1"/>
            <w:vAlign w:val="center"/>
          </w:tcPr>
          <w:p w14:paraId="11BDCDF8" w14:textId="07D22115" w:rsidR="000C1AFF" w:rsidRPr="002408E2" w:rsidRDefault="4E185606" w:rsidP="444EDE7E">
            <w:pPr>
              <w:pStyle w:val="TableText0"/>
              <w:keepLines/>
              <w:spacing w:line="259" w:lineRule="auto"/>
              <w:jc w:val="right"/>
              <w:rPr>
                <w:color w:val="000000" w:themeColor="text1"/>
                <w:vertAlign w:val="superscript"/>
              </w:rPr>
            </w:pPr>
            <w:r w:rsidRPr="444EDE7E">
              <w:rPr>
                <w:color w:val="000000" w:themeColor="text1"/>
              </w:rPr>
              <w:t>$</w:t>
            </w:r>
            <w:r w:rsidR="002408E2" w:rsidRPr="002408E2">
              <w:rPr>
                <w:color w:val="000000" w:themeColor="text1"/>
                <w:sz w:val="2"/>
                <w:highlight w:val="black"/>
              </w:rPr>
              <w:t>redacted content</w:t>
            </w:r>
            <w:r w:rsidR="00A31936">
              <w:rPr>
                <w:color w:val="000000" w:themeColor="text1"/>
                <w:vertAlign w:val="superscript"/>
              </w:rPr>
              <w:t>4</w:t>
            </w:r>
          </w:p>
        </w:tc>
      </w:tr>
      <w:tr w:rsidR="32494C9F" w14:paraId="0127D6BF" w14:textId="77777777" w:rsidTr="444EDE7E">
        <w:trPr>
          <w:cantSplit/>
          <w:trHeight w:val="300"/>
          <w:jc w:val="center"/>
        </w:trPr>
        <w:tc>
          <w:tcPr>
            <w:tcW w:w="1369" w:type="dxa"/>
            <w:shd w:val="clear" w:color="auto" w:fill="FFFFFF" w:themeFill="background1"/>
            <w:vAlign w:val="center"/>
          </w:tcPr>
          <w:p w14:paraId="2882510D" w14:textId="08D673DA" w:rsidR="238763BF" w:rsidRDefault="238763BF" w:rsidP="444EDE7E">
            <w:pPr>
              <w:pStyle w:val="TableText0"/>
              <w:spacing w:line="259" w:lineRule="auto"/>
            </w:pPr>
            <w:r>
              <w:t>D</w:t>
            </w:r>
            <w:r w:rsidR="1F394CBD">
              <w:t>ecrease</w:t>
            </w:r>
            <w:r w:rsidR="7810E4CD">
              <w:t>d</w:t>
            </w:r>
            <w:r w:rsidR="1F394CBD">
              <w:t xml:space="preserve"> </w:t>
            </w:r>
            <w:r w:rsidR="6DEAE955">
              <w:t xml:space="preserve">net cost </w:t>
            </w:r>
            <w:r w:rsidR="00081D7E">
              <w:t>(SC)</w:t>
            </w:r>
          </w:p>
        </w:tc>
        <w:tc>
          <w:tcPr>
            <w:tcW w:w="1169" w:type="dxa"/>
            <w:shd w:val="clear" w:color="auto" w:fill="FFFFFF" w:themeFill="background1"/>
            <w:vAlign w:val="center"/>
          </w:tcPr>
          <w:p w14:paraId="3BD55377" w14:textId="3272582D" w:rsidR="32494C9F" w:rsidRPr="002408E2" w:rsidRDefault="32494C9F" w:rsidP="32494C9F">
            <w:pPr>
              <w:pStyle w:val="TableText0"/>
              <w:keepLines/>
              <w:spacing w:line="259" w:lineRule="auto"/>
              <w:jc w:val="right"/>
              <w:rPr>
                <w:color w:val="000000" w:themeColor="text1"/>
                <w:vertAlign w:val="superscript"/>
              </w:rPr>
            </w:pPr>
            <w:r w:rsidRPr="32494C9F">
              <w:rPr>
                <w:color w:val="000000" w:themeColor="text1"/>
              </w:rPr>
              <w:t>$</w:t>
            </w:r>
            <w:r w:rsidR="002408E2" w:rsidRPr="002408E2">
              <w:rPr>
                <w:color w:val="000000" w:themeColor="text1"/>
                <w:sz w:val="2"/>
                <w:highlight w:val="black"/>
              </w:rPr>
              <w:t>redacted content</w:t>
            </w:r>
            <w:r w:rsidR="00D31931">
              <w:rPr>
                <w:color w:val="000000" w:themeColor="text1"/>
                <w:vertAlign w:val="superscript"/>
              </w:rPr>
              <w:t>2</w:t>
            </w:r>
          </w:p>
        </w:tc>
        <w:tc>
          <w:tcPr>
            <w:tcW w:w="1280" w:type="dxa"/>
            <w:shd w:val="clear" w:color="auto" w:fill="FFFFFF" w:themeFill="background1"/>
            <w:vAlign w:val="center"/>
          </w:tcPr>
          <w:p w14:paraId="66C13AEE" w14:textId="0690097D" w:rsidR="32494C9F" w:rsidRPr="002408E2" w:rsidRDefault="32494C9F" w:rsidP="32494C9F">
            <w:pPr>
              <w:pStyle w:val="TableText0"/>
              <w:keepLines/>
              <w:spacing w:line="259" w:lineRule="auto"/>
              <w:jc w:val="right"/>
              <w:rPr>
                <w:color w:val="000000" w:themeColor="text1"/>
                <w:vertAlign w:val="superscript"/>
              </w:rPr>
            </w:pPr>
            <w:r w:rsidRPr="32494C9F">
              <w:rPr>
                <w:color w:val="000000" w:themeColor="text1"/>
              </w:rPr>
              <w:t>$</w:t>
            </w:r>
            <w:r w:rsidR="002408E2" w:rsidRPr="002408E2">
              <w:rPr>
                <w:color w:val="000000" w:themeColor="text1"/>
                <w:sz w:val="2"/>
                <w:highlight w:val="black"/>
              </w:rPr>
              <w:t>redacted content</w:t>
            </w:r>
            <w:r w:rsidR="00102EAE">
              <w:rPr>
                <w:color w:val="000000" w:themeColor="text1"/>
                <w:vertAlign w:val="superscript"/>
              </w:rPr>
              <w:t>3</w:t>
            </w:r>
          </w:p>
        </w:tc>
        <w:tc>
          <w:tcPr>
            <w:tcW w:w="1280" w:type="dxa"/>
            <w:shd w:val="clear" w:color="auto" w:fill="FFFFFF" w:themeFill="background1"/>
            <w:vAlign w:val="center"/>
          </w:tcPr>
          <w:p w14:paraId="6F102A52" w14:textId="52345975" w:rsidR="32494C9F" w:rsidRPr="002408E2" w:rsidRDefault="32494C9F" w:rsidP="32494C9F">
            <w:pPr>
              <w:pStyle w:val="TableText0"/>
              <w:keepLines/>
              <w:spacing w:line="259" w:lineRule="auto"/>
              <w:jc w:val="right"/>
              <w:rPr>
                <w:color w:val="000000" w:themeColor="text1"/>
                <w:vertAlign w:val="superscript"/>
              </w:rPr>
            </w:pPr>
            <w:r w:rsidRPr="32494C9F">
              <w:rPr>
                <w:color w:val="000000" w:themeColor="text1"/>
              </w:rPr>
              <w:t>$</w:t>
            </w:r>
            <w:r w:rsidR="002408E2" w:rsidRPr="002408E2">
              <w:rPr>
                <w:color w:val="000000" w:themeColor="text1"/>
                <w:sz w:val="2"/>
                <w:highlight w:val="black"/>
              </w:rPr>
              <w:t>redacted content</w:t>
            </w:r>
            <w:r w:rsidR="00A31936">
              <w:rPr>
                <w:color w:val="000000" w:themeColor="text1"/>
                <w:vertAlign w:val="superscript"/>
              </w:rPr>
              <w:t>4</w:t>
            </w:r>
          </w:p>
        </w:tc>
        <w:tc>
          <w:tcPr>
            <w:tcW w:w="1280" w:type="dxa"/>
            <w:shd w:val="clear" w:color="auto" w:fill="FFFFFF" w:themeFill="background1"/>
            <w:vAlign w:val="center"/>
          </w:tcPr>
          <w:p w14:paraId="5CD73D13" w14:textId="12727AA2" w:rsidR="32494C9F" w:rsidRPr="002408E2" w:rsidRDefault="32494C9F" w:rsidP="32494C9F">
            <w:pPr>
              <w:pStyle w:val="TableText0"/>
              <w:keepLines/>
              <w:spacing w:line="259" w:lineRule="auto"/>
              <w:jc w:val="right"/>
              <w:rPr>
                <w:color w:val="000000" w:themeColor="text1"/>
                <w:vertAlign w:val="superscript"/>
              </w:rPr>
            </w:pPr>
            <w:r w:rsidRPr="32494C9F">
              <w:rPr>
                <w:color w:val="000000" w:themeColor="text1"/>
              </w:rPr>
              <w:t>$</w:t>
            </w:r>
            <w:r w:rsidR="002408E2" w:rsidRPr="002408E2">
              <w:rPr>
                <w:color w:val="000000" w:themeColor="text1"/>
                <w:sz w:val="2"/>
                <w:highlight w:val="black"/>
              </w:rPr>
              <w:t>redacted content</w:t>
            </w:r>
            <w:r w:rsidR="00A31936">
              <w:rPr>
                <w:color w:val="000000" w:themeColor="text1"/>
                <w:vertAlign w:val="superscript"/>
              </w:rPr>
              <w:t>4</w:t>
            </w:r>
          </w:p>
        </w:tc>
        <w:tc>
          <w:tcPr>
            <w:tcW w:w="1280" w:type="dxa"/>
            <w:shd w:val="clear" w:color="auto" w:fill="FFFFFF" w:themeFill="background1"/>
            <w:vAlign w:val="center"/>
          </w:tcPr>
          <w:p w14:paraId="35B6EDCA" w14:textId="7913F5A5" w:rsidR="32494C9F" w:rsidRPr="002408E2" w:rsidRDefault="32494C9F" w:rsidP="32494C9F">
            <w:pPr>
              <w:pStyle w:val="TableText0"/>
              <w:keepLines/>
              <w:spacing w:line="259" w:lineRule="auto"/>
              <w:jc w:val="right"/>
              <w:rPr>
                <w:color w:val="000000" w:themeColor="text1"/>
                <w:vertAlign w:val="superscript"/>
              </w:rPr>
            </w:pPr>
            <w:r w:rsidRPr="32494C9F">
              <w:rPr>
                <w:color w:val="000000" w:themeColor="text1"/>
              </w:rPr>
              <w:t>$</w:t>
            </w:r>
            <w:r w:rsidR="002408E2" w:rsidRPr="002408E2">
              <w:rPr>
                <w:color w:val="000000" w:themeColor="text1"/>
                <w:sz w:val="2"/>
                <w:highlight w:val="black"/>
              </w:rPr>
              <w:t>redacted content</w:t>
            </w:r>
            <w:r w:rsidR="00A31936">
              <w:rPr>
                <w:color w:val="000000" w:themeColor="text1"/>
                <w:vertAlign w:val="superscript"/>
              </w:rPr>
              <w:t>4</w:t>
            </w:r>
          </w:p>
        </w:tc>
        <w:tc>
          <w:tcPr>
            <w:tcW w:w="1280" w:type="dxa"/>
            <w:shd w:val="clear" w:color="auto" w:fill="FFFFFF" w:themeFill="background1"/>
            <w:vAlign w:val="center"/>
          </w:tcPr>
          <w:p w14:paraId="6C803FD5" w14:textId="26010E05" w:rsidR="32494C9F" w:rsidRPr="002408E2" w:rsidRDefault="32494C9F" w:rsidP="32494C9F">
            <w:pPr>
              <w:pStyle w:val="TableText0"/>
              <w:keepLines/>
              <w:spacing w:line="259" w:lineRule="auto"/>
              <w:jc w:val="right"/>
              <w:rPr>
                <w:color w:val="000000" w:themeColor="text1"/>
                <w:vertAlign w:val="superscript"/>
              </w:rPr>
            </w:pPr>
            <w:r w:rsidRPr="32494C9F">
              <w:rPr>
                <w:color w:val="000000" w:themeColor="text1"/>
              </w:rPr>
              <w:t>$</w:t>
            </w:r>
            <w:r w:rsidR="002408E2" w:rsidRPr="002408E2">
              <w:rPr>
                <w:color w:val="000000" w:themeColor="text1"/>
                <w:sz w:val="2"/>
                <w:highlight w:val="black"/>
              </w:rPr>
              <w:t>redacted content</w:t>
            </w:r>
            <w:r w:rsidR="00A31936">
              <w:rPr>
                <w:color w:val="000000" w:themeColor="text1"/>
                <w:vertAlign w:val="superscript"/>
              </w:rPr>
              <w:t>4</w:t>
            </w:r>
          </w:p>
        </w:tc>
      </w:tr>
      <w:tr w:rsidR="000C1AFF" w:rsidRPr="00A6439B" w14:paraId="3CD835A0" w14:textId="77777777" w:rsidTr="444EDE7E">
        <w:trPr>
          <w:cantSplit/>
          <w:jc w:val="center"/>
        </w:trPr>
        <w:tc>
          <w:tcPr>
            <w:tcW w:w="5000" w:type="pct"/>
            <w:gridSpan w:val="7"/>
            <w:vAlign w:val="center"/>
          </w:tcPr>
          <w:p w14:paraId="0717F32A" w14:textId="599CB1D7" w:rsidR="000C1AFF" w:rsidRPr="00943F9C" w:rsidRDefault="000C1AFF" w:rsidP="00222680">
            <w:pPr>
              <w:pStyle w:val="TableText0"/>
              <w:keepLines/>
              <w:rPr>
                <w:b/>
                <w:bCs w:val="0"/>
                <w:color w:val="000000"/>
                <w:szCs w:val="20"/>
              </w:rPr>
            </w:pPr>
            <w:r w:rsidRPr="00943F9C">
              <w:rPr>
                <w:b/>
                <w:bCs w:val="0"/>
                <w:color w:val="000000"/>
                <w:szCs w:val="20"/>
              </w:rPr>
              <w:t>Net financial implications</w:t>
            </w:r>
          </w:p>
        </w:tc>
      </w:tr>
      <w:tr w:rsidR="005B6343" w:rsidRPr="00A6439B" w14:paraId="6DC7AAF7" w14:textId="77777777" w:rsidTr="444EDE7E">
        <w:trPr>
          <w:cantSplit/>
          <w:jc w:val="center"/>
        </w:trPr>
        <w:tc>
          <w:tcPr>
            <w:tcW w:w="1118" w:type="pct"/>
            <w:shd w:val="clear" w:color="auto" w:fill="FFFFFF" w:themeFill="background1"/>
            <w:vAlign w:val="center"/>
          </w:tcPr>
          <w:p w14:paraId="41FA959D" w14:textId="322DE8CC" w:rsidR="005B6343" w:rsidRPr="00DF122F" w:rsidRDefault="50FB76D5" w:rsidP="005B6343">
            <w:pPr>
              <w:pStyle w:val="TableText0"/>
              <w:keepLines/>
            </w:pPr>
            <w:r>
              <w:t>Overall n</w:t>
            </w:r>
            <w:r w:rsidR="6E113759">
              <w:t>et cost to PBS/RPBS (PFS)</w:t>
            </w:r>
          </w:p>
        </w:tc>
        <w:tc>
          <w:tcPr>
            <w:tcW w:w="647" w:type="pct"/>
            <w:shd w:val="clear" w:color="auto" w:fill="FFFFFF" w:themeFill="background1"/>
            <w:vAlign w:val="center"/>
          </w:tcPr>
          <w:p w14:paraId="454A7C1B" w14:textId="2CC5322D" w:rsidR="005B6343" w:rsidRPr="00DF122F" w:rsidRDefault="6E113759" w:rsidP="444EDE7E">
            <w:pPr>
              <w:pStyle w:val="TableText0"/>
              <w:keepLines/>
              <w:jc w:val="right"/>
              <w:rPr>
                <w:rFonts w:cs="Arial"/>
                <w:color w:val="000000"/>
              </w:rPr>
            </w:pPr>
            <w:r w:rsidRPr="444EDE7E">
              <w:rPr>
                <w:rFonts w:cs="Arial"/>
                <w:color w:val="000000" w:themeColor="text1"/>
              </w:rPr>
              <w:t>$</w:t>
            </w:r>
            <w:r w:rsidR="6927502A" w:rsidRPr="444EDE7E">
              <w:rPr>
                <w:rFonts w:cs="Arial"/>
                <w:color w:val="000000" w:themeColor="text1"/>
              </w:rPr>
              <w:t>0</w:t>
            </w:r>
          </w:p>
        </w:tc>
        <w:tc>
          <w:tcPr>
            <w:tcW w:w="647" w:type="pct"/>
            <w:shd w:val="clear" w:color="auto" w:fill="FFFFFF" w:themeFill="background1"/>
            <w:vAlign w:val="center"/>
          </w:tcPr>
          <w:p w14:paraId="5587EA01" w14:textId="29D2D4DF" w:rsidR="005B6343" w:rsidRPr="00DF122F" w:rsidRDefault="6E113759" w:rsidP="444EDE7E">
            <w:pPr>
              <w:pStyle w:val="TableText0"/>
              <w:keepLines/>
              <w:spacing w:line="259" w:lineRule="auto"/>
              <w:jc w:val="right"/>
              <w:rPr>
                <w:color w:val="000000" w:themeColor="text1"/>
              </w:rPr>
            </w:pPr>
            <w:r w:rsidRPr="444EDE7E">
              <w:rPr>
                <w:rFonts w:cs="Arial"/>
                <w:color w:val="000000" w:themeColor="text1"/>
              </w:rPr>
              <w:t>$</w:t>
            </w:r>
            <w:r w:rsidR="510E41E8" w:rsidRPr="444EDE7E">
              <w:rPr>
                <w:rFonts w:cs="Arial"/>
                <w:color w:val="000000" w:themeColor="text1"/>
              </w:rPr>
              <w:t>0</w:t>
            </w:r>
          </w:p>
        </w:tc>
        <w:tc>
          <w:tcPr>
            <w:tcW w:w="647" w:type="pct"/>
            <w:shd w:val="clear" w:color="auto" w:fill="FFFFFF" w:themeFill="background1"/>
            <w:vAlign w:val="center"/>
          </w:tcPr>
          <w:p w14:paraId="5A290C2B" w14:textId="3341E146" w:rsidR="005B6343" w:rsidRPr="00DF122F" w:rsidRDefault="6E113759" w:rsidP="444EDE7E">
            <w:pPr>
              <w:pStyle w:val="TableText0"/>
              <w:keepLines/>
              <w:spacing w:line="259" w:lineRule="auto"/>
              <w:jc w:val="right"/>
              <w:rPr>
                <w:rFonts w:cs="Arial"/>
                <w:color w:val="000000" w:themeColor="text1"/>
              </w:rPr>
            </w:pPr>
            <w:r w:rsidRPr="444EDE7E">
              <w:rPr>
                <w:rFonts w:cs="Arial"/>
                <w:color w:val="000000" w:themeColor="text1"/>
              </w:rPr>
              <w:t>$</w:t>
            </w:r>
            <w:r w:rsidR="080158CB" w:rsidRPr="444EDE7E">
              <w:rPr>
                <w:rFonts w:cs="Arial"/>
                <w:color w:val="000000" w:themeColor="text1"/>
              </w:rPr>
              <w:t>0</w:t>
            </w:r>
          </w:p>
        </w:tc>
        <w:tc>
          <w:tcPr>
            <w:tcW w:w="647" w:type="pct"/>
            <w:shd w:val="clear" w:color="auto" w:fill="FFFFFF" w:themeFill="background1"/>
            <w:vAlign w:val="center"/>
          </w:tcPr>
          <w:p w14:paraId="73C4A55C" w14:textId="368BE6ED" w:rsidR="005B6343" w:rsidRPr="00DF122F" w:rsidRDefault="6E113759" w:rsidP="444EDE7E">
            <w:pPr>
              <w:pStyle w:val="TableText0"/>
              <w:keepLines/>
              <w:spacing w:line="259" w:lineRule="auto"/>
              <w:jc w:val="right"/>
              <w:rPr>
                <w:color w:val="000000" w:themeColor="text1"/>
              </w:rPr>
            </w:pPr>
            <w:r w:rsidRPr="444EDE7E">
              <w:rPr>
                <w:rFonts w:cs="Arial"/>
                <w:color w:val="000000" w:themeColor="text1"/>
              </w:rPr>
              <w:t>$</w:t>
            </w:r>
            <w:r w:rsidR="4A9F2AFE" w:rsidRPr="444EDE7E">
              <w:rPr>
                <w:rFonts w:cs="Arial"/>
                <w:color w:val="000000" w:themeColor="text1"/>
              </w:rPr>
              <w:t>0</w:t>
            </w:r>
          </w:p>
        </w:tc>
        <w:tc>
          <w:tcPr>
            <w:tcW w:w="647" w:type="pct"/>
            <w:shd w:val="clear" w:color="auto" w:fill="FFFFFF" w:themeFill="background1"/>
            <w:vAlign w:val="center"/>
          </w:tcPr>
          <w:p w14:paraId="5A08AF29" w14:textId="7B9F7C9A" w:rsidR="005B6343" w:rsidRPr="00DF122F" w:rsidRDefault="6E113759" w:rsidP="444EDE7E">
            <w:pPr>
              <w:pStyle w:val="TableText0"/>
              <w:keepLines/>
              <w:spacing w:line="259" w:lineRule="auto"/>
              <w:jc w:val="right"/>
              <w:rPr>
                <w:color w:val="000000" w:themeColor="text1"/>
              </w:rPr>
            </w:pPr>
            <w:r w:rsidRPr="444EDE7E">
              <w:rPr>
                <w:rFonts w:cs="Arial"/>
                <w:color w:val="000000" w:themeColor="text1"/>
              </w:rPr>
              <w:t>$</w:t>
            </w:r>
            <w:r w:rsidR="201FF4A5" w:rsidRPr="444EDE7E">
              <w:rPr>
                <w:rFonts w:cs="Arial"/>
                <w:color w:val="000000" w:themeColor="text1"/>
              </w:rPr>
              <w:t>0</w:t>
            </w:r>
          </w:p>
        </w:tc>
        <w:tc>
          <w:tcPr>
            <w:tcW w:w="647" w:type="pct"/>
            <w:shd w:val="clear" w:color="auto" w:fill="FFFFFF" w:themeFill="background1"/>
            <w:vAlign w:val="center"/>
          </w:tcPr>
          <w:p w14:paraId="1A3491BC" w14:textId="31DEBE42" w:rsidR="005B6343" w:rsidRPr="00DF122F" w:rsidRDefault="6E113759" w:rsidP="444EDE7E">
            <w:pPr>
              <w:pStyle w:val="TableText0"/>
              <w:keepLines/>
              <w:spacing w:line="259" w:lineRule="auto"/>
              <w:jc w:val="right"/>
              <w:rPr>
                <w:color w:val="000000" w:themeColor="text1"/>
              </w:rPr>
            </w:pPr>
            <w:r w:rsidRPr="444EDE7E">
              <w:rPr>
                <w:rFonts w:cs="Arial"/>
                <w:color w:val="000000" w:themeColor="text1"/>
              </w:rPr>
              <w:t>$</w:t>
            </w:r>
            <w:r w:rsidR="7070BAD8" w:rsidRPr="444EDE7E">
              <w:rPr>
                <w:rFonts w:cs="Arial"/>
                <w:color w:val="000000" w:themeColor="text1"/>
              </w:rPr>
              <w:t>0</w:t>
            </w:r>
          </w:p>
        </w:tc>
      </w:tr>
    </w:tbl>
    <w:p w14:paraId="0C566A53" w14:textId="1330A2CB" w:rsidR="000F7C27" w:rsidRPr="00A6439B" w:rsidRDefault="00D70349" w:rsidP="00D70349">
      <w:pPr>
        <w:pStyle w:val="TableFigureFooter"/>
        <w:keepNext/>
        <w:jc w:val="left"/>
      </w:pPr>
      <w:r w:rsidRPr="00A6439B">
        <w:rPr>
          <w:vertAlign w:val="superscript"/>
        </w:rPr>
        <w:t>a</w:t>
      </w:r>
      <w:r w:rsidRPr="00A6439B">
        <w:t xml:space="preserve"> </w:t>
      </w:r>
      <w:r w:rsidRPr="0049133A">
        <w:t xml:space="preserve">Assuming </w:t>
      </w:r>
      <w:r w:rsidR="002737BD" w:rsidRPr="0049133A">
        <w:t>4.72 scripts</w:t>
      </w:r>
      <w:r w:rsidRPr="0049133A">
        <w:t xml:space="preserve"> per </w:t>
      </w:r>
      <w:r w:rsidRPr="00A6439B">
        <w:t>patient per year</w:t>
      </w:r>
      <w:r w:rsidR="002737BD">
        <w:t xml:space="preserve"> (18,880 mg EFG annually)</w:t>
      </w:r>
      <w:r w:rsidRPr="00A6439B">
        <w:t xml:space="preserve"> as estimated by the submission.</w:t>
      </w:r>
      <w:r w:rsidR="00AB4684" w:rsidRPr="00A6439B">
        <w:t xml:space="preserve"> </w:t>
      </w:r>
    </w:p>
    <w:p w14:paraId="42320224" w14:textId="50870ABC" w:rsidR="00D70349" w:rsidRPr="00A6439B" w:rsidRDefault="00AB4684" w:rsidP="00D70349">
      <w:pPr>
        <w:pStyle w:val="TableFigureFooter"/>
        <w:keepNext/>
        <w:jc w:val="left"/>
      </w:pPr>
      <w:r w:rsidRPr="00A6439B">
        <w:t>Abbreviations: MBS = Medical Benefits Scheme; PBS = Pharmaceutical Benefits Scheme; RPBS = Repatriation Pharmaceutical Benefits Scheme</w:t>
      </w:r>
      <w:r w:rsidR="0049133A">
        <w:t xml:space="preserve">; SC = </w:t>
      </w:r>
      <w:r w:rsidR="00851B11">
        <w:t xml:space="preserve">EFG </w:t>
      </w:r>
      <w:r w:rsidR="0049133A">
        <w:t>subcutaneous injection</w:t>
      </w:r>
      <w:r w:rsidR="00851B11">
        <w:t>; PFS = EFG pre</w:t>
      </w:r>
      <w:r w:rsidR="00AF0956">
        <w:noBreakHyphen/>
      </w:r>
      <w:r w:rsidR="00851B11">
        <w:t>filled syringe</w:t>
      </w:r>
    </w:p>
    <w:p w14:paraId="6B502D87" w14:textId="77777777" w:rsidR="00CA249E" w:rsidRDefault="0D029FA3" w:rsidP="00CA249E">
      <w:pPr>
        <w:pStyle w:val="TableFigureFooter"/>
        <w:keepNext/>
        <w:spacing w:line="259" w:lineRule="auto"/>
        <w:rPr>
          <w:i/>
          <w:szCs w:val="18"/>
        </w:rPr>
      </w:pPr>
      <w:r>
        <w:t>Source</w:t>
      </w:r>
      <w:r w:rsidR="75C6E942">
        <w:t xml:space="preserve"> (pages 14</w:t>
      </w:r>
      <w:r w:rsidR="00AF0956">
        <w:noBreakHyphen/>
      </w:r>
      <w:r w:rsidR="75C6E942">
        <w:t>1</w:t>
      </w:r>
      <w:r w:rsidR="789F941F">
        <w:t>6</w:t>
      </w:r>
      <w:r w:rsidR="75C6E942">
        <w:t xml:space="preserve"> of the submission)</w:t>
      </w:r>
      <w:r>
        <w:t>: Table</w:t>
      </w:r>
      <w:r w:rsidR="36A5E60E">
        <w:t xml:space="preserve"> 4</w:t>
      </w:r>
      <w:r w:rsidR="00AF0956">
        <w:noBreakHyphen/>
      </w:r>
      <w:r w:rsidR="36A5E60E">
        <w:t>3: Projected efgartigimod script volume</w:t>
      </w:r>
      <w:r w:rsidR="414CEE8F">
        <w:t>, Table 4</w:t>
      </w:r>
      <w:r w:rsidR="00AF0956">
        <w:noBreakHyphen/>
      </w:r>
      <w:r w:rsidR="414CEE8F">
        <w:t xml:space="preserve">4: </w:t>
      </w:r>
      <w:r w:rsidR="6F544BBE">
        <w:t>PFS market penetration, Table</w:t>
      </w:r>
      <w:r w:rsidR="38444691">
        <w:t xml:space="preserve"> 4</w:t>
      </w:r>
      <w:r w:rsidR="00AF0956">
        <w:noBreakHyphen/>
      </w:r>
      <w:r w:rsidR="38444691">
        <w:t>7: Expected</w:t>
      </w:r>
      <w:r w:rsidR="697921C4">
        <w:t xml:space="preserve"> PFS PBS/RPBS cost at published pricing</w:t>
      </w:r>
      <w:r w:rsidR="789F941F">
        <w:t xml:space="preserve">, Table </w:t>
      </w:r>
      <w:r w:rsidR="3656CED8">
        <w:t>4</w:t>
      </w:r>
      <w:r w:rsidR="00AF0956">
        <w:noBreakHyphen/>
      </w:r>
      <w:r w:rsidR="3656CED8">
        <w:t>1</w:t>
      </w:r>
      <w:r w:rsidR="7FCD1C24">
        <w:t>2</w:t>
      </w:r>
      <w:r w:rsidR="3656CED8">
        <w:t>: Incremental changes to PBS/RPBS due to proposed listing</w:t>
      </w:r>
    </w:p>
    <w:p w14:paraId="39DD4F5B" w14:textId="55DBC638" w:rsidR="00CA249E" w:rsidRPr="00CA249E" w:rsidRDefault="00CA249E" w:rsidP="00CA249E">
      <w:pPr>
        <w:pStyle w:val="TableFigureFooter"/>
        <w:keepNext/>
        <w:spacing w:line="259" w:lineRule="auto"/>
        <w:rPr>
          <w:i/>
        </w:rPr>
      </w:pPr>
      <w:r w:rsidRPr="00CA249E">
        <w:rPr>
          <w:i/>
        </w:rPr>
        <w:t xml:space="preserve">The redacted values correspond to the following ranges: </w:t>
      </w:r>
    </w:p>
    <w:p w14:paraId="7A3A2E9F" w14:textId="724F31EC" w:rsidR="00CA249E" w:rsidRPr="00CA249E" w:rsidRDefault="00CA249E" w:rsidP="00CA249E">
      <w:pPr>
        <w:pStyle w:val="TableFigureFooter"/>
        <w:keepNext/>
        <w:spacing w:line="259" w:lineRule="auto"/>
        <w:rPr>
          <w:i/>
        </w:rPr>
      </w:pPr>
      <w:r w:rsidRPr="00CA249E">
        <w:rPr>
          <w:i/>
          <w:vertAlign w:val="superscript"/>
        </w:rPr>
        <w:t>1</w:t>
      </w:r>
      <w:r w:rsidRPr="00CA249E">
        <w:rPr>
          <w:i/>
        </w:rPr>
        <w:t xml:space="preserve"> </w:t>
      </w:r>
      <w:r w:rsidR="000A7F37" w:rsidRPr="000A7F37">
        <w:rPr>
          <w:i/>
        </w:rPr>
        <w:t>500 to &lt; 5,000</w:t>
      </w:r>
    </w:p>
    <w:p w14:paraId="251B7E6D" w14:textId="4DB086A0" w:rsidR="00CA249E" w:rsidRPr="00CA249E" w:rsidRDefault="00CA249E" w:rsidP="00CA249E">
      <w:pPr>
        <w:pStyle w:val="TableFigureFooter"/>
        <w:keepNext/>
        <w:spacing w:line="259" w:lineRule="auto"/>
        <w:rPr>
          <w:i/>
        </w:rPr>
      </w:pPr>
      <w:r w:rsidRPr="00CA249E">
        <w:rPr>
          <w:i/>
          <w:vertAlign w:val="superscript"/>
        </w:rPr>
        <w:t>2</w:t>
      </w:r>
      <w:r w:rsidRPr="00CA249E">
        <w:rPr>
          <w:i/>
        </w:rPr>
        <w:t xml:space="preserve"> </w:t>
      </w:r>
      <w:r w:rsidR="00D31931" w:rsidRPr="00D31931">
        <w:rPr>
          <w:i/>
        </w:rPr>
        <w:t>$80 million to &lt; $90 million</w:t>
      </w:r>
    </w:p>
    <w:p w14:paraId="2ACDEE65" w14:textId="0D06CF96" w:rsidR="00CA249E" w:rsidRPr="00CA249E" w:rsidRDefault="00CA249E" w:rsidP="00CA249E">
      <w:pPr>
        <w:pStyle w:val="TableFigureFooter"/>
        <w:keepNext/>
        <w:spacing w:line="259" w:lineRule="auto"/>
        <w:rPr>
          <w:i/>
        </w:rPr>
      </w:pPr>
      <w:r w:rsidRPr="00CA249E">
        <w:rPr>
          <w:i/>
          <w:vertAlign w:val="superscript"/>
        </w:rPr>
        <w:t>3</w:t>
      </w:r>
      <w:r w:rsidRPr="00CA249E">
        <w:rPr>
          <w:i/>
        </w:rPr>
        <w:t xml:space="preserve"> </w:t>
      </w:r>
      <w:r w:rsidR="00102EAE" w:rsidRPr="00102EAE">
        <w:rPr>
          <w:i/>
        </w:rPr>
        <w:t>$200 million to &lt; $300 million</w:t>
      </w:r>
    </w:p>
    <w:p w14:paraId="6D21A960" w14:textId="6351F6F7" w:rsidR="00D70349" w:rsidRPr="00A31936" w:rsidRDefault="00CA249E" w:rsidP="444EDE7E">
      <w:pPr>
        <w:pStyle w:val="TableFigureFooter"/>
        <w:keepNext/>
        <w:spacing w:line="259" w:lineRule="auto"/>
        <w:rPr>
          <w:i/>
        </w:rPr>
      </w:pPr>
      <w:r w:rsidRPr="00CA249E">
        <w:rPr>
          <w:i/>
          <w:vertAlign w:val="superscript"/>
        </w:rPr>
        <w:t>4</w:t>
      </w:r>
      <w:r w:rsidRPr="00CA249E">
        <w:rPr>
          <w:i/>
        </w:rPr>
        <w:t xml:space="preserve"> </w:t>
      </w:r>
      <w:r w:rsidR="00A31936" w:rsidRPr="00A31936">
        <w:rPr>
          <w:i/>
        </w:rPr>
        <w:t>$300 million to &lt; $400 million</w:t>
      </w:r>
    </w:p>
    <w:p w14:paraId="53AE5A14" w14:textId="30C57EA7" w:rsidR="00F26D80" w:rsidRPr="00D60019" w:rsidRDefault="00831B88" w:rsidP="00D60019">
      <w:pPr>
        <w:pStyle w:val="4-SubsectionHeading"/>
      </w:pPr>
      <w:r w:rsidRPr="00D60019">
        <w:t>Quality use of medicines</w:t>
      </w:r>
    </w:p>
    <w:p w14:paraId="0807FD0D" w14:textId="43BE4C41" w:rsidR="00831B88" w:rsidRPr="00F26D80" w:rsidRDefault="00706417" w:rsidP="00F26D80">
      <w:pPr>
        <w:pStyle w:val="3-BodyText"/>
        <w:rPr>
          <w:bCs/>
          <w:iCs/>
          <w:color w:val="FF0000"/>
          <w:lang w:eastAsia="en-US"/>
        </w:rPr>
      </w:pPr>
      <w:r>
        <w:t>The s</w:t>
      </w:r>
      <w:r w:rsidR="007643EA">
        <w:t>ubmission state</w:t>
      </w:r>
      <w:r w:rsidR="00CB4794">
        <w:t>d</w:t>
      </w:r>
      <w:r>
        <w:t xml:space="preserve"> that a patient support program (PSP) </w:t>
      </w:r>
      <w:r w:rsidR="00E6545D">
        <w:t xml:space="preserve">will be available nationally for all patients on EFG. The PSP </w:t>
      </w:r>
      <w:r w:rsidR="00E30C4B">
        <w:t xml:space="preserve">will provide education </w:t>
      </w:r>
      <w:r w:rsidR="00F72845">
        <w:t>about treatment objectives, administration requirements, and potential AEs. The program will include injection training and support to ensure that patients can safely and confidently self</w:t>
      </w:r>
      <w:r w:rsidR="00AF0956">
        <w:noBreakHyphen/>
      </w:r>
      <w:r w:rsidR="00F72845">
        <w:t>administer EFG</w:t>
      </w:r>
      <w:r w:rsidR="004943EE">
        <w:t>.</w:t>
      </w:r>
      <w:r w:rsidR="0034141F">
        <w:t xml:space="preserve"> </w:t>
      </w:r>
      <w:r w:rsidR="0013572A">
        <w:t>The PSP will also support t</w:t>
      </w:r>
      <w:r w:rsidR="0034141F">
        <w:t>reatment reminders and monitoring</w:t>
      </w:r>
      <w:r w:rsidR="0013572A">
        <w:t>.</w:t>
      </w:r>
    </w:p>
    <w:p w14:paraId="36875348" w14:textId="2DCD0BA0" w:rsidR="00831B88" w:rsidRPr="00D60019" w:rsidRDefault="00831B88" w:rsidP="00D60019">
      <w:pPr>
        <w:pStyle w:val="4-SubsectionHeading"/>
      </w:pPr>
      <w:r w:rsidRPr="00D60019">
        <w:t>Risk</w:t>
      </w:r>
      <w:r w:rsidR="00AF0956">
        <w:noBreakHyphen/>
      </w:r>
      <w:r w:rsidRPr="00D60019">
        <w:t>sharing arrangements</w:t>
      </w:r>
    </w:p>
    <w:p w14:paraId="519976B9" w14:textId="565528A3" w:rsidR="00831B88" w:rsidRPr="00A6439B" w:rsidRDefault="008D6019" w:rsidP="00F26D80">
      <w:pPr>
        <w:pStyle w:val="3-BodyText"/>
        <w:rPr>
          <w:lang w:eastAsia="en-US"/>
        </w:rPr>
      </w:pPr>
      <w:r>
        <w:t xml:space="preserve">At </w:t>
      </w:r>
      <w:r w:rsidR="00487598">
        <w:t xml:space="preserve">the November 2025 PBAC meeting, the committee </w:t>
      </w:r>
      <w:r w:rsidR="00763A09">
        <w:t xml:space="preserve">advised that </w:t>
      </w:r>
      <w:r w:rsidR="009E7612">
        <w:t>EFG</w:t>
      </w:r>
      <w:r w:rsidR="00763A09">
        <w:t xml:space="preserve"> SC should </w:t>
      </w:r>
      <w:r w:rsidR="008064F0">
        <w:t xml:space="preserve">also </w:t>
      </w:r>
      <w:r w:rsidR="003B0487">
        <w:t xml:space="preserve">join </w:t>
      </w:r>
      <w:r w:rsidR="008064F0">
        <w:t xml:space="preserve">the </w:t>
      </w:r>
      <w:r w:rsidR="00861A81">
        <w:t xml:space="preserve">RSA </w:t>
      </w:r>
      <w:r w:rsidR="008064F0">
        <w:t>for the</w:t>
      </w:r>
      <w:r w:rsidR="009E7612">
        <w:t xml:space="preserve"> </w:t>
      </w:r>
      <w:r w:rsidR="008064F0">
        <w:t xml:space="preserve">gMG </w:t>
      </w:r>
      <w:r w:rsidR="00AD217F" w:rsidRPr="444EDE7E">
        <w:rPr>
          <w:lang w:val="en-GB"/>
        </w:rPr>
        <w:t xml:space="preserve">medicines as recommended in March 2025, to mitigate the same risks in terms of use </w:t>
      </w:r>
      <w:r w:rsidR="00AD217F">
        <w:t>outside the intended restriction and the increase in frequency of cycles over time</w:t>
      </w:r>
      <w:r w:rsidR="00AD217F" w:rsidRPr="444EDE7E">
        <w:rPr>
          <w:lang w:val="en-GB"/>
        </w:rPr>
        <w:t>.</w:t>
      </w:r>
    </w:p>
    <w:p w14:paraId="1E028676" w14:textId="7FA7744C" w:rsidR="00201FB8" w:rsidRDefault="00D60019" w:rsidP="00D60019">
      <w:pPr>
        <w:pStyle w:val="2-SectionHeading"/>
      </w:pPr>
      <w:r>
        <w:t>PBAC Outcome</w:t>
      </w:r>
    </w:p>
    <w:p w14:paraId="433FA60A" w14:textId="7ABC2281" w:rsidR="00D60019" w:rsidRDefault="00D60019" w:rsidP="00D60019">
      <w:pPr>
        <w:pStyle w:val="3-BodyText"/>
      </w:pPr>
      <w:r>
        <w:t>The PBAC recommended the listing of efgartigimod alfa pre</w:t>
      </w:r>
      <w:r w:rsidR="00AF0956">
        <w:noBreakHyphen/>
      </w:r>
      <w:r>
        <w:t>filled syringe for the treatment o</w:t>
      </w:r>
      <w:r w:rsidR="008B4181">
        <w:t>f generalised myasthenia gravis</w:t>
      </w:r>
      <w:r w:rsidR="00432C55">
        <w:t xml:space="preserve"> (gMG)</w:t>
      </w:r>
      <w:r w:rsidR="008B4181">
        <w:t>, on the basis that it should be available only under special arrangements under</w:t>
      </w:r>
      <w:r w:rsidR="00CC181E">
        <w:t xml:space="preserve"> the</w:t>
      </w:r>
      <w:r w:rsidR="008B4181">
        <w:t xml:space="preserve"> section 100</w:t>
      </w:r>
      <w:r w:rsidR="00CC181E">
        <w:t xml:space="preserve"> Highly Specialised Drug </w:t>
      </w:r>
      <w:r w:rsidR="00767984">
        <w:t xml:space="preserve">program </w:t>
      </w:r>
      <w:r w:rsidR="00721856">
        <w:t xml:space="preserve">(s100 HSD) </w:t>
      </w:r>
      <w:r w:rsidR="004D119B">
        <w:t xml:space="preserve">as an </w:t>
      </w:r>
      <w:r w:rsidR="005908C1">
        <w:t xml:space="preserve">Authority Required (Written/Online) </w:t>
      </w:r>
      <w:r w:rsidR="004D119B">
        <w:t>listing</w:t>
      </w:r>
      <w:r w:rsidR="00CC181E">
        <w:t>.</w:t>
      </w:r>
      <w:r w:rsidR="00C06F66">
        <w:t xml:space="preserve"> The PBAC advised that the request</w:t>
      </w:r>
      <w:r w:rsidR="00767984">
        <w:t>ed</w:t>
      </w:r>
      <w:r w:rsidR="00C06F66">
        <w:t xml:space="preserve"> section 85 </w:t>
      </w:r>
      <w:r w:rsidR="00721856">
        <w:t xml:space="preserve">general schedule listing would be inappropriate </w:t>
      </w:r>
      <w:r w:rsidR="00721856">
        <w:lastRenderedPageBreak/>
        <w:t xml:space="preserve">and recommended a s100 HSD </w:t>
      </w:r>
      <w:r w:rsidR="00767984">
        <w:t xml:space="preserve">listing, consistent with its recommendations in March and November 2025 </w:t>
      </w:r>
      <w:r w:rsidR="003E5021">
        <w:t>for other novel gMG medicines.</w:t>
      </w:r>
    </w:p>
    <w:p w14:paraId="116A8F4E" w14:textId="40A5CBCF" w:rsidR="00D53C0A" w:rsidRDefault="00701555" w:rsidP="00D53C0A">
      <w:pPr>
        <w:pStyle w:val="3-BodyText"/>
      </w:pPr>
      <w:r>
        <w:t xml:space="preserve">The PBAC considered that </w:t>
      </w:r>
      <w:r w:rsidR="000D0D42">
        <w:t xml:space="preserve">a </w:t>
      </w:r>
      <w:r>
        <w:t>claim of non</w:t>
      </w:r>
      <w:r w:rsidR="00AF0956">
        <w:noBreakHyphen/>
      </w:r>
      <w:r>
        <w:t>inferior effectiveness and non</w:t>
      </w:r>
      <w:r w:rsidR="00AF0956">
        <w:noBreakHyphen/>
      </w:r>
      <w:r>
        <w:t xml:space="preserve">inferior </w:t>
      </w:r>
      <w:r w:rsidR="00922C68">
        <w:t xml:space="preserve">comparative safety of EFG PFS versus </w:t>
      </w:r>
      <w:r w:rsidR="00D36708">
        <w:t>EFG SC and EFG IV</w:t>
      </w:r>
      <w:r w:rsidR="00C827C1">
        <w:t xml:space="preserve"> was reasonable, noting the study provided in the submission </w:t>
      </w:r>
      <w:r w:rsidR="00B73578">
        <w:t>along with the opinion of the TGA and EMA that the PFS form is therapeutically equivalent to the SC and IV forms.</w:t>
      </w:r>
    </w:p>
    <w:p w14:paraId="233ADC61" w14:textId="7156455D" w:rsidR="005D75DE" w:rsidRDefault="00212127" w:rsidP="00461F9E">
      <w:pPr>
        <w:pStyle w:val="3-BodyText"/>
      </w:pPr>
      <w:r>
        <w:t xml:space="preserve">The submission presented a cost minimisation approach (CMA) </w:t>
      </w:r>
      <w:r w:rsidR="006347AF">
        <w:t xml:space="preserve">of EFG PFS </w:t>
      </w:r>
      <w:r w:rsidR="00BC792E">
        <w:t xml:space="preserve">compared </w:t>
      </w:r>
      <w:r w:rsidR="006347AF">
        <w:t>to EFG SC, ass</w:t>
      </w:r>
      <w:r w:rsidR="005D75DE">
        <w:t xml:space="preserve">uming a 1:1 substitution and </w:t>
      </w:r>
      <w:r w:rsidR="00BB615D">
        <w:t>request</w:t>
      </w:r>
      <w:r w:rsidR="00BC792E">
        <w:t>ing</w:t>
      </w:r>
      <w:r w:rsidR="005D75DE">
        <w:t xml:space="preserve"> the same price per unit. </w:t>
      </w:r>
      <w:r w:rsidR="006F0D26">
        <w:t>Th</w:t>
      </w:r>
      <w:r w:rsidR="00A67B40">
        <w:t xml:space="preserve">e PBAC agreed that EFG SC was a relevant comparator, however, </w:t>
      </w:r>
      <w:r w:rsidR="009D5EBD" w:rsidRPr="00A6439B">
        <w:t>alternative therapies in this case</w:t>
      </w:r>
      <w:r w:rsidR="009D5EBD" w:rsidRPr="009A28CC">
        <w:t xml:space="preserve"> </w:t>
      </w:r>
      <w:r w:rsidR="009D5EBD">
        <w:t>could</w:t>
      </w:r>
      <w:r w:rsidR="00BB615D">
        <w:t xml:space="preserve"> also</w:t>
      </w:r>
      <w:r w:rsidR="009D5EBD" w:rsidRPr="009A28CC">
        <w:t xml:space="preserve"> include </w:t>
      </w:r>
      <w:r w:rsidR="009D5EBD">
        <w:t>EFG</w:t>
      </w:r>
      <w:r w:rsidR="009D5EBD" w:rsidRPr="009A28CC">
        <w:t xml:space="preserve"> IV, </w:t>
      </w:r>
      <w:r w:rsidR="009D5EBD" w:rsidRPr="00D53C0A">
        <w:rPr>
          <w:snapToGrid w:val="0"/>
          <w:lang w:eastAsia="en-US"/>
        </w:rPr>
        <w:t>ravulizumab</w:t>
      </w:r>
      <w:r w:rsidR="009D5EBD" w:rsidRPr="009A28CC">
        <w:t xml:space="preserve">, </w:t>
      </w:r>
      <w:r w:rsidR="009D5EBD" w:rsidRPr="00D53C0A">
        <w:rPr>
          <w:snapToGrid w:val="0"/>
          <w:lang w:eastAsia="en-US"/>
        </w:rPr>
        <w:t xml:space="preserve">rozanolixizumab </w:t>
      </w:r>
      <w:r w:rsidR="009D5EBD" w:rsidRPr="009A28CC">
        <w:t xml:space="preserve">and </w:t>
      </w:r>
      <w:r w:rsidR="009D5EBD" w:rsidRPr="00D53C0A">
        <w:rPr>
          <w:snapToGrid w:val="0"/>
          <w:lang w:eastAsia="en-US"/>
        </w:rPr>
        <w:t>zilucoplan, or IVIg</w:t>
      </w:r>
      <w:r w:rsidR="00017C09">
        <w:rPr>
          <w:snapToGrid w:val="0"/>
          <w:lang w:eastAsia="en-US"/>
        </w:rPr>
        <w:t xml:space="preserve"> (and </w:t>
      </w:r>
      <w:r w:rsidR="00432C55">
        <w:rPr>
          <w:snapToGrid w:val="0"/>
          <w:lang w:eastAsia="en-US"/>
        </w:rPr>
        <w:t>the PBAC noted that ravulizumab was PBS</w:t>
      </w:r>
      <w:r w:rsidR="00AF0956">
        <w:rPr>
          <w:snapToGrid w:val="0"/>
          <w:lang w:eastAsia="en-US"/>
        </w:rPr>
        <w:noBreakHyphen/>
      </w:r>
      <w:r w:rsidR="00432C55">
        <w:rPr>
          <w:snapToGrid w:val="0"/>
          <w:lang w:eastAsia="en-US"/>
        </w:rPr>
        <w:t>listed for gMG on 1 March 2026)</w:t>
      </w:r>
      <w:r w:rsidR="009D5EBD" w:rsidRPr="009A28CC">
        <w:t xml:space="preserve">. Since there are no data to establish superiority over the </w:t>
      </w:r>
      <w:r w:rsidR="00EC3650">
        <w:t xml:space="preserve">alternative </w:t>
      </w:r>
      <w:r w:rsidR="009D5EBD" w:rsidRPr="009A28CC">
        <w:t xml:space="preserve">comparators, there is no justification for the price of </w:t>
      </w:r>
      <w:r w:rsidR="009D5EBD">
        <w:t>EFG</w:t>
      </w:r>
      <w:r w:rsidR="009D5EBD" w:rsidRPr="009A28CC">
        <w:t xml:space="preserve"> PFS to be higher than </w:t>
      </w:r>
      <w:r w:rsidR="009D5EBD">
        <w:t>any of EFG</w:t>
      </w:r>
      <w:r w:rsidR="009D5EBD" w:rsidRPr="009A28CC">
        <w:t xml:space="preserve"> IV</w:t>
      </w:r>
      <w:r w:rsidR="009D5EBD">
        <w:t>, EF</w:t>
      </w:r>
      <w:r w:rsidR="005D6DAA">
        <w:t xml:space="preserve">G </w:t>
      </w:r>
      <w:r w:rsidR="009D5EBD" w:rsidRPr="009A28CC">
        <w:t xml:space="preserve">SC, </w:t>
      </w:r>
      <w:r w:rsidR="009D5EBD" w:rsidRPr="00D53C0A">
        <w:rPr>
          <w:snapToGrid w:val="0"/>
          <w:lang w:eastAsia="en-US"/>
        </w:rPr>
        <w:t>ravulizumab</w:t>
      </w:r>
      <w:r w:rsidR="009D5EBD" w:rsidRPr="009A28CC">
        <w:t xml:space="preserve">, </w:t>
      </w:r>
      <w:r w:rsidR="009D5EBD" w:rsidRPr="00D53C0A">
        <w:rPr>
          <w:snapToGrid w:val="0"/>
          <w:lang w:eastAsia="en-US"/>
        </w:rPr>
        <w:t xml:space="preserve">rozanolixizumab </w:t>
      </w:r>
      <w:r w:rsidR="009D5EBD">
        <w:t>or</w:t>
      </w:r>
      <w:r w:rsidR="009D5EBD" w:rsidRPr="009A28CC">
        <w:t xml:space="preserve"> </w:t>
      </w:r>
      <w:r w:rsidR="009D5EBD" w:rsidRPr="00D53C0A">
        <w:rPr>
          <w:snapToGrid w:val="0"/>
          <w:lang w:eastAsia="en-US"/>
        </w:rPr>
        <w:t>zilucoplan.</w:t>
      </w:r>
      <w:r w:rsidR="00990986" w:rsidRPr="00D53C0A">
        <w:rPr>
          <w:snapToGrid w:val="0"/>
          <w:lang w:eastAsia="en-US"/>
        </w:rPr>
        <w:t xml:space="preserve"> The </w:t>
      </w:r>
      <w:r w:rsidR="00990986">
        <w:t>PBAC advised that the PFS</w:t>
      </w:r>
      <w:r w:rsidR="001A7F2A">
        <w:t xml:space="preserve"> should</w:t>
      </w:r>
      <w:r w:rsidR="00990986">
        <w:t xml:space="preserve"> be priced as per the other gMG medicines recommended at the March 2025</w:t>
      </w:r>
      <w:r w:rsidR="001A7F2A">
        <w:t xml:space="preserve"> and November 2025</w:t>
      </w:r>
      <w:r w:rsidR="00990986">
        <w:t xml:space="preserve"> PBAC meeting</w:t>
      </w:r>
      <w:r w:rsidR="001A7F2A">
        <w:t>s</w:t>
      </w:r>
      <w:r w:rsidR="00990986">
        <w:t>. This comprised a cost</w:t>
      </w:r>
      <w:r w:rsidR="00AF0956">
        <w:noBreakHyphen/>
      </w:r>
      <w:r w:rsidR="00990986">
        <w:t>comparison to IVIg (average annual dose per year of 541.1</w:t>
      </w:r>
      <w:r w:rsidR="00F4617E">
        <w:t xml:space="preserve"> </w:t>
      </w:r>
      <w:r w:rsidR="00990986">
        <w:t xml:space="preserve">g) with a price </w:t>
      </w:r>
      <w:r w:rsidR="00990986" w:rsidRPr="00C06F66">
        <w:t xml:space="preserve">premium for the administration benefits </w:t>
      </w:r>
      <w:r w:rsidR="00237AD0">
        <w:t>over</w:t>
      </w:r>
      <w:r w:rsidR="00990986" w:rsidRPr="00C06F66">
        <w:t xml:space="preserve"> IVIg (refer to para 8.24, efgartigimod alfa </w:t>
      </w:r>
      <w:r w:rsidR="00847049">
        <w:t>Public Summary Document [</w:t>
      </w:r>
      <w:r w:rsidR="00990986" w:rsidRPr="00C06F66">
        <w:t>PSD</w:t>
      </w:r>
      <w:r w:rsidR="00847049">
        <w:t>]</w:t>
      </w:r>
      <w:r w:rsidR="00990986" w:rsidRPr="00C06F66">
        <w:t>, March 2025 PBAC meeting</w:t>
      </w:r>
      <w:r w:rsidR="00404EB4">
        <w:t xml:space="preserve"> and subsequent advice provided at the November 2025 meeting</w:t>
      </w:r>
      <w:r w:rsidR="00990986" w:rsidRPr="00C06F66">
        <w:t xml:space="preserve">). </w:t>
      </w:r>
      <w:r w:rsidR="0049618C">
        <w:t xml:space="preserve">For EFG PFS, noting the submission’s proposed equivalence </w:t>
      </w:r>
      <w:r w:rsidR="00CB7D96">
        <w:t xml:space="preserve">of 1 PFS vial and 1 SC vial, the PBAC advised the cost comparison should incorporate </w:t>
      </w:r>
      <w:r w:rsidR="0078733F">
        <w:t xml:space="preserve">an annual dose of EFG PFS of </w:t>
      </w:r>
      <w:r w:rsidR="00461F9E">
        <w:t>18,880 mg per year (or simply put, 1 vial EF</w:t>
      </w:r>
      <w:r w:rsidR="00A068EC">
        <w:t xml:space="preserve">G PFS </w:t>
      </w:r>
      <w:r w:rsidR="00461F9E">
        <w:t xml:space="preserve">should </w:t>
      </w:r>
      <w:r w:rsidR="00A068EC">
        <w:t xml:space="preserve">be priced equivalent </w:t>
      </w:r>
      <w:r w:rsidR="001C2FD9">
        <w:t xml:space="preserve">to 1 vial EFG SC or 2.4 vials of EFG IV). </w:t>
      </w:r>
    </w:p>
    <w:p w14:paraId="18D1AA04" w14:textId="0D1ED29B" w:rsidR="001532C4" w:rsidRPr="00C06F66" w:rsidRDefault="001532C4" w:rsidP="00461F9E">
      <w:pPr>
        <w:pStyle w:val="3-BodyText"/>
      </w:pPr>
      <w:r>
        <w:t xml:space="preserve">The PBAC recalled its consideration of the EFG </w:t>
      </w:r>
      <w:r w:rsidR="003825DD">
        <w:t>SC where it did not accept</w:t>
      </w:r>
      <w:r w:rsidR="00EF4CDC">
        <w:t xml:space="preserve"> a reduced use of MBS items as an acceptable cost offset as part of the CMA to the IV formulation</w:t>
      </w:r>
      <w:r w:rsidR="0059652C">
        <w:t xml:space="preserve"> (para 6.3, efgartigimod alfa</w:t>
      </w:r>
      <w:r w:rsidR="003A14CE">
        <w:t xml:space="preserve"> PSD</w:t>
      </w:r>
      <w:r w:rsidR="0059652C">
        <w:t>, November 2025 PBAC meeting)</w:t>
      </w:r>
      <w:r w:rsidR="00EF4CDC">
        <w:t xml:space="preserve">. </w:t>
      </w:r>
      <w:r w:rsidR="0052275E" w:rsidRPr="0052275E">
        <w:t>The PBAC reiterated that such savings would unlikely be realised in practice</w:t>
      </w:r>
      <w:r w:rsidR="00C45B26">
        <w:t>.</w:t>
      </w:r>
    </w:p>
    <w:p w14:paraId="4965DCDF" w14:textId="781687C5" w:rsidR="00DE7102" w:rsidRDefault="00A719C6" w:rsidP="004318B7">
      <w:pPr>
        <w:pStyle w:val="3-BodyText"/>
      </w:pPr>
      <w:r>
        <w:t xml:space="preserve">The PBAC noted that </w:t>
      </w:r>
      <w:r w:rsidR="00A97B77">
        <w:t xml:space="preserve">the submission’s financial estimates were based solely on substitution </w:t>
      </w:r>
      <w:r w:rsidR="00DE7102">
        <w:t xml:space="preserve">with EFG SC, which is not PBS listed. The PBAC recalled </w:t>
      </w:r>
      <w:r w:rsidR="00BC01BD">
        <w:t>that it had previously considered that the financial estimates associated with listing EFG SC were uncertain as no gMG medicines were PBS</w:t>
      </w:r>
      <w:r w:rsidR="00AF0956">
        <w:noBreakHyphen/>
      </w:r>
      <w:r w:rsidR="00BC01BD">
        <w:t>listed at that time and the estimates did not account for zilucoplan, ravulizumab and rozanolixizumab</w:t>
      </w:r>
      <w:r w:rsidR="003A14CE">
        <w:t xml:space="preserve"> (para 6.4, efgartigimod alfa PSD, November 2026 PBAC meeting</w:t>
      </w:r>
      <w:r w:rsidR="00534318">
        <w:t xml:space="preserve">). </w:t>
      </w:r>
    </w:p>
    <w:p w14:paraId="524BA4A0" w14:textId="23BF307B" w:rsidR="00484A67" w:rsidRDefault="00484A67" w:rsidP="004318B7">
      <w:pPr>
        <w:pStyle w:val="3-BodyText"/>
      </w:pPr>
      <w:r>
        <w:t xml:space="preserve">Nonetheless, the PBAC advised that it was reasonable to expect that the listing of efgartigimod alfa would </w:t>
      </w:r>
      <w:r w:rsidR="00B52E15">
        <w:t>be cost</w:t>
      </w:r>
      <w:r w:rsidR="00AF0956">
        <w:noBreakHyphen/>
      </w:r>
      <w:r w:rsidR="00B52E15">
        <w:t>neutral to the PBS/RPBS</w:t>
      </w:r>
      <w:r w:rsidR="00426D1A">
        <w:t xml:space="preserve">, given the recommended pricing equivalence between the </w:t>
      </w:r>
      <w:r w:rsidR="00DF4D81">
        <w:t>different gMG agents</w:t>
      </w:r>
      <w:r w:rsidR="00E9615C">
        <w:t xml:space="preserve"> (and noting that ravulizumab listed on 1 March 2026)</w:t>
      </w:r>
      <w:r w:rsidR="00DF4D81">
        <w:t>.</w:t>
      </w:r>
    </w:p>
    <w:p w14:paraId="771D100C" w14:textId="519F5C01" w:rsidR="00ED1C9F" w:rsidRDefault="00ED1C9F" w:rsidP="004318B7">
      <w:pPr>
        <w:pStyle w:val="3-BodyText"/>
      </w:pPr>
      <w:r w:rsidRPr="47F9557C">
        <w:t xml:space="preserve">The PBAC advised that </w:t>
      </w:r>
      <w:r w:rsidR="00600F16">
        <w:t>EFG</w:t>
      </w:r>
      <w:r w:rsidRPr="47F9557C">
        <w:t xml:space="preserve"> PFS should join the Risk Sharing Arrangement</w:t>
      </w:r>
      <w:r w:rsidR="00C85424">
        <w:t xml:space="preserve"> that </w:t>
      </w:r>
      <w:r w:rsidR="00E0071E">
        <w:t xml:space="preserve">the PBAC </w:t>
      </w:r>
      <w:r w:rsidR="00C85424">
        <w:t xml:space="preserve">had previously recommended for </w:t>
      </w:r>
      <w:r w:rsidR="00600F16">
        <w:t>EFG SC and IV</w:t>
      </w:r>
      <w:r w:rsidRPr="47F9557C">
        <w:t xml:space="preserve">, ravulizumab, rozanolixizumab, and zilucoplan </w:t>
      </w:r>
      <w:r w:rsidR="00C85424">
        <w:t xml:space="preserve">at </w:t>
      </w:r>
      <w:r w:rsidRPr="47F9557C">
        <w:t>the March 2025 and November 2025 PBAC meetings.</w:t>
      </w:r>
    </w:p>
    <w:p w14:paraId="49D71F15" w14:textId="1E80CBC0" w:rsidR="00E41A28" w:rsidRDefault="00E41A28" w:rsidP="004318B7">
      <w:pPr>
        <w:pStyle w:val="3-BodyText"/>
      </w:pPr>
      <w:r>
        <w:lastRenderedPageBreak/>
        <w:t>The PBAC advised that EFG PFS is suitable for prescribing by medical practitioners only</w:t>
      </w:r>
      <w:r w:rsidR="00B7079E">
        <w:t>, consistent with previous</w:t>
      </w:r>
      <w:r w:rsidR="0092667C">
        <w:t xml:space="preserve"> PBAC</w:t>
      </w:r>
      <w:r w:rsidR="00B7079E">
        <w:t xml:space="preserve"> recommendations for EFG SC and IV.</w:t>
      </w:r>
    </w:p>
    <w:p w14:paraId="6F4C5854" w14:textId="65579B8B" w:rsidR="00F659AC" w:rsidRPr="00F659AC" w:rsidRDefault="00DE55C3" w:rsidP="00B7079E">
      <w:pPr>
        <w:pStyle w:val="3-BodyText"/>
        <w:rPr>
          <w:snapToGrid w:val="0"/>
          <w:lang w:val="en-GB" w:eastAsia="en-US"/>
        </w:rPr>
      </w:pPr>
      <w:r w:rsidRPr="00D121C5">
        <w:rPr>
          <w:rFonts w:cstheme="minorHAnsi"/>
          <w:lang w:val="en-GB"/>
        </w:rPr>
        <w:t>The PBAC noted that its recommendation was on a cost</w:t>
      </w:r>
      <w:r w:rsidR="00AF0956">
        <w:rPr>
          <w:rFonts w:cstheme="minorHAnsi"/>
          <w:lang w:val="en-GB"/>
        </w:rPr>
        <w:noBreakHyphen/>
      </w:r>
      <w:r w:rsidRPr="00D121C5">
        <w:rPr>
          <w:rFonts w:cstheme="minorHAnsi"/>
          <w:lang w:val="en-GB"/>
        </w:rPr>
        <w:t xml:space="preserve">minimisation basis and advised that, because </w:t>
      </w:r>
      <w:r>
        <w:rPr>
          <w:rFonts w:cstheme="minorHAnsi"/>
          <w:lang w:val="en-GB"/>
        </w:rPr>
        <w:t xml:space="preserve">EFG PFS </w:t>
      </w:r>
      <w:r w:rsidRPr="00D121C5">
        <w:rPr>
          <w:rFonts w:cstheme="minorHAnsi"/>
          <w:lang w:val="en-GB"/>
        </w:rPr>
        <w:t>is not expected to provide a substantial</w:t>
      </w:r>
      <w:r w:rsidRPr="00D121C5">
        <w:rPr>
          <w:bCs/>
          <w:lang w:val="en-GB"/>
        </w:rPr>
        <w:t xml:space="preserve"> and</w:t>
      </w:r>
      <w:r w:rsidRPr="00531A05">
        <w:rPr>
          <w:bCs/>
          <w:lang w:val="en-GB"/>
        </w:rPr>
        <w:t xml:space="preserve"> clinically relevant improvement in efficacy, or reduction of toxicity, over </w:t>
      </w:r>
      <w:r>
        <w:t>EFG</w:t>
      </w:r>
      <w:r w:rsidRPr="009A28CC">
        <w:t xml:space="preserve"> IV,</w:t>
      </w:r>
      <w:r>
        <w:t xml:space="preserve"> EFG SC,</w:t>
      </w:r>
      <w:r w:rsidRPr="009A28CC">
        <w:t xml:space="preserve"> </w:t>
      </w:r>
      <w:r w:rsidRPr="00D53C0A">
        <w:rPr>
          <w:snapToGrid w:val="0"/>
          <w:lang w:eastAsia="en-US"/>
        </w:rPr>
        <w:t>ravulizumab</w:t>
      </w:r>
      <w:r w:rsidRPr="009A28CC">
        <w:t xml:space="preserve">, </w:t>
      </w:r>
      <w:r w:rsidRPr="00D53C0A">
        <w:rPr>
          <w:snapToGrid w:val="0"/>
          <w:lang w:eastAsia="en-US"/>
        </w:rPr>
        <w:t xml:space="preserve">rozanolixizumab </w:t>
      </w:r>
      <w:r w:rsidRPr="009A28CC">
        <w:t xml:space="preserve">and </w:t>
      </w:r>
      <w:r w:rsidRPr="00D53C0A">
        <w:rPr>
          <w:snapToGrid w:val="0"/>
          <w:lang w:eastAsia="en-US"/>
        </w:rPr>
        <w:t>zilucoplan, or IVIg</w:t>
      </w:r>
      <w:r w:rsidRPr="00531A05">
        <w:rPr>
          <w:bCs/>
          <w:lang w:val="en-GB"/>
        </w:rPr>
        <w:t>, or not expected to address a high and urgent unmet clinical need given the presence of alternative therap</w:t>
      </w:r>
      <w:r w:rsidR="00F659AC">
        <w:rPr>
          <w:bCs/>
          <w:lang w:val="en-GB"/>
        </w:rPr>
        <w:t>ies</w:t>
      </w:r>
      <w:r w:rsidRPr="00531A05">
        <w:rPr>
          <w:bCs/>
          <w:lang w:val="en-GB"/>
        </w:rPr>
        <w:t xml:space="preserve">, the criteria prescribed by the </w:t>
      </w:r>
      <w:r w:rsidRPr="007A5703">
        <w:rPr>
          <w:bCs/>
          <w:i/>
          <w:lang w:val="en-GB"/>
        </w:rPr>
        <w:t>National Health (Pharmaceuticals and Vaccines – Cost Recovery) Regulations 20</w:t>
      </w:r>
      <w:r>
        <w:rPr>
          <w:bCs/>
          <w:i/>
          <w:lang w:val="en-GB"/>
        </w:rPr>
        <w:t>22</w:t>
      </w:r>
      <w:r w:rsidRPr="00531A05">
        <w:rPr>
          <w:bCs/>
          <w:lang w:val="en-GB"/>
        </w:rPr>
        <w:t xml:space="preserve"> for Pricing Pathway A were not met.</w:t>
      </w:r>
    </w:p>
    <w:p w14:paraId="0D0276C8" w14:textId="4A6A742A" w:rsidR="00B7079E" w:rsidRPr="004B3738" w:rsidRDefault="00B7079E" w:rsidP="00F659AC">
      <w:pPr>
        <w:pStyle w:val="3-BodyText"/>
        <w:rPr>
          <w:snapToGrid w:val="0"/>
          <w:lang w:val="en-GB" w:eastAsia="en-US"/>
        </w:rPr>
      </w:pPr>
      <w:r w:rsidRPr="74EB87D5">
        <w:rPr>
          <w:lang w:eastAsia="en-US"/>
        </w:rPr>
        <w:t>The PBAC noted that this submission is not eligible for an Independent Review as it received a positive recommendation.</w:t>
      </w:r>
    </w:p>
    <w:p w14:paraId="45136772" w14:textId="77777777" w:rsidR="004B3738" w:rsidRDefault="004B3738" w:rsidP="004B3738">
      <w:pPr>
        <w:rPr>
          <w:snapToGrid w:val="0"/>
          <w:lang w:val="en-GB"/>
        </w:rPr>
      </w:pPr>
    </w:p>
    <w:p w14:paraId="0DF42C5F" w14:textId="02F3265D" w:rsidR="004B3738" w:rsidRPr="004B3738" w:rsidRDefault="004B3738" w:rsidP="004B3738">
      <w:pPr>
        <w:rPr>
          <w:b/>
          <w:bCs/>
          <w:snapToGrid w:val="0"/>
          <w:lang w:val="en-GB"/>
        </w:rPr>
      </w:pPr>
      <w:r w:rsidRPr="004B3738">
        <w:rPr>
          <w:b/>
          <w:bCs/>
          <w:snapToGrid w:val="0"/>
          <w:lang w:val="en-GB"/>
        </w:rPr>
        <w:t>Outcome:</w:t>
      </w:r>
    </w:p>
    <w:p w14:paraId="7EE30AB2" w14:textId="1F36D791" w:rsidR="00D21C6E" w:rsidRPr="003B616C" w:rsidRDefault="004B3738" w:rsidP="004B3738">
      <w:pPr>
        <w:rPr>
          <w:snapToGrid w:val="0"/>
          <w:lang w:val="en-GB"/>
        </w:rPr>
      </w:pPr>
      <w:r w:rsidRPr="00525B39">
        <w:rPr>
          <w:snapToGrid w:val="0"/>
          <w:lang w:val="en-GB"/>
        </w:rPr>
        <w:t>Recommended</w:t>
      </w:r>
    </w:p>
    <w:p w14:paraId="285CB2B5" w14:textId="0A3204FE" w:rsidR="000926A1" w:rsidRDefault="00B652B2" w:rsidP="00B652B2">
      <w:pPr>
        <w:pStyle w:val="2-SectionHeading"/>
        <w:rPr>
          <w:lang w:eastAsia="en-US"/>
        </w:rPr>
      </w:pPr>
      <w:r>
        <w:rPr>
          <w:lang w:eastAsia="en-US"/>
        </w:rPr>
        <w:t>Recommended Listing</w:t>
      </w:r>
    </w:p>
    <w:p w14:paraId="51504CF7" w14:textId="07A19F57" w:rsidR="00C40358" w:rsidRDefault="00917BE6" w:rsidP="004B3738">
      <w:pPr>
        <w:rPr>
          <w:snapToGrid w:val="0"/>
          <w:lang w:eastAsia="en-US"/>
        </w:rPr>
      </w:pPr>
      <w:r>
        <w:rPr>
          <w:snapToGrid w:val="0"/>
          <w:lang w:eastAsia="en-US"/>
        </w:rPr>
        <w:t>Add new PFS form (shown in italics) as</w:t>
      </w:r>
      <w:r w:rsidR="00F04E0A">
        <w:rPr>
          <w:snapToGrid w:val="0"/>
          <w:lang w:eastAsia="en-US"/>
        </w:rPr>
        <w:t xml:space="preserve"> follows:</w:t>
      </w:r>
    </w:p>
    <w:p w14:paraId="389A8D6A" w14:textId="77777777" w:rsidR="00C40358" w:rsidRPr="005D0D22" w:rsidRDefault="00C40358" w:rsidP="00C40358">
      <w:pPr>
        <w:keepNext/>
        <w:keepLines/>
        <w:spacing w:before="160" w:after="80" w:line="256" w:lineRule="auto"/>
        <w:jc w:val="left"/>
        <w:outlineLvl w:val="1"/>
        <w:rPr>
          <w:rFonts w:cs="Arial"/>
          <w:b/>
          <w:bCs/>
          <w:snapToGrid w:val="0"/>
          <w:lang w:eastAsia="en-US"/>
        </w:rPr>
      </w:pPr>
      <w:r w:rsidRPr="005D0D22">
        <w:rPr>
          <w:rFonts w:cs="Arial"/>
          <w:b/>
          <w:bCs/>
          <w:snapToGrid w:val="0"/>
          <w:lang w:eastAsia="en-US"/>
        </w:rPr>
        <w:t>Acute severe patients</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1"/>
        <w:gridCol w:w="784"/>
        <w:gridCol w:w="1984"/>
        <w:gridCol w:w="1700"/>
        <w:gridCol w:w="850"/>
        <w:gridCol w:w="851"/>
        <w:gridCol w:w="991"/>
        <w:gridCol w:w="1365"/>
      </w:tblGrid>
      <w:tr w:rsidR="00C40358" w:rsidRPr="005D0D22" w14:paraId="4E7579A3" w14:textId="77777777">
        <w:trPr>
          <w:cantSplit/>
          <w:trHeight w:val="300"/>
        </w:trPr>
        <w:tc>
          <w:tcPr>
            <w:tcW w:w="3259" w:type="dxa"/>
            <w:gridSpan w:val="3"/>
            <w:tcBorders>
              <w:top w:val="single" w:sz="4" w:space="0" w:color="auto"/>
              <w:left w:val="single" w:sz="4" w:space="0" w:color="auto"/>
              <w:bottom w:val="single" w:sz="4" w:space="0" w:color="auto"/>
              <w:right w:val="single" w:sz="4" w:space="0" w:color="auto"/>
            </w:tcBorders>
            <w:vAlign w:val="center"/>
            <w:hideMark/>
          </w:tcPr>
          <w:p w14:paraId="1C2FE444" w14:textId="77777777" w:rsidR="00C40358" w:rsidRPr="005D0D22" w:rsidRDefault="00C40358">
            <w:pPr>
              <w:keepLines/>
              <w:jc w:val="left"/>
              <w:rPr>
                <w:rFonts w:ascii="Arial Narrow" w:eastAsia="Aptos" w:hAnsi="Arial Narrow" w:cs="Arial"/>
                <w:b/>
                <w:bCs/>
                <w:kern w:val="2"/>
                <w:sz w:val="20"/>
                <w:szCs w:val="20"/>
                <w:lang w:eastAsia="en-US"/>
                <w14:ligatures w14:val="standardContextual"/>
              </w:rPr>
            </w:pPr>
            <w:bookmarkStart w:id="7" w:name="_2._Non-acute/‘moderate_to"/>
            <w:bookmarkEnd w:id="7"/>
            <w:r w:rsidRPr="005D0D22">
              <w:rPr>
                <w:rFonts w:ascii="Arial Narrow" w:eastAsia="Aptos" w:hAnsi="Arial Narrow" w:cs="Arial"/>
                <w:b/>
                <w:bCs/>
                <w:kern w:val="2"/>
                <w:sz w:val="20"/>
                <w:szCs w:val="20"/>
                <w:lang w:eastAsia="en-US"/>
                <w14:ligatures w14:val="standardContextual"/>
              </w:rPr>
              <w:t>MEDICINAL PRODUCT</w:t>
            </w:r>
          </w:p>
          <w:p w14:paraId="7454C67D" w14:textId="77777777" w:rsidR="00C40358" w:rsidRPr="005D0D22" w:rsidRDefault="00C40358">
            <w:pPr>
              <w:keepLines/>
              <w:jc w:val="left"/>
              <w:rPr>
                <w:rFonts w:ascii="Arial Narrow" w:eastAsia="Aptos" w:hAnsi="Arial Narrow" w:cs="Arial"/>
                <w:b/>
                <w:kern w:val="2"/>
                <w:sz w:val="20"/>
                <w:szCs w:val="20"/>
                <w:lang w:eastAsia="en-US"/>
                <w14:ligatures w14:val="standardContextual"/>
              </w:rPr>
            </w:pPr>
            <w:r w:rsidRPr="005D0D22">
              <w:rPr>
                <w:rFonts w:ascii="Arial Narrow" w:eastAsia="Aptos" w:hAnsi="Arial Narrow" w:cs="Arial"/>
                <w:b/>
                <w:bCs/>
                <w:kern w:val="2"/>
                <w:sz w:val="20"/>
                <w:szCs w:val="20"/>
                <w:lang w:eastAsia="en-US"/>
                <w14:ligatures w14:val="standardContextual"/>
              </w:rPr>
              <w:t>medicinal product pack</w:t>
            </w:r>
          </w:p>
        </w:tc>
        <w:tc>
          <w:tcPr>
            <w:tcW w:w="1700" w:type="dxa"/>
            <w:tcBorders>
              <w:top w:val="single" w:sz="4" w:space="0" w:color="auto"/>
              <w:left w:val="single" w:sz="4" w:space="0" w:color="auto"/>
              <w:bottom w:val="single" w:sz="4" w:space="0" w:color="auto"/>
              <w:right w:val="single" w:sz="4" w:space="0" w:color="auto"/>
            </w:tcBorders>
            <w:vAlign w:val="center"/>
            <w:hideMark/>
          </w:tcPr>
          <w:p w14:paraId="734F95AE" w14:textId="77777777" w:rsidR="00C40358" w:rsidRPr="005D0D22" w:rsidRDefault="00C40358">
            <w:pPr>
              <w:keepLines/>
              <w:jc w:val="center"/>
              <w:rPr>
                <w:rFonts w:ascii="Arial Narrow" w:eastAsia="Aptos" w:hAnsi="Arial Narrow" w:cs="Arial"/>
                <w:b/>
                <w:kern w:val="2"/>
                <w:sz w:val="20"/>
                <w:szCs w:val="20"/>
                <w:lang w:eastAsia="en-US"/>
                <w14:ligatures w14:val="standardContextual"/>
              </w:rPr>
            </w:pPr>
            <w:r w:rsidRPr="005D0D22">
              <w:rPr>
                <w:rFonts w:ascii="Arial Narrow" w:eastAsia="Aptos" w:hAnsi="Arial Narrow" w:cs="Arial"/>
                <w:b/>
                <w:kern w:val="2"/>
                <w:sz w:val="20"/>
                <w:szCs w:val="20"/>
                <w:lang w:eastAsia="en-US"/>
                <w14:ligatures w14:val="standardContextual"/>
              </w:rPr>
              <w:t>PBS item code</w:t>
            </w:r>
          </w:p>
        </w:tc>
        <w:tc>
          <w:tcPr>
            <w:tcW w:w="850" w:type="dxa"/>
            <w:tcBorders>
              <w:top w:val="single" w:sz="4" w:space="0" w:color="auto"/>
              <w:left w:val="single" w:sz="4" w:space="0" w:color="auto"/>
              <w:bottom w:val="single" w:sz="4" w:space="0" w:color="auto"/>
              <w:right w:val="single" w:sz="4" w:space="0" w:color="auto"/>
            </w:tcBorders>
            <w:vAlign w:val="center"/>
            <w:hideMark/>
          </w:tcPr>
          <w:p w14:paraId="4F2E202F" w14:textId="77777777" w:rsidR="00C40358" w:rsidRPr="005D0D22" w:rsidRDefault="00C40358">
            <w:pPr>
              <w:keepLines/>
              <w:jc w:val="center"/>
              <w:rPr>
                <w:rFonts w:ascii="Arial Narrow" w:eastAsia="Aptos" w:hAnsi="Arial Narrow" w:cs="Arial"/>
                <w:b/>
                <w:kern w:val="2"/>
                <w:sz w:val="20"/>
                <w:szCs w:val="20"/>
                <w:lang w:eastAsia="en-US"/>
                <w14:ligatures w14:val="standardContextual"/>
              </w:rPr>
            </w:pPr>
            <w:r w:rsidRPr="005D0D22">
              <w:rPr>
                <w:rFonts w:ascii="Arial Narrow" w:eastAsia="Aptos" w:hAnsi="Arial Narrow" w:cs="Arial"/>
                <w:b/>
                <w:kern w:val="2"/>
                <w:sz w:val="20"/>
                <w:szCs w:val="20"/>
                <w:lang w:eastAsia="en-US"/>
                <w14:ligatures w14:val="standardContextual"/>
              </w:rPr>
              <w:t>Max. qty packs</w:t>
            </w:r>
          </w:p>
        </w:tc>
        <w:tc>
          <w:tcPr>
            <w:tcW w:w="851" w:type="dxa"/>
            <w:tcBorders>
              <w:top w:val="single" w:sz="4" w:space="0" w:color="auto"/>
              <w:left w:val="single" w:sz="4" w:space="0" w:color="auto"/>
              <w:bottom w:val="single" w:sz="4" w:space="0" w:color="auto"/>
              <w:right w:val="single" w:sz="4" w:space="0" w:color="auto"/>
            </w:tcBorders>
            <w:vAlign w:val="center"/>
            <w:hideMark/>
          </w:tcPr>
          <w:p w14:paraId="37957B2C" w14:textId="77777777" w:rsidR="00C40358" w:rsidRPr="005D0D22" w:rsidRDefault="00C40358">
            <w:pPr>
              <w:keepLines/>
              <w:jc w:val="center"/>
              <w:rPr>
                <w:rFonts w:ascii="Arial Narrow" w:eastAsia="Aptos" w:hAnsi="Arial Narrow" w:cs="Arial"/>
                <w:b/>
                <w:kern w:val="2"/>
                <w:sz w:val="20"/>
                <w:szCs w:val="20"/>
                <w:lang w:eastAsia="en-US"/>
                <w14:ligatures w14:val="standardContextual"/>
              </w:rPr>
            </w:pPr>
            <w:r w:rsidRPr="005D0D22">
              <w:rPr>
                <w:rFonts w:ascii="Arial Narrow" w:eastAsia="Aptos" w:hAnsi="Arial Narrow" w:cs="Arial"/>
                <w:b/>
                <w:kern w:val="2"/>
                <w:sz w:val="20"/>
                <w:szCs w:val="20"/>
                <w:lang w:eastAsia="en-US"/>
                <w14:ligatures w14:val="standardContextual"/>
              </w:rPr>
              <w:t>Max. qty units</w:t>
            </w:r>
          </w:p>
        </w:tc>
        <w:tc>
          <w:tcPr>
            <w:tcW w:w="991" w:type="dxa"/>
            <w:tcBorders>
              <w:top w:val="single" w:sz="4" w:space="0" w:color="auto"/>
              <w:left w:val="single" w:sz="4" w:space="0" w:color="auto"/>
              <w:bottom w:val="single" w:sz="4" w:space="0" w:color="auto"/>
              <w:right w:val="single" w:sz="4" w:space="0" w:color="auto"/>
            </w:tcBorders>
            <w:vAlign w:val="center"/>
            <w:hideMark/>
          </w:tcPr>
          <w:p w14:paraId="7CA3277D" w14:textId="77777777" w:rsidR="00C40358" w:rsidRPr="005D0D22" w:rsidRDefault="00C40358">
            <w:pPr>
              <w:keepLines/>
              <w:jc w:val="center"/>
              <w:rPr>
                <w:rFonts w:ascii="Arial Narrow" w:eastAsia="Aptos" w:hAnsi="Arial Narrow" w:cs="Arial"/>
                <w:b/>
                <w:bCs/>
                <w:kern w:val="2"/>
                <w:sz w:val="20"/>
                <w:szCs w:val="20"/>
                <w:lang w:eastAsia="en-US"/>
                <w14:ligatures w14:val="standardContextual"/>
              </w:rPr>
            </w:pPr>
            <w:bookmarkStart w:id="8" w:name="_Int_d8WwQmKs"/>
            <w:r w:rsidRPr="74EB87D5">
              <w:rPr>
                <w:rFonts w:ascii="Arial Narrow" w:eastAsia="Aptos" w:hAnsi="Arial Narrow" w:cs="Arial"/>
                <w:b/>
                <w:bCs/>
                <w:kern w:val="2"/>
                <w:sz w:val="20"/>
                <w:szCs w:val="20"/>
                <w:lang w:eastAsia="en-US"/>
                <w14:ligatures w14:val="standardContextual"/>
              </w:rPr>
              <w:t>№.of</w:t>
            </w:r>
            <w:bookmarkEnd w:id="8"/>
          </w:p>
          <w:p w14:paraId="1A2EE4D1" w14:textId="77777777" w:rsidR="00C40358" w:rsidRPr="005D0D22" w:rsidRDefault="00C40358">
            <w:pPr>
              <w:keepLines/>
              <w:jc w:val="center"/>
              <w:rPr>
                <w:rFonts w:ascii="Arial Narrow" w:eastAsia="Aptos" w:hAnsi="Arial Narrow" w:cs="Arial"/>
                <w:b/>
                <w:kern w:val="2"/>
                <w:sz w:val="20"/>
                <w:szCs w:val="20"/>
                <w:lang w:eastAsia="en-US"/>
                <w14:ligatures w14:val="standardContextual"/>
              </w:rPr>
            </w:pPr>
            <w:r w:rsidRPr="005D0D22">
              <w:rPr>
                <w:rFonts w:ascii="Arial Narrow" w:eastAsia="Aptos" w:hAnsi="Arial Narrow" w:cs="Arial"/>
                <w:b/>
                <w:kern w:val="2"/>
                <w:sz w:val="20"/>
                <w:szCs w:val="20"/>
                <w:lang w:eastAsia="en-US"/>
                <w14:ligatures w14:val="standardContextual"/>
              </w:rPr>
              <w:t>Rpts</w:t>
            </w:r>
          </w:p>
        </w:tc>
        <w:tc>
          <w:tcPr>
            <w:tcW w:w="1365" w:type="dxa"/>
            <w:tcBorders>
              <w:top w:val="single" w:sz="4" w:space="0" w:color="auto"/>
              <w:left w:val="single" w:sz="4" w:space="0" w:color="auto"/>
              <w:bottom w:val="single" w:sz="4" w:space="0" w:color="auto"/>
              <w:right w:val="single" w:sz="4" w:space="0" w:color="auto"/>
            </w:tcBorders>
            <w:vAlign w:val="center"/>
            <w:hideMark/>
          </w:tcPr>
          <w:p w14:paraId="140CE9E4" w14:textId="77777777" w:rsidR="00C40358" w:rsidRPr="005D0D22" w:rsidRDefault="00C40358">
            <w:pPr>
              <w:keepLines/>
              <w:jc w:val="left"/>
              <w:rPr>
                <w:rFonts w:ascii="Arial Narrow" w:eastAsia="Aptos" w:hAnsi="Arial Narrow" w:cs="Arial"/>
                <w:b/>
                <w:kern w:val="2"/>
                <w:sz w:val="20"/>
                <w:szCs w:val="20"/>
                <w:lang w:val="fr-FR" w:eastAsia="en-US"/>
                <w14:ligatures w14:val="standardContextual"/>
              </w:rPr>
            </w:pPr>
            <w:r w:rsidRPr="005D0D22">
              <w:rPr>
                <w:rFonts w:ascii="Arial Narrow" w:eastAsia="Aptos" w:hAnsi="Arial Narrow" w:cs="Arial"/>
                <w:b/>
                <w:kern w:val="2"/>
                <w:sz w:val="20"/>
                <w:szCs w:val="20"/>
                <w:lang w:eastAsia="en-US"/>
                <w14:ligatures w14:val="standardContextual"/>
              </w:rPr>
              <w:t>Available brands</w:t>
            </w:r>
          </w:p>
        </w:tc>
      </w:tr>
      <w:tr w:rsidR="00C40358" w:rsidRPr="005D0D22" w14:paraId="1DBFDF39" w14:textId="77777777">
        <w:trPr>
          <w:cantSplit/>
          <w:trHeight w:val="300"/>
        </w:trPr>
        <w:tc>
          <w:tcPr>
            <w:tcW w:w="9016" w:type="dxa"/>
            <w:gridSpan w:val="8"/>
            <w:tcBorders>
              <w:top w:val="single" w:sz="4" w:space="0" w:color="auto"/>
              <w:left w:val="single" w:sz="4" w:space="0" w:color="auto"/>
              <w:bottom w:val="single" w:sz="4" w:space="0" w:color="auto"/>
              <w:right w:val="single" w:sz="4" w:space="0" w:color="auto"/>
            </w:tcBorders>
            <w:vAlign w:val="center"/>
            <w:hideMark/>
          </w:tcPr>
          <w:p w14:paraId="0BC849B2" w14:textId="77777777" w:rsidR="00C40358" w:rsidRPr="005D0D22" w:rsidRDefault="00C40358">
            <w:pPr>
              <w:keepLines/>
              <w:jc w:val="left"/>
              <w:rPr>
                <w:rFonts w:ascii="Arial Narrow" w:eastAsia="Aptos" w:hAnsi="Arial Narrow" w:cs="Arial"/>
                <w:kern w:val="2"/>
                <w:sz w:val="20"/>
                <w:szCs w:val="20"/>
                <w:lang w:eastAsia="en-US"/>
                <w14:ligatures w14:val="standardContextual"/>
              </w:rPr>
            </w:pPr>
            <w:r w:rsidRPr="005D0D22">
              <w:rPr>
                <w:rFonts w:ascii="Arial Narrow" w:eastAsia="Aptos" w:hAnsi="Arial Narrow" w:cs="Arial"/>
                <w:kern w:val="2"/>
                <w:sz w:val="20"/>
                <w:szCs w:val="20"/>
                <w:lang w:eastAsia="en-US"/>
                <w14:ligatures w14:val="standardContextual"/>
              </w:rPr>
              <w:t>EFGARTIGIMOD ALFA</w:t>
            </w:r>
          </w:p>
        </w:tc>
      </w:tr>
      <w:tr w:rsidR="00C40358" w:rsidRPr="005D0D22" w14:paraId="0563DB8C" w14:textId="77777777">
        <w:trPr>
          <w:cantSplit/>
          <w:trHeight w:val="300"/>
        </w:trPr>
        <w:tc>
          <w:tcPr>
            <w:tcW w:w="3259" w:type="dxa"/>
            <w:gridSpan w:val="3"/>
            <w:tcBorders>
              <w:top w:val="single" w:sz="4" w:space="0" w:color="auto"/>
              <w:left w:val="single" w:sz="4" w:space="0" w:color="auto"/>
              <w:bottom w:val="single" w:sz="4" w:space="0" w:color="auto"/>
              <w:right w:val="single" w:sz="4" w:space="0" w:color="auto"/>
            </w:tcBorders>
            <w:vAlign w:val="center"/>
          </w:tcPr>
          <w:p w14:paraId="746C3878" w14:textId="49453635" w:rsidR="00C40358" w:rsidRPr="00DA4762" w:rsidRDefault="00C40358" w:rsidP="00C40358">
            <w:pPr>
              <w:keepLines/>
              <w:jc w:val="left"/>
              <w:rPr>
                <w:rFonts w:ascii="Arial Narrow" w:eastAsia="Aptos" w:hAnsi="Arial Narrow" w:cs="Arial"/>
                <w:i/>
                <w:color w:val="FF0000"/>
                <w:kern w:val="2"/>
                <w:sz w:val="20"/>
                <w:szCs w:val="20"/>
                <w:lang w:eastAsia="en-US"/>
                <w14:ligatures w14:val="standardContextual"/>
              </w:rPr>
            </w:pPr>
            <w:r w:rsidRPr="00DA4762">
              <w:rPr>
                <w:rFonts w:ascii="Arial Narrow" w:hAnsi="Arial Narrow" w:cs="Arial"/>
                <w:i/>
                <w:color w:val="FF0000"/>
                <w:sz w:val="20"/>
                <w:szCs w:val="20"/>
              </w:rPr>
              <w:t>efgartigimod alfa 1 g/5 mL injection, 5 mL syringe</w:t>
            </w:r>
          </w:p>
        </w:tc>
        <w:tc>
          <w:tcPr>
            <w:tcW w:w="1700" w:type="dxa"/>
            <w:tcBorders>
              <w:top w:val="single" w:sz="4" w:space="0" w:color="auto"/>
              <w:left w:val="single" w:sz="4" w:space="0" w:color="auto"/>
              <w:bottom w:val="single" w:sz="4" w:space="0" w:color="auto"/>
              <w:right w:val="single" w:sz="4" w:space="0" w:color="auto"/>
            </w:tcBorders>
            <w:vAlign w:val="center"/>
          </w:tcPr>
          <w:p w14:paraId="38E7D4A0" w14:textId="77777777" w:rsidR="00C40358" w:rsidRDefault="00C40358" w:rsidP="00C40358">
            <w:pPr>
              <w:keepLines/>
              <w:jc w:val="center"/>
              <w:rPr>
                <w:rFonts w:ascii="Arial Narrow" w:hAnsi="Arial Narrow" w:cs="Arial"/>
                <w:i/>
                <w:color w:val="FF0000"/>
                <w:sz w:val="20"/>
                <w:szCs w:val="20"/>
              </w:rPr>
            </w:pPr>
            <w:r w:rsidRPr="00DA4762">
              <w:rPr>
                <w:rFonts w:ascii="Arial Narrow" w:hAnsi="Arial Narrow" w:cs="Arial"/>
                <w:i/>
                <w:color w:val="FF0000"/>
                <w:sz w:val="20"/>
                <w:szCs w:val="20"/>
              </w:rPr>
              <w:t>NEW</w:t>
            </w:r>
            <w:r w:rsidR="006257F9">
              <w:rPr>
                <w:rFonts w:ascii="Arial Narrow" w:hAnsi="Arial Narrow" w:cs="Arial"/>
                <w:i/>
                <w:color w:val="FF0000"/>
                <w:sz w:val="20"/>
                <w:szCs w:val="20"/>
              </w:rPr>
              <w:t xml:space="preserve"> (HSD Public)</w:t>
            </w:r>
          </w:p>
          <w:p w14:paraId="76BF3E70" w14:textId="52FCAF89" w:rsidR="006257F9" w:rsidRPr="00DA4762" w:rsidRDefault="006257F9" w:rsidP="00C40358">
            <w:pPr>
              <w:keepLines/>
              <w:jc w:val="center"/>
              <w:rPr>
                <w:rFonts w:ascii="Arial Narrow" w:eastAsia="Aptos" w:hAnsi="Arial Narrow" w:cs="Arial"/>
                <w:i/>
                <w:color w:val="FF0000"/>
                <w:kern w:val="2"/>
                <w:sz w:val="20"/>
                <w:szCs w:val="20"/>
                <w:lang w:eastAsia="en-US"/>
                <w14:ligatures w14:val="standardContextual"/>
              </w:rPr>
            </w:pPr>
            <w:r>
              <w:rPr>
                <w:rFonts w:ascii="Arial Narrow" w:hAnsi="Arial Narrow" w:cs="Arial"/>
                <w:i/>
                <w:color w:val="FF0000"/>
                <w:sz w:val="20"/>
                <w:szCs w:val="20"/>
              </w:rPr>
              <w:t>NEW (HSD Private)</w:t>
            </w:r>
          </w:p>
        </w:tc>
        <w:tc>
          <w:tcPr>
            <w:tcW w:w="850" w:type="dxa"/>
            <w:tcBorders>
              <w:top w:val="single" w:sz="4" w:space="0" w:color="auto"/>
              <w:left w:val="single" w:sz="4" w:space="0" w:color="auto"/>
              <w:bottom w:val="single" w:sz="4" w:space="0" w:color="auto"/>
              <w:right w:val="single" w:sz="4" w:space="0" w:color="auto"/>
            </w:tcBorders>
            <w:vAlign w:val="center"/>
          </w:tcPr>
          <w:p w14:paraId="21CB4FCB" w14:textId="737F5DAC" w:rsidR="00C40358" w:rsidRPr="00DA4762" w:rsidRDefault="00C40358" w:rsidP="00C40358">
            <w:pPr>
              <w:keepLines/>
              <w:jc w:val="center"/>
              <w:rPr>
                <w:rFonts w:ascii="Arial Narrow" w:eastAsia="Aptos" w:hAnsi="Arial Narrow" w:cs="Arial"/>
                <w:i/>
                <w:color w:val="FF0000"/>
                <w:kern w:val="2"/>
                <w:sz w:val="20"/>
                <w:szCs w:val="20"/>
                <w:lang w:eastAsia="en-US"/>
                <w14:ligatures w14:val="standardContextual"/>
              </w:rPr>
            </w:pPr>
            <w:r w:rsidRPr="00DA4762">
              <w:rPr>
                <w:rFonts w:ascii="Arial Narrow" w:hAnsi="Arial Narrow" w:cs="Arial"/>
                <w:i/>
                <w:color w:val="FF0000"/>
                <w:sz w:val="20"/>
                <w:szCs w:val="20"/>
              </w:rPr>
              <w:t>4</w:t>
            </w:r>
          </w:p>
        </w:tc>
        <w:tc>
          <w:tcPr>
            <w:tcW w:w="851" w:type="dxa"/>
            <w:tcBorders>
              <w:top w:val="single" w:sz="4" w:space="0" w:color="auto"/>
              <w:left w:val="single" w:sz="4" w:space="0" w:color="auto"/>
              <w:bottom w:val="single" w:sz="4" w:space="0" w:color="auto"/>
              <w:right w:val="single" w:sz="4" w:space="0" w:color="auto"/>
            </w:tcBorders>
            <w:vAlign w:val="center"/>
          </w:tcPr>
          <w:p w14:paraId="0FC0D107" w14:textId="783973CF" w:rsidR="00C40358" w:rsidRPr="00DA4762" w:rsidRDefault="00C40358" w:rsidP="00C40358">
            <w:pPr>
              <w:keepLines/>
              <w:jc w:val="center"/>
              <w:rPr>
                <w:rFonts w:ascii="Arial Narrow" w:eastAsia="Aptos" w:hAnsi="Arial Narrow" w:cs="Arial"/>
                <w:i/>
                <w:color w:val="FF0000"/>
                <w:kern w:val="2"/>
                <w:sz w:val="20"/>
                <w:szCs w:val="20"/>
                <w:lang w:eastAsia="en-US"/>
                <w14:ligatures w14:val="standardContextual"/>
              </w:rPr>
            </w:pPr>
            <w:r w:rsidRPr="00DA4762">
              <w:rPr>
                <w:rFonts w:ascii="Arial Narrow" w:hAnsi="Arial Narrow" w:cs="Arial"/>
                <w:i/>
                <w:color w:val="FF0000"/>
                <w:sz w:val="20"/>
                <w:szCs w:val="20"/>
              </w:rPr>
              <w:t>4</w:t>
            </w:r>
          </w:p>
        </w:tc>
        <w:tc>
          <w:tcPr>
            <w:tcW w:w="991" w:type="dxa"/>
            <w:tcBorders>
              <w:top w:val="single" w:sz="4" w:space="0" w:color="auto"/>
              <w:left w:val="single" w:sz="4" w:space="0" w:color="auto"/>
              <w:bottom w:val="single" w:sz="4" w:space="0" w:color="auto"/>
              <w:right w:val="single" w:sz="4" w:space="0" w:color="auto"/>
            </w:tcBorders>
            <w:vAlign w:val="center"/>
          </w:tcPr>
          <w:p w14:paraId="731FA872" w14:textId="1CB913D1" w:rsidR="00C40358" w:rsidRPr="00DA4762" w:rsidRDefault="002721D5" w:rsidP="00C40358">
            <w:pPr>
              <w:keepLines/>
              <w:jc w:val="center"/>
              <w:rPr>
                <w:rFonts w:ascii="Arial Narrow" w:eastAsia="Aptos" w:hAnsi="Arial Narrow" w:cs="Arial"/>
                <w:i/>
                <w:color w:val="FF0000"/>
                <w:kern w:val="2"/>
                <w:sz w:val="20"/>
                <w:szCs w:val="20"/>
                <w:lang w:eastAsia="en-US"/>
                <w14:ligatures w14:val="standardContextual"/>
              </w:rPr>
            </w:pPr>
            <w:r w:rsidRPr="00DA4762">
              <w:rPr>
                <w:rFonts w:ascii="Arial Narrow" w:hAnsi="Arial Narrow" w:cs="Arial"/>
                <w:i/>
                <w:color w:val="FF0000"/>
                <w:sz w:val="20"/>
                <w:szCs w:val="20"/>
              </w:rPr>
              <w:t>1</w:t>
            </w:r>
          </w:p>
        </w:tc>
        <w:tc>
          <w:tcPr>
            <w:tcW w:w="1365" w:type="dxa"/>
            <w:tcBorders>
              <w:top w:val="single" w:sz="4" w:space="0" w:color="auto"/>
              <w:left w:val="single" w:sz="4" w:space="0" w:color="auto"/>
              <w:bottom w:val="single" w:sz="4" w:space="0" w:color="auto"/>
              <w:right w:val="single" w:sz="4" w:space="0" w:color="auto"/>
            </w:tcBorders>
            <w:vAlign w:val="center"/>
          </w:tcPr>
          <w:p w14:paraId="208E1261" w14:textId="74891950" w:rsidR="00C40358" w:rsidRPr="00DA4762" w:rsidRDefault="00C40358" w:rsidP="00C40358">
            <w:pPr>
              <w:keepLines/>
              <w:jc w:val="left"/>
              <w:rPr>
                <w:rFonts w:ascii="Arial Narrow" w:eastAsia="Aptos" w:hAnsi="Arial Narrow" w:cs="Arial"/>
                <w:i/>
                <w:color w:val="FF0000"/>
                <w:kern w:val="2"/>
                <w:sz w:val="20"/>
                <w:szCs w:val="20"/>
                <w:lang w:eastAsia="en-US"/>
                <w14:ligatures w14:val="standardContextual"/>
              </w:rPr>
            </w:pPr>
            <w:r w:rsidRPr="00DA4762">
              <w:rPr>
                <w:rFonts w:ascii="Arial Narrow" w:hAnsi="Arial Narrow" w:cs="Arial"/>
                <w:i/>
                <w:color w:val="FF0000"/>
                <w:sz w:val="20"/>
                <w:szCs w:val="20"/>
              </w:rPr>
              <w:t>Vyvgart</w:t>
            </w:r>
            <w:r w:rsidR="002721D5" w:rsidRPr="00DA4762">
              <w:rPr>
                <w:rFonts w:ascii="Arial Narrow" w:hAnsi="Arial Narrow" w:cs="Arial"/>
                <w:i/>
                <w:color w:val="FF0000"/>
                <w:sz w:val="20"/>
                <w:szCs w:val="20"/>
              </w:rPr>
              <w:t xml:space="preserve"> PFS</w:t>
            </w:r>
          </w:p>
        </w:tc>
      </w:tr>
      <w:tr w:rsidR="00C40358" w:rsidRPr="005D0D22" w14:paraId="148A2D69" w14:textId="77777777">
        <w:trPr>
          <w:cantSplit/>
          <w:trHeight w:val="300"/>
        </w:trPr>
        <w:tc>
          <w:tcPr>
            <w:tcW w:w="3259" w:type="dxa"/>
            <w:gridSpan w:val="3"/>
            <w:tcBorders>
              <w:top w:val="single" w:sz="4" w:space="0" w:color="auto"/>
              <w:left w:val="single" w:sz="4" w:space="0" w:color="auto"/>
              <w:bottom w:val="single" w:sz="4" w:space="0" w:color="auto"/>
              <w:right w:val="single" w:sz="4" w:space="0" w:color="auto"/>
            </w:tcBorders>
            <w:vAlign w:val="center"/>
            <w:hideMark/>
          </w:tcPr>
          <w:p w14:paraId="64E351F7" w14:textId="77777777" w:rsidR="00C40358" w:rsidRPr="00C40358" w:rsidRDefault="00C40358">
            <w:pPr>
              <w:keepLines/>
              <w:jc w:val="left"/>
              <w:rPr>
                <w:rFonts w:ascii="Arial Narrow" w:eastAsia="Aptos" w:hAnsi="Arial Narrow" w:cs="Arial"/>
                <w:kern w:val="2"/>
                <w:sz w:val="20"/>
                <w:szCs w:val="20"/>
                <w:lang w:eastAsia="en-US"/>
                <w14:ligatures w14:val="standardContextual"/>
              </w:rPr>
            </w:pPr>
            <w:r w:rsidRPr="00C40358">
              <w:rPr>
                <w:rFonts w:ascii="Arial Narrow" w:eastAsia="Aptos" w:hAnsi="Arial Narrow" w:cs="Arial"/>
                <w:kern w:val="2"/>
                <w:sz w:val="20"/>
                <w:szCs w:val="20"/>
                <w:lang w:eastAsia="en-US"/>
                <w14:ligatures w14:val="standardContextual"/>
              </w:rPr>
              <w:t>efgartigimod alfa 1000 mg in 5.6 mL vial</w:t>
            </w:r>
          </w:p>
        </w:tc>
        <w:tc>
          <w:tcPr>
            <w:tcW w:w="1700" w:type="dxa"/>
            <w:tcBorders>
              <w:top w:val="single" w:sz="4" w:space="0" w:color="auto"/>
              <w:left w:val="single" w:sz="4" w:space="0" w:color="auto"/>
              <w:bottom w:val="single" w:sz="4" w:space="0" w:color="auto"/>
              <w:right w:val="single" w:sz="4" w:space="0" w:color="auto"/>
            </w:tcBorders>
            <w:vAlign w:val="center"/>
            <w:hideMark/>
          </w:tcPr>
          <w:p w14:paraId="7FCC5CC6" w14:textId="77777777" w:rsidR="00C40358" w:rsidRPr="00C40358" w:rsidRDefault="00C40358">
            <w:pPr>
              <w:keepLines/>
              <w:jc w:val="center"/>
              <w:rPr>
                <w:rFonts w:ascii="Arial Narrow" w:eastAsia="Aptos" w:hAnsi="Arial Narrow" w:cs="Arial"/>
                <w:kern w:val="2"/>
                <w:sz w:val="20"/>
                <w:szCs w:val="20"/>
                <w:lang w:eastAsia="en-US"/>
                <w14:ligatures w14:val="standardContextual"/>
              </w:rPr>
            </w:pPr>
            <w:r w:rsidRPr="00C40358">
              <w:rPr>
                <w:rFonts w:ascii="Arial Narrow" w:eastAsia="Aptos" w:hAnsi="Arial Narrow" w:cs="Arial"/>
                <w:kern w:val="2"/>
                <w:sz w:val="20"/>
                <w:szCs w:val="20"/>
                <w:lang w:eastAsia="en-US"/>
                <w14:ligatures w14:val="standardContextual"/>
              </w:rPr>
              <w:t>NEW (HSD Public)</w:t>
            </w:r>
          </w:p>
          <w:p w14:paraId="5E101549" w14:textId="77777777" w:rsidR="00C40358" w:rsidRPr="00C40358" w:rsidRDefault="00C40358">
            <w:pPr>
              <w:keepLines/>
              <w:jc w:val="center"/>
              <w:rPr>
                <w:rFonts w:ascii="Arial Narrow" w:eastAsia="Aptos" w:hAnsi="Arial Narrow" w:cs="Arial"/>
                <w:kern w:val="2"/>
                <w:sz w:val="20"/>
                <w:szCs w:val="20"/>
                <w:lang w:eastAsia="en-US"/>
                <w14:ligatures w14:val="standardContextual"/>
              </w:rPr>
            </w:pPr>
            <w:r w:rsidRPr="00C40358">
              <w:rPr>
                <w:rFonts w:ascii="Arial Narrow" w:eastAsia="Aptos" w:hAnsi="Arial Narrow" w:cs="Arial"/>
                <w:kern w:val="2"/>
                <w:sz w:val="20"/>
                <w:szCs w:val="20"/>
                <w:lang w:eastAsia="en-US"/>
                <w14:ligatures w14:val="standardContextual"/>
              </w:rPr>
              <w:t>NEW (HSD Private)</w:t>
            </w:r>
          </w:p>
        </w:tc>
        <w:tc>
          <w:tcPr>
            <w:tcW w:w="850" w:type="dxa"/>
            <w:tcBorders>
              <w:top w:val="single" w:sz="4" w:space="0" w:color="auto"/>
              <w:left w:val="single" w:sz="4" w:space="0" w:color="auto"/>
              <w:bottom w:val="single" w:sz="4" w:space="0" w:color="auto"/>
              <w:right w:val="single" w:sz="4" w:space="0" w:color="auto"/>
            </w:tcBorders>
            <w:vAlign w:val="center"/>
            <w:hideMark/>
          </w:tcPr>
          <w:p w14:paraId="2A0D6704" w14:textId="77777777" w:rsidR="00C40358" w:rsidRPr="00C40358" w:rsidRDefault="00C40358">
            <w:pPr>
              <w:keepLines/>
              <w:jc w:val="center"/>
              <w:rPr>
                <w:rFonts w:ascii="Arial Narrow" w:eastAsia="Aptos" w:hAnsi="Arial Narrow" w:cs="Arial"/>
                <w:kern w:val="2"/>
                <w:sz w:val="20"/>
                <w:szCs w:val="20"/>
                <w:lang w:eastAsia="en-US"/>
                <w14:ligatures w14:val="standardContextual"/>
              </w:rPr>
            </w:pPr>
            <w:r w:rsidRPr="00C40358">
              <w:rPr>
                <w:rFonts w:ascii="Arial Narrow" w:eastAsia="Aptos" w:hAnsi="Arial Narrow" w:cs="Arial"/>
                <w:kern w:val="2"/>
                <w:sz w:val="20"/>
                <w:szCs w:val="20"/>
                <w:lang w:eastAsia="en-US"/>
                <w14:ligatures w14:val="standardContextual"/>
              </w:rPr>
              <w:t>4</w:t>
            </w:r>
          </w:p>
        </w:tc>
        <w:tc>
          <w:tcPr>
            <w:tcW w:w="851" w:type="dxa"/>
            <w:tcBorders>
              <w:top w:val="single" w:sz="4" w:space="0" w:color="auto"/>
              <w:left w:val="single" w:sz="4" w:space="0" w:color="auto"/>
              <w:bottom w:val="single" w:sz="4" w:space="0" w:color="auto"/>
              <w:right w:val="single" w:sz="4" w:space="0" w:color="auto"/>
            </w:tcBorders>
            <w:vAlign w:val="center"/>
            <w:hideMark/>
          </w:tcPr>
          <w:p w14:paraId="5F35C198" w14:textId="77777777" w:rsidR="00C40358" w:rsidRPr="00C40358" w:rsidRDefault="00C40358">
            <w:pPr>
              <w:keepLines/>
              <w:jc w:val="center"/>
              <w:rPr>
                <w:rFonts w:ascii="Arial Narrow" w:eastAsia="Aptos" w:hAnsi="Arial Narrow" w:cs="Arial"/>
                <w:kern w:val="2"/>
                <w:sz w:val="20"/>
                <w:szCs w:val="20"/>
                <w:lang w:eastAsia="en-US"/>
                <w14:ligatures w14:val="standardContextual"/>
              </w:rPr>
            </w:pPr>
            <w:r w:rsidRPr="00C40358">
              <w:rPr>
                <w:rFonts w:ascii="Arial Narrow" w:eastAsia="Aptos" w:hAnsi="Arial Narrow" w:cs="Arial"/>
                <w:kern w:val="2"/>
                <w:sz w:val="20"/>
                <w:szCs w:val="20"/>
                <w:lang w:eastAsia="en-US"/>
                <w14:ligatures w14:val="standardContextual"/>
              </w:rPr>
              <w:t>4</w:t>
            </w:r>
          </w:p>
        </w:tc>
        <w:tc>
          <w:tcPr>
            <w:tcW w:w="991" w:type="dxa"/>
            <w:tcBorders>
              <w:top w:val="single" w:sz="4" w:space="0" w:color="auto"/>
              <w:left w:val="single" w:sz="4" w:space="0" w:color="auto"/>
              <w:bottom w:val="single" w:sz="4" w:space="0" w:color="auto"/>
              <w:right w:val="single" w:sz="4" w:space="0" w:color="auto"/>
            </w:tcBorders>
            <w:vAlign w:val="center"/>
            <w:hideMark/>
          </w:tcPr>
          <w:p w14:paraId="2C50C674" w14:textId="77777777" w:rsidR="00C40358" w:rsidRPr="00C40358" w:rsidRDefault="00C40358">
            <w:pPr>
              <w:keepLines/>
              <w:jc w:val="center"/>
              <w:rPr>
                <w:rFonts w:ascii="Arial Narrow" w:eastAsia="Aptos" w:hAnsi="Arial Narrow" w:cs="Arial"/>
                <w:kern w:val="2"/>
                <w:sz w:val="20"/>
                <w:szCs w:val="20"/>
                <w:lang w:eastAsia="en-US"/>
                <w14:ligatures w14:val="standardContextual"/>
              </w:rPr>
            </w:pPr>
            <w:r w:rsidRPr="00C40358">
              <w:rPr>
                <w:rFonts w:ascii="Arial Narrow" w:eastAsia="Aptos" w:hAnsi="Arial Narrow" w:cs="Arial"/>
                <w:kern w:val="2"/>
                <w:sz w:val="20"/>
                <w:szCs w:val="20"/>
                <w:lang w:eastAsia="en-US"/>
                <w14:ligatures w14:val="standardContextual"/>
              </w:rPr>
              <w:t>1</w:t>
            </w:r>
          </w:p>
        </w:tc>
        <w:tc>
          <w:tcPr>
            <w:tcW w:w="1365" w:type="dxa"/>
            <w:tcBorders>
              <w:top w:val="single" w:sz="4" w:space="0" w:color="auto"/>
              <w:left w:val="single" w:sz="4" w:space="0" w:color="auto"/>
              <w:bottom w:val="single" w:sz="4" w:space="0" w:color="auto"/>
              <w:right w:val="single" w:sz="4" w:space="0" w:color="auto"/>
            </w:tcBorders>
            <w:vAlign w:val="center"/>
            <w:hideMark/>
          </w:tcPr>
          <w:p w14:paraId="31DA08A3" w14:textId="77777777" w:rsidR="00C40358" w:rsidRPr="00C40358" w:rsidRDefault="00C40358">
            <w:pPr>
              <w:keepLines/>
              <w:jc w:val="left"/>
              <w:rPr>
                <w:rFonts w:ascii="Arial Narrow" w:eastAsia="Aptos" w:hAnsi="Arial Narrow" w:cs="Arial"/>
                <w:kern w:val="2"/>
                <w:sz w:val="20"/>
                <w:szCs w:val="20"/>
                <w:lang w:eastAsia="en-US"/>
                <w14:ligatures w14:val="standardContextual"/>
              </w:rPr>
            </w:pPr>
            <w:r w:rsidRPr="00C40358">
              <w:rPr>
                <w:rFonts w:ascii="Arial Narrow" w:eastAsia="Aptos" w:hAnsi="Arial Narrow" w:cs="Arial"/>
                <w:kern w:val="2"/>
                <w:sz w:val="20"/>
                <w:szCs w:val="20"/>
                <w:lang w:eastAsia="en-US"/>
                <w14:ligatures w14:val="standardContextual"/>
              </w:rPr>
              <w:t>Vyvgart SC</w:t>
            </w:r>
          </w:p>
        </w:tc>
      </w:tr>
      <w:tr w:rsidR="00C40358" w:rsidRPr="005D0D22" w14:paraId="66886CD3" w14:textId="77777777">
        <w:trPr>
          <w:cantSplit/>
          <w:trHeight w:val="300"/>
        </w:trPr>
        <w:tc>
          <w:tcPr>
            <w:tcW w:w="3259" w:type="dxa"/>
            <w:gridSpan w:val="3"/>
            <w:tcBorders>
              <w:top w:val="single" w:sz="4" w:space="0" w:color="auto"/>
              <w:left w:val="single" w:sz="4" w:space="0" w:color="auto"/>
              <w:bottom w:val="single" w:sz="4" w:space="0" w:color="auto"/>
              <w:right w:val="single" w:sz="4" w:space="0" w:color="auto"/>
            </w:tcBorders>
            <w:vAlign w:val="center"/>
          </w:tcPr>
          <w:p w14:paraId="13FCC09B" w14:textId="77777777" w:rsidR="00C40358" w:rsidRPr="00F10119" w:rsidRDefault="00C40358">
            <w:pPr>
              <w:keepLines/>
              <w:jc w:val="left"/>
              <w:rPr>
                <w:rFonts w:ascii="Arial Narrow" w:eastAsia="Aptos" w:hAnsi="Arial Narrow" w:cs="Arial"/>
                <w:kern w:val="2"/>
                <w:sz w:val="20"/>
                <w:szCs w:val="20"/>
                <w:lang w:val="de-DE" w:eastAsia="en-US"/>
                <w14:ligatures w14:val="standardContextual"/>
              </w:rPr>
            </w:pPr>
            <w:r w:rsidRPr="00F10119">
              <w:rPr>
                <w:rFonts w:ascii="Arial Narrow" w:hAnsi="Arial Narrow" w:cs="Arial"/>
                <w:sz w:val="20"/>
                <w:szCs w:val="20"/>
                <w:lang w:val="de-DE"/>
              </w:rPr>
              <w:t>efgartigimod alfa 400mg/20mL vial</w:t>
            </w:r>
          </w:p>
        </w:tc>
        <w:tc>
          <w:tcPr>
            <w:tcW w:w="1700" w:type="dxa"/>
            <w:tcBorders>
              <w:top w:val="single" w:sz="4" w:space="0" w:color="auto"/>
              <w:left w:val="single" w:sz="4" w:space="0" w:color="auto"/>
              <w:bottom w:val="single" w:sz="4" w:space="0" w:color="auto"/>
              <w:right w:val="single" w:sz="4" w:space="0" w:color="auto"/>
            </w:tcBorders>
            <w:vAlign w:val="center"/>
          </w:tcPr>
          <w:p w14:paraId="6275BB45" w14:textId="77777777" w:rsidR="00C40358" w:rsidRDefault="00C40358">
            <w:pPr>
              <w:keepLines/>
              <w:jc w:val="center"/>
              <w:rPr>
                <w:rFonts w:ascii="Arial Narrow" w:hAnsi="Arial Narrow" w:cs="Arial"/>
                <w:sz w:val="20"/>
                <w:szCs w:val="20"/>
              </w:rPr>
            </w:pPr>
            <w:r w:rsidRPr="68F43EAC">
              <w:rPr>
                <w:rFonts w:ascii="Arial Narrow" w:hAnsi="Arial Narrow" w:cs="Arial"/>
                <w:sz w:val="20"/>
                <w:szCs w:val="20"/>
              </w:rPr>
              <w:t>NEW (HSD Public)</w:t>
            </w:r>
          </w:p>
          <w:p w14:paraId="599E3269" w14:textId="77777777" w:rsidR="00C40358" w:rsidRPr="005D0D22" w:rsidRDefault="00C40358">
            <w:pPr>
              <w:keepLines/>
              <w:jc w:val="center"/>
              <w:rPr>
                <w:rFonts w:ascii="Arial Narrow" w:eastAsia="Aptos" w:hAnsi="Arial Narrow" w:cs="Arial"/>
                <w:kern w:val="2"/>
                <w:sz w:val="20"/>
                <w:szCs w:val="20"/>
                <w:lang w:eastAsia="en-US"/>
                <w14:ligatures w14:val="standardContextual"/>
              </w:rPr>
            </w:pPr>
            <w:r w:rsidRPr="68F43EAC">
              <w:rPr>
                <w:rFonts w:ascii="Arial Narrow" w:hAnsi="Arial Narrow" w:cs="Arial"/>
                <w:sz w:val="20"/>
                <w:szCs w:val="20"/>
              </w:rPr>
              <w:t>NEW (HSD Private)</w:t>
            </w:r>
          </w:p>
        </w:tc>
        <w:tc>
          <w:tcPr>
            <w:tcW w:w="850" w:type="dxa"/>
            <w:tcBorders>
              <w:top w:val="single" w:sz="4" w:space="0" w:color="auto"/>
              <w:left w:val="single" w:sz="4" w:space="0" w:color="auto"/>
              <w:bottom w:val="single" w:sz="4" w:space="0" w:color="auto"/>
              <w:right w:val="single" w:sz="4" w:space="0" w:color="auto"/>
            </w:tcBorders>
            <w:vAlign w:val="center"/>
          </w:tcPr>
          <w:p w14:paraId="2500D903" w14:textId="77777777" w:rsidR="00C40358" w:rsidRPr="005D0D22" w:rsidRDefault="00C40358">
            <w:pPr>
              <w:keepLines/>
              <w:jc w:val="center"/>
              <w:rPr>
                <w:rFonts w:ascii="Arial Narrow" w:eastAsia="Aptos" w:hAnsi="Arial Narrow" w:cs="Arial"/>
                <w:kern w:val="2"/>
                <w:sz w:val="20"/>
                <w:szCs w:val="20"/>
                <w:lang w:eastAsia="en-US"/>
                <w14:ligatures w14:val="standardContextual"/>
              </w:rPr>
            </w:pPr>
            <w:r w:rsidRPr="68F43EAC">
              <w:rPr>
                <w:rFonts w:ascii="Arial Narrow" w:hAnsi="Arial Narrow" w:cs="Arial"/>
                <w:sz w:val="20"/>
                <w:szCs w:val="20"/>
              </w:rPr>
              <w:t>12</w:t>
            </w:r>
          </w:p>
        </w:tc>
        <w:tc>
          <w:tcPr>
            <w:tcW w:w="851" w:type="dxa"/>
            <w:tcBorders>
              <w:top w:val="single" w:sz="4" w:space="0" w:color="auto"/>
              <w:left w:val="single" w:sz="4" w:space="0" w:color="auto"/>
              <w:bottom w:val="single" w:sz="4" w:space="0" w:color="auto"/>
              <w:right w:val="single" w:sz="4" w:space="0" w:color="auto"/>
            </w:tcBorders>
            <w:vAlign w:val="center"/>
          </w:tcPr>
          <w:p w14:paraId="2C920D06" w14:textId="77777777" w:rsidR="00C40358" w:rsidRPr="005D0D22" w:rsidRDefault="00C40358">
            <w:pPr>
              <w:keepLines/>
              <w:jc w:val="center"/>
              <w:rPr>
                <w:rFonts w:ascii="Arial Narrow" w:eastAsia="Aptos" w:hAnsi="Arial Narrow" w:cs="Arial"/>
                <w:kern w:val="2"/>
                <w:sz w:val="20"/>
                <w:szCs w:val="20"/>
                <w:lang w:eastAsia="en-US"/>
                <w14:ligatures w14:val="standardContextual"/>
              </w:rPr>
            </w:pPr>
            <w:r w:rsidRPr="68F43EAC">
              <w:rPr>
                <w:rFonts w:ascii="Arial Narrow" w:hAnsi="Arial Narrow" w:cs="Arial"/>
                <w:sz w:val="20"/>
                <w:szCs w:val="20"/>
              </w:rPr>
              <w:t>12</w:t>
            </w:r>
          </w:p>
        </w:tc>
        <w:tc>
          <w:tcPr>
            <w:tcW w:w="991" w:type="dxa"/>
            <w:tcBorders>
              <w:top w:val="single" w:sz="4" w:space="0" w:color="auto"/>
              <w:left w:val="single" w:sz="4" w:space="0" w:color="auto"/>
              <w:bottom w:val="single" w:sz="4" w:space="0" w:color="auto"/>
              <w:right w:val="single" w:sz="4" w:space="0" w:color="auto"/>
            </w:tcBorders>
            <w:vAlign w:val="center"/>
          </w:tcPr>
          <w:p w14:paraId="7A0A7D36" w14:textId="77777777" w:rsidR="00C40358" w:rsidRPr="005D0D22" w:rsidRDefault="00C40358">
            <w:pPr>
              <w:keepLines/>
              <w:jc w:val="center"/>
              <w:rPr>
                <w:rFonts w:ascii="Arial Narrow" w:eastAsia="Aptos" w:hAnsi="Arial Narrow" w:cs="Arial"/>
                <w:kern w:val="2"/>
                <w:sz w:val="20"/>
                <w:szCs w:val="20"/>
                <w:lang w:eastAsia="en-US"/>
                <w14:ligatures w14:val="standardContextual"/>
              </w:rPr>
            </w:pPr>
            <w:r w:rsidRPr="68F43EAC">
              <w:rPr>
                <w:rFonts w:ascii="Arial Narrow" w:hAnsi="Arial Narrow" w:cs="Arial"/>
                <w:sz w:val="20"/>
                <w:szCs w:val="20"/>
              </w:rPr>
              <w:t>1</w:t>
            </w:r>
          </w:p>
        </w:tc>
        <w:tc>
          <w:tcPr>
            <w:tcW w:w="1365" w:type="dxa"/>
            <w:tcBorders>
              <w:top w:val="single" w:sz="4" w:space="0" w:color="auto"/>
              <w:left w:val="single" w:sz="4" w:space="0" w:color="auto"/>
              <w:bottom w:val="single" w:sz="4" w:space="0" w:color="auto"/>
              <w:right w:val="single" w:sz="4" w:space="0" w:color="auto"/>
            </w:tcBorders>
            <w:vAlign w:val="center"/>
          </w:tcPr>
          <w:p w14:paraId="7F727F3E" w14:textId="77777777" w:rsidR="00C40358" w:rsidRPr="005D0D22" w:rsidRDefault="00C40358">
            <w:pPr>
              <w:keepLines/>
              <w:jc w:val="left"/>
              <w:rPr>
                <w:rFonts w:ascii="Arial Narrow" w:eastAsia="Aptos" w:hAnsi="Arial Narrow" w:cs="Arial"/>
                <w:kern w:val="2"/>
                <w:sz w:val="20"/>
                <w:szCs w:val="20"/>
                <w:lang w:eastAsia="en-US"/>
                <w14:ligatures w14:val="standardContextual"/>
              </w:rPr>
            </w:pPr>
            <w:r w:rsidRPr="68F43EAC">
              <w:rPr>
                <w:rFonts w:ascii="Arial Narrow" w:hAnsi="Arial Narrow" w:cs="Arial"/>
                <w:sz w:val="20"/>
                <w:szCs w:val="20"/>
              </w:rPr>
              <w:t>Vyvgart</w:t>
            </w:r>
          </w:p>
        </w:tc>
      </w:tr>
      <w:tr w:rsidR="00C40358" w:rsidRPr="005D0D22" w14:paraId="6470EF18" w14:textId="77777777">
        <w:trPr>
          <w:trHeight w:val="20"/>
        </w:trPr>
        <w:tc>
          <w:tcPr>
            <w:tcW w:w="9016" w:type="dxa"/>
            <w:gridSpan w:val="8"/>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1AC3CBDF" w14:textId="77777777" w:rsidR="00C40358" w:rsidRPr="005D0D22" w:rsidRDefault="00C40358">
            <w:pPr>
              <w:keepLines/>
              <w:spacing w:after="160"/>
              <w:contextualSpacing/>
              <w:jc w:val="left"/>
              <w:rPr>
                <w:rFonts w:ascii="Arial Narrow" w:eastAsia="Calibri" w:hAnsi="Arial Narrow" w:cs="Arial"/>
                <w:b/>
                <w:sz w:val="20"/>
                <w:szCs w:val="20"/>
                <w:lang w:eastAsia="en-US"/>
              </w:rPr>
            </w:pPr>
          </w:p>
        </w:tc>
      </w:tr>
      <w:tr w:rsidR="00C40358" w:rsidRPr="005D0D22" w14:paraId="6A7FD6B0" w14:textId="77777777">
        <w:trPr>
          <w:trHeight w:val="20"/>
        </w:trPr>
        <w:tc>
          <w:tcPr>
            <w:tcW w:w="1275" w:type="dxa"/>
            <w:gridSpan w:val="2"/>
            <w:vMerge w:val="restart"/>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5B9157B0" w14:textId="77777777" w:rsidR="00C40358" w:rsidRPr="005D0D22" w:rsidRDefault="00C40358">
            <w:pPr>
              <w:spacing w:after="160"/>
              <w:contextualSpacing/>
              <w:jc w:val="center"/>
              <w:rPr>
                <w:rFonts w:ascii="Arial Narrow" w:eastAsia="Calibri" w:hAnsi="Arial Narrow" w:cs="Arial"/>
                <w:b/>
                <w:sz w:val="20"/>
                <w:szCs w:val="20"/>
                <w:lang w:eastAsia="en-US"/>
              </w:rPr>
            </w:pPr>
            <w:r w:rsidRPr="005D0D22">
              <w:rPr>
                <w:rFonts w:ascii="Arial Narrow" w:eastAsia="Calibri" w:hAnsi="Arial Narrow" w:cs="Arial"/>
                <w:b/>
                <w:sz w:val="20"/>
                <w:szCs w:val="20"/>
                <w:lang w:eastAsia="en-US"/>
              </w:rPr>
              <w:t xml:space="preserve">Concept ID </w:t>
            </w:r>
            <w:r w:rsidRPr="005D0D22">
              <w:rPr>
                <w:rFonts w:ascii="Arial Narrow" w:eastAsia="Calibri" w:hAnsi="Arial Narrow" w:cs="Arial"/>
                <w:sz w:val="20"/>
                <w:szCs w:val="20"/>
                <w:lang w:eastAsia="en-US"/>
              </w:rPr>
              <w:t>(for internal Dept. use)</w:t>
            </w:r>
          </w:p>
        </w:tc>
        <w:tc>
          <w:tcPr>
            <w:tcW w:w="7741"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71DDF152" w14:textId="77777777" w:rsidR="00C40358" w:rsidRPr="005D0D22" w:rsidRDefault="00C40358">
            <w:pPr>
              <w:keepLines/>
              <w:spacing w:after="160"/>
              <w:contextualSpacing/>
              <w:jc w:val="left"/>
              <w:rPr>
                <w:rFonts w:ascii="Arial Narrow" w:eastAsia="Calibri" w:hAnsi="Arial Narrow" w:cs="Arial"/>
                <w:sz w:val="20"/>
                <w:szCs w:val="20"/>
                <w:lang w:eastAsia="en-US"/>
              </w:rPr>
            </w:pPr>
            <w:r w:rsidRPr="005D0D22">
              <w:rPr>
                <w:rFonts w:ascii="Arial Narrow" w:eastAsia="Calibri" w:hAnsi="Arial Narrow" w:cs="Arial"/>
                <w:b/>
                <w:sz w:val="20"/>
                <w:szCs w:val="20"/>
                <w:lang w:eastAsia="en-US"/>
              </w:rPr>
              <w:t>Category / Program:</w:t>
            </w:r>
            <w:r w:rsidRPr="005D0D22">
              <w:rPr>
                <w:rFonts w:ascii="Arial Narrow" w:eastAsia="Calibri" w:hAnsi="Arial Narrow" w:cs="Arial"/>
                <w:color w:val="FF0000"/>
                <w:sz w:val="20"/>
                <w:szCs w:val="20"/>
                <w:lang w:eastAsia="en-US"/>
              </w:rPr>
              <w:t xml:space="preserve"> </w:t>
            </w:r>
            <w:r w:rsidRPr="005D0D22">
              <w:rPr>
                <w:rFonts w:ascii="Arial Narrow" w:eastAsia="Calibri" w:hAnsi="Arial Narrow" w:cs="Arial"/>
                <w:sz w:val="20"/>
                <w:szCs w:val="20"/>
                <w:lang w:eastAsia="en-US"/>
              </w:rPr>
              <w:fldChar w:fldCharType="begin">
                <w:ffData>
                  <w:name w:val=""/>
                  <w:enabled/>
                  <w:calcOnExit w:val="0"/>
                  <w:checkBox>
                    <w:sizeAuto/>
                    <w:default w:val="1"/>
                  </w:checkBox>
                </w:ffData>
              </w:fldChar>
            </w:r>
            <w:r w:rsidRPr="005D0D22">
              <w:rPr>
                <w:rFonts w:ascii="Arial Narrow" w:eastAsia="Calibri" w:hAnsi="Arial Narrow" w:cs="Arial"/>
                <w:sz w:val="20"/>
                <w:szCs w:val="20"/>
                <w:lang w:eastAsia="en-US"/>
              </w:rPr>
              <w:instrText xml:space="preserve"> FORMCHECKBOX </w:instrText>
            </w:r>
            <w:r w:rsidRPr="005D0D22">
              <w:rPr>
                <w:rFonts w:ascii="Arial Narrow" w:eastAsia="Calibri" w:hAnsi="Arial Narrow" w:cs="Arial"/>
                <w:sz w:val="20"/>
                <w:szCs w:val="20"/>
                <w:lang w:eastAsia="en-US"/>
              </w:rPr>
            </w:r>
            <w:r w:rsidRPr="005D0D22">
              <w:rPr>
                <w:rFonts w:ascii="Arial Narrow" w:eastAsia="Calibri" w:hAnsi="Arial Narrow" w:cs="Arial"/>
                <w:sz w:val="20"/>
                <w:szCs w:val="20"/>
                <w:lang w:eastAsia="en-US"/>
              </w:rPr>
              <w:fldChar w:fldCharType="separate"/>
            </w:r>
            <w:r w:rsidRPr="005D0D22">
              <w:rPr>
                <w:rFonts w:ascii="Arial Narrow" w:eastAsia="Calibri" w:hAnsi="Arial Narrow" w:cs="Arial"/>
                <w:sz w:val="20"/>
                <w:szCs w:val="20"/>
                <w:lang w:eastAsia="en-US"/>
              </w:rPr>
              <w:fldChar w:fldCharType="end"/>
            </w:r>
            <w:r w:rsidRPr="005D0D22">
              <w:rPr>
                <w:rFonts w:ascii="Arial Narrow" w:eastAsia="Calibri" w:hAnsi="Arial Narrow" w:cs="Arial"/>
                <w:sz w:val="20"/>
                <w:szCs w:val="20"/>
                <w:lang w:eastAsia="en-US"/>
              </w:rPr>
              <w:t>Section 100 – Highly Specialised Drugs Program – Public (Code HB)</w:t>
            </w:r>
            <w:r w:rsidRPr="005D0D22">
              <w:rPr>
                <w:rFonts w:ascii="Arial Narrow" w:eastAsia="Calibri" w:hAnsi="Arial Narrow" w:cs="Arial"/>
                <w:color w:val="FF0000"/>
                <w:sz w:val="20"/>
                <w:szCs w:val="20"/>
                <w:lang w:eastAsia="en-US"/>
              </w:rPr>
              <w:t xml:space="preserve"> </w:t>
            </w:r>
            <w:r w:rsidRPr="005D0D22">
              <w:rPr>
                <w:rFonts w:ascii="Arial Narrow" w:eastAsia="Calibri" w:hAnsi="Arial Narrow" w:cs="Arial"/>
                <w:sz w:val="20"/>
                <w:szCs w:val="20"/>
                <w:lang w:eastAsia="en-US"/>
              </w:rPr>
              <w:t>/ Private (Code HS)</w:t>
            </w:r>
          </w:p>
        </w:tc>
      </w:tr>
      <w:tr w:rsidR="00C40358" w:rsidRPr="005D0D22" w14:paraId="471207A4" w14:textId="77777777">
        <w:trPr>
          <w:trHeight w:val="20"/>
        </w:trPr>
        <w:tc>
          <w:tcPr>
            <w:tcW w:w="1275" w:type="dxa"/>
            <w:gridSpan w:val="2"/>
            <w:vMerge/>
            <w:vAlign w:val="center"/>
            <w:hideMark/>
          </w:tcPr>
          <w:p w14:paraId="455C208A" w14:textId="77777777" w:rsidR="00C40358" w:rsidRPr="005D0D22" w:rsidRDefault="00C40358">
            <w:pPr>
              <w:spacing w:line="256" w:lineRule="auto"/>
              <w:jc w:val="left"/>
              <w:rPr>
                <w:rFonts w:ascii="Arial Narrow" w:eastAsia="Calibri" w:hAnsi="Arial Narrow" w:cs="Arial"/>
                <w:b/>
                <w:sz w:val="20"/>
                <w:szCs w:val="20"/>
                <w:lang w:eastAsia="en-US"/>
              </w:rPr>
            </w:pPr>
          </w:p>
        </w:tc>
        <w:tc>
          <w:tcPr>
            <w:tcW w:w="7741"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7A59189C" w14:textId="6F9D8A83" w:rsidR="00C40358" w:rsidRPr="005D0D22" w:rsidRDefault="00C40358">
            <w:pPr>
              <w:keepLines/>
              <w:spacing w:after="160"/>
              <w:contextualSpacing/>
              <w:rPr>
                <w:rFonts w:ascii="Arial Narrow" w:eastAsia="Calibri" w:hAnsi="Arial Narrow" w:cs="Arial"/>
                <w:b/>
                <w:sz w:val="20"/>
                <w:szCs w:val="20"/>
                <w:lang w:eastAsia="en-US"/>
              </w:rPr>
            </w:pPr>
            <w:r w:rsidRPr="005D0D22">
              <w:rPr>
                <w:rFonts w:ascii="Arial Narrow" w:eastAsia="Calibri" w:hAnsi="Arial Narrow" w:cs="Arial"/>
                <w:b/>
                <w:sz w:val="20"/>
                <w:szCs w:val="20"/>
                <w:lang w:eastAsia="en-US"/>
              </w:rPr>
              <w:t xml:space="preserve">Prescriber type: </w:t>
            </w:r>
            <w:r w:rsidRPr="005D0D22">
              <w:rPr>
                <w:rFonts w:ascii="Arial Narrow" w:eastAsia="Calibri" w:hAnsi="Arial Narrow" w:cs="Arial"/>
                <w:sz w:val="20"/>
                <w:szCs w:val="20"/>
                <w:lang w:eastAsia="en-US"/>
              </w:rPr>
              <w:fldChar w:fldCharType="begin">
                <w:ffData>
                  <w:name w:val=""/>
                  <w:enabled/>
                  <w:calcOnExit w:val="0"/>
                  <w:checkBox>
                    <w:sizeAuto/>
                    <w:default w:val="1"/>
                  </w:checkBox>
                </w:ffData>
              </w:fldChar>
            </w:r>
            <w:r w:rsidRPr="005D0D22">
              <w:rPr>
                <w:rFonts w:ascii="Arial Narrow" w:eastAsia="Calibri" w:hAnsi="Arial Narrow" w:cs="Arial"/>
                <w:sz w:val="20"/>
                <w:szCs w:val="20"/>
                <w:lang w:eastAsia="en-US"/>
              </w:rPr>
              <w:instrText xml:space="preserve"> FORMCHECKBOX </w:instrText>
            </w:r>
            <w:r w:rsidRPr="005D0D22">
              <w:rPr>
                <w:rFonts w:ascii="Arial Narrow" w:eastAsia="Calibri" w:hAnsi="Arial Narrow" w:cs="Arial"/>
                <w:sz w:val="20"/>
                <w:szCs w:val="20"/>
                <w:lang w:eastAsia="en-US"/>
              </w:rPr>
            </w:r>
            <w:r w:rsidRPr="005D0D22">
              <w:rPr>
                <w:rFonts w:ascii="Arial Narrow" w:eastAsia="Calibri" w:hAnsi="Arial Narrow" w:cs="Arial"/>
                <w:sz w:val="20"/>
                <w:szCs w:val="20"/>
                <w:lang w:eastAsia="en-US"/>
              </w:rPr>
              <w:fldChar w:fldCharType="separate"/>
            </w:r>
            <w:r w:rsidRPr="005D0D22">
              <w:rPr>
                <w:rFonts w:ascii="Arial Narrow" w:eastAsia="Calibri" w:hAnsi="Arial Narrow" w:cs="Arial"/>
                <w:sz w:val="20"/>
                <w:szCs w:val="20"/>
                <w:lang w:eastAsia="en-US"/>
              </w:rPr>
              <w:fldChar w:fldCharType="end"/>
            </w:r>
            <w:r w:rsidR="002721D5">
              <w:rPr>
                <w:rFonts w:ascii="Arial Narrow" w:eastAsia="Calibri" w:hAnsi="Arial Narrow" w:cs="Arial"/>
                <w:sz w:val="20"/>
                <w:szCs w:val="20"/>
                <w:lang w:eastAsia="en-US"/>
              </w:rPr>
              <w:t xml:space="preserve"> </w:t>
            </w:r>
            <w:r w:rsidRPr="005D0D22">
              <w:rPr>
                <w:rFonts w:ascii="Arial Narrow" w:eastAsia="Calibri" w:hAnsi="Arial Narrow" w:cs="Arial"/>
                <w:sz w:val="20"/>
                <w:szCs w:val="20"/>
                <w:lang w:eastAsia="en-US"/>
              </w:rPr>
              <w:t xml:space="preserve">Medical Practitioners </w:t>
            </w:r>
          </w:p>
        </w:tc>
      </w:tr>
      <w:tr w:rsidR="00C40358" w:rsidRPr="005D0D22" w14:paraId="554D133B" w14:textId="77777777">
        <w:trPr>
          <w:trHeight w:val="20"/>
        </w:trPr>
        <w:tc>
          <w:tcPr>
            <w:tcW w:w="1275" w:type="dxa"/>
            <w:gridSpan w:val="2"/>
            <w:vMerge/>
            <w:vAlign w:val="center"/>
            <w:hideMark/>
          </w:tcPr>
          <w:p w14:paraId="19BBF8DF" w14:textId="77777777" w:rsidR="00C40358" w:rsidRPr="005D0D22" w:rsidRDefault="00C40358">
            <w:pPr>
              <w:spacing w:line="256" w:lineRule="auto"/>
              <w:jc w:val="left"/>
              <w:rPr>
                <w:rFonts w:ascii="Arial Narrow" w:eastAsia="Calibri" w:hAnsi="Arial Narrow" w:cs="Arial"/>
                <w:b/>
                <w:sz w:val="20"/>
                <w:szCs w:val="20"/>
                <w:lang w:eastAsia="en-US"/>
              </w:rPr>
            </w:pPr>
          </w:p>
        </w:tc>
        <w:tc>
          <w:tcPr>
            <w:tcW w:w="7741"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5B4731C4" w14:textId="110B10EE" w:rsidR="00C40358" w:rsidRPr="005D0D22" w:rsidRDefault="00C40358">
            <w:pPr>
              <w:keepLines/>
              <w:spacing w:after="160"/>
              <w:contextualSpacing/>
              <w:jc w:val="left"/>
              <w:rPr>
                <w:rFonts w:ascii="Arial Narrow" w:eastAsia="Calibri" w:hAnsi="Arial Narrow" w:cs="Arial"/>
                <w:color w:val="FF0000"/>
                <w:sz w:val="20"/>
                <w:szCs w:val="20"/>
                <w:lang w:eastAsia="en-US"/>
              </w:rPr>
            </w:pPr>
            <w:r w:rsidRPr="005D0D22">
              <w:rPr>
                <w:rFonts w:ascii="Arial Narrow" w:eastAsia="Calibri" w:hAnsi="Arial Narrow" w:cs="Arial"/>
                <w:b/>
                <w:sz w:val="20"/>
                <w:szCs w:val="20"/>
                <w:lang w:eastAsia="en-US"/>
              </w:rPr>
              <w:t xml:space="preserve">Restriction type: </w:t>
            </w:r>
            <w:r w:rsidRPr="005D0D22">
              <w:rPr>
                <w:rFonts w:ascii="Arial Narrow" w:eastAsia="Calibri" w:hAnsi="Arial Narrow" w:cs="Arial"/>
                <w:sz w:val="20"/>
                <w:szCs w:val="20"/>
                <w:lang w:eastAsia="en-US"/>
              </w:rPr>
              <w:fldChar w:fldCharType="begin">
                <w:ffData>
                  <w:name w:val=""/>
                  <w:enabled/>
                  <w:calcOnExit w:val="0"/>
                  <w:checkBox>
                    <w:sizeAuto/>
                    <w:default w:val="1"/>
                  </w:checkBox>
                </w:ffData>
              </w:fldChar>
            </w:r>
            <w:r w:rsidRPr="005D0D22">
              <w:rPr>
                <w:rFonts w:ascii="Arial Narrow" w:eastAsia="Calibri" w:hAnsi="Arial Narrow" w:cs="Arial"/>
                <w:sz w:val="20"/>
                <w:szCs w:val="20"/>
                <w:lang w:eastAsia="en-US"/>
              </w:rPr>
              <w:instrText xml:space="preserve"> FORMCHECKBOX </w:instrText>
            </w:r>
            <w:r w:rsidRPr="005D0D22">
              <w:rPr>
                <w:rFonts w:ascii="Arial Narrow" w:eastAsia="Calibri" w:hAnsi="Arial Narrow" w:cs="Arial"/>
                <w:sz w:val="20"/>
                <w:szCs w:val="20"/>
                <w:lang w:eastAsia="en-US"/>
              </w:rPr>
            </w:r>
            <w:r w:rsidRPr="005D0D22">
              <w:rPr>
                <w:rFonts w:ascii="Arial Narrow" w:eastAsia="Calibri" w:hAnsi="Arial Narrow" w:cs="Arial"/>
                <w:sz w:val="20"/>
                <w:szCs w:val="20"/>
                <w:lang w:eastAsia="en-US"/>
              </w:rPr>
              <w:fldChar w:fldCharType="separate"/>
            </w:r>
            <w:r w:rsidRPr="005D0D22">
              <w:rPr>
                <w:rFonts w:ascii="Arial Narrow" w:eastAsia="Calibri" w:hAnsi="Arial Narrow" w:cs="Arial"/>
                <w:sz w:val="20"/>
                <w:szCs w:val="20"/>
                <w:lang w:eastAsia="en-US"/>
              </w:rPr>
              <w:fldChar w:fldCharType="end"/>
            </w:r>
            <w:r w:rsidR="002721D5">
              <w:rPr>
                <w:rFonts w:ascii="Arial Narrow" w:eastAsia="Calibri" w:hAnsi="Arial Narrow" w:cs="Arial"/>
                <w:sz w:val="20"/>
                <w:szCs w:val="20"/>
                <w:lang w:eastAsia="en-US"/>
              </w:rPr>
              <w:t xml:space="preserve"> </w:t>
            </w:r>
            <w:r w:rsidRPr="005D0D22">
              <w:rPr>
                <w:rFonts w:ascii="Arial Narrow" w:eastAsia="Calibri" w:hAnsi="Arial Narrow" w:cs="Arial"/>
                <w:sz w:val="20"/>
                <w:szCs w:val="20"/>
                <w:lang w:eastAsia="en-US"/>
              </w:rPr>
              <w:t>Authority Required (</w:t>
            </w:r>
            <w:r>
              <w:rPr>
                <w:rFonts w:ascii="Arial Narrow" w:eastAsia="Calibri" w:hAnsi="Arial Narrow" w:cs="Arial"/>
                <w:sz w:val="20"/>
                <w:szCs w:val="20"/>
                <w:lang w:eastAsia="en-US"/>
              </w:rPr>
              <w:t xml:space="preserve">Written/Online </w:t>
            </w:r>
            <w:r w:rsidR="00AF0956">
              <w:rPr>
                <w:rFonts w:ascii="Arial Narrow" w:eastAsia="Calibri" w:hAnsi="Arial Narrow" w:cs="Arial"/>
                <w:sz w:val="20"/>
                <w:szCs w:val="20"/>
                <w:lang w:eastAsia="en-US"/>
              </w:rPr>
              <w:noBreakHyphen/>
            </w:r>
            <w:r>
              <w:rPr>
                <w:rFonts w:ascii="Arial Narrow" w:eastAsia="Calibri" w:hAnsi="Arial Narrow" w:cs="Arial"/>
                <w:sz w:val="20"/>
                <w:szCs w:val="20"/>
                <w:lang w:eastAsia="en-US"/>
              </w:rPr>
              <w:t xml:space="preserve"> Immediate</w:t>
            </w:r>
            <w:r w:rsidRPr="005D0D22">
              <w:rPr>
                <w:rFonts w:ascii="Arial Narrow" w:eastAsia="Calibri" w:hAnsi="Arial Narrow" w:cs="Arial"/>
                <w:sz w:val="20"/>
                <w:szCs w:val="20"/>
                <w:lang w:eastAsia="en-US"/>
              </w:rPr>
              <w:t xml:space="preserve"> assessment)</w:t>
            </w:r>
          </w:p>
        </w:tc>
      </w:tr>
      <w:tr w:rsidR="00C40358" w:rsidRPr="005D0D22" w14:paraId="70EF1580" w14:textId="77777777">
        <w:trPr>
          <w:trHeight w:val="20"/>
        </w:trPr>
        <w:tc>
          <w:tcPr>
            <w:tcW w:w="1275" w:type="dxa"/>
            <w:gridSpan w:val="2"/>
            <w:vMerge/>
            <w:vAlign w:val="center"/>
            <w:hideMark/>
          </w:tcPr>
          <w:p w14:paraId="08E78EE9" w14:textId="77777777" w:rsidR="00C40358" w:rsidRPr="005D0D22" w:rsidRDefault="00C40358">
            <w:pPr>
              <w:spacing w:line="256" w:lineRule="auto"/>
              <w:jc w:val="left"/>
              <w:rPr>
                <w:rFonts w:ascii="Arial Narrow" w:eastAsia="Calibri" w:hAnsi="Arial Narrow" w:cs="Arial"/>
                <w:b/>
                <w:sz w:val="20"/>
                <w:szCs w:val="20"/>
                <w:lang w:eastAsia="en-US"/>
              </w:rPr>
            </w:pPr>
          </w:p>
        </w:tc>
        <w:tc>
          <w:tcPr>
            <w:tcW w:w="7741"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36623745" w14:textId="77777777" w:rsidR="00C40358" w:rsidRPr="005D0D22" w:rsidRDefault="00C40358">
            <w:pPr>
              <w:keepLines/>
              <w:spacing w:after="160"/>
              <w:contextualSpacing/>
              <w:jc w:val="left"/>
              <w:rPr>
                <w:rFonts w:ascii="Arial Narrow" w:eastAsia="Calibri" w:hAnsi="Arial Narrow" w:cs="Arial"/>
                <w:b/>
                <w:color w:val="FF0000"/>
                <w:sz w:val="20"/>
                <w:szCs w:val="20"/>
                <w:lang w:eastAsia="en-US"/>
              </w:rPr>
            </w:pPr>
            <w:r w:rsidRPr="005D0D22">
              <w:rPr>
                <w:rFonts w:ascii="Arial Narrow" w:eastAsia="Calibri" w:hAnsi="Arial Narrow" w:cs="Arial"/>
                <w:b/>
                <w:sz w:val="20"/>
                <w:szCs w:val="20"/>
                <w:lang w:eastAsia="en-US"/>
              </w:rPr>
              <w:t xml:space="preserve">Authority type: </w:t>
            </w:r>
            <w:r w:rsidRPr="005D0D22">
              <w:rPr>
                <w:rFonts w:ascii="Arial Narrow" w:eastAsia="Calibri" w:hAnsi="Arial Narrow" w:cs="Arial"/>
                <w:sz w:val="20"/>
                <w:szCs w:val="20"/>
                <w:lang w:eastAsia="en-US"/>
              </w:rPr>
              <w:fldChar w:fldCharType="begin">
                <w:ffData>
                  <w:name w:val=""/>
                  <w:enabled/>
                  <w:calcOnExit w:val="0"/>
                  <w:checkBox>
                    <w:sizeAuto/>
                    <w:default w:val="1"/>
                  </w:checkBox>
                </w:ffData>
              </w:fldChar>
            </w:r>
            <w:r w:rsidRPr="005D0D22">
              <w:rPr>
                <w:rFonts w:ascii="Arial Narrow" w:eastAsia="Calibri" w:hAnsi="Arial Narrow" w:cs="Arial"/>
                <w:sz w:val="20"/>
                <w:szCs w:val="20"/>
                <w:lang w:eastAsia="en-US"/>
              </w:rPr>
              <w:instrText xml:space="preserve"> FORMCHECKBOX </w:instrText>
            </w:r>
            <w:r w:rsidRPr="005D0D22">
              <w:rPr>
                <w:rFonts w:ascii="Arial Narrow" w:eastAsia="Calibri" w:hAnsi="Arial Narrow" w:cs="Arial"/>
                <w:sz w:val="20"/>
                <w:szCs w:val="20"/>
                <w:lang w:eastAsia="en-US"/>
              </w:rPr>
            </w:r>
            <w:r w:rsidRPr="005D0D22">
              <w:rPr>
                <w:rFonts w:ascii="Arial Narrow" w:eastAsia="Calibri" w:hAnsi="Arial Narrow" w:cs="Arial"/>
                <w:sz w:val="20"/>
                <w:szCs w:val="20"/>
                <w:lang w:eastAsia="en-US"/>
              </w:rPr>
              <w:fldChar w:fldCharType="separate"/>
            </w:r>
            <w:r w:rsidRPr="005D0D22">
              <w:rPr>
                <w:rFonts w:ascii="Arial Narrow" w:eastAsia="Calibri" w:hAnsi="Arial Narrow" w:cs="Arial"/>
                <w:sz w:val="20"/>
                <w:szCs w:val="20"/>
                <w:lang w:eastAsia="en-US"/>
              </w:rPr>
              <w:fldChar w:fldCharType="end"/>
            </w:r>
            <w:r w:rsidRPr="005D0D22">
              <w:rPr>
                <w:rFonts w:ascii="Arial Narrow" w:eastAsia="Calibri" w:hAnsi="Arial Narrow" w:cs="Arial"/>
                <w:sz w:val="20"/>
                <w:szCs w:val="20"/>
                <w:lang w:eastAsia="en-US"/>
              </w:rPr>
              <w:t xml:space="preserve"> Complex Authority Required (CAR)</w:t>
            </w:r>
          </w:p>
        </w:tc>
      </w:tr>
      <w:tr w:rsidR="00C40358" w:rsidRPr="005D0D22" w14:paraId="4BA25F3F" w14:textId="77777777">
        <w:trPr>
          <w:trHeight w:val="300"/>
        </w:trPr>
        <w:tc>
          <w:tcPr>
            <w:tcW w:w="491" w:type="dxa"/>
            <w:vMerge w:val="restart"/>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extDirection w:val="btLr"/>
            <w:vAlign w:val="center"/>
            <w:hideMark/>
          </w:tcPr>
          <w:p w14:paraId="1F18BBA0" w14:textId="77777777" w:rsidR="00C40358" w:rsidRPr="005D0D22" w:rsidRDefault="00C40358">
            <w:pPr>
              <w:jc w:val="center"/>
              <w:rPr>
                <w:rFonts w:ascii="Arial Narrow" w:eastAsia="Aptos" w:hAnsi="Arial Narrow" w:cs="Arial"/>
                <w:kern w:val="2"/>
                <w:sz w:val="16"/>
                <w:szCs w:val="16"/>
                <w:lang w:eastAsia="en-US"/>
                <w14:ligatures w14:val="standardContextual"/>
              </w:rPr>
            </w:pPr>
            <w:r w:rsidRPr="005D0D22">
              <w:rPr>
                <w:rFonts w:ascii="Arial Narrow" w:eastAsia="Aptos" w:hAnsi="Arial Narrow" w:cs="Arial"/>
                <w:kern w:val="2"/>
                <w:sz w:val="16"/>
                <w:szCs w:val="16"/>
                <w:lang w:eastAsia="en-US"/>
                <w14:ligatures w14:val="standardContextual"/>
              </w:rPr>
              <w:t>Prescribing rule level</w:t>
            </w:r>
          </w:p>
        </w:tc>
        <w:tc>
          <w:tcPr>
            <w:tcW w:w="784"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12E2A0CD" w14:textId="386E5EBE" w:rsidR="00C40358" w:rsidRPr="005D0D22" w:rsidRDefault="00C40358">
            <w:pPr>
              <w:jc w:val="center"/>
              <w:rPr>
                <w:rFonts w:ascii="Arial Narrow" w:hAnsi="Arial Narrow"/>
                <w:iCs/>
                <w:kern w:val="2"/>
                <w:sz w:val="20"/>
                <w:szCs w:val="20"/>
                <w14:ligatures w14:val="standardContextual"/>
              </w:rPr>
            </w:pPr>
          </w:p>
        </w:tc>
        <w:tc>
          <w:tcPr>
            <w:tcW w:w="7741"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1B3F8A61" w14:textId="77777777" w:rsidR="00C40358" w:rsidRPr="005D0D22" w:rsidRDefault="00C40358">
            <w:pPr>
              <w:spacing w:after="160"/>
              <w:contextualSpacing/>
              <w:jc w:val="left"/>
              <w:rPr>
                <w:rFonts w:ascii="Arial Narrow" w:hAnsi="Arial Narrow"/>
                <w:iCs/>
                <w:color w:val="000000"/>
                <w:sz w:val="20"/>
                <w:szCs w:val="20"/>
              </w:rPr>
            </w:pPr>
            <w:r w:rsidRPr="005D0D22">
              <w:rPr>
                <w:rFonts w:ascii="Arial Narrow" w:hAnsi="Arial Narrow"/>
                <w:b/>
                <w:bCs/>
                <w:iCs/>
                <w:color w:val="000000"/>
                <w:sz w:val="20"/>
                <w:szCs w:val="20"/>
              </w:rPr>
              <w:t xml:space="preserve">Administrative Advice: </w:t>
            </w:r>
          </w:p>
          <w:p w14:paraId="6FAC5DAA" w14:textId="77777777" w:rsidR="00C40358" w:rsidRPr="005D0D22" w:rsidRDefault="00C40358">
            <w:pPr>
              <w:spacing w:after="160"/>
              <w:contextualSpacing/>
              <w:jc w:val="left"/>
              <w:rPr>
                <w:rFonts w:ascii="Arial Narrow" w:hAnsi="Arial Narrow"/>
                <w:iCs/>
                <w:color w:val="000000"/>
                <w:sz w:val="20"/>
                <w:szCs w:val="20"/>
              </w:rPr>
            </w:pPr>
            <w:r w:rsidRPr="005D0D22">
              <w:rPr>
                <w:rFonts w:ascii="Arial Narrow" w:hAnsi="Arial Narrow"/>
                <w:iCs/>
                <w:color w:val="000000"/>
                <w:sz w:val="20"/>
                <w:szCs w:val="20"/>
              </w:rPr>
              <w:t>Definitions for the purposes of administering this restriction.</w:t>
            </w:r>
          </w:p>
          <w:p w14:paraId="429225F7" w14:textId="77777777" w:rsidR="00C40358" w:rsidRPr="005D0D22" w:rsidRDefault="00C40358">
            <w:pPr>
              <w:spacing w:after="160"/>
              <w:contextualSpacing/>
              <w:jc w:val="left"/>
              <w:rPr>
                <w:rFonts w:ascii="Arial Narrow" w:hAnsi="Arial Narrow"/>
                <w:iCs/>
                <w:color w:val="000000"/>
                <w:sz w:val="20"/>
                <w:szCs w:val="20"/>
              </w:rPr>
            </w:pPr>
          </w:p>
          <w:p w14:paraId="7BC73B16" w14:textId="77777777" w:rsidR="00C40358" w:rsidRPr="005D0D22" w:rsidRDefault="00C40358">
            <w:pPr>
              <w:spacing w:after="160"/>
              <w:contextualSpacing/>
              <w:jc w:val="left"/>
              <w:rPr>
                <w:rFonts w:ascii="Arial Narrow" w:hAnsi="Arial Narrow"/>
                <w:iCs/>
                <w:color w:val="000000"/>
                <w:sz w:val="20"/>
                <w:szCs w:val="20"/>
              </w:rPr>
            </w:pPr>
            <w:r w:rsidRPr="005D0D22">
              <w:rPr>
                <w:rFonts w:ascii="Arial Narrow" w:hAnsi="Arial Narrow"/>
                <w:iCs/>
                <w:color w:val="000000"/>
                <w:sz w:val="20"/>
                <w:szCs w:val="20"/>
              </w:rPr>
              <w:t xml:space="preserve">Where the term </w:t>
            </w:r>
            <w:r w:rsidRPr="005D0D22">
              <w:rPr>
                <w:rFonts w:ascii="Arial Narrow" w:hAnsi="Arial Narrow"/>
                <w:b/>
                <w:bCs/>
                <w:iCs/>
                <w:color w:val="000000"/>
                <w:sz w:val="20"/>
                <w:szCs w:val="20"/>
              </w:rPr>
              <w:t>‘gMG biological agent’</w:t>
            </w:r>
            <w:r w:rsidRPr="005D0D22">
              <w:rPr>
                <w:rFonts w:ascii="Arial Narrow" w:hAnsi="Arial Narrow"/>
                <w:iCs/>
                <w:color w:val="000000"/>
                <w:sz w:val="20"/>
                <w:szCs w:val="20"/>
              </w:rPr>
              <w:t xml:space="preserve"> is referenced in this restriction, it refers to efgartigimod alfa, ravulizumab, rozanolixizumab, and zilucoplan.</w:t>
            </w:r>
          </w:p>
          <w:p w14:paraId="2532AA56" w14:textId="77777777" w:rsidR="00C40358" w:rsidRPr="005D0D22" w:rsidRDefault="00C40358">
            <w:pPr>
              <w:spacing w:after="160"/>
              <w:contextualSpacing/>
              <w:jc w:val="left"/>
              <w:rPr>
                <w:rFonts w:ascii="Arial Narrow" w:hAnsi="Arial Narrow"/>
                <w:iCs/>
                <w:color w:val="000000"/>
                <w:sz w:val="20"/>
                <w:szCs w:val="20"/>
              </w:rPr>
            </w:pPr>
          </w:p>
          <w:p w14:paraId="23BD7C16" w14:textId="77777777" w:rsidR="00C40358" w:rsidRPr="005D0D22" w:rsidRDefault="00C40358">
            <w:pPr>
              <w:spacing w:after="160"/>
              <w:contextualSpacing/>
              <w:jc w:val="left"/>
              <w:rPr>
                <w:rFonts w:ascii="Arial Narrow" w:hAnsi="Arial Narrow"/>
                <w:iCs/>
                <w:color w:val="000000"/>
                <w:sz w:val="20"/>
                <w:szCs w:val="20"/>
              </w:rPr>
            </w:pPr>
            <w:r w:rsidRPr="005D0D22">
              <w:rPr>
                <w:rFonts w:ascii="Arial Narrow" w:hAnsi="Arial Narrow"/>
                <w:iCs/>
                <w:color w:val="000000"/>
                <w:sz w:val="20"/>
                <w:szCs w:val="20"/>
              </w:rPr>
              <w:t>The following are settings and time limits where a gMG biological agent are PBS subsidised:</w:t>
            </w:r>
          </w:p>
          <w:p w14:paraId="374E1F7A" w14:textId="29041FD9" w:rsidR="00C40358" w:rsidRPr="005D0D22" w:rsidRDefault="006257F9" w:rsidP="00ED248B">
            <w:pPr>
              <w:numPr>
                <w:ilvl w:val="0"/>
                <w:numId w:val="9"/>
              </w:numPr>
              <w:spacing w:after="160" w:line="256" w:lineRule="auto"/>
              <w:contextualSpacing/>
              <w:jc w:val="left"/>
              <w:rPr>
                <w:rFonts w:ascii="Arial Narrow" w:hAnsi="Arial Narrow"/>
                <w:iCs/>
                <w:color w:val="000000"/>
                <w:sz w:val="20"/>
                <w:szCs w:val="20"/>
              </w:rPr>
            </w:pPr>
            <w:r>
              <w:rPr>
                <w:rFonts w:ascii="Arial Narrow" w:hAnsi="Arial Narrow"/>
                <w:iCs/>
                <w:color w:val="000000"/>
                <w:sz w:val="20"/>
                <w:szCs w:val="20"/>
              </w:rPr>
              <w:t>three</w:t>
            </w:r>
            <w:r w:rsidR="00C40358" w:rsidRPr="005D0D22">
              <w:rPr>
                <w:rFonts w:ascii="Arial Narrow" w:hAnsi="Arial Narrow"/>
                <w:iCs/>
                <w:color w:val="000000"/>
                <w:sz w:val="20"/>
                <w:szCs w:val="20"/>
              </w:rPr>
              <w:t xml:space="preserve"> months of acute treatment </w:t>
            </w:r>
            <w:r w:rsidR="00AF0956">
              <w:rPr>
                <w:rFonts w:ascii="Arial Narrow" w:hAnsi="Arial Narrow"/>
                <w:iCs/>
                <w:color w:val="000000"/>
                <w:sz w:val="20"/>
                <w:szCs w:val="20"/>
              </w:rPr>
              <w:noBreakHyphen/>
            </w:r>
            <w:r w:rsidR="00C40358" w:rsidRPr="005D0D22">
              <w:rPr>
                <w:rFonts w:ascii="Arial Narrow" w:hAnsi="Arial Narrow"/>
                <w:iCs/>
                <w:color w:val="000000"/>
                <w:sz w:val="20"/>
                <w:szCs w:val="20"/>
              </w:rPr>
              <w:t xml:space="preserve"> ‘acute severe gMG’ </w:t>
            </w:r>
          </w:p>
          <w:p w14:paraId="4B1A49BC" w14:textId="1533E67D" w:rsidR="00C40358" w:rsidRPr="005D0D22" w:rsidRDefault="006257F9" w:rsidP="00ED248B">
            <w:pPr>
              <w:numPr>
                <w:ilvl w:val="0"/>
                <w:numId w:val="9"/>
              </w:numPr>
              <w:spacing w:after="160" w:line="256" w:lineRule="auto"/>
              <w:contextualSpacing/>
              <w:jc w:val="left"/>
              <w:rPr>
                <w:rFonts w:ascii="Arial Narrow" w:hAnsi="Arial Narrow"/>
                <w:iCs/>
                <w:color w:val="000000"/>
                <w:sz w:val="20"/>
                <w:szCs w:val="20"/>
              </w:rPr>
            </w:pPr>
            <w:r>
              <w:rPr>
                <w:rFonts w:ascii="Arial Narrow" w:hAnsi="Arial Narrow"/>
                <w:iCs/>
                <w:color w:val="000000"/>
                <w:sz w:val="20"/>
                <w:szCs w:val="20"/>
              </w:rPr>
              <w:t>six</w:t>
            </w:r>
            <w:r w:rsidR="00C40358" w:rsidRPr="005D0D22">
              <w:rPr>
                <w:rFonts w:ascii="Arial Narrow" w:hAnsi="Arial Narrow"/>
                <w:iCs/>
                <w:color w:val="000000"/>
                <w:sz w:val="20"/>
                <w:szCs w:val="20"/>
              </w:rPr>
              <w:t xml:space="preserve"> months of bridging therapy </w:t>
            </w:r>
            <w:r w:rsidR="00AF0956">
              <w:rPr>
                <w:rFonts w:ascii="Arial Narrow" w:hAnsi="Arial Narrow"/>
                <w:iCs/>
                <w:color w:val="000000"/>
                <w:sz w:val="20"/>
                <w:szCs w:val="20"/>
              </w:rPr>
              <w:noBreakHyphen/>
            </w:r>
            <w:r w:rsidR="00C40358" w:rsidRPr="005D0D22">
              <w:rPr>
                <w:rFonts w:ascii="Arial Narrow" w:hAnsi="Arial Narrow"/>
                <w:iCs/>
                <w:color w:val="000000"/>
                <w:sz w:val="20"/>
                <w:szCs w:val="20"/>
              </w:rPr>
              <w:t xml:space="preserve"> ‘bridging therapy for gMG’ </w:t>
            </w:r>
          </w:p>
          <w:p w14:paraId="4A8B96E6" w14:textId="32AEC8CA" w:rsidR="00C40358" w:rsidRPr="005D0D22" w:rsidRDefault="00C40358" w:rsidP="00ED248B">
            <w:pPr>
              <w:numPr>
                <w:ilvl w:val="0"/>
                <w:numId w:val="9"/>
              </w:numPr>
              <w:spacing w:after="160" w:line="256" w:lineRule="auto"/>
              <w:contextualSpacing/>
              <w:jc w:val="left"/>
              <w:rPr>
                <w:rFonts w:ascii="Arial Narrow" w:hAnsi="Arial Narrow"/>
                <w:iCs/>
                <w:color w:val="000000"/>
                <w:sz w:val="20"/>
                <w:szCs w:val="20"/>
              </w:rPr>
            </w:pPr>
            <w:r w:rsidRPr="005D0D22">
              <w:rPr>
                <w:rFonts w:ascii="Arial Narrow" w:hAnsi="Arial Narrow"/>
                <w:iCs/>
                <w:color w:val="000000"/>
                <w:sz w:val="20"/>
                <w:szCs w:val="20"/>
              </w:rPr>
              <w:t xml:space="preserve">Continuous therapy </w:t>
            </w:r>
            <w:r w:rsidR="00AF0956">
              <w:rPr>
                <w:rFonts w:ascii="Arial Narrow" w:hAnsi="Arial Narrow"/>
                <w:iCs/>
                <w:color w:val="000000"/>
                <w:sz w:val="20"/>
                <w:szCs w:val="20"/>
              </w:rPr>
              <w:noBreakHyphen/>
            </w:r>
            <w:r w:rsidRPr="005D0D22">
              <w:rPr>
                <w:rFonts w:ascii="Arial Narrow" w:hAnsi="Arial Narrow"/>
                <w:iCs/>
                <w:color w:val="000000"/>
                <w:sz w:val="20"/>
                <w:szCs w:val="20"/>
              </w:rPr>
              <w:t xml:space="preserve"> ‘treatment refractory gMG’</w:t>
            </w:r>
          </w:p>
          <w:p w14:paraId="6828DB15" w14:textId="77777777" w:rsidR="00C40358" w:rsidRPr="009C1AA2" w:rsidRDefault="00C40358">
            <w:pPr>
              <w:contextualSpacing/>
              <w:jc w:val="left"/>
              <w:rPr>
                <w:rFonts w:ascii="Arial Narrow" w:hAnsi="Arial Narrow"/>
                <w:color w:val="000000"/>
                <w:sz w:val="20"/>
                <w:szCs w:val="20"/>
              </w:rPr>
            </w:pPr>
            <w:r w:rsidRPr="74EB87D5">
              <w:rPr>
                <w:rFonts w:ascii="Arial Narrow" w:hAnsi="Arial Narrow"/>
                <w:color w:val="000000" w:themeColor="text1"/>
                <w:sz w:val="20"/>
                <w:szCs w:val="20"/>
              </w:rPr>
              <w:lastRenderedPageBreak/>
              <w:t>A patient may transition sequentially from one setting to another where all criteria are met e.g. (1) to (2) to (3</w:t>
            </w:r>
            <w:bookmarkStart w:id="9" w:name="_Int_HxYrfSMG"/>
            <w:r w:rsidRPr="74EB87D5">
              <w:rPr>
                <w:rFonts w:ascii="Arial Narrow" w:hAnsi="Arial Narrow"/>
                <w:color w:val="000000" w:themeColor="text1"/>
                <w:sz w:val="20"/>
                <w:szCs w:val="20"/>
              </w:rPr>
              <w:t>), but</w:t>
            </w:r>
            <w:bookmarkEnd w:id="9"/>
            <w:r w:rsidRPr="74EB87D5">
              <w:rPr>
                <w:rFonts w:ascii="Arial Narrow" w:hAnsi="Arial Narrow"/>
                <w:color w:val="000000" w:themeColor="text1"/>
                <w:sz w:val="20"/>
                <w:szCs w:val="20"/>
              </w:rPr>
              <w:t xml:space="preserve"> cannot return to an earlier treatment setting. </w:t>
            </w:r>
          </w:p>
          <w:p w14:paraId="02699331" w14:textId="77777777" w:rsidR="00C40358" w:rsidRDefault="00C40358">
            <w:pPr>
              <w:spacing w:after="160"/>
              <w:contextualSpacing/>
              <w:jc w:val="left"/>
              <w:rPr>
                <w:rFonts w:ascii="Arial Narrow" w:hAnsi="Arial Narrow"/>
                <w:b/>
                <w:bCs/>
                <w:iCs/>
                <w:color w:val="000000"/>
                <w:sz w:val="20"/>
                <w:szCs w:val="20"/>
              </w:rPr>
            </w:pPr>
          </w:p>
          <w:p w14:paraId="27407B1F" w14:textId="77777777" w:rsidR="00C40358" w:rsidRPr="005D0D22" w:rsidRDefault="00C40358">
            <w:pPr>
              <w:spacing w:after="160"/>
              <w:contextualSpacing/>
              <w:jc w:val="left"/>
              <w:rPr>
                <w:rFonts w:ascii="Arial Narrow" w:hAnsi="Arial Narrow"/>
                <w:b/>
                <w:bCs/>
                <w:iCs/>
                <w:color w:val="000000"/>
                <w:sz w:val="20"/>
                <w:szCs w:val="20"/>
              </w:rPr>
            </w:pPr>
            <w:r w:rsidRPr="005D0D22">
              <w:rPr>
                <w:rFonts w:ascii="Arial Narrow" w:hAnsi="Arial Narrow"/>
                <w:b/>
                <w:bCs/>
                <w:iCs/>
                <w:color w:val="000000"/>
                <w:sz w:val="20"/>
                <w:szCs w:val="20"/>
              </w:rPr>
              <w:t>Definitions:</w:t>
            </w:r>
          </w:p>
          <w:p w14:paraId="6FC01034" w14:textId="77DEDD32" w:rsidR="00C40358" w:rsidRPr="005D0D22" w:rsidRDefault="00C40358">
            <w:pPr>
              <w:spacing w:after="160"/>
              <w:contextualSpacing/>
              <w:jc w:val="left"/>
              <w:rPr>
                <w:rFonts w:ascii="Arial Narrow" w:hAnsi="Arial Narrow"/>
                <w:iCs/>
                <w:color w:val="000000"/>
                <w:sz w:val="20"/>
                <w:szCs w:val="20"/>
              </w:rPr>
            </w:pPr>
            <w:r w:rsidRPr="005D0D22">
              <w:rPr>
                <w:rFonts w:ascii="Arial Narrow" w:hAnsi="Arial Narrow"/>
                <w:iCs/>
                <w:color w:val="000000"/>
                <w:sz w:val="20"/>
                <w:szCs w:val="20"/>
              </w:rPr>
              <w:t>A non</w:t>
            </w:r>
            <w:r w:rsidR="00AF0956">
              <w:rPr>
                <w:rFonts w:ascii="Arial Narrow" w:hAnsi="Arial Narrow"/>
                <w:iCs/>
                <w:color w:val="000000"/>
                <w:sz w:val="20"/>
                <w:szCs w:val="20"/>
              </w:rPr>
              <w:noBreakHyphen/>
            </w:r>
            <w:r w:rsidRPr="005D0D22">
              <w:rPr>
                <w:rFonts w:ascii="Arial Narrow" w:hAnsi="Arial Narrow"/>
                <w:iCs/>
                <w:color w:val="000000"/>
                <w:sz w:val="20"/>
                <w:szCs w:val="20"/>
              </w:rPr>
              <w:t>steroidal immunosuppressant (NS</w:t>
            </w:r>
            <w:r w:rsidR="00AF0956">
              <w:rPr>
                <w:rFonts w:ascii="Arial Narrow" w:hAnsi="Arial Narrow"/>
                <w:iCs/>
                <w:color w:val="000000"/>
                <w:sz w:val="20"/>
                <w:szCs w:val="20"/>
              </w:rPr>
              <w:noBreakHyphen/>
            </w:r>
            <w:r w:rsidRPr="005D0D22">
              <w:rPr>
                <w:rFonts w:ascii="Arial Narrow" w:hAnsi="Arial Narrow"/>
                <w:iCs/>
                <w:color w:val="000000"/>
                <w:sz w:val="20"/>
                <w:szCs w:val="20"/>
              </w:rPr>
              <w:t>IST) is one of the following:</w:t>
            </w:r>
          </w:p>
          <w:p w14:paraId="363A97B9" w14:textId="77777777" w:rsidR="00C40358" w:rsidRPr="005D0D22" w:rsidRDefault="00C40358">
            <w:pPr>
              <w:spacing w:after="160"/>
              <w:contextualSpacing/>
              <w:jc w:val="left"/>
              <w:rPr>
                <w:rFonts w:ascii="Arial Narrow" w:hAnsi="Arial Narrow"/>
                <w:iCs/>
                <w:color w:val="000000"/>
                <w:sz w:val="20"/>
                <w:szCs w:val="20"/>
              </w:rPr>
            </w:pPr>
            <w:r w:rsidRPr="005D0D22">
              <w:rPr>
                <w:rFonts w:ascii="Arial Narrow" w:hAnsi="Arial Narrow"/>
                <w:iCs/>
                <w:color w:val="000000"/>
                <w:sz w:val="20"/>
                <w:szCs w:val="20"/>
              </w:rPr>
              <w:t xml:space="preserve">(i) azathioprine, </w:t>
            </w:r>
          </w:p>
          <w:p w14:paraId="00DB5F5D" w14:textId="77777777" w:rsidR="00C40358" w:rsidRPr="005D0D22" w:rsidRDefault="00C40358">
            <w:pPr>
              <w:spacing w:after="160"/>
              <w:contextualSpacing/>
              <w:jc w:val="left"/>
              <w:rPr>
                <w:rFonts w:ascii="Arial Narrow" w:hAnsi="Arial Narrow"/>
                <w:iCs/>
                <w:color w:val="000000"/>
                <w:sz w:val="20"/>
                <w:szCs w:val="20"/>
              </w:rPr>
            </w:pPr>
            <w:r w:rsidRPr="005D0D22">
              <w:rPr>
                <w:rFonts w:ascii="Arial Narrow" w:hAnsi="Arial Narrow"/>
                <w:iCs/>
                <w:color w:val="000000"/>
                <w:sz w:val="20"/>
                <w:szCs w:val="20"/>
              </w:rPr>
              <w:t>(ii) ciclosporin,</w:t>
            </w:r>
          </w:p>
          <w:p w14:paraId="7AE62D60" w14:textId="77777777" w:rsidR="00C40358" w:rsidRPr="005D0D22" w:rsidRDefault="00C40358">
            <w:pPr>
              <w:spacing w:after="160"/>
              <w:contextualSpacing/>
              <w:jc w:val="left"/>
              <w:rPr>
                <w:rFonts w:ascii="Arial Narrow" w:hAnsi="Arial Narrow"/>
                <w:iCs/>
                <w:color w:val="000000"/>
                <w:sz w:val="20"/>
                <w:szCs w:val="20"/>
              </w:rPr>
            </w:pPr>
            <w:r w:rsidRPr="005D0D22">
              <w:rPr>
                <w:rFonts w:ascii="Arial Narrow" w:hAnsi="Arial Narrow"/>
                <w:iCs/>
                <w:color w:val="000000"/>
                <w:sz w:val="20"/>
                <w:szCs w:val="20"/>
              </w:rPr>
              <w:t>(iii) cyclophosphamide,</w:t>
            </w:r>
          </w:p>
          <w:p w14:paraId="6B67BDB9" w14:textId="77777777" w:rsidR="00C40358" w:rsidRPr="005D0D22" w:rsidRDefault="00C40358">
            <w:pPr>
              <w:spacing w:after="160"/>
              <w:contextualSpacing/>
              <w:jc w:val="left"/>
              <w:rPr>
                <w:rFonts w:ascii="Arial Narrow" w:hAnsi="Arial Narrow"/>
                <w:iCs/>
                <w:color w:val="000000"/>
                <w:sz w:val="20"/>
                <w:szCs w:val="20"/>
              </w:rPr>
            </w:pPr>
            <w:r w:rsidRPr="005D0D22">
              <w:rPr>
                <w:rFonts w:ascii="Arial Narrow" w:hAnsi="Arial Narrow"/>
                <w:iCs/>
                <w:color w:val="000000"/>
                <w:sz w:val="20"/>
                <w:szCs w:val="20"/>
              </w:rPr>
              <w:t>(iv) methotrexate,</w:t>
            </w:r>
          </w:p>
          <w:p w14:paraId="05E665B6" w14:textId="77777777" w:rsidR="00C40358" w:rsidRPr="005D0D22" w:rsidRDefault="00C40358">
            <w:pPr>
              <w:jc w:val="left"/>
              <w:rPr>
                <w:rFonts w:ascii="Arial Narrow" w:hAnsi="Arial Narrow"/>
                <w:iCs/>
                <w:color w:val="000000"/>
                <w:sz w:val="20"/>
                <w:szCs w:val="20"/>
              </w:rPr>
            </w:pPr>
            <w:r w:rsidRPr="005D0D22">
              <w:rPr>
                <w:rFonts w:ascii="Arial Narrow" w:hAnsi="Arial Narrow"/>
                <w:iCs/>
                <w:color w:val="000000"/>
                <w:sz w:val="20"/>
                <w:szCs w:val="20"/>
              </w:rPr>
              <w:t>(v) mycophenolate</w:t>
            </w:r>
          </w:p>
          <w:p w14:paraId="72D8A233" w14:textId="77777777" w:rsidR="00C40358" w:rsidRPr="005D0D22" w:rsidRDefault="00C40358">
            <w:pPr>
              <w:jc w:val="left"/>
              <w:rPr>
                <w:rFonts w:ascii="Arial Narrow" w:hAnsi="Arial Narrow"/>
                <w:iCs/>
                <w:color w:val="000000"/>
                <w:sz w:val="20"/>
                <w:szCs w:val="20"/>
              </w:rPr>
            </w:pPr>
            <w:r w:rsidRPr="005D0D22">
              <w:rPr>
                <w:rFonts w:ascii="Arial Narrow" w:hAnsi="Arial Narrow"/>
                <w:iCs/>
                <w:color w:val="000000"/>
                <w:sz w:val="20"/>
                <w:szCs w:val="20"/>
              </w:rPr>
              <w:t>(vi) tacrolimus</w:t>
            </w:r>
          </w:p>
          <w:p w14:paraId="7BD3695F" w14:textId="77777777" w:rsidR="00C40358" w:rsidRPr="005D0D22" w:rsidRDefault="00C40358">
            <w:pPr>
              <w:jc w:val="left"/>
              <w:rPr>
                <w:rFonts w:ascii="Arial Narrow" w:hAnsi="Arial Narrow"/>
                <w:iCs/>
                <w:color w:val="000000"/>
                <w:sz w:val="20"/>
                <w:szCs w:val="20"/>
              </w:rPr>
            </w:pPr>
          </w:p>
          <w:p w14:paraId="787E629C" w14:textId="77777777" w:rsidR="00C40358" w:rsidRPr="005D0D22" w:rsidRDefault="00C40358">
            <w:pPr>
              <w:jc w:val="left"/>
              <w:rPr>
                <w:rFonts w:ascii="Arial Narrow" w:hAnsi="Arial Narrow"/>
                <w:iCs/>
                <w:color w:val="000000"/>
                <w:sz w:val="20"/>
                <w:szCs w:val="20"/>
              </w:rPr>
            </w:pPr>
            <w:r w:rsidRPr="005D0D22">
              <w:rPr>
                <w:rFonts w:ascii="Arial Narrow" w:hAnsi="Arial Narrow"/>
                <w:iCs/>
                <w:color w:val="000000"/>
                <w:kern w:val="2"/>
                <w:sz w:val="20"/>
                <w:szCs w:val="20"/>
                <w14:ligatures w14:val="standardContextual"/>
              </w:rPr>
              <w:t>The Myasthenia Gravis Foundation of America (</w:t>
            </w:r>
            <w:r w:rsidRPr="005D0D22">
              <w:rPr>
                <w:rFonts w:ascii="Arial Narrow" w:hAnsi="Arial Narrow"/>
                <w:b/>
                <w:bCs/>
                <w:iCs/>
                <w:color w:val="000000"/>
                <w:kern w:val="2"/>
                <w:sz w:val="20"/>
                <w:szCs w:val="20"/>
                <w14:ligatures w14:val="standardContextual"/>
              </w:rPr>
              <w:t>MGFA</w:t>
            </w:r>
            <w:r w:rsidRPr="005D0D22">
              <w:rPr>
                <w:rFonts w:ascii="Arial Narrow" w:hAnsi="Arial Narrow"/>
                <w:iCs/>
                <w:color w:val="000000"/>
                <w:kern w:val="2"/>
                <w:sz w:val="20"/>
                <w:szCs w:val="20"/>
                <w14:ligatures w14:val="standardContextual"/>
              </w:rPr>
              <w:t xml:space="preserve">) Disease Classification can be accessed at </w:t>
            </w:r>
            <w:hyperlink r:id="rId11" w:history="1">
              <w:r w:rsidRPr="005D0D22">
                <w:rPr>
                  <w:rFonts w:ascii="Arial Narrow" w:hAnsi="Arial Narrow"/>
                  <w:iCs/>
                  <w:color w:val="467886"/>
                  <w:sz w:val="20"/>
                  <w:szCs w:val="20"/>
                  <w:u w:val="single"/>
                </w:rPr>
                <w:t>https://myasthenia.org/</w:t>
              </w:r>
            </w:hyperlink>
            <w:r w:rsidRPr="005D0D22">
              <w:rPr>
                <w:rFonts w:ascii="Arial Narrow" w:hAnsi="Arial Narrow"/>
                <w:iCs/>
                <w:color w:val="000000"/>
                <w:sz w:val="20"/>
                <w:szCs w:val="20"/>
              </w:rPr>
              <w:t xml:space="preserve"> </w:t>
            </w:r>
          </w:p>
          <w:p w14:paraId="2399F9AD" w14:textId="77777777" w:rsidR="00C40358" w:rsidRDefault="00C40358">
            <w:pPr>
              <w:jc w:val="left"/>
              <w:rPr>
                <w:rFonts w:ascii="Arial Narrow" w:hAnsi="Arial Narrow"/>
                <w:iCs/>
                <w:color w:val="000000"/>
                <w:sz w:val="20"/>
                <w:szCs w:val="20"/>
              </w:rPr>
            </w:pPr>
          </w:p>
          <w:p w14:paraId="650C3730" w14:textId="77777777" w:rsidR="00C40358" w:rsidRPr="005D0D22" w:rsidRDefault="00C40358">
            <w:pPr>
              <w:jc w:val="left"/>
              <w:rPr>
                <w:rFonts w:ascii="Arial Narrow" w:hAnsi="Arial Narrow"/>
                <w:iCs/>
                <w:color w:val="000000"/>
                <w:sz w:val="20"/>
                <w:szCs w:val="20"/>
              </w:rPr>
            </w:pPr>
            <w:r w:rsidRPr="005D0D22">
              <w:rPr>
                <w:rFonts w:ascii="Arial Narrow" w:hAnsi="Arial Narrow"/>
                <w:iCs/>
                <w:color w:val="000000"/>
                <w:sz w:val="20"/>
                <w:szCs w:val="20"/>
              </w:rPr>
              <w:t>The Myasthenia Gravis Composite (</w:t>
            </w:r>
            <w:r w:rsidRPr="005D0D22">
              <w:rPr>
                <w:rFonts w:ascii="Arial Narrow" w:hAnsi="Arial Narrow"/>
                <w:b/>
                <w:bCs/>
                <w:iCs/>
                <w:color w:val="000000"/>
                <w:sz w:val="20"/>
                <w:szCs w:val="20"/>
              </w:rPr>
              <w:t>MGC</w:t>
            </w:r>
            <w:r w:rsidRPr="005D0D22">
              <w:rPr>
                <w:rFonts w:ascii="Arial Narrow" w:hAnsi="Arial Narrow"/>
                <w:iCs/>
                <w:color w:val="000000"/>
                <w:sz w:val="20"/>
                <w:szCs w:val="20"/>
              </w:rPr>
              <w:t xml:space="preserve">) scoring profile can be accessed at </w:t>
            </w:r>
            <w:hyperlink r:id="rId12" w:anchor="MGC" w:history="1">
              <w:r w:rsidRPr="005D0D22">
                <w:rPr>
                  <w:rFonts w:ascii="Arial Narrow" w:hAnsi="Arial Narrow"/>
                  <w:iCs/>
                  <w:color w:val="467886"/>
                  <w:sz w:val="20"/>
                  <w:szCs w:val="20"/>
                  <w:u w:val="single"/>
                </w:rPr>
                <w:t>https://www.criteria.blood.gov.au/NeurologicalScales#MGC</w:t>
              </w:r>
            </w:hyperlink>
            <w:r w:rsidRPr="005D0D22">
              <w:rPr>
                <w:rFonts w:ascii="Arial Narrow" w:hAnsi="Arial Narrow"/>
                <w:iCs/>
                <w:color w:val="000000"/>
                <w:sz w:val="20"/>
                <w:szCs w:val="20"/>
              </w:rPr>
              <w:t xml:space="preserve"> </w:t>
            </w:r>
          </w:p>
          <w:p w14:paraId="20AE285F" w14:textId="77777777" w:rsidR="00C40358" w:rsidRDefault="00C40358">
            <w:pPr>
              <w:jc w:val="left"/>
              <w:rPr>
                <w:rFonts w:ascii="Arial Narrow" w:hAnsi="Arial Narrow"/>
                <w:iCs/>
                <w:color w:val="000000"/>
                <w:sz w:val="20"/>
                <w:szCs w:val="20"/>
              </w:rPr>
            </w:pPr>
          </w:p>
          <w:p w14:paraId="544F889F" w14:textId="4EA9822C" w:rsidR="00C40358" w:rsidRPr="005D0D22" w:rsidRDefault="00C40358">
            <w:pPr>
              <w:jc w:val="left"/>
              <w:rPr>
                <w:rFonts w:ascii="Arial Narrow" w:hAnsi="Arial Narrow"/>
                <w:iCs/>
                <w:color w:val="000000"/>
                <w:sz w:val="20"/>
                <w:szCs w:val="20"/>
              </w:rPr>
            </w:pPr>
            <w:r w:rsidRPr="005D0D22">
              <w:rPr>
                <w:rFonts w:ascii="Arial Narrow" w:hAnsi="Arial Narrow"/>
                <w:iCs/>
                <w:color w:val="000000"/>
                <w:sz w:val="20"/>
                <w:szCs w:val="20"/>
              </w:rPr>
              <w:t>The Myasthenia Gravis</w:t>
            </w:r>
            <w:r w:rsidR="00AF0956">
              <w:rPr>
                <w:rFonts w:ascii="Arial Narrow" w:hAnsi="Arial Narrow"/>
                <w:iCs/>
                <w:color w:val="000000"/>
                <w:sz w:val="20"/>
                <w:szCs w:val="20"/>
              </w:rPr>
              <w:noBreakHyphen/>
            </w:r>
            <w:r w:rsidRPr="005D0D22">
              <w:rPr>
                <w:rFonts w:ascii="Arial Narrow" w:hAnsi="Arial Narrow"/>
                <w:iCs/>
                <w:color w:val="000000"/>
                <w:sz w:val="20"/>
                <w:szCs w:val="20"/>
              </w:rPr>
              <w:t>Activities of Daily Living (</w:t>
            </w:r>
            <w:r w:rsidRPr="005D0D22">
              <w:rPr>
                <w:rFonts w:ascii="Arial Narrow" w:hAnsi="Arial Narrow"/>
                <w:b/>
                <w:bCs/>
                <w:iCs/>
                <w:color w:val="000000"/>
                <w:sz w:val="20"/>
                <w:szCs w:val="20"/>
              </w:rPr>
              <w:t>MG</w:t>
            </w:r>
            <w:r w:rsidR="00AF0956">
              <w:rPr>
                <w:rFonts w:ascii="Arial Narrow" w:hAnsi="Arial Narrow"/>
                <w:b/>
                <w:bCs/>
                <w:iCs/>
                <w:color w:val="000000"/>
                <w:sz w:val="20"/>
                <w:szCs w:val="20"/>
              </w:rPr>
              <w:noBreakHyphen/>
            </w:r>
            <w:r w:rsidRPr="005D0D22">
              <w:rPr>
                <w:rFonts w:ascii="Arial Narrow" w:hAnsi="Arial Narrow"/>
                <w:b/>
                <w:bCs/>
                <w:iCs/>
                <w:color w:val="000000"/>
                <w:sz w:val="20"/>
                <w:szCs w:val="20"/>
              </w:rPr>
              <w:t>ADL</w:t>
            </w:r>
            <w:r w:rsidRPr="005D0D22">
              <w:rPr>
                <w:rFonts w:ascii="Arial Narrow" w:hAnsi="Arial Narrow"/>
                <w:iCs/>
                <w:color w:val="000000"/>
                <w:sz w:val="20"/>
                <w:szCs w:val="20"/>
              </w:rPr>
              <w:t xml:space="preserve">) scoring profile can be accessed at </w:t>
            </w:r>
          </w:p>
          <w:p w14:paraId="0A3919E0" w14:textId="77777777" w:rsidR="00C40358" w:rsidRPr="005D0D22" w:rsidRDefault="00C40358">
            <w:pPr>
              <w:jc w:val="left"/>
              <w:rPr>
                <w:rFonts w:ascii="Arial Narrow" w:hAnsi="Arial Narrow"/>
                <w:iCs/>
                <w:color w:val="000000"/>
                <w:sz w:val="20"/>
                <w:szCs w:val="20"/>
              </w:rPr>
            </w:pPr>
            <w:hyperlink r:id="rId13" w:history="1">
              <w:r w:rsidRPr="005D0D22">
                <w:rPr>
                  <w:rFonts w:ascii="Arial Narrow" w:hAnsi="Arial Narrow"/>
                  <w:iCs/>
                  <w:color w:val="467886"/>
                  <w:sz w:val="20"/>
                  <w:szCs w:val="20"/>
                  <w:u w:val="single"/>
                </w:rPr>
                <w:t>https://myasthenia.org/</w:t>
              </w:r>
            </w:hyperlink>
          </w:p>
        </w:tc>
      </w:tr>
      <w:tr w:rsidR="00C40358" w:rsidRPr="005D0D22" w14:paraId="089B12B1" w14:textId="77777777">
        <w:trPr>
          <w:trHeight w:val="2948"/>
        </w:trPr>
        <w:tc>
          <w:tcPr>
            <w:tcW w:w="491" w:type="dxa"/>
            <w:vMerge/>
            <w:vAlign w:val="center"/>
            <w:hideMark/>
          </w:tcPr>
          <w:p w14:paraId="2F2CC88F" w14:textId="77777777" w:rsidR="00C40358" w:rsidRPr="005D0D22" w:rsidRDefault="00C40358">
            <w:pPr>
              <w:spacing w:line="256" w:lineRule="auto"/>
              <w:jc w:val="left"/>
              <w:rPr>
                <w:rFonts w:ascii="Arial Narrow" w:eastAsia="Aptos" w:hAnsi="Arial Narrow" w:cs="Arial"/>
                <w:kern w:val="2"/>
                <w:sz w:val="16"/>
                <w:szCs w:val="16"/>
                <w:lang w:eastAsia="en-US"/>
                <w14:ligatures w14:val="standardContextual"/>
              </w:rPr>
            </w:pPr>
          </w:p>
        </w:tc>
        <w:tc>
          <w:tcPr>
            <w:tcW w:w="784"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5AAFDB75" w14:textId="77777777" w:rsidR="00C40358" w:rsidRPr="005D0D22" w:rsidRDefault="00C40358">
            <w:pPr>
              <w:jc w:val="center"/>
              <w:rPr>
                <w:rFonts w:ascii="Arial Narrow" w:eastAsia="Aptos" w:hAnsi="Arial Narrow"/>
                <w:iCs/>
                <w:kern w:val="2"/>
                <w:sz w:val="20"/>
                <w:szCs w:val="20"/>
                <w:lang w:eastAsia="en-US"/>
                <w14:ligatures w14:val="standardContextual"/>
              </w:rPr>
            </w:pPr>
          </w:p>
          <w:p w14:paraId="2782F23E" w14:textId="7437F1EA" w:rsidR="00C40358" w:rsidRPr="005D0D22" w:rsidRDefault="00C40358">
            <w:pPr>
              <w:jc w:val="center"/>
              <w:rPr>
                <w:rFonts w:ascii="Arial Narrow" w:eastAsia="Aptos" w:hAnsi="Arial Narrow"/>
                <w:b/>
                <w:bCs/>
                <w:iCs/>
                <w:kern w:val="2"/>
                <w:sz w:val="20"/>
                <w:szCs w:val="20"/>
                <w:lang w:eastAsia="en-US"/>
                <w14:ligatures w14:val="standardContextual"/>
              </w:rPr>
            </w:pPr>
          </w:p>
        </w:tc>
        <w:tc>
          <w:tcPr>
            <w:tcW w:w="7741"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65940D16" w14:textId="77777777" w:rsidR="00C40358" w:rsidRPr="005D0D22" w:rsidRDefault="00C40358">
            <w:pPr>
              <w:spacing w:after="160"/>
              <w:contextualSpacing/>
              <w:jc w:val="left"/>
              <w:rPr>
                <w:rFonts w:ascii="Arial Narrow" w:hAnsi="Arial Narrow"/>
                <w:iCs/>
                <w:color w:val="000000"/>
                <w:sz w:val="20"/>
                <w:szCs w:val="20"/>
              </w:rPr>
            </w:pPr>
            <w:r w:rsidRPr="005D0D22">
              <w:rPr>
                <w:rFonts w:ascii="Arial Narrow" w:hAnsi="Arial Narrow"/>
                <w:b/>
                <w:bCs/>
                <w:iCs/>
                <w:color w:val="000000"/>
                <w:sz w:val="20"/>
                <w:szCs w:val="20"/>
              </w:rPr>
              <w:t xml:space="preserve">Administrative Advice: </w:t>
            </w:r>
          </w:p>
          <w:p w14:paraId="7BC6F9A7" w14:textId="77777777" w:rsidR="00C40358" w:rsidRPr="005D0D22" w:rsidRDefault="00C40358">
            <w:pPr>
              <w:spacing w:after="160"/>
              <w:contextualSpacing/>
              <w:jc w:val="left"/>
              <w:rPr>
                <w:rFonts w:ascii="Arial Narrow" w:hAnsi="Arial Narrow"/>
                <w:b/>
                <w:bCs/>
                <w:iCs/>
                <w:color w:val="000000"/>
                <w:sz w:val="20"/>
                <w:szCs w:val="20"/>
              </w:rPr>
            </w:pPr>
            <w:r w:rsidRPr="005D0D22">
              <w:rPr>
                <w:rFonts w:ascii="Arial Narrow" w:hAnsi="Arial Narrow"/>
                <w:b/>
                <w:bCs/>
                <w:iCs/>
                <w:color w:val="000000"/>
                <w:sz w:val="20"/>
                <w:szCs w:val="20"/>
              </w:rPr>
              <w:t>Treatment switching:</w:t>
            </w:r>
          </w:p>
          <w:p w14:paraId="1B6474C1" w14:textId="77777777" w:rsidR="00C40358" w:rsidRPr="005D0D22" w:rsidRDefault="00C40358">
            <w:pPr>
              <w:spacing w:after="160"/>
              <w:contextualSpacing/>
              <w:jc w:val="left"/>
              <w:rPr>
                <w:rFonts w:ascii="Arial Narrow" w:hAnsi="Arial Narrow"/>
                <w:iCs/>
                <w:color w:val="000000"/>
                <w:sz w:val="20"/>
                <w:szCs w:val="20"/>
              </w:rPr>
            </w:pPr>
            <w:r w:rsidRPr="005D0D22">
              <w:rPr>
                <w:rFonts w:ascii="Arial Narrow" w:hAnsi="Arial Narrow"/>
                <w:iCs/>
                <w:color w:val="000000"/>
                <w:sz w:val="20"/>
                <w:szCs w:val="20"/>
              </w:rPr>
              <w:t xml:space="preserve">Switching between gMG biological agents is permitted. Treatment switching should be limited to when a patient moves between different treatment settings, i.e. moving from ‘acute severe gMG’ to ‘bridging therapy for gMG’ [(1) to (2)]; or moving from ‘bridging therapy for gMG’ to ‘treatment refractory gMG’ [(2) to (3)]. </w:t>
            </w:r>
          </w:p>
          <w:p w14:paraId="77DFD7F7" w14:textId="77777777" w:rsidR="00C40358" w:rsidRPr="005D0D22" w:rsidRDefault="00C40358">
            <w:pPr>
              <w:spacing w:after="160"/>
              <w:contextualSpacing/>
              <w:jc w:val="left"/>
              <w:rPr>
                <w:rFonts w:ascii="Arial Narrow" w:hAnsi="Arial Narrow"/>
                <w:iCs/>
                <w:color w:val="000000"/>
                <w:sz w:val="20"/>
                <w:szCs w:val="20"/>
              </w:rPr>
            </w:pPr>
          </w:p>
          <w:p w14:paraId="616D2659" w14:textId="77777777" w:rsidR="00C40358" w:rsidRPr="005D0D22" w:rsidRDefault="00C40358">
            <w:pPr>
              <w:spacing w:after="160"/>
              <w:contextualSpacing/>
              <w:jc w:val="left"/>
              <w:rPr>
                <w:rFonts w:ascii="Arial Narrow" w:hAnsi="Arial Narrow"/>
                <w:iCs/>
                <w:color w:val="000000"/>
                <w:sz w:val="20"/>
                <w:szCs w:val="20"/>
              </w:rPr>
            </w:pPr>
            <w:r w:rsidRPr="005D0D22">
              <w:rPr>
                <w:rFonts w:ascii="Arial Narrow" w:hAnsi="Arial Narrow"/>
                <w:iCs/>
                <w:color w:val="000000"/>
                <w:sz w:val="20"/>
                <w:szCs w:val="20"/>
              </w:rPr>
              <w:t xml:space="preserve">In the acute severe (1) or bridging therapy (2) settings a patient may switch to an alternate gMG biological agent if they are experiencing an intolerance or toxicity necessitating treatment withdrawal. Patients can switch by requalifying through the relevant restrictions. Only a balance of the time limits specified within the relevant treatment phase will be approved i.e. the remaining of the 3 months (acute severe gMG); or 6 months (bridging therapy for gMG) after accounting for the treatment of the previous gMG biologic. </w:t>
            </w:r>
          </w:p>
          <w:p w14:paraId="33651BD8" w14:textId="77777777" w:rsidR="00C40358" w:rsidRPr="005D0D22" w:rsidRDefault="00C40358">
            <w:pPr>
              <w:spacing w:after="160"/>
              <w:contextualSpacing/>
              <w:jc w:val="left"/>
              <w:rPr>
                <w:rFonts w:ascii="Arial Narrow" w:hAnsi="Arial Narrow"/>
                <w:iCs/>
                <w:color w:val="000000"/>
                <w:sz w:val="20"/>
                <w:szCs w:val="20"/>
              </w:rPr>
            </w:pPr>
          </w:p>
          <w:p w14:paraId="48E9FC71" w14:textId="77777777" w:rsidR="00C40358" w:rsidRPr="005D0D22" w:rsidRDefault="00C40358">
            <w:pPr>
              <w:spacing w:after="160"/>
              <w:contextualSpacing/>
              <w:jc w:val="left"/>
              <w:rPr>
                <w:rFonts w:ascii="Arial Narrow" w:hAnsi="Arial Narrow"/>
                <w:iCs/>
                <w:color w:val="000000"/>
                <w:sz w:val="20"/>
                <w:szCs w:val="20"/>
              </w:rPr>
            </w:pPr>
            <w:r w:rsidRPr="005D0D22">
              <w:rPr>
                <w:rFonts w:ascii="Arial Narrow" w:hAnsi="Arial Narrow"/>
                <w:iCs/>
                <w:color w:val="000000"/>
                <w:sz w:val="20"/>
                <w:szCs w:val="20"/>
              </w:rPr>
              <w:t>In the treatment refractory setting (3), a patient may switch to an alternate gMG biological agent via either:</w:t>
            </w:r>
          </w:p>
          <w:p w14:paraId="5386661F" w14:textId="77777777" w:rsidR="00C40358" w:rsidRPr="005D0D22" w:rsidRDefault="00C40358" w:rsidP="00ED248B">
            <w:pPr>
              <w:numPr>
                <w:ilvl w:val="0"/>
                <w:numId w:val="10"/>
              </w:numPr>
              <w:spacing w:after="160" w:line="256" w:lineRule="auto"/>
              <w:contextualSpacing/>
              <w:jc w:val="left"/>
              <w:rPr>
                <w:rFonts w:ascii="Arial Narrow" w:hAnsi="Arial Narrow"/>
                <w:iCs/>
                <w:color w:val="000000"/>
                <w:sz w:val="20"/>
                <w:szCs w:val="20"/>
              </w:rPr>
            </w:pPr>
            <w:r w:rsidRPr="005D0D22">
              <w:rPr>
                <w:rFonts w:ascii="Arial Narrow" w:hAnsi="Arial Narrow"/>
                <w:iCs/>
                <w:color w:val="000000"/>
                <w:sz w:val="20"/>
                <w:szCs w:val="20"/>
              </w:rPr>
              <w:t xml:space="preserve">the initial restriction if they have trialled a different gMG biologic, but did not respond to treatment; or </w:t>
            </w:r>
          </w:p>
          <w:p w14:paraId="6608A2C1" w14:textId="77777777" w:rsidR="00C40358" w:rsidRPr="005D0D22" w:rsidRDefault="00C40358" w:rsidP="00ED248B">
            <w:pPr>
              <w:numPr>
                <w:ilvl w:val="0"/>
                <w:numId w:val="10"/>
              </w:numPr>
              <w:spacing w:after="160" w:line="256" w:lineRule="auto"/>
              <w:contextualSpacing/>
              <w:jc w:val="left"/>
              <w:rPr>
                <w:rFonts w:ascii="Arial Narrow" w:hAnsi="Arial Narrow"/>
                <w:iCs/>
                <w:color w:val="000000"/>
                <w:sz w:val="20"/>
                <w:szCs w:val="20"/>
              </w:rPr>
            </w:pPr>
            <w:r w:rsidRPr="005D0D22">
              <w:rPr>
                <w:rFonts w:ascii="Arial Narrow" w:hAnsi="Arial Narrow"/>
                <w:iCs/>
                <w:color w:val="000000"/>
                <w:sz w:val="20"/>
                <w:szCs w:val="20"/>
              </w:rPr>
              <w:t xml:space="preserve">the continuing restriction if they have trialled a different gMG biological agent and have responded to treatment. </w:t>
            </w:r>
          </w:p>
          <w:p w14:paraId="7458AABD" w14:textId="77777777" w:rsidR="00C40358" w:rsidRPr="005D0D22" w:rsidRDefault="00C40358">
            <w:pPr>
              <w:jc w:val="left"/>
              <w:rPr>
                <w:rFonts w:ascii="Arial Narrow" w:hAnsi="Arial Narrow"/>
                <w:color w:val="000000"/>
                <w:sz w:val="20"/>
                <w:szCs w:val="20"/>
              </w:rPr>
            </w:pPr>
            <w:r w:rsidRPr="68F43EAC">
              <w:rPr>
                <w:rFonts w:ascii="Arial Narrow" w:hAnsi="Arial Narrow"/>
                <w:color w:val="000000" w:themeColor="text1"/>
                <w:sz w:val="20"/>
                <w:szCs w:val="20"/>
              </w:rPr>
              <w:t>Mark any remaining unused repeat prescriptions as “cancelled”.</w:t>
            </w:r>
          </w:p>
        </w:tc>
      </w:tr>
      <w:tr w:rsidR="00C40358" w:rsidRPr="005D0D22" w14:paraId="55CE2965" w14:textId="77777777">
        <w:trPr>
          <w:trHeight w:val="300"/>
        </w:trPr>
        <w:tc>
          <w:tcPr>
            <w:tcW w:w="491" w:type="dxa"/>
            <w:vMerge/>
            <w:vAlign w:val="center"/>
            <w:hideMark/>
          </w:tcPr>
          <w:p w14:paraId="4028D7DC" w14:textId="77777777" w:rsidR="00C40358" w:rsidRPr="005D0D22" w:rsidRDefault="00C40358">
            <w:pPr>
              <w:spacing w:line="256" w:lineRule="auto"/>
              <w:jc w:val="left"/>
              <w:rPr>
                <w:rFonts w:ascii="Arial Narrow" w:eastAsia="Aptos" w:hAnsi="Arial Narrow" w:cs="Arial"/>
                <w:kern w:val="2"/>
                <w:sz w:val="16"/>
                <w:szCs w:val="16"/>
                <w:lang w:eastAsia="en-US"/>
                <w14:ligatures w14:val="standardContextual"/>
              </w:rPr>
            </w:pPr>
          </w:p>
        </w:tc>
        <w:tc>
          <w:tcPr>
            <w:tcW w:w="784"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79EDD84D" w14:textId="13F02BC1" w:rsidR="00C40358" w:rsidRPr="005D0D22" w:rsidRDefault="00C40358">
            <w:pPr>
              <w:jc w:val="center"/>
              <w:rPr>
                <w:rFonts w:ascii="Arial Narrow" w:eastAsia="Aptos" w:hAnsi="Arial Narrow"/>
                <w:iCs/>
                <w:kern w:val="2"/>
                <w:sz w:val="20"/>
                <w:szCs w:val="20"/>
                <w:lang w:eastAsia="en-US"/>
                <w14:ligatures w14:val="standardContextual"/>
              </w:rPr>
            </w:pPr>
          </w:p>
        </w:tc>
        <w:tc>
          <w:tcPr>
            <w:tcW w:w="7741"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349009D2" w14:textId="77777777" w:rsidR="00C40358" w:rsidRPr="005D0D22" w:rsidRDefault="00C40358">
            <w:pPr>
              <w:spacing w:after="160"/>
              <w:contextualSpacing/>
              <w:jc w:val="left"/>
              <w:rPr>
                <w:rFonts w:ascii="Arial Narrow" w:hAnsi="Arial Narrow"/>
                <w:b/>
                <w:bCs/>
                <w:iCs/>
                <w:color w:val="000000"/>
                <w:sz w:val="20"/>
                <w:szCs w:val="20"/>
              </w:rPr>
            </w:pPr>
            <w:r w:rsidRPr="005D0D22">
              <w:rPr>
                <w:rFonts w:ascii="Arial Narrow" w:hAnsi="Arial Narrow"/>
                <w:b/>
                <w:bCs/>
                <w:iCs/>
                <w:color w:val="000000"/>
                <w:sz w:val="20"/>
                <w:szCs w:val="20"/>
              </w:rPr>
              <w:t>Administrative Advice:</w:t>
            </w:r>
          </w:p>
          <w:p w14:paraId="14D57CE8" w14:textId="77777777" w:rsidR="00C40358" w:rsidRPr="005D0D22" w:rsidRDefault="00C40358">
            <w:pPr>
              <w:spacing w:after="160"/>
              <w:contextualSpacing/>
              <w:jc w:val="left"/>
              <w:rPr>
                <w:rFonts w:ascii="Arial Narrow" w:hAnsi="Arial Narrow"/>
                <w:iCs/>
                <w:color w:val="000000"/>
                <w:sz w:val="20"/>
                <w:szCs w:val="20"/>
              </w:rPr>
            </w:pPr>
            <w:r w:rsidRPr="005D0D22">
              <w:rPr>
                <w:rFonts w:ascii="Arial Narrow" w:hAnsi="Arial Narrow"/>
                <w:iCs/>
                <w:color w:val="000000"/>
                <w:sz w:val="20"/>
                <w:szCs w:val="20"/>
              </w:rPr>
              <w:t>Any queries concerning the arrangements to prescribe may be directed to Services Australia on 1800 700 270 (hours of operation 8 a.m. to 5 p.m. Monday to Friday).</w:t>
            </w:r>
          </w:p>
          <w:p w14:paraId="5D258BEC" w14:textId="77777777" w:rsidR="00C40358" w:rsidRPr="005D0D22" w:rsidRDefault="00C40358">
            <w:pPr>
              <w:spacing w:after="160"/>
              <w:contextualSpacing/>
              <w:jc w:val="left"/>
              <w:rPr>
                <w:rFonts w:ascii="Arial Narrow" w:hAnsi="Arial Narrow"/>
                <w:iCs/>
                <w:color w:val="000000"/>
                <w:sz w:val="20"/>
                <w:szCs w:val="20"/>
              </w:rPr>
            </w:pPr>
            <w:r w:rsidRPr="005D0D22">
              <w:rPr>
                <w:rFonts w:ascii="Arial Narrow" w:hAnsi="Arial Narrow"/>
                <w:iCs/>
                <w:color w:val="000000"/>
                <w:sz w:val="20"/>
                <w:szCs w:val="20"/>
              </w:rPr>
              <w:t>Prescribing information (including Authority Application forms and other relevant documentation as applicable) is available on the Services Australia website at www.servicesaustralia.gov.au</w:t>
            </w:r>
          </w:p>
          <w:p w14:paraId="0475CD0E" w14:textId="77777777" w:rsidR="00C40358" w:rsidRPr="005D0D22" w:rsidRDefault="00C40358">
            <w:pPr>
              <w:spacing w:after="160"/>
              <w:contextualSpacing/>
              <w:jc w:val="left"/>
              <w:rPr>
                <w:rFonts w:ascii="Arial Narrow" w:hAnsi="Arial Narrow"/>
                <w:iCs/>
                <w:color w:val="000000"/>
                <w:sz w:val="20"/>
                <w:szCs w:val="20"/>
              </w:rPr>
            </w:pPr>
            <w:r w:rsidRPr="005D0D22">
              <w:rPr>
                <w:rFonts w:ascii="Arial Narrow" w:hAnsi="Arial Narrow"/>
                <w:iCs/>
                <w:color w:val="000000"/>
                <w:sz w:val="20"/>
                <w:szCs w:val="20"/>
              </w:rPr>
              <w:t>Applications for authorisation under this restriction should be made using the Online PBS Authorities system (see www.servicesaustralia.gov.au/hpos)</w:t>
            </w:r>
          </w:p>
          <w:p w14:paraId="36485047" w14:textId="77777777" w:rsidR="00C40358" w:rsidRPr="005D0D22" w:rsidRDefault="00C40358">
            <w:pPr>
              <w:spacing w:after="160"/>
              <w:contextualSpacing/>
              <w:jc w:val="left"/>
              <w:rPr>
                <w:rFonts w:ascii="Arial Narrow" w:hAnsi="Arial Narrow"/>
                <w:iCs/>
                <w:color w:val="000000"/>
                <w:sz w:val="20"/>
                <w:szCs w:val="20"/>
              </w:rPr>
            </w:pPr>
            <w:r w:rsidRPr="005D0D22">
              <w:rPr>
                <w:rFonts w:ascii="Arial Narrow" w:hAnsi="Arial Narrow"/>
                <w:iCs/>
                <w:color w:val="000000"/>
                <w:sz w:val="20"/>
                <w:szCs w:val="20"/>
              </w:rPr>
              <w:t>Alternatively, applications for authority to prescribe should be submitted online using the form upload facility in Health Professional Online Services (HPOS) at www.servicesaustralia.gov.au/hpos</w:t>
            </w:r>
          </w:p>
          <w:p w14:paraId="0F3C847E" w14:textId="77777777" w:rsidR="00C40358" w:rsidRPr="005D0D22" w:rsidRDefault="00C40358">
            <w:pPr>
              <w:spacing w:after="160"/>
              <w:contextualSpacing/>
              <w:jc w:val="left"/>
              <w:rPr>
                <w:rFonts w:ascii="Arial Narrow" w:hAnsi="Arial Narrow"/>
                <w:iCs/>
                <w:color w:val="000000"/>
                <w:sz w:val="20"/>
                <w:szCs w:val="20"/>
              </w:rPr>
            </w:pPr>
            <w:r w:rsidRPr="005D0D22">
              <w:rPr>
                <w:rFonts w:ascii="Arial Narrow" w:hAnsi="Arial Narrow"/>
                <w:iCs/>
                <w:color w:val="000000"/>
                <w:sz w:val="20"/>
                <w:szCs w:val="20"/>
              </w:rPr>
              <w:t>Or mailed to:</w:t>
            </w:r>
          </w:p>
          <w:p w14:paraId="1FB3A14E" w14:textId="77777777" w:rsidR="00C40358" w:rsidRPr="005D0D22" w:rsidRDefault="00C40358">
            <w:pPr>
              <w:spacing w:after="160"/>
              <w:contextualSpacing/>
              <w:jc w:val="left"/>
              <w:rPr>
                <w:rFonts w:ascii="Arial Narrow" w:hAnsi="Arial Narrow"/>
                <w:iCs/>
                <w:color w:val="000000"/>
                <w:sz w:val="20"/>
                <w:szCs w:val="20"/>
              </w:rPr>
            </w:pPr>
            <w:r w:rsidRPr="005D0D22">
              <w:rPr>
                <w:rFonts w:ascii="Arial Narrow" w:hAnsi="Arial Narrow"/>
                <w:iCs/>
                <w:color w:val="000000"/>
                <w:sz w:val="20"/>
                <w:szCs w:val="20"/>
              </w:rPr>
              <w:t>Services Australia</w:t>
            </w:r>
          </w:p>
          <w:p w14:paraId="493FE468" w14:textId="77777777" w:rsidR="00C40358" w:rsidRPr="005D0D22" w:rsidRDefault="00C40358">
            <w:pPr>
              <w:spacing w:after="160"/>
              <w:contextualSpacing/>
              <w:jc w:val="left"/>
              <w:rPr>
                <w:rFonts w:ascii="Arial Narrow" w:hAnsi="Arial Narrow"/>
                <w:iCs/>
                <w:color w:val="000000"/>
                <w:sz w:val="20"/>
                <w:szCs w:val="20"/>
              </w:rPr>
            </w:pPr>
            <w:r w:rsidRPr="005D0D22">
              <w:rPr>
                <w:rFonts w:ascii="Arial Narrow" w:hAnsi="Arial Narrow"/>
                <w:iCs/>
                <w:color w:val="000000"/>
                <w:sz w:val="20"/>
                <w:szCs w:val="20"/>
              </w:rPr>
              <w:t>Complex Drugs</w:t>
            </w:r>
          </w:p>
          <w:p w14:paraId="332A5707" w14:textId="77777777" w:rsidR="00C40358" w:rsidRPr="005D0D22" w:rsidRDefault="00C40358">
            <w:pPr>
              <w:spacing w:after="160"/>
              <w:contextualSpacing/>
              <w:jc w:val="left"/>
              <w:rPr>
                <w:rFonts w:ascii="Arial Narrow" w:hAnsi="Arial Narrow"/>
                <w:iCs/>
                <w:color w:val="000000"/>
                <w:sz w:val="20"/>
                <w:szCs w:val="20"/>
              </w:rPr>
            </w:pPr>
            <w:r w:rsidRPr="005D0D22">
              <w:rPr>
                <w:rFonts w:ascii="Arial Narrow" w:hAnsi="Arial Narrow"/>
                <w:iCs/>
                <w:color w:val="000000"/>
                <w:sz w:val="20"/>
                <w:szCs w:val="20"/>
              </w:rPr>
              <w:t>Reply Paid 9826</w:t>
            </w:r>
          </w:p>
          <w:p w14:paraId="7A597AEF" w14:textId="77777777" w:rsidR="00C40358" w:rsidRPr="005D0D22" w:rsidRDefault="00C40358">
            <w:pPr>
              <w:spacing w:after="160"/>
              <w:contextualSpacing/>
              <w:jc w:val="left"/>
              <w:rPr>
                <w:rFonts w:ascii="Arial Narrow" w:hAnsi="Arial Narrow"/>
                <w:b/>
                <w:bCs/>
                <w:iCs/>
                <w:color w:val="000000"/>
                <w:sz w:val="20"/>
                <w:szCs w:val="20"/>
              </w:rPr>
            </w:pPr>
            <w:r w:rsidRPr="005D0D22">
              <w:rPr>
                <w:rFonts w:ascii="Arial Narrow" w:hAnsi="Arial Narrow"/>
                <w:iCs/>
                <w:color w:val="000000"/>
                <w:sz w:val="20"/>
                <w:szCs w:val="20"/>
              </w:rPr>
              <w:t>HOBART TAS 7001</w:t>
            </w:r>
          </w:p>
        </w:tc>
      </w:tr>
      <w:tr w:rsidR="00C40358" w:rsidRPr="005D0D22" w14:paraId="5D7E3AC7" w14:textId="77777777">
        <w:trPr>
          <w:trHeight w:val="233"/>
        </w:trPr>
        <w:tc>
          <w:tcPr>
            <w:tcW w:w="491" w:type="dxa"/>
            <w:vMerge/>
            <w:vAlign w:val="center"/>
            <w:hideMark/>
          </w:tcPr>
          <w:p w14:paraId="6116EA38" w14:textId="77777777" w:rsidR="00C40358" w:rsidRPr="005D0D22" w:rsidRDefault="00C40358">
            <w:pPr>
              <w:spacing w:line="256" w:lineRule="auto"/>
              <w:jc w:val="left"/>
              <w:rPr>
                <w:rFonts w:ascii="Arial Narrow" w:eastAsia="Aptos" w:hAnsi="Arial Narrow" w:cs="Arial"/>
                <w:kern w:val="2"/>
                <w:sz w:val="16"/>
                <w:szCs w:val="16"/>
                <w:lang w:eastAsia="en-US"/>
                <w14:ligatures w14:val="standardContextual"/>
              </w:rPr>
            </w:pPr>
          </w:p>
        </w:tc>
        <w:tc>
          <w:tcPr>
            <w:tcW w:w="784"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47246114" w14:textId="5C7EB014" w:rsidR="00C40358" w:rsidRPr="005D0D22" w:rsidRDefault="00C40358">
            <w:pPr>
              <w:jc w:val="center"/>
              <w:rPr>
                <w:rFonts w:ascii="Arial Narrow" w:eastAsia="Aptos" w:hAnsi="Arial Narrow"/>
                <w:iCs/>
                <w:kern w:val="2"/>
                <w:sz w:val="20"/>
                <w:szCs w:val="20"/>
                <w:lang w:eastAsia="en-US"/>
                <w14:ligatures w14:val="standardContextual"/>
              </w:rPr>
            </w:pPr>
          </w:p>
        </w:tc>
        <w:tc>
          <w:tcPr>
            <w:tcW w:w="7741"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59AD03F9" w14:textId="77777777" w:rsidR="00C40358" w:rsidRPr="005D0D22" w:rsidRDefault="00C40358">
            <w:pPr>
              <w:spacing w:after="160"/>
              <w:contextualSpacing/>
              <w:jc w:val="left"/>
              <w:rPr>
                <w:rFonts w:ascii="Arial Narrow" w:hAnsi="Arial Narrow"/>
                <w:b/>
                <w:bCs/>
                <w:iCs/>
                <w:color w:val="000000"/>
                <w:sz w:val="20"/>
                <w:szCs w:val="20"/>
              </w:rPr>
            </w:pPr>
            <w:r w:rsidRPr="005D0D22">
              <w:rPr>
                <w:rFonts w:ascii="Arial Narrow" w:hAnsi="Arial Narrow"/>
                <w:b/>
                <w:bCs/>
                <w:iCs/>
                <w:color w:val="000000"/>
                <w:sz w:val="20"/>
                <w:szCs w:val="20"/>
              </w:rPr>
              <w:t xml:space="preserve">Administrative Advice: </w:t>
            </w:r>
            <w:r w:rsidRPr="005D0D22">
              <w:rPr>
                <w:rFonts w:ascii="Arial Narrow" w:hAnsi="Arial Narrow"/>
                <w:iCs/>
                <w:color w:val="000000"/>
                <w:sz w:val="20"/>
                <w:szCs w:val="20"/>
              </w:rPr>
              <w:t>No increase in the maximum quantity or number of units may be authorised.</w:t>
            </w:r>
          </w:p>
        </w:tc>
      </w:tr>
      <w:tr w:rsidR="00C40358" w:rsidRPr="005D0D22" w14:paraId="6F8400A4" w14:textId="77777777">
        <w:trPr>
          <w:trHeight w:val="236"/>
        </w:trPr>
        <w:tc>
          <w:tcPr>
            <w:tcW w:w="491" w:type="dxa"/>
            <w:vMerge/>
            <w:vAlign w:val="center"/>
            <w:hideMark/>
          </w:tcPr>
          <w:p w14:paraId="4EA1BD88" w14:textId="77777777" w:rsidR="00C40358" w:rsidRPr="005D0D22" w:rsidRDefault="00C40358">
            <w:pPr>
              <w:spacing w:line="256" w:lineRule="auto"/>
              <w:jc w:val="left"/>
              <w:rPr>
                <w:rFonts w:ascii="Arial Narrow" w:eastAsia="Aptos" w:hAnsi="Arial Narrow" w:cs="Arial"/>
                <w:kern w:val="2"/>
                <w:sz w:val="16"/>
                <w:szCs w:val="16"/>
                <w:lang w:eastAsia="en-US"/>
                <w14:ligatures w14:val="standardContextual"/>
              </w:rPr>
            </w:pPr>
          </w:p>
        </w:tc>
        <w:tc>
          <w:tcPr>
            <w:tcW w:w="784"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2DF0F10F" w14:textId="2A926919" w:rsidR="00C40358" w:rsidRPr="005D0D22" w:rsidRDefault="00C40358">
            <w:pPr>
              <w:jc w:val="center"/>
              <w:rPr>
                <w:rFonts w:ascii="Arial Narrow" w:eastAsia="Aptos" w:hAnsi="Arial Narrow"/>
                <w:iCs/>
                <w:kern w:val="2"/>
                <w:sz w:val="20"/>
                <w:szCs w:val="20"/>
                <w:lang w:eastAsia="en-US"/>
                <w14:ligatures w14:val="standardContextual"/>
              </w:rPr>
            </w:pPr>
          </w:p>
        </w:tc>
        <w:tc>
          <w:tcPr>
            <w:tcW w:w="7741"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0F5CA072" w14:textId="77777777" w:rsidR="00C40358" w:rsidRPr="005D0D22" w:rsidRDefault="00C40358">
            <w:pPr>
              <w:spacing w:after="160"/>
              <w:contextualSpacing/>
              <w:jc w:val="left"/>
              <w:rPr>
                <w:rFonts w:ascii="Arial Narrow" w:hAnsi="Arial Narrow"/>
                <w:b/>
                <w:bCs/>
                <w:iCs/>
                <w:color w:val="000000"/>
                <w:sz w:val="20"/>
                <w:szCs w:val="20"/>
              </w:rPr>
            </w:pPr>
            <w:r w:rsidRPr="005D0D22">
              <w:rPr>
                <w:rFonts w:ascii="Arial Narrow" w:hAnsi="Arial Narrow"/>
                <w:b/>
                <w:bCs/>
                <w:iCs/>
                <w:color w:val="000000"/>
                <w:sz w:val="20"/>
                <w:szCs w:val="20"/>
              </w:rPr>
              <w:t xml:space="preserve">Administrative Advice: </w:t>
            </w:r>
            <w:r w:rsidRPr="005D0D22">
              <w:rPr>
                <w:rFonts w:ascii="Arial Narrow" w:hAnsi="Arial Narrow"/>
                <w:iCs/>
                <w:color w:val="000000"/>
                <w:sz w:val="20"/>
                <w:szCs w:val="20"/>
              </w:rPr>
              <w:t>No increase in the maximum number of repeats may be authorised.</w:t>
            </w:r>
          </w:p>
        </w:tc>
      </w:tr>
      <w:tr w:rsidR="00C40358" w:rsidRPr="005D0D22" w14:paraId="4FAA46B3" w14:textId="77777777">
        <w:trPr>
          <w:trHeight w:val="241"/>
        </w:trPr>
        <w:tc>
          <w:tcPr>
            <w:tcW w:w="491" w:type="dxa"/>
            <w:vMerge/>
            <w:vAlign w:val="center"/>
            <w:hideMark/>
          </w:tcPr>
          <w:p w14:paraId="36197B81" w14:textId="77777777" w:rsidR="00C40358" w:rsidRPr="005D0D22" w:rsidRDefault="00C40358">
            <w:pPr>
              <w:spacing w:line="256" w:lineRule="auto"/>
              <w:jc w:val="left"/>
              <w:rPr>
                <w:rFonts w:ascii="Arial Narrow" w:eastAsia="Aptos" w:hAnsi="Arial Narrow" w:cs="Arial"/>
                <w:kern w:val="2"/>
                <w:sz w:val="16"/>
                <w:szCs w:val="16"/>
                <w:lang w:eastAsia="en-US"/>
                <w14:ligatures w14:val="standardContextual"/>
              </w:rPr>
            </w:pPr>
          </w:p>
        </w:tc>
        <w:tc>
          <w:tcPr>
            <w:tcW w:w="784"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0AA3DB4F" w14:textId="1474174B" w:rsidR="00C40358" w:rsidRPr="005D0D22" w:rsidRDefault="00C40358">
            <w:pPr>
              <w:jc w:val="center"/>
              <w:rPr>
                <w:rFonts w:ascii="Arial Narrow" w:eastAsia="Aptos" w:hAnsi="Arial Narrow"/>
                <w:iCs/>
                <w:kern w:val="2"/>
                <w:sz w:val="20"/>
                <w:szCs w:val="20"/>
                <w:lang w:eastAsia="en-US"/>
                <w14:ligatures w14:val="standardContextual"/>
              </w:rPr>
            </w:pPr>
          </w:p>
        </w:tc>
        <w:tc>
          <w:tcPr>
            <w:tcW w:w="7741"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4B211833" w14:textId="77777777" w:rsidR="00C40358" w:rsidRPr="005D0D22" w:rsidRDefault="00C40358">
            <w:pPr>
              <w:spacing w:after="160"/>
              <w:contextualSpacing/>
              <w:jc w:val="left"/>
              <w:rPr>
                <w:rFonts w:ascii="Arial Narrow" w:hAnsi="Arial Narrow"/>
                <w:b/>
                <w:bCs/>
                <w:iCs/>
                <w:color w:val="000000"/>
                <w:sz w:val="20"/>
                <w:szCs w:val="20"/>
              </w:rPr>
            </w:pPr>
            <w:r w:rsidRPr="005D0D22">
              <w:rPr>
                <w:rFonts w:ascii="Arial Narrow" w:hAnsi="Arial Narrow"/>
                <w:b/>
                <w:bCs/>
                <w:iCs/>
                <w:color w:val="000000"/>
                <w:sz w:val="20"/>
                <w:szCs w:val="20"/>
              </w:rPr>
              <w:t xml:space="preserve">Administrative Advice: </w:t>
            </w:r>
            <w:r w:rsidRPr="005D0D22">
              <w:rPr>
                <w:rFonts w:ascii="Arial Narrow" w:hAnsi="Arial Narrow"/>
                <w:iCs/>
                <w:color w:val="000000"/>
                <w:sz w:val="20"/>
                <w:szCs w:val="20"/>
              </w:rPr>
              <w:t>Special Pricing Arrangements apply.</w:t>
            </w:r>
          </w:p>
        </w:tc>
      </w:tr>
      <w:tr w:rsidR="00C40358" w:rsidRPr="005D0D22" w14:paraId="5AB4CED7" w14:textId="77777777" w:rsidTr="002408E2">
        <w:trPr>
          <w:cantSplit/>
          <w:trHeight w:val="20"/>
        </w:trPr>
        <w:tc>
          <w:tcPr>
            <w:tcW w:w="9016" w:type="dxa"/>
            <w:gridSpan w:val="8"/>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526729A0" w14:textId="7CBD45DA" w:rsidR="00C40358" w:rsidRPr="005D0D22" w:rsidRDefault="00C40358">
            <w:pPr>
              <w:keepLines/>
              <w:spacing w:after="160"/>
              <w:contextualSpacing/>
              <w:jc w:val="left"/>
              <w:rPr>
                <w:rFonts w:ascii="Arial Narrow" w:hAnsi="Arial Narrow"/>
                <w:b/>
                <w:bCs/>
                <w:color w:val="000000"/>
                <w:sz w:val="20"/>
                <w:szCs w:val="20"/>
              </w:rPr>
            </w:pPr>
          </w:p>
        </w:tc>
      </w:tr>
      <w:tr w:rsidR="00C40358" w:rsidRPr="005D0D22" w14:paraId="16D64BA3" w14:textId="77777777">
        <w:trPr>
          <w:cantSplit/>
          <w:trHeight w:val="20"/>
        </w:trPr>
        <w:tc>
          <w:tcPr>
            <w:tcW w:w="1275"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657007A3" w14:textId="700CBCB9" w:rsidR="00C40358" w:rsidRPr="005D0D22" w:rsidRDefault="00C40358">
            <w:pPr>
              <w:keepLines/>
              <w:spacing w:after="160"/>
              <w:contextualSpacing/>
              <w:jc w:val="center"/>
              <w:rPr>
                <w:rFonts w:ascii="Arial Narrow" w:hAnsi="Arial Narrow"/>
                <w:color w:val="333333"/>
                <w:sz w:val="20"/>
                <w:szCs w:val="20"/>
              </w:rPr>
            </w:pPr>
          </w:p>
        </w:tc>
        <w:tc>
          <w:tcPr>
            <w:tcW w:w="7741"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15E1E9E2" w14:textId="77777777" w:rsidR="00C40358" w:rsidRPr="005D0D22" w:rsidRDefault="00C40358">
            <w:pPr>
              <w:keepLines/>
              <w:spacing w:after="160"/>
              <w:contextualSpacing/>
              <w:jc w:val="left"/>
              <w:rPr>
                <w:rFonts w:ascii="Arial Narrow" w:hAnsi="Arial Narrow"/>
                <w:b/>
                <w:bCs/>
                <w:color w:val="000000"/>
                <w:sz w:val="20"/>
                <w:szCs w:val="20"/>
              </w:rPr>
            </w:pPr>
            <w:r w:rsidRPr="005D0D22">
              <w:rPr>
                <w:rFonts w:ascii="Arial Narrow" w:hAnsi="Arial Narrow"/>
                <w:b/>
                <w:bCs/>
                <w:color w:val="000000"/>
                <w:sz w:val="20"/>
                <w:szCs w:val="20"/>
              </w:rPr>
              <w:t>Indication:</w:t>
            </w:r>
            <w:r w:rsidRPr="005D0D22">
              <w:rPr>
                <w:rFonts w:ascii="Arial Narrow" w:hAnsi="Arial Narrow"/>
                <w:color w:val="000000"/>
                <w:sz w:val="20"/>
                <w:szCs w:val="20"/>
              </w:rPr>
              <w:t xml:space="preserve"> </w:t>
            </w:r>
            <w:r w:rsidRPr="005D0D22">
              <w:rPr>
                <w:rFonts w:ascii="Arial Narrow" w:hAnsi="Arial Narrow"/>
                <w:bCs/>
                <w:color w:val="000000"/>
                <w:sz w:val="20"/>
                <w:szCs w:val="20"/>
              </w:rPr>
              <w:t>Acute severe</w:t>
            </w:r>
            <w:r w:rsidRPr="005D0D22">
              <w:rPr>
                <w:rFonts w:ascii="Arial Narrow" w:hAnsi="Arial Narrow"/>
                <w:color w:val="000000"/>
                <w:sz w:val="20"/>
                <w:szCs w:val="20"/>
              </w:rPr>
              <w:t xml:space="preserve"> generalised myasthenia gravis (gMG)</w:t>
            </w:r>
          </w:p>
        </w:tc>
      </w:tr>
      <w:tr w:rsidR="00C40358" w:rsidRPr="005D0D22" w14:paraId="2DBFF578" w14:textId="77777777">
        <w:trPr>
          <w:cantSplit/>
          <w:trHeight w:val="20"/>
        </w:trPr>
        <w:tc>
          <w:tcPr>
            <w:tcW w:w="1275"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36205919" w14:textId="77777777" w:rsidR="00C40358" w:rsidRPr="005D0D22" w:rsidRDefault="00C40358">
            <w:pPr>
              <w:keepLines/>
              <w:spacing w:after="160"/>
              <w:contextualSpacing/>
              <w:jc w:val="center"/>
              <w:rPr>
                <w:rFonts w:ascii="Arial Narrow" w:hAnsi="Arial Narrow"/>
                <w:color w:val="333333"/>
                <w:sz w:val="20"/>
                <w:szCs w:val="20"/>
              </w:rPr>
            </w:pPr>
          </w:p>
        </w:tc>
        <w:tc>
          <w:tcPr>
            <w:tcW w:w="7741"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1206E65B" w14:textId="04762415" w:rsidR="00C40358" w:rsidRPr="00AD7FAD" w:rsidRDefault="00C40358">
            <w:pPr>
              <w:keepLines/>
              <w:spacing w:after="160"/>
              <w:contextualSpacing/>
              <w:jc w:val="left"/>
              <w:rPr>
                <w:rFonts w:ascii="Arial Narrow" w:hAnsi="Arial Narrow"/>
                <w:b/>
                <w:bCs/>
                <w:sz w:val="20"/>
                <w:szCs w:val="20"/>
              </w:rPr>
            </w:pPr>
            <w:r w:rsidRPr="00AD7FAD">
              <w:rPr>
                <w:rFonts w:ascii="Arial Narrow" w:hAnsi="Arial Narrow"/>
                <w:b/>
                <w:bCs/>
                <w:color w:val="000000"/>
                <w:sz w:val="20"/>
                <w:szCs w:val="20"/>
              </w:rPr>
              <w:t>Treatment Phase:</w:t>
            </w:r>
            <w:r w:rsidRPr="00AD7FAD">
              <w:rPr>
                <w:rFonts w:ascii="Arial Narrow" w:hAnsi="Arial Narrow"/>
                <w:color w:val="000000"/>
                <w:sz w:val="20"/>
                <w:szCs w:val="20"/>
              </w:rPr>
              <w:t xml:space="preserve"> [Blank]</w:t>
            </w:r>
          </w:p>
        </w:tc>
      </w:tr>
      <w:tr w:rsidR="00C40358" w:rsidRPr="005D0D22" w14:paraId="57C1881A" w14:textId="77777777">
        <w:trPr>
          <w:cantSplit/>
          <w:trHeight w:val="20"/>
        </w:trPr>
        <w:tc>
          <w:tcPr>
            <w:tcW w:w="1275"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3838D037" w14:textId="77777777" w:rsidR="00C40358" w:rsidRPr="005D0D22" w:rsidRDefault="00C40358">
            <w:pPr>
              <w:spacing w:after="160"/>
              <w:contextualSpacing/>
              <w:jc w:val="center"/>
              <w:rPr>
                <w:rFonts w:ascii="Arial Narrow" w:hAnsi="Arial Narrow"/>
                <w:color w:val="333333"/>
                <w:sz w:val="20"/>
                <w:szCs w:val="20"/>
              </w:rPr>
            </w:pPr>
          </w:p>
        </w:tc>
        <w:tc>
          <w:tcPr>
            <w:tcW w:w="7741"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76989CBA" w14:textId="77777777" w:rsidR="00C40358" w:rsidRPr="005D0D22" w:rsidRDefault="00C40358">
            <w:pPr>
              <w:spacing w:after="160"/>
              <w:contextualSpacing/>
              <w:jc w:val="left"/>
              <w:rPr>
                <w:rFonts w:ascii="Arial Narrow" w:hAnsi="Arial Narrow"/>
                <w:sz w:val="20"/>
                <w:szCs w:val="20"/>
              </w:rPr>
            </w:pPr>
            <w:r w:rsidRPr="005D0D22">
              <w:rPr>
                <w:rFonts w:ascii="Arial Narrow" w:hAnsi="Arial Narrow"/>
                <w:b/>
                <w:bCs/>
                <w:color w:val="333333"/>
                <w:sz w:val="20"/>
                <w:szCs w:val="20"/>
              </w:rPr>
              <w:t>Clinical criteria:</w:t>
            </w:r>
          </w:p>
        </w:tc>
      </w:tr>
      <w:tr w:rsidR="00C40358" w:rsidRPr="005D0D22" w14:paraId="794B204F" w14:textId="77777777">
        <w:trPr>
          <w:cantSplit/>
          <w:trHeight w:val="20"/>
        </w:trPr>
        <w:tc>
          <w:tcPr>
            <w:tcW w:w="1275"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368F2317" w14:textId="2B788455" w:rsidR="00C40358" w:rsidRPr="005D0D22" w:rsidRDefault="00C40358">
            <w:pPr>
              <w:spacing w:after="160"/>
              <w:contextualSpacing/>
              <w:jc w:val="center"/>
              <w:rPr>
                <w:rFonts w:ascii="Arial Narrow" w:hAnsi="Arial Narrow"/>
                <w:sz w:val="20"/>
                <w:szCs w:val="20"/>
              </w:rPr>
            </w:pPr>
          </w:p>
        </w:tc>
        <w:tc>
          <w:tcPr>
            <w:tcW w:w="7741"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2C41F46F" w14:textId="77777777" w:rsidR="00C40358" w:rsidRPr="005D0D22" w:rsidRDefault="00C40358">
            <w:pPr>
              <w:spacing w:after="160"/>
              <w:contextualSpacing/>
              <w:jc w:val="left"/>
              <w:rPr>
                <w:rFonts w:ascii="Arial Narrow" w:hAnsi="Arial Narrow"/>
                <w:sz w:val="20"/>
                <w:szCs w:val="20"/>
              </w:rPr>
            </w:pPr>
            <w:r w:rsidRPr="005D0D22">
              <w:rPr>
                <w:rFonts w:ascii="Arial Narrow" w:hAnsi="Arial Narrow"/>
                <w:color w:val="333333"/>
                <w:kern w:val="2"/>
                <w:sz w:val="20"/>
                <w:szCs w:val="20"/>
                <w14:ligatures w14:val="standardContextual"/>
              </w:rPr>
              <w:t xml:space="preserve">Patient must have a diagnosis of MGFA Disease </w:t>
            </w:r>
            <w:r w:rsidRPr="005D0D22">
              <w:rPr>
                <w:rFonts w:ascii="Arial Narrow" w:hAnsi="Arial Narrow"/>
                <w:color w:val="000000"/>
                <w:kern w:val="2"/>
                <w:sz w:val="20"/>
                <w:szCs w:val="20"/>
                <w14:ligatures w14:val="standardContextual"/>
              </w:rPr>
              <w:t>Class II to IV</w:t>
            </w:r>
          </w:p>
        </w:tc>
      </w:tr>
      <w:tr w:rsidR="00C40358" w:rsidRPr="005D0D22" w14:paraId="66FC4CD3" w14:textId="77777777">
        <w:trPr>
          <w:cantSplit/>
          <w:trHeight w:val="20"/>
        </w:trPr>
        <w:tc>
          <w:tcPr>
            <w:tcW w:w="1275"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52237CAC" w14:textId="18FEC90F" w:rsidR="00C40358" w:rsidRPr="005D0D22" w:rsidRDefault="00C40358">
            <w:pPr>
              <w:spacing w:after="160"/>
              <w:contextualSpacing/>
              <w:jc w:val="center"/>
              <w:rPr>
                <w:rFonts w:ascii="Arial Narrow" w:hAnsi="Arial Narrow"/>
                <w:sz w:val="20"/>
                <w:szCs w:val="20"/>
              </w:rPr>
            </w:pPr>
          </w:p>
        </w:tc>
        <w:tc>
          <w:tcPr>
            <w:tcW w:w="7741"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3672A3A2" w14:textId="77777777" w:rsidR="00C40358" w:rsidRPr="005D0D22" w:rsidRDefault="00C40358">
            <w:pPr>
              <w:spacing w:after="160"/>
              <w:contextualSpacing/>
              <w:jc w:val="left"/>
              <w:rPr>
                <w:rFonts w:ascii="Arial Narrow" w:hAnsi="Arial Narrow"/>
                <w:sz w:val="20"/>
                <w:szCs w:val="20"/>
              </w:rPr>
            </w:pPr>
            <w:r w:rsidRPr="005D0D22">
              <w:rPr>
                <w:rFonts w:ascii="Arial Narrow" w:hAnsi="Arial Narrow"/>
                <w:b/>
                <w:bCs/>
                <w:sz w:val="20"/>
                <w:szCs w:val="20"/>
              </w:rPr>
              <w:t>AND</w:t>
            </w:r>
          </w:p>
        </w:tc>
      </w:tr>
      <w:tr w:rsidR="00C40358" w:rsidRPr="005D0D22" w14:paraId="3246CCA8" w14:textId="77777777">
        <w:trPr>
          <w:cantSplit/>
          <w:trHeight w:val="20"/>
        </w:trPr>
        <w:tc>
          <w:tcPr>
            <w:tcW w:w="1275"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781C25B9" w14:textId="77777777" w:rsidR="00C40358" w:rsidRPr="005D0D22" w:rsidRDefault="00C40358">
            <w:pPr>
              <w:spacing w:after="160"/>
              <w:contextualSpacing/>
              <w:jc w:val="center"/>
              <w:rPr>
                <w:rFonts w:ascii="Arial Narrow" w:hAnsi="Arial Narrow"/>
                <w:sz w:val="20"/>
                <w:szCs w:val="20"/>
              </w:rPr>
            </w:pPr>
          </w:p>
        </w:tc>
        <w:tc>
          <w:tcPr>
            <w:tcW w:w="7741"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6AE019B3" w14:textId="77777777" w:rsidR="00C40358" w:rsidRPr="005D0D22" w:rsidRDefault="00C40358">
            <w:pPr>
              <w:spacing w:after="160"/>
              <w:contextualSpacing/>
              <w:jc w:val="left"/>
              <w:rPr>
                <w:rFonts w:ascii="Arial Narrow" w:hAnsi="Arial Narrow"/>
                <w:sz w:val="20"/>
                <w:szCs w:val="20"/>
              </w:rPr>
            </w:pPr>
            <w:r w:rsidRPr="005D0D22">
              <w:rPr>
                <w:rFonts w:ascii="Arial Narrow" w:hAnsi="Arial Narrow"/>
                <w:b/>
                <w:bCs/>
                <w:sz w:val="20"/>
                <w:szCs w:val="20"/>
              </w:rPr>
              <w:t>Clinical criteria:</w:t>
            </w:r>
          </w:p>
        </w:tc>
      </w:tr>
      <w:tr w:rsidR="00C40358" w:rsidRPr="005D0D22" w14:paraId="1431FC07" w14:textId="77777777">
        <w:trPr>
          <w:cantSplit/>
          <w:trHeight w:val="20"/>
        </w:trPr>
        <w:tc>
          <w:tcPr>
            <w:tcW w:w="1275"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612620C5" w14:textId="00427BC3" w:rsidR="00C40358" w:rsidRPr="005D0D22" w:rsidRDefault="00C40358">
            <w:pPr>
              <w:spacing w:after="160"/>
              <w:contextualSpacing/>
              <w:jc w:val="center"/>
              <w:rPr>
                <w:rFonts w:ascii="Arial Narrow" w:hAnsi="Arial Narrow"/>
                <w:sz w:val="20"/>
                <w:szCs w:val="20"/>
              </w:rPr>
            </w:pPr>
          </w:p>
        </w:tc>
        <w:tc>
          <w:tcPr>
            <w:tcW w:w="7741"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0EC41A4F" w14:textId="77777777" w:rsidR="00C40358" w:rsidRPr="005D0D22" w:rsidRDefault="00C40358">
            <w:pPr>
              <w:spacing w:after="160"/>
              <w:contextualSpacing/>
              <w:jc w:val="left"/>
              <w:rPr>
                <w:rFonts w:ascii="Arial Narrow" w:eastAsia="Calibri" w:hAnsi="Arial Narrow"/>
                <w:sz w:val="20"/>
                <w:szCs w:val="20"/>
                <w:lang w:eastAsia="en-US"/>
              </w:rPr>
            </w:pPr>
            <w:r w:rsidRPr="005D0D22">
              <w:rPr>
                <w:rFonts w:ascii="Arial Narrow" w:hAnsi="Arial Narrow"/>
                <w:bCs/>
                <w:kern w:val="2"/>
                <w:sz w:val="20"/>
                <w:szCs w:val="20"/>
                <w14:ligatures w14:val="standardContextual"/>
              </w:rPr>
              <w:t>Patient must have a positive serology for acetylcholine receptor (AChR) binding autoantibodies</w:t>
            </w:r>
          </w:p>
        </w:tc>
      </w:tr>
      <w:tr w:rsidR="00C40358" w:rsidRPr="005D0D22" w14:paraId="36A8B013" w14:textId="77777777">
        <w:trPr>
          <w:cantSplit/>
          <w:trHeight w:val="20"/>
        </w:trPr>
        <w:tc>
          <w:tcPr>
            <w:tcW w:w="1275"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5C9E5C47" w14:textId="36B39ADE" w:rsidR="00C40358" w:rsidRPr="005D0D22" w:rsidRDefault="00C40358">
            <w:pPr>
              <w:spacing w:after="160"/>
              <w:contextualSpacing/>
              <w:jc w:val="center"/>
              <w:rPr>
                <w:rFonts w:ascii="Arial Narrow" w:hAnsi="Arial Narrow"/>
                <w:sz w:val="20"/>
                <w:szCs w:val="20"/>
              </w:rPr>
            </w:pPr>
          </w:p>
        </w:tc>
        <w:tc>
          <w:tcPr>
            <w:tcW w:w="7741"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4246F16D" w14:textId="77777777" w:rsidR="00C40358" w:rsidRPr="005D0D22" w:rsidRDefault="00C40358">
            <w:pPr>
              <w:spacing w:after="160"/>
              <w:contextualSpacing/>
              <w:jc w:val="left"/>
              <w:rPr>
                <w:rFonts w:ascii="Arial Narrow" w:hAnsi="Arial Narrow"/>
                <w:sz w:val="20"/>
                <w:szCs w:val="20"/>
              </w:rPr>
            </w:pPr>
            <w:r w:rsidRPr="005D0D22">
              <w:rPr>
                <w:rFonts w:ascii="Arial Narrow" w:eastAsia="Calibri" w:hAnsi="Arial Narrow"/>
                <w:b/>
                <w:bCs/>
                <w:sz w:val="20"/>
                <w:szCs w:val="20"/>
                <w:lang w:eastAsia="en-US"/>
              </w:rPr>
              <w:t>AND</w:t>
            </w:r>
          </w:p>
        </w:tc>
      </w:tr>
      <w:tr w:rsidR="00C40358" w:rsidRPr="005D0D22" w14:paraId="2AD0B855" w14:textId="77777777">
        <w:trPr>
          <w:cantSplit/>
          <w:trHeight w:val="20"/>
        </w:trPr>
        <w:tc>
          <w:tcPr>
            <w:tcW w:w="1275"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00779BB4" w14:textId="77777777" w:rsidR="00C40358" w:rsidRPr="005D0D22" w:rsidRDefault="00C40358">
            <w:pPr>
              <w:spacing w:after="160"/>
              <w:contextualSpacing/>
              <w:jc w:val="center"/>
              <w:rPr>
                <w:rFonts w:ascii="Arial Narrow" w:hAnsi="Arial Narrow"/>
                <w:sz w:val="20"/>
                <w:szCs w:val="20"/>
              </w:rPr>
            </w:pPr>
          </w:p>
        </w:tc>
        <w:tc>
          <w:tcPr>
            <w:tcW w:w="7741"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079CF0DB" w14:textId="77777777" w:rsidR="00C40358" w:rsidRPr="005D0D22" w:rsidRDefault="00C40358">
            <w:pPr>
              <w:spacing w:after="160"/>
              <w:contextualSpacing/>
              <w:jc w:val="left"/>
              <w:rPr>
                <w:rFonts w:ascii="Arial Narrow" w:hAnsi="Arial Narrow"/>
                <w:sz w:val="20"/>
                <w:szCs w:val="20"/>
              </w:rPr>
            </w:pPr>
            <w:r w:rsidRPr="005D0D22">
              <w:rPr>
                <w:rFonts w:ascii="Arial Narrow" w:eastAsia="Calibri" w:hAnsi="Arial Narrow"/>
                <w:b/>
                <w:bCs/>
                <w:sz w:val="20"/>
                <w:szCs w:val="20"/>
                <w:lang w:eastAsia="en-US"/>
              </w:rPr>
              <w:t>Clinical criteria:</w:t>
            </w:r>
          </w:p>
        </w:tc>
      </w:tr>
      <w:tr w:rsidR="00C40358" w:rsidRPr="005D0D22" w14:paraId="0C7113EB" w14:textId="77777777">
        <w:trPr>
          <w:cantSplit/>
          <w:trHeight w:val="20"/>
        </w:trPr>
        <w:tc>
          <w:tcPr>
            <w:tcW w:w="1275"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243C71C1" w14:textId="2560131A" w:rsidR="00C40358" w:rsidRPr="005D0D22" w:rsidRDefault="00C40358">
            <w:pPr>
              <w:spacing w:after="160"/>
              <w:contextualSpacing/>
              <w:jc w:val="center"/>
              <w:rPr>
                <w:rFonts w:ascii="Arial Narrow" w:hAnsi="Arial Narrow"/>
                <w:sz w:val="20"/>
                <w:szCs w:val="20"/>
              </w:rPr>
            </w:pPr>
          </w:p>
        </w:tc>
        <w:tc>
          <w:tcPr>
            <w:tcW w:w="7741"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3DE4C547" w14:textId="77777777" w:rsidR="00C40358" w:rsidRPr="005D0D22" w:rsidRDefault="00C40358">
            <w:pPr>
              <w:spacing w:after="160"/>
              <w:contextualSpacing/>
              <w:jc w:val="left"/>
              <w:rPr>
                <w:rFonts w:ascii="Arial Narrow" w:hAnsi="Arial Narrow"/>
                <w:sz w:val="20"/>
                <w:szCs w:val="20"/>
              </w:rPr>
            </w:pPr>
            <w:r w:rsidRPr="005D0D22">
              <w:rPr>
                <w:rFonts w:ascii="Arial Narrow" w:eastAsia="Calibri" w:hAnsi="Arial Narrow"/>
                <w:sz w:val="20"/>
                <w:szCs w:val="20"/>
                <w:lang w:eastAsia="en-US"/>
              </w:rPr>
              <w:t xml:space="preserve">Patient must not be experiencing a myasthenic crisis </w:t>
            </w:r>
          </w:p>
        </w:tc>
      </w:tr>
      <w:tr w:rsidR="00C40358" w:rsidRPr="005D0D22" w14:paraId="00B7F61E" w14:textId="77777777">
        <w:trPr>
          <w:cantSplit/>
          <w:trHeight w:val="20"/>
        </w:trPr>
        <w:tc>
          <w:tcPr>
            <w:tcW w:w="1275"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6915D55E" w14:textId="5065ACD0" w:rsidR="00C40358" w:rsidRPr="005D0D22" w:rsidRDefault="00C40358">
            <w:pPr>
              <w:spacing w:after="160"/>
              <w:contextualSpacing/>
              <w:jc w:val="center"/>
              <w:rPr>
                <w:rFonts w:ascii="Arial Narrow" w:hAnsi="Arial Narrow"/>
                <w:sz w:val="20"/>
                <w:szCs w:val="20"/>
              </w:rPr>
            </w:pPr>
          </w:p>
        </w:tc>
        <w:tc>
          <w:tcPr>
            <w:tcW w:w="7741"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05A75D6E" w14:textId="77777777" w:rsidR="00C40358" w:rsidRPr="005D0D22" w:rsidRDefault="00C40358">
            <w:pPr>
              <w:spacing w:after="160"/>
              <w:contextualSpacing/>
              <w:jc w:val="left"/>
              <w:rPr>
                <w:rFonts w:ascii="Arial Narrow" w:hAnsi="Arial Narrow"/>
                <w:sz w:val="20"/>
                <w:szCs w:val="20"/>
              </w:rPr>
            </w:pPr>
            <w:r w:rsidRPr="005D0D22">
              <w:rPr>
                <w:rFonts w:ascii="Arial Narrow" w:eastAsia="Calibri" w:hAnsi="Arial Narrow"/>
                <w:b/>
                <w:bCs/>
                <w:sz w:val="20"/>
                <w:szCs w:val="20"/>
                <w:lang w:eastAsia="en-US"/>
              </w:rPr>
              <w:t>AND</w:t>
            </w:r>
          </w:p>
        </w:tc>
      </w:tr>
      <w:tr w:rsidR="00C40358" w:rsidRPr="005D0D22" w14:paraId="31EEEB01" w14:textId="77777777">
        <w:trPr>
          <w:cantSplit/>
          <w:trHeight w:val="20"/>
        </w:trPr>
        <w:tc>
          <w:tcPr>
            <w:tcW w:w="1275"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2C69965F" w14:textId="77777777" w:rsidR="00C40358" w:rsidRPr="005D0D22" w:rsidRDefault="00C40358">
            <w:pPr>
              <w:spacing w:after="160"/>
              <w:contextualSpacing/>
              <w:jc w:val="center"/>
              <w:rPr>
                <w:rFonts w:ascii="Arial Narrow" w:hAnsi="Arial Narrow"/>
                <w:sz w:val="20"/>
                <w:szCs w:val="20"/>
              </w:rPr>
            </w:pPr>
          </w:p>
        </w:tc>
        <w:tc>
          <w:tcPr>
            <w:tcW w:w="7741"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69BA7A33" w14:textId="77777777" w:rsidR="00C40358" w:rsidRPr="005D0D22" w:rsidRDefault="00C40358">
            <w:pPr>
              <w:spacing w:after="160"/>
              <w:contextualSpacing/>
              <w:jc w:val="left"/>
              <w:rPr>
                <w:rFonts w:ascii="Arial Narrow" w:hAnsi="Arial Narrow"/>
                <w:sz w:val="20"/>
                <w:szCs w:val="20"/>
              </w:rPr>
            </w:pPr>
            <w:r w:rsidRPr="005D0D22">
              <w:rPr>
                <w:rFonts w:ascii="Arial Narrow" w:eastAsia="Calibri" w:hAnsi="Arial Narrow"/>
                <w:b/>
                <w:bCs/>
                <w:sz w:val="20"/>
                <w:szCs w:val="20"/>
                <w:lang w:eastAsia="en-US"/>
              </w:rPr>
              <w:t>Clinical criteria:</w:t>
            </w:r>
          </w:p>
        </w:tc>
      </w:tr>
      <w:tr w:rsidR="00C40358" w:rsidRPr="005D0D22" w14:paraId="13B75278" w14:textId="77777777">
        <w:trPr>
          <w:cantSplit/>
          <w:trHeight w:val="20"/>
        </w:trPr>
        <w:tc>
          <w:tcPr>
            <w:tcW w:w="1275"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35BA59E2" w14:textId="7E33395E" w:rsidR="00C40358" w:rsidRPr="005D0D22" w:rsidRDefault="00C40358">
            <w:pPr>
              <w:spacing w:after="160"/>
              <w:contextualSpacing/>
              <w:jc w:val="center"/>
              <w:rPr>
                <w:rFonts w:ascii="Arial Narrow" w:hAnsi="Arial Narrow"/>
                <w:sz w:val="20"/>
                <w:szCs w:val="20"/>
              </w:rPr>
            </w:pPr>
          </w:p>
        </w:tc>
        <w:tc>
          <w:tcPr>
            <w:tcW w:w="7741"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491708BF" w14:textId="77777777" w:rsidR="00C40358" w:rsidRPr="005D0D22" w:rsidRDefault="00C40358">
            <w:pPr>
              <w:spacing w:after="160"/>
              <w:contextualSpacing/>
              <w:jc w:val="left"/>
              <w:rPr>
                <w:rFonts w:ascii="Arial Narrow" w:hAnsi="Arial Narrow"/>
                <w:color w:val="000000"/>
                <w:sz w:val="20"/>
                <w:szCs w:val="20"/>
              </w:rPr>
            </w:pPr>
            <w:r w:rsidRPr="005D0D22">
              <w:rPr>
                <w:rFonts w:ascii="Arial Narrow" w:hAnsi="Arial Narrow"/>
                <w:color w:val="000000"/>
                <w:sz w:val="20"/>
                <w:szCs w:val="20"/>
              </w:rPr>
              <w:t>Patient must be considered by the treating clinician to have rapidly deteriorating gMG disease in the absence of immediate treatment with a gMG biological agent</w:t>
            </w:r>
          </w:p>
        </w:tc>
      </w:tr>
      <w:tr w:rsidR="00C40358" w:rsidRPr="005D0D22" w14:paraId="4DCBB9CA" w14:textId="77777777">
        <w:trPr>
          <w:cantSplit/>
          <w:trHeight w:val="20"/>
        </w:trPr>
        <w:tc>
          <w:tcPr>
            <w:tcW w:w="1275"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7AE37937" w14:textId="6B2A3DE5" w:rsidR="00C40358" w:rsidRPr="005D0D22" w:rsidRDefault="00C40358">
            <w:pPr>
              <w:spacing w:after="160"/>
              <w:contextualSpacing/>
              <w:jc w:val="center"/>
              <w:rPr>
                <w:rFonts w:ascii="Arial Narrow" w:hAnsi="Arial Narrow"/>
                <w:sz w:val="20"/>
                <w:szCs w:val="20"/>
              </w:rPr>
            </w:pPr>
          </w:p>
        </w:tc>
        <w:tc>
          <w:tcPr>
            <w:tcW w:w="7741"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03AE38F5" w14:textId="77777777" w:rsidR="00C40358" w:rsidRPr="005D0D22" w:rsidRDefault="00C40358">
            <w:pPr>
              <w:spacing w:after="160"/>
              <w:contextualSpacing/>
              <w:jc w:val="left"/>
              <w:rPr>
                <w:rFonts w:ascii="Arial Narrow" w:hAnsi="Arial Narrow"/>
                <w:color w:val="000000"/>
                <w:sz w:val="20"/>
                <w:szCs w:val="20"/>
              </w:rPr>
            </w:pPr>
            <w:r w:rsidRPr="005D0D22">
              <w:rPr>
                <w:rFonts w:ascii="Arial Narrow" w:eastAsia="Calibri" w:hAnsi="Arial Narrow"/>
                <w:b/>
                <w:bCs/>
                <w:sz w:val="20"/>
                <w:szCs w:val="20"/>
                <w:lang w:eastAsia="en-US"/>
              </w:rPr>
              <w:t>AND</w:t>
            </w:r>
          </w:p>
        </w:tc>
      </w:tr>
      <w:tr w:rsidR="00C40358" w:rsidRPr="005D0D22" w14:paraId="1BE4C87C" w14:textId="77777777">
        <w:trPr>
          <w:cantSplit/>
          <w:trHeight w:val="20"/>
        </w:trPr>
        <w:tc>
          <w:tcPr>
            <w:tcW w:w="1275"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1BA3495C" w14:textId="77777777" w:rsidR="00C40358" w:rsidRPr="005D0D22" w:rsidRDefault="00C40358">
            <w:pPr>
              <w:spacing w:after="160"/>
              <w:contextualSpacing/>
              <w:jc w:val="center"/>
              <w:rPr>
                <w:rFonts w:ascii="Arial Narrow" w:hAnsi="Arial Narrow"/>
                <w:sz w:val="20"/>
                <w:szCs w:val="20"/>
              </w:rPr>
            </w:pPr>
          </w:p>
        </w:tc>
        <w:tc>
          <w:tcPr>
            <w:tcW w:w="7741"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62421321" w14:textId="77777777" w:rsidR="00C40358" w:rsidRPr="005D0D22" w:rsidRDefault="00C40358">
            <w:pPr>
              <w:spacing w:after="160"/>
              <w:contextualSpacing/>
              <w:jc w:val="left"/>
              <w:rPr>
                <w:rFonts w:ascii="Arial Narrow" w:hAnsi="Arial Narrow"/>
                <w:b/>
                <w:bCs/>
                <w:sz w:val="20"/>
                <w:szCs w:val="20"/>
              </w:rPr>
            </w:pPr>
            <w:r w:rsidRPr="005D0D22">
              <w:rPr>
                <w:rFonts w:ascii="Arial Narrow" w:hAnsi="Arial Narrow"/>
                <w:b/>
                <w:bCs/>
                <w:sz w:val="20"/>
                <w:szCs w:val="20"/>
              </w:rPr>
              <w:t>Clinical criteria:</w:t>
            </w:r>
          </w:p>
        </w:tc>
      </w:tr>
      <w:tr w:rsidR="00C40358" w:rsidRPr="005D0D22" w14:paraId="51947B93" w14:textId="77777777">
        <w:trPr>
          <w:cantSplit/>
          <w:trHeight w:val="20"/>
        </w:trPr>
        <w:tc>
          <w:tcPr>
            <w:tcW w:w="1275"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32EBFB50" w14:textId="6B5FF67D" w:rsidR="00C40358" w:rsidRPr="005D0D22" w:rsidRDefault="00C40358">
            <w:pPr>
              <w:spacing w:after="160"/>
              <w:contextualSpacing/>
              <w:jc w:val="center"/>
              <w:rPr>
                <w:rFonts w:ascii="Arial Narrow" w:hAnsi="Arial Narrow"/>
                <w:sz w:val="20"/>
                <w:szCs w:val="20"/>
              </w:rPr>
            </w:pPr>
          </w:p>
        </w:tc>
        <w:tc>
          <w:tcPr>
            <w:tcW w:w="7741"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221503BB" w14:textId="77777777" w:rsidR="00C40358" w:rsidRPr="005D0D22" w:rsidRDefault="00C40358">
            <w:pPr>
              <w:spacing w:after="160"/>
              <w:contextualSpacing/>
              <w:jc w:val="left"/>
              <w:rPr>
                <w:rFonts w:ascii="Arial Narrow" w:hAnsi="Arial Narrow"/>
                <w:kern w:val="2"/>
                <w:sz w:val="20"/>
                <w:szCs w:val="20"/>
                <w14:ligatures w14:val="standardContextual"/>
              </w:rPr>
            </w:pPr>
            <w:r w:rsidRPr="005D0D22">
              <w:rPr>
                <w:rFonts w:ascii="Arial Narrow" w:hAnsi="Arial Narrow"/>
                <w:kern w:val="2"/>
                <w:sz w:val="20"/>
                <w:szCs w:val="20"/>
                <w14:ligatures w14:val="standardContextual"/>
              </w:rPr>
              <w:t xml:space="preserve">Patient must not be receiving concomitant treatment with any of the following: </w:t>
            </w:r>
          </w:p>
          <w:p w14:paraId="1B3CE458" w14:textId="77777777" w:rsidR="00C40358" w:rsidRPr="005D0D22" w:rsidRDefault="00C40358">
            <w:pPr>
              <w:spacing w:after="160"/>
              <w:contextualSpacing/>
              <w:jc w:val="left"/>
              <w:rPr>
                <w:rFonts w:ascii="Arial Narrow" w:hAnsi="Arial Narrow"/>
                <w:sz w:val="20"/>
                <w:szCs w:val="20"/>
              </w:rPr>
            </w:pPr>
            <w:r w:rsidRPr="005D0D22">
              <w:rPr>
                <w:rFonts w:ascii="Arial Narrow" w:hAnsi="Arial Narrow"/>
                <w:sz w:val="20"/>
                <w:szCs w:val="20"/>
              </w:rPr>
              <w:t>(i) another gMG biological agent,</w:t>
            </w:r>
          </w:p>
          <w:p w14:paraId="0A10BB6B" w14:textId="123C0179" w:rsidR="00C40358" w:rsidRPr="005D0D22" w:rsidRDefault="00C40358">
            <w:pPr>
              <w:spacing w:after="160"/>
              <w:contextualSpacing/>
              <w:jc w:val="left"/>
              <w:rPr>
                <w:rFonts w:ascii="Arial Narrow" w:hAnsi="Arial Narrow"/>
                <w:sz w:val="20"/>
                <w:szCs w:val="20"/>
              </w:rPr>
            </w:pPr>
            <w:r w:rsidRPr="005D0D22">
              <w:rPr>
                <w:rFonts w:ascii="Arial Narrow" w:hAnsi="Arial Narrow"/>
                <w:sz w:val="20"/>
                <w:szCs w:val="20"/>
              </w:rPr>
              <w:t>(ii) immunoglobulin,</w:t>
            </w:r>
          </w:p>
          <w:p w14:paraId="3EF2BB3B" w14:textId="77777777" w:rsidR="00C40358" w:rsidRPr="005D0D22" w:rsidRDefault="00C40358">
            <w:pPr>
              <w:spacing w:after="160"/>
              <w:contextualSpacing/>
              <w:jc w:val="left"/>
              <w:rPr>
                <w:rFonts w:ascii="Arial Narrow" w:hAnsi="Arial Narrow"/>
                <w:sz w:val="20"/>
                <w:szCs w:val="20"/>
              </w:rPr>
            </w:pPr>
            <w:r w:rsidRPr="005D0D22">
              <w:rPr>
                <w:rFonts w:ascii="Arial Narrow" w:hAnsi="Arial Narrow"/>
                <w:sz w:val="20"/>
                <w:szCs w:val="20"/>
              </w:rPr>
              <w:t>(iii) plasma exchange (PLEX),</w:t>
            </w:r>
          </w:p>
          <w:p w14:paraId="0105AB97" w14:textId="77777777" w:rsidR="00C40358" w:rsidRPr="005D0D22" w:rsidRDefault="00C40358">
            <w:pPr>
              <w:spacing w:after="160"/>
              <w:contextualSpacing/>
              <w:jc w:val="left"/>
              <w:rPr>
                <w:rFonts w:ascii="Arial Narrow" w:hAnsi="Arial Narrow"/>
                <w:sz w:val="20"/>
                <w:szCs w:val="20"/>
              </w:rPr>
            </w:pPr>
            <w:r w:rsidRPr="005D0D22">
              <w:rPr>
                <w:rFonts w:ascii="Arial Narrow" w:hAnsi="Arial Narrow"/>
                <w:sz w:val="20"/>
                <w:szCs w:val="20"/>
              </w:rPr>
              <w:t>(iv) rituximab for this condition.</w:t>
            </w:r>
          </w:p>
        </w:tc>
      </w:tr>
      <w:tr w:rsidR="00C40358" w:rsidRPr="005D0D22" w14:paraId="5FBF26C7" w14:textId="77777777">
        <w:trPr>
          <w:cantSplit/>
          <w:trHeight w:val="20"/>
        </w:trPr>
        <w:tc>
          <w:tcPr>
            <w:tcW w:w="1275"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48558753" w14:textId="5D3E96E4" w:rsidR="00C40358" w:rsidRPr="005D0D22" w:rsidRDefault="00C40358">
            <w:pPr>
              <w:spacing w:after="160"/>
              <w:contextualSpacing/>
              <w:jc w:val="center"/>
              <w:rPr>
                <w:rFonts w:ascii="Arial Narrow" w:hAnsi="Arial Narrow"/>
                <w:sz w:val="20"/>
                <w:szCs w:val="20"/>
              </w:rPr>
            </w:pPr>
          </w:p>
        </w:tc>
        <w:tc>
          <w:tcPr>
            <w:tcW w:w="7741"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1435670D" w14:textId="77777777" w:rsidR="00C40358" w:rsidRPr="005D0D22" w:rsidRDefault="00C40358">
            <w:pPr>
              <w:spacing w:after="160"/>
              <w:contextualSpacing/>
              <w:jc w:val="left"/>
              <w:rPr>
                <w:rFonts w:ascii="Arial Narrow" w:hAnsi="Arial Narrow"/>
                <w:color w:val="333333"/>
                <w:kern w:val="2"/>
                <w:sz w:val="20"/>
                <w:szCs w:val="20"/>
                <w14:ligatures w14:val="standardContextual"/>
              </w:rPr>
            </w:pPr>
            <w:r w:rsidRPr="005D0D22">
              <w:rPr>
                <w:rFonts w:ascii="Arial Narrow" w:hAnsi="Arial Narrow"/>
                <w:b/>
                <w:bCs/>
                <w:sz w:val="20"/>
                <w:szCs w:val="20"/>
              </w:rPr>
              <w:t>AND</w:t>
            </w:r>
          </w:p>
        </w:tc>
      </w:tr>
      <w:tr w:rsidR="00C40358" w:rsidRPr="005D0D22" w14:paraId="413BA3FE" w14:textId="77777777">
        <w:trPr>
          <w:cantSplit/>
          <w:trHeight w:val="20"/>
        </w:trPr>
        <w:tc>
          <w:tcPr>
            <w:tcW w:w="1275"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433F7DF4" w14:textId="77777777" w:rsidR="00C40358" w:rsidRPr="005D0D22" w:rsidRDefault="00C40358">
            <w:pPr>
              <w:spacing w:after="160"/>
              <w:contextualSpacing/>
              <w:jc w:val="center"/>
              <w:rPr>
                <w:rFonts w:ascii="Arial Narrow" w:hAnsi="Arial Narrow"/>
                <w:sz w:val="20"/>
                <w:szCs w:val="20"/>
              </w:rPr>
            </w:pPr>
          </w:p>
        </w:tc>
        <w:tc>
          <w:tcPr>
            <w:tcW w:w="7741"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75CFD56D" w14:textId="77777777" w:rsidR="00C40358" w:rsidRPr="005D0D22" w:rsidRDefault="00C40358">
            <w:pPr>
              <w:spacing w:after="160"/>
              <w:contextualSpacing/>
              <w:jc w:val="left"/>
              <w:rPr>
                <w:rFonts w:ascii="Arial Narrow" w:hAnsi="Arial Narrow"/>
                <w:color w:val="333333"/>
                <w:kern w:val="2"/>
                <w:sz w:val="20"/>
                <w:szCs w:val="20"/>
                <w14:ligatures w14:val="standardContextual"/>
              </w:rPr>
            </w:pPr>
            <w:r w:rsidRPr="005D0D22">
              <w:rPr>
                <w:rFonts w:ascii="Arial Narrow" w:hAnsi="Arial Narrow"/>
                <w:b/>
                <w:bCs/>
                <w:sz w:val="20"/>
                <w:szCs w:val="20"/>
              </w:rPr>
              <w:t>Clinical criteria:</w:t>
            </w:r>
          </w:p>
        </w:tc>
      </w:tr>
      <w:tr w:rsidR="00C40358" w:rsidRPr="005D0D22" w14:paraId="4E4C52B6" w14:textId="77777777">
        <w:trPr>
          <w:cantSplit/>
          <w:trHeight w:val="20"/>
        </w:trPr>
        <w:tc>
          <w:tcPr>
            <w:tcW w:w="1275"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280F289B" w14:textId="4BE5BE77" w:rsidR="00C40358" w:rsidRPr="005D0D22" w:rsidRDefault="00C40358">
            <w:pPr>
              <w:spacing w:after="160"/>
              <w:contextualSpacing/>
              <w:jc w:val="center"/>
              <w:rPr>
                <w:rFonts w:ascii="Arial Narrow" w:hAnsi="Arial Narrow"/>
                <w:sz w:val="20"/>
                <w:szCs w:val="20"/>
              </w:rPr>
            </w:pPr>
          </w:p>
        </w:tc>
        <w:tc>
          <w:tcPr>
            <w:tcW w:w="7741"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68959A46" w14:textId="42F4EC45" w:rsidR="00C40358" w:rsidRPr="005D0D22" w:rsidRDefault="00C40358">
            <w:pPr>
              <w:spacing w:after="160"/>
              <w:contextualSpacing/>
              <w:jc w:val="left"/>
              <w:rPr>
                <w:rFonts w:ascii="Arial Narrow" w:hAnsi="Arial Narrow"/>
                <w:kern w:val="2"/>
                <w:sz w:val="20"/>
                <w:szCs w:val="20"/>
                <w14:ligatures w14:val="standardContextual"/>
              </w:rPr>
            </w:pPr>
            <w:r w:rsidRPr="005D0D22">
              <w:rPr>
                <w:rFonts w:ascii="Arial Narrow" w:hAnsi="Arial Narrow"/>
                <w:kern w:val="2"/>
                <w:sz w:val="20"/>
                <w:szCs w:val="20"/>
                <w14:ligatures w14:val="standardContextual"/>
              </w:rPr>
              <w:t>Patient must be receiving concomitant treatment with a non</w:t>
            </w:r>
            <w:r w:rsidR="00AF0956">
              <w:rPr>
                <w:rFonts w:ascii="Arial Narrow" w:hAnsi="Arial Narrow"/>
                <w:kern w:val="2"/>
                <w:sz w:val="20"/>
                <w:szCs w:val="20"/>
                <w14:ligatures w14:val="standardContextual"/>
              </w:rPr>
              <w:noBreakHyphen/>
            </w:r>
            <w:r w:rsidRPr="005D0D22">
              <w:rPr>
                <w:rFonts w:ascii="Arial Narrow" w:hAnsi="Arial Narrow"/>
                <w:kern w:val="2"/>
                <w:sz w:val="20"/>
                <w:szCs w:val="20"/>
                <w14:ligatures w14:val="standardContextual"/>
              </w:rPr>
              <w:t>steroidal immunosuppressant (NS</w:t>
            </w:r>
            <w:r w:rsidR="00AF0956">
              <w:rPr>
                <w:rFonts w:ascii="Arial Narrow" w:hAnsi="Arial Narrow"/>
                <w:kern w:val="2"/>
                <w:sz w:val="20"/>
                <w:szCs w:val="20"/>
                <w14:ligatures w14:val="standardContextual"/>
              </w:rPr>
              <w:noBreakHyphen/>
            </w:r>
            <w:r w:rsidRPr="005D0D22">
              <w:rPr>
                <w:rFonts w:ascii="Arial Narrow" w:hAnsi="Arial Narrow"/>
                <w:kern w:val="2"/>
                <w:sz w:val="20"/>
                <w:szCs w:val="20"/>
                <w14:ligatures w14:val="standardContextual"/>
              </w:rPr>
              <w:t xml:space="preserve">IST); or </w:t>
            </w:r>
          </w:p>
        </w:tc>
      </w:tr>
      <w:tr w:rsidR="00C40358" w:rsidRPr="005D0D22" w14:paraId="36570B7F" w14:textId="77777777">
        <w:trPr>
          <w:cantSplit/>
          <w:trHeight w:val="20"/>
        </w:trPr>
        <w:tc>
          <w:tcPr>
            <w:tcW w:w="1275"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610DDD71" w14:textId="78DD4416" w:rsidR="00C40358" w:rsidRPr="005D0D22" w:rsidRDefault="00C40358">
            <w:pPr>
              <w:spacing w:after="160"/>
              <w:contextualSpacing/>
              <w:jc w:val="center"/>
              <w:rPr>
                <w:rFonts w:ascii="Arial Narrow" w:hAnsi="Arial Narrow"/>
                <w:sz w:val="20"/>
                <w:szCs w:val="20"/>
              </w:rPr>
            </w:pPr>
          </w:p>
        </w:tc>
        <w:tc>
          <w:tcPr>
            <w:tcW w:w="7741"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6BF52345" w14:textId="5C3132DB" w:rsidR="00C40358" w:rsidRPr="005D0D22" w:rsidRDefault="00C40358">
            <w:pPr>
              <w:spacing w:after="160"/>
              <w:contextualSpacing/>
              <w:jc w:val="left"/>
              <w:rPr>
                <w:rFonts w:ascii="Arial Narrow" w:hAnsi="Arial Narrow"/>
                <w:kern w:val="2"/>
                <w:sz w:val="20"/>
                <w:szCs w:val="20"/>
                <w14:ligatures w14:val="standardContextual"/>
              </w:rPr>
            </w:pPr>
            <w:r w:rsidRPr="005D0D22">
              <w:rPr>
                <w:rFonts w:ascii="Arial Narrow" w:hAnsi="Arial Narrow"/>
                <w:kern w:val="2"/>
                <w:sz w:val="20"/>
                <w:szCs w:val="20"/>
                <w14:ligatures w14:val="standardContextual"/>
              </w:rPr>
              <w:t>Patient must be commencing treatment with an NS</w:t>
            </w:r>
            <w:r w:rsidR="00AF0956">
              <w:rPr>
                <w:rFonts w:ascii="Arial Narrow" w:hAnsi="Arial Narrow"/>
                <w:kern w:val="2"/>
                <w:sz w:val="20"/>
                <w:szCs w:val="20"/>
                <w14:ligatures w14:val="standardContextual"/>
              </w:rPr>
              <w:noBreakHyphen/>
            </w:r>
            <w:r w:rsidRPr="005D0D22">
              <w:rPr>
                <w:rFonts w:ascii="Arial Narrow" w:hAnsi="Arial Narrow"/>
                <w:kern w:val="2"/>
                <w:sz w:val="20"/>
                <w:szCs w:val="20"/>
                <w14:ligatures w14:val="standardContextual"/>
              </w:rPr>
              <w:t>IST within 2 weeks; or</w:t>
            </w:r>
          </w:p>
        </w:tc>
      </w:tr>
      <w:tr w:rsidR="00C40358" w:rsidRPr="005D0D22" w14:paraId="4A6AA73A" w14:textId="77777777">
        <w:trPr>
          <w:cantSplit/>
          <w:trHeight w:val="20"/>
        </w:trPr>
        <w:tc>
          <w:tcPr>
            <w:tcW w:w="1275"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4460E3AC" w14:textId="6B2E6316" w:rsidR="00C40358" w:rsidRPr="005D0D22" w:rsidRDefault="00C40358">
            <w:pPr>
              <w:spacing w:after="160"/>
              <w:contextualSpacing/>
              <w:jc w:val="center"/>
              <w:rPr>
                <w:rFonts w:ascii="Arial Narrow" w:hAnsi="Arial Narrow"/>
                <w:sz w:val="20"/>
                <w:szCs w:val="20"/>
              </w:rPr>
            </w:pPr>
          </w:p>
        </w:tc>
        <w:tc>
          <w:tcPr>
            <w:tcW w:w="7741"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540B23D6" w14:textId="77777777" w:rsidR="00C40358" w:rsidRPr="005D0D22" w:rsidRDefault="00C40358">
            <w:pPr>
              <w:spacing w:after="160"/>
              <w:contextualSpacing/>
              <w:jc w:val="left"/>
              <w:rPr>
                <w:rFonts w:ascii="Arial Narrow" w:hAnsi="Arial Narrow"/>
                <w:kern w:val="2"/>
                <w:sz w:val="20"/>
                <w:szCs w:val="20"/>
                <w14:ligatures w14:val="standardContextual"/>
              </w:rPr>
            </w:pPr>
            <w:r w:rsidRPr="005D0D22">
              <w:rPr>
                <w:rFonts w:ascii="Arial Narrow" w:hAnsi="Arial Narrow"/>
                <w:color w:val="333333"/>
                <w:kern w:val="2"/>
                <w:sz w:val="20"/>
                <w:szCs w:val="20"/>
                <w14:ligatures w14:val="standardContextual"/>
              </w:rPr>
              <w:t>Patient must have had a thymectomy</w:t>
            </w:r>
          </w:p>
        </w:tc>
      </w:tr>
      <w:tr w:rsidR="00C40358" w:rsidRPr="005D0D22" w14:paraId="62913D28" w14:textId="77777777">
        <w:trPr>
          <w:cantSplit/>
          <w:trHeight w:val="20"/>
        </w:trPr>
        <w:tc>
          <w:tcPr>
            <w:tcW w:w="1275"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789E37C8" w14:textId="69A26C6E" w:rsidR="00C40358" w:rsidRPr="005D0D22" w:rsidRDefault="00C40358">
            <w:pPr>
              <w:spacing w:after="160"/>
              <w:contextualSpacing/>
              <w:jc w:val="center"/>
              <w:rPr>
                <w:rFonts w:ascii="Arial Narrow" w:hAnsi="Arial Narrow"/>
                <w:sz w:val="20"/>
                <w:szCs w:val="20"/>
              </w:rPr>
            </w:pPr>
          </w:p>
        </w:tc>
        <w:tc>
          <w:tcPr>
            <w:tcW w:w="7741"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68CEDA15" w14:textId="77777777" w:rsidR="00C40358" w:rsidRPr="005D0D22" w:rsidRDefault="00C40358">
            <w:pPr>
              <w:spacing w:after="160"/>
              <w:contextualSpacing/>
              <w:jc w:val="left"/>
              <w:rPr>
                <w:rFonts w:ascii="Arial Narrow" w:hAnsi="Arial Narrow"/>
                <w:color w:val="333333"/>
                <w:kern w:val="2"/>
                <w:sz w:val="20"/>
                <w:szCs w:val="20"/>
                <w14:ligatures w14:val="standardContextual"/>
              </w:rPr>
            </w:pPr>
            <w:r w:rsidRPr="005D0D22">
              <w:rPr>
                <w:rFonts w:ascii="Arial Narrow" w:hAnsi="Arial Narrow"/>
                <w:b/>
                <w:bCs/>
                <w:sz w:val="20"/>
                <w:szCs w:val="20"/>
              </w:rPr>
              <w:t>AND</w:t>
            </w:r>
          </w:p>
        </w:tc>
      </w:tr>
      <w:tr w:rsidR="00C40358" w:rsidRPr="005D0D22" w14:paraId="1A11D2A7" w14:textId="77777777">
        <w:trPr>
          <w:cantSplit/>
          <w:trHeight w:val="20"/>
        </w:trPr>
        <w:tc>
          <w:tcPr>
            <w:tcW w:w="1275"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78E40616" w14:textId="77777777" w:rsidR="00C40358" w:rsidRPr="005D0D22" w:rsidRDefault="00C40358">
            <w:pPr>
              <w:spacing w:after="160"/>
              <w:contextualSpacing/>
              <w:jc w:val="center"/>
              <w:rPr>
                <w:rFonts w:ascii="Arial Narrow" w:hAnsi="Arial Narrow"/>
                <w:sz w:val="20"/>
                <w:szCs w:val="20"/>
              </w:rPr>
            </w:pPr>
          </w:p>
        </w:tc>
        <w:tc>
          <w:tcPr>
            <w:tcW w:w="7741"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5ECA8309" w14:textId="77777777" w:rsidR="00C40358" w:rsidRPr="005D0D22" w:rsidRDefault="00C40358">
            <w:pPr>
              <w:spacing w:after="160"/>
              <w:contextualSpacing/>
              <w:jc w:val="left"/>
              <w:rPr>
                <w:rFonts w:ascii="Arial Narrow" w:hAnsi="Arial Narrow"/>
                <w:color w:val="333333"/>
                <w:kern w:val="2"/>
                <w:sz w:val="20"/>
                <w:szCs w:val="20"/>
                <w14:ligatures w14:val="standardContextual"/>
              </w:rPr>
            </w:pPr>
            <w:r w:rsidRPr="005D0D22">
              <w:rPr>
                <w:rFonts w:ascii="Arial Narrow" w:hAnsi="Arial Narrow"/>
                <w:b/>
                <w:bCs/>
                <w:sz w:val="20"/>
                <w:szCs w:val="20"/>
              </w:rPr>
              <w:t>Clinical criteria:</w:t>
            </w:r>
          </w:p>
        </w:tc>
      </w:tr>
      <w:tr w:rsidR="00C40358" w:rsidRPr="005D0D22" w14:paraId="1B7BC544" w14:textId="77777777">
        <w:trPr>
          <w:cantSplit/>
          <w:trHeight w:val="20"/>
        </w:trPr>
        <w:tc>
          <w:tcPr>
            <w:tcW w:w="1275"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38CB171A" w14:textId="24EC3F7D" w:rsidR="00C40358" w:rsidRPr="005D0D22" w:rsidRDefault="00C40358">
            <w:pPr>
              <w:spacing w:after="160"/>
              <w:contextualSpacing/>
              <w:jc w:val="center"/>
              <w:rPr>
                <w:rFonts w:ascii="Arial Narrow" w:hAnsi="Arial Narrow"/>
                <w:sz w:val="20"/>
                <w:szCs w:val="20"/>
              </w:rPr>
            </w:pPr>
          </w:p>
        </w:tc>
        <w:tc>
          <w:tcPr>
            <w:tcW w:w="7741"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62421064" w14:textId="77777777" w:rsidR="00C40358" w:rsidRPr="005D0D22" w:rsidRDefault="00C40358">
            <w:pPr>
              <w:spacing w:after="160"/>
              <w:contextualSpacing/>
              <w:jc w:val="left"/>
              <w:rPr>
                <w:rFonts w:ascii="Arial Narrow" w:hAnsi="Arial Narrow"/>
                <w:color w:val="333333"/>
                <w:sz w:val="20"/>
                <w:szCs w:val="20"/>
              </w:rPr>
            </w:pPr>
            <w:r w:rsidRPr="005D0D22">
              <w:rPr>
                <w:rFonts w:ascii="Arial Narrow" w:hAnsi="Arial Narrow"/>
                <w:color w:val="333333"/>
                <w:kern w:val="2"/>
                <w:sz w:val="20"/>
                <w:szCs w:val="20"/>
                <w14:ligatures w14:val="standardContextual"/>
              </w:rPr>
              <w:t xml:space="preserve">Patient must be receiving concomitant treatment with an oral </w:t>
            </w:r>
            <w:r w:rsidRPr="005D0D22">
              <w:rPr>
                <w:rFonts w:ascii="Arial Narrow" w:hAnsi="Arial Narrow"/>
                <w:sz w:val="20"/>
                <w:szCs w:val="20"/>
              </w:rPr>
              <w:t>corticosteroid</w:t>
            </w:r>
          </w:p>
        </w:tc>
      </w:tr>
      <w:tr w:rsidR="00C40358" w:rsidRPr="005D0D22" w14:paraId="4B901696" w14:textId="77777777">
        <w:trPr>
          <w:cantSplit/>
          <w:trHeight w:val="20"/>
        </w:trPr>
        <w:tc>
          <w:tcPr>
            <w:tcW w:w="1275"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764B7B9F" w14:textId="6177D31A" w:rsidR="00C40358" w:rsidRPr="005D0D22" w:rsidRDefault="00C40358">
            <w:pPr>
              <w:spacing w:after="160"/>
              <w:contextualSpacing/>
              <w:jc w:val="center"/>
              <w:rPr>
                <w:rFonts w:ascii="Arial Narrow" w:hAnsi="Arial Narrow"/>
                <w:sz w:val="20"/>
                <w:szCs w:val="20"/>
              </w:rPr>
            </w:pPr>
          </w:p>
        </w:tc>
        <w:tc>
          <w:tcPr>
            <w:tcW w:w="7741"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48D26C43" w14:textId="77777777" w:rsidR="00C40358" w:rsidRPr="005D0D22" w:rsidRDefault="00C40358">
            <w:pPr>
              <w:spacing w:after="160"/>
              <w:contextualSpacing/>
              <w:jc w:val="left"/>
              <w:rPr>
                <w:rFonts w:ascii="Arial Narrow" w:hAnsi="Arial Narrow"/>
                <w:color w:val="333333"/>
                <w:kern w:val="2"/>
                <w:sz w:val="20"/>
                <w:szCs w:val="20"/>
                <w14:ligatures w14:val="standardContextual"/>
              </w:rPr>
            </w:pPr>
            <w:r w:rsidRPr="005D0D22">
              <w:rPr>
                <w:rFonts w:ascii="Arial Narrow" w:hAnsi="Arial Narrow"/>
                <w:b/>
                <w:bCs/>
                <w:sz w:val="20"/>
                <w:szCs w:val="20"/>
              </w:rPr>
              <w:t>AND</w:t>
            </w:r>
          </w:p>
        </w:tc>
      </w:tr>
      <w:tr w:rsidR="00C40358" w:rsidRPr="005D0D22" w14:paraId="70E3B29E" w14:textId="77777777">
        <w:trPr>
          <w:cantSplit/>
          <w:trHeight w:val="20"/>
        </w:trPr>
        <w:tc>
          <w:tcPr>
            <w:tcW w:w="1275"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71BF66EF" w14:textId="77777777" w:rsidR="00C40358" w:rsidRPr="005D0D22" w:rsidRDefault="00C40358">
            <w:pPr>
              <w:spacing w:after="160"/>
              <w:contextualSpacing/>
              <w:jc w:val="center"/>
              <w:rPr>
                <w:rFonts w:ascii="Arial Narrow" w:hAnsi="Arial Narrow"/>
                <w:sz w:val="20"/>
                <w:szCs w:val="20"/>
              </w:rPr>
            </w:pPr>
          </w:p>
        </w:tc>
        <w:tc>
          <w:tcPr>
            <w:tcW w:w="7741"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56DCD4FC" w14:textId="77777777" w:rsidR="00C40358" w:rsidRPr="005D0D22" w:rsidRDefault="00C40358">
            <w:pPr>
              <w:spacing w:after="160"/>
              <w:contextualSpacing/>
              <w:jc w:val="left"/>
              <w:rPr>
                <w:rFonts w:ascii="Arial Narrow" w:hAnsi="Arial Narrow"/>
                <w:color w:val="333333"/>
                <w:kern w:val="2"/>
                <w:sz w:val="20"/>
                <w:szCs w:val="20"/>
                <w14:ligatures w14:val="standardContextual"/>
              </w:rPr>
            </w:pPr>
            <w:r w:rsidRPr="005D0D22">
              <w:rPr>
                <w:rFonts w:ascii="Arial Narrow" w:hAnsi="Arial Narrow"/>
                <w:b/>
                <w:bCs/>
                <w:sz w:val="20"/>
                <w:szCs w:val="20"/>
              </w:rPr>
              <w:t>Clinical criteria:</w:t>
            </w:r>
          </w:p>
        </w:tc>
      </w:tr>
      <w:tr w:rsidR="00C40358" w:rsidRPr="005D0D22" w14:paraId="7FDDC92B" w14:textId="77777777">
        <w:trPr>
          <w:cantSplit/>
          <w:trHeight w:val="20"/>
        </w:trPr>
        <w:tc>
          <w:tcPr>
            <w:tcW w:w="1275"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6A4846E4" w14:textId="162A51D3" w:rsidR="00C40358" w:rsidRPr="005D0D22" w:rsidRDefault="00C40358">
            <w:pPr>
              <w:spacing w:after="160"/>
              <w:contextualSpacing/>
              <w:jc w:val="center"/>
              <w:rPr>
                <w:rFonts w:ascii="Arial Narrow" w:hAnsi="Arial Narrow"/>
                <w:sz w:val="20"/>
                <w:szCs w:val="20"/>
              </w:rPr>
            </w:pPr>
          </w:p>
        </w:tc>
        <w:tc>
          <w:tcPr>
            <w:tcW w:w="7741"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71D47D74" w14:textId="77777777" w:rsidR="00C40358" w:rsidRPr="005D0D22" w:rsidRDefault="00C40358">
            <w:pPr>
              <w:spacing w:after="160"/>
              <w:contextualSpacing/>
              <w:jc w:val="left"/>
              <w:rPr>
                <w:rFonts w:ascii="Arial Narrow" w:hAnsi="Arial Narrow"/>
                <w:color w:val="333333"/>
                <w:sz w:val="20"/>
                <w:szCs w:val="20"/>
              </w:rPr>
            </w:pPr>
            <w:r w:rsidRPr="74EB87D5">
              <w:rPr>
                <w:rFonts w:ascii="Arial Narrow" w:hAnsi="Arial Narrow"/>
                <w:sz w:val="20"/>
                <w:szCs w:val="20"/>
              </w:rPr>
              <w:t>Patient must not receive more than 3 months total of treatment with gMG biological agents under this PBS indication (e.g. for ‘acute severe gMG’)</w:t>
            </w:r>
          </w:p>
        </w:tc>
      </w:tr>
      <w:tr w:rsidR="00C40358" w:rsidRPr="005D0D22" w14:paraId="52D1922A" w14:textId="77777777">
        <w:trPr>
          <w:cantSplit/>
          <w:trHeight w:val="20"/>
        </w:trPr>
        <w:tc>
          <w:tcPr>
            <w:tcW w:w="1275"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7A7B648A" w14:textId="453D8CAB" w:rsidR="00C40358" w:rsidRPr="005D0D22" w:rsidRDefault="00C40358">
            <w:pPr>
              <w:spacing w:after="160"/>
              <w:contextualSpacing/>
              <w:jc w:val="center"/>
              <w:rPr>
                <w:rFonts w:ascii="Arial Narrow" w:hAnsi="Arial Narrow"/>
                <w:sz w:val="20"/>
                <w:szCs w:val="20"/>
              </w:rPr>
            </w:pPr>
          </w:p>
        </w:tc>
        <w:tc>
          <w:tcPr>
            <w:tcW w:w="7741"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6ACCEDF4" w14:textId="77777777" w:rsidR="00C40358" w:rsidRPr="005D0D22" w:rsidRDefault="00C40358">
            <w:pPr>
              <w:spacing w:after="160"/>
              <w:contextualSpacing/>
              <w:jc w:val="left"/>
              <w:rPr>
                <w:rFonts w:ascii="Arial Narrow" w:hAnsi="Arial Narrow"/>
                <w:sz w:val="20"/>
                <w:szCs w:val="20"/>
              </w:rPr>
            </w:pPr>
            <w:r w:rsidRPr="005D0D22">
              <w:rPr>
                <w:rFonts w:ascii="Arial Narrow" w:hAnsi="Arial Narrow"/>
                <w:b/>
                <w:bCs/>
                <w:sz w:val="20"/>
                <w:szCs w:val="20"/>
              </w:rPr>
              <w:t>AND</w:t>
            </w:r>
          </w:p>
        </w:tc>
      </w:tr>
      <w:tr w:rsidR="00C40358" w:rsidRPr="005D0D22" w14:paraId="3A11B6A3" w14:textId="77777777">
        <w:trPr>
          <w:cantSplit/>
          <w:trHeight w:val="20"/>
        </w:trPr>
        <w:tc>
          <w:tcPr>
            <w:tcW w:w="1275"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4CE13E15" w14:textId="77777777" w:rsidR="00C40358" w:rsidRPr="005D0D22" w:rsidRDefault="00C40358">
            <w:pPr>
              <w:spacing w:after="160"/>
              <w:contextualSpacing/>
              <w:jc w:val="center"/>
              <w:rPr>
                <w:rFonts w:ascii="Arial Narrow" w:hAnsi="Arial Narrow"/>
                <w:sz w:val="20"/>
                <w:szCs w:val="20"/>
              </w:rPr>
            </w:pPr>
          </w:p>
        </w:tc>
        <w:tc>
          <w:tcPr>
            <w:tcW w:w="7741"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781789E3" w14:textId="77777777" w:rsidR="00C40358" w:rsidRPr="005D0D22" w:rsidRDefault="00C40358">
            <w:pPr>
              <w:spacing w:after="160"/>
              <w:contextualSpacing/>
              <w:jc w:val="left"/>
              <w:rPr>
                <w:rFonts w:ascii="Arial Narrow" w:hAnsi="Arial Narrow"/>
                <w:color w:val="000000"/>
                <w:sz w:val="20"/>
                <w:szCs w:val="20"/>
              </w:rPr>
            </w:pPr>
            <w:r w:rsidRPr="005D0D22">
              <w:rPr>
                <w:rFonts w:ascii="Arial Narrow" w:hAnsi="Arial Narrow"/>
                <w:b/>
                <w:bCs/>
                <w:color w:val="000000"/>
                <w:sz w:val="20"/>
                <w:szCs w:val="20"/>
              </w:rPr>
              <w:t>Clinical criteria:</w:t>
            </w:r>
          </w:p>
        </w:tc>
      </w:tr>
      <w:tr w:rsidR="00C40358" w:rsidRPr="005D0D22" w14:paraId="42939A54" w14:textId="77777777">
        <w:trPr>
          <w:cantSplit/>
          <w:trHeight w:val="20"/>
        </w:trPr>
        <w:tc>
          <w:tcPr>
            <w:tcW w:w="1275"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549857B7" w14:textId="33FD7F9C" w:rsidR="00C40358" w:rsidRPr="005D0D22" w:rsidRDefault="00C40358">
            <w:pPr>
              <w:spacing w:after="160"/>
              <w:contextualSpacing/>
              <w:jc w:val="center"/>
              <w:rPr>
                <w:rFonts w:ascii="Arial Narrow" w:hAnsi="Arial Narrow"/>
                <w:sz w:val="20"/>
                <w:szCs w:val="20"/>
              </w:rPr>
            </w:pPr>
          </w:p>
        </w:tc>
        <w:tc>
          <w:tcPr>
            <w:tcW w:w="7741"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7369F2C6" w14:textId="48E0EAB6" w:rsidR="00C40358" w:rsidRPr="005D0D22" w:rsidRDefault="00C40358">
            <w:pPr>
              <w:spacing w:after="160"/>
              <w:contextualSpacing/>
              <w:jc w:val="left"/>
              <w:rPr>
                <w:rFonts w:ascii="Arial Narrow" w:hAnsi="Arial Narrow"/>
                <w:color w:val="000000"/>
                <w:sz w:val="20"/>
                <w:szCs w:val="20"/>
              </w:rPr>
            </w:pPr>
            <w:r w:rsidRPr="005D0D22">
              <w:rPr>
                <w:rFonts w:ascii="Arial Narrow" w:hAnsi="Arial Narrow"/>
                <w:color w:val="000000"/>
                <w:sz w:val="20"/>
                <w:szCs w:val="20"/>
              </w:rPr>
              <w:t>Patient must not have accessed a prior PBS</w:t>
            </w:r>
            <w:r w:rsidR="00AF0956">
              <w:rPr>
                <w:rFonts w:ascii="Arial Narrow" w:hAnsi="Arial Narrow"/>
                <w:color w:val="000000"/>
                <w:sz w:val="20"/>
                <w:szCs w:val="20"/>
              </w:rPr>
              <w:noBreakHyphen/>
            </w:r>
            <w:r w:rsidRPr="005D0D22">
              <w:rPr>
                <w:rFonts w:ascii="Arial Narrow" w:hAnsi="Arial Narrow"/>
                <w:color w:val="000000"/>
                <w:sz w:val="20"/>
                <w:szCs w:val="20"/>
              </w:rPr>
              <w:t xml:space="preserve">subsidised gMG biological agent; or </w:t>
            </w:r>
          </w:p>
        </w:tc>
      </w:tr>
      <w:tr w:rsidR="00C40358" w:rsidRPr="005D0D22" w14:paraId="57F4FB52" w14:textId="77777777">
        <w:trPr>
          <w:cantSplit/>
          <w:trHeight w:val="20"/>
        </w:trPr>
        <w:tc>
          <w:tcPr>
            <w:tcW w:w="1275"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5E549151" w14:textId="2B3AFDA2" w:rsidR="00C40358" w:rsidRPr="005D0D22" w:rsidRDefault="00C40358">
            <w:pPr>
              <w:spacing w:after="160"/>
              <w:contextualSpacing/>
              <w:jc w:val="center"/>
              <w:rPr>
                <w:rFonts w:ascii="Arial Narrow" w:hAnsi="Arial Narrow"/>
                <w:sz w:val="20"/>
                <w:szCs w:val="20"/>
              </w:rPr>
            </w:pPr>
          </w:p>
        </w:tc>
        <w:tc>
          <w:tcPr>
            <w:tcW w:w="7741"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6D57AF82" w14:textId="4A4DD371" w:rsidR="00C40358" w:rsidRPr="005D0D22" w:rsidRDefault="00C40358">
            <w:pPr>
              <w:spacing w:after="160"/>
              <w:contextualSpacing/>
              <w:jc w:val="left"/>
              <w:rPr>
                <w:rFonts w:ascii="Arial Narrow" w:hAnsi="Arial Narrow"/>
                <w:color w:val="000000"/>
                <w:sz w:val="20"/>
                <w:szCs w:val="20"/>
              </w:rPr>
            </w:pPr>
            <w:r w:rsidRPr="005D0D22">
              <w:rPr>
                <w:rFonts w:ascii="Arial Narrow" w:hAnsi="Arial Narrow"/>
                <w:color w:val="000000"/>
                <w:sz w:val="20"/>
                <w:szCs w:val="20"/>
              </w:rPr>
              <w:t>Patient must have developed an intolerance/toxicity to a PBS</w:t>
            </w:r>
            <w:r w:rsidR="00AF0956">
              <w:rPr>
                <w:rFonts w:ascii="Arial Narrow" w:hAnsi="Arial Narrow"/>
                <w:color w:val="000000"/>
                <w:sz w:val="20"/>
                <w:szCs w:val="20"/>
              </w:rPr>
              <w:noBreakHyphen/>
            </w:r>
            <w:r w:rsidRPr="005D0D22">
              <w:rPr>
                <w:rFonts w:ascii="Arial Narrow" w:hAnsi="Arial Narrow"/>
                <w:color w:val="000000"/>
                <w:sz w:val="20"/>
                <w:szCs w:val="20"/>
              </w:rPr>
              <w:t>subsidised gMG biological agent necessitating a change in treatment</w:t>
            </w:r>
          </w:p>
        </w:tc>
      </w:tr>
      <w:tr w:rsidR="00C40358" w:rsidRPr="005D0D22" w14:paraId="44E29031" w14:textId="77777777">
        <w:trPr>
          <w:cantSplit/>
          <w:trHeight w:val="20"/>
        </w:trPr>
        <w:tc>
          <w:tcPr>
            <w:tcW w:w="1275"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6C5A649C" w14:textId="5C46EBA4" w:rsidR="00C40358" w:rsidRPr="005D0D22" w:rsidRDefault="00C40358">
            <w:pPr>
              <w:spacing w:after="160"/>
              <w:contextualSpacing/>
              <w:jc w:val="center"/>
              <w:rPr>
                <w:rFonts w:ascii="Arial Narrow" w:hAnsi="Arial Narrow"/>
                <w:sz w:val="20"/>
                <w:szCs w:val="20"/>
              </w:rPr>
            </w:pPr>
          </w:p>
        </w:tc>
        <w:tc>
          <w:tcPr>
            <w:tcW w:w="7741"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62D29D1F" w14:textId="77777777" w:rsidR="00C40358" w:rsidRPr="005D0D22" w:rsidRDefault="00C40358">
            <w:pPr>
              <w:spacing w:after="160"/>
              <w:contextualSpacing/>
              <w:jc w:val="left"/>
              <w:rPr>
                <w:rFonts w:ascii="Arial Narrow" w:hAnsi="Arial Narrow"/>
                <w:sz w:val="20"/>
                <w:szCs w:val="20"/>
              </w:rPr>
            </w:pPr>
            <w:r w:rsidRPr="005D0D22">
              <w:rPr>
                <w:rFonts w:ascii="Arial Narrow" w:hAnsi="Arial Narrow"/>
                <w:b/>
                <w:bCs/>
                <w:sz w:val="20"/>
                <w:szCs w:val="20"/>
              </w:rPr>
              <w:t>Treatment criteria:</w:t>
            </w:r>
          </w:p>
        </w:tc>
      </w:tr>
      <w:tr w:rsidR="00C40358" w:rsidRPr="005D0D22" w14:paraId="728E0A01" w14:textId="77777777">
        <w:trPr>
          <w:cantSplit/>
          <w:trHeight w:val="20"/>
        </w:trPr>
        <w:tc>
          <w:tcPr>
            <w:tcW w:w="1275"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42C29126" w14:textId="4E41BE0C" w:rsidR="00C40358" w:rsidRPr="005D0D22" w:rsidRDefault="00C40358">
            <w:pPr>
              <w:spacing w:after="160"/>
              <w:contextualSpacing/>
              <w:jc w:val="center"/>
              <w:rPr>
                <w:rFonts w:ascii="Arial Narrow" w:hAnsi="Arial Narrow"/>
                <w:sz w:val="20"/>
                <w:szCs w:val="20"/>
              </w:rPr>
            </w:pPr>
          </w:p>
        </w:tc>
        <w:tc>
          <w:tcPr>
            <w:tcW w:w="7741"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3D47477B" w14:textId="77777777" w:rsidR="00C40358" w:rsidRPr="005D0D22" w:rsidRDefault="00C40358">
            <w:pPr>
              <w:spacing w:after="160"/>
              <w:contextualSpacing/>
              <w:jc w:val="left"/>
              <w:rPr>
                <w:rFonts w:ascii="Arial Narrow" w:hAnsi="Arial Narrow"/>
                <w:color w:val="000000"/>
                <w:sz w:val="20"/>
                <w:szCs w:val="20"/>
              </w:rPr>
            </w:pPr>
            <w:r w:rsidRPr="005D0D22">
              <w:rPr>
                <w:rFonts w:ascii="Arial Narrow" w:eastAsia="Calibri" w:hAnsi="Arial Narrow" w:cs="Arial Narrow"/>
                <w:iCs/>
                <w:color w:val="000000"/>
                <w:sz w:val="20"/>
                <w:szCs w:val="20"/>
                <w:lang w:eastAsia="en-US"/>
              </w:rPr>
              <w:t>Must be treated by a prescriber who is either: (i) a neurologist; (ii) a clinical immunologist with expertise in the treatment of myasthenia gravis; or</w:t>
            </w:r>
          </w:p>
        </w:tc>
      </w:tr>
      <w:tr w:rsidR="00C40358" w:rsidRPr="005D0D22" w14:paraId="4ECD6356" w14:textId="77777777">
        <w:trPr>
          <w:cantSplit/>
          <w:trHeight w:val="20"/>
        </w:trPr>
        <w:tc>
          <w:tcPr>
            <w:tcW w:w="1275"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4E22BDC6" w14:textId="7709C3B2" w:rsidR="00C40358" w:rsidRPr="005D0D22" w:rsidRDefault="00C40358">
            <w:pPr>
              <w:spacing w:after="160"/>
              <w:contextualSpacing/>
              <w:jc w:val="center"/>
              <w:rPr>
                <w:rFonts w:ascii="Arial Narrow" w:hAnsi="Arial Narrow"/>
                <w:sz w:val="20"/>
                <w:szCs w:val="20"/>
              </w:rPr>
            </w:pPr>
          </w:p>
        </w:tc>
        <w:tc>
          <w:tcPr>
            <w:tcW w:w="7741"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25D7470C" w14:textId="77777777" w:rsidR="00C40358" w:rsidRPr="005D0D22" w:rsidRDefault="00C40358">
            <w:pPr>
              <w:spacing w:after="160"/>
              <w:contextualSpacing/>
              <w:jc w:val="left"/>
              <w:rPr>
                <w:rFonts w:ascii="Arial Narrow" w:eastAsia="Calibri" w:hAnsi="Arial Narrow" w:cs="Arial Narrow"/>
                <w:color w:val="000000"/>
                <w:sz w:val="20"/>
                <w:szCs w:val="20"/>
                <w:lang w:eastAsia="en-US"/>
              </w:rPr>
            </w:pPr>
            <w:r w:rsidRPr="74EB87D5">
              <w:rPr>
                <w:rFonts w:ascii="Arial Narrow" w:eastAsia="Calibri" w:hAnsi="Arial Narrow" w:cs="Arial Narrow"/>
                <w:color w:val="000000" w:themeColor="text1"/>
                <w:sz w:val="20"/>
                <w:szCs w:val="20"/>
                <w:lang w:eastAsia="en-US"/>
              </w:rPr>
              <w:t xml:space="preserve">Must be treated by a medical practitioner who has consulted at least one of the </w:t>
            </w:r>
            <w:bookmarkStart w:id="10" w:name="_Int_8VDWaZUH"/>
            <w:r w:rsidRPr="74EB87D5">
              <w:rPr>
                <w:rFonts w:ascii="Arial Narrow" w:eastAsia="Calibri" w:hAnsi="Arial Narrow" w:cs="Arial Narrow"/>
                <w:color w:val="000000" w:themeColor="text1"/>
                <w:sz w:val="20"/>
                <w:szCs w:val="20"/>
                <w:lang w:eastAsia="en-US"/>
              </w:rPr>
              <w:t>above mentioned</w:t>
            </w:r>
            <w:bookmarkEnd w:id="10"/>
            <w:r w:rsidRPr="74EB87D5">
              <w:rPr>
                <w:rFonts w:ascii="Arial Narrow" w:eastAsia="Calibri" w:hAnsi="Arial Narrow" w:cs="Arial Narrow"/>
                <w:color w:val="000000" w:themeColor="text1"/>
                <w:sz w:val="20"/>
                <w:szCs w:val="20"/>
                <w:lang w:eastAsia="en-US"/>
              </w:rPr>
              <w:t xml:space="preserve"> specialist types, with an agreement reached that the patient should be treated with this pharmaceutical benefit on this occasion</w:t>
            </w:r>
          </w:p>
        </w:tc>
      </w:tr>
      <w:tr w:rsidR="00C40358" w:rsidRPr="005D0D22" w14:paraId="415AECE7" w14:textId="77777777">
        <w:trPr>
          <w:cantSplit/>
          <w:trHeight w:val="20"/>
        </w:trPr>
        <w:tc>
          <w:tcPr>
            <w:tcW w:w="1275"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3868BB20" w14:textId="3BE33D1A" w:rsidR="00C40358" w:rsidRPr="005D0D22" w:rsidRDefault="00C40358">
            <w:pPr>
              <w:spacing w:after="160"/>
              <w:contextualSpacing/>
              <w:jc w:val="center"/>
              <w:rPr>
                <w:rFonts w:ascii="Arial Narrow" w:hAnsi="Arial Narrow"/>
                <w:sz w:val="20"/>
                <w:szCs w:val="20"/>
              </w:rPr>
            </w:pPr>
          </w:p>
        </w:tc>
        <w:tc>
          <w:tcPr>
            <w:tcW w:w="7741"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24DF8F25" w14:textId="77777777" w:rsidR="00C40358" w:rsidRPr="005D0D22" w:rsidRDefault="00C40358">
            <w:pPr>
              <w:spacing w:after="160"/>
              <w:contextualSpacing/>
              <w:jc w:val="left"/>
              <w:rPr>
                <w:rFonts w:ascii="Arial" w:eastAsia="Calibri" w:hAnsi="Arial" w:cs="Arial"/>
                <w:b/>
                <w:bCs/>
                <w:color w:val="000000"/>
                <w:sz w:val="20"/>
                <w:szCs w:val="20"/>
                <w:shd w:val="clear" w:color="auto" w:fill="FFFFFF"/>
                <w:lang w:eastAsia="en-US"/>
              </w:rPr>
            </w:pPr>
            <w:r w:rsidRPr="005D0D22">
              <w:rPr>
                <w:rFonts w:ascii="Arial Narrow" w:eastAsia="Calibri" w:hAnsi="Arial Narrow"/>
                <w:b/>
                <w:bCs/>
                <w:color w:val="000000"/>
                <w:sz w:val="20"/>
                <w:szCs w:val="20"/>
                <w:shd w:val="clear" w:color="auto" w:fill="FFFFFF"/>
                <w:lang w:eastAsia="en-US"/>
              </w:rPr>
              <w:t>Prescribing Instructions:</w:t>
            </w:r>
            <w:r w:rsidRPr="005D0D22">
              <w:rPr>
                <w:rFonts w:ascii="Arial" w:eastAsia="Calibri" w:hAnsi="Arial" w:cs="Arial"/>
                <w:b/>
                <w:bCs/>
                <w:color w:val="000000"/>
                <w:sz w:val="20"/>
                <w:szCs w:val="20"/>
                <w:shd w:val="clear" w:color="auto" w:fill="FFFFFF"/>
                <w:lang w:eastAsia="en-US"/>
              </w:rPr>
              <w:t> </w:t>
            </w:r>
          </w:p>
          <w:p w14:paraId="2F835416" w14:textId="77777777" w:rsidR="00C40358" w:rsidRPr="005D0D22" w:rsidRDefault="00C40358">
            <w:pPr>
              <w:spacing w:after="160" w:line="256" w:lineRule="auto"/>
              <w:contextualSpacing/>
              <w:jc w:val="left"/>
              <w:rPr>
                <w:rFonts w:ascii="Arial Narrow" w:eastAsia="Calibri" w:hAnsi="Arial Narrow"/>
                <w:bCs/>
                <w:color w:val="000000"/>
                <w:sz w:val="20"/>
                <w:szCs w:val="20"/>
                <w:lang w:eastAsia="en-US"/>
              </w:rPr>
            </w:pPr>
            <w:r w:rsidRPr="005D0D22">
              <w:rPr>
                <w:rFonts w:ascii="Arial Narrow" w:eastAsia="Calibri" w:hAnsi="Arial Narrow"/>
                <w:bCs/>
                <w:color w:val="000000"/>
                <w:sz w:val="20"/>
                <w:szCs w:val="20"/>
                <w:lang w:eastAsia="en-US"/>
              </w:rPr>
              <w:t>The authority application must be via the Online PBS Authorities System or in writing via HPOS form upload or mail.</w:t>
            </w:r>
          </w:p>
          <w:p w14:paraId="5C3D9B12" w14:textId="77777777" w:rsidR="00C40358" w:rsidRPr="005D0D22" w:rsidRDefault="00C40358">
            <w:pPr>
              <w:spacing w:after="160" w:line="256" w:lineRule="auto"/>
              <w:contextualSpacing/>
              <w:jc w:val="left"/>
              <w:rPr>
                <w:rFonts w:ascii="Arial Narrow" w:eastAsia="Calibri" w:hAnsi="Arial Narrow"/>
                <w:bCs/>
                <w:color w:val="000000"/>
                <w:sz w:val="20"/>
                <w:szCs w:val="20"/>
                <w:lang w:eastAsia="en-US"/>
              </w:rPr>
            </w:pPr>
          </w:p>
          <w:p w14:paraId="4272DB87" w14:textId="77777777" w:rsidR="00C40358" w:rsidRPr="005D0D22" w:rsidRDefault="00C40358">
            <w:pPr>
              <w:spacing w:after="160" w:line="256" w:lineRule="auto"/>
              <w:contextualSpacing/>
              <w:jc w:val="left"/>
              <w:rPr>
                <w:rFonts w:ascii="Arial Narrow" w:eastAsia="Calibri" w:hAnsi="Arial Narrow"/>
                <w:bCs/>
                <w:color w:val="000000"/>
                <w:sz w:val="20"/>
                <w:szCs w:val="20"/>
                <w:lang w:eastAsia="en-US"/>
              </w:rPr>
            </w:pPr>
            <w:r w:rsidRPr="005D0D22">
              <w:rPr>
                <w:rFonts w:ascii="Arial Narrow" w:eastAsia="Calibri" w:hAnsi="Arial Narrow"/>
                <w:bCs/>
                <w:color w:val="000000"/>
                <w:sz w:val="20"/>
                <w:szCs w:val="20"/>
                <w:lang w:eastAsia="en-US"/>
              </w:rPr>
              <w:t>If the application is submitted through HPOS form upload or mail, it must include the following:</w:t>
            </w:r>
          </w:p>
          <w:p w14:paraId="4B5CA9A7" w14:textId="77777777" w:rsidR="00C40358" w:rsidRPr="005D0D22" w:rsidRDefault="00C40358">
            <w:pPr>
              <w:spacing w:after="160" w:line="256" w:lineRule="auto"/>
              <w:contextualSpacing/>
              <w:jc w:val="left"/>
              <w:rPr>
                <w:rFonts w:ascii="Arial Narrow" w:eastAsia="Calibri" w:hAnsi="Arial Narrow"/>
                <w:bCs/>
                <w:color w:val="000000"/>
                <w:sz w:val="20"/>
                <w:szCs w:val="20"/>
                <w:lang w:eastAsia="en-US"/>
              </w:rPr>
            </w:pPr>
            <w:r w:rsidRPr="005D0D22">
              <w:rPr>
                <w:rFonts w:ascii="Arial Narrow" w:eastAsia="Calibri" w:hAnsi="Arial Narrow"/>
                <w:bCs/>
                <w:color w:val="000000"/>
                <w:sz w:val="20"/>
                <w:szCs w:val="20"/>
                <w:lang w:eastAsia="en-US"/>
              </w:rPr>
              <w:t xml:space="preserve">(1) </w:t>
            </w:r>
            <w:r w:rsidRPr="005D0D22">
              <w:rPr>
                <w:rFonts w:ascii="Arial Narrow" w:eastAsia="Calibri" w:hAnsi="Arial Narrow"/>
                <w:color w:val="000000"/>
                <w:sz w:val="20"/>
                <w:szCs w:val="20"/>
                <w:shd w:val="clear" w:color="auto" w:fill="FFFFFF"/>
                <w:lang w:eastAsia="en-US"/>
              </w:rPr>
              <w:t xml:space="preserve">details of the proposed prescription </w:t>
            </w:r>
          </w:p>
          <w:p w14:paraId="3CE53CD1" w14:textId="77777777" w:rsidR="00C40358" w:rsidRPr="005D0D22" w:rsidRDefault="00C40358">
            <w:pPr>
              <w:spacing w:after="160"/>
              <w:contextualSpacing/>
              <w:jc w:val="left"/>
              <w:rPr>
                <w:rFonts w:ascii="Arial Narrow" w:eastAsia="Calibri" w:hAnsi="Arial Narrow" w:cs="Arial Narrow"/>
                <w:iCs/>
                <w:color w:val="FF0000"/>
                <w:sz w:val="20"/>
                <w:szCs w:val="20"/>
                <w:lang w:eastAsia="en-US"/>
              </w:rPr>
            </w:pPr>
            <w:r w:rsidRPr="005D0D22">
              <w:rPr>
                <w:rFonts w:ascii="Arial Narrow" w:eastAsia="Calibri" w:hAnsi="Arial Narrow"/>
                <w:bCs/>
                <w:color w:val="000000"/>
                <w:sz w:val="20"/>
                <w:szCs w:val="20"/>
                <w:lang w:eastAsia="en-US"/>
              </w:rPr>
              <w:t>(2) a completed authority application form relevant to the indication and treatment phase (the latest version is located on the website specified in the Administrative Advice)</w:t>
            </w:r>
          </w:p>
        </w:tc>
      </w:tr>
    </w:tbl>
    <w:p w14:paraId="0EAE7536" w14:textId="77777777" w:rsidR="00C40358" w:rsidRPr="005D0D22" w:rsidRDefault="00C40358" w:rsidP="00C40358">
      <w:pPr>
        <w:keepNext/>
        <w:keepLines/>
        <w:spacing w:before="160" w:after="80" w:line="256" w:lineRule="auto"/>
        <w:jc w:val="left"/>
        <w:outlineLvl w:val="1"/>
        <w:rPr>
          <w:rFonts w:cs="Arial"/>
          <w:b/>
          <w:bCs/>
          <w:snapToGrid w:val="0"/>
          <w:lang w:eastAsia="en-US"/>
        </w:rPr>
      </w:pPr>
      <w:r w:rsidRPr="005D0D22">
        <w:rPr>
          <w:rFonts w:cs="Arial"/>
          <w:b/>
          <w:bCs/>
          <w:snapToGrid w:val="0"/>
          <w:lang w:eastAsia="en-US"/>
        </w:rPr>
        <w:t xml:space="preserve">Bridging therapy </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1"/>
        <w:gridCol w:w="783"/>
        <w:gridCol w:w="1984"/>
        <w:gridCol w:w="1841"/>
        <w:gridCol w:w="851"/>
        <w:gridCol w:w="850"/>
        <w:gridCol w:w="709"/>
        <w:gridCol w:w="1507"/>
      </w:tblGrid>
      <w:tr w:rsidR="00C40358" w:rsidRPr="005D0D22" w14:paraId="5D00A5BD" w14:textId="77777777">
        <w:trPr>
          <w:cantSplit/>
          <w:trHeight w:val="300"/>
        </w:trPr>
        <w:tc>
          <w:tcPr>
            <w:tcW w:w="3258" w:type="dxa"/>
            <w:gridSpan w:val="3"/>
            <w:tcBorders>
              <w:top w:val="single" w:sz="4" w:space="0" w:color="auto"/>
              <w:left w:val="single" w:sz="4" w:space="0" w:color="auto"/>
              <w:bottom w:val="single" w:sz="4" w:space="0" w:color="auto"/>
              <w:right w:val="single" w:sz="4" w:space="0" w:color="auto"/>
            </w:tcBorders>
            <w:vAlign w:val="center"/>
            <w:hideMark/>
          </w:tcPr>
          <w:p w14:paraId="55D36006" w14:textId="77777777" w:rsidR="00C40358" w:rsidRPr="005D0D22" w:rsidRDefault="00C40358">
            <w:pPr>
              <w:keepLines/>
              <w:jc w:val="left"/>
              <w:rPr>
                <w:rFonts w:ascii="Arial Narrow" w:eastAsia="Aptos" w:hAnsi="Arial Narrow" w:cs="Arial"/>
                <w:b/>
                <w:bCs/>
                <w:kern w:val="2"/>
                <w:sz w:val="20"/>
                <w:szCs w:val="20"/>
                <w:lang w:eastAsia="en-US"/>
                <w14:ligatures w14:val="standardContextual"/>
              </w:rPr>
            </w:pPr>
            <w:r w:rsidRPr="005D0D22">
              <w:rPr>
                <w:rFonts w:ascii="Arial Narrow" w:eastAsia="Aptos" w:hAnsi="Arial Narrow" w:cs="Arial"/>
                <w:b/>
                <w:bCs/>
                <w:kern w:val="2"/>
                <w:sz w:val="20"/>
                <w:szCs w:val="20"/>
                <w:lang w:eastAsia="en-US"/>
                <w14:ligatures w14:val="standardContextual"/>
              </w:rPr>
              <w:t>MEDICINAL PRODUCT</w:t>
            </w:r>
          </w:p>
          <w:p w14:paraId="2917A3FE" w14:textId="77777777" w:rsidR="00C40358" w:rsidRPr="005D0D22" w:rsidRDefault="00C40358">
            <w:pPr>
              <w:keepLines/>
              <w:jc w:val="left"/>
              <w:rPr>
                <w:rFonts w:ascii="Arial Narrow" w:eastAsia="Aptos" w:hAnsi="Arial Narrow" w:cs="Arial"/>
                <w:b/>
                <w:kern w:val="2"/>
                <w:sz w:val="20"/>
                <w:szCs w:val="20"/>
                <w:lang w:eastAsia="en-US"/>
                <w14:ligatures w14:val="standardContextual"/>
              </w:rPr>
            </w:pPr>
            <w:r w:rsidRPr="005D0D22">
              <w:rPr>
                <w:rFonts w:ascii="Arial Narrow" w:eastAsia="Aptos" w:hAnsi="Arial Narrow" w:cs="Arial"/>
                <w:b/>
                <w:bCs/>
                <w:kern w:val="2"/>
                <w:sz w:val="20"/>
                <w:szCs w:val="20"/>
                <w:lang w:eastAsia="en-US"/>
                <w14:ligatures w14:val="standardContextual"/>
              </w:rPr>
              <w:t>medicinal product pack</w:t>
            </w:r>
          </w:p>
        </w:tc>
        <w:tc>
          <w:tcPr>
            <w:tcW w:w="1841" w:type="dxa"/>
            <w:tcBorders>
              <w:top w:val="single" w:sz="4" w:space="0" w:color="auto"/>
              <w:left w:val="single" w:sz="4" w:space="0" w:color="auto"/>
              <w:bottom w:val="single" w:sz="4" w:space="0" w:color="auto"/>
              <w:right w:val="single" w:sz="4" w:space="0" w:color="auto"/>
            </w:tcBorders>
            <w:vAlign w:val="center"/>
            <w:hideMark/>
          </w:tcPr>
          <w:p w14:paraId="0AFB0AA3" w14:textId="77777777" w:rsidR="00C40358" w:rsidRPr="005D0D22" w:rsidRDefault="00C40358">
            <w:pPr>
              <w:keepLines/>
              <w:jc w:val="center"/>
              <w:rPr>
                <w:rFonts w:ascii="Arial Narrow" w:eastAsia="Aptos" w:hAnsi="Arial Narrow" w:cs="Arial"/>
                <w:b/>
                <w:kern w:val="2"/>
                <w:sz w:val="20"/>
                <w:szCs w:val="20"/>
                <w:lang w:eastAsia="en-US"/>
                <w14:ligatures w14:val="standardContextual"/>
              </w:rPr>
            </w:pPr>
            <w:r w:rsidRPr="005D0D22">
              <w:rPr>
                <w:rFonts w:ascii="Arial Narrow" w:eastAsia="Aptos" w:hAnsi="Arial Narrow" w:cs="Arial"/>
                <w:b/>
                <w:kern w:val="2"/>
                <w:sz w:val="20"/>
                <w:szCs w:val="20"/>
                <w:lang w:eastAsia="en-US"/>
                <w14:ligatures w14:val="standardContextual"/>
              </w:rPr>
              <w:t>PBS item code</w:t>
            </w:r>
          </w:p>
        </w:tc>
        <w:tc>
          <w:tcPr>
            <w:tcW w:w="851" w:type="dxa"/>
            <w:tcBorders>
              <w:top w:val="single" w:sz="4" w:space="0" w:color="auto"/>
              <w:left w:val="single" w:sz="4" w:space="0" w:color="auto"/>
              <w:bottom w:val="single" w:sz="4" w:space="0" w:color="auto"/>
              <w:right w:val="single" w:sz="4" w:space="0" w:color="auto"/>
            </w:tcBorders>
            <w:vAlign w:val="center"/>
            <w:hideMark/>
          </w:tcPr>
          <w:p w14:paraId="5BD3CE01" w14:textId="77777777" w:rsidR="00C40358" w:rsidRPr="005D0D22" w:rsidRDefault="00C40358">
            <w:pPr>
              <w:keepLines/>
              <w:jc w:val="center"/>
              <w:rPr>
                <w:rFonts w:ascii="Arial Narrow" w:eastAsia="Aptos" w:hAnsi="Arial Narrow" w:cs="Arial"/>
                <w:b/>
                <w:kern w:val="2"/>
                <w:sz w:val="20"/>
                <w:szCs w:val="20"/>
                <w:lang w:eastAsia="en-US"/>
                <w14:ligatures w14:val="standardContextual"/>
              </w:rPr>
            </w:pPr>
            <w:r w:rsidRPr="005D0D22">
              <w:rPr>
                <w:rFonts w:ascii="Arial Narrow" w:eastAsia="Aptos" w:hAnsi="Arial Narrow" w:cs="Arial"/>
                <w:b/>
                <w:kern w:val="2"/>
                <w:sz w:val="20"/>
                <w:szCs w:val="20"/>
                <w:lang w:eastAsia="en-US"/>
                <w14:ligatures w14:val="standardContextual"/>
              </w:rPr>
              <w:t>Max. qty packs</w:t>
            </w:r>
          </w:p>
        </w:tc>
        <w:tc>
          <w:tcPr>
            <w:tcW w:w="850" w:type="dxa"/>
            <w:tcBorders>
              <w:top w:val="single" w:sz="4" w:space="0" w:color="auto"/>
              <w:left w:val="single" w:sz="4" w:space="0" w:color="auto"/>
              <w:bottom w:val="single" w:sz="4" w:space="0" w:color="auto"/>
              <w:right w:val="single" w:sz="4" w:space="0" w:color="auto"/>
            </w:tcBorders>
            <w:vAlign w:val="center"/>
            <w:hideMark/>
          </w:tcPr>
          <w:p w14:paraId="6792DE71" w14:textId="77777777" w:rsidR="00C40358" w:rsidRPr="005D0D22" w:rsidRDefault="00C40358">
            <w:pPr>
              <w:keepLines/>
              <w:jc w:val="center"/>
              <w:rPr>
                <w:rFonts w:ascii="Arial Narrow" w:eastAsia="Aptos" w:hAnsi="Arial Narrow" w:cs="Arial"/>
                <w:b/>
                <w:kern w:val="2"/>
                <w:sz w:val="20"/>
                <w:szCs w:val="20"/>
                <w:lang w:eastAsia="en-US"/>
                <w14:ligatures w14:val="standardContextual"/>
              </w:rPr>
            </w:pPr>
            <w:r w:rsidRPr="005D0D22">
              <w:rPr>
                <w:rFonts w:ascii="Arial Narrow" w:eastAsia="Aptos" w:hAnsi="Arial Narrow" w:cs="Arial"/>
                <w:b/>
                <w:kern w:val="2"/>
                <w:sz w:val="20"/>
                <w:szCs w:val="20"/>
                <w:lang w:eastAsia="en-US"/>
                <w14:ligatures w14:val="standardContextual"/>
              </w:rPr>
              <w:t>Max. qty units</w:t>
            </w:r>
          </w:p>
        </w:tc>
        <w:tc>
          <w:tcPr>
            <w:tcW w:w="709" w:type="dxa"/>
            <w:tcBorders>
              <w:top w:val="single" w:sz="4" w:space="0" w:color="auto"/>
              <w:left w:val="single" w:sz="4" w:space="0" w:color="auto"/>
              <w:bottom w:val="single" w:sz="4" w:space="0" w:color="auto"/>
              <w:right w:val="single" w:sz="4" w:space="0" w:color="auto"/>
            </w:tcBorders>
            <w:vAlign w:val="center"/>
            <w:hideMark/>
          </w:tcPr>
          <w:p w14:paraId="086C8C57" w14:textId="77777777" w:rsidR="00C40358" w:rsidRPr="005D0D22" w:rsidRDefault="00C40358">
            <w:pPr>
              <w:keepLines/>
              <w:jc w:val="center"/>
              <w:rPr>
                <w:rFonts w:ascii="Arial Narrow" w:eastAsia="Aptos" w:hAnsi="Arial Narrow" w:cs="Arial"/>
                <w:b/>
                <w:bCs/>
                <w:kern w:val="2"/>
                <w:sz w:val="20"/>
                <w:szCs w:val="20"/>
                <w:lang w:eastAsia="en-US"/>
                <w14:ligatures w14:val="standardContextual"/>
              </w:rPr>
            </w:pPr>
            <w:bookmarkStart w:id="11" w:name="_Int_nI6QABTG"/>
            <w:r w:rsidRPr="74EB87D5">
              <w:rPr>
                <w:rFonts w:ascii="Arial Narrow" w:eastAsia="Aptos" w:hAnsi="Arial Narrow" w:cs="Arial"/>
                <w:b/>
                <w:bCs/>
                <w:kern w:val="2"/>
                <w:sz w:val="20"/>
                <w:szCs w:val="20"/>
                <w:lang w:eastAsia="en-US"/>
                <w14:ligatures w14:val="standardContextual"/>
              </w:rPr>
              <w:t>№.of</w:t>
            </w:r>
            <w:bookmarkEnd w:id="11"/>
          </w:p>
          <w:p w14:paraId="47509FAD" w14:textId="77777777" w:rsidR="00C40358" w:rsidRPr="005D0D22" w:rsidRDefault="00C40358">
            <w:pPr>
              <w:keepLines/>
              <w:jc w:val="center"/>
              <w:rPr>
                <w:rFonts w:ascii="Arial Narrow" w:eastAsia="Aptos" w:hAnsi="Arial Narrow" w:cs="Arial"/>
                <w:b/>
                <w:kern w:val="2"/>
                <w:sz w:val="20"/>
                <w:szCs w:val="20"/>
                <w:lang w:eastAsia="en-US"/>
                <w14:ligatures w14:val="standardContextual"/>
              </w:rPr>
            </w:pPr>
            <w:r w:rsidRPr="005D0D22">
              <w:rPr>
                <w:rFonts w:ascii="Arial Narrow" w:eastAsia="Aptos" w:hAnsi="Arial Narrow" w:cs="Arial"/>
                <w:b/>
                <w:kern w:val="2"/>
                <w:sz w:val="20"/>
                <w:szCs w:val="20"/>
                <w:lang w:eastAsia="en-US"/>
                <w14:ligatures w14:val="standardContextual"/>
              </w:rPr>
              <w:t>Rpts</w:t>
            </w:r>
          </w:p>
        </w:tc>
        <w:tc>
          <w:tcPr>
            <w:tcW w:w="1507" w:type="dxa"/>
            <w:tcBorders>
              <w:top w:val="single" w:sz="4" w:space="0" w:color="auto"/>
              <w:left w:val="single" w:sz="4" w:space="0" w:color="auto"/>
              <w:bottom w:val="single" w:sz="4" w:space="0" w:color="auto"/>
              <w:right w:val="single" w:sz="4" w:space="0" w:color="auto"/>
            </w:tcBorders>
            <w:vAlign w:val="center"/>
            <w:hideMark/>
          </w:tcPr>
          <w:p w14:paraId="7B0A80EB" w14:textId="77777777" w:rsidR="00C40358" w:rsidRPr="005D0D22" w:rsidRDefault="00C40358">
            <w:pPr>
              <w:keepLines/>
              <w:jc w:val="left"/>
              <w:rPr>
                <w:rFonts w:ascii="Arial Narrow" w:eastAsia="Aptos" w:hAnsi="Arial Narrow" w:cs="Arial"/>
                <w:b/>
                <w:kern w:val="2"/>
                <w:sz w:val="20"/>
                <w:szCs w:val="20"/>
                <w:lang w:val="fr-FR" w:eastAsia="en-US"/>
                <w14:ligatures w14:val="standardContextual"/>
              </w:rPr>
            </w:pPr>
            <w:r w:rsidRPr="005D0D22">
              <w:rPr>
                <w:rFonts w:ascii="Arial Narrow" w:eastAsia="Aptos" w:hAnsi="Arial Narrow" w:cs="Arial"/>
                <w:b/>
                <w:kern w:val="2"/>
                <w:sz w:val="20"/>
                <w:szCs w:val="20"/>
                <w:lang w:eastAsia="en-US"/>
                <w14:ligatures w14:val="standardContextual"/>
              </w:rPr>
              <w:t>Available brands</w:t>
            </w:r>
          </w:p>
        </w:tc>
      </w:tr>
      <w:tr w:rsidR="00C40358" w:rsidRPr="005D0D22" w14:paraId="3325A430" w14:textId="77777777">
        <w:trPr>
          <w:cantSplit/>
          <w:trHeight w:val="300"/>
        </w:trPr>
        <w:tc>
          <w:tcPr>
            <w:tcW w:w="9016" w:type="dxa"/>
            <w:gridSpan w:val="8"/>
            <w:tcBorders>
              <w:top w:val="single" w:sz="4" w:space="0" w:color="auto"/>
              <w:left w:val="single" w:sz="4" w:space="0" w:color="auto"/>
              <w:bottom w:val="single" w:sz="4" w:space="0" w:color="auto"/>
              <w:right w:val="single" w:sz="4" w:space="0" w:color="auto"/>
            </w:tcBorders>
            <w:vAlign w:val="center"/>
            <w:hideMark/>
          </w:tcPr>
          <w:p w14:paraId="7CE332ED" w14:textId="77777777" w:rsidR="00C40358" w:rsidRPr="005D0D22" w:rsidRDefault="00C40358">
            <w:pPr>
              <w:keepLines/>
              <w:jc w:val="left"/>
              <w:rPr>
                <w:rFonts w:ascii="Arial Narrow" w:eastAsia="Aptos" w:hAnsi="Arial Narrow" w:cs="Arial"/>
                <w:kern w:val="2"/>
                <w:sz w:val="20"/>
                <w:szCs w:val="20"/>
                <w:lang w:eastAsia="en-US"/>
                <w14:ligatures w14:val="standardContextual"/>
              </w:rPr>
            </w:pPr>
            <w:r w:rsidRPr="005D0D22">
              <w:rPr>
                <w:rFonts w:ascii="Arial Narrow" w:eastAsia="Aptos" w:hAnsi="Arial Narrow" w:cs="Arial"/>
                <w:kern w:val="2"/>
                <w:sz w:val="20"/>
                <w:szCs w:val="20"/>
                <w:lang w:eastAsia="en-US"/>
                <w14:ligatures w14:val="standardContextual"/>
              </w:rPr>
              <w:t>EFGARTIGIMOD ALFA</w:t>
            </w:r>
          </w:p>
        </w:tc>
      </w:tr>
      <w:tr w:rsidR="007D2E85" w:rsidRPr="005D0D22" w14:paraId="4D09D6B8" w14:textId="77777777">
        <w:trPr>
          <w:cantSplit/>
          <w:trHeight w:val="300"/>
        </w:trPr>
        <w:tc>
          <w:tcPr>
            <w:tcW w:w="3258" w:type="dxa"/>
            <w:gridSpan w:val="3"/>
            <w:tcBorders>
              <w:top w:val="single" w:sz="4" w:space="0" w:color="auto"/>
              <w:left w:val="single" w:sz="4" w:space="0" w:color="auto"/>
              <w:bottom w:val="single" w:sz="4" w:space="0" w:color="auto"/>
              <w:right w:val="single" w:sz="4" w:space="0" w:color="auto"/>
            </w:tcBorders>
            <w:vAlign w:val="center"/>
          </w:tcPr>
          <w:p w14:paraId="7BE91C1E" w14:textId="3C3738C4" w:rsidR="007D2E85" w:rsidRPr="007D2E85" w:rsidRDefault="007D2E85" w:rsidP="007D2E85">
            <w:pPr>
              <w:keepLines/>
              <w:jc w:val="left"/>
              <w:rPr>
                <w:rFonts w:ascii="Arial Narrow" w:eastAsia="Aptos" w:hAnsi="Arial Narrow" w:cs="Arial"/>
                <w:i/>
                <w:color w:val="FF0000"/>
                <w:kern w:val="2"/>
                <w:sz w:val="20"/>
                <w:szCs w:val="20"/>
                <w:lang w:eastAsia="en-US"/>
                <w14:ligatures w14:val="standardContextual"/>
              </w:rPr>
            </w:pPr>
            <w:r w:rsidRPr="007D2E85">
              <w:rPr>
                <w:rFonts w:ascii="Arial Narrow" w:hAnsi="Arial Narrow" w:cs="Arial"/>
                <w:i/>
                <w:color w:val="FF0000"/>
                <w:sz w:val="20"/>
                <w:szCs w:val="20"/>
              </w:rPr>
              <w:t>efgartigimod alfa 1 g/5 mL injection, 5 mL syringe</w:t>
            </w:r>
          </w:p>
        </w:tc>
        <w:tc>
          <w:tcPr>
            <w:tcW w:w="1841" w:type="dxa"/>
            <w:tcBorders>
              <w:top w:val="single" w:sz="4" w:space="0" w:color="auto"/>
              <w:left w:val="single" w:sz="4" w:space="0" w:color="auto"/>
              <w:bottom w:val="single" w:sz="4" w:space="0" w:color="auto"/>
              <w:right w:val="single" w:sz="4" w:space="0" w:color="auto"/>
            </w:tcBorders>
            <w:vAlign w:val="center"/>
          </w:tcPr>
          <w:p w14:paraId="1A456C19" w14:textId="77777777" w:rsidR="007D2E85" w:rsidRDefault="007D2E85" w:rsidP="007D2E85">
            <w:pPr>
              <w:keepLines/>
              <w:jc w:val="center"/>
              <w:rPr>
                <w:rFonts w:ascii="Arial Narrow" w:hAnsi="Arial Narrow" w:cs="Arial"/>
                <w:i/>
                <w:color w:val="FF0000"/>
                <w:sz w:val="20"/>
                <w:szCs w:val="20"/>
              </w:rPr>
            </w:pPr>
            <w:r w:rsidRPr="007D2E85">
              <w:rPr>
                <w:rFonts w:ascii="Arial Narrow" w:hAnsi="Arial Narrow" w:cs="Arial"/>
                <w:i/>
                <w:color w:val="FF0000"/>
                <w:sz w:val="20"/>
                <w:szCs w:val="20"/>
              </w:rPr>
              <w:t>NEW</w:t>
            </w:r>
            <w:r w:rsidR="00630770">
              <w:rPr>
                <w:rFonts w:ascii="Arial Narrow" w:hAnsi="Arial Narrow" w:cs="Arial"/>
                <w:i/>
                <w:color w:val="FF0000"/>
                <w:sz w:val="20"/>
                <w:szCs w:val="20"/>
              </w:rPr>
              <w:t xml:space="preserve"> (HSD Public)</w:t>
            </w:r>
          </w:p>
          <w:p w14:paraId="38E8B54B" w14:textId="701CD4E6" w:rsidR="007D2E85" w:rsidRPr="007D2E85" w:rsidRDefault="00025A62" w:rsidP="007D2E85">
            <w:pPr>
              <w:keepLines/>
              <w:jc w:val="center"/>
              <w:rPr>
                <w:rFonts w:ascii="Arial Narrow" w:eastAsia="Aptos" w:hAnsi="Arial Narrow" w:cs="Arial"/>
                <w:i/>
                <w:color w:val="FF0000"/>
                <w:kern w:val="2"/>
                <w:sz w:val="20"/>
                <w:szCs w:val="20"/>
                <w:lang w:eastAsia="en-US"/>
                <w14:ligatures w14:val="standardContextual"/>
              </w:rPr>
            </w:pPr>
            <w:r>
              <w:rPr>
                <w:rFonts w:ascii="Arial Narrow" w:hAnsi="Arial Narrow" w:cs="Arial"/>
                <w:i/>
                <w:color w:val="FF0000"/>
                <w:sz w:val="20"/>
                <w:szCs w:val="20"/>
              </w:rPr>
              <w:t>NEW</w:t>
            </w:r>
            <w:r w:rsidR="00630770">
              <w:rPr>
                <w:rFonts w:ascii="Arial Narrow" w:hAnsi="Arial Narrow" w:cs="Arial"/>
                <w:i/>
                <w:color w:val="FF0000"/>
                <w:sz w:val="20"/>
                <w:szCs w:val="20"/>
              </w:rPr>
              <w:t xml:space="preserve"> (HSD </w:t>
            </w:r>
            <w:r>
              <w:rPr>
                <w:rFonts w:ascii="Arial Narrow" w:hAnsi="Arial Narrow" w:cs="Arial"/>
                <w:i/>
                <w:color w:val="FF0000"/>
                <w:sz w:val="20"/>
                <w:szCs w:val="20"/>
              </w:rPr>
              <w:t>Private)</w:t>
            </w:r>
          </w:p>
        </w:tc>
        <w:tc>
          <w:tcPr>
            <w:tcW w:w="851" w:type="dxa"/>
            <w:tcBorders>
              <w:top w:val="single" w:sz="4" w:space="0" w:color="auto"/>
              <w:left w:val="single" w:sz="4" w:space="0" w:color="auto"/>
              <w:bottom w:val="single" w:sz="4" w:space="0" w:color="auto"/>
              <w:right w:val="single" w:sz="4" w:space="0" w:color="auto"/>
            </w:tcBorders>
            <w:vAlign w:val="center"/>
          </w:tcPr>
          <w:p w14:paraId="527FC49A" w14:textId="0EB40585" w:rsidR="007D2E85" w:rsidRPr="007D2E85" w:rsidRDefault="007D2E85" w:rsidP="007D2E85">
            <w:pPr>
              <w:keepLines/>
              <w:jc w:val="center"/>
              <w:rPr>
                <w:rFonts w:ascii="Arial Narrow" w:eastAsia="Aptos" w:hAnsi="Arial Narrow" w:cs="Arial"/>
                <w:i/>
                <w:color w:val="FF0000"/>
                <w:kern w:val="2"/>
                <w:sz w:val="20"/>
                <w:szCs w:val="20"/>
                <w:lang w:eastAsia="en-US"/>
                <w14:ligatures w14:val="standardContextual"/>
              </w:rPr>
            </w:pPr>
            <w:r w:rsidRPr="007D2E85">
              <w:rPr>
                <w:rFonts w:ascii="Arial Narrow" w:hAnsi="Arial Narrow" w:cs="Arial"/>
                <w:i/>
                <w:color w:val="FF0000"/>
                <w:sz w:val="20"/>
                <w:szCs w:val="20"/>
              </w:rPr>
              <w:t>4</w:t>
            </w:r>
          </w:p>
        </w:tc>
        <w:tc>
          <w:tcPr>
            <w:tcW w:w="850" w:type="dxa"/>
            <w:tcBorders>
              <w:top w:val="single" w:sz="4" w:space="0" w:color="auto"/>
              <w:left w:val="single" w:sz="4" w:space="0" w:color="auto"/>
              <w:bottom w:val="single" w:sz="4" w:space="0" w:color="auto"/>
              <w:right w:val="single" w:sz="4" w:space="0" w:color="auto"/>
            </w:tcBorders>
            <w:vAlign w:val="center"/>
          </w:tcPr>
          <w:p w14:paraId="0AA6374B" w14:textId="2B447D49" w:rsidR="007D2E85" w:rsidRPr="007D2E85" w:rsidRDefault="007D2E85" w:rsidP="007D2E85">
            <w:pPr>
              <w:keepLines/>
              <w:jc w:val="center"/>
              <w:rPr>
                <w:rFonts w:ascii="Arial Narrow" w:eastAsia="Aptos" w:hAnsi="Arial Narrow" w:cs="Arial"/>
                <w:i/>
                <w:color w:val="FF0000"/>
                <w:kern w:val="2"/>
                <w:sz w:val="20"/>
                <w:szCs w:val="20"/>
                <w:lang w:eastAsia="en-US"/>
                <w14:ligatures w14:val="standardContextual"/>
              </w:rPr>
            </w:pPr>
            <w:r w:rsidRPr="007D2E85">
              <w:rPr>
                <w:rFonts w:ascii="Arial Narrow" w:hAnsi="Arial Narrow" w:cs="Arial"/>
                <w:i/>
                <w:color w:val="FF0000"/>
                <w:sz w:val="20"/>
                <w:szCs w:val="20"/>
              </w:rPr>
              <w:t>4</w:t>
            </w:r>
          </w:p>
        </w:tc>
        <w:tc>
          <w:tcPr>
            <w:tcW w:w="709" w:type="dxa"/>
            <w:tcBorders>
              <w:top w:val="single" w:sz="4" w:space="0" w:color="auto"/>
              <w:left w:val="single" w:sz="4" w:space="0" w:color="auto"/>
              <w:bottom w:val="single" w:sz="4" w:space="0" w:color="auto"/>
              <w:right w:val="single" w:sz="4" w:space="0" w:color="auto"/>
            </w:tcBorders>
            <w:vAlign w:val="center"/>
          </w:tcPr>
          <w:p w14:paraId="25A3E894" w14:textId="73E914E7" w:rsidR="007D2E85" w:rsidRPr="007D2E85" w:rsidRDefault="007D2E85" w:rsidP="007D2E85">
            <w:pPr>
              <w:keepLines/>
              <w:jc w:val="center"/>
              <w:rPr>
                <w:rFonts w:ascii="Arial Narrow" w:eastAsia="Aptos" w:hAnsi="Arial Narrow" w:cs="Arial"/>
                <w:i/>
                <w:color w:val="FF0000"/>
                <w:kern w:val="2"/>
                <w:sz w:val="20"/>
                <w:szCs w:val="20"/>
                <w:lang w:eastAsia="en-US"/>
                <w14:ligatures w14:val="standardContextual"/>
              </w:rPr>
            </w:pPr>
            <w:r w:rsidRPr="007D2E85">
              <w:rPr>
                <w:rFonts w:ascii="Arial Narrow" w:hAnsi="Arial Narrow" w:cs="Arial"/>
                <w:i/>
                <w:color w:val="FF0000"/>
                <w:sz w:val="20"/>
                <w:szCs w:val="20"/>
              </w:rPr>
              <w:t>3</w:t>
            </w:r>
          </w:p>
        </w:tc>
        <w:tc>
          <w:tcPr>
            <w:tcW w:w="1507" w:type="dxa"/>
            <w:tcBorders>
              <w:top w:val="single" w:sz="4" w:space="0" w:color="auto"/>
              <w:left w:val="single" w:sz="4" w:space="0" w:color="auto"/>
              <w:bottom w:val="single" w:sz="4" w:space="0" w:color="auto"/>
              <w:right w:val="single" w:sz="4" w:space="0" w:color="auto"/>
            </w:tcBorders>
            <w:vAlign w:val="center"/>
          </w:tcPr>
          <w:p w14:paraId="1C1E2F50" w14:textId="1951E3DE" w:rsidR="007D2E85" w:rsidRPr="007D2E85" w:rsidRDefault="007D2E85" w:rsidP="007D2E85">
            <w:pPr>
              <w:keepLines/>
              <w:jc w:val="left"/>
              <w:rPr>
                <w:rFonts w:ascii="Arial Narrow" w:eastAsia="Aptos" w:hAnsi="Arial Narrow" w:cs="Arial"/>
                <w:i/>
                <w:color w:val="FF0000"/>
                <w:kern w:val="2"/>
                <w:sz w:val="20"/>
                <w:szCs w:val="20"/>
                <w:lang w:eastAsia="en-US"/>
                <w14:ligatures w14:val="standardContextual"/>
              </w:rPr>
            </w:pPr>
            <w:r w:rsidRPr="007D2E85">
              <w:rPr>
                <w:rFonts w:ascii="Arial Narrow" w:hAnsi="Arial Narrow" w:cs="Arial"/>
                <w:i/>
                <w:color w:val="FF0000"/>
                <w:sz w:val="20"/>
                <w:szCs w:val="20"/>
              </w:rPr>
              <w:t>Vyvgart PFS</w:t>
            </w:r>
          </w:p>
        </w:tc>
      </w:tr>
      <w:tr w:rsidR="00C40358" w:rsidRPr="005D0D22" w14:paraId="76962C24" w14:textId="77777777">
        <w:trPr>
          <w:cantSplit/>
          <w:trHeight w:val="300"/>
        </w:trPr>
        <w:tc>
          <w:tcPr>
            <w:tcW w:w="3258" w:type="dxa"/>
            <w:gridSpan w:val="3"/>
            <w:tcBorders>
              <w:top w:val="single" w:sz="4" w:space="0" w:color="auto"/>
              <w:left w:val="single" w:sz="4" w:space="0" w:color="auto"/>
              <w:bottom w:val="single" w:sz="4" w:space="0" w:color="auto"/>
              <w:right w:val="single" w:sz="4" w:space="0" w:color="auto"/>
            </w:tcBorders>
            <w:vAlign w:val="center"/>
            <w:hideMark/>
          </w:tcPr>
          <w:p w14:paraId="4618831A" w14:textId="77777777" w:rsidR="00C40358" w:rsidRPr="007D2E85" w:rsidRDefault="00C40358">
            <w:pPr>
              <w:keepLines/>
              <w:jc w:val="left"/>
              <w:rPr>
                <w:rFonts w:ascii="Arial Narrow" w:eastAsia="Aptos" w:hAnsi="Arial Narrow" w:cs="Arial"/>
                <w:kern w:val="2"/>
                <w:sz w:val="20"/>
                <w:szCs w:val="20"/>
                <w:lang w:eastAsia="en-US"/>
                <w14:ligatures w14:val="standardContextual"/>
              </w:rPr>
            </w:pPr>
            <w:r w:rsidRPr="007D2E85">
              <w:rPr>
                <w:rFonts w:ascii="Arial Narrow" w:eastAsia="Aptos" w:hAnsi="Arial Narrow" w:cs="Arial"/>
                <w:kern w:val="2"/>
                <w:sz w:val="20"/>
                <w:szCs w:val="20"/>
                <w:lang w:eastAsia="en-US"/>
                <w14:ligatures w14:val="standardContextual"/>
              </w:rPr>
              <w:t>efgartigimod alfa 1000 mg in 5.6 mL vial</w:t>
            </w:r>
          </w:p>
        </w:tc>
        <w:tc>
          <w:tcPr>
            <w:tcW w:w="1841" w:type="dxa"/>
            <w:tcBorders>
              <w:top w:val="single" w:sz="4" w:space="0" w:color="auto"/>
              <w:left w:val="single" w:sz="4" w:space="0" w:color="auto"/>
              <w:bottom w:val="single" w:sz="4" w:space="0" w:color="auto"/>
              <w:right w:val="single" w:sz="4" w:space="0" w:color="auto"/>
            </w:tcBorders>
            <w:vAlign w:val="center"/>
            <w:hideMark/>
          </w:tcPr>
          <w:p w14:paraId="356A6918" w14:textId="77777777" w:rsidR="00C40358" w:rsidRPr="007D2E85" w:rsidRDefault="00C40358">
            <w:pPr>
              <w:keepLines/>
              <w:jc w:val="center"/>
              <w:rPr>
                <w:rFonts w:ascii="Arial Narrow" w:eastAsia="Aptos" w:hAnsi="Arial Narrow" w:cs="Arial"/>
                <w:kern w:val="2"/>
                <w:sz w:val="20"/>
                <w:szCs w:val="20"/>
                <w:lang w:eastAsia="en-US"/>
                <w14:ligatures w14:val="standardContextual"/>
              </w:rPr>
            </w:pPr>
            <w:r w:rsidRPr="007D2E85">
              <w:rPr>
                <w:rFonts w:ascii="Arial Narrow" w:eastAsia="Aptos" w:hAnsi="Arial Narrow" w:cs="Arial"/>
                <w:kern w:val="2"/>
                <w:sz w:val="20"/>
                <w:szCs w:val="20"/>
                <w:lang w:eastAsia="en-US"/>
                <w14:ligatures w14:val="standardContextual"/>
              </w:rPr>
              <w:t>NEW (HSD Public)</w:t>
            </w:r>
          </w:p>
          <w:p w14:paraId="4E4E7FBB" w14:textId="77777777" w:rsidR="00C40358" w:rsidRPr="007D2E85" w:rsidRDefault="00C40358">
            <w:pPr>
              <w:keepLines/>
              <w:jc w:val="center"/>
              <w:rPr>
                <w:rFonts w:ascii="Arial Narrow" w:eastAsia="Aptos" w:hAnsi="Arial Narrow" w:cs="Arial"/>
                <w:kern w:val="2"/>
                <w:sz w:val="20"/>
                <w:szCs w:val="20"/>
                <w:lang w:eastAsia="en-US"/>
                <w14:ligatures w14:val="standardContextual"/>
              </w:rPr>
            </w:pPr>
            <w:r w:rsidRPr="007D2E85">
              <w:rPr>
                <w:rFonts w:ascii="Arial Narrow" w:eastAsia="Aptos" w:hAnsi="Arial Narrow" w:cs="Arial"/>
                <w:kern w:val="2"/>
                <w:sz w:val="20"/>
                <w:szCs w:val="20"/>
                <w:lang w:eastAsia="en-US"/>
                <w14:ligatures w14:val="standardContextual"/>
              </w:rPr>
              <w:t>NEW (HSD Private)</w:t>
            </w:r>
          </w:p>
        </w:tc>
        <w:tc>
          <w:tcPr>
            <w:tcW w:w="851" w:type="dxa"/>
            <w:tcBorders>
              <w:top w:val="single" w:sz="4" w:space="0" w:color="auto"/>
              <w:left w:val="single" w:sz="4" w:space="0" w:color="auto"/>
              <w:bottom w:val="single" w:sz="4" w:space="0" w:color="auto"/>
              <w:right w:val="single" w:sz="4" w:space="0" w:color="auto"/>
            </w:tcBorders>
            <w:vAlign w:val="center"/>
            <w:hideMark/>
          </w:tcPr>
          <w:p w14:paraId="348703BF" w14:textId="77777777" w:rsidR="00C40358" w:rsidRPr="007D2E85" w:rsidRDefault="00C40358">
            <w:pPr>
              <w:keepLines/>
              <w:jc w:val="center"/>
              <w:rPr>
                <w:rFonts w:ascii="Arial Narrow" w:eastAsia="Aptos" w:hAnsi="Arial Narrow" w:cs="Arial"/>
                <w:kern w:val="2"/>
                <w:sz w:val="20"/>
                <w:szCs w:val="20"/>
                <w:lang w:eastAsia="en-US"/>
                <w14:ligatures w14:val="standardContextual"/>
              </w:rPr>
            </w:pPr>
            <w:r w:rsidRPr="007D2E85">
              <w:rPr>
                <w:rFonts w:ascii="Arial Narrow" w:eastAsia="Aptos" w:hAnsi="Arial Narrow" w:cs="Arial"/>
                <w:kern w:val="2"/>
                <w:sz w:val="20"/>
                <w:szCs w:val="20"/>
                <w:lang w:eastAsia="en-US"/>
                <w14:ligatures w14:val="standardContextual"/>
              </w:rPr>
              <w:t>4</w:t>
            </w:r>
          </w:p>
        </w:tc>
        <w:tc>
          <w:tcPr>
            <w:tcW w:w="850" w:type="dxa"/>
            <w:tcBorders>
              <w:top w:val="single" w:sz="4" w:space="0" w:color="auto"/>
              <w:left w:val="single" w:sz="4" w:space="0" w:color="auto"/>
              <w:bottom w:val="single" w:sz="4" w:space="0" w:color="auto"/>
              <w:right w:val="single" w:sz="4" w:space="0" w:color="auto"/>
            </w:tcBorders>
            <w:vAlign w:val="center"/>
            <w:hideMark/>
          </w:tcPr>
          <w:p w14:paraId="3AA795EC" w14:textId="77777777" w:rsidR="00C40358" w:rsidRPr="007D2E85" w:rsidRDefault="00C40358">
            <w:pPr>
              <w:keepLines/>
              <w:jc w:val="center"/>
              <w:rPr>
                <w:rFonts w:ascii="Arial Narrow" w:eastAsia="Aptos" w:hAnsi="Arial Narrow" w:cs="Arial"/>
                <w:kern w:val="2"/>
                <w:sz w:val="20"/>
                <w:szCs w:val="20"/>
                <w:lang w:eastAsia="en-US"/>
                <w14:ligatures w14:val="standardContextual"/>
              </w:rPr>
            </w:pPr>
            <w:r w:rsidRPr="007D2E85">
              <w:rPr>
                <w:rFonts w:ascii="Arial Narrow" w:eastAsia="Aptos" w:hAnsi="Arial Narrow" w:cs="Arial"/>
                <w:kern w:val="2"/>
                <w:sz w:val="20"/>
                <w:szCs w:val="20"/>
                <w:lang w:eastAsia="en-US"/>
                <w14:ligatures w14:val="standardContextual"/>
              </w:rPr>
              <w:t>4</w:t>
            </w:r>
          </w:p>
        </w:tc>
        <w:tc>
          <w:tcPr>
            <w:tcW w:w="709" w:type="dxa"/>
            <w:tcBorders>
              <w:top w:val="single" w:sz="4" w:space="0" w:color="auto"/>
              <w:left w:val="single" w:sz="4" w:space="0" w:color="auto"/>
              <w:bottom w:val="single" w:sz="4" w:space="0" w:color="auto"/>
              <w:right w:val="single" w:sz="4" w:space="0" w:color="auto"/>
            </w:tcBorders>
            <w:vAlign w:val="center"/>
            <w:hideMark/>
          </w:tcPr>
          <w:p w14:paraId="4A2F48EA" w14:textId="77777777" w:rsidR="00C40358" w:rsidRPr="007D2E85" w:rsidRDefault="00C40358">
            <w:pPr>
              <w:keepLines/>
              <w:jc w:val="center"/>
              <w:rPr>
                <w:rFonts w:ascii="Arial Narrow" w:eastAsia="Aptos" w:hAnsi="Arial Narrow" w:cs="Arial"/>
                <w:kern w:val="2"/>
                <w:sz w:val="20"/>
                <w:szCs w:val="20"/>
                <w:lang w:eastAsia="en-US"/>
                <w14:ligatures w14:val="standardContextual"/>
              </w:rPr>
            </w:pPr>
            <w:r w:rsidRPr="007D2E85">
              <w:rPr>
                <w:rFonts w:ascii="Arial Narrow" w:eastAsia="Aptos" w:hAnsi="Arial Narrow" w:cs="Arial"/>
                <w:kern w:val="2"/>
                <w:sz w:val="20"/>
                <w:szCs w:val="20"/>
                <w:lang w:eastAsia="en-US"/>
                <w14:ligatures w14:val="standardContextual"/>
              </w:rPr>
              <w:t>3</w:t>
            </w:r>
          </w:p>
        </w:tc>
        <w:tc>
          <w:tcPr>
            <w:tcW w:w="1507" w:type="dxa"/>
            <w:tcBorders>
              <w:top w:val="single" w:sz="4" w:space="0" w:color="auto"/>
              <w:left w:val="single" w:sz="4" w:space="0" w:color="auto"/>
              <w:bottom w:val="single" w:sz="4" w:space="0" w:color="auto"/>
              <w:right w:val="single" w:sz="4" w:space="0" w:color="auto"/>
            </w:tcBorders>
            <w:vAlign w:val="center"/>
            <w:hideMark/>
          </w:tcPr>
          <w:p w14:paraId="130D0C1B" w14:textId="77777777" w:rsidR="00C40358" w:rsidRPr="007D2E85" w:rsidRDefault="00C40358">
            <w:pPr>
              <w:keepLines/>
              <w:jc w:val="left"/>
              <w:rPr>
                <w:rFonts w:ascii="Arial Narrow" w:eastAsia="Aptos" w:hAnsi="Arial Narrow" w:cs="Arial"/>
                <w:kern w:val="2"/>
                <w:sz w:val="20"/>
                <w:szCs w:val="20"/>
                <w:lang w:eastAsia="en-US"/>
                <w14:ligatures w14:val="standardContextual"/>
              </w:rPr>
            </w:pPr>
            <w:r w:rsidRPr="007D2E85">
              <w:rPr>
                <w:rFonts w:ascii="Arial Narrow" w:eastAsia="Aptos" w:hAnsi="Arial Narrow" w:cs="Arial"/>
                <w:kern w:val="2"/>
                <w:sz w:val="20"/>
                <w:szCs w:val="20"/>
                <w:lang w:eastAsia="en-US"/>
                <w14:ligatures w14:val="standardContextual"/>
              </w:rPr>
              <w:t>Vyvgart SC</w:t>
            </w:r>
          </w:p>
        </w:tc>
      </w:tr>
      <w:tr w:rsidR="00C40358" w:rsidRPr="005D0D22" w14:paraId="0D272C0F" w14:textId="77777777">
        <w:trPr>
          <w:cantSplit/>
          <w:trHeight w:val="300"/>
        </w:trPr>
        <w:tc>
          <w:tcPr>
            <w:tcW w:w="3258" w:type="dxa"/>
            <w:gridSpan w:val="3"/>
            <w:tcBorders>
              <w:top w:val="single" w:sz="4" w:space="0" w:color="auto"/>
              <w:left w:val="single" w:sz="4" w:space="0" w:color="auto"/>
              <w:bottom w:val="single" w:sz="4" w:space="0" w:color="auto"/>
              <w:right w:val="single" w:sz="4" w:space="0" w:color="auto"/>
            </w:tcBorders>
            <w:vAlign w:val="center"/>
          </w:tcPr>
          <w:p w14:paraId="7A285417" w14:textId="77777777" w:rsidR="00C40358" w:rsidRPr="00F10119" w:rsidRDefault="00C40358">
            <w:pPr>
              <w:keepLines/>
              <w:jc w:val="left"/>
              <w:rPr>
                <w:rFonts w:ascii="Arial Narrow" w:eastAsia="Aptos" w:hAnsi="Arial Narrow" w:cs="Arial"/>
                <w:kern w:val="2"/>
                <w:sz w:val="20"/>
                <w:szCs w:val="20"/>
                <w:lang w:val="de-DE" w:eastAsia="en-US"/>
                <w14:ligatures w14:val="standardContextual"/>
              </w:rPr>
            </w:pPr>
            <w:r w:rsidRPr="00F10119">
              <w:rPr>
                <w:rFonts w:ascii="Arial Narrow" w:hAnsi="Arial Narrow" w:cs="Arial"/>
                <w:sz w:val="20"/>
                <w:szCs w:val="20"/>
                <w:lang w:val="de-DE"/>
              </w:rPr>
              <w:t>efgartigimod alfa 400mg/20mL vial</w:t>
            </w:r>
          </w:p>
        </w:tc>
        <w:tc>
          <w:tcPr>
            <w:tcW w:w="1841" w:type="dxa"/>
            <w:tcBorders>
              <w:top w:val="single" w:sz="4" w:space="0" w:color="auto"/>
              <w:left w:val="single" w:sz="4" w:space="0" w:color="auto"/>
              <w:bottom w:val="single" w:sz="4" w:space="0" w:color="auto"/>
              <w:right w:val="single" w:sz="4" w:space="0" w:color="auto"/>
            </w:tcBorders>
            <w:vAlign w:val="center"/>
          </w:tcPr>
          <w:p w14:paraId="782EEFA9" w14:textId="77777777" w:rsidR="00C40358" w:rsidRDefault="00C40358">
            <w:pPr>
              <w:keepLines/>
              <w:jc w:val="center"/>
              <w:rPr>
                <w:rFonts w:ascii="Arial Narrow" w:hAnsi="Arial Narrow" w:cs="Arial"/>
                <w:sz w:val="20"/>
                <w:szCs w:val="20"/>
              </w:rPr>
            </w:pPr>
            <w:r w:rsidRPr="68F43EAC">
              <w:rPr>
                <w:rFonts w:ascii="Arial Narrow" w:hAnsi="Arial Narrow" w:cs="Arial"/>
                <w:sz w:val="20"/>
                <w:szCs w:val="20"/>
              </w:rPr>
              <w:t>NEW (HSD Public)</w:t>
            </w:r>
          </w:p>
          <w:p w14:paraId="3BAD2998" w14:textId="77777777" w:rsidR="00C40358" w:rsidRPr="005D0D22" w:rsidRDefault="00C40358">
            <w:pPr>
              <w:keepLines/>
              <w:jc w:val="center"/>
              <w:rPr>
                <w:rFonts w:ascii="Arial Narrow" w:eastAsia="Aptos" w:hAnsi="Arial Narrow" w:cs="Arial"/>
                <w:kern w:val="2"/>
                <w:sz w:val="20"/>
                <w:szCs w:val="20"/>
                <w:lang w:eastAsia="en-US"/>
                <w14:ligatures w14:val="standardContextual"/>
              </w:rPr>
            </w:pPr>
            <w:r w:rsidRPr="68F43EAC">
              <w:rPr>
                <w:rFonts w:ascii="Arial Narrow" w:hAnsi="Arial Narrow" w:cs="Arial"/>
                <w:sz w:val="20"/>
                <w:szCs w:val="20"/>
              </w:rPr>
              <w:t>NEW (HSD Private)</w:t>
            </w:r>
          </w:p>
        </w:tc>
        <w:tc>
          <w:tcPr>
            <w:tcW w:w="851" w:type="dxa"/>
            <w:tcBorders>
              <w:top w:val="single" w:sz="4" w:space="0" w:color="auto"/>
              <w:left w:val="single" w:sz="4" w:space="0" w:color="auto"/>
              <w:bottom w:val="single" w:sz="4" w:space="0" w:color="auto"/>
              <w:right w:val="single" w:sz="4" w:space="0" w:color="auto"/>
            </w:tcBorders>
            <w:vAlign w:val="center"/>
          </w:tcPr>
          <w:p w14:paraId="7D218827" w14:textId="77777777" w:rsidR="00C40358" w:rsidRPr="005D0D22" w:rsidRDefault="00C40358">
            <w:pPr>
              <w:keepLines/>
              <w:jc w:val="center"/>
              <w:rPr>
                <w:rFonts w:ascii="Arial Narrow" w:eastAsia="Aptos" w:hAnsi="Arial Narrow" w:cs="Arial"/>
                <w:kern w:val="2"/>
                <w:sz w:val="20"/>
                <w:szCs w:val="20"/>
                <w:lang w:eastAsia="en-US"/>
                <w14:ligatures w14:val="standardContextual"/>
              </w:rPr>
            </w:pPr>
            <w:r w:rsidRPr="68F43EAC">
              <w:rPr>
                <w:rFonts w:ascii="Arial Narrow" w:hAnsi="Arial Narrow" w:cs="Arial"/>
                <w:sz w:val="20"/>
                <w:szCs w:val="20"/>
              </w:rPr>
              <w:t>12</w:t>
            </w:r>
          </w:p>
        </w:tc>
        <w:tc>
          <w:tcPr>
            <w:tcW w:w="850" w:type="dxa"/>
            <w:tcBorders>
              <w:top w:val="single" w:sz="4" w:space="0" w:color="auto"/>
              <w:left w:val="single" w:sz="4" w:space="0" w:color="auto"/>
              <w:bottom w:val="single" w:sz="4" w:space="0" w:color="auto"/>
              <w:right w:val="single" w:sz="4" w:space="0" w:color="auto"/>
            </w:tcBorders>
            <w:vAlign w:val="center"/>
          </w:tcPr>
          <w:p w14:paraId="0A713B81" w14:textId="77777777" w:rsidR="00C40358" w:rsidRPr="005D0D22" w:rsidRDefault="00C40358">
            <w:pPr>
              <w:keepLines/>
              <w:jc w:val="center"/>
              <w:rPr>
                <w:rFonts w:ascii="Arial Narrow" w:eastAsia="Aptos" w:hAnsi="Arial Narrow" w:cs="Arial"/>
                <w:kern w:val="2"/>
                <w:sz w:val="20"/>
                <w:szCs w:val="20"/>
                <w:lang w:eastAsia="en-US"/>
                <w14:ligatures w14:val="standardContextual"/>
              </w:rPr>
            </w:pPr>
            <w:r w:rsidRPr="68F43EAC">
              <w:rPr>
                <w:rFonts w:ascii="Arial Narrow" w:hAnsi="Arial Narrow" w:cs="Arial"/>
                <w:sz w:val="20"/>
                <w:szCs w:val="20"/>
              </w:rPr>
              <w:t>12</w:t>
            </w:r>
          </w:p>
        </w:tc>
        <w:tc>
          <w:tcPr>
            <w:tcW w:w="709" w:type="dxa"/>
            <w:tcBorders>
              <w:top w:val="single" w:sz="4" w:space="0" w:color="auto"/>
              <w:left w:val="single" w:sz="4" w:space="0" w:color="auto"/>
              <w:bottom w:val="single" w:sz="4" w:space="0" w:color="auto"/>
              <w:right w:val="single" w:sz="4" w:space="0" w:color="auto"/>
            </w:tcBorders>
            <w:vAlign w:val="center"/>
          </w:tcPr>
          <w:p w14:paraId="350476BE" w14:textId="77777777" w:rsidR="00C40358" w:rsidRPr="005D0D22" w:rsidRDefault="00C40358">
            <w:pPr>
              <w:keepLines/>
              <w:jc w:val="center"/>
              <w:rPr>
                <w:rFonts w:ascii="Arial Narrow" w:eastAsia="Aptos" w:hAnsi="Arial Narrow" w:cs="Arial"/>
                <w:kern w:val="2"/>
                <w:sz w:val="20"/>
                <w:szCs w:val="20"/>
                <w:lang w:eastAsia="en-US"/>
                <w14:ligatures w14:val="standardContextual"/>
              </w:rPr>
            </w:pPr>
            <w:r>
              <w:rPr>
                <w:rFonts w:ascii="Arial Narrow" w:hAnsi="Arial Narrow" w:cs="Arial"/>
                <w:sz w:val="20"/>
                <w:szCs w:val="20"/>
              </w:rPr>
              <w:t>3</w:t>
            </w:r>
          </w:p>
        </w:tc>
        <w:tc>
          <w:tcPr>
            <w:tcW w:w="1507" w:type="dxa"/>
            <w:tcBorders>
              <w:top w:val="single" w:sz="4" w:space="0" w:color="auto"/>
              <w:left w:val="single" w:sz="4" w:space="0" w:color="auto"/>
              <w:bottom w:val="single" w:sz="4" w:space="0" w:color="auto"/>
              <w:right w:val="single" w:sz="4" w:space="0" w:color="auto"/>
            </w:tcBorders>
            <w:vAlign w:val="center"/>
          </w:tcPr>
          <w:p w14:paraId="074C1751" w14:textId="77777777" w:rsidR="00C40358" w:rsidRPr="005D0D22" w:rsidRDefault="00C40358">
            <w:pPr>
              <w:keepLines/>
              <w:jc w:val="left"/>
              <w:rPr>
                <w:rFonts w:ascii="Arial Narrow" w:eastAsia="Aptos" w:hAnsi="Arial Narrow" w:cs="Arial"/>
                <w:kern w:val="2"/>
                <w:sz w:val="20"/>
                <w:szCs w:val="20"/>
                <w:lang w:eastAsia="en-US"/>
                <w14:ligatures w14:val="standardContextual"/>
              </w:rPr>
            </w:pPr>
            <w:r w:rsidRPr="68F43EAC">
              <w:rPr>
                <w:rFonts w:ascii="Arial Narrow" w:hAnsi="Arial Narrow" w:cs="Arial"/>
                <w:sz w:val="20"/>
                <w:szCs w:val="20"/>
              </w:rPr>
              <w:t>Vyvgart</w:t>
            </w:r>
          </w:p>
        </w:tc>
      </w:tr>
      <w:tr w:rsidR="00C40358" w:rsidRPr="005D0D22" w14:paraId="3E5702C6" w14:textId="77777777">
        <w:trPr>
          <w:trHeight w:val="20"/>
        </w:trPr>
        <w:tc>
          <w:tcPr>
            <w:tcW w:w="9016" w:type="dxa"/>
            <w:gridSpan w:val="8"/>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32D206AE" w14:textId="77777777" w:rsidR="00C40358" w:rsidRPr="005D0D22" w:rsidRDefault="00C40358">
            <w:pPr>
              <w:keepLines/>
              <w:spacing w:after="160"/>
              <w:contextualSpacing/>
              <w:jc w:val="left"/>
              <w:rPr>
                <w:rFonts w:ascii="Arial Narrow" w:eastAsia="Calibri" w:hAnsi="Arial Narrow" w:cs="Arial"/>
                <w:b/>
                <w:sz w:val="20"/>
                <w:szCs w:val="20"/>
                <w:lang w:eastAsia="en-US"/>
              </w:rPr>
            </w:pPr>
          </w:p>
        </w:tc>
      </w:tr>
      <w:tr w:rsidR="00C40358" w:rsidRPr="005D0D22" w14:paraId="56246928" w14:textId="77777777">
        <w:trPr>
          <w:trHeight w:val="20"/>
        </w:trPr>
        <w:tc>
          <w:tcPr>
            <w:tcW w:w="1274" w:type="dxa"/>
            <w:gridSpan w:val="2"/>
            <w:vMerge w:val="restart"/>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2B123D4C" w14:textId="77777777" w:rsidR="00C40358" w:rsidRPr="005D0D22" w:rsidRDefault="00C40358">
            <w:pPr>
              <w:spacing w:after="160"/>
              <w:contextualSpacing/>
              <w:jc w:val="center"/>
              <w:rPr>
                <w:rFonts w:ascii="Arial Narrow" w:eastAsia="Calibri" w:hAnsi="Arial Narrow" w:cs="Arial"/>
                <w:b/>
                <w:sz w:val="20"/>
                <w:szCs w:val="20"/>
                <w:lang w:eastAsia="en-US"/>
              </w:rPr>
            </w:pPr>
            <w:r w:rsidRPr="005D0D22">
              <w:rPr>
                <w:rFonts w:ascii="Arial Narrow" w:eastAsia="Calibri" w:hAnsi="Arial Narrow" w:cs="Arial"/>
                <w:b/>
                <w:sz w:val="20"/>
                <w:szCs w:val="20"/>
                <w:lang w:eastAsia="en-US"/>
              </w:rPr>
              <w:t xml:space="preserve">Concept ID </w:t>
            </w:r>
            <w:r w:rsidRPr="005D0D22">
              <w:rPr>
                <w:rFonts w:ascii="Arial Narrow" w:eastAsia="Calibri" w:hAnsi="Arial Narrow" w:cs="Arial"/>
                <w:sz w:val="20"/>
                <w:szCs w:val="20"/>
                <w:lang w:eastAsia="en-US"/>
              </w:rPr>
              <w:t>(for internal Dept. use)</w:t>
            </w:r>
          </w:p>
        </w:tc>
        <w:tc>
          <w:tcPr>
            <w:tcW w:w="7742"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75C65E81" w14:textId="77777777" w:rsidR="00C40358" w:rsidRPr="005D0D22" w:rsidRDefault="00C40358">
            <w:pPr>
              <w:keepLines/>
              <w:spacing w:after="160"/>
              <w:contextualSpacing/>
              <w:jc w:val="left"/>
              <w:rPr>
                <w:rFonts w:ascii="Arial Narrow" w:eastAsia="Calibri" w:hAnsi="Arial Narrow" w:cs="Arial"/>
                <w:sz w:val="20"/>
                <w:szCs w:val="20"/>
                <w:lang w:eastAsia="en-US"/>
              </w:rPr>
            </w:pPr>
            <w:r w:rsidRPr="005D0D22">
              <w:rPr>
                <w:rFonts w:ascii="Arial Narrow" w:eastAsia="Calibri" w:hAnsi="Arial Narrow" w:cs="Arial"/>
                <w:b/>
                <w:sz w:val="20"/>
                <w:szCs w:val="20"/>
                <w:lang w:eastAsia="en-US"/>
              </w:rPr>
              <w:t>Category / Program:</w:t>
            </w:r>
            <w:r w:rsidRPr="005D0D22">
              <w:rPr>
                <w:rFonts w:ascii="Arial Narrow" w:eastAsia="Calibri" w:hAnsi="Arial Narrow" w:cs="Arial"/>
                <w:color w:val="FF0000"/>
                <w:sz w:val="20"/>
                <w:szCs w:val="20"/>
                <w:lang w:eastAsia="en-US"/>
              </w:rPr>
              <w:t xml:space="preserve"> </w:t>
            </w:r>
            <w:r w:rsidRPr="005D0D22">
              <w:rPr>
                <w:rFonts w:ascii="Arial Narrow" w:eastAsia="Calibri" w:hAnsi="Arial Narrow" w:cs="Arial"/>
                <w:sz w:val="20"/>
                <w:szCs w:val="20"/>
                <w:lang w:eastAsia="en-US"/>
              </w:rPr>
              <w:fldChar w:fldCharType="begin">
                <w:ffData>
                  <w:name w:val=""/>
                  <w:enabled/>
                  <w:calcOnExit w:val="0"/>
                  <w:checkBox>
                    <w:sizeAuto/>
                    <w:default w:val="1"/>
                  </w:checkBox>
                </w:ffData>
              </w:fldChar>
            </w:r>
            <w:r w:rsidRPr="005D0D22">
              <w:rPr>
                <w:rFonts w:ascii="Arial Narrow" w:eastAsia="Calibri" w:hAnsi="Arial Narrow" w:cs="Arial"/>
                <w:sz w:val="20"/>
                <w:szCs w:val="20"/>
                <w:lang w:eastAsia="en-US"/>
              </w:rPr>
              <w:instrText xml:space="preserve"> FORMCHECKBOX </w:instrText>
            </w:r>
            <w:r w:rsidRPr="005D0D22">
              <w:rPr>
                <w:rFonts w:ascii="Arial Narrow" w:eastAsia="Calibri" w:hAnsi="Arial Narrow" w:cs="Arial"/>
                <w:sz w:val="20"/>
                <w:szCs w:val="20"/>
                <w:lang w:eastAsia="en-US"/>
              </w:rPr>
            </w:r>
            <w:r w:rsidRPr="005D0D22">
              <w:rPr>
                <w:rFonts w:ascii="Arial Narrow" w:eastAsia="Calibri" w:hAnsi="Arial Narrow" w:cs="Arial"/>
                <w:sz w:val="20"/>
                <w:szCs w:val="20"/>
                <w:lang w:eastAsia="en-US"/>
              </w:rPr>
              <w:fldChar w:fldCharType="separate"/>
            </w:r>
            <w:r w:rsidRPr="005D0D22">
              <w:rPr>
                <w:rFonts w:ascii="Arial Narrow" w:eastAsia="Calibri" w:hAnsi="Arial Narrow" w:cs="Arial"/>
                <w:sz w:val="20"/>
                <w:szCs w:val="20"/>
                <w:lang w:eastAsia="en-US"/>
              </w:rPr>
              <w:fldChar w:fldCharType="end"/>
            </w:r>
            <w:r w:rsidRPr="005D0D22">
              <w:rPr>
                <w:rFonts w:ascii="Arial Narrow" w:eastAsia="Calibri" w:hAnsi="Arial Narrow" w:cs="Arial"/>
                <w:sz w:val="20"/>
                <w:szCs w:val="20"/>
                <w:lang w:eastAsia="en-US"/>
              </w:rPr>
              <w:t xml:space="preserve"> Section 100 – Highly Specialised Drugs Program – Public (Code HB)</w:t>
            </w:r>
            <w:r w:rsidRPr="005D0D22">
              <w:rPr>
                <w:rFonts w:ascii="Arial Narrow" w:eastAsia="Calibri" w:hAnsi="Arial Narrow" w:cs="Arial"/>
                <w:color w:val="FF0000"/>
                <w:sz w:val="20"/>
                <w:szCs w:val="20"/>
                <w:lang w:eastAsia="en-US"/>
              </w:rPr>
              <w:t xml:space="preserve"> </w:t>
            </w:r>
            <w:r w:rsidRPr="005D0D22">
              <w:rPr>
                <w:rFonts w:ascii="Arial Narrow" w:eastAsia="Calibri" w:hAnsi="Arial Narrow" w:cs="Arial"/>
                <w:sz w:val="20"/>
                <w:szCs w:val="20"/>
                <w:lang w:eastAsia="en-US"/>
              </w:rPr>
              <w:t>/ Private (Code HS)</w:t>
            </w:r>
          </w:p>
        </w:tc>
      </w:tr>
      <w:tr w:rsidR="00C40358" w:rsidRPr="005D0D22" w14:paraId="2BCD0A79" w14:textId="77777777">
        <w:trPr>
          <w:trHeight w:val="20"/>
        </w:trPr>
        <w:tc>
          <w:tcPr>
            <w:tcW w:w="1274" w:type="dxa"/>
            <w:gridSpan w:val="2"/>
            <w:vMerge/>
            <w:vAlign w:val="center"/>
            <w:hideMark/>
          </w:tcPr>
          <w:p w14:paraId="4DE30BC2" w14:textId="77777777" w:rsidR="00C40358" w:rsidRPr="005D0D22" w:rsidRDefault="00C40358">
            <w:pPr>
              <w:spacing w:line="256" w:lineRule="auto"/>
              <w:jc w:val="left"/>
              <w:rPr>
                <w:rFonts w:ascii="Arial Narrow" w:eastAsia="Calibri" w:hAnsi="Arial Narrow" w:cs="Arial"/>
                <w:b/>
                <w:sz w:val="20"/>
                <w:szCs w:val="20"/>
                <w:lang w:eastAsia="en-US"/>
              </w:rPr>
            </w:pPr>
          </w:p>
        </w:tc>
        <w:tc>
          <w:tcPr>
            <w:tcW w:w="7742"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1A46DE5B" w14:textId="164B6D48" w:rsidR="00C40358" w:rsidRPr="005D0D22" w:rsidRDefault="00C40358">
            <w:pPr>
              <w:keepLines/>
              <w:spacing w:after="160"/>
              <w:contextualSpacing/>
              <w:rPr>
                <w:rFonts w:ascii="Arial Narrow" w:eastAsia="Calibri" w:hAnsi="Arial Narrow" w:cs="Arial"/>
                <w:b/>
                <w:sz w:val="20"/>
                <w:szCs w:val="20"/>
                <w:lang w:eastAsia="en-US"/>
              </w:rPr>
            </w:pPr>
            <w:r w:rsidRPr="005D0D22">
              <w:rPr>
                <w:rFonts w:ascii="Arial Narrow" w:eastAsia="Calibri" w:hAnsi="Arial Narrow" w:cs="Arial"/>
                <w:b/>
                <w:sz w:val="20"/>
                <w:szCs w:val="20"/>
                <w:lang w:eastAsia="en-US"/>
              </w:rPr>
              <w:t xml:space="preserve">Prescriber type: </w:t>
            </w:r>
            <w:r w:rsidRPr="005D0D22">
              <w:rPr>
                <w:rFonts w:ascii="Arial Narrow" w:eastAsia="Calibri" w:hAnsi="Arial Narrow" w:cs="Arial"/>
                <w:sz w:val="20"/>
                <w:szCs w:val="20"/>
                <w:lang w:eastAsia="en-US"/>
              </w:rPr>
              <w:fldChar w:fldCharType="begin">
                <w:ffData>
                  <w:name w:val=""/>
                  <w:enabled/>
                  <w:calcOnExit w:val="0"/>
                  <w:checkBox>
                    <w:sizeAuto/>
                    <w:default w:val="1"/>
                  </w:checkBox>
                </w:ffData>
              </w:fldChar>
            </w:r>
            <w:r w:rsidRPr="005D0D22">
              <w:rPr>
                <w:rFonts w:ascii="Arial Narrow" w:eastAsia="Calibri" w:hAnsi="Arial Narrow" w:cs="Arial"/>
                <w:sz w:val="20"/>
                <w:szCs w:val="20"/>
                <w:lang w:eastAsia="en-US"/>
              </w:rPr>
              <w:instrText xml:space="preserve"> FORMCHECKBOX </w:instrText>
            </w:r>
            <w:r w:rsidRPr="005D0D22">
              <w:rPr>
                <w:rFonts w:ascii="Arial Narrow" w:eastAsia="Calibri" w:hAnsi="Arial Narrow" w:cs="Arial"/>
                <w:sz w:val="20"/>
                <w:szCs w:val="20"/>
                <w:lang w:eastAsia="en-US"/>
              </w:rPr>
            </w:r>
            <w:r w:rsidRPr="005D0D22">
              <w:rPr>
                <w:rFonts w:ascii="Arial Narrow" w:eastAsia="Calibri" w:hAnsi="Arial Narrow" w:cs="Arial"/>
                <w:sz w:val="20"/>
                <w:szCs w:val="20"/>
                <w:lang w:eastAsia="en-US"/>
              </w:rPr>
              <w:fldChar w:fldCharType="separate"/>
            </w:r>
            <w:r w:rsidRPr="005D0D22">
              <w:rPr>
                <w:rFonts w:ascii="Arial Narrow" w:eastAsia="Calibri" w:hAnsi="Arial Narrow" w:cs="Arial"/>
                <w:sz w:val="20"/>
                <w:szCs w:val="20"/>
                <w:lang w:eastAsia="en-US"/>
              </w:rPr>
              <w:fldChar w:fldCharType="end"/>
            </w:r>
            <w:r w:rsidR="00923B02">
              <w:rPr>
                <w:rFonts w:ascii="Arial Narrow" w:eastAsia="Calibri" w:hAnsi="Arial Narrow" w:cs="Arial"/>
                <w:sz w:val="20"/>
                <w:szCs w:val="20"/>
                <w:lang w:eastAsia="en-US"/>
              </w:rPr>
              <w:t xml:space="preserve"> </w:t>
            </w:r>
            <w:r w:rsidRPr="005D0D22">
              <w:rPr>
                <w:rFonts w:ascii="Arial Narrow" w:eastAsia="Calibri" w:hAnsi="Arial Narrow" w:cs="Arial"/>
                <w:sz w:val="20"/>
                <w:szCs w:val="20"/>
                <w:lang w:eastAsia="en-US"/>
              </w:rPr>
              <w:t xml:space="preserve">Medical Practitioners </w:t>
            </w:r>
          </w:p>
        </w:tc>
      </w:tr>
      <w:tr w:rsidR="00C40358" w:rsidRPr="005D0D22" w14:paraId="4CD67811" w14:textId="77777777">
        <w:trPr>
          <w:trHeight w:val="20"/>
        </w:trPr>
        <w:tc>
          <w:tcPr>
            <w:tcW w:w="1274" w:type="dxa"/>
            <w:gridSpan w:val="2"/>
            <w:vMerge/>
            <w:vAlign w:val="center"/>
            <w:hideMark/>
          </w:tcPr>
          <w:p w14:paraId="74178D62" w14:textId="77777777" w:rsidR="00C40358" w:rsidRPr="005D0D22" w:rsidRDefault="00C40358">
            <w:pPr>
              <w:spacing w:line="256" w:lineRule="auto"/>
              <w:jc w:val="left"/>
              <w:rPr>
                <w:rFonts w:ascii="Arial Narrow" w:eastAsia="Calibri" w:hAnsi="Arial Narrow" w:cs="Arial"/>
                <w:b/>
                <w:sz w:val="20"/>
                <w:szCs w:val="20"/>
                <w:lang w:eastAsia="en-US"/>
              </w:rPr>
            </w:pPr>
          </w:p>
        </w:tc>
        <w:tc>
          <w:tcPr>
            <w:tcW w:w="7742"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4697E91A" w14:textId="18AC59D9" w:rsidR="00C40358" w:rsidRPr="005D0D22" w:rsidRDefault="00C40358">
            <w:pPr>
              <w:keepLines/>
              <w:spacing w:after="160"/>
              <w:contextualSpacing/>
              <w:jc w:val="left"/>
              <w:rPr>
                <w:rFonts w:ascii="Arial Narrow" w:eastAsia="Calibri" w:hAnsi="Arial Narrow" w:cs="Arial"/>
                <w:color w:val="FF0000"/>
                <w:sz w:val="20"/>
                <w:szCs w:val="20"/>
                <w:lang w:eastAsia="en-US"/>
              </w:rPr>
            </w:pPr>
            <w:r w:rsidRPr="005D0D22">
              <w:rPr>
                <w:rFonts w:ascii="Arial Narrow" w:eastAsia="Calibri" w:hAnsi="Arial Narrow" w:cs="Arial"/>
                <w:b/>
                <w:sz w:val="20"/>
                <w:szCs w:val="20"/>
                <w:lang w:eastAsia="en-US"/>
              </w:rPr>
              <w:t xml:space="preserve">Restriction type: </w:t>
            </w:r>
            <w:r w:rsidRPr="005D0D22">
              <w:rPr>
                <w:rFonts w:ascii="Arial Narrow" w:eastAsia="Calibri" w:hAnsi="Arial Narrow" w:cs="Arial"/>
                <w:sz w:val="20"/>
                <w:szCs w:val="20"/>
                <w:lang w:eastAsia="en-US"/>
              </w:rPr>
              <w:fldChar w:fldCharType="begin">
                <w:ffData>
                  <w:name w:val=""/>
                  <w:enabled/>
                  <w:calcOnExit w:val="0"/>
                  <w:checkBox>
                    <w:sizeAuto/>
                    <w:default w:val="1"/>
                  </w:checkBox>
                </w:ffData>
              </w:fldChar>
            </w:r>
            <w:r w:rsidRPr="005D0D22">
              <w:rPr>
                <w:rFonts w:ascii="Arial Narrow" w:eastAsia="Calibri" w:hAnsi="Arial Narrow" w:cs="Arial"/>
                <w:sz w:val="20"/>
                <w:szCs w:val="20"/>
                <w:lang w:eastAsia="en-US"/>
              </w:rPr>
              <w:instrText xml:space="preserve"> FORMCHECKBOX </w:instrText>
            </w:r>
            <w:r w:rsidRPr="005D0D22">
              <w:rPr>
                <w:rFonts w:ascii="Arial Narrow" w:eastAsia="Calibri" w:hAnsi="Arial Narrow" w:cs="Arial"/>
                <w:sz w:val="20"/>
                <w:szCs w:val="20"/>
                <w:lang w:eastAsia="en-US"/>
              </w:rPr>
            </w:r>
            <w:r w:rsidRPr="005D0D22">
              <w:rPr>
                <w:rFonts w:ascii="Arial Narrow" w:eastAsia="Calibri" w:hAnsi="Arial Narrow" w:cs="Arial"/>
                <w:sz w:val="20"/>
                <w:szCs w:val="20"/>
                <w:lang w:eastAsia="en-US"/>
              </w:rPr>
              <w:fldChar w:fldCharType="separate"/>
            </w:r>
            <w:r w:rsidRPr="005D0D22">
              <w:rPr>
                <w:rFonts w:ascii="Arial Narrow" w:eastAsia="Calibri" w:hAnsi="Arial Narrow" w:cs="Arial"/>
                <w:sz w:val="20"/>
                <w:szCs w:val="20"/>
                <w:lang w:eastAsia="en-US"/>
              </w:rPr>
              <w:fldChar w:fldCharType="end"/>
            </w:r>
            <w:r w:rsidR="00923B02">
              <w:rPr>
                <w:rFonts w:ascii="Arial Narrow" w:eastAsia="Calibri" w:hAnsi="Arial Narrow" w:cs="Arial"/>
                <w:sz w:val="20"/>
                <w:szCs w:val="20"/>
                <w:lang w:eastAsia="en-US"/>
              </w:rPr>
              <w:t xml:space="preserve"> </w:t>
            </w:r>
            <w:r w:rsidRPr="005D0D22">
              <w:rPr>
                <w:rFonts w:ascii="Arial Narrow" w:eastAsia="Calibri" w:hAnsi="Arial Narrow" w:cs="Arial"/>
                <w:sz w:val="20"/>
                <w:szCs w:val="20"/>
                <w:lang w:eastAsia="en-US"/>
              </w:rPr>
              <w:t>Authority Required (</w:t>
            </w:r>
            <w:r>
              <w:rPr>
                <w:rFonts w:ascii="Arial Narrow" w:eastAsia="Calibri" w:hAnsi="Arial Narrow" w:cs="Arial"/>
                <w:sz w:val="20"/>
                <w:szCs w:val="20"/>
                <w:lang w:eastAsia="en-US"/>
              </w:rPr>
              <w:t xml:space="preserve">Written/Online </w:t>
            </w:r>
            <w:r w:rsidR="00AF0956">
              <w:rPr>
                <w:rFonts w:ascii="Arial Narrow" w:eastAsia="Calibri" w:hAnsi="Arial Narrow" w:cs="Arial"/>
                <w:sz w:val="20"/>
                <w:szCs w:val="20"/>
                <w:lang w:eastAsia="en-US"/>
              </w:rPr>
              <w:noBreakHyphen/>
            </w:r>
            <w:r>
              <w:rPr>
                <w:rFonts w:ascii="Arial Narrow" w:eastAsia="Calibri" w:hAnsi="Arial Narrow" w:cs="Arial"/>
                <w:sz w:val="20"/>
                <w:szCs w:val="20"/>
                <w:lang w:eastAsia="en-US"/>
              </w:rPr>
              <w:t xml:space="preserve"> Immediate</w:t>
            </w:r>
            <w:r w:rsidRPr="005D0D22">
              <w:rPr>
                <w:rFonts w:ascii="Arial Narrow" w:eastAsia="Calibri" w:hAnsi="Arial Narrow" w:cs="Arial"/>
                <w:sz w:val="20"/>
                <w:szCs w:val="20"/>
                <w:lang w:eastAsia="en-US"/>
              </w:rPr>
              <w:t xml:space="preserve"> assessment)</w:t>
            </w:r>
          </w:p>
        </w:tc>
      </w:tr>
      <w:tr w:rsidR="00C40358" w:rsidRPr="005D0D22" w14:paraId="4F93EE8E" w14:textId="77777777">
        <w:trPr>
          <w:trHeight w:val="20"/>
        </w:trPr>
        <w:tc>
          <w:tcPr>
            <w:tcW w:w="1274" w:type="dxa"/>
            <w:gridSpan w:val="2"/>
            <w:vMerge/>
            <w:vAlign w:val="center"/>
            <w:hideMark/>
          </w:tcPr>
          <w:p w14:paraId="5AC8F40C" w14:textId="77777777" w:rsidR="00C40358" w:rsidRPr="005D0D22" w:rsidRDefault="00C40358">
            <w:pPr>
              <w:spacing w:line="256" w:lineRule="auto"/>
              <w:jc w:val="left"/>
              <w:rPr>
                <w:rFonts w:ascii="Arial Narrow" w:eastAsia="Calibri" w:hAnsi="Arial Narrow" w:cs="Arial"/>
                <w:b/>
                <w:sz w:val="20"/>
                <w:szCs w:val="20"/>
                <w:lang w:eastAsia="en-US"/>
              </w:rPr>
            </w:pPr>
          </w:p>
        </w:tc>
        <w:tc>
          <w:tcPr>
            <w:tcW w:w="7742"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6A476253" w14:textId="77777777" w:rsidR="00C40358" w:rsidRPr="005D0D22" w:rsidRDefault="00C40358">
            <w:pPr>
              <w:keepLines/>
              <w:spacing w:after="160"/>
              <w:contextualSpacing/>
              <w:jc w:val="left"/>
              <w:rPr>
                <w:rFonts w:ascii="Arial Narrow" w:eastAsia="Calibri" w:hAnsi="Arial Narrow" w:cs="Arial"/>
                <w:b/>
                <w:color w:val="FF0000"/>
                <w:sz w:val="20"/>
                <w:szCs w:val="20"/>
                <w:lang w:eastAsia="en-US"/>
              </w:rPr>
            </w:pPr>
            <w:r w:rsidRPr="005D0D22">
              <w:rPr>
                <w:rFonts w:ascii="Arial Narrow" w:eastAsia="Calibri" w:hAnsi="Arial Narrow" w:cs="Arial"/>
                <w:b/>
                <w:sz w:val="20"/>
                <w:szCs w:val="20"/>
                <w:lang w:eastAsia="en-US"/>
              </w:rPr>
              <w:t xml:space="preserve">Authority type: </w:t>
            </w:r>
            <w:r w:rsidRPr="005D0D22">
              <w:rPr>
                <w:rFonts w:ascii="Arial Narrow" w:eastAsia="Calibri" w:hAnsi="Arial Narrow" w:cs="Arial"/>
                <w:sz w:val="20"/>
                <w:szCs w:val="20"/>
                <w:lang w:eastAsia="en-US"/>
              </w:rPr>
              <w:fldChar w:fldCharType="begin">
                <w:ffData>
                  <w:name w:val=""/>
                  <w:enabled/>
                  <w:calcOnExit w:val="0"/>
                  <w:checkBox>
                    <w:sizeAuto/>
                    <w:default w:val="1"/>
                  </w:checkBox>
                </w:ffData>
              </w:fldChar>
            </w:r>
            <w:r w:rsidRPr="005D0D22">
              <w:rPr>
                <w:rFonts w:ascii="Arial Narrow" w:eastAsia="Calibri" w:hAnsi="Arial Narrow" w:cs="Arial"/>
                <w:sz w:val="20"/>
                <w:szCs w:val="20"/>
                <w:lang w:eastAsia="en-US"/>
              </w:rPr>
              <w:instrText xml:space="preserve"> FORMCHECKBOX </w:instrText>
            </w:r>
            <w:r w:rsidRPr="005D0D22">
              <w:rPr>
                <w:rFonts w:ascii="Arial Narrow" w:eastAsia="Calibri" w:hAnsi="Arial Narrow" w:cs="Arial"/>
                <w:sz w:val="20"/>
                <w:szCs w:val="20"/>
                <w:lang w:eastAsia="en-US"/>
              </w:rPr>
            </w:r>
            <w:r w:rsidRPr="005D0D22">
              <w:rPr>
                <w:rFonts w:ascii="Arial Narrow" w:eastAsia="Calibri" w:hAnsi="Arial Narrow" w:cs="Arial"/>
                <w:sz w:val="20"/>
                <w:szCs w:val="20"/>
                <w:lang w:eastAsia="en-US"/>
              </w:rPr>
              <w:fldChar w:fldCharType="separate"/>
            </w:r>
            <w:r w:rsidRPr="005D0D22">
              <w:rPr>
                <w:rFonts w:ascii="Arial Narrow" w:eastAsia="Calibri" w:hAnsi="Arial Narrow" w:cs="Arial"/>
                <w:sz w:val="20"/>
                <w:szCs w:val="20"/>
                <w:lang w:eastAsia="en-US"/>
              </w:rPr>
              <w:fldChar w:fldCharType="end"/>
            </w:r>
            <w:r w:rsidRPr="005D0D22">
              <w:rPr>
                <w:rFonts w:ascii="Arial Narrow" w:eastAsia="Calibri" w:hAnsi="Arial Narrow" w:cs="Arial"/>
                <w:sz w:val="20"/>
                <w:szCs w:val="20"/>
                <w:lang w:eastAsia="en-US"/>
              </w:rPr>
              <w:t xml:space="preserve"> Complex Authority Required (CAR)</w:t>
            </w:r>
          </w:p>
        </w:tc>
      </w:tr>
      <w:tr w:rsidR="00C40358" w:rsidRPr="005D0D22" w14:paraId="29D882BC" w14:textId="77777777">
        <w:trPr>
          <w:trHeight w:val="300"/>
        </w:trPr>
        <w:tc>
          <w:tcPr>
            <w:tcW w:w="491" w:type="dxa"/>
            <w:vMerge w:val="restart"/>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extDirection w:val="btLr"/>
            <w:vAlign w:val="center"/>
            <w:hideMark/>
          </w:tcPr>
          <w:p w14:paraId="7933A6B5" w14:textId="77777777" w:rsidR="00C40358" w:rsidRPr="005D0D22" w:rsidRDefault="00C40358">
            <w:pPr>
              <w:jc w:val="center"/>
              <w:rPr>
                <w:rFonts w:ascii="Arial Narrow" w:eastAsia="Aptos" w:hAnsi="Arial Narrow" w:cs="Arial"/>
                <w:kern w:val="2"/>
                <w:sz w:val="16"/>
                <w:szCs w:val="16"/>
                <w:lang w:eastAsia="en-US"/>
                <w14:ligatures w14:val="standardContextual"/>
              </w:rPr>
            </w:pPr>
            <w:r w:rsidRPr="005D0D22">
              <w:rPr>
                <w:rFonts w:ascii="Arial Narrow" w:eastAsia="Aptos" w:hAnsi="Arial Narrow" w:cs="Arial"/>
                <w:kern w:val="2"/>
                <w:sz w:val="20"/>
                <w:szCs w:val="20"/>
                <w:lang w:eastAsia="en-US"/>
                <w14:ligatures w14:val="standardContextual"/>
              </w:rPr>
              <w:t>Prescribing rule level</w:t>
            </w:r>
          </w:p>
        </w:tc>
        <w:tc>
          <w:tcPr>
            <w:tcW w:w="783"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4D8F67E3" w14:textId="46A55E63" w:rsidR="00C40358" w:rsidRPr="005D0D22" w:rsidRDefault="00C40358">
            <w:pPr>
              <w:jc w:val="center"/>
              <w:rPr>
                <w:rFonts w:ascii="Arial Narrow" w:hAnsi="Arial Narrow"/>
                <w:iCs/>
                <w:kern w:val="2"/>
                <w:sz w:val="20"/>
                <w:szCs w:val="20"/>
                <w14:ligatures w14:val="standardContextual"/>
              </w:rPr>
            </w:pPr>
          </w:p>
        </w:tc>
        <w:tc>
          <w:tcPr>
            <w:tcW w:w="7742"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11914C4E" w14:textId="77777777" w:rsidR="00C40358" w:rsidRPr="005D0D22" w:rsidRDefault="00C40358">
            <w:pPr>
              <w:spacing w:after="160"/>
              <w:contextualSpacing/>
              <w:jc w:val="left"/>
              <w:rPr>
                <w:rFonts w:ascii="Arial Narrow" w:hAnsi="Arial Narrow"/>
                <w:iCs/>
                <w:color w:val="000000"/>
                <w:sz w:val="20"/>
                <w:szCs w:val="20"/>
              </w:rPr>
            </w:pPr>
            <w:r w:rsidRPr="005D0D22">
              <w:rPr>
                <w:rFonts w:ascii="Arial Narrow" w:hAnsi="Arial Narrow"/>
                <w:b/>
                <w:bCs/>
                <w:iCs/>
                <w:color w:val="000000"/>
                <w:sz w:val="20"/>
                <w:szCs w:val="20"/>
              </w:rPr>
              <w:t xml:space="preserve">Administrative Advice: </w:t>
            </w:r>
          </w:p>
          <w:p w14:paraId="0E2901D7" w14:textId="77777777" w:rsidR="00C40358" w:rsidRPr="005D0D22" w:rsidRDefault="00C40358">
            <w:pPr>
              <w:spacing w:after="160"/>
              <w:contextualSpacing/>
              <w:jc w:val="left"/>
              <w:rPr>
                <w:rFonts w:ascii="Arial Narrow" w:hAnsi="Arial Narrow"/>
                <w:iCs/>
                <w:color w:val="000000"/>
                <w:sz w:val="20"/>
                <w:szCs w:val="20"/>
              </w:rPr>
            </w:pPr>
            <w:r w:rsidRPr="005D0D22">
              <w:rPr>
                <w:rFonts w:ascii="Arial Narrow" w:hAnsi="Arial Narrow"/>
                <w:iCs/>
                <w:color w:val="000000"/>
                <w:sz w:val="20"/>
                <w:szCs w:val="20"/>
              </w:rPr>
              <w:t>Definitions for the purposes of administering this restriction.</w:t>
            </w:r>
          </w:p>
          <w:p w14:paraId="56383CBE" w14:textId="77777777" w:rsidR="00C40358" w:rsidRPr="005D0D22" w:rsidRDefault="00C40358">
            <w:pPr>
              <w:spacing w:after="160"/>
              <w:contextualSpacing/>
              <w:jc w:val="left"/>
              <w:rPr>
                <w:rFonts w:ascii="Arial Narrow" w:hAnsi="Arial Narrow"/>
                <w:iCs/>
                <w:color w:val="000000"/>
                <w:sz w:val="20"/>
                <w:szCs w:val="20"/>
              </w:rPr>
            </w:pPr>
          </w:p>
          <w:p w14:paraId="467F223C" w14:textId="77777777" w:rsidR="00C40358" w:rsidRPr="005D0D22" w:rsidRDefault="00C40358">
            <w:pPr>
              <w:spacing w:after="160"/>
              <w:contextualSpacing/>
              <w:jc w:val="left"/>
              <w:rPr>
                <w:rFonts w:ascii="Arial Narrow" w:hAnsi="Arial Narrow"/>
                <w:iCs/>
                <w:color w:val="000000"/>
                <w:sz w:val="20"/>
                <w:szCs w:val="20"/>
              </w:rPr>
            </w:pPr>
            <w:r w:rsidRPr="005D0D22">
              <w:rPr>
                <w:rFonts w:ascii="Arial Narrow" w:hAnsi="Arial Narrow"/>
                <w:iCs/>
                <w:color w:val="000000"/>
                <w:sz w:val="20"/>
                <w:szCs w:val="20"/>
              </w:rPr>
              <w:t xml:space="preserve">Where the term </w:t>
            </w:r>
            <w:r w:rsidRPr="005D0D22">
              <w:rPr>
                <w:rFonts w:ascii="Arial Narrow" w:hAnsi="Arial Narrow"/>
                <w:b/>
                <w:bCs/>
                <w:iCs/>
                <w:color w:val="000000"/>
                <w:sz w:val="20"/>
                <w:szCs w:val="20"/>
              </w:rPr>
              <w:t>‘gMG biological agent’</w:t>
            </w:r>
            <w:r w:rsidRPr="005D0D22">
              <w:rPr>
                <w:rFonts w:ascii="Arial Narrow" w:hAnsi="Arial Narrow"/>
                <w:iCs/>
                <w:color w:val="000000"/>
                <w:sz w:val="20"/>
                <w:szCs w:val="20"/>
              </w:rPr>
              <w:t xml:space="preserve"> is referenced in this restriction, it refers to efgartigimod alfa, ravulizumab, rozanolixizumab, and zilucoplan.</w:t>
            </w:r>
          </w:p>
          <w:p w14:paraId="16513024" w14:textId="77777777" w:rsidR="00C40358" w:rsidRPr="005D0D22" w:rsidRDefault="00C40358">
            <w:pPr>
              <w:spacing w:after="160"/>
              <w:contextualSpacing/>
              <w:jc w:val="left"/>
              <w:rPr>
                <w:rFonts w:ascii="Arial Narrow" w:hAnsi="Arial Narrow"/>
                <w:iCs/>
                <w:color w:val="000000"/>
                <w:sz w:val="20"/>
                <w:szCs w:val="20"/>
              </w:rPr>
            </w:pPr>
          </w:p>
          <w:p w14:paraId="43B08E79" w14:textId="77777777" w:rsidR="00C40358" w:rsidRPr="005D0D22" w:rsidRDefault="00C40358">
            <w:pPr>
              <w:spacing w:after="160"/>
              <w:contextualSpacing/>
              <w:jc w:val="left"/>
              <w:rPr>
                <w:rFonts w:ascii="Arial Narrow" w:hAnsi="Arial Narrow"/>
                <w:iCs/>
                <w:color w:val="000000"/>
                <w:sz w:val="20"/>
                <w:szCs w:val="20"/>
              </w:rPr>
            </w:pPr>
            <w:r w:rsidRPr="005D0D22">
              <w:rPr>
                <w:rFonts w:ascii="Arial Narrow" w:hAnsi="Arial Narrow"/>
                <w:iCs/>
                <w:color w:val="000000"/>
                <w:sz w:val="20"/>
                <w:szCs w:val="20"/>
              </w:rPr>
              <w:t>The following are settings where a gMG biological agent are PBS subsidised:</w:t>
            </w:r>
          </w:p>
          <w:p w14:paraId="6756970A" w14:textId="38357AD5" w:rsidR="00C40358" w:rsidRPr="005D0D22" w:rsidRDefault="00CA7238" w:rsidP="00ED248B">
            <w:pPr>
              <w:numPr>
                <w:ilvl w:val="0"/>
                <w:numId w:val="11"/>
              </w:numPr>
              <w:spacing w:after="160" w:line="256" w:lineRule="auto"/>
              <w:contextualSpacing/>
              <w:jc w:val="left"/>
              <w:rPr>
                <w:rFonts w:ascii="Arial Narrow" w:hAnsi="Arial Narrow"/>
                <w:iCs/>
                <w:color w:val="000000"/>
                <w:sz w:val="20"/>
                <w:szCs w:val="20"/>
              </w:rPr>
            </w:pPr>
            <w:r>
              <w:rPr>
                <w:rFonts w:ascii="Arial Narrow" w:hAnsi="Arial Narrow"/>
                <w:iCs/>
                <w:color w:val="000000"/>
                <w:sz w:val="20"/>
                <w:szCs w:val="20"/>
              </w:rPr>
              <w:t>three</w:t>
            </w:r>
            <w:r w:rsidR="00C40358" w:rsidRPr="005D0D22">
              <w:rPr>
                <w:rFonts w:ascii="Arial Narrow" w:hAnsi="Arial Narrow"/>
                <w:iCs/>
                <w:color w:val="000000"/>
                <w:sz w:val="20"/>
                <w:szCs w:val="20"/>
              </w:rPr>
              <w:t xml:space="preserve"> months of acute treatment </w:t>
            </w:r>
            <w:r w:rsidR="00AF0956">
              <w:rPr>
                <w:rFonts w:ascii="Arial Narrow" w:hAnsi="Arial Narrow"/>
                <w:iCs/>
                <w:color w:val="000000"/>
                <w:sz w:val="20"/>
                <w:szCs w:val="20"/>
              </w:rPr>
              <w:noBreakHyphen/>
            </w:r>
            <w:r w:rsidR="00C40358" w:rsidRPr="005D0D22">
              <w:rPr>
                <w:rFonts w:ascii="Arial Narrow" w:hAnsi="Arial Narrow"/>
                <w:iCs/>
                <w:color w:val="000000"/>
                <w:sz w:val="20"/>
                <w:szCs w:val="20"/>
              </w:rPr>
              <w:t xml:space="preserve"> ‘acute severe gMG’ </w:t>
            </w:r>
          </w:p>
          <w:p w14:paraId="7FED47BA" w14:textId="42831291" w:rsidR="00C40358" w:rsidRPr="005D0D22" w:rsidRDefault="00CA7238" w:rsidP="00ED248B">
            <w:pPr>
              <w:numPr>
                <w:ilvl w:val="0"/>
                <w:numId w:val="11"/>
              </w:numPr>
              <w:spacing w:after="160" w:line="256" w:lineRule="auto"/>
              <w:contextualSpacing/>
              <w:jc w:val="left"/>
              <w:rPr>
                <w:rFonts w:ascii="Arial Narrow" w:hAnsi="Arial Narrow"/>
                <w:iCs/>
                <w:color w:val="000000"/>
                <w:sz w:val="20"/>
                <w:szCs w:val="20"/>
              </w:rPr>
            </w:pPr>
            <w:r>
              <w:rPr>
                <w:rFonts w:ascii="Arial Narrow" w:hAnsi="Arial Narrow"/>
                <w:iCs/>
                <w:color w:val="000000"/>
                <w:sz w:val="20"/>
                <w:szCs w:val="20"/>
              </w:rPr>
              <w:t>six</w:t>
            </w:r>
            <w:r w:rsidR="00C40358" w:rsidRPr="005D0D22">
              <w:rPr>
                <w:rFonts w:ascii="Arial Narrow" w:hAnsi="Arial Narrow"/>
                <w:iCs/>
                <w:color w:val="000000"/>
                <w:sz w:val="20"/>
                <w:szCs w:val="20"/>
              </w:rPr>
              <w:t xml:space="preserve"> months of bridging therapy </w:t>
            </w:r>
            <w:r w:rsidR="00AF0956">
              <w:rPr>
                <w:rFonts w:ascii="Arial Narrow" w:hAnsi="Arial Narrow"/>
                <w:iCs/>
                <w:color w:val="000000"/>
                <w:sz w:val="20"/>
                <w:szCs w:val="20"/>
              </w:rPr>
              <w:noBreakHyphen/>
            </w:r>
            <w:r w:rsidR="00C40358" w:rsidRPr="005D0D22">
              <w:rPr>
                <w:rFonts w:ascii="Arial Narrow" w:hAnsi="Arial Narrow"/>
                <w:iCs/>
                <w:color w:val="000000"/>
                <w:sz w:val="20"/>
                <w:szCs w:val="20"/>
              </w:rPr>
              <w:t xml:space="preserve"> ‘bridging therapy for gMG’ </w:t>
            </w:r>
          </w:p>
          <w:p w14:paraId="4CE59664" w14:textId="05796D02" w:rsidR="00C40358" w:rsidRPr="005D0D22" w:rsidRDefault="00C40358" w:rsidP="00ED248B">
            <w:pPr>
              <w:numPr>
                <w:ilvl w:val="0"/>
                <w:numId w:val="11"/>
              </w:numPr>
              <w:spacing w:after="160" w:line="256" w:lineRule="auto"/>
              <w:contextualSpacing/>
              <w:jc w:val="left"/>
              <w:rPr>
                <w:rFonts w:ascii="Arial Narrow" w:hAnsi="Arial Narrow"/>
                <w:iCs/>
                <w:color w:val="000000"/>
                <w:sz w:val="20"/>
                <w:szCs w:val="20"/>
              </w:rPr>
            </w:pPr>
            <w:r w:rsidRPr="005D0D22">
              <w:rPr>
                <w:rFonts w:ascii="Arial Narrow" w:hAnsi="Arial Narrow"/>
                <w:iCs/>
                <w:color w:val="000000"/>
                <w:sz w:val="20"/>
                <w:szCs w:val="20"/>
              </w:rPr>
              <w:t xml:space="preserve">Continuous therapy </w:t>
            </w:r>
            <w:r w:rsidR="00AF0956">
              <w:rPr>
                <w:rFonts w:ascii="Arial Narrow" w:hAnsi="Arial Narrow"/>
                <w:iCs/>
                <w:color w:val="000000"/>
                <w:sz w:val="20"/>
                <w:szCs w:val="20"/>
              </w:rPr>
              <w:noBreakHyphen/>
            </w:r>
            <w:r w:rsidRPr="005D0D22">
              <w:rPr>
                <w:rFonts w:ascii="Arial Narrow" w:hAnsi="Arial Narrow"/>
                <w:iCs/>
                <w:color w:val="000000"/>
                <w:sz w:val="20"/>
                <w:szCs w:val="20"/>
              </w:rPr>
              <w:t xml:space="preserve"> ‘treatment refractory gMG’</w:t>
            </w:r>
          </w:p>
          <w:p w14:paraId="1EC762DB" w14:textId="77777777" w:rsidR="00C40358" w:rsidRPr="009C1AA2" w:rsidRDefault="00C40358">
            <w:pPr>
              <w:contextualSpacing/>
              <w:jc w:val="left"/>
              <w:rPr>
                <w:rFonts w:ascii="Arial Narrow" w:hAnsi="Arial Narrow"/>
                <w:color w:val="000000"/>
                <w:sz w:val="20"/>
                <w:szCs w:val="20"/>
              </w:rPr>
            </w:pPr>
            <w:r w:rsidRPr="74EB87D5">
              <w:rPr>
                <w:rFonts w:ascii="Arial Narrow" w:hAnsi="Arial Narrow"/>
                <w:color w:val="000000" w:themeColor="text1"/>
                <w:sz w:val="20"/>
                <w:szCs w:val="20"/>
              </w:rPr>
              <w:t>A patient may transition sequentially from one setting to another where all criteria are met e.g. (1) to (2) to (3</w:t>
            </w:r>
            <w:bookmarkStart w:id="12" w:name="_Int_dGNf4wLL"/>
            <w:r w:rsidRPr="74EB87D5">
              <w:rPr>
                <w:rFonts w:ascii="Arial Narrow" w:hAnsi="Arial Narrow"/>
                <w:color w:val="000000" w:themeColor="text1"/>
                <w:sz w:val="20"/>
                <w:szCs w:val="20"/>
              </w:rPr>
              <w:t>), but</w:t>
            </w:r>
            <w:bookmarkEnd w:id="12"/>
            <w:r w:rsidRPr="74EB87D5">
              <w:rPr>
                <w:rFonts w:ascii="Arial Narrow" w:hAnsi="Arial Narrow"/>
                <w:color w:val="000000" w:themeColor="text1"/>
                <w:sz w:val="20"/>
                <w:szCs w:val="20"/>
              </w:rPr>
              <w:t xml:space="preserve"> cannot return to an earlier treatment setting. </w:t>
            </w:r>
          </w:p>
          <w:p w14:paraId="62282DF1" w14:textId="77777777" w:rsidR="00C40358" w:rsidRDefault="00C40358">
            <w:pPr>
              <w:spacing w:after="160"/>
              <w:contextualSpacing/>
              <w:jc w:val="left"/>
              <w:rPr>
                <w:rFonts w:ascii="Arial Narrow" w:hAnsi="Arial Narrow"/>
                <w:b/>
                <w:bCs/>
                <w:iCs/>
                <w:color w:val="000000"/>
                <w:sz w:val="20"/>
                <w:szCs w:val="20"/>
              </w:rPr>
            </w:pPr>
          </w:p>
          <w:p w14:paraId="3A777435" w14:textId="77777777" w:rsidR="00C40358" w:rsidRPr="005D0D22" w:rsidRDefault="00C40358">
            <w:pPr>
              <w:spacing w:after="160"/>
              <w:contextualSpacing/>
              <w:jc w:val="left"/>
              <w:rPr>
                <w:rFonts w:ascii="Arial Narrow" w:hAnsi="Arial Narrow"/>
                <w:b/>
                <w:bCs/>
                <w:iCs/>
                <w:color w:val="000000"/>
                <w:sz w:val="20"/>
                <w:szCs w:val="20"/>
              </w:rPr>
            </w:pPr>
            <w:r w:rsidRPr="005D0D22">
              <w:rPr>
                <w:rFonts w:ascii="Arial Narrow" w:hAnsi="Arial Narrow"/>
                <w:b/>
                <w:bCs/>
                <w:iCs/>
                <w:color w:val="000000"/>
                <w:sz w:val="20"/>
                <w:szCs w:val="20"/>
              </w:rPr>
              <w:t>Definitions:</w:t>
            </w:r>
          </w:p>
          <w:p w14:paraId="13B1E02F" w14:textId="681AC7BC" w:rsidR="00C40358" w:rsidRPr="005D0D22" w:rsidRDefault="00C40358">
            <w:pPr>
              <w:spacing w:after="160"/>
              <w:contextualSpacing/>
              <w:jc w:val="left"/>
              <w:rPr>
                <w:rFonts w:ascii="Arial Narrow" w:hAnsi="Arial Narrow"/>
                <w:iCs/>
                <w:color w:val="000000"/>
                <w:sz w:val="20"/>
                <w:szCs w:val="20"/>
              </w:rPr>
            </w:pPr>
            <w:r w:rsidRPr="005D0D22">
              <w:rPr>
                <w:rFonts w:ascii="Arial Narrow" w:hAnsi="Arial Narrow"/>
                <w:iCs/>
                <w:color w:val="000000"/>
                <w:sz w:val="20"/>
                <w:szCs w:val="20"/>
              </w:rPr>
              <w:t>A non</w:t>
            </w:r>
            <w:r w:rsidR="00AF0956">
              <w:rPr>
                <w:rFonts w:ascii="Arial Narrow" w:hAnsi="Arial Narrow"/>
                <w:iCs/>
                <w:color w:val="000000"/>
                <w:sz w:val="20"/>
                <w:szCs w:val="20"/>
              </w:rPr>
              <w:noBreakHyphen/>
            </w:r>
            <w:r w:rsidRPr="005D0D22">
              <w:rPr>
                <w:rFonts w:ascii="Arial Narrow" w:hAnsi="Arial Narrow"/>
                <w:iCs/>
                <w:color w:val="000000"/>
                <w:sz w:val="20"/>
                <w:szCs w:val="20"/>
              </w:rPr>
              <w:t>steroidal immunosuppressant (NS</w:t>
            </w:r>
            <w:r w:rsidR="00AF0956">
              <w:rPr>
                <w:rFonts w:ascii="Arial Narrow" w:hAnsi="Arial Narrow"/>
                <w:iCs/>
                <w:color w:val="000000"/>
                <w:sz w:val="20"/>
                <w:szCs w:val="20"/>
              </w:rPr>
              <w:noBreakHyphen/>
            </w:r>
            <w:r w:rsidRPr="005D0D22">
              <w:rPr>
                <w:rFonts w:ascii="Arial Narrow" w:hAnsi="Arial Narrow"/>
                <w:iCs/>
                <w:color w:val="000000"/>
                <w:sz w:val="20"/>
                <w:szCs w:val="20"/>
              </w:rPr>
              <w:t>IST) is one of the following:</w:t>
            </w:r>
          </w:p>
          <w:p w14:paraId="29F23721" w14:textId="77777777" w:rsidR="00C40358" w:rsidRPr="005D0D22" w:rsidRDefault="00C40358">
            <w:pPr>
              <w:spacing w:after="160"/>
              <w:contextualSpacing/>
              <w:jc w:val="left"/>
              <w:rPr>
                <w:rFonts w:ascii="Arial Narrow" w:hAnsi="Arial Narrow"/>
                <w:iCs/>
                <w:color w:val="000000"/>
                <w:sz w:val="20"/>
                <w:szCs w:val="20"/>
              </w:rPr>
            </w:pPr>
            <w:r w:rsidRPr="005D0D22">
              <w:rPr>
                <w:rFonts w:ascii="Arial Narrow" w:hAnsi="Arial Narrow"/>
                <w:iCs/>
                <w:color w:val="000000"/>
                <w:sz w:val="20"/>
                <w:szCs w:val="20"/>
              </w:rPr>
              <w:t xml:space="preserve">(i) azathioprine, </w:t>
            </w:r>
          </w:p>
          <w:p w14:paraId="4C39AE7A" w14:textId="77777777" w:rsidR="00C40358" w:rsidRPr="005D0D22" w:rsidRDefault="00C40358">
            <w:pPr>
              <w:spacing w:after="160"/>
              <w:contextualSpacing/>
              <w:jc w:val="left"/>
              <w:rPr>
                <w:rFonts w:ascii="Arial Narrow" w:hAnsi="Arial Narrow"/>
                <w:iCs/>
                <w:color w:val="000000"/>
                <w:sz w:val="20"/>
                <w:szCs w:val="20"/>
              </w:rPr>
            </w:pPr>
            <w:r w:rsidRPr="005D0D22">
              <w:rPr>
                <w:rFonts w:ascii="Arial Narrow" w:hAnsi="Arial Narrow"/>
                <w:iCs/>
                <w:color w:val="000000"/>
                <w:sz w:val="20"/>
                <w:szCs w:val="20"/>
              </w:rPr>
              <w:t>(ii) ciclosporin,</w:t>
            </w:r>
          </w:p>
          <w:p w14:paraId="5BE74EB8" w14:textId="77777777" w:rsidR="00C40358" w:rsidRPr="005D0D22" w:rsidRDefault="00C40358">
            <w:pPr>
              <w:spacing w:after="160"/>
              <w:contextualSpacing/>
              <w:jc w:val="left"/>
              <w:rPr>
                <w:rFonts w:ascii="Arial Narrow" w:hAnsi="Arial Narrow"/>
                <w:iCs/>
                <w:color w:val="000000"/>
                <w:sz w:val="20"/>
                <w:szCs w:val="20"/>
              </w:rPr>
            </w:pPr>
            <w:r w:rsidRPr="005D0D22">
              <w:rPr>
                <w:rFonts w:ascii="Arial Narrow" w:hAnsi="Arial Narrow"/>
                <w:iCs/>
                <w:color w:val="000000"/>
                <w:sz w:val="20"/>
                <w:szCs w:val="20"/>
              </w:rPr>
              <w:t>(iii) cyclophosphamide,</w:t>
            </w:r>
          </w:p>
          <w:p w14:paraId="53C3BEDC" w14:textId="77777777" w:rsidR="00C40358" w:rsidRPr="005D0D22" w:rsidRDefault="00C40358">
            <w:pPr>
              <w:spacing w:after="160"/>
              <w:contextualSpacing/>
              <w:jc w:val="left"/>
              <w:rPr>
                <w:rFonts w:ascii="Arial Narrow" w:hAnsi="Arial Narrow"/>
                <w:iCs/>
                <w:color w:val="000000"/>
                <w:sz w:val="20"/>
                <w:szCs w:val="20"/>
              </w:rPr>
            </w:pPr>
            <w:r w:rsidRPr="005D0D22">
              <w:rPr>
                <w:rFonts w:ascii="Arial Narrow" w:hAnsi="Arial Narrow"/>
                <w:iCs/>
                <w:color w:val="000000"/>
                <w:sz w:val="20"/>
                <w:szCs w:val="20"/>
              </w:rPr>
              <w:t>(iv) methotrexate,</w:t>
            </w:r>
          </w:p>
          <w:p w14:paraId="177DEBD8" w14:textId="77777777" w:rsidR="00C40358" w:rsidRPr="005D0D22" w:rsidRDefault="00C40358">
            <w:pPr>
              <w:jc w:val="left"/>
              <w:rPr>
                <w:rFonts w:ascii="Arial Narrow" w:hAnsi="Arial Narrow"/>
                <w:iCs/>
                <w:color w:val="000000"/>
                <w:sz w:val="20"/>
                <w:szCs w:val="20"/>
              </w:rPr>
            </w:pPr>
            <w:r w:rsidRPr="005D0D22">
              <w:rPr>
                <w:rFonts w:ascii="Arial Narrow" w:hAnsi="Arial Narrow"/>
                <w:iCs/>
                <w:color w:val="000000"/>
                <w:sz w:val="20"/>
                <w:szCs w:val="20"/>
              </w:rPr>
              <w:t>(v) mycophenolate</w:t>
            </w:r>
          </w:p>
          <w:p w14:paraId="54CD82DA" w14:textId="77777777" w:rsidR="00C40358" w:rsidRPr="005D0D22" w:rsidRDefault="00C40358">
            <w:pPr>
              <w:jc w:val="left"/>
              <w:rPr>
                <w:rFonts w:ascii="Arial Narrow" w:hAnsi="Arial Narrow"/>
                <w:iCs/>
                <w:color w:val="000000"/>
                <w:sz w:val="20"/>
                <w:szCs w:val="20"/>
              </w:rPr>
            </w:pPr>
            <w:r w:rsidRPr="005D0D22">
              <w:rPr>
                <w:rFonts w:ascii="Arial Narrow" w:hAnsi="Arial Narrow"/>
                <w:iCs/>
                <w:color w:val="000000"/>
                <w:sz w:val="20"/>
                <w:szCs w:val="20"/>
              </w:rPr>
              <w:t>(vi) tacrolimus</w:t>
            </w:r>
          </w:p>
          <w:p w14:paraId="6B21C6AD" w14:textId="77777777" w:rsidR="00C40358" w:rsidRPr="005D0D22" w:rsidRDefault="00C40358">
            <w:pPr>
              <w:jc w:val="left"/>
              <w:rPr>
                <w:rFonts w:ascii="Arial Narrow" w:hAnsi="Arial Narrow"/>
                <w:iCs/>
                <w:color w:val="000000"/>
                <w:sz w:val="20"/>
                <w:szCs w:val="20"/>
              </w:rPr>
            </w:pPr>
          </w:p>
          <w:p w14:paraId="09CFC0C1" w14:textId="77777777" w:rsidR="00C40358" w:rsidRPr="005D0D22" w:rsidRDefault="00C40358">
            <w:pPr>
              <w:jc w:val="left"/>
              <w:rPr>
                <w:rFonts w:ascii="Arial Narrow" w:hAnsi="Arial Narrow"/>
                <w:iCs/>
                <w:color w:val="000000"/>
                <w:sz w:val="20"/>
                <w:szCs w:val="20"/>
              </w:rPr>
            </w:pPr>
            <w:r w:rsidRPr="005D0D22">
              <w:rPr>
                <w:rFonts w:ascii="Arial Narrow" w:hAnsi="Arial Narrow"/>
                <w:iCs/>
                <w:color w:val="000000"/>
                <w:kern w:val="2"/>
                <w:sz w:val="20"/>
                <w:szCs w:val="20"/>
                <w14:ligatures w14:val="standardContextual"/>
              </w:rPr>
              <w:t>The Myasthenia Gravis Foundation of America (</w:t>
            </w:r>
            <w:r w:rsidRPr="005D0D22">
              <w:rPr>
                <w:rFonts w:ascii="Arial Narrow" w:hAnsi="Arial Narrow"/>
                <w:b/>
                <w:bCs/>
                <w:iCs/>
                <w:color w:val="000000"/>
                <w:kern w:val="2"/>
                <w:sz w:val="20"/>
                <w:szCs w:val="20"/>
                <w14:ligatures w14:val="standardContextual"/>
              </w:rPr>
              <w:t>MGFA</w:t>
            </w:r>
            <w:r w:rsidRPr="005D0D22">
              <w:rPr>
                <w:rFonts w:ascii="Arial Narrow" w:hAnsi="Arial Narrow"/>
                <w:iCs/>
                <w:color w:val="000000"/>
                <w:kern w:val="2"/>
                <w:sz w:val="20"/>
                <w:szCs w:val="20"/>
                <w14:ligatures w14:val="standardContextual"/>
              </w:rPr>
              <w:t xml:space="preserve">) Disease Classification can be accessed at </w:t>
            </w:r>
            <w:hyperlink r:id="rId14" w:history="1">
              <w:r w:rsidRPr="005D0D22">
                <w:rPr>
                  <w:rFonts w:ascii="Arial Narrow" w:hAnsi="Arial Narrow"/>
                  <w:iCs/>
                  <w:color w:val="467886"/>
                  <w:sz w:val="20"/>
                  <w:szCs w:val="20"/>
                  <w:u w:val="single"/>
                </w:rPr>
                <w:t>https://myasthenia.org/</w:t>
              </w:r>
            </w:hyperlink>
            <w:r w:rsidRPr="005D0D22">
              <w:rPr>
                <w:rFonts w:ascii="Arial Narrow" w:hAnsi="Arial Narrow"/>
                <w:iCs/>
                <w:color w:val="000000"/>
                <w:sz w:val="20"/>
                <w:szCs w:val="20"/>
              </w:rPr>
              <w:t xml:space="preserve"> </w:t>
            </w:r>
          </w:p>
          <w:p w14:paraId="022260CB" w14:textId="77777777" w:rsidR="00C40358" w:rsidRPr="005D0D22" w:rsidRDefault="00C40358">
            <w:pPr>
              <w:jc w:val="left"/>
              <w:rPr>
                <w:rFonts w:ascii="Arial Narrow" w:hAnsi="Arial Narrow"/>
                <w:iCs/>
                <w:color w:val="000000"/>
                <w:sz w:val="20"/>
                <w:szCs w:val="20"/>
              </w:rPr>
            </w:pPr>
          </w:p>
          <w:p w14:paraId="7BE7F374" w14:textId="77777777" w:rsidR="00C40358" w:rsidRPr="005D0D22" w:rsidRDefault="00C40358">
            <w:pPr>
              <w:jc w:val="left"/>
              <w:rPr>
                <w:rFonts w:ascii="Arial Narrow" w:hAnsi="Arial Narrow"/>
                <w:iCs/>
                <w:color w:val="000000"/>
                <w:sz w:val="20"/>
                <w:szCs w:val="20"/>
              </w:rPr>
            </w:pPr>
            <w:r w:rsidRPr="005D0D22">
              <w:rPr>
                <w:rFonts w:ascii="Arial Narrow" w:hAnsi="Arial Narrow"/>
                <w:iCs/>
                <w:color w:val="000000"/>
                <w:sz w:val="20"/>
                <w:szCs w:val="20"/>
              </w:rPr>
              <w:t>The Myasthenia Gravis Composite (</w:t>
            </w:r>
            <w:r w:rsidRPr="005D0D22">
              <w:rPr>
                <w:rFonts w:ascii="Arial Narrow" w:hAnsi="Arial Narrow"/>
                <w:b/>
                <w:bCs/>
                <w:iCs/>
                <w:color w:val="000000"/>
                <w:sz w:val="20"/>
                <w:szCs w:val="20"/>
              </w:rPr>
              <w:t>MGC</w:t>
            </w:r>
            <w:r w:rsidRPr="005D0D22">
              <w:rPr>
                <w:rFonts w:ascii="Arial Narrow" w:hAnsi="Arial Narrow"/>
                <w:iCs/>
                <w:color w:val="000000"/>
                <w:sz w:val="20"/>
                <w:szCs w:val="20"/>
              </w:rPr>
              <w:t xml:space="preserve">) scoring profile can be accessed at </w:t>
            </w:r>
            <w:hyperlink r:id="rId15" w:anchor="MGC" w:history="1">
              <w:r w:rsidRPr="005D0D22">
                <w:rPr>
                  <w:rFonts w:ascii="Arial Narrow" w:hAnsi="Arial Narrow"/>
                  <w:iCs/>
                  <w:color w:val="467886"/>
                  <w:sz w:val="20"/>
                  <w:szCs w:val="20"/>
                  <w:u w:val="single"/>
                </w:rPr>
                <w:t>https://www.criteria.blood.gov.au/NeurologicalScales#MGC</w:t>
              </w:r>
            </w:hyperlink>
            <w:r w:rsidRPr="005D0D22">
              <w:rPr>
                <w:rFonts w:ascii="Arial Narrow" w:hAnsi="Arial Narrow"/>
                <w:iCs/>
                <w:color w:val="000000"/>
                <w:sz w:val="20"/>
                <w:szCs w:val="20"/>
              </w:rPr>
              <w:t xml:space="preserve"> </w:t>
            </w:r>
          </w:p>
          <w:p w14:paraId="0C73B3B0" w14:textId="77777777" w:rsidR="00C40358" w:rsidRPr="005D0D22" w:rsidRDefault="00C40358">
            <w:pPr>
              <w:jc w:val="left"/>
              <w:rPr>
                <w:rFonts w:ascii="Arial Narrow" w:hAnsi="Arial Narrow"/>
                <w:iCs/>
                <w:color w:val="000000"/>
                <w:sz w:val="20"/>
                <w:szCs w:val="20"/>
              </w:rPr>
            </w:pPr>
          </w:p>
          <w:p w14:paraId="4DC12BCC" w14:textId="2C569F97" w:rsidR="00C40358" w:rsidRPr="005D0D22" w:rsidRDefault="00C40358">
            <w:pPr>
              <w:jc w:val="left"/>
              <w:rPr>
                <w:rFonts w:ascii="Arial Narrow" w:hAnsi="Arial Narrow"/>
                <w:iCs/>
                <w:color w:val="000000"/>
                <w:sz w:val="20"/>
                <w:szCs w:val="20"/>
              </w:rPr>
            </w:pPr>
            <w:r w:rsidRPr="005D0D22">
              <w:rPr>
                <w:rFonts w:ascii="Arial Narrow" w:hAnsi="Arial Narrow"/>
                <w:iCs/>
                <w:color w:val="000000"/>
                <w:sz w:val="20"/>
                <w:szCs w:val="20"/>
              </w:rPr>
              <w:t>The Myasthenia Gravis</w:t>
            </w:r>
            <w:r w:rsidR="00AF0956">
              <w:rPr>
                <w:rFonts w:ascii="Arial Narrow" w:hAnsi="Arial Narrow"/>
                <w:iCs/>
                <w:color w:val="000000"/>
                <w:sz w:val="20"/>
                <w:szCs w:val="20"/>
              </w:rPr>
              <w:noBreakHyphen/>
            </w:r>
            <w:r w:rsidRPr="005D0D22">
              <w:rPr>
                <w:rFonts w:ascii="Arial Narrow" w:hAnsi="Arial Narrow"/>
                <w:iCs/>
                <w:color w:val="000000"/>
                <w:sz w:val="20"/>
                <w:szCs w:val="20"/>
              </w:rPr>
              <w:t>Activities of Daily Living (</w:t>
            </w:r>
            <w:r w:rsidRPr="005D0D22">
              <w:rPr>
                <w:rFonts w:ascii="Arial Narrow" w:hAnsi="Arial Narrow"/>
                <w:b/>
                <w:bCs/>
                <w:iCs/>
                <w:color w:val="000000"/>
                <w:sz w:val="20"/>
                <w:szCs w:val="20"/>
              </w:rPr>
              <w:t>MG</w:t>
            </w:r>
            <w:r w:rsidR="00AF0956">
              <w:rPr>
                <w:rFonts w:ascii="Arial Narrow" w:hAnsi="Arial Narrow"/>
                <w:b/>
                <w:bCs/>
                <w:iCs/>
                <w:color w:val="000000"/>
                <w:sz w:val="20"/>
                <w:szCs w:val="20"/>
              </w:rPr>
              <w:noBreakHyphen/>
            </w:r>
            <w:r w:rsidRPr="005D0D22">
              <w:rPr>
                <w:rFonts w:ascii="Arial Narrow" w:hAnsi="Arial Narrow"/>
                <w:b/>
                <w:bCs/>
                <w:iCs/>
                <w:color w:val="000000"/>
                <w:sz w:val="20"/>
                <w:szCs w:val="20"/>
              </w:rPr>
              <w:t>ADL</w:t>
            </w:r>
            <w:r w:rsidRPr="005D0D22">
              <w:rPr>
                <w:rFonts w:ascii="Arial Narrow" w:hAnsi="Arial Narrow"/>
                <w:iCs/>
                <w:color w:val="000000"/>
                <w:sz w:val="20"/>
                <w:szCs w:val="20"/>
              </w:rPr>
              <w:t xml:space="preserve">) scoring profile can be accessed at </w:t>
            </w:r>
          </w:p>
          <w:p w14:paraId="06BA082E" w14:textId="77777777" w:rsidR="00C40358" w:rsidRPr="005D0D22" w:rsidRDefault="00C40358">
            <w:pPr>
              <w:jc w:val="left"/>
              <w:rPr>
                <w:rFonts w:ascii="Arial Narrow" w:hAnsi="Arial Narrow"/>
                <w:iCs/>
                <w:color w:val="000000"/>
                <w:sz w:val="20"/>
                <w:szCs w:val="20"/>
              </w:rPr>
            </w:pPr>
            <w:hyperlink r:id="rId16" w:history="1">
              <w:r w:rsidRPr="005D0D22">
                <w:rPr>
                  <w:rFonts w:ascii="Arial Narrow" w:hAnsi="Arial Narrow"/>
                  <w:iCs/>
                  <w:color w:val="467886"/>
                  <w:sz w:val="20"/>
                  <w:szCs w:val="20"/>
                  <w:u w:val="single"/>
                </w:rPr>
                <w:t>https://myasthenia.org/</w:t>
              </w:r>
            </w:hyperlink>
          </w:p>
        </w:tc>
      </w:tr>
      <w:tr w:rsidR="00C40358" w:rsidRPr="005D0D22" w14:paraId="6A3BB632" w14:textId="77777777">
        <w:trPr>
          <w:trHeight w:val="300"/>
        </w:trPr>
        <w:tc>
          <w:tcPr>
            <w:tcW w:w="491" w:type="dxa"/>
            <w:vMerge/>
            <w:vAlign w:val="center"/>
            <w:hideMark/>
          </w:tcPr>
          <w:p w14:paraId="721C3EB6" w14:textId="77777777" w:rsidR="00C40358" w:rsidRPr="005D0D22" w:rsidRDefault="00C40358">
            <w:pPr>
              <w:spacing w:line="256" w:lineRule="auto"/>
              <w:jc w:val="left"/>
              <w:rPr>
                <w:rFonts w:ascii="Arial Narrow" w:eastAsia="Aptos" w:hAnsi="Arial Narrow" w:cs="Arial"/>
                <w:kern w:val="2"/>
                <w:sz w:val="16"/>
                <w:szCs w:val="16"/>
                <w:lang w:eastAsia="en-US"/>
                <w14:ligatures w14:val="standardContextual"/>
              </w:rPr>
            </w:pPr>
          </w:p>
        </w:tc>
        <w:tc>
          <w:tcPr>
            <w:tcW w:w="783"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6507C04D" w14:textId="56C0CAE3" w:rsidR="00C40358" w:rsidRPr="005D0D22" w:rsidRDefault="00C40358" w:rsidP="003E34B6">
            <w:pPr>
              <w:jc w:val="center"/>
              <w:rPr>
                <w:rFonts w:ascii="Arial Narrow" w:eastAsia="Aptos" w:hAnsi="Arial Narrow"/>
                <w:iCs/>
                <w:kern w:val="2"/>
                <w:sz w:val="20"/>
                <w:szCs w:val="20"/>
                <w:lang w:eastAsia="en-US"/>
                <w14:ligatures w14:val="standardContextual"/>
              </w:rPr>
            </w:pPr>
          </w:p>
        </w:tc>
        <w:tc>
          <w:tcPr>
            <w:tcW w:w="7742"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75692E26" w14:textId="77777777" w:rsidR="00C40358" w:rsidRPr="005D0D22" w:rsidRDefault="00C40358" w:rsidP="00E31671">
            <w:pPr>
              <w:contextualSpacing/>
              <w:jc w:val="left"/>
              <w:rPr>
                <w:rFonts w:ascii="Arial Narrow" w:hAnsi="Arial Narrow"/>
                <w:iCs/>
                <w:color w:val="000000"/>
                <w:sz w:val="20"/>
                <w:szCs w:val="20"/>
              </w:rPr>
            </w:pPr>
            <w:r w:rsidRPr="005D0D22">
              <w:rPr>
                <w:rFonts w:ascii="Arial Narrow" w:hAnsi="Arial Narrow"/>
                <w:b/>
                <w:bCs/>
                <w:iCs/>
                <w:color w:val="000000"/>
                <w:sz w:val="20"/>
                <w:szCs w:val="20"/>
              </w:rPr>
              <w:t xml:space="preserve">Administrative Advice: </w:t>
            </w:r>
          </w:p>
          <w:p w14:paraId="5F1C6263" w14:textId="77777777" w:rsidR="00C40358" w:rsidRPr="005D0D22" w:rsidRDefault="00C40358" w:rsidP="00E31671">
            <w:pPr>
              <w:contextualSpacing/>
              <w:jc w:val="left"/>
              <w:rPr>
                <w:rFonts w:ascii="Arial Narrow" w:hAnsi="Arial Narrow"/>
                <w:b/>
                <w:bCs/>
                <w:iCs/>
                <w:color w:val="000000"/>
                <w:sz w:val="20"/>
                <w:szCs w:val="20"/>
              </w:rPr>
            </w:pPr>
            <w:r w:rsidRPr="005D0D22">
              <w:rPr>
                <w:rFonts w:ascii="Arial Narrow" w:hAnsi="Arial Narrow"/>
                <w:b/>
                <w:bCs/>
                <w:iCs/>
                <w:color w:val="000000"/>
                <w:sz w:val="20"/>
                <w:szCs w:val="20"/>
              </w:rPr>
              <w:t>Treatment switching:</w:t>
            </w:r>
          </w:p>
          <w:p w14:paraId="5EF75019" w14:textId="77777777" w:rsidR="00C40358" w:rsidRPr="005D0D22" w:rsidRDefault="00C40358" w:rsidP="00E31671">
            <w:pPr>
              <w:contextualSpacing/>
              <w:jc w:val="left"/>
              <w:rPr>
                <w:rFonts w:ascii="Arial Narrow" w:hAnsi="Arial Narrow"/>
                <w:iCs/>
                <w:color w:val="000000"/>
                <w:sz w:val="20"/>
                <w:szCs w:val="20"/>
              </w:rPr>
            </w:pPr>
            <w:r w:rsidRPr="005D0D22">
              <w:rPr>
                <w:rFonts w:ascii="Arial Narrow" w:hAnsi="Arial Narrow"/>
                <w:iCs/>
                <w:color w:val="000000"/>
                <w:sz w:val="20"/>
                <w:szCs w:val="20"/>
              </w:rPr>
              <w:t xml:space="preserve">Switching between gMG biological agents is permitted. Treatment switching should be limited to when a patient moves between different treatment settings, i.e. moving from ‘acute severe gMG’ to ‘bridging therapy for gMG’ [(1) to (2)]; or moving from ‘bridging therapy for gMG’ to ‘treatment refractory gMG’ [(2) to (3)]. </w:t>
            </w:r>
          </w:p>
          <w:p w14:paraId="50C8AAA5" w14:textId="77777777" w:rsidR="00C40358" w:rsidRPr="005D0D22" w:rsidRDefault="00C40358">
            <w:pPr>
              <w:spacing w:after="160"/>
              <w:contextualSpacing/>
              <w:jc w:val="left"/>
              <w:rPr>
                <w:rFonts w:ascii="Arial Narrow" w:hAnsi="Arial Narrow"/>
                <w:iCs/>
                <w:color w:val="000000"/>
                <w:sz w:val="20"/>
                <w:szCs w:val="20"/>
              </w:rPr>
            </w:pPr>
          </w:p>
          <w:p w14:paraId="3D47546F" w14:textId="77777777" w:rsidR="00C40358" w:rsidRPr="005D0D22" w:rsidRDefault="00C40358">
            <w:pPr>
              <w:spacing w:after="160"/>
              <w:contextualSpacing/>
              <w:jc w:val="left"/>
              <w:rPr>
                <w:rFonts w:ascii="Arial Narrow" w:hAnsi="Arial Narrow"/>
                <w:iCs/>
                <w:color w:val="000000"/>
                <w:sz w:val="20"/>
                <w:szCs w:val="20"/>
              </w:rPr>
            </w:pPr>
            <w:r w:rsidRPr="005D0D22">
              <w:rPr>
                <w:rFonts w:ascii="Arial Narrow" w:hAnsi="Arial Narrow"/>
                <w:iCs/>
                <w:color w:val="000000"/>
                <w:sz w:val="20"/>
                <w:szCs w:val="20"/>
              </w:rPr>
              <w:t xml:space="preserve">In the acute severe (1) or bridging therapy (2) settings a patient may switch to an alternate gMG biological agent if they are experiencing an intolerance or toxicity necessitating treatment withdrawal. Patients can switch by requalifying through the relevant restrictions. Only a balance of the time limits specified within the relevant treatment phase will be approved i.e. the remaining of the 3 months (acute severe gMG); or 6 months (bridging therapy for gMG) after accounting for the treatment of the previous gMG biologic. </w:t>
            </w:r>
          </w:p>
          <w:p w14:paraId="747EEDA7" w14:textId="77777777" w:rsidR="00C40358" w:rsidRPr="005D0D22" w:rsidRDefault="00C40358">
            <w:pPr>
              <w:spacing w:after="160"/>
              <w:contextualSpacing/>
              <w:jc w:val="left"/>
              <w:rPr>
                <w:rFonts w:ascii="Arial Narrow" w:hAnsi="Arial Narrow"/>
                <w:iCs/>
                <w:color w:val="000000"/>
                <w:sz w:val="20"/>
                <w:szCs w:val="20"/>
              </w:rPr>
            </w:pPr>
          </w:p>
          <w:p w14:paraId="44701CE0" w14:textId="77777777" w:rsidR="00C40358" w:rsidRPr="005D0D22" w:rsidRDefault="00C40358">
            <w:pPr>
              <w:spacing w:after="160"/>
              <w:contextualSpacing/>
              <w:jc w:val="left"/>
              <w:rPr>
                <w:rFonts w:ascii="Arial Narrow" w:hAnsi="Arial Narrow"/>
                <w:iCs/>
                <w:color w:val="000000"/>
                <w:sz w:val="20"/>
                <w:szCs w:val="20"/>
              </w:rPr>
            </w:pPr>
            <w:r w:rsidRPr="005D0D22">
              <w:rPr>
                <w:rFonts w:ascii="Arial Narrow" w:hAnsi="Arial Narrow"/>
                <w:iCs/>
                <w:color w:val="000000"/>
                <w:sz w:val="20"/>
                <w:szCs w:val="20"/>
              </w:rPr>
              <w:t>In the treatment refractory setting (3), a patient may switch to an alternate gMG biological agent via either:</w:t>
            </w:r>
          </w:p>
          <w:p w14:paraId="1C1084EF" w14:textId="77777777" w:rsidR="00C40358" w:rsidRPr="005D0D22" w:rsidRDefault="00C40358" w:rsidP="00ED248B">
            <w:pPr>
              <w:numPr>
                <w:ilvl w:val="0"/>
                <w:numId w:val="8"/>
              </w:numPr>
              <w:spacing w:after="160" w:line="256" w:lineRule="auto"/>
              <w:contextualSpacing/>
              <w:jc w:val="left"/>
              <w:rPr>
                <w:rFonts w:ascii="Arial Narrow" w:hAnsi="Arial Narrow"/>
                <w:iCs/>
                <w:color w:val="000000"/>
                <w:sz w:val="20"/>
                <w:szCs w:val="20"/>
              </w:rPr>
            </w:pPr>
            <w:r w:rsidRPr="005D0D22">
              <w:rPr>
                <w:rFonts w:ascii="Arial Narrow" w:hAnsi="Arial Narrow"/>
                <w:iCs/>
                <w:color w:val="000000"/>
                <w:sz w:val="20"/>
                <w:szCs w:val="20"/>
              </w:rPr>
              <w:t xml:space="preserve">the initial restriction if they have trialled a different gMG biologic, but did not respond to treatment; or </w:t>
            </w:r>
          </w:p>
          <w:p w14:paraId="40C88A35" w14:textId="77777777" w:rsidR="00C40358" w:rsidRPr="005D0D22" w:rsidRDefault="00C40358" w:rsidP="00ED248B">
            <w:pPr>
              <w:numPr>
                <w:ilvl w:val="0"/>
                <w:numId w:val="8"/>
              </w:numPr>
              <w:spacing w:after="160" w:line="256" w:lineRule="auto"/>
              <w:contextualSpacing/>
              <w:jc w:val="left"/>
              <w:rPr>
                <w:rFonts w:ascii="Arial Narrow" w:hAnsi="Arial Narrow"/>
                <w:iCs/>
                <w:color w:val="000000"/>
                <w:sz w:val="20"/>
                <w:szCs w:val="20"/>
              </w:rPr>
            </w:pPr>
            <w:r w:rsidRPr="005D0D22">
              <w:rPr>
                <w:rFonts w:ascii="Arial Narrow" w:hAnsi="Arial Narrow"/>
                <w:iCs/>
                <w:color w:val="000000"/>
                <w:sz w:val="20"/>
                <w:szCs w:val="20"/>
              </w:rPr>
              <w:t xml:space="preserve">the continuing restriction if they have trialled a different gMG biological agent and have responded to treatment. </w:t>
            </w:r>
          </w:p>
          <w:p w14:paraId="686AF4BC" w14:textId="77777777" w:rsidR="00C40358" w:rsidRPr="005D0D22" w:rsidRDefault="00C40358">
            <w:pPr>
              <w:jc w:val="left"/>
              <w:rPr>
                <w:rFonts w:ascii="Arial Narrow" w:hAnsi="Arial Narrow"/>
                <w:color w:val="000000"/>
                <w:sz w:val="20"/>
                <w:szCs w:val="20"/>
              </w:rPr>
            </w:pPr>
            <w:r w:rsidRPr="68F43EAC">
              <w:rPr>
                <w:rFonts w:ascii="Arial Narrow" w:hAnsi="Arial Narrow"/>
                <w:color w:val="000000" w:themeColor="text1"/>
                <w:sz w:val="20"/>
                <w:szCs w:val="20"/>
              </w:rPr>
              <w:t>Mark any remaining unused repeat prescriptions as “cancelled”.</w:t>
            </w:r>
          </w:p>
        </w:tc>
      </w:tr>
      <w:tr w:rsidR="00C40358" w:rsidRPr="005D0D22" w14:paraId="2276049F" w14:textId="77777777">
        <w:trPr>
          <w:trHeight w:val="300"/>
        </w:trPr>
        <w:tc>
          <w:tcPr>
            <w:tcW w:w="491" w:type="dxa"/>
            <w:vMerge/>
            <w:vAlign w:val="center"/>
            <w:hideMark/>
          </w:tcPr>
          <w:p w14:paraId="0FC99D92" w14:textId="77777777" w:rsidR="00C40358" w:rsidRPr="005D0D22" w:rsidRDefault="00C40358">
            <w:pPr>
              <w:spacing w:line="256" w:lineRule="auto"/>
              <w:jc w:val="left"/>
              <w:rPr>
                <w:rFonts w:ascii="Arial Narrow" w:eastAsia="Aptos" w:hAnsi="Arial Narrow" w:cs="Arial"/>
                <w:kern w:val="2"/>
                <w:sz w:val="16"/>
                <w:szCs w:val="16"/>
                <w:lang w:eastAsia="en-US"/>
                <w14:ligatures w14:val="standardContextual"/>
              </w:rPr>
            </w:pPr>
          </w:p>
        </w:tc>
        <w:tc>
          <w:tcPr>
            <w:tcW w:w="783"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44AE91C0" w14:textId="7BFFC9F6" w:rsidR="00C40358" w:rsidRPr="005D0D22" w:rsidRDefault="00C40358">
            <w:pPr>
              <w:jc w:val="center"/>
              <w:rPr>
                <w:rFonts w:ascii="Arial Narrow" w:eastAsia="Aptos" w:hAnsi="Arial Narrow"/>
                <w:iCs/>
                <w:kern w:val="2"/>
                <w:sz w:val="20"/>
                <w:szCs w:val="20"/>
                <w:lang w:eastAsia="en-US"/>
                <w14:ligatures w14:val="standardContextual"/>
              </w:rPr>
            </w:pPr>
          </w:p>
        </w:tc>
        <w:tc>
          <w:tcPr>
            <w:tcW w:w="7742"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781A56ED" w14:textId="77777777" w:rsidR="00C40358" w:rsidRPr="005D0D22" w:rsidRDefault="00C40358">
            <w:pPr>
              <w:spacing w:after="160"/>
              <w:contextualSpacing/>
              <w:jc w:val="left"/>
              <w:rPr>
                <w:rFonts w:ascii="Arial Narrow" w:hAnsi="Arial Narrow"/>
                <w:b/>
                <w:bCs/>
                <w:iCs/>
                <w:color w:val="000000"/>
                <w:sz w:val="20"/>
                <w:szCs w:val="20"/>
              </w:rPr>
            </w:pPr>
            <w:r w:rsidRPr="005D0D22">
              <w:rPr>
                <w:rFonts w:ascii="Arial Narrow" w:hAnsi="Arial Narrow"/>
                <w:b/>
                <w:bCs/>
                <w:iCs/>
                <w:color w:val="000000"/>
                <w:sz w:val="20"/>
                <w:szCs w:val="20"/>
              </w:rPr>
              <w:t>Administrative Advice:</w:t>
            </w:r>
          </w:p>
          <w:p w14:paraId="2585BCAF" w14:textId="77777777" w:rsidR="00C40358" w:rsidRPr="005D0D22" w:rsidRDefault="00C40358">
            <w:pPr>
              <w:spacing w:after="160"/>
              <w:contextualSpacing/>
              <w:jc w:val="left"/>
              <w:rPr>
                <w:rFonts w:ascii="Arial Narrow" w:hAnsi="Arial Narrow"/>
                <w:iCs/>
                <w:color w:val="000000"/>
                <w:sz w:val="20"/>
                <w:szCs w:val="20"/>
              </w:rPr>
            </w:pPr>
            <w:r w:rsidRPr="005D0D22">
              <w:rPr>
                <w:rFonts w:ascii="Arial Narrow" w:hAnsi="Arial Narrow"/>
                <w:iCs/>
                <w:color w:val="000000"/>
                <w:sz w:val="20"/>
                <w:szCs w:val="20"/>
              </w:rPr>
              <w:t>Any queries concerning the arrangements to prescribe may be directed to Services Australia on 1800 700 270 (hours of operation 8 a.m. to 5 p.m. Monday to Friday).</w:t>
            </w:r>
          </w:p>
          <w:p w14:paraId="16A43F59" w14:textId="77777777" w:rsidR="00C40358" w:rsidRPr="005D0D22" w:rsidRDefault="00C40358">
            <w:pPr>
              <w:spacing w:after="160"/>
              <w:contextualSpacing/>
              <w:jc w:val="left"/>
              <w:rPr>
                <w:rFonts w:ascii="Arial Narrow" w:hAnsi="Arial Narrow"/>
                <w:iCs/>
                <w:color w:val="000000"/>
                <w:sz w:val="20"/>
                <w:szCs w:val="20"/>
              </w:rPr>
            </w:pPr>
            <w:r w:rsidRPr="005D0D22">
              <w:rPr>
                <w:rFonts w:ascii="Arial Narrow" w:hAnsi="Arial Narrow"/>
                <w:iCs/>
                <w:color w:val="000000"/>
                <w:sz w:val="20"/>
                <w:szCs w:val="20"/>
              </w:rPr>
              <w:t>Prescribing information (including Authority Application forms and other relevant documentation as applicable) is available on the Services Australia website at www.servicesaustralia.gov.au</w:t>
            </w:r>
          </w:p>
          <w:p w14:paraId="361EEE88" w14:textId="77777777" w:rsidR="00C40358" w:rsidRPr="005D0D22" w:rsidRDefault="00C40358">
            <w:pPr>
              <w:spacing w:after="160"/>
              <w:contextualSpacing/>
              <w:jc w:val="left"/>
              <w:rPr>
                <w:rFonts w:ascii="Arial Narrow" w:hAnsi="Arial Narrow"/>
                <w:iCs/>
                <w:color w:val="000000"/>
                <w:sz w:val="20"/>
                <w:szCs w:val="20"/>
              </w:rPr>
            </w:pPr>
            <w:r w:rsidRPr="005D0D22">
              <w:rPr>
                <w:rFonts w:ascii="Arial Narrow" w:hAnsi="Arial Narrow"/>
                <w:iCs/>
                <w:color w:val="000000"/>
                <w:sz w:val="20"/>
                <w:szCs w:val="20"/>
              </w:rPr>
              <w:t>Applications for authorisation under this restriction should be made using the Online PBS Authorities system (see www.servicesaustralia.gov.au/hpos)</w:t>
            </w:r>
          </w:p>
          <w:p w14:paraId="5BB1AFE5" w14:textId="77777777" w:rsidR="00C40358" w:rsidRPr="005D0D22" w:rsidRDefault="00C40358">
            <w:pPr>
              <w:spacing w:after="160"/>
              <w:contextualSpacing/>
              <w:jc w:val="left"/>
              <w:rPr>
                <w:rFonts w:ascii="Arial Narrow" w:hAnsi="Arial Narrow"/>
                <w:iCs/>
                <w:color w:val="000000"/>
                <w:sz w:val="20"/>
                <w:szCs w:val="20"/>
              </w:rPr>
            </w:pPr>
            <w:r w:rsidRPr="005D0D22">
              <w:rPr>
                <w:rFonts w:ascii="Arial Narrow" w:hAnsi="Arial Narrow"/>
                <w:iCs/>
                <w:color w:val="000000"/>
                <w:sz w:val="20"/>
                <w:szCs w:val="20"/>
              </w:rPr>
              <w:t>Alternatively, applications for authority to prescribe should be submitted online using the form upload facility in Health Professional Online Services (HPOS) at www.servicesaustralia.gov.au/hpos</w:t>
            </w:r>
          </w:p>
          <w:p w14:paraId="4AB5D1E3" w14:textId="77777777" w:rsidR="00C40358" w:rsidRPr="005D0D22" w:rsidRDefault="00C40358">
            <w:pPr>
              <w:spacing w:after="160"/>
              <w:contextualSpacing/>
              <w:jc w:val="left"/>
              <w:rPr>
                <w:rFonts w:ascii="Arial Narrow" w:hAnsi="Arial Narrow"/>
                <w:iCs/>
                <w:color w:val="000000"/>
                <w:sz w:val="20"/>
                <w:szCs w:val="20"/>
              </w:rPr>
            </w:pPr>
            <w:r w:rsidRPr="005D0D22">
              <w:rPr>
                <w:rFonts w:ascii="Arial Narrow" w:hAnsi="Arial Narrow"/>
                <w:iCs/>
                <w:color w:val="000000"/>
                <w:sz w:val="20"/>
                <w:szCs w:val="20"/>
              </w:rPr>
              <w:t>Or mailed to:</w:t>
            </w:r>
          </w:p>
          <w:p w14:paraId="3C41C84F" w14:textId="77777777" w:rsidR="00C40358" w:rsidRPr="005D0D22" w:rsidRDefault="00C40358">
            <w:pPr>
              <w:spacing w:after="160"/>
              <w:contextualSpacing/>
              <w:jc w:val="left"/>
              <w:rPr>
                <w:rFonts w:ascii="Arial Narrow" w:hAnsi="Arial Narrow"/>
                <w:iCs/>
                <w:color w:val="000000"/>
                <w:sz w:val="20"/>
                <w:szCs w:val="20"/>
              </w:rPr>
            </w:pPr>
            <w:r w:rsidRPr="005D0D22">
              <w:rPr>
                <w:rFonts w:ascii="Arial Narrow" w:hAnsi="Arial Narrow"/>
                <w:iCs/>
                <w:color w:val="000000"/>
                <w:sz w:val="20"/>
                <w:szCs w:val="20"/>
              </w:rPr>
              <w:t>Services Australia</w:t>
            </w:r>
          </w:p>
          <w:p w14:paraId="42AE462E" w14:textId="77777777" w:rsidR="00C40358" w:rsidRPr="005D0D22" w:rsidRDefault="00C40358">
            <w:pPr>
              <w:spacing w:after="160"/>
              <w:contextualSpacing/>
              <w:jc w:val="left"/>
              <w:rPr>
                <w:rFonts w:ascii="Arial Narrow" w:hAnsi="Arial Narrow"/>
                <w:iCs/>
                <w:color w:val="000000"/>
                <w:sz w:val="20"/>
                <w:szCs w:val="20"/>
              </w:rPr>
            </w:pPr>
            <w:r w:rsidRPr="005D0D22">
              <w:rPr>
                <w:rFonts w:ascii="Arial Narrow" w:hAnsi="Arial Narrow"/>
                <w:iCs/>
                <w:color w:val="000000"/>
                <w:sz w:val="20"/>
                <w:szCs w:val="20"/>
              </w:rPr>
              <w:t>Complex Drugs</w:t>
            </w:r>
          </w:p>
          <w:p w14:paraId="32C7377E" w14:textId="77777777" w:rsidR="00C40358" w:rsidRPr="005D0D22" w:rsidRDefault="00C40358">
            <w:pPr>
              <w:spacing w:after="160"/>
              <w:contextualSpacing/>
              <w:jc w:val="left"/>
              <w:rPr>
                <w:rFonts w:ascii="Arial Narrow" w:hAnsi="Arial Narrow"/>
                <w:iCs/>
                <w:color w:val="000000"/>
                <w:sz w:val="20"/>
                <w:szCs w:val="20"/>
              </w:rPr>
            </w:pPr>
            <w:r w:rsidRPr="005D0D22">
              <w:rPr>
                <w:rFonts w:ascii="Arial Narrow" w:hAnsi="Arial Narrow"/>
                <w:iCs/>
                <w:color w:val="000000"/>
                <w:sz w:val="20"/>
                <w:szCs w:val="20"/>
              </w:rPr>
              <w:t>Reply Paid 9826</w:t>
            </w:r>
          </w:p>
          <w:p w14:paraId="1FA89C04" w14:textId="77777777" w:rsidR="00C40358" w:rsidRPr="005D0D22" w:rsidRDefault="00C40358">
            <w:pPr>
              <w:spacing w:after="160"/>
              <w:contextualSpacing/>
              <w:jc w:val="left"/>
              <w:rPr>
                <w:rFonts w:ascii="Arial Narrow" w:hAnsi="Arial Narrow"/>
                <w:b/>
                <w:bCs/>
                <w:iCs/>
                <w:color w:val="000000"/>
                <w:sz w:val="20"/>
                <w:szCs w:val="20"/>
              </w:rPr>
            </w:pPr>
            <w:r w:rsidRPr="005D0D22">
              <w:rPr>
                <w:rFonts w:ascii="Arial Narrow" w:hAnsi="Arial Narrow"/>
                <w:iCs/>
                <w:color w:val="000000"/>
                <w:sz w:val="20"/>
                <w:szCs w:val="20"/>
              </w:rPr>
              <w:t>HOBART TAS 7001</w:t>
            </w:r>
          </w:p>
        </w:tc>
      </w:tr>
      <w:tr w:rsidR="00C40358" w:rsidRPr="005D0D22" w14:paraId="288F8891" w14:textId="77777777">
        <w:trPr>
          <w:trHeight w:val="101"/>
        </w:trPr>
        <w:tc>
          <w:tcPr>
            <w:tcW w:w="491" w:type="dxa"/>
            <w:vMerge/>
            <w:vAlign w:val="center"/>
            <w:hideMark/>
          </w:tcPr>
          <w:p w14:paraId="249BFFF6" w14:textId="77777777" w:rsidR="00C40358" w:rsidRPr="005D0D22" w:rsidRDefault="00C40358">
            <w:pPr>
              <w:spacing w:line="256" w:lineRule="auto"/>
              <w:jc w:val="left"/>
              <w:rPr>
                <w:rFonts w:ascii="Arial Narrow" w:eastAsia="Aptos" w:hAnsi="Arial Narrow" w:cs="Arial"/>
                <w:kern w:val="2"/>
                <w:sz w:val="16"/>
                <w:szCs w:val="16"/>
                <w:lang w:eastAsia="en-US"/>
                <w14:ligatures w14:val="standardContextual"/>
              </w:rPr>
            </w:pPr>
          </w:p>
        </w:tc>
        <w:tc>
          <w:tcPr>
            <w:tcW w:w="783"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0FB73CB0" w14:textId="5257D34D" w:rsidR="00C40358" w:rsidRPr="005D0D22" w:rsidRDefault="00C40358">
            <w:pPr>
              <w:jc w:val="center"/>
              <w:rPr>
                <w:rFonts w:ascii="Arial Narrow" w:eastAsia="Aptos" w:hAnsi="Arial Narrow"/>
                <w:iCs/>
                <w:kern w:val="2"/>
                <w:sz w:val="20"/>
                <w:szCs w:val="20"/>
                <w:lang w:eastAsia="en-US"/>
                <w14:ligatures w14:val="standardContextual"/>
              </w:rPr>
            </w:pPr>
          </w:p>
        </w:tc>
        <w:tc>
          <w:tcPr>
            <w:tcW w:w="7742"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039FE7E2" w14:textId="77777777" w:rsidR="00C40358" w:rsidRPr="005D0D22" w:rsidRDefault="00C40358">
            <w:pPr>
              <w:spacing w:after="160"/>
              <w:contextualSpacing/>
              <w:jc w:val="left"/>
              <w:rPr>
                <w:rFonts w:ascii="Arial Narrow" w:hAnsi="Arial Narrow"/>
                <w:b/>
                <w:bCs/>
                <w:iCs/>
                <w:color w:val="000000"/>
                <w:sz w:val="20"/>
                <w:szCs w:val="20"/>
              </w:rPr>
            </w:pPr>
            <w:r w:rsidRPr="005D0D22">
              <w:rPr>
                <w:rFonts w:ascii="Arial Narrow" w:hAnsi="Arial Narrow"/>
                <w:b/>
                <w:bCs/>
                <w:iCs/>
                <w:color w:val="000000"/>
                <w:sz w:val="20"/>
                <w:szCs w:val="20"/>
              </w:rPr>
              <w:t xml:space="preserve">Administrative Advice: </w:t>
            </w:r>
            <w:r w:rsidRPr="005D0D22">
              <w:rPr>
                <w:rFonts w:ascii="Arial Narrow" w:hAnsi="Arial Narrow"/>
                <w:iCs/>
                <w:color w:val="000000"/>
                <w:sz w:val="20"/>
                <w:szCs w:val="20"/>
              </w:rPr>
              <w:t>No increase in the maximum quantity or number of units may be authorised.</w:t>
            </w:r>
          </w:p>
        </w:tc>
      </w:tr>
      <w:tr w:rsidR="00C40358" w:rsidRPr="005D0D22" w14:paraId="599F2A90" w14:textId="77777777">
        <w:trPr>
          <w:trHeight w:val="105"/>
        </w:trPr>
        <w:tc>
          <w:tcPr>
            <w:tcW w:w="491" w:type="dxa"/>
            <w:vMerge/>
            <w:vAlign w:val="center"/>
            <w:hideMark/>
          </w:tcPr>
          <w:p w14:paraId="2576F6BF" w14:textId="77777777" w:rsidR="00C40358" w:rsidRPr="005D0D22" w:rsidRDefault="00C40358">
            <w:pPr>
              <w:spacing w:line="256" w:lineRule="auto"/>
              <w:jc w:val="left"/>
              <w:rPr>
                <w:rFonts w:ascii="Arial Narrow" w:eastAsia="Aptos" w:hAnsi="Arial Narrow" w:cs="Arial"/>
                <w:kern w:val="2"/>
                <w:sz w:val="16"/>
                <w:szCs w:val="16"/>
                <w:lang w:eastAsia="en-US"/>
                <w14:ligatures w14:val="standardContextual"/>
              </w:rPr>
            </w:pPr>
          </w:p>
        </w:tc>
        <w:tc>
          <w:tcPr>
            <w:tcW w:w="783"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5FE4CF95" w14:textId="1C17F040" w:rsidR="00C40358" w:rsidRPr="005D0D22" w:rsidRDefault="00C40358">
            <w:pPr>
              <w:jc w:val="center"/>
              <w:rPr>
                <w:rFonts w:ascii="Arial Narrow" w:eastAsia="Aptos" w:hAnsi="Arial Narrow"/>
                <w:iCs/>
                <w:kern w:val="2"/>
                <w:sz w:val="20"/>
                <w:szCs w:val="20"/>
                <w:lang w:eastAsia="en-US"/>
                <w14:ligatures w14:val="standardContextual"/>
              </w:rPr>
            </w:pPr>
          </w:p>
        </w:tc>
        <w:tc>
          <w:tcPr>
            <w:tcW w:w="7742"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67FC6AEE" w14:textId="77777777" w:rsidR="00C40358" w:rsidRPr="005D0D22" w:rsidRDefault="00C40358">
            <w:pPr>
              <w:spacing w:after="160"/>
              <w:contextualSpacing/>
              <w:jc w:val="left"/>
              <w:rPr>
                <w:rFonts w:ascii="Arial Narrow" w:hAnsi="Arial Narrow"/>
                <w:b/>
                <w:bCs/>
                <w:iCs/>
                <w:color w:val="000000"/>
                <w:sz w:val="20"/>
                <w:szCs w:val="20"/>
              </w:rPr>
            </w:pPr>
            <w:r w:rsidRPr="005D0D22">
              <w:rPr>
                <w:rFonts w:ascii="Arial Narrow" w:hAnsi="Arial Narrow"/>
                <w:b/>
                <w:bCs/>
                <w:iCs/>
                <w:color w:val="000000"/>
                <w:sz w:val="20"/>
                <w:szCs w:val="20"/>
              </w:rPr>
              <w:t xml:space="preserve">Administrative Advice: </w:t>
            </w:r>
            <w:r w:rsidRPr="005D0D22">
              <w:rPr>
                <w:rFonts w:ascii="Arial Narrow" w:hAnsi="Arial Narrow"/>
                <w:iCs/>
                <w:color w:val="000000"/>
                <w:sz w:val="20"/>
                <w:szCs w:val="20"/>
              </w:rPr>
              <w:t>No increase in the maximum number of repeats may be authorised.</w:t>
            </w:r>
          </w:p>
        </w:tc>
      </w:tr>
      <w:tr w:rsidR="00C40358" w:rsidRPr="005D0D22" w14:paraId="76E89D27" w14:textId="77777777">
        <w:trPr>
          <w:trHeight w:val="122"/>
        </w:trPr>
        <w:tc>
          <w:tcPr>
            <w:tcW w:w="491" w:type="dxa"/>
            <w:vMerge/>
            <w:vAlign w:val="center"/>
            <w:hideMark/>
          </w:tcPr>
          <w:p w14:paraId="4A30CB0D" w14:textId="77777777" w:rsidR="00C40358" w:rsidRPr="005D0D22" w:rsidRDefault="00C40358">
            <w:pPr>
              <w:spacing w:line="256" w:lineRule="auto"/>
              <w:jc w:val="left"/>
              <w:rPr>
                <w:rFonts w:ascii="Arial Narrow" w:eastAsia="Aptos" w:hAnsi="Arial Narrow" w:cs="Arial"/>
                <w:kern w:val="2"/>
                <w:sz w:val="16"/>
                <w:szCs w:val="16"/>
                <w:lang w:eastAsia="en-US"/>
                <w14:ligatures w14:val="standardContextual"/>
              </w:rPr>
            </w:pPr>
          </w:p>
        </w:tc>
        <w:tc>
          <w:tcPr>
            <w:tcW w:w="783"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4CEA8B69" w14:textId="246F92F5" w:rsidR="00C40358" w:rsidRPr="005D0D22" w:rsidRDefault="00C40358">
            <w:pPr>
              <w:jc w:val="center"/>
              <w:rPr>
                <w:rFonts w:ascii="Arial Narrow" w:eastAsia="Aptos" w:hAnsi="Arial Narrow"/>
                <w:iCs/>
                <w:kern w:val="2"/>
                <w:sz w:val="20"/>
                <w:szCs w:val="20"/>
                <w:lang w:eastAsia="en-US"/>
                <w14:ligatures w14:val="standardContextual"/>
              </w:rPr>
            </w:pPr>
          </w:p>
        </w:tc>
        <w:tc>
          <w:tcPr>
            <w:tcW w:w="7742"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5CF3253E" w14:textId="77777777" w:rsidR="00C40358" w:rsidRPr="005D0D22" w:rsidRDefault="00C40358">
            <w:pPr>
              <w:spacing w:after="160"/>
              <w:contextualSpacing/>
              <w:jc w:val="left"/>
              <w:rPr>
                <w:rFonts w:ascii="Arial Narrow" w:hAnsi="Arial Narrow"/>
                <w:b/>
                <w:bCs/>
                <w:iCs/>
                <w:color w:val="000000"/>
                <w:sz w:val="20"/>
                <w:szCs w:val="20"/>
              </w:rPr>
            </w:pPr>
            <w:r w:rsidRPr="005D0D22">
              <w:rPr>
                <w:rFonts w:ascii="Arial Narrow" w:hAnsi="Arial Narrow"/>
                <w:b/>
                <w:bCs/>
                <w:iCs/>
                <w:color w:val="000000"/>
                <w:sz w:val="20"/>
                <w:szCs w:val="20"/>
              </w:rPr>
              <w:t xml:space="preserve">Administrative Advice: </w:t>
            </w:r>
            <w:r w:rsidRPr="005D0D22">
              <w:rPr>
                <w:rFonts w:ascii="Arial Narrow" w:hAnsi="Arial Narrow"/>
                <w:iCs/>
                <w:color w:val="000000"/>
                <w:sz w:val="20"/>
                <w:szCs w:val="20"/>
              </w:rPr>
              <w:t>Special Pricing Arrangements apply.</w:t>
            </w:r>
          </w:p>
        </w:tc>
      </w:tr>
      <w:tr w:rsidR="00C40358" w:rsidRPr="005D0D22" w14:paraId="76B580AB" w14:textId="77777777" w:rsidTr="002408E2">
        <w:trPr>
          <w:cantSplit/>
          <w:trHeight w:val="20"/>
        </w:trPr>
        <w:tc>
          <w:tcPr>
            <w:tcW w:w="9016" w:type="dxa"/>
            <w:gridSpan w:val="8"/>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54E1D502" w14:textId="78D3DA91" w:rsidR="00C40358" w:rsidRPr="005D0D22" w:rsidRDefault="00C40358">
            <w:pPr>
              <w:keepLines/>
              <w:spacing w:after="160"/>
              <w:contextualSpacing/>
              <w:jc w:val="left"/>
              <w:rPr>
                <w:rFonts w:ascii="Arial Narrow" w:hAnsi="Arial Narrow"/>
                <w:b/>
                <w:bCs/>
                <w:color w:val="000000"/>
                <w:sz w:val="20"/>
                <w:szCs w:val="20"/>
              </w:rPr>
            </w:pPr>
          </w:p>
        </w:tc>
      </w:tr>
      <w:tr w:rsidR="00C40358" w:rsidRPr="005D0D22" w14:paraId="52BE1685" w14:textId="77777777">
        <w:trPr>
          <w:cantSplit/>
          <w:trHeight w:val="20"/>
        </w:trPr>
        <w:tc>
          <w:tcPr>
            <w:tcW w:w="1274"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2C16233F" w14:textId="3C3D34FC" w:rsidR="00C40358" w:rsidRPr="005D0D22" w:rsidRDefault="00C40358">
            <w:pPr>
              <w:keepLines/>
              <w:spacing w:after="160"/>
              <w:contextualSpacing/>
              <w:jc w:val="center"/>
              <w:rPr>
                <w:rFonts w:ascii="Arial Narrow" w:hAnsi="Arial Narrow"/>
                <w:color w:val="000000"/>
                <w:sz w:val="20"/>
                <w:szCs w:val="20"/>
              </w:rPr>
            </w:pPr>
          </w:p>
        </w:tc>
        <w:tc>
          <w:tcPr>
            <w:tcW w:w="7742"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6852FCEE" w14:textId="77777777" w:rsidR="00C40358" w:rsidRPr="005D0D22" w:rsidRDefault="00C40358">
            <w:pPr>
              <w:keepLines/>
              <w:spacing w:after="160"/>
              <w:contextualSpacing/>
              <w:jc w:val="left"/>
              <w:rPr>
                <w:rFonts w:ascii="Arial Narrow" w:hAnsi="Arial Narrow"/>
                <w:b/>
                <w:bCs/>
                <w:color w:val="000000"/>
                <w:sz w:val="20"/>
                <w:szCs w:val="20"/>
              </w:rPr>
            </w:pPr>
            <w:r w:rsidRPr="005D0D22">
              <w:rPr>
                <w:rFonts w:ascii="Arial Narrow" w:hAnsi="Arial Narrow"/>
                <w:b/>
                <w:bCs/>
                <w:color w:val="000000"/>
                <w:sz w:val="20"/>
                <w:szCs w:val="20"/>
              </w:rPr>
              <w:t>Indication:</w:t>
            </w:r>
            <w:r w:rsidRPr="005D0D22">
              <w:rPr>
                <w:rFonts w:ascii="Arial Narrow" w:hAnsi="Arial Narrow"/>
                <w:color w:val="000000"/>
                <w:sz w:val="20"/>
                <w:szCs w:val="20"/>
              </w:rPr>
              <w:t xml:space="preserve"> Bridging therapy for generalised myasthenia gravis (gMG)</w:t>
            </w:r>
          </w:p>
        </w:tc>
      </w:tr>
      <w:tr w:rsidR="00C40358" w:rsidRPr="005D0D22" w14:paraId="0DD4B5F0" w14:textId="77777777">
        <w:trPr>
          <w:cantSplit/>
          <w:trHeight w:val="20"/>
        </w:trPr>
        <w:tc>
          <w:tcPr>
            <w:tcW w:w="1274"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6172C0E9" w14:textId="77777777" w:rsidR="00C40358" w:rsidRPr="005D0D22" w:rsidRDefault="00C40358">
            <w:pPr>
              <w:keepLines/>
              <w:spacing w:after="160"/>
              <w:contextualSpacing/>
              <w:jc w:val="center"/>
              <w:rPr>
                <w:rFonts w:ascii="Arial Narrow" w:hAnsi="Arial Narrow"/>
                <w:color w:val="000000"/>
                <w:sz w:val="20"/>
                <w:szCs w:val="20"/>
              </w:rPr>
            </w:pPr>
          </w:p>
        </w:tc>
        <w:tc>
          <w:tcPr>
            <w:tcW w:w="7742"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0A5F8742" w14:textId="77777777" w:rsidR="00C40358" w:rsidRPr="009C59B9" w:rsidRDefault="00C40358">
            <w:pPr>
              <w:keepLines/>
              <w:spacing w:after="160"/>
              <w:contextualSpacing/>
              <w:jc w:val="left"/>
              <w:rPr>
                <w:rFonts w:ascii="Arial Narrow" w:hAnsi="Arial Narrow"/>
                <w:b/>
                <w:bCs/>
                <w:color w:val="000000"/>
                <w:sz w:val="20"/>
                <w:szCs w:val="20"/>
              </w:rPr>
            </w:pPr>
            <w:r w:rsidRPr="009C59B9">
              <w:rPr>
                <w:rFonts w:ascii="Arial Narrow" w:hAnsi="Arial Narrow"/>
                <w:b/>
                <w:bCs/>
                <w:color w:val="000000"/>
                <w:sz w:val="20"/>
                <w:szCs w:val="20"/>
              </w:rPr>
              <w:t>Treatment Phase:</w:t>
            </w:r>
            <w:r w:rsidRPr="009C59B9">
              <w:rPr>
                <w:rFonts w:ascii="Arial Narrow" w:hAnsi="Arial Narrow"/>
                <w:color w:val="000000"/>
                <w:sz w:val="20"/>
                <w:szCs w:val="20"/>
              </w:rPr>
              <w:t xml:space="preserve"> [Blank] </w:t>
            </w:r>
          </w:p>
        </w:tc>
      </w:tr>
      <w:tr w:rsidR="00C40358" w:rsidRPr="005D0D22" w14:paraId="695C7C95" w14:textId="77777777">
        <w:trPr>
          <w:cantSplit/>
          <w:trHeight w:val="20"/>
        </w:trPr>
        <w:tc>
          <w:tcPr>
            <w:tcW w:w="1274"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34546C30" w14:textId="153C9BA9" w:rsidR="00C40358" w:rsidRPr="005D0D22" w:rsidRDefault="00C40358">
            <w:pPr>
              <w:spacing w:after="160"/>
              <w:contextualSpacing/>
              <w:jc w:val="center"/>
              <w:rPr>
                <w:rFonts w:ascii="Arial Narrow" w:hAnsi="Arial Narrow"/>
                <w:color w:val="000000"/>
                <w:sz w:val="20"/>
                <w:szCs w:val="20"/>
              </w:rPr>
            </w:pPr>
          </w:p>
        </w:tc>
        <w:tc>
          <w:tcPr>
            <w:tcW w:w="7742"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25C74987" w14:textId="77777777" w:rsidR="00C40358" w:rsidRPr="005D0D22" w:rsidRDefault="00C40358">
            <w:pPr>
              <w:spacing w:after="160"/>
              <w:contextualSpacing/>
              <w:jc w:val="left"/>
              <w:rPr>
                <w:rFonts w:ascii="Arial Narrow" w:hAnsi="Arial Narrow"/>
                <w:color w:val="000000"/>
                <w:sz w:val="20"/>
                <w:szCs w:val="20"/>
              </w:rPr>
            </w:pPr>
            <w:r w:rsidRPr="005D0D22">
              <w:rPr>
                <w:rFonts w:ascii="Arial Narrow" w:hAnsi="Arial Narrow"/>
                <w:b/>
                <w:bCs/>
                <w:color w:val="000000"/>
                <w:sz w:val="20"/>
                <w:szCs w:val="20"/>
              </w:rPr>
              <w:t>Clinical criteria:</w:t>
            </w:r>
          </w:p>
        </w:tc>
      </w:tr>
      <w:tr w:rsidR="00C40358" w:rsidRPr="005D0D22" w14:paraId="20EC4DBC" w14:textId="77777777">
        <w:trPr>
          <w:cantSplit/>
          <w:trHeight w:val="20"/>
        </w:trPr>
        <w:tc>
          <w:tcPr>
            <w:tcW w:w="1274"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1C245758" w14:textId="3580E0E6" w:rsidR="00C40358" w:rsidRPr="005D0D22" w:rsidRDefault="00C40358">
            <w:pPr>
              <w:spacing w:after="160"/>
              <w:contextualSpacing/>
              <w:jc w:val="center"/>
              <w:rPr>
                <w:rFonts w:ascii="Arial Narrow" w:hAnsi="Arial Narrow"/>
                <w:color w:val="000000"/>
                <w:sz w:val="20"/>
                <w:szCs w:val="20"/>
              </w:rPr>
            </w:pPr>
          </w:p>
        </w:tc>
        <w:tc>
          <w:tcPr>
            <w:tcW w:w="7742"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39377E12" w14:textId="77777777" w:rsidR="00C40358" w:rsidRPr="005D0D22" w:rsidRDefault="00C40358">
            <w:pPr>
              <w:spacing w:after="160"/>
              <w:contextualSpacing/>
              <w:jc w:val="left"/>
              <w:rPr>
                <w:rFonts w:ascii="Arial Narrow" w:hAnsi="Arial Narrow"/>
                <w:color w:val="000000"/>
                <w:kern w:val="2"/>
                <w:sz w:val="20"/>
                <w:szCs w:val="20"/>
                <w14:ligatures w14:val="standardContextual"/>
              </w:rPr>
            </w:pPr>
            <w:r w:rsidRPr="005D0D22">
              <w:rPr>
                <w:rFonts w:ascii="Arial Narrow" w:hAnsi="Arial Narrow"/>
                <w:color w:val="333333"/>
                <w:kern w:val="2"/>
                <w:sz w:val="20"/>
                <w:szCs w:val="20"/>
                <w14:ligatures w14:val="standardContextual"/>
              </w:rPr>
              <w:t xml:space="preserve">Patient must have a diagnosis of MGFA Disease </w:t>
            </w:r>
            <w:r w:rsidRPr="005D0D22">
              <w:rPr>
                <w:rFonts w:ascii="Arial Narrow" w:hAnsi="Arial Narrow"/>
                <w:color w:val="000000"/>
                <w:kern w:val="2"/>
                <w:sz w:val="20"/>
                <w:szCs w:val="20"/>
                <w14:ligatures w14:val="standardContextual"/>
              </w:rPr>
              <w:t xml:space="preserve">Class II to IV </w:t>
            </w:r>
          </w:p>
        </w:tc>
      </w:tr>
      <w:tr w:rsidR="00C40358" w:rsidRPr="005D0D22" w14:paraId="409E32EC" w14:textId="77777777">
        <w:trPr>
          <w:cantSplit/>
          <w:trHeight w:val="20"/>
        </w:trPr>
        <w:tc>
          <w:tcPr>
            <w:tcW w:w="1274"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246EECEE" w14:textId="77777777" w:rsidR="00C40358" w:rsidRPr="005D0D22" w:rsidRDefault="00C40358">
            <w:pPr>
              <w:spacing w:after="160"/>
              <w:contextualSpacing/>
              <w:jc w:val="center"/>
              <w:rPr>
                <w:rFonts w:ascii="Arial Narrow" w:hAnsi="Arial Narrow"/>
                <w:color w:val="000000"/>
                <w:sz w:val="20"/>
                <w:szCs w:val="20"/>
              </w:rPr>
            </w:pPr>
          </w:p>
        </w:tc>
        <w:tc>
          <w:tcPr>
            <w:tcW w:w="7742"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4E8432D0" w14:textId="77777777" w:rsidR="00C40358" w:rsidRPr="005D0D22" w:rsidRDefault="00C40358">
            <w:pPr>
              <w:spacing w:after="160"/>
              <w:contextualSpacing/>
              <w:jc w:val="left"/>
              <w:rPr>
                <w:rFonts w:ascii="Arial Narrow" w:hAnsi="Arial Narrow"/>
                <w:color w:val="000000"/>
                <w:sz w:val="20"/>
                <w:szCs w:val="20"/>
              </w:rPr>
            </w:pPr>
            <w:r w:rsidRPr="005D0D22">
              <w:rPr>
                <w:rFonts w:ascii="Arial Narrow" w:hAnsi="Arial Narrow"/>
                <w:b/>
                <w:bCs/>
                <w:color w:val="000000"/>
                <w:sz w:val="20"/>
                <w:szCs w:val="20"/>
              </w:rPr>
              <w:t>AND</w:t>
            </w:r>
          </w:p>
        </w:tc>
      </w:tr>
      <w:tr w:rsidR="00C40358" w:rsidRPr="005D0D22" w14:paraId="2F345A25" w14:textId="77777777">
        <w:trPr>
          <w:cantSplit/>
          <w:trHeight w:val="20"/>
        </w:trPr>
        <w:tc>
          <w:tcPr>
            <w:tcW w:w="1274"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10146E04" w14:textId="0A5C53BC" w:rsidR="00C40358" w:rsidRPr="005D0D22" w:rsidRDefault="00C40358">
            <w:pPr>
              <w:spacing w:after="160"/>
              <w:contextualSpacing/>
              <w:jc w:val="center"/>
              <w:rPr>
                <w:rFonts w:ascii="Arial Narrow" w:hAnsi="Arial Narrow"/>
                <w:color w:val="000000"/>
                <w:sz w:val="20"/>
                <w:szCs w:val="20"/>
              </w:rPr>
            </w:pPr>
          </w:p>
        </w:tc>
        <w:tc>
          <w:tcPr>
            <w:tcW w:w="7742"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7ACD409A" w14:textId="77777777" w:rsidR="00C40358" w:rsidRPr="005D0D22" w:rsidRDefault="00C40358">
            <w:pPr>
              <w:spacing w:after="160"/>
              <w:contextualSpacing/>
              <w:jc w:val="left"/>
              <w:rPr>
                <w:rFonts w:ascii="Arial Narrow" w:hAnsi="Arial Narrow"/>
                <w:color w:val="000000"/>
                <w:sz w:val="20"/>
                <w:szCs w:val="20"/>
              </w:rPr>
            </w:pPr>
            <w:r w:rsidRPr="005D0D22">
              <w:rPr>
                <w:rFonts w:ascii="Arial Narrow" w:hAnsi="Arial Narrow"/>
                <w:b/>
                <w:bCs/>
                <w:color w:val="000000"/>
                <w:sz w:val="20"/>
                <w:szCs w:val="20"/>
              </w:rPr>
              <w:t>Clinical criteria:</w:t>
            </w:r>
          </w:p>
        </w:tc>
      </w:tr>
      <w:tr w:rsidR="00C40358" w:rsidRPr="005D0D22" w14:paraId="3D620A74" w14:textId="77777777">
        <w:trPr>
          <w:cantSplit/>
          <w:trHeight w:val="20"/>
        </w:trPr>
        <w:tc>
          <w:tcPr>
            <w:tcW w:w="1274"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0672FD36" w14:textId="5F2AB1C6" w:rsidR="00C40358" w:rsidRPr="005D0D22" w:rsidRDefault="00C40358">
            <w:pPr>
              <w:spacing w:after="160"/>
              <w:contextualSpacing/>
              <w:jc w:val="center"/>
              <w:rPr>
                <w:rFonts w:ascii="Arial Narrow" w:hAnsi="Arial Narrow"/>
                <w:color w:val="000000"/>
                <w:sz w:val="20"/>
                <w:szCs w:val="20"/>
              </w:rPr>
            </w:pPr>
          </w:p>
        </w:tc>
        <w:tc>
          <w:tcPr>
            <w:tcW w:w="7742"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0468A3D6" w14:textId="77777777" w:rsidR="00C40358" w:rsidRPr="005D0D22" w:rsidRDefault="00C40358">
            <w:pPr>
              <w:spacing w:after="160"/>
              <w:contextualSpacing/>
              <w:jc w:val="left"/>
              <w:rPr>
                <w:rFonts w:ascii="Arial Narrow" w:eastAsia="Calibri" w:hAnsi="Arial Narrow"/>
                <w:color w:val="000000"/>
                <w:sz w:val="20"/>
                <w:szCs w:val="20"/>
                <w:lang w:eastAsia="en-US"/>
              </w:rPr>
            </w:pPr>
            <w:r w:rsidRPr="005D0D22">
              <w:rPr>
                <w:rFonts w:ascii="Arial Narrow" w:hAnsi="Arial Narrow"/>
                <w:bCs/>
                <w:color w:val="000000"/>
                <w:kern w:val="2"/>
                <w:sz w:val="20"/>
                <w:szCs w:val="20"/>
                <w14:ligatures w14:val="standardContextual"/>
              </w:rPr>
              <w:t>Patient must have a positive serology for acetylcholine receptor (AChR) binding autoantibodies</w:t>
            </w:r>
          </w:p>
        </w:tc>
      </w:tr>
      <w:tr w:rsidR="00C40358" w:rsidRPr="005D0D22" w14:paraId="0AEE6F4C" w14:textId="77777777">
        <w:trPr>
          <w:cantSplit/>
          <w:trHeight w:val="20"/>
        </w:trPr>
        <w:tc>
          <w:tcPr>
            <w:tcW w:w="1274"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7537E971" w14:textId="77777777" w:rsidR="00C40358" w:rsidRPr="005D0D22" w:rsidRDefault="00C40358">
            <w:pPr>
              <w:spacing w:after="160"/>
              <w:contextualSpacing/>
              <w:jc w:val="center"/>
              <w:rPr>
                <w:rFonts w:ascii="Arial Narrow" w:hAnsi="Arial Narrow"/>
                <w:color w:val="000000"/>
                <w:sz w:val="20"/>
                <w:szCs w:val="20"/>
              </w:rPr>
            </w:pPr>
          </w:p>
        </w:tc>
        <w:tc>
          <w:tcPr>
            <w:tcW w:w="7742"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7D038411" w14:textId="77777777" w:rsidR="00C40358" w:rsidRPr="005D0D22" w:rsidRDefault="00C40358">
            <w:pPr>
              <w:spacing w:after="160"/>
              <w:contextualSpacing/>
              <w:jc w:val="left"/>
              <w:rPr>
                <w:rFonts w:ascii="Arial Narrow" w:hAnsi="Arial Narrow"/>
                <w:color w:val="000000"/>
                <w:sz w:val="20"/>
                <w:szCs w:val="20"/>
              </w:rPr>
            </w:pPr>
            <w:r w:rsidRPr="005D0D22">
              <w:rPr>
                <w:rFonts w:ascii="Arial Narrow" w:eastAsia="Calibri" w:hAnsi="Arial Narrow"/>
                <w:b/>
                <w:bCs/>
                <w:color w:val="000000"/>
                <w:sz w:val="20"/>
                <w:szCs w:val="20"/>
                <w:lang w:eastAsia="en-US"/>
              </w:rPr>
              <w:t>AND</w:t>
            </w:r>
          </w:p>
        </w:tc>
      </w:tr>
      <w:tr w:rsidR="00C40358" w:rsidRPr="005D0D22" w14:paraId="3B63814E" w14:textId="77777777">
        <w:trPr>
          <w:cantSplit/>
          <w:trHeight w:val="20"/>
        </w:trPr>
        <w:tc>
          <w:tcPr>
            <w:tcW w:w="1274"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78307878" w14:textId="21CA56CE" w:rsidR="00C40358" w:rsidRPr="005D0D22" w:rsidRDefault="00C40358">
            <w:pPr>
              <w:spacing w:after="160"/>
              <w:contextualSpacing/>
              <w:jc w:val="center"/>
              <w:rPr>
                <w:rFonts w:ascii="Arial Narrow" w:hAnsi="Arial Narrow"/>
                <w:color w:val="000000"/>
                <w:sz w:val="20"/>
                <w:szCs w:val="20"/>
              </w:rPr>
            </w:pPr>
          </w:p>
        </w:tc>
        <w:tc>
          <w:tcPr>
            <w:tcW w:w="7742"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768A86D5" w14:textId="77777777" w:rsidR="00C40358" w:rsidRPr="005D0D22" w:rsidRDefault="00C40358">
            <w:pPr>
              <w:spacing w:after="160"/>
              <w:contextualSpacing/>
              <w:jc w:val="left"/>
              <w:rPr>
                <w:rFonts w:ascii="Arial Narrow" w:hAnsi="Arial Narrow"/>
                <w:color w:val="000000"/>
                <w:sz w:val="20"/>
                <w:szCs w:val="20"/>
              </w:rPr>
            </w:pPr>
            <w:r w:rsidRPr="005D0D22">
              <w:rPr>
                <w:rFonts w:ascii="Arial Narrow" w:eastAsia="Calibri" w:hAnsi="Arial Narrow"/>
                <w:b/>
                <w:bCs/>
                <w:color w:val="000000"/>
                <w:sz w:val="20"/>
                <w:szCs w:val="20"/>
                <w:lang w:eastAsia="en-US"/>
              </w:rPr>
              <w:t>Clinical criteria:</w:t>
            </w:r>
          </w:p>
        </w:tc>
      </w:tr>
      <w:tr w:rsidR="00C40358" w:rsidRPr="005D0D22" w14:paraId="229B8BDB" w14:textId="77777777">
        <w:trPr>
          <w:cantSplit/>
          <w:trHeight w:val="20"/>
        </w:trPr>
        <w:tc>
          <w:tcPr>
            <w:tcW w:w="1274"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736464C6" w14:textId="1E83DBFA" w:rsidR="00C40358" w:rsidRPr="005D0D22" w:rsidRDefault="00C40358">
            <w:pPr>
              <w:spacing w:after="160"/>
              <w:contextualSpacing/>
              <w:jc w:val="center"/>
              <w:rPr>
                <w:rFonts w:ascii="Arial Narrow" w:hAnsi="Arial Narrow"/>
                <w:color w:val="000000"/>
                <w:sz w:val="20"/>
                <w:szCs w:val="20"/>
              </w:rPr>
            </w:pPr>
          </w:p>
        </w:tc>
        <w:tc>
          <w:tcPr>
            <w:tcW w:w="7742"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6D7AFF28" w14:textId="77777777" w:rsidR="00C40358" w:rsidRPr="005D0D22" w:rsidRDefault="00C40358">
            <w:pPr>
              <w:spacing w:after="160"/>
              <w:contextualSpacing/>
              <w:jc w:val="left"/>
              <w:rPr>
                <w:rFonts w:ascii="Arial Narrow" w:hAnsi="Arial Narrow"/>
                <w:color w:val="000000"/>
                <w:sz w:val="20"/>
                <w:szCs w:val="20"/>
              </w:rPr>
            </w:pPr>
            <w:r w:rsidRPr="005D0D22">
              <w:rPr>
                <w:rFonts w:ascii="Arial Narrow" w:eastAsia="Calibri" w:hAnsi="Arial Narrow"/>
                <w:color w:val="000000"/>
                <w:sz w:val="20"/>
                <w:szCs w:val="20"/>
                <w:lang w:eastAsia="en-US"/>
              </w:rPr>
              <w:t xml:space="preserve">Patient must not be experiencing a myasthenic crisis </w:t>
            </w:r>
          </w:p>
        </w:tc>
      </w:tr>
      <w:tr w:rsidR="00C40358" w:rsidRPr="005D0D22" w14:paraId="62C132F4" w14:textId="77777777">
        <w:trPr>
          <w:cantSplit/>
          <w:trHeight w:val="20"/>
        </w:trPr>
        <w:tc>
          <w:tcPr>
            <w:tcW w:w="1274"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445120CF" w14:textId="77777777" w:rsidR="00C40358" w:rsidRPr="005D0D22" w:rsidRDefault="00C40358">
            <w:pPr>
              <w:spacing w:after="160"/>
              <w:contextualSpacing/>
              <w:jc w:val="center"/>
              <w:rPr>
                <w:rFonts w:ascii="Arial Narrow" w:hAnsi="Arial Narrow"/>
                <w:color w:val="000000"/>
                <w:sz w:val="20"/>
                <w:szCs w:val="20"/>
              </w:rPr>
            </w:pPr>
          </w:p>
        </w:tc>
        <w:tc>
          <w:tcPr>
            <w:tcW w:w="7742"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77646D47" w14:textId="77777777" w:rsidR="00C40358" w:rsidRPr="005D0D22" w:rsidRDefault="00C40358">
            <w:pPr>
              <w:spacing w:after="160"/>
              <w:contextualSpacing/>
              <w:jc w:val="left"/>
              <w:rPr>
                <w:rFonts w:ascii="Arial Narrow" w:hAnsi="Arial Narrow"/>
                <w:color w:val="000000"/>
                <w:sz w:val="20"/>
                <w:szCs w:val="20"/>
              </w:rPr>
            </w:pPr>
            <w:r w:rsidRPr="005D0D22">
              <w:rPr>
                <w:rFonts w:ascii="Arial Narrow" w:eastAsia="Calibri" w:hAnsi="Arial Narrow"/>
                <w:b/>
                <w:bCs/>
                <w:color w:val="000000"/>
                <w:sz w:val="20"/>
                <w:szCs w:val="20"/>
                <w:lang w:eastAsia="en-US"/>
              </w:rPr>
              <w:t>AND</w:t>
            </w:r>
          </w:p>
        </w:tc>
      </w:tr>
      <w:tr w:rsidR="00C40358" w:rsidRPr="005D0D22" w14:paraId="2A1C134D" w14:textId="77777777">
        <w:trPr>
          <w:cantSplit/>
          <w:trHeight w:val="20"/>
        </w:trPr>
        <w:tc>
          <w:tcPr>
            <w:tcW w:w="1274"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28CCA5B7" w14:textId="478C796A" w:rsidR="00C40358" w:rsidRPr="005D0D22" w:rsidRDefault="00C40358">
            <w:pPr>
              <w:spacing w:after="160"/>
              <w:contextualSpacing/>
              <w:jc w:val="center"/>
              <w:rPr>
                <w:rFonts w:ascii="Arial Narrow" w:hAnsi="Arial Narrow"/>
                <w:sz w:val="20"/>
                <w:szCs w:val="20"/>
              </w:rPr>
            </w:pPr>
          </w:p>
        </w:tc>
        <w:tc>
          <w:tcPr>
            <w:tcW w:w="7742"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4DFE269C" w14:textId="77777777" w:rsidR="00C40358" w:rsidRPr="005D0D22" w:rsidRDefault="00C40358">
            <w:pPr>
              <w:spacing w:after="160"/>
              <w:contextualSpacing/>
              <w:jc w:val="left"/>
              <w:rPr>
                <w:rFonts w:ascii="Arial Narrow" w:hAnsi="Arial Narrow"/>
                <w:color w:val="333333"/>
                <w:kern w:val="2"/>
                <w:sz w:val="20"/>
                <w:szCs w:val="20"/>
                <w14:ligatures w14:val="standardContextual"/>
              </w:rPr>
            </w:pPr>
            <w:r w:rsidRPr="005D0D22">
              <w:rPr>
                <w:rFonts w:ascii="Arial Narrow" w:hAnsi="Arial Narrow"/>
                <w:b/>
                <w:bCs/>
                <w:sz w:val="20"/>
                <w:szCs w:val="20"/>
              </w:rPr>
              <w:t>Clinical criteria:</w:t>
            </w:r>
          </w:p>
        </w:tc>
      </w:tr>
      <w:tr w:rsidR="00C40358" w:rsidRPr="005D0D22" w14:paraId="1245DB5C" w14:textId="77777777">
        <w:trPr>
          <w:cantSplit/>
          <w:trHeight w:val="20"/>
        </w:trPr>
        <w:tc>
          <w:tcPr>
            <w:tcW w:w="1274"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121D48A4" w14:textId="2E4D280A" w:rsidR="00C40358" w:rsidRPr="005D0D22" w:rsidRDefault="00C40358">
            <w:pPr>
              <w:spacing w:after="160"/>
              <w:contextualSpacing/>
              <w:jc w:val="center"/>
              <w:rPr>
                <w:rFonts w:ascii="Arial Narrow" w:hAnsi="Arial Narrow"/>
                <w:sz w:val="20"/>
                <w:szCs w:val="20"/>
              </w:rPr>
            </w:pPr>
          </w:p>
        </w:tc>
        <w:tc>
          <w:tcPr>
            <w:tcW w:w="7742"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087882FD" w14:textId="6A2DEFD1" w:rsidR="00C40358" w:rsidRPr="005D0D22" w:rsidRDefault="00C40358">
            <w:pPr>
              <w:spacing w:after="160"/>
              <w:contextualSpacing/>
              <w:jc w:val="left"/>
              <w:rPr>
                <w:rFonts w:ascii="Arial Narrow" w:hAnsi="Arial Narrow"/>
                <w:b/>
                <w:bCs/>
                <w:sz w:val="20"/>
                <w:szCs w:val="20"/>
              </w:rPr>
            </w:pPr>
            <w:r w:rsidRPr="005D0D22">
              <w:rPr>
                <w:rFonts w:ascii="Arial Narrow" w:hAnsi="Arial Narrow"/>
                <w:kern w:val="2"/>
                <w:sz w:val="20"/>
                <w:szCs w:val="20"/>
                <w14:ligatures w14:val="standardContextual"/>
              </w:rPr>
              <w:t xml:space="preserve">Patient must be receiving concomitant treatment with a </w:t>
            </w:r>
            <w:r w:rsidRPr="005D0D22">
              <w:rPr>
                <w:rFonts w:ascii="Arial Narrow" w:hAnsi="Arial Narrow"/>
                <w:sz w:val="20"/>
                <w:szCs w:val="20"/>
              </w:rPr>
              <w:t>non</w:t>
            </w:r>
            <w:r w:rsidR="00AF0956">
              <w:rPr>
                <w:rFonts w:ascii="Arial Narrow" w:hAnsi="Arial Narrow"/>
                <w:sz w:val="20"/>
                <w:szCs w:val="20"/>
              </w:rPr>
              <w:noBreakHyphen/>
            </w:r>
            <w:r w:rsidRPr="005D0D22">
              <w:rPr>
                <w:rFonts w:ascii="Arial Narrow" w:hAnsi="Arial Narrow"/>
                <w:sz w:val="20"/>
                <w:szCs w:val="20"/>
              </w:rPr>
              <w:t>steroidal immunosuppressant (NS</w:t>
            </w:r>
            <w:r w:rsidR="00AF0956">
              <w:rPr>
                <w:rFonts w:ascii="Arial Narrow" w:hAnsi="Arial Narrow"/>
                <w:sz w:val="20"/>
                <w:szCs w:val="20"/>
              </w:rPr>
              <w:noBreakHyphen/>
            </w:r>
            <w:r w:rsidRPr="005D0D22">
              <w:rPr>
                <w:rFonts w:ascii="Arial Narrow" w:hAnsi="Arial Narrow"/>
                <w:sz w:val="20"/>
                <w:szCs w:val="20"/>
              </w:rPr>
              <w:t>IST); or</w:t>
            </w:r>
          </w:p>
        </w:tc>
      </w:tr>
      <w:tr w:rsidR="00C40358" w:rsidRPr="005D0D22" w14:paraId="1B356348" w14:textId="77777777">
        <w:trPr>
          <w:cantSplit/>
          <w:trHeight w:val="20"/>
        </w:trPr>
        <w:tc>
          <w:tcPr>
            <w:tcW w:w="1274"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1CFD1BC9" w14:textId="143CE27A" w:rsidR="00C40358" w:rsidRPr="005D0D22" w:rsidRDefault="00C40358">
            <w:pPr>
              <w:spacing w:after="160"/>
              <w:contextualSpacing/>
              <w:jc w:val="center"/>
              <w:rPr>
                <w:rFonts w:ascii="Arial Narrow" w:hAnsi="Arial Narrow"/>
                <w:sz w:val="20"/>
                <w:szCs w:val="20"/>
              </w:rPr>
            </w:pPr>
          </w:p>
        </w:tc>
        <w:tc>
          <w:tcPr>
            <w:tcW w:w="7742"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351FACCF" w14:textId="77777777" w:rsidR="00C40358" w:rsidRPr="005D0D22" w:rsidRDefault="00C40358">
            <w:pPr>
              <w:spacing w:after="160"/>
              <w:contextualSpacing/>
              <w:jc w:val="left"/>
              <w:rPr>
                <w:rFonts w:ascii="Arial Narrow" w:hAnsi="Arial Narrow"/>
                <w:kern w:val="2"/>
                <w:sz w:val="20"/>
                <w:szCs w:val="20"/>
                <w14:ligatures w14:val="standardContextual"/>
              </w:rPr>
            </w:pPr>
            <w:r w:rsidRPr="005D0D22">
              <w:rPr>
                <w:rFonts w:ascii="Arial Narrow" w:hAnsi="Arial Narrow"/>
                <w:kern w:val="2"/>
                <w:sz w:val="20"/>
                <w:szCs w:val="20"/>
                <w14:ligatures w14:val="standardContextual"/>
              </w:rPr>
              <w:t>Patient must have had a thymectomy</w:t>
            </w:r>
          </w:p>
        </w:tc>
      </w:tr>
      <w:tr w:rsidR="00C40358" w:rsidRPr="005D0D22" w14:paraId="79604919" w14:textId="77777777">
        <w:trPr>
          <w:cantSplit/>
          <w:trHeight w:val="20"/>
        </w:trPr>
        <w:tc>
          <w:tcPr>
            <w:tcW w:w="1274"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6A2E9214" w14:textId="77777777" w:rsidR="00C40358" w:rsidRPr="005D0D22" w:rsidRDefault="00C40358">
            <w:pPr>
              <w:spacing w:after="160"/>
              <w:contextualSpacing/>
              <w:jc w:val="center"/>
              <w:rPr>
                <w:rFonts w:ascii="Arial Narrow" w:hAnsi="Arial Narrow"/>
                <w:sz w:val="20"/>
                <w:szCs w:val="20"/>
              </w:rPr>
            </w:pPr>
          </w:p>
        </w:tc>
        <w:tc>
          <w:tcPr>
            <w:tcW w:w="7742"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17A6E9B3" w14:textId="77777777" w:rsidR="00C40358" w:rsidRPr="005D0D22" w:rsidRDefault="00C40358">
            <w:pPr>
              <w:spacing w:after="160"/>
              <w:contextualSpacing/>
              <w:jc w:val="left"/>
              <w:rPr>
                <w:rFonts w:ascii="Arial Narrow" w:hAnsi="Arial Narrow"/>
                <w:color w:val="333333"/>
                <w:kern w:val="2"/>
                <w:sz w:val="20"/>
                <w:szCs w:val="20"/>
                <w14:ligatures w14:val="standardContextual"/>
              </w:rPr>
            </w:pPr>
            <w:r w:rsidRPr="005D0D22">
              <w:rPr>
                <w:rFonts w:ascii="Arial Narrow" w:hAnsi="Arial Narrow"/>
                <w:b/>
                <w:bCs/>
                <w:sz w:val="20"/>
                <w:szCs w:val="20"/>
              </w:rPr>
              <w:t>AND</w:t>
            </w:r>
          </w:p>
        </w:tc>
      </w:tr>
      <w:tr w:rsidR="00C40358" w:rsidRPr="005D0D22" w14:paraId="55207D28" w14:textId="77777777">
        <w:trPr>
          <w:cantSplit/>
          <w:trHeight w:val="20"/>
        </w:trPr>
        <w:tc>
          <w:tcPr>
            <w:tcW w:w="1274"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7DE13273" w14:textId="19078FA6" w:rsidR="00C40358" w:rsidRPr="005D0D22" w:rsidRDefault="00C40358">
            <w:pPr>
              <w:spacing w:after="160"/>
              <w:contextualSpacing/>
              <w:jc w:val="center"/>
              <w:rPr>
                <w:rFonts w:ascii="Arial Narrow" w:hAnsi="Arial Narrow"/>
                <w:sz w:val="20"/>
                <w:szCs w:val="20"/>
              </w:rPr>
            </w:pPr>
          </w:p>
        </w:tc>
        <w:tc>
          <w:tcPr>
            <w:tcW w:w="7742"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4359550C" w14:textId="77777777" w:rsidR="00C40358" w:rsidRPr="005D0D22" w:rsidRDefault="00C40358">
            <w:pPr>
              <w:spacing w:after="160"/>
              <w:contextualSpacing/>
              <w:jc w:val="left"/>
              <w:rPr>
                <w:rFonts w:ascii="Arial Narrow" w:hAnsi="Arial Narrow"/>
                <w:color w:val="333333"/>
                <w:kern w:val="2"/>
                <w:sz w:val="20"/>
                <w:szCs w:val="20"/>
                <w14:ligatures w14:val="standardContextual"/>
              </w:rPr>
            </w:pPr>
            <w:r w:rsidRPr="005D0D22">
              <w:rPr>
                <w:rFonts w:ascii="Arial Narrow" w:hAnsi="Arial Narrow"/>
                <w:b/>
                <w:bCs/>
                <w:sz w:val="20"/>
                <w:szCs w:val="20"/>
              </w:rPr>
              <w:t>Clinical criteria:</w:t>
            </w:r>
          </w:p>
        </w:tc>
      </w:tr>
      <w:tr w:rsidR="00C40358" w:rsidRPr="005D0D22" w14:paraId="0286BC6E" w14:textId="77777777">
        <w:trPr>
          <w:cantSplit/>
          <w:trHeight w:val="20"/>
        </w:trPr>
        <w:tc>
          <w:tcPr>
            <w:tcW w:w="1274"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5A6E5287" w14:textId="3AD46134" w:rsidR="00C40358" w:rsidRPr="005D0D22" w:rsidRDefault="00C40358">
            <w:pPr>
              <w:spacing w:after="160"/>
              <w:contextualSpacing/>
              <w:jc w:val="center"/>
              <w:rPr>
                <w:rFonts w:ascii="Arial Narrow" w:hAnsi="Arial Narrow"/>
                <w:sz w:val="20"/>
                <w:szCs w:val="20"/>
              </w:rPr>
            </w:pPr>
          </w:p>
        </w:tc>
        <w:tc>
          <w:tcPr>
            <w:tcW w:w="7742"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5560ED91" w14:textId="77777777" w:rsidR="00C40358" w:rsidRPr="005D0D22" w:rsidRDefault="00C40358">
            <w:pPr>
              <w:spacing w:after="160"/>
              <w:contextualSpacing/>
              <w:jc w:val="left"/>
              <w:rPr>
                <w:rFonts w:ascii="Arial Narrow" w:hAnsi="Arial Narrow"/>
                <w:color w:val="333333"/>
                <w:sz w:val="20"/>
                <w:szCs w:val="20"/>
              </w:rPr>
            </w:pPr>
            <w:r w:rsidRPr="005D0D22">
              <w:rPr>
                <w:rFonts w:ascii="Arial Narrow" w:hAnsi="Arial Narrow"/>
                <w:color w:val="333333"/>
                <w:kern w:val="2"/>
                <w:sz w:val="20"/>
                <w:szCs w:val="20"/>
                <w14:ligatures w14:val="standardContextual"/>
              </w:rPr>
              <w:t xml:space="preserve">Patient must be receiving concomitant treatment with an oral </w:t>
            </w:r>
            <w:r w:rsidRPr="005D0D22">
              <w:rPr>
                <w:rFonts w:ascii="Arial Narrow" w:hAnsi="Arial Narrow"/>
                <w:sz w:val="20"/>
                <w:szCs w:val="20"/>
              </w:rPr>
              <w:t>corticosteroid</w:t>
            </w:r>
          </w:p>
        </w:tc>
      </w:tr>
      <w:tr w:rsidR="00C40358" w:rsidRPr="005D0D22" w14:paraId="5E7C2E85" w14:textId="77777777">
        <w:trPr>
          <w:cantSplit/>
          <w:trHeight w:val="20"/>
        </w:trPr>
        <w:tc>
          <w:tcPr>
            <w:tcW w:w="1274"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05F778E5" w14:textId="77777777" w:rsidR="00C40358" w:rsidRPr="005D0D22" w:rsidRDefault="00C40358">
            <w:pPr>
              <w:spacing w:after="160"/>
              <w:contextualSpacing/>
              <w:jc w:val="center"/>
              <w:rPr>
                <w:rFonts w:ascii="Arial Narrow" w:hAnsi="Arial Narrow"/>
                <w:sz w:val="20"/>
                <w:szCs w:val="20"/>
              </w:rPr>
            </w:pPr>
          </w:p>
        </w:tc>
        <w:tc>
          <w:tcPr>
            <w:tcW w:w="7742"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01E58DC3" w14:textId="77777777" w:rsidR="00C40358" w:rsidRPr="005D0D22" w:rsidRDefault="00C40358">
            <w:pPr>
              <w:spacing w:after="160"/>
              <w:contextualSpacing/>
              <w:jc w:val="left"/>
              <w:rPr>
                <w:rFonts w:ascii="Arial Narrow" w:hAnsi="Arial Narrow"/>
                <w:color w:val="333333"/>
                <w:kern w:val="2"/>
                <w:sz w:val="20"/>
                <w:szCs w:val="20"/>
                <w14:ligatures w14:val="standardContextual"/>
              </w:rPr>
            </w:pPr>
            <w:r w:rsidRPr="005D0D22">
              <w:rPr>
                <w:rFonts w:ascii="Arial Narrow" w:hAnsi="Arial Narrow"/>
                <w:b/>
                <w:bCs/>
                <w:sz w:val="20"/>
                <w:szCs w:val="20"/>
              </w:rPr>
              <w:t>AND</w:t>
            </w:r>
          </w:p>
        </w:tc>
      </w:tr>
      <w:tr w:rsidR="00C40358" w:rsidRPr="005D0D22" w14:paraId="02381162" w14:textId="77777777">
        <w:trPr>
          <w:cantSplit/>
          <w:trHeight w:val="20"/>
        </w:trPr>
        <w:tc>
          <w:tcPr>
            <w:tcW w:w="1274"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5D119A35" w14:textId="66DEB264" w:rsidR="00C40358" w:rsidRPr="005D0D22" w:rsidRDefault="00C40358">
            <w:pPr>
              <w:spacing w:after="160"/>
              <w:contextualSpacing/>
              <w:jc w:val="center"/>
              <w:rPr>
                <w:rFonts w:ascii="Arial Narrow" w:hAnsi="Arial Narrow"/>
                <w:sz w:val="20"/>
                <w:szCs w:val="20"/>
              </w:rPr>
            </w:pPr>
          </w:p>
        </w:tc>
        <w:tc>
          <w:tcPr>
            <w:tcW w:w="7742"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0755D0CE" w14:textId="77777777" w:rsidR="00C40358" w:rsidRPr="005D0D22" w:rsidRDefault="00C40358">
            <w:pPr>
              <w:spacing w:after="160"/>
              <w:contextualSpacing/>
              <w:jc w:val="left"/>
              <w:rPr>
                <w:rFonts w:ascii="Arial Narrow" w:hAnsi="Arial Narrow"/>
                <w:color w:val="333333"/>
                <w:kern w:val="2"/>
                <w:sz w:val="20"/>
                <w:szCs w:val="20"/>
                <w14:ligatures w14:val="standardContextual"/>
              </w:rPr>
            </w:pPr>
            <w:r w:rsidRPr="005D0D22">
              <w:rPr>
                <w:rFonts w:ascii="Arial Narrow" w:eastAsia="Calibri" w:hAnsi="Arial Narrow"/>
                <w:b/>
                <w:bCs/>
                <w:color w:val="000000"/>
                <w:sz w:val="20"/>
                <w:szCs w:val="20"/>
                <w:lang w:eastAsia="en-US"/>
              </w:rPr>
              <w:t>Clinical criteria:</w:t>
            </w:r>
          </w:p>
        </w:tc>
      </w:tr>
      <w:tr w:rsidR="00C40358" w:rsidRPr="005D0D22" w14:paraId="5AA5B057" w14:textId="77777777">
        <w:trPr>
          <w:cantSplit/>
          <w:trHeight w:val="20"/>
        </w:trPr>
        <w:tc>
          <w:tcPr>
            <w:tcW w:w="1274"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3BFF85F6" w14:textId="783779D3" w:rsidR="00C40358" w:rsidRPr="005D0D22" w:rsidRDefault="00C40358">
            <w:pPr>
              <w:spacing w:after="160"/>
              <w:contextualSpacing/>
              <w:jc w:val="center"/>
              <w:rPr>
                <w:rFonts w:ascii="Arial Narrow" w:hAnsi="Arial Narrow"/>
                <w:sz w:val="20"/>
                <w:szCs w:val="20"/>
              </w:rPr>
            </w:pPr>
          </w:p>
        </w:tc>
        <w:tc>
          <w:tcPr>
            <w:tcW w:w="7742"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54C31266" w14:textId="5F63C774" w:rsidR="00C40358" w:rsidRPr="005D0D22" w:rsidRDefault="00C40358">
            <w:pPr>
              <w:spacing w:after="160"/>
              <w:contextualSpacing/>
              <w:jc w:val="left"/>
              <w:rPr>
                <w:rFonts w:ascii="Arial Narrow" w:hAnsi="Arial Narrow"/>
                <w:color w:val="333333"/>
                <w:kern w:val="2"/>
                <w:sz w:val="20"/>
                <w:szCs w:val="20"/>
                <w14:ligatures w14:val="standardContextual"/>
              </w:rPr>
            </w:pPr>
            <w:r w:rsidRPr="005D0D22">
              <w:rPr>
                <w:rFonts w:ascii="Arial Narrow" w:hAnsi="Arial Narrow"/>
                <w:color w:val="000000"/>
                <w:sz w:val="20"/>
                <w:szCs w:val="20"/>
              </w:rPr>
              <w:t>Patient must have a MG</w:t>
            </w:r>
            <w:r w:rsidR="00AF0956">
              <w:rPr>
                <w:rFonts w:ascii="Arial Narrow" w:hAnsi="Arial Narrow"/>
                <w:color w:val="000000"/>
                <w:sz w:val="20"/>
                <w:szCs w:val="20"/>
              </w:rPr>
              <w:noBreakHyphen/>
            </w:r>
            <w:r w:rsidRPr="005D0D22">
              <w:rPr>
                <w:rFonts w:ascii="Arial Narrow" w:hAnsi="Arial Narrow"/>
                <w:color w:val="000000"/>
                <w:sz w:val="20"/>
                <w:szCs w:val="20"/>
              </w:rPr>
              <w:t>ADL score of ≥ 6 and a MGC score of ≥ 10, despite having undergone 2 of the following 3 remission inducing treatments: (i) NS</w:t>
            </w:r>
            <w:r w:rsidR="00AF0956">
              <w:rPr>
                <w:rFonts w:ascii="Arial Narrow" w:hAnsi="Arial Narrow"/>
                <w:color w:val="000000"/>
                <w:sz w:val="20"/>
                <w:szCs w:val="20"/>
              </w:rPr>
              <w:noBreakHyphen/>
            </w:r>
            <w:r w:rsidRPr="005D0D22">
              <w:rPr>
                <w:rFonts w:ascii="Arial Narrow" w:hAnsi="Arial Narrow"/>
                <w:color w:val="000000"/>
                <w:sz w:val="20"/>
                <w:szCs w:val="20"/>
              </w:rPr>
              <w:t>IST for 3 months; (ii) oral corticosteroids for 3 months; (iii) a thymectomy</w:t>
            </w:r>
          </w:p>
        </w:tc>
      </w:tr>
      <w:tr w:rsidR="00C40358" w:rsidRPr="005D0D22" w14:paraId="5EF1ED66" w14:textId="77777777">
        <w:trPr>
          <w:cantSplit/>
          <w:trHeight w:val="20"/>
        </w:trPr>
        <w:tc>
          <w:tcPr>
            <w:tcW w:w="1274"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216AD8EB" w14:textId="77777777" w:rsidR="00C40358" w:rsidRPr="005D0D22" w:rsidRDefault="00C40358">
            <w:pPr>
              <w:spacing w:after="160"/>
              <w:contextualSpacing/>
              <w:jc w:val="center"/>
              <w:rPr>
                <w:rFonts w:ascii="Arial Narrow" w:hAnsi="Arial Narrow"/>
                <w:sz w:val="20"/>
                <w:szCs w:val="20"/>
              </w:rPr>
            </w:pPr>
          </w:p>
        </w:tc>
        <w:tc>
          <w:tcPr>
            <w:tcW w:w="7742"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1B1064A6" w14:textId="77777777" w:rsidR="00C40358" w:rsidRPr="005D0D22" w:rsidRDefault="00C40358">
            <w:pPr>
              <w:spacing w:after="160"/>
              <w:contextualSpacing/>
              <w:jc w:val="left"/>
              <w:rPr>
                <w:rFonts w:ascii="Arial Narrow" w:hAnsi="Arial Narrow"/>
                <w:color w:val="333333"/>
                <w:kern w:val="2"/>
                <w:sz w:val="20"/>
                <w:szCs w:val="20"/>
                <w14:ligatures w14:val="standardContextual"/>
              </w:rPr>
            </w:pPr>
            <w:r w:rsidRPr="005D0D22">
              <w:rPr>
                <w:rFonts w:ascii="Arial Narrow" w:hAnsi="Arial Narrow"/>
                <w:b/>
                <w:bCs/>
                <w:color w:val="000000"/>
                <w:sz w:val="20"/>
                <w:szCs w:val="20"/>
              </w:rPr>
              <w:t>AND</w:t>
            </w:r>
          </w:p>
        </w:tc>
      </w:tr>
      <w:tr w:rsidR="00C40358" w:rsidRPr="005D0D22" w14:paraId="0F2E81B8" w14:textId="77777777">
        <w:trPr>
          <w:cantSplit/>
          <w:trHeight w:val="20"/>
        </w:trPr>
        <w:tc>
          <w:tcPr>
            <w:tcW w:w="1274"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022D4BA2" w14:textId="5BFB902A" w:rsidR="00C40358" w:rsidRPr="005D0D22" w:rsidRDefault="00C40358">
            <w:pPr>
              <w:spacing w:after="160"/>
              <w:contextualSpacing/>
              <w:jc w:val="center"/>
              <w:rPr>
                <w:rFonts w:ascii="Arial Narrow" w:hAnsi="Arial Narrow"/>
                <w:sz w:val="20"/>
                <w:szCs w:val="20"/>
              </w:rPr>
            </w:pPr>
          </w:p>
        </w:tc>
        <w:tc>
          <w:tcPr>
            <w:tcW w:w="7742"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1EBB36B5" w14:textId="77777777" w:rsidR="00C40358" w:rsidRPr="005D0D22" w:rsidRDefault="00C40358">
            <w:pPr>
              <w:spacing w:after="160"/>
              <w:contextualSpacing/>
              <w:jc w:val="left"/>
              <w:rPr>
                <w:rFonts w:ascii="Arial Narrow" w:hAnsi="Arial Narrow"/>
                <w:color w:val="333333"/>
                <w:kern w:val="2"/>
                <w:sz w:val="20"/>
                <w:szCs w:val="20"/>
                <w14:ligatures w14:val="standardContextual"/>
              </w:rPr>
            </w:pPr>
            <w:r w:rsidRPr="005D0D22">
              <w:rPr>
                <w:rFonts w:ascii="Arial Narrow" w:hAnsi="Arial Narrow"/>
                <w:b/>
                <w:bCs/>
                <w:sz w:val="20"/>
                <w:szCs w:val="20"/>
              </w:rPr>
              <w:t>Clinical criteria:</w:t>
            </w:r>
          </w:p>
        </w:tc>
      </w:tr>
      <w:tr w:rsidR="00C40358" w:rsidRPr="005D0D22" w14:paraId="1CD806F4" w14:textId="77777777">
        <w:trPr>
          <w:cantSplit/>
          <w:trHeight w:val="20"/>
        </w:trPr>
        <w:tc>
          <w:tcPr>
            <w:tcW w:w="1274"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063330A9" w14:textId="6709E67D" w:rsidR="00C40358" w:rsidRPr="005D0D22" w:rsidRDefault="00C40358">
            <w:pPr>
              <w:spacing w:after="160"/>
              <w:contextualSpacing/>
              <w:jc w:val="center"/>
              <w:rPr>
                <w:rFonts w:ascii="Arial Narrow" w:hAnsi="Arial Narrow"/>
                <w:sz w:val="20"/>
                <w:szCs w:val="20"/>
              </w:rPr>
            </w:pPr>
          </w:p>
        </w:tc>
        <w:tc>
          <w:tcPr>
            <w:tcW w:w="7742"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74DE7B70" w14:textId="77777777" w:rsidR="00C40358" w:rsidRPr="005D0D22" w:rsidRDefault="00C40358">
            <w:pPr>
              <w:spacing w:after="160"/>
              <w:contextualSpacing/>
              <w:jc w:val="left"/>
              <w:rPr>
                <w:rFonts w:ascii="Arial Narrow" w:hAnsi="Arial Narrow"/>
                <w:color w:val="333333"/>
                <w:kern w:val="2"/>
                <w:sz w:val="20"/>
                <w:szCs w:val="20"/>
                <w14:ligatures w14:val="standardContextual"/>
              </w:rPr>
            </w:pPr>
            <w:r w:rsidRPr="005D0D22">
              <w:rPr>
                <w:rFonts w:ascii="Arial Narrow" w:hAnsi="Arial Narrow"/>
                <w:color w:val="333333"/>
                <w:kern w:val="2"/>
                <w:sz w:val="20"/>
                <w:szCs w:val="20"/>
                <w14:ligatures w14:val="standardContextual"/>
              </w:rPr>
              <w:t xml:space="preserve">Patient must not be receiving concomitant treatment with any of the following: </w:t>
            </w:r>
          </w:p>
          <w:p w14:paraId="163272CC" w14:textId="77777777" w:rsidR="00C40358" w:rsidRPr="005D0D22" w:rsidRDefault="00C40358">
            <w:pPr>
              <w:spacing w:after="160"/>
              <w:contextualSpacing/>
              <w:jc w:val="left"/>
              <w:rPr>
                <w:rFonts w:ascii="Arial Narrow" w:hAnsi="Arial Narrow"/>
                <w:sz w:val="20"/>
                <w:szCs w:val="20"/>
              </w:rPr>
            </w:pPr>
            <w:r w:rsidRPr="005D0D22">
              <w:rPr>
                <w:rFonts w:ascii="Arial Narrow" w:hAnsi="Arial Narrow"/>
                <w:sz w:val="20"/>
                <w:szCs w:val="20"/>
              </w:rPr>
              <w:t>(i) another gMG biological agent,</w:t>
            </w:r>
          </w:p>
          <w:p w14:paraId="286AC05F" w14:textId="63E60A54" w:rsidR="00C40358" w:rsidRPr="005D0D22" w:rsidRDefault="00C40358">
            <w:pPr>
              <w:spacing w:after="160"/>
              <w:contextualSpacing/>
              <w:jc w:val="left"/>
              <w:rPr>
                <w:rFonts w:ascii="Arial Narrow" w:hAnsi="Arial Narrow"/>
                <w:sz w:val="20"/>
                <w:szCs w:val="20"/>
              </w:rPr>
            </w:pPr>
            <w:r w:rsidRPr="005D0D22">
              <w:rPr>
                <w:rFonts w:ascii="Arial Narrow" w:hAnsi="Arial Narrow"/>
                <w:sz w:val="20"/>
                <w:szCs w:val="20"/>
              </w:rPr>
              <w:t xml:space="preserve">(ii) </w:t>
            </w:r>
            <w:r w:rsidRPr="005D0D22">
              <w:rPr>
                <w:rFonts w:ascii="Arial Narrow" w:hAnsi="Arial Narrow"/>
                <w:color w:val="333333"/>
                <w:sz w:val="20"/>
                <w:szCs w:val="20"/>
              </w:rPr>
              <w:t>immunoglobulin</w:t>
            </w:r>
            <w:r w:rsidRPr="005D0D22">
              <w:rPr>
                <w:rFonts w:ascii="Arial Narrow" w:hAnsi="Arial Narrow"/>
                <w:sz w:val="20"/>
                <w:szCs w:val="20"/>
              </w:rPr>
              <w:t>,</w:t>
            </w:r>
          </w:p>
          <w:p w14:paraId="2262C232" w14:textId="77777777" w:rsidR="00C40358" w:rsidRPr="005D0D22" w:rsidRDefault="00C40358">
            <w:pPr>
              <w:spacing w:after="160"/>
              <w:contextualSpacing/>
              <w:jc w:val="left"/>
              <w:rPr>
                <w:rFonts w:ascii="Arial Narrow" w:hAnsi="Arial Narrow"/>
                <w:sz w:val="20"/>
                <w:szCs w:val="20"/>
              </w:rPr>
            </w:pPr>
            <w:r w:rsidRPr="005D0D22">
              <w:rPr>
                <w:rFonts w:ascii="Arial Narrow" w:hAnsi="Arial Narrow"/>
                <w:sz w:val="20"/>
                <w:szCs w:val="20"/>
              </w:rPr>
              <w:t>(iii) plasma exchange (PLEX),</w:t>
            </w:r>
          </w:p>
          <w:p w14:paraId="41C0CF28" w14:textId="77777777" w:rsidR="00C40358" w:rsidRPr="005D0D22" w:rsidRDefault="00C40358">
            <w:pPr>
              <w:spacing w:after="160"/>
              <w:contextualSpacing/>
              <w:jc w:val="left"/>
              <w:rPr>
                <w:rFonts w:ascii="Arial Narrow" w:hAnsi="Arial Narrow"/>
                <w:color w:val="333333"/>
                <w:sz w:val="20"/>
                <w:szCs w:val="20"/>
              </w:rPr>
            </w:pPr>
            <w:r w:rsidRPr="005D0D22">
              <w:rPr>
                <w:rFonts w:ascii="Arial Narrow" w:hAnsi="Arial Narrow"/>
                <w:sz w:val="20"/>
                <w:szCs w:val="20"/>
              </w:rPr>
              <w:t>(iv) rituximab for this condition</w:t>
            </w:r>
          </w:p>
        </w:tc>
      </w:tr>
      <w:tr w:rsidR="00C40358" w:rsidRPr="005D0D22" w14:paraId="3FFE307E" w14:textId="77777777">
        <w:trPr>
          <w:cantSplit/>
          <w:trHeight w:val="20"/>
        </w:trPr>
        <w:tc>
          <w:tcPr>
            <w:tcW w:w="1274"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268F74D1" w14:textId="77777777" w:rsidR="00C40358" w:rsidRPr="005D0D22" w:rsidRDefault="00C40358">
            <w:pPr>
              <w:spacing w:after="160"/>
              <w:contextualSpacing/>
              <w:jc w:val="center"/>
              <w:rPr>
                <w:rFonts w:ascii="Arial Narrow" w:hAnsi="Arial Narrow"/>
                <w:sz w:val="20"/>
                <w:szCs w:val="20"/>
              </w:rPr>
            </w:pPr>
          </w:p>
        </w:tc>
        <w:tc>
          <w:tcPr>
            <w:tcW w:w="7742"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688135EA" w14:textId="77777777" w:rsidR="00C40358" w:rsidRPr="005D0D22" w:rsidRDefault="00C40358">
            <w:pPr>
              <w:spacing w:after="160"/>
              <w:contextualSpacing/>
              <w:jc w:val="left"/>
              <w:rPr>
                <w:rFonts w:ascii="Arial Narrow" w:hAnsi="Arial Narrow"/>
                <w:color w:val="333333"/>
                <w:kern w:val="2"/>
                <w:sz w:val="20"/>
                <w:szCs w:val="20"/>
                <w14:ligatures w14:val="standardContextual"/>
              </w:rPr>
            </w:pPr>
            <w:r w:rsidRPr="005D0D22">
              <w:rPr>
                <w:rFonts w:ascii="Arial Narrow" w:hAnsi="Arial Narrow"/>
                <w:b/>
                <w:bCs/>
                <w:sz w:val="20"/>
                <w:szCs w:val="20"/>
              </w:rPr>
              <w:t>AND</w:t>
            </w:r>
          </w:p>
        </w:tc>
      </w:tr>
      <w:tr w:rsidR="00C40358" w:rsidRPr="005D0D22" w14:paraId="44BC0B69" w14:textId="77777777">
        <w:trPr>
          <w:cantSplit/>
          <w:trHeight w:val="20"/>
        </w:trPr>
        <w:tc>
          <w:tcPr>
            <w:tcW w:w="1274"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15972D7D" w14:textId="3934440D" w:rsidR="00C40358" w:rsidRPr="005D0D22" w:rsidRDefault="00C40358">
            <w:pPr>
              <w:spacing w:after="160"/>
              <w:contextualSpacing/>
              <w:jc w:val="center"/>
              <w:rPr>
                <w:rFonts w:ascii="Arial Narrow" w:hAnsi="Arial Narrow"/>
                <w:sz w:val="20"/>
                <w:szCs w:val="20"/>
              </w:rPr>
            </w:pPr>
          </w:p>
        </w:tc>
        <w:tc>
          <w:tcPr>
            <w:tcW w:w="7742"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63B8D479" w14:textId="77777777" w:rsidR="00C40358" w:rsidRPr="005D0D22" w:rsidRDefault="00C40358">
            <w:pPr>
              <w:spacing w:after="160"/>
              <w:contextualSpacing/>
              <w:jc w:val="left"/>
              <w:rPr>
                <w:rFonts w:ascii="Arial Narrow" w:hAnsi="Arial Narrow"/>
                <w:color w:val="333333"/>
                <w:kern w:val="2"/>
                <w:sz w:val="20"/>
                <w:szCs w:val="20"/>
                <w14:ligatures w14:val="standardContextual"/>
              </w:rPr>
            </w:pPr>
            <w:r w:rsidRPr="005D0D22">
              <w:rPr>
                <w:rFonts w:ascii="Arial Narrow" w:hAnsi="Arial Narrow"/>
                <w:b/>
                <w:bCs/>
                <w:sz w:val="20"/>
                <w:szCs w:val="20"/>
              </w:rPr>
              <w:t>Clinical criteria:</w:t>
            </w:r>
          </w:p>
        </w:tc>
      </w:tr>
      <w:tr w:rsidR="00C40358" w:rsidRPr="005D0D22" w14:paraId="72092A03" w14:textId="77777777">
        <w:trPr>
          <w:cantSplit/>
          <w:trHeight w:val="20"/>
        </w:trPr>
        <w:tc>
          <w:tcPr>
            <w:tcW w:w="1274"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7D0E92BB" w14:textId="08CD873C" w:rsidR="00C40358" w:rsidRPr="005D0D22" w:rsidRDefault="00C40358">
            <w:pPr>
              <w:spacing w:after="160"/>
              <w:contextualSpacing/>
              <w:jc w:val="center"/>
              <w:rPr>
                <w:rFonts w:ascii="Arial Narrow" w:hAnsi="Arial Narrow"/>
                <w:sz w:val="20"/>
                <w:szCs w:val="20"/>
              </w:rPr>
            </w:pPr>
          </w:p>
        </w:tc>
        <w:tc>
          <w:tcPr>
            <w:tcW w:w="7742"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33201D19" w14:textId="77777777" w:rsidR="00C40358" w:rsidRPr="005D0D22" w:rsidRDefault="00C40358">
            <w:pPr>
              <w:spacing w:after="160"/>
              <w:contextualSpacing/>
              <w:jc w:val="left"/>
              <w:rPr>
                <w:rFonts w:ascii="Arial Narrow" w:hAnsi="Arial Narrow"/>
                <w:color w:val="000000"/>
                <w:sz w:val="20"/>
                <w:szCs w:val="20"/>
              </w:rPr>
            </w:pPr>
            <w:r w:rsidRPr="005D0D22">
              <w:rPr>
                <w:rFonts w:ascii="Arial Narrow" w:hAnsi="Arial Narrow"/>
                <w:sz w:val="20"/>
                <w:szCs w:val="20"/>
              </w:rPr>
              <w:t xml:space="preserve">Patient must not receive more than 6 months of bridging treatment with any gMG biological agent under this PBS indication </w:t>
            </w:r>
          </w:p>
        </w:tc>
      </w:tr>
      <w:tr w:rsidR="00C40358" w:rsidRPr="005D0D22" w14:paraId="1C96DADA" w14:textId="77777777">
        <w:trPr>
          <w:cantSplit/>
          <w:trHeight w:val="20"/>
        </w:trPr>
        <w:tc>
          <w:tcPr>
            <w:tcW w:w="1274"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649D9E70" w14:textId="34EA321C" w:rsidR="00C40358" w:rsidRPr="005D0D22" w:rsidRDefault="00C40358">
            <w:pPr>
              <w:spacing w:after="160"/>
              <w:contextualSpacing/>
              <w:jc w:val="center"/>
              <w:rPr>
                <w:rFonts w:ascii="Arial Narrow" w:hAnsi="Arial Narrow"/>
                <w:sz w:val="20"/>
                <w:szCs w:val="20"/>
              </w:rPr>
            </w:pPr>
          </w:p>
        </w:tc>
        <w:tc>
          <w:tcPr>
            <w:tcW w:w="7742"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0DD41784" w14:textId="77777777" w:rsidR="00C40358" w:rsidRPr="005D0D22" w:rsidRDefault="00C40358">
            <w:pPr>
              <w:spacing w:after="160"/>
              <w:contextualSpacing/>
              <w:jc w:val="left"/>
              <w:rPr>
                <w:rFonts w:ascii="Arial Narrow" w:hAnsi="Arial Narrow"/>
                <w:sz w:val="20"/>
                <w:szCs w:val="20"/>
              </w:rPr>
            </w:pPr>
            <w:r w:rsidRPr="005D0D22">
              <w:rPr>
                <w:rFonts w:ascii="Arial Narrow" w:hAnsi="Arial Narrow"/>
                <w:b/>
                <w:bCs/>
                <w:sz w:val="20"/>
                <w:szCs w:val="20"/>
              </w:rPr>
              <w:t>Treatment criteria:</w:t>
            </w:r>
          </w:p>
        </w:tc>
      </w:tr>
      <w:tr w:rsidR="00C40358" w:rsidRPr="005D0D22" w14:paraId="63E5D7B6" w14:textId="77777777">
        <w:trPr>
          <w:cantSplit/>
          <w:trHeight w:val="20"/>
        </w:trPr>
        <w:tc>
          <w:tcPr>
            <w:tcW w:w="1274"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6256A400" w14:textId="601AA0A8" w:rsidR="00C40358" w:rsidRPr="005D0D22" w:rsidRDefault="00C40358">
            <w:pPr>
              <w:spacing w:after="160"/>
              <w:contextualSpacing/>
              <w:jc w:val="center"/>
              <w:rPr>
                <w:rFonts w:ascii="Arial Narrow" w:hAnsi="Arial Narrow"/>
                <w:sz w:val="20"/>
                <w:szCs w:val="20"/>
              </w:rPr>
            </w:pPr>
          </w:p>
        </w:tc>
        <w:tc>
          <w:tcPr>
            <w:tcW w:w="7742"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30DE86CB" w14:textId="77777777" w:rsidR="00C40358" w:rsidRPr="005D0D22" w:rsidRDefault="00C40358">
            <w:pPr>
              <w:spacing w:after="160"/>
              <w:contextualSpacing/>
              <w:jc w:val="left"/>
              <w:rPr>
                <w:rFonts w:ascii="Arial Narrow" w:hAnsi="Arial Narrow"/>
                <w:sz w:val="20"/>
                <w:szCs w:val="20"/>
              </w:rPr>
            </w:pPr>
            <w:r w:rsidRPr="005D0D22">
              <w:rPr>
                <w:rFonts w:ascii="Arial Narrow" w:eastAsia="Calibri" w:hAnsi="Arial Narrow" w:cs="Arial Narrow"/>
                <w:iCs/>
                <w:sz w:val="20"/>
                <w:szCs w:val="20"/>
                <w:lang w:eastAsia="en-US"/>
              </w:rPr>
              <w:t>Must be treated by a prescriber who is either: (i) a neurologist; (ii) a clinical immunologist with expertise in the treatment of myasthenia gravis; or</w:t>
            </w:r>
          </w:p>
        </w:tc>
      </w:tr>
      <w:tr w:rsidR="00C40358" w:rsidRPr="005D0D22" w14:paraId="71B5A219" w14:textId="77777777">
        <w:trPr>
          <w:cantSplit/>
          <w:trHeight w:val="20"/>
        </w:trPr>
        <w:tc>
          <w:tcPr>
            <w:tcW w:w="1274"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03914347" w14:textId="17917A4B" w:rsidR="00C40358" w:rsidRPr="005D0D22" w:rsidRDefault="00C40358">
            <w:pPr>
              <w:spacing w:after="160"/>
              <w:contextualSpacing/>
              <w:jc w:val="center"/>
              <w:rPr>
                <w:rFonts w:ascii="Arial Narrow" w:hAnsi="Arial Narrow"/>
                <w:sz w:val="20"/>
                <w:szCs w:val="20"/>
              </w:rPr>
            </w:pPr>
          </w:p>
        </w:tc>
        <w:tc>
          <w:tcPr>
            <w:tcW w:w="7742"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76CEAC51" w14:textId="77777777" w:rsidR="00C40358" w:rsidRPr="005D0D22" w:rsidRDefault="00C40358">
            <w:pPr>
              <w:spacing w:after="160"/>
              <w:contextualSpacing/>
              <w:jc w:val="left"/>
              <w:rPr>
                <w:rFonts w:ascii="Arial Narrow" w:eastAsia="Calibri" w:hAnsi="Arial Narrow" w:cs="Arial Narrow"/>
                <w:sz w:val="20"/>
                <w:szCs w:val="20"/>
                <w:lang w:eastAsia="en-US"/>
              </w:rPr>
            </w:pPr>
            <w:r w:rsidRPr="74EB87D5">
              <w:rPr>
                <w:rFonts w:ascii="Arial Narrow" w:eastAsia="Calibri" w:hAnsi="Arial Narrow" w:cs="Arial Narrow"/>
                <w:sz w:val="20"/>
                <w:szCs w:val="20"/>
                <w:lang w:eastAsia="en-US"/>
              </w:rPr>
              <w:t xml:space="preserve">Must be treated by a medical practitioner who has consulted at least one of the </w:t>
            </w:r>
            <w:bookmarkStart w:id="13" w:name="_Int_VDzgiOCR"/>
            <w:r w:rsidRPr="74EB87D5">
              <w:rPr>
                <w:rFonts w:ascii="Arial Narrow" w:eastAsia="Calibri" w:hAnsi="Arial Narrow" w:cs="Arial Narrow"/>
                <w:sz w:val="20"/>
                <w:szCs w:val="20"/>
                <w:lang w:eastAsia="en-US"/>
              </w:rPr>
              <w:t>above mentioned</w:t>
            </w:r>
            <w:bookmarkEnd w:id="13"/>
            <w:r w:rsidRPr="74EB87D5">
              <w:rPr>
                <w:rFonts w:ascii="Arial Narrow" w:eastAsia="Calibri" w:hAnsi="Arial Narrow" w:cs="Arial Narrow"/>
                <w:sz w:val="20"/>
                <w:szCs w:val="20"/>
                <w:lang w:eastAsia="en-US"/>
              </w:rPr>
              <w:t xml:space="preserve"> specialist types, with an agreement reached that the patient should be treated with this pharmaceutical benefit on this occasion</w:t>
            </w:r>
          </w:p>
        </w:tc>
      </w:tr>
      <w:tr w:rsidR="00C40358" w:rsidRPr="005D0D22" w14:paraId="21E7A2AC" w14:textId="77777777">
        <w:trPr>
          <w:cantSplit/>
          <w:trHeight w:val="20"/>
        </w:trPr>
        <w:tc>
          <w:tcPr>
            <w:tcW w:w="1274"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601890E4" w14:textId="31CA8AC2" w:rsidR="00C40358" w:rsidRPr="005D0D22" w:rsidRDefault="00C40358">
            <w:pPr>
              <w:spacing w:after="160"/>
              <w:contextualSpacing/>
              <w:jc w:val="center"/>
              <w:rPr>
                <w:rFonts w:ascii="Arial Narrow" w:hAnsi="Arial Narrow"/>
                <w:sz w:val="20"/>
                <w:szCs w:val="20"/>
              </w:rPr>
            </w:pPr>
          </w:p>
        </w:tc>
        <w:tc>
          <w:tcPr>
            <w:tcW w:w="7742"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297B65C1" w14:textId="77777777" w:rsidR="00C40358" w:rsidRPr="005D0D22" w:rsidRDefault="00C40358">
            <w:pPr>
              <w:spacing w:after="160"/>
              <w:contextualSpacing/>
              <w:jc w:val="left"/>
              <w:rPr>
                <w:rFonts w:ascii="Arial" w:eastAsia="Calibri" w:hAnsi="Arial" w:cs="Arial"/>
                <w:b/>
                <w:bCs/>
                <w:sz w:val="20"/>
                <w:szCs w:val="20"/>
                <w:shd w:val="clear" w:color="auto" w:fill="FFFFFF"/>
                <w:lang w:eastAsia="en-US"/>
              </w:rPr>
            </w:pPr>
            <w:r w:rsidRPr="005D0D22">
              <w:rPr>
                <w:rFonts w:ascii="Arial Narrow" w:eastAsia="Calibri" w:hAnsi="Arial Narrow"/>
                <w:b/>
                <w:bCs/>
                <w:sz w:val="20"/>
                <w:szCs w:val="20"/>
                <w:shd w:val="clear" w:color="auto" w:fill="FFFFFF"/>
                <w:lang w:eastAsia="en-US"/>
              </w:rPr>
              <w:t>Prescribing Instructions:</w:t>
            </w:r>
            <w:r w:rsidRPr="005D0D22">
              <w:rPr>
                <w:rFonts w:ascii="Arial" w:eastAsia="Calibri" w:hAnsi="Arial" w:cs="Arial"/>
                <w:b/>
                <w:bCs/>
                <w:sz w:val="20"/>
                <w:szCs w:val="20"/>
                <w:shd w:val="clear" w:color="auto" w:fill="FFFFFF"/>
                <w:lang w:eastAsia="en-US"/>
              </w:rPr>
              <w:t> </w:t>
            </w:r>
          </w:p>
          <w:p w14:paraId="7DFB584E" w14:textId="77777777" w:rsidR="00C40358" w:rsidRPr="005D0D22" w:rsidRDefault="00C40358">
            <w:pPr>
              <w:spacing w:after="160" w:line="256" w:lineRule="auto"/>
              <w:contextualSpacing/>
              <w:jc w:val="left"/>
              <w:rPr>
                <w:rFonts w:ascii="Arial Narrow" w:eastAsia="Calibri" w:hAnsi="Arial Narrow"/>
                <w:bCs/>
                <w:sz w:val="20"/>
                <w:szCs w:val="20"/>
                <w:lang w:eastAsia="en-US"/>
              </w:rPr>
            </w:pPr>
            <w:r w:rsidRPr="005D0D22">
              <w:rPr>
                <w:rFonts w:ascii="Arial Narrow" w:eastAsia="Calibri" w:hAnsi="Arial Narrow"/>
                <w:bCs/>
                <w:sz w:val="20"/>
                <w:szCs w:val="20"/>
                <w:lang w:eastAsia="en-US"/>
              </w:rPr>
              <w:t xml:space="preserve">The authority application must be via the Online PBS Authorities System or in writing and must include: </w:t>
            </w:r>
          </w:p>
          <w:p w14:paraId="2E779535" w14:textId="551FF404" w:rsidR="00C40358" w:rsidRPr="005D0D22" w:rsidRDefault="00C40358">
            <w:pPr>
              <w:spacing w:after="160" w:line="256" w:lineRule="auto"/>
              <w:contextualSpacing/>
              <w:jc w:val="left"/>
              <w:rPr>
                <w:rFonts w:ascii="Arial Narrow" w:eastAsia="Calibri" w:hAnsi="Arial Narrow"/>
                <w:bCs/>
                <w:sz w:val="20"/>
                <w:szCs w:val="20"/>
                <w:lang w:eastAsia="en-US"/>
              </w:rPr>
            </w:pPr>
            <w:r w:rsidRPr="005D0D22">
              <w:rPr>
                <w:rFonts w:ascii="Arial Narrow" w:eastAsia="Calibri" w:hAnsi="Arial Narrow"/>
                <w:bCs/>
                <w:sz w:val="20"/>
                <w:szCs w:val="20"/>
                <w:lang w:eastAsia="en-US"/>
              </w:rPr>
              <w:t>(a) the MG</w:t>
            </w:r>
            <w:r w:rsidR="00AF0956">
              <w:rPr>
                <w:rFonts w:ascii="Arial Narrow" w:eastAsia="Calibri" w:hAnsi="Arial Narrow"/>
                <w:bCs/>
                <w:sz w:val="20"/>
                <w:szCs w:val="20"/>
                <w:lang w:eastAsia="en-US"/>
              </w:rPr>
              <w:noBreakHyphen/>
            </w:r>
            <w:r w:rsidRPr="005D0D22">
              <w:rPr>
                <w:rFonts w:ascii="Arial Narrow" w:eastAsia="Calibri" w:hAnsi="Arial Narrow"/>
                <w:bCs/>
                <w:sz w:val="20"/>
                <w:szCs w:val="20"/>
                <w:lang w:eastAsia="en-US"/>
              </w:rPr>
              <w:t>ADL and MGC score after 3</w:t>
            </w:r>
            <w:r w:rsidR="00AF0956">
              <w:rPr>
                <w:rFonts w:ascii="Arial Narrow" w:eastAsia="Calibri" w:hAnsi="Arial Narrow"/>
                <w:bCs/>
                <w:sz w:val="20"/>
                <w:szCs w:val="20"/>
                <w:lang w:eastAsia="en-US"/>
              </w:rPr>
              <w:noBreakHyphen/>
            </w:r>
            <w:r w:rsidRPr="005D0D22">
              <w:rPr>
                <w:rFonts w:ascii="Arial Narrow" w:eastAsia="Calibri" w:hAnsi="Arial Narrow"/>
                <w:bCs/>
                <w:sz w:val="20"/>
                <w:szCs w:val="20"/>
                <w:lang w:eastAsia="en-US"/>
              </w:rPr>
              <w:t xml:space="preserve">months of </w:t>
            </w:r>
            <w:r w:rsidRPr="005D0D22">
              <w:rPr>
                <w:rFonts w:ascii="Arial Narrow" w:hAnsi="Arial Narrow"/>
                <w:color w:val="000000"/>
                <w:sz w:val="20"/>
                <w:szCs w:val="20"/>
              </w:rPr>
              <w:t>remission</w:t>
            </w:r>
            <w:r w:rsidR="00AF0956">
              <w:rPr>
                <w:rFonts w:ascii="Arial Narrow" w:hAnsi="Arial Narrow"/>
                <w:color w:val="000000"/>
                <w:sz w:val="20"/>
                <w:szCs w:val="20"/>
              </w:rPr>
              <w:noBreakHyphen/>
            </w:r>
            <w:r w:rsidRPr="005D0D22">
              <w:rPr>
                <w:rFonts w:ascii="Arial Narrow" w:hAnsi="Arial Narrow"/>
                <w:color w:val="000000"/>
                <w:sz w:val="20"/>
                <w:szCs w:val="20"/>
              </w:rPr>
              <w:t xml:space="preserve">inducing treatments </w:t>
            </w:r>
            <w:r w:rsidRPr="005D0D22">
              <w:rPr>
                <w:rFonts w:ascii="Arial Narrow" w:eastAsia="Calibri" w:hAnsi="Arial Narrow"/>
                <w:bCs/>
                <w:color w:val="000000"/>
                <w:sz w:val="20"/>
                <w:szCs w:val="20"/>
                <w:lang w:eastAsia="en-US"/>
              </w:rPr>
              <w:t xml:space="preserve">(include the date the assessments </w:t>
            </w:r>
            <w:r w:rsidRPr="005D0D22">
              <w:rPr>
                <w:rFonts w:ascii="Arial Narrow" w:eastAsia="Calibri" w:hAnsi="Arial Narrow"/>
                <w:bCs/>
                <w:sz w:val="20"/>
                <w:szCs w:val="20"/>
                <w:lang w:eastAsia="en-US"/>
              </w:rPr>
              <w:t>were conducted)</w:t>
            </w:r>
          </w:p>
          <w:p w14:paraId="3CA3E93F" w14:textId="6A2D088D" w:rsidR="00C40358" w:rsidRPr="005D0D22" w:rsidRDefault="00C40358">
            <w:pPr>
              <w:spacing w:after="160" w:line="256" w:lineRule="auto"/>
              <w:contextualSpacing/>
              <w:jc w:val="left"/>
              <w:rPr>
                <w:rFonts w:ascii="Arial Narrow" w:eastAsia="Calibri" w:hAnsi="Arial Narrow"/>
                <w:bCs/>
                <w:sz w:val="20"/>
                <w:szCs w:val="20"/>
                <w:lang w:eastAsia="en-US"/>
              </w:rPr>
            </w:pPr>
            <w:r w:rsidRPr="005D0D22">
              <w:rPr>
                <w:rFonts w:ascii="Arial Narrow" w:eastAsia="Calibri" w:hAnsi="Arial Narrow"/>
                <w:bCs/>
                <w:sz w:val="20"/>
                <w:szCs w:val="20"/>
                <w:lang w:eastAsia="en-US"/>
              </w:rPr>
              <w:t xml:space="preserve">(b) details of </w:t>
            </w:r>
            <w:r w:rsidRPr="005D0D22">
              <w:rPr>
                <w:rFonts w:ascii="Arial Narrow" w:hAnsi="Arial Narrow"/>
                <w:color w:val="000000"/>
                <w:sz w:val="20"/>
                <w:szCs w:val="20"/>
              </w:rPr>
              <w:t>remission</w:t>
            </w:r>
            <w:r w:rsidR="00AF0956">
              <w:rPr>
                <w:rFonts w:ascii="Arial Narrow" w:hAnsi="Arial Narrow"/>
                <w:color w:val="000000"/>
                <w:sz w:val="20"/>
                <w:szCs w:val="20"/>
              </w:rPr>
              <w:noBreakHyphen/>
            </w:r>
            <w:r w:rsidRPr="005D0D22">
              <w:rPr>
                <w:rFonts w:ascii="Arial Narrow" w:hAnsi="Arial Narrow"/>
                <w:color w:val="000000"/>
                <w:sz w:val="20"/>
                <w:szCs w:val="20"/>
              </w:rPr>
              <w:t>inducing treatments</w:t>
            </w:r>
            <w:r w:rsidRPr="005D0D22">
              <w:rPr>
                <w:rFonts w:ascii="Arial Narrow" w:eastAsia="Calibri" w:hAnsi="Arial Narrow"/>
                <w:bCs/>
                <w:sz w:val="20"/>
                <w:szCs w:val="20"/>
                <w:lang w:eastAsia="en-US"/>
              </w:rPr>
              <w:t xml:space="preserve"> [date commencement and duration of drug therapy including drug names and dosages, and/or date of the thymectomy]</w:t>
            </w:r>
          </w:p>
          <w:p w14:paraId="7737EB4D" w14:textId="77777777" w:rsidR="00C40358" w:rsidRPr="005D0D22" w:rsidRDefault="00C40358">
            <w:pPr>
              <w:spacing w:after="160" w:line="256" w:lineRule="auto"/>
              <w:contextualSpacing/>
              <w:jc w:val="left"/>
              <w:rPr>
                <w:rFonts w:ascii="Arial Narrow" w:eastAsia="Calibri" w:hAnsi="Arial Narrow"/>
                <w:bCs/>
                <w:sz w:val="20"/>
                <w:szCs w:val="20"/>
                <w:lang w:eastAsia="en-US"/>
              </w:rPr>
            </w:pPr>
          </w:p>
          <w:p w14:paraId="374AEBE0" w14:textId="77777777" w:rsidR="00C40358" w:rsidRPr="005D0D22" w:rsidRDefault="00C40358">
            <w:pPr>
              <w:spacing w:after="160" w:line="256" w:lineRule="auto"/>
              <w:contextualSpacing/>
              <w:jc w:val="left"/>
              <w:rPr>
                <w:rFonts w:ascii="Arial Narrow" w:eastAsia="Calibri" w:hAnsi="Arial Narrow"/>
                <w:bCs/>
                <w:sz w:val="20"/>
                <w:szCs w:val="20"/>
                <w:lang w:eastAsia="en-US"/>
              </w:rPr>
            </w:pPr>
            <w:r w:rsidRPr="005D0D22">
              <w:rPr>
                <w:rFonts w:ascii="Arial Narrow" w:eastAsia="Calibri" w:hAnsi="Arial Narrow"/>
                <w:bCs/>
                <w:sz w:val="20"/>
                <w:szCs w:val="20"/>
                <w:lang w:eastAsia="en-US"/>
              </w:rPr>
              <w:t>If the application is submitted through HPOS form upload or mail, it must include the following:</w:t>
            </w:r>
          </w:p>
          <w:p w14:paraId="5047B070" w14:textId="77777777" w:rsidR="00C40358" w:rsidRPr="005D0D22" w:rsidRDefault="00C40358">
            <w:pPr>
              <w:spacing w:after="160" w:line="256" w:lineRule="auto"/>
              <w:contextualSpacing/>
              <w:jc w:val="left"/>
              <w:rPr>
                <w:rFonts w:ascii="Arial Narrow" w:eastAsia="Calibri" w:hAnsi="Arial Narrow"/>
                <w:bCs/>
                <w:sz w:val="20"/>
                <w:szCs w:val="20"/>
                <w:lang w:eastAsia="en-US"/>
              </w:rPr>
            </w:pPr>
            <w:r w:rsidRPr="005D0D22">
              <w:rPr>
                <w:rFonts w:ascii="Arial Narrow" w:eastAsia="Calibri" w:hAnsi="Arial Narrow"/>
                <w:bCs/>
                <w:sz w:val="20"/>
                <w:szCs w:val="20"/>
                <w:lang w:eastAsia="en-US"/>
              </w:rPr>
              <w:t xml:space="preserve">(1) </w:t>
            </w:r>
            <w:r w:rsidRPr="005D0D22">
              <w:rPr>
                <w:rFonts w:ascii="Arial Narrow" w:eastAsia="Calibri" w:hAnsi="Arial Narrow"/>
                <w:sz w:val="20"/>
                <w:szCs w:val="20"/>
                <w:shd w:val="clear" w:color="auto" w:fill="FFFFFF"/>
                <w:lang w:eastAsia="en-US"/>
              </w:rPr>
              <w:t xml:space="preserve">details of the proposed prescription </w:t>
            </w:r>
          </w:p>
          <w:p w14:paraId="69489E23" w14:textId="77777777" w:rsidR="00C40358" w:rsidRPr="005D0D22" w:rsidRDefault="00C40358">
            <w:pPr>
              <w:spacing w:after="160"/>
              <w:contextualSpacing/>
              <w:jc w:val="left"/>
              <w:rPr>
                <w:rFonts w:ascii="Arial Narrow" w:eastAsia="Calibri" w:hAnsi="Arial Narrow" w:cs="Arial Narrow"/>
                <w:iCs/>
                <w:sz w:val="20"/>
                <w:szCs w:val="20"/>
                <w:lang w:eastAsia="en-US"/>
              </w:rPr>
            </w:pPr>
            <w:r w:rsidRPr="005D0D22">
              <w:rPr>
                <w:rFonts w:ascii="Arial Narrow" w:eastAsia="Calibri" w:hAnsi="Arial Narrow"/>
                <w:bCs/>
                <w:sz w:val="20"/>
                <w:szCs w:val="20"/>
                <w:lang w:eastAsia="en-US"/>
              </w:rPr>
              <w:t>(2) a completed authority application form relevant to the indication and treatment phase (the latest version is located on the website specified in the Administrative Advice)</w:t>
            </w:r>
          </w:p>
        </w:tc>
      </w:tr>
      <w:tr w:rsidR="00C40358" w:rsidRPr="005D0D22" w14:paraId="55D3427B" w14:textId="77777777">
        <w:trPr>
          <w:cantSplit/>
          <w:trHeight w:val="20"/>
        </w:trPr>
        <w:tc>
          <w:tcPr>
            <w:tcW w:w="1274"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4E5860EC" w14:textId="12A44AB8" w:rsidR="00C40358" w:rsidRPr="005D0D22" w:rsidRDefault="00C40358">
            <w:pPr>
              <w:spacing w:after="160"/>
              <w:contextualSpacing/>
              <w:jc w:val="center"/>
              <w:rPr>
                <w:rFonts w:ascii="Arial Narrow" w:hAnsi="Arial Narrow"/>
                <w:sz w:val="20"/>
                <w:szCs w:val="20"/>
              </w:rPr>
            </w:pPr>
          </w:p>
        </w:tc>
        <w:tc>
          <w:tcPr>
            <w:tcW w:w="7742"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2F8B1FAB" w14:textId="77777777" w:rsidR="00C40358" w:rsidRPr="005D0D22" w:rsidRDefault="00C40358">
            <w:pPr>
              <w:spacing w:after="160"/>
              <w:contextualSpacing/>
              <w:jc w:val="left"/>
              <w:rPr>
                <w:rFonts w:ascii="Arial Narrow" w:eastAsia="Calibri" w:hAnsi="Arial Narrow"/>
                <w:b/>
                <w:bCs/>
                <w:sz w:val="20"/>
                <w:szCs w:val="20"/>
                <w:shd w:val="clear" w:color="auto" w:fill="FFFFFF"/>
                <w:lang w:eastAsia="en-US"/>
              </w:rPr>
            </w:pPr>
            <w:r w:rsidRPr="005D0D22">
              <w:rPr>
                <w:rFonts w:ascii="Arial Narrow" w:eastAsia="Calibri" w:hAnsi="Arial Narrow"/>
                <w:b/>
                <w:bCs/>
                <w:sz w:val="20"/>
                <w:szCs w:val="20"/>
                <w:shd w:val="clear" w:color="auto" w:fill="FFFFFF"/>
                <w:lang w:eastAsia="en-US"/>
              </w:rPr>
              <w:t>Prescribing Instruction:</w:t>
            </w:r>
          </w:p>
          <w:p w14:paraId="074AA61C" w14:textId="177F1C62" w:rsidR="00C40358" w:rsidRPr="005D0D22" w:rsidRDefault="00C40358">
            <w:pPr>
              <w:spacing w:after="160"/>
              <w:contextualSpacing/>
              <w:jc w:val="left"/>
              <w:rPr>
                <w:rFonts w:ascii="Arial Narrow" w:eastAsia="Calibri" w:hAnsi="Arial Narrow"/>
                <w:b/>
                <w:bCs/>
                <w:sz w:val="20"/>
                <w:szCs w:val="20"/>
                <w:shd w:val="clear" w:color="auto" w:fill="FFFFFF"/>
                <w:lang w:eastAsia="en-US"/>
              </w:rPr>
            </w:pPr>
            <w:bookmarkStart w:id="14" w:name="_Hlk211844566"/>
            <w:r w:rsidRPr="005D0D22">
              <w:rPr>
                <w:rFonts w:ascii="Arial Narrow" w:eastAsia="Calibri" w:hAnsi="Arial Narrow"/>
                <w:sz w:val="20"/>
                <w:szCs w:val="20"/>
                <w:shd w:val="clear" w:color="auto" w:fill="FFFFFF"/>
                <w:lang w:eastAsia="en-US"/>
              </w:rPr>
              <w:t>A retrospective assessment for one of the MGC score or MG</w:t>
            </w:r>
            <w:r w:rsidR="00AF0956">
              <w:rPr>
                <w:rFonts w:ascii="Arial Narrow" w:eastAsia="Calibri" w:hAnsi="Arial Narrow"/>
                <w:sz w:val="20"/>
                <w:szCs w:val="20"/>
                <w:shd w:val="clear" w:color="auto" w:fill="FFFFFF"/>
                <w:lang w:eastAsia="en-US"/>
              </w:rPr>
              <w:noBreakHyphen/>
            </w:r>
            <w:r w:rsidRPr="005D0D22">
              <w:rPr>
                <w:rFonts w:ascii="Arial Narrow" w:eastAsia="Calibri" w:hAnsi="Arial Narrow"/>
                <w:sz w:val="20"/>
                <w:szCs w:val="20"/>
                <w:shd w:val="clear" w:color="auto" w:fill="FFFFFF"/>
                <w:lang w:eastAsia="en-US"/>
              </w:rPr>
              <w:t>ADL score can be accepted in cases where it was not conducted after completing 3 months of remission inducing treatments</w:t>
            </w:r>
            <w:bookmarkEnd w:id="14"/>
            <w:r w:rsidRPr="005D0D22">
              <w:rPr>
                <w:rFonts w:ascii="Arial Narrow" w:eastAsia="Calibri" w:hAnsi="Arial Narrow"/>
                <w:sz w:val="20"/>
                <w:szCs w:val="20"/>
                <w:shd w:val="clear" w:color="auto" w:fill="FFFFFF"/>
                <w:lang w:eastAsia="en-US"/>
              </w:rPr>
              <w:t>.</w:t>
            </w:r>
          </w:p>
        </w:tc>
      </w:tr>
    </w:tbl>
    <w:p w14:paraId="4234315F" w14:textId="77777777" w:rsidR="002408E2" w:rsidRDefault="002408E2" w:rsidP="00C40358">
      <w:pPr>
        <w:keepNext/>
        <w:keepLines/>
        <w:spacing w:before="160" w:after="80" w:line="256" w:lineRule="auto"/>
        <w:jc w:val="left"/>
        <w:outlineLvl w:val="1"/>
        <w:rPr>
          <w:rFonts w:cs="Arial"/>
          <w:b/>
          <w:bCs/>
          <w:snapToGrid w:val="0"/>
          <w:lang w:eastAsia="en-US"/>
        </w:rPr>
      </w:pPr>
      <w:bookmarkStart w:id="15" w:name="_3._Refractory_patient"/>
      <w:bookmarkEnd w:id="15"/>
    </w:p>
    <w:p w14:paraId="09883A73" w14:textId="77777777" w:rsidR="002408E2" w:rsidRDefault="002408E2">
      <w:pPr>
        <w:jc w:val="left"/>
        <w:rPr>
          <w:rFonts w:cs="Arial"/>
          <w:b/>
          <w:bCs/>
          <w:snapToGrid w:val="0"/>
          <w:lang w:eastAsia="en-US"/>
        </w:rPr>
      </w:pPr>
      <w:r>
        <w:rPr>
          <w:rFonts w:cs="Arial"/>
          <w:b/>
          <w:bCs/>
          <w:snapToGrid w:val="0"/>
          <w:lang w:eastAsia="en-US"/>
        </w:rPr>
        <w:br w:type="page"/>
      </w:r>
    </w:p>
    <w:p w14:paraId="23AFD649" w14:textId="6756D723" w:rsidR="00C40358" w:rsidRPr="005D0D22" w:rsidRDefault="00C40358" w:rsidP="00C40358">
      <w:pPr>
        <w:keepNext/>
        <w:keepLines/>
        <w:spacing w:before="160" w:after="80" w:line="256" w:lineRule="auto"/>
        <w:jc w:val="left"/>
        <w:outlineLvl w:val="1"/>
        <w:rPr>
          <w:rFonts w:cs="Arial"/>
          <w:b/>
          <w:bCs/>
          <w:snapToGrid w:val="0"/>
          <w:lang w:eastAsia="en-US"/>
        </w:rPr>
      </w:pPr>
      <w:r w:rsidRPr="005D0D22">
        <w:rPr>
          <w:rFonts w:cs="Arial"/>
          <w:b/>
          <w:bCs/>
          <w:snapToGrid w:val="0"/>
          <w:lang w:eastAsia="en-US"/>
        </w:rPr>
        <w:lastRenderedPageBreak/>
        <w:t xml:space="preserve">Treatment Refractory patients </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
        <w:tblDescription w:val=""/>
      </w:tblPr>
      <w:tblGrid>
        <w:gridCol w:w="491"/>
        <w:gridCol w:w="783"/>
        <w:gridCol w:w="1984"/>
        <w:gridCol w:w="1841"/>
        <w:gridCol w:w="851"/>
        <w:gridCol w:w="709"/>
        <w:gridCol w:w="850"/>
        <w:gridCol w:w="1507"/>
      </w:tblGrid>
      <w:tr w:rsidR="00C40358" w:rsidRPr="005D0D22" w14:paraId="5229CFEB" w14:textId="77777777">
        <w:trPr>
          <w:cantSplit/>
          <w:trHeight w:val="300"/>
        </w:trPr>
        <w:tc>
          <w:tcPr>
            <w:tcW w:w="3258" w:type="dxa"/>
            <w:gridSpan w:val="3"/>
            <w:tcBorders>
              <w:top w:val="single" w:sz="4" w:space="0" w:color="auto"/>
              <w:left w:val="single" w:sz="4" w:space="0" w:color="auto"/>
              <w:bottom w:val="single" w:sz="4" w:space="0" w:color="auto"/>
              <w:right w:val="single" w:sz="4" w:space="0" w:color="auto"/>
            </w:tcBorders>
            <w:vAlign w:val="center"/>
            <w:hideMark/>
          </w:tcPr>
          <w:p w14:paraId="2BBC6D29" w14:textId="77777777" w:rsidR="00C40358" w:rsidRPr="005D0D22" w:rsidRDefault="00C40358">
            <w:pPr>
              <w:keepLines/>
              <w:jc w:val="left"/>
              <w:rPr>
                <w:rFonts w:ascii="Arial Narrow" w:eastAsia="Aptos" w:hAnsi="Arial Narrow" w:cs="Arial"/>
                <w:b/>
                <w:bCs/>
                <w:kern w:val="2"/>
                <w:sz w:val="20"/>
                <w:szCs w:val="20"/>
                <w:lang w:eastAsia="en-US"/>
                <w14:ligatures w14:val="standardContextual"/>
              </w:rPr>
            </w:pPr>
            <w:r w:rsidRPr="005D0D22">
              <w:rPr>
                <w:rFonts w:ascii="Arial Narrow" w:eastAsia="Aptos" w:hAnsi="Arial Narrow" w:cs="Arial"/>
                <w:b/>
                <w:bCs/>
                <w:kern w:val="2"/>
                <w:sz w:val="20"/>
                <w:szCs w:val="20"/>
                <w:lang w:eastAsia="en-US"/>
                <w14:ligatures w14:val="standardContextual"/>
              </w:rPr>
              <w:t>MEDICINAL PRODUCT</w:t>
            </w:r>
          </w:p>
          <w:p w14:paraId="76B49209" w14:textId="77777777" w:rsidR="00C40358" w:rsidRPr="005D0D22" w:rsidRDefault="00C40358">
            <w:pPr>
              <w:keepLines/>
              <w:jc w:val="left"/>
              <w:rPr>
                <w:rFonts w:ascii="Arial Narrow" w:eastAsia="Aptos" w:hAnsi="Arial Narrow" w:cs="Arial"/>
                <w:b/>
                <w:kern w:val="2"/>
                <w:sz w:val="20"/>
                <w:szCs w:val="20"/>
                <w:lang w:eastAsia="en-US"/>
                <w14:ligatures w14:val="standardContextual"/>
              </w:rPr>
            </w:pPr>
            <w:r w:rsidRPr="005D0D22">
              <w:rPr>
                <w:rFonts w:ascii="Arial Narrow" w:eastAsia="Aptos" w:hAnsi="Arial Narrow" w:cs="Arial"/>
                <w:b/>
                <w:bCs/>
                <w:kern w:val="2"/>
                <w:sz w:val="20"/>
                <w:szCs w:val="20"/>
                <w:lang w:eastAsia="en-US"/>
                <w14:ligatures w14:val="standardContextual"/>
              </w:rPr>
              <w:t>medicinal product pack</w:t>
            </w:r>
          </w:p>
        </w:tc>
        <w:tc>
          <w:tcPr>
            <w:tcW w:w="1841" w:type="dxa"/>
            <w:tcBorders>
              <w:top w:val="single" w:sz="4" w:space="0" w:color="auto"/>
              <w:left w:val="single" w:sz="4" w:space="0" w:color="auto"/>
              <w:bottom w:val="single" w:sz="4" w:space="0" w:color="auto"/>
              <w:right w:val="single" w:sz="4" w:space="0" w:color="auto"/>
            </w:tcBorders>
            <w:vAlign w:val="center"/>
            <w:hideMark/>
          </w:tcPr>
          <w:p w14:paraId="085362CD" w14:textId="77777777" w:rsidR="00C40358" w:rsidRPr="005D0D22" w:rsidRDefault="00C40358">
            <w:pPr>
              <w:keepLines/>
              <w:jc w:val="center"/>
              <w:rPr>
                <w:rFonts w:ascii="Arial Narrow" w:eastAsia="Aptos" w:hAnsi="Arial Narrow" w:cs="Arial"/>
                <w:b/>
                <w:kern w:val="2"/>
                <w:sz w:val="20"/>
                <w:szCs w:val="20"/>
                <w:lang w:eastAsia="en-US"/>
                <w14:ligatures w14:val="standardContextual"/>
              </w:rPr>
            </w:pPr>
            <w:r w:rsidRPr="005D0D22">
              <w:rPr>
                <w:rFonts w:ascii="Arial Narrow" w:eastAsia="Aptos" w:hAnsi="Arial Narrow" w:cs="Arial"/>
                <w:b/>
                <w:kern w:val="2"/>
                <w:sz w:val="20"/>
                <w:szCs w:val="20"/>
                <w:lang w:eastAsia="en-US"/>
                <w14:ligatures w14:val="standardContextual"/>
              </w:rPr>
              <w:t>PBS item code</w:t>
            </w:r>
          </w:p>
        </w:tc>
        <w:tc>
          <w:tcPr>
            <w:tcW w:w="851" w:type="dxa"/>
            <w:tcBorders>
              <w:top w:val="single" w:sz="4" w:space="0" w:color="auto"/>
              <w:left w:val="single" w:sz="4" w:space="0" w:color="auto"/>
              <w:bottom w:val="single" w:sz="4" w:space="0" w:color="auto"/>
              <w:right w:val="single" w:sz="4" w:space="0" w:color="auto"/>
            </w:tcBorders>
            <w:vAlign w:val="center"/>
            <w:hideMark/>
          </w:tcPr>
          <w:p w14:paraId="02020BF2" w14:textId="77777777" w:rsidR="00C40358" w:rsidRPr="005D0D22" w:rsidRDefault="00C40358">
            <w:pPr>
              <w:keepLines/>
              <w:jc w:val="center"/>
              <w:rPr>
                <w:rFonts w:ascii="Arial Narrow" w:eastAsia="Aptos" w:hAnsi="Arial Narrow" w:cs="Arial"/>
                <w:b/>
                <w:kern w:val="2"/>
                <w:sz w:val="20"/>
                <w:szCs w:val="20"/>
                <w:lang w:eastAsia="en-US"/>
                <w14:ligatures w14:val="standardContextual"/>
              </w:rPr>
            </w:pPr>
            <w:r w:rsidRPr="005D0D22">
              <w:rPr>
                <w:rFonts w:ascii="Arial Narrow" w:eastAsia="Aptos" w:hAnsi="Arial Narrow" w:cs="Arial"/>
                <w:b/>
                <w:kern w:val="2"/>
                <w:sz w:val="20"/>
                <w:szCs w:val="20"/>
                <w:lang w:eastAsia="en-US"/>
                <w14:ligatures w14:val="standardContextual"/>
              </w:rPr>
              <w:t>Max. qty packs</w:t>
            </w:r>
          </w:p>
        </w:tc>
        <w:tc>
          <w:tcPr>
            <w:tcW w:w="709" w:type="dxa"/>
            <w:tcBorders>
              <w:top w:val="single" w:sz="4" w:space="0" w:color="auto"/>
              <w:left w:val="single" w:sz="4" w:space="0" w:color="auto"/>
              <w:bottom w:val="single" w:sz="4" w:space="0" w:color="auto"/>
              <w:right w:val="single" w:sz="4" w:space="0" w:color="auto"/>
            </w:tcBorders>
            <w:vAlign w:val="center"/>
            <w:hideMark/>
          </w:tcPr>
          <w:p w14:paraId="2391029B" w14:textId="77777777" w:rsidR="00C40358" w:rsidRPr="005D0D22" w:rsidRDefault="00C40358">
            <w:pPr>
              <w:keepLines/>
              <w:jc w:val="center"/>
              <w:rPr>
                <w:rFonts w:ascii="Arial Narrow" w:eastAsia="Aptos" w:hAnsi="Arial Narrow" w:cs="Arial"/>
                <w:b/>
                <w:kern w:val="2"/>
                <w:sz w:val="20"/>
                <w:szCs w:val="20"/>
                <w:lang w:eastAsia="en-US"/>
                <w14:ligatures w14:val="standardContextual"/>
              </w:rPr>
            </w:pPr>
            <w:r w:rsidRPr="005D0D22">
              <w:rPr>
                <w:rFonts w:ascii="Arial Narrow" w:eastAsia="Aptos" w:hAnsi="Arial Narrow" w:cs="Arial"/>
                <w:b/>
                <w:kern w:val="2"/>
                <w:sz w:val="20"/>
                <w:szCs w:val="20"/>
                <w:lang w:eastAsia="en-US"/>
                <w14:ligatures w14:val="standardContextual"/>
              </w:rPr>
              <w:t>Max. qty units</w:t>
            </w:r>
          </w:p>
        </w:tc>
        <w:tc>
          <w:tcPr>
            <w:tcW w:w="850" w:type="dxa"/>
            <w:tcBorders>
              <w:top w:val="single" w:sz="4" w:space="0" w:color="auto"/>
              <w:left w:val="single" w:sz="4" w:space="0" w:color="auto"/>
              <w:bottom w:val="single" w:sz="4" w:space="0" w:color="auto"/>
              <w:right w:val="single" w:sz="4" w:space="0" w:color="auto"/>
            </w:tcBorders>
            <w:vAlign w:val="center"/>
            <w:hideMark/>
          </w:tcPr>
          <w:p w14:paraId="0D1DB6ED" w14:textId="77777777" w:rsidR="00C40358" w:rsidRPr="005D0D22" w:rsidRDefault="00C40358">
            <w:pPr>
              <w:keepLines/>
              <w:jc w:val="center"/>
              <w:rPr>
                <w:rFonts w:ascii="Arial Narrow" w:eastAsia="Aptos" w:hAnsi="Arial Narrow" w:cs="Arial"/>
                <w:b/>
                <w:bCs/>
                <w:kern w:val="2"/>
                <w:sz w:val="20"/>
                <w:szCs w:val="20"/>
                <w:lang w:eastAsia="en-US"/>
                <w14:ligatures w14:val="standardContextual"/>
              </w:rPr>
            </w:pPr>
            <w:bookmarkStart w:id="16" w:name="_Int_LFGzUV40"/>
            <w:r w:rsidRPr="74EB87D5">
              <w:rPr>
                <w:rFonts w:ascii="Arial Narrow" w:eastAsia="Aptos" w:hAnsi="Arial Narrow" w:cs="Arial"/>
                <w:b/>
                <w:bCs/>
                <w:kern w:val="2"/>
                <w:sz w:val="20"/>
                <w:szCs w:val="20"/>
                <w:lang w:eastAsia="en-US"/>
                <w14:ligatures w14:val="standardContextual"/>
              </w:rPr>
              <w:t>№.of</w:t>
            </w:r>
            <w:bookmarkEnd w:id="16"/>
          </w:p>
          <w:p w14:paraId="47FF5892" w14:textId="77777777" w:rsidR="00C40358" w:rsidRPr="005D0D22" w:rsidRDefault="00C40358">
            <w:pPr>
              <w:keepLines/>
              <w:jc w:val="center"/>
              <w:rPr>
                <w:rFonts w:ascii="Arial Narrow" w:eastAsia="Aptos" w:hAnsi="Arial Narrow" w:cs="Arial"/>
                <w:b/>
                <w:kern w:val="2"/>
                <w:sz w:val="20"/>
                <w:szCs w:val="20"/>
                <w:lang w:eastAsia="en-US"/>
                <w14:ligatures w14:val="standardContextual"/>
              </w:rPr>
            </w:pPr>
            <w:r w:rsidRPr="005D0D22">
              <w:rPr>
                <w:rFonts w:ascii="Arial Narrow" w:eastAsia="Aptos" w:hAnsi="Arial Narrow" w:cs="Arial"/>
                <w:b/>
                <w:kern w:val="2"/>
                <w:sz w:val="20"/>
                <w:szCs w:val="20"/>
                <w:lang w:eastAsia="en-US"/>
                <w14:ligatures w14:val="standardContextual"/>
              </w:rPr>
              <w:t>Rpts</w:t>
            </w:r>
          </w:p>
        </w:tc>
        <w:tc>
          <w:tcPr>
            <w:tcW w:w="1507" w:type="dxa"/>
            <w:tcBorders>
              <w:top w:val="single" w:sz="4" w:space="0" w:color="auto"/>
              <w:left w:val="single" w:sz="4" w:space="0" w:color="auto"/>
              <w:bottom w:val="single" w:sz="4" w:space="0" w:color="auto"/>
              <w:right w:val="single" w:sz="4" w:space="0" w:color="auto"/>
            </w:tcBorders>
            <w:vAlign w:val="center"/>
            <w:hideMark/>
          </w:tcPr>
          <w:p w14:paraId="29F5B4E7" w14:textId="77777777" w:rsidR="00C40358" w:rsidRPr="005D0D22" w:rsidRDefault="00C40358">
            <w:pPr>
              <w:keepLines/>
              <w:jc w:val="left"/>
              <w:rPr>
                <w:rFonts w:ascii="Arial Narrow" w:eastAsia="Aptos" w:hAnsi="Arial Narrow" w:cs="Arial"/>
                <w:b/>
                <w:kern w:val="2"/>
                <w:sz w:val="20"/>
                <w:szCs w:val="20"/>
                <w:lang w:val="fr-FR" w:eastAsia="en-US"/>
                <w14:ligatures w14:val="standardContextual"/>
              </w:rPr>
            </w:pPr>
            <w:r w:rsidRPr="005D0D22">
              <w:rPr>
                <w:rFonts w:ascii="Arial Narrow" w:eastAsia="Aptos" w:hAnsi="Arial Narrow" w:cs="Arial"/>
                <w:b/>
                <w:kern w:val="2"/>
                <w:sz w:val="20"/>
                <w:szCs w:val="20"/>
                <w:lang w:eastAsia="en-US"/>
                <w14:ligatures w14:val="standardContextual"/>
              </w:rPr>
              <w:t>Available brands</w:t>
            </w:r>
          </w:p>
        </w:tc>
      </w:tr>
      <w:tr w:rsidR="00C40358" w:rsidRPr="005D0D22" w14:paraId="7038F777" w14:textId="77777777">
        <w:trPr>
          <w:cantSplit/>
          <w:trHeight w:val="127"/>
        </w:trPr>
        <w:tc>
          <w:tcPr>
            <w:tcW w:w="9016" w:type="dxa"/>
            <w:gridSpan w:val="8"/>
            <w:tcBorders>
              <w:top w:val="single" w:sz="4" w:space="0" w:color="auto"/>
              <w:left w:val="single" w:sz="4" w:space="0" w:color="auto"/>
              <w:bottom w:val="single" w:sz="4" w:space="0" w:color="auto"/>
              <w:right w:val="single" w:sz="4" w:space="0" w:color="auto"/>
            </w:tcBorders>
            <w:vAlign w:val="center"/>
            <w:hideMark/>
          </w:tcPr>
          <w:p w14:paraId="291A4795" w14:textId="77777777" w:rsidR="00C40358" w:rsidRPr="005D0D22" w:rsidRDefault="00C40358">
            <w:pPr>
              <w:keepLines/>
              <w:jc w:val="left"/>
              <w:rPr>
                <w:rFonts w:ascii="Arial Narrow" w:eastAsia="Aptos" w:hAnsi="Arial Narrow" w:cs="Arial"/>
                <w:kern w:val="2"/>
                <w:sz w:val="20"/>
                <w:szCs w:val="20"/>
                <w:lang w:eastAsia="en-US"/>
                <w14:ligatures w14:val="standardContextual"/>
              </w:rPr>
            </w:pPr>
            <w:r w:rsidRPr="005D0D22">
              <w:rPr>
                <w:rFonts w:ascii="Arial Narrow" w:eastAsia="Aptos" w:hAnsi="Arial Narrow" w:cs="Arial"/>
                <w:kern w:val="2"/>
                <w:sz w:val="20"/>
                <w:szCs w:val="20"/>
                <w:lang w:eastAsia="en-US"/>
                <w14:ligatures w14:val="standardContextual"/>
              </w:rPr>
              <w:t>EFGARTIGIMOD ALFA</w:t>
            </w:r>
          </w:p>
        </w:tc>
      </w:tr>
      <w:tr w:rsidR="00923B02" w:rsidRPr="005D0D22" w14:paraId="25A3F82C" w14:textId="77777777">
        <w:trPr>
          <w:cantSplit/>
          <w:trHeight w:val="300"/>
        </w:trPr>
        <w:tc>
          <w:tcPr>
            <w:tcW w:w="3258" w:type="dxa"/>
            <w:gridSpan w:val="3"/>
            <w:tcBorders>
              <w:top w:val="single" w:sz="4" w:space="0" w:color="auto"/>
              <w:left w:val="single" w:sz="4" w:space="0" w:color="auto"/>
              <w:bottom w:val="single" w:sz="4" w:space="0" w:color="auto"/>
              <w:right w:val="single" w:sz="4" w:space="0" w:color="auto"/>
            </w:tcBorders>
            <w:vAlign w:val="center"/>
          </w:tcPr>
          <w:p w14:paraId="1A03ADAD" w14:textId="2A5DB357" w:rsidR="00923B02" w:rsidRPr="00923B02" w:rsidRDefault="00923B02" w:rsidP="00923B02">
            <w:pPr>
              <w:keepLines/>
              <w:jc w:val="left"/>
              <w:rPr>
                <w:rFonts w:ascii="Arial Narrow" w:eastAsia="Aptos" w:hAnsi="Arial Narrow" w:cs="Arial"/>
                <w:i/>
                <w:color w:val="FF0000"/>
                <w:kern w:val="2"/>
                <w:sz w:val="20"/>
                <w:szCs w:val="20"/>
                <w:lang w:eastAsia="en-US"/>
                <w14:ligatures w14:val="standardContextual"/>
              </w:rPr>
            </w:pPr>
            <w:r w:rsidRPr="00923B02">
              <w:rPr>
                <w:rFonts w:ascii="Arial Narrow" w:hAnsi="Arial Narrow" w:cs="Arial"/>
                <w:i/>
                <w:color w:val="FF0000"/>
                <w:sz w:val="20"/>
                <w:szCs w:val="20"/>
              </w:rPr>
              <w:t>efgartigimod alfa 1 g/5 mL injection, 5 mL syringe</w:t>
            </w:r>
          </w:p>
        </w:tc>
        <w:tc>
          <w:tcPr>
            <w:tcW w:w="1841" w:type="dxa"/>
            <w:tcBorders>
              <w:top w:val="single" w:sz="4" w:space="0" w:color="auto"/>
              <w:left w:val="single" w:sz="4" w:space="0" w:color="auto"/>
              <w:bottom w:val="single" w:sz="4" w:space="0" w:color="auto"/>
              <w:right w:val="single" w:sz="4" w:space="0" w:color="auto"/>
            </w:tcBorders>
            <w:vAlign w:val="center"/>
          </w:tcPr>
          <w:p w14:paraId="0686AB8E" w14:textId="77777777" w:rsidR="00923B02" w:rsidRDefault="00923B02" w:rsidP="00923B02">
            <w:pPr>
              <w:keepLines/>
              <w:jc w:val="center"/>
              <w:rPr>
                <w:rFonts w:ascii="Arial Narrow" w:hAnsi="Arial Narrow" w:cs="Arial"/>
                <w:i/>
                <w:color w:val="FF0000"/>
                <w:sz w:val="20"/>
                <w:szCs w:val="20"/>
              </w:rPr>
            </w:pPr>
            <w:r w:rsidRPr="00923B02">
              <w:rPr>
                <w:rFonts w:ascii="Arial Narrow" w:hAnsi="Arial Narrow" w:cs="Arial"/>
                <w:i/>
                <w:color w:val="FF0000"/>
                <w:sz w:val="20"/>
                <w:szCs w:val="20"/>
              </w:rPr>
              <w:t>NEW</w:t>
            </w:r>
            <w:r w:rsidR="00895844">
              <w:rPr>
                <w:rFonts w:ascii="Arial Narrow" w:hAnsi="Arial Narrow" w:cs="Arial"/>
                <w:i/>
                <w:color w:val="FF0000"/>
                <w:sz w:val="20"/>
                <w:szCs w:val="20"/>
              </w:rPr>
              <w:t xml:space="preserve"> (HSD Public)</w:t>
            </w:r>
          </w:p>
          <w:p w14:paraId="1A2A72A8" w14:textId="3766F19D" w:rsidR="00923B02" w:rsidRPr="00923B02" w:rsidRDefault="00895844" w:rsidP="00923B02">
            <w:pPr>
              <w:keepLines/>
              <w:jc w:val="center"/>
              <w:rPr>
                <w:rFonts w:ascii="Arial Narrow" w:eastAsia="Aptos" w:hAnsi="Arial Narrow" w:cs="Arial"/>
                <w:i/>
                <w:color w:val="FF0000"/>
                <w:kern w:val="2"/>
                <w:sz w:val="20"/>
                <w:szCs w:val="20"/>
                <w:lang w:eastAsia="en-US"/>
                <w14:ligatures w14:val="standardContextual"/>
              </w:rPr>
            </w:pPr>
            <w:r>
              <w:rPr>
                <w:rFonts w:ascii="Arial Narrow" w:hAnsi="Arial Narrow" w:cs="Arial"/>
                <w:i/>
                <w:color w:val="FF0000"/>
                <w:sz w:val="20"/>
                <w:szCs w:val="20"/>
              </w:rPr>
              <w:t>NEW (HSD Private)</w:t>
            </w:r>
          </w:p>
        </w:tc>
        <w:tc>
          <w:tcPr>
            <w:tcW w:w="851" w:type="dxa"/>
            <w:tcBorders>
              <w:top w:val="single" w:sz="4" w:space="0" w:color="auto"/>
              <w:left w:val="single" w:sz="4" w:space="0" w:color="auto"/>
              <w:bottom w:val="single" w:sz="4" w:space="0" w:color="auto"/>
              <w:right w:val="single" w:sz="4" w:space="0" w:color="auto"/>
            </w:tcBorders>
            <w:vAlign w:val="center"/>
          </w:tcPr>
          <w:p w14:paraId="697D6255" w14:textId="47719A49" w:rsidR="00923B02" w:rsidRPr="00923B02" w:rsidRDefault="00923B02" w:rsidP="00923B02">
            <w:pPr>
              <w:keepLines/>
              <w:jc w:val="center"/>
              <w:rPr>
                <w:rFonts w:ascii="Arial Narrow" w:eastAsia="Aptos" w:hAnsi="Arial Narrow" w:cs="Arial"/>
                <w:i/>
                <w:color w:val="FF0000"/>
                <w:kern w:val="2"/>
                <w:sz w:val="20"/>
                <w:szCs w:val="20"/>
                <w:lang w:eastAsia="en-US"/>
                <w14:ligatures w14:val="standardContextual"/>
              </w:rPr>
            </w:pPr>
            <w:r w:rsidRPr="00923B02">
              <w:rPr>
                <w:rFonts w:ascii="Arial Narrow" w:hAnsi="Arial Narrow" w:cs="Arial"/>
                <w:i/>
                <w:color w:val="FF0000"/>
                <w:sz w:val="20"/>
                <w:szCs w:val="20"/>
              </w:rPr>
              <w:t>4</w:t>
            </w:r>
          </w:p>
        </w:tc>
        <w:tc>
          <w:tcPr>
            <w:tcW w:w="709" w:type="dxa"/>
            <w:tcBorders>
              <w:top w:val="single" w:sz="4" w:space="0" w:color="auto"/>
              <w:left w:val="single" w:sz="4" w:space="0" w:color="auto"/>
              <w:bottom w:val="single" w:sz="4" w:space="0" w:color="auto"/>
              <w:right w:val="single" w:sz="4" w:space="0" w:color="auto"/>
            </w:tcBorders>
            <w:vAlign w:val="center"/>
          </w:tcPr>
          <w:p w14:paraId="0A3245C7" w14:textId="6C38C6EC" w:rsidR="00923B02" w:rsidRPr="00923B02" w:rsidRDefault="00923B02" w:rsidP="00923B02">
            <w:pPr>
              <w:keepLines/>
              <w:jc w:val="center"/>
              <w:rPr>
                <w:rFonts w:ascii="Arial Narrow" w:eastAsia="Aptos" w:hAnsi="Arial Narrow" w:cs="Arial"/>
                <w:i/>
                <w:color w:val="FF0000"/>
                <w:kern w:val="2"/>
                <w:sz w:val="20"/>
                <w:szCs w:val="20"/>
                <w:lang w:eastAsia="en-US"/>
                <w14:ligatures w14:val="standardContextual"/>
              </w:rPr>
            </w:pPr>
            <w:r w:rsidRPr="00923B02">
              <w:rPr>
                <w:rFonts w:ascii="Arial Narrow" w:hAnsi="Arial Narrow" w:cs="Arial"/>
                <w:i/>
                <w:color w:val="FF0000"/>
                <w:sz w:val="20"/>
                <w:szCs w:val="20"/>
              </w:rPr>
              <w:t>4</w:t>
            </w:r>
          </w:p>
        </w:tc>
        <w:tc>
          <w:tcPr>
            <w:tcW w:w="850" w:type="dxa"/>
            <w:tcBorders>
              <w:top w:val="single" w:sz="4" w:space="0" w:color="auto"/>
              <w:left w:val="single" w:sz="4" w:space="0" w:color="auto"/>
              <w:bottom w:val="single" w:sz="4" w:space="0" w:color="auto"/>
              <w:right w:val="single" w:sz="4" w:space="0" w:color="auto"/>
            </w:tcBorders>
            <w:vAlign w:val="center"/>
          </w:tcPr>
          <w:p w14:paraId="45AB902D" w14:textId="605F7FD9" w:rsidR="00923B02" w:rsidRPr="00923B02" w:rsidRDefault="00923B02" w:rsidP="00923B02">
            <w:pPr>
              <w:keepLines/>
              <w:jc w:val="center"/>
              <w:rPr>
                <w:rFonts w:ascii="Arial Narrow" w:eastAsia="Aptos" w:hAnsi="Arial Narrow" w:cs="Arial"/>
                <w:i/>
                <w:color w:val="FF0000"/>
                <w:kern w:val="2"/>
                <w:sz w:val="20"/>
                <w:szCs w:val="20"/>
                <w:lang w:eastAsia="en-US"/>
                <w14:ligatures w14:val="standardContextual"/>
              </w:rPr>
            </w:pPr>
            <w:r w:rsidRPr="00923B02">
              <w:rPr>
                <w:rFonts w:ascii="Arial Narrow" w:hAnsi="Arial Narrow" w:cs="Arial"/>
                <w:i/>
                <w:color w:val="FF0000"/>
                <w:sz w:val="20"/>
                <w:szCs w:val="20"/>
              </w:rPr>
              <w:t>3</w:t>
            </w:r>
          </w:p>
        </w:tc>
        <w:tc>
          <w:tcPr>
            <w:tcW w:w="1507" w:type="dxa"/>
            <w:tcBorders>
              <w:top w:val="single" w:sz="4" w:space="0" w:color="auto"/>
              <w:left w:val="single" w:sz="4" w:space="0" w:color="auto"/>
              <w:bottom w:val="single" w:sz="4" w:space="0" w:color="auto"/>
              <w:right w:val="single" w:sz="4" w:space="0" w:color="auto"/>
            </w:tcBorders>
            <w:vAlign w:val="center"/>
          </w:tcPr>
          <w:p w14:paraId="61C6E09E" w14:textId="72A17B8D" w:rsidR="00923B02" w:rsidRPr="00923B02" w:rsidRDefault="00923B02" w:rsidP="00923B02">
            <w:pPr>
              <w:keepLines/>
              <w:jc w:val="left"/>
              <w:rPr>
                <w:rFonts w:ascii="Arial Narrow" w:eastAsia="Aptos" w:hAnsi="Arial Narrow" w:cs="Arial"/>
                <w:i/>
                <w:color w:val="FF0000"/>
                <w:kern w:val="2"/>
                <w:sz w:val="20"/>
                <w:szCs w:val="20"/>
                <w:lang w:eastAsia="en-US"/>
                <w14:ligatures w14:val="standardContextual"/>
              </w:rPr>
            </w:pPr>
            <w:r w:rsidRPr="00923B02">
              <w:rPr>
                <w:rFonts w:ascii="Arial Narrow" w:hAnsi="Arial Narrow" w:cs="Arial"/>
                <w:i/>
                <w:color w:val="FF0000"/>
                <w:sz w:val="20"/>
                <w:szCs w:val="20"/>
              </w:rPr>
              <w:t>Vyvgart PFS</w:t>
            </w:r>
          </w:p>
        </w:tc>
      </w:tr>
      <w:tr w:rsidR="00C40358" w:rsidRPr="005D0D22" w14:paraId="4651D37C" w14:textId="77777777">
        <w:trPr>
          <w:cantSplit/>
          <w:trHeight w:val="300"/>
        </w:trPr>
        <w:tc>
          <w:tcPr>
            <w:tcW w:w="3258" w:type="dxa"/>
            <w:gridSpan w:val="3"/>
            <w:tcBorders>
              <w:top w:val="single" w:sz="4" w:space="0" w:color="auto"/>
              <w:left w:val="single" w:sz="4" w:space="0" w:color="auto"/>
              <w:bottom w:val="single" w:sz="4" w:space="0" w:color="auto"/>
              <w:right w:val="single" w:sz="4" w:space="0" w:color="auto"/>
            </w:tcBorders>
            <w:vAlign w:val="center"/>
            <w:hideMark/>
          </w:tcPr>
          <w:p w14:paraId="547A965A" w14:textId="77777777" w:rsidR="00C40358" w:rsidRPr="00923B02" w:rsidRDefault="00C40358">
            <w:pPr>
              <w:keepLines/>
              <w:jc w:val="left"/>
              <w:rPr>
                <w:rFonts w:ascii="Arial Narrow" w:eastAsia="Aptos" w:hAnsi="Arial Narrow" w:cs="Arial"/>
                <w:kern w:val="2"/>
                <w:sz w:val="20"/>
                <w:szCs w:val="20"/>
                <w:lang w:eastAsia="en-US"/>
                <w14:ligatures w14:val="standardContextual"/>
              </w:rPr>
            </w:pPr>
            <w:r w:rsidRPr="00923B02">
              <w:rPr>
                <w:rFonts w:ascii="Arial Narrow" w:eastAsia="Aptos" w:hAnsi="Arial Narrow" w:cs="Arial"/>
                <w:kern w:val="2"/>
                <w:sz w:val="20"/>
                <w:szCs w:val="20"/>
                <w:lang w:eastAsia="en-US"/>
                <w14:ligatures w14:val="standardContextual"/>
              </w:rPr>
              <w:t>efgartigimod alfa 1000 mg in 5.6 mL vial</w:t>
            </w:r>
          </w:p>
        </w:tc>
        <w:tc>
          <w:tcPr>
            <w:tcW w:w="1841" w:type="dxa"/>
            <w:tcBorders>
              <w:top w:val="single" w:sz="4" w:space="0" w:color="auto"/>
              <w:left w:val="single" w:sz="4" w:space="0" w:color="auto"/>
              <w:bottom w:val="single" w:sz="4" w:space="0" w:color="auto"/>
              <w:right w:val="single" w:sz="4" w:space="0" w:color="auto"/>
            </w:tcBorders>
            <w:vAlign w:val="center"/>
            <w:hideMark/>
          </w:tcPr>
          <w:p w14:paraId="7DE6D9ED" w14:textId="77777777" w:rsidR="00C40358" w:rsidRPr="00923B02" w:rsidRDefault="00C40358">
            <w:pPr>
              <w:keepLines/>
              <w:jc w:val="center"/>
              <w:rPr>
                <w:rFonts w:ascii="Arial Narrow" w:eastAsia="Aptos" w:hAnsi="Arial Narrow" w:cs="Arial"/>
                <w:kern w:val="2"/>
                <w:sz w:val="20"/>
                <w:szCs w:val="20"/>
                <w:lang w:eastAsia="en-US"/>
                <w14:ligatures w14:val="standardContextual"/>
              </w:rPr>
            </w:pPr>
            <w:r w:rsidRPr="00923B02">
              <w:rPr>
                <w:rFonts w:ascii="Arial Narrow" w:eastAsia="Aptos" w:hAnsi="Arial Narrow" w:cs="Arial"/>
                <w:kern w:val="2"/>
                <w:sz w:val="20"/>
                <w:szCs w:val="20"/>
                <w:lang w:eastAsia="en-US"/>
                <w14:ligatures w14:val="standardContextual"/>
              </w:rPr>
              <w:t>NEW (HSD Public)</w:t>
            </w:r>
          </w:p>
          <w:p w14:paraId="1C435422" w14:textId="77777777" w:rsidR="00C40358" w:rsidRPr="00923B02" w:rsidRDefault="00C40358">
            <w:pPr>
              <w:keepLines/>
              <w:jc w:val="center"/>
              <w:rPr>
                <w:rFonts w:ascii="Arial Narrow" w:eastAsia="Aptos" w:hAnsi="Arial Narrow" w:cs="Arial"/>
                <w:kern w:val="2"/>
                <w:sz w:val="20"/>
                <w:szCs w:val="20"/>
                <w:lang w:eastAsia="en-US"/>
                <w14:ligatures w14:val="standardContextual"/>
              </w:rPr>
            </w:pPr>
            <w:r w:rsidRPr="00923B02">
              <w:rPr>
                <w:rFonts w:ascii="Arial Narrow" w:eastAsia="Aptos" w:hAnsi="Arial Narrow" w:cs="Arial"/>
                <w:kern w:val="2"/>
                <w:sz w:val="20"/>
                <w:szCs w:val="20"/>
                <w:lang w:eastAsia="en-US"/>
                <w14:ligatures w14:val="standardContextual"/>
              </w:rPr>
              <w:t>NEW (HSD Private)</w:t>
            </w:r>
          </w:p>
        </w:tc>
        <w:tc>
          <w:tcPr>
            <w:tcW w:w="851" w:type="dxa"/>
            <w:tcBorders>
              <w:top w:val="single" w:sz="4" w:space="0" w:color="auto"/>
              <w:left w:val="single" w:sz="4" w:space="0" w:color="auto"/>
              <w:bottom w:val="single" w:sz="4" w:space="0" w:color="auto"/>
              <w:right w:val="single" w:sz="4" w:space="0" w:color="auto"/>
            </w:tcBorders>
            <w:vAlign w:val="center"/>
            <w:hideMark/>
          </w:tcPr>
          <w:p w14:paraId="5DFF59B7" w14:textId="77777777" w:rsidR="00C40358" w:rsidRPr="00923B02" w:rsidRDefault="00C40358">
            <w:pPr>
              <w:keepLines/>
              <w:jc w:val="center"/>
              <w:rPr>
                <w:rFonts w:ascii="Arial Narrow" w:eastAsia="Aptos" w:hAnsi="Arial Narrow" w:cs="Arial"/>
                <w:kern w:val="2"/>
                <w:sz w:val="20"/>
                <w:szCs w:val="20"/>
                <w:lang w:eastAsia="en-US"/>
                <w14:ligatures w14:val="standardContextual"/>
              </w:rPr>
            </w:pPr>
            <w:r w:rsidRPr="00923B02">
              <w:rPr>
                <w:rFonts w:ascii="Arial Narrow" w:eastAsia="Aptos" w:hAnsi="Arial Narrow" w:cs="Arial"/>
                <w:kern w:val="2"/>
                <w:sz w:val="20"/>
                <w:szCs w:val="20"/>
                <w:lang w:eastAsia="en-US"/>
                <w14:ligatures w14:val="standardContextual"/>
              </w:rPr>
              <w:t>4</w:t>
            </w:r>
          </w:p>
        </w:tc>
        <w:tc>
          <w:tcPr>
            <w:tcW w:w="709" w:type="dxa"/>
            <w:tcBorders>
              <w:top w:val="single" w:sz="4" w:space="0" w:color="auto"/>
              <w:left w:val="single" w:sz="4" w:space="0" w:color="auto"/>
              <w:bottom w:val="single" w:sz="4" w:space="0" w:color="auto"/>
              <w:right w:val="single" w:sz="4" w:space="0" w:color="auto"/>
            </w:tcBorders>
            <w:vAlign w:val="center"/>
            <w:hideMark/>
          </w:tcPr>
          <w:p w14:paraId="2821B89E" w14:textId="77777777" w:rsidR="00C40358" w:rsidRPr="00923B02" w:rsidRDefault="00C40358">
            <w:pPr>
              <w:keepLines/>
              <w:jc w:val="center"/>
              <w:rPr>
                <w:rFonts w:ascii="Arial Narrow" w:eastAsia="Aptos" w:hAnsi="Arial Narrow" w:cs="Arial"/>
                <w:kern w:val="2"/>
                <w:sz w:val="20"/>
                <w:szCs w:val="20"/>
                <w:lang w:eastAsia="en-US"/>
                <w14:ligatures w14:val="standardContextual"/>
              </w:rPr>
            </w:pPr>
            <w:r w:rsidRPr="00923B02">
              <w:rPr>
                <w:rFonts w:ascii="Arial Narrow" w:eastAsia="Aptos" w:hAnsi="Arial Narrow" w:cs="Arial"/>
                <w:kern w:val="2"/>
                <w:sz w:val="20"/>
                <w:szCs w:val="20"/>
                <w:lang w:eastAsia="en-US"/>
                <w14:ligatures w14:val="standardContextual"/>
              </w:rPr>
              <w:t>4</w:t>
            </w:r>
          </w:p>
        </w:tc>
        <w:tc>
          <w:tcPr>
            <w:tcW w:w="850" w:type="dxa"/>
            <w:tcBorders>
              <w:top w:val="single" w:sz="4" w:space="0" w:color="auto"/>
              <w:left w:val="single" w:sz="4" w:space="0" w:color="auto"/>
              <w:bottom w:val="single" w:sz="4" w:space="0" w:color="auto"/>
              <w:right w:val="single" w:sz="4" w:space="0" w:color="auto"/>
            </w:tcBorders>
            <w:vAlign w:val="center"/>
            <w:hideMark/>
          </w:tcPr>
          <w:p w14:paraId="30B457E5" w14:textId="77777777" w:rsidR="00C40358" w:rsidRPr="00923B02" w:rsidRDefault="00C40358">
            <w:pPr>
              <w:keepLines/>
              <w:jc w:val="center"/>
              <w:rPr>
                <w:rFonts w:ascii="Arial Narrow" w:eastAsia="Aptos" w:hAnsi="Arial Narrow" w:cs="Arial"/>
                <w:kern w:val="2"/>
                <w:sz w:val="20"/>
                <w:szCs w:val="20"/>
                <w:lang w:eastAsia="en-US"/>
                <w14:ligatures w14:val="standardContextual"/>
              </w:rPr>
            </w:pPr>
            <w:r w:rsidRPr="00923B02">
              <w:rPr>
                <w:rFonts w:ascii="Arial Narrow" w:eastAsia="Aptos" w:hAnsi="Arial Narrow" w:cs="Arial"/>
                <w:kern w:val="2"/>
                <w:sz w:val="20"/>
                <w:szCs w:val="20"/>
                <w:lang w:eastAsia="en-US"/>
                <w14:ligatures w14:val="standardContextual"/>
              </w:rPr>
              <w:t>3</w:t>
            </w:r>
          </w:p>
        </w:tc>
        <w:tc>
          <w:tcPr>
            <w:tcW w:w="1507" w:type="dxa"/>
            <w:tcBorders>
              <w:top w:val="single" w:sz="4" w:space="0" w:color="auto"/>
              <w:left w:val="single" w:sz="4" w:space="0" w:color="auto"/>
              <w:bottom w:val="single" w:sz="4" w:space="0" w:color="auto"/>
              <w:right w:val="single" w:sz="4" w:space="0" w:color="auto"/>
            </w:tcBorders>
            <w:vAlign w:val="center"/>
            <w:hideMark/>
          </w:tcPr>
          <w:p w14:paraId="119CC582" w14:textId="77777777" w:rsidR="00C40358" w:rsidRPr="00923B02" w:rsidRDefault="00C40358">
            <w:pPr>
              <w:keepLines/>
              <w:jc w:val="left"/>
              <w:rPr>
                <w:rFonts w:ascii="Arial Narrow" w:eastAsia="Aptos" w:hAnsi="Arial Narrow" w:cs="Arial"/>
                <w:kern w:val="2"/>
                <w:sz w:val="20"/>
                <w:szCs w:val="20"/>
                <w:lang w:eastAsia="en-US"/>
                <w14:ligatures w14:val="standardContextual"/>
              </w:rPr>
            </w:pPr>
            <w:r w:rsidRPr="00923B02">
              <w:rPr>
                <w:rFonts w:ascii="Arial Narrow" w:eastAsia="Aptos" w:hAnsi="Arial Narrow" w:cs="Arial"/>
                <w:kern w:val="2"/>
                <w:sz w:val="20"/>
                <w:szCs w:val="20"/>
                <w:lang w:eastAsia="en-US"/>
                <w14:ligatures w14:val="standardContextual"/>
              </w:rPr>
              <w:t>Vyvgart SC</w:t>
            </w:r>
          </w:p>
        </w:tc>
      </w:tr>
      <w:tr w:rsidR="00C40358" w:rsidRPr="005D0D22" w14:paraId="2427E980" w14:textId="77777777">
        <w:trPr>
          <w:cantSplit/>
          <w:trHeight w:val="300"/>
        </w:trPr>
        <w:tc>
          <w:tcPr>
            <w:tcW w:w="3258" w:type="dxa"/>
            <w:gridSpan w:val="3"/>
            <w:tcBorders>
              <w:top w:val="single" w:sz="4" w:space="0" w:color="auto"/>
              <w:left w:val="single" w:sz="4" w:space="0" w:color="auto"/>
              <w:bottom w:val="single" w:sz="4" w:space="0" w:color="auto"/>
              <w:right w:val="single" w:sz="4" w:space="0" w:color="auto"/>
            </w:tcBorders>
            <w:vAlign w:val="center"/>
          </w:tcPr>
          <w:p w14:paraId="4C2B0BEC" w14:textId="77777777" w:rsidR="00C40358" w:rsidRPr="00F10119" w:rsidRDefault="00C40358">
            <w:pPr>
              <w:keepLines/>
              <w:jc w:val="left"/>
              <w:rPr>
                <w:rFonts w:ascii="Arial Narrow" w:eastAsia="Aptos" w:hAnsi="Arial Narrow" w:cs="Arial"/>
                <w:kern w:val="2"/>
                <w:sz w:val="20"/>
                <w:szCs w:val="20"/>
                <w:lang w:val="de-DE" w:eastAsia="en-US"/>
                <w14:ligatures w14:val="standardContextual"/>
              </w:rPr>
            </w:pPr>
            <w:r w:rsidRPr="00F10119">
              <w:rPr>
                <w:rFonts w:ascii="Arial Narrow" w:hAnsi="Arial Narrow" w:cs="Arial"/>
                <w:sz w:val="20"/>
                <w:szCs w:val="20"/>
                <w:lang w:val="de-DE"/>
              </w:rPr>
              <w:t>efgartigimod alfa 400mg/20mL vial</w:t>
            </w:r>
          </w:p>
        </w:tc>
        <w:tc>
          <w:tcPr>
            <w:tcW w:w="1841" w:type="dxa"/>
            <w:tcBorders>
              <w:top w:val="single" w:sz="4" w:space="0" w:color="auto"/>
              <w:left w:val="single" w:sz="4" w:space="0" w:color="auto"/>
              <w:bottom w:val="single" w:sz="4" w:space="0" w:color="auto"/>
              <w:right w:val="single" w:sz="4" w:space="0" w:color="auto"/>
            </w:tcBorders>
            <w:vAlign w:val="center"/>
          </w:tcPr>
          <w:p w14:paraId="2A752857" w14:textId="77777777" w:rsidR="00C40358" w:rsidRDefault="00C40358">
            <w:pPr>
              <w:keepLines/>
              <w:jc w:val="center"/>
              <w:rPr>
                <w:rFonts w:ascii="Arial Narrow" w:hAnsi="Arial Narrow" w:cs="Arial"/>
                <w:sz w:val="20"/>
                <w:szCs w:val="20"/>
              </w:rPr>
            </w:pPr>
            <w:r w:rsidRPr="68F43EAC">
              <w:rPr>
                <w:rFonts w:ascii="Arial Narrow" w:hAnsi="Arial Narrow" w:cs="Arial"/>
                <w:sz w:val="20"/>
                <w:szCs w:val="20"/>
              </w:rPr>
              <w:t>NEW (HSD Public)</w:t>
            </w:r>
          </w:p>
          <w:p w14:paraId="6B994FA5" w14:textId="77777777" w:rsidR="00C40358" w:rsidRPr="005D0D22" w:rsidRDefault="00C40358">
            <w:pPr>
              <w:keepLines/>
              <w:jc w:val="center"/>
              <w:rPr>
                <w:rFonts w:ascii="Arial Narrow" w:eastAsia="Aptos" w:hAnsi="Arial Narrow" w:cs="Arial"/>
                <w:kern w:val="2"/>
                <w:sz w:val="20"/>
                <w:szCs w:val="20"/>
                <w:lang w:eastAsia="en-US"/>
                <w14:ligatures w14:val="standardContextual"/>
              </w:rPr>
            </w:pPr>
            <w:r w:rsidRPr="68F43EAC">
              <w:rPr>
                <w:rFonts w:ascii="Arial Narrow" w:hAnsi="Arial Narrow" w:cs="Arial"/>
                <w:sz w:val="20"/>
                <w:szCs w:val="20"/>
              </w:rPr>
              <w:t>NEW (HSD Private)</w:t>
            </w:r>
          </w:p>
        </w:tc>
        <w:tc>
          <w:tcPr>
            <w:tcW w:w="851" w:type="dxa"/>
            <w:tcBorders>
              <w:top w:val="single" w:sz="4" w:space="0" w:color="auto"/>
              <w:left w:val="single" w:sz="4" w:space="0" w:color="auto"/>
              <w:bottom w:val="single" w:sz="4" w:space="0" w:color="auto"/>
              <w:right w:val="single" w:sz="4" w:space="0" w:color="auto"/>
            </w:tcBorders>
            <w:vAlign w:val="center"/>
          </w:tcPr>
          <w:p w14:paraId="73915610" w14:textId="77777777" w:rsidR="00C40358" w:rsidRPr="005D0D22" w:rsidRDefault="00C40358">
            <w:pPr>
              <w:keepLines/>
              <w:jc w:val="center"/>
              <w:rPr>
                <w:rFonts w:ascii="Arial Narrow" w:eastAsia="Aptos" w:hAnsi="Arial Narrow" w:cs="Arial"/>
                <w:kern w:val="2"/>
                <w:sz w:val="20"/>
                <w:szCs w:val="20"/>
                <w:lang w:eastAsia="en-US"/>
                <w14:ligatures w14:val="standardContextual"/>
              </w:rPr>
            </w:pPr>
            <w:r w:rsidRPr="68F43EAC">
              <w:rPr>
                <w:rFonts w:ascii="Arial Narrow" w:hAnsi="Arial Narrow" w:cs="Arial"/>
                <w:sz w:val="20"/>
                <w:szCs w:val="20"/>
              </w:rPr>
              <w:t>12</w:t>
            </w:r>
          </w:p>
        </w:tc>
        <w:tc>
          <w:tcPr>
            <w:tcW w:w="709" w:type="dxa"/>
            <w:tcBorders>
              <w:top w:val="single" w:sz="4" w:space="0" w:color="auto"/>
              <w:left w:val="single" w:sz="4" w:space="0" w:color="auto"/>
              <w:bottom w:val="single" w:sz="4" w:space="0" w:color="auto"/>
              <w:right w:val="single" w:sz="4" w:space="0" w:color="auto"/>
            </w:tcBorders>
            <w:vAlign w:val="center"/>
          </w:tcPr>
          <w:p w14:paraId="299F9E06" w14:textId="77777777" w:rsidR="00C40358" w:rsidRPr="005D0D22" w:rsidRDefault="00C40358">
            <w:pPr>
              <w:keepLines/>
              <w:jc w:val="center"/>
              <w:rPr>
                <w:rFonts w:ascii="Arial Narrow" w:eastAsia="Aptos" w:hAnsi="Arial Narrow" w:cs="Arial"/>
                <w:kern w:val="2"/>
                <w:sz w:val="20"/>
                <w:szCs w:val="20"/>
                <w:lang w:eastAsia="en-US"/>
                <w14:ligatures w14:val="standardContextual"/>
              </w:rPr>
            </w:pPr>
            <w:r w:rsidRPr="68F43EAC">
              <w:rPr>
                <w:rFonts w:ascii="Arial Narrow" w:hAnsi="Arial Narrow" w:cs="Arial"/>
                <w:sz w:val="20"/>
                <w:szCs w:val="20"/>
              </w:rPr>
              <w:t>12</w:t>
            </w:r>
          </w:p>
        </w:tc>
        <w:tc>
          <w:tcPr>
            <w:tcW w:w="850" w:type="dxa"/>
            <w:tcBorders>
              <w:top w:val="single" w:sz="4" w:space="0" w:color="auto"/>
              <w:left w:val="single" w:sz="4" w:space="0" w:color="auto"/>
              <w:bottom w:val="single" w:sz="4" w:space="0" w:color="auto"/>
              <w:right w:val="single" w:sz="4" w:space="0" w:color="auto"/>
            </w:tcBorders>
            <w:vAlign w:val="center"/>
          </w:tcPr>
          <w:p w14:paraId="6B7E098B" w14:textId="77777777" w:rsidR="00C40358" w:rsidRPr="005D0D22" w:rsidRDefault="00C40358">
            <w:pPr>
              <w:keepLines/>
              <w:jc w:val="center"/>
              <w:rPr>
                <w:rFonts w:ascii="Arial Narrow" w:eastAsia="Aptos" w:hAnsi="Arial Narrow" w:cs="Arial"/>
                <w:kern w:val="2"/>
                <w:sz w:val="20"/>
                <w:szCs w:val="20"/>
                <w:lang w:eastAsia="en-US"/>
                <w14:ligatures w14:val="standardContextual"/>
              </w:rPr>
            </w:pPr>
            <w:r>
              <w:rPr>
                <w:rFonts w:ascii="Arial Narrow" w:hAnsi="Arial Narrow" w:cs="Arial"/>
                <w:sz w:val="20"/>
                <w:szCs w:val="20"/>
              </w:rPr>
              <w:t>3</w:t>
            </w:r>
          </w:p>
        </w:tc>
        <w:tc>
          <w:tcPr>
            <w:tcW w:w="1507" w:type="dxa"/>
            <w:tcBorders>
              <w:top w:val="single" w:sz="4" w:space="0" w:color="auto"/>
              <w:left w:val="single" w:sz="4" w:space="0" w:color="auto"/>
              <w:bottom w:val="single" w:sz="4" w:space="0" w:color="auto"/>
              <w:right w:val="single" w:sz="4" w:space="0" w:color="auto"/>
            </w:tcBorders>
            <w:vAlign w:val="center"/>
          </w:tcPr>
          <w:p w14:paraId="5D4110A1" w14:textId="77777777" w:rsidR="00C40358" w:rsidRPr="005D0D22" w:rsidRDefault="00C40358">
            <w:pPr>
              <w:keepLines/>
              <w:jc w:val="left"/>
              <w:rPr>
                <w:rFonts w:ascii="Arial Narrow" w:eastAsia="Aptos" w:hAnsi="Arial Narrow" w:cs="Arial"/>
                <w:kern w:val="2"/>
                <w:sz w:val="20"/>
                <w:szCs w:val="20"/>
                <w:lang w:eastAsia="en-US"/>
                <w14:ligatures w14:val="standardContextual"/>
              </w:rPr>
            </w:pPr>
            <w:r w:rsidRPr="68F43EAC">
              <w:rPr>
                <w:rFonts w:ascii="Arial Narrow" w:hAnsi="Arial Narrow" w:cs="Arial"/>
                <w:sz w:val="20"/>
                <w:szCs w:val="20"/>
              </w:rPr>
              <w:t>Vyvgart</w:t>
            </w:r>
          </w:p>
        </w:tc>
      </w:tr>
      <w:tr w:rsidR="00C40358" w:rsidRPr="005D0D22" w14:paraId="648A7F57" w14:textId="77777777">
        <w:trPr>
          <w:trHeight w:val="20"/>
        </w:trPr>
        <w:tc>
          <w:tcPr>
            <w:tcW w:w="9016" w:type="dxa"/>
            <w:gridSpan w:val="8"/>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2A359464" w14:textId="77777777" w:rsidR="00C40358" w:rsidRPr="005D0D22" w:rsidRDefault="00C40358">
            <w:pPr>
              <w:keepLines/>
              <w:spacing w:after="160"/>
              <w:contextualSpacing/>
              <w:jc w:val="left"/>
              <w:rPr>
                <w:rFonts w:ascii="Arial Narrow" w:eastAsia="Calibri" w:hAnsi="Arial Narrow" w:cs="Arial"/>
                <w:b/>
                <w:sz w:val="20"/>
                <w:szCs w:val="20"/>
                <w:lang w:eastAsia="en-US"/>
              </w:rPr>
            </w:pPr>
          </w:p>
        </w:tc>
      </w:tr>
      <w:tr w:rsidR="00C40358" w:rsidRPr="005D0D22" w14:paraId="0E0CADDA" w14:textId="77777777">
        <w:trPr>
          <w:trHeight w:val="20"/>
        </w:trPr>
        <w:tc>
          <w:tcPr>
            <w:tcW w:w="1274" w:type="dxa"/>
            <w:gridSpan w:val="2"/>
            <w:vMerge w:val="restart"/>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30442398" w14:textId="77777777" w:rsidR="00C40358" w:rsidRPr="005D0D22" w:rsidRDefault="00C40358">
            <w:pPr>
              <w:spacing w:after="160"/>
              <w:contextualSpacing/>
              <w:jc w:val="center"/>
              <w:rPr>
                <w:rFonts w:ascii="Arial Narrow" w:eastAsia="Calibri" w:hAnsi="Arial Narrow" w:cs="Arial"/>
                <w:b/>
                <w:sz w:val="20"/>
                <w:szCs w:val="20"/>
                <w:lang w:eastAsia="en-US"/>
              </w:rPr>
            </w:pPr>
            <w:r w:rsidRPr="005D0D22">
              <w:rPr>
                <w:rFonts w:ascii="Arial Narrow" w:eastAsia="Calibri" w:hAnsi="Arial Narrow" w:cs="Arial"/>
                <w:b/>
                <w:sz w:val="20"/>
                <w:szCs w:val="20"/>
                <w:lang w:eastAsia="en-US"/>
              </w:rPr>
              <w:t xml:space="preserve">Concept ID </w:t>
            </w:r>
            <w:r w:rsidRPr="005D0D22">
              <w:rPr>
                <w:rFonts w:ascii="Arial Narrow" w:eastAsia="Calibri" w:hAnsi="Arial Narrow" w:cs="Arial"/>
                <w:sz w:val="20"/>
                <w:szCs w:val="20"/>
                <w:lang w:eastAsia="en-US"/>
              </w:rPr>
              <w:t>(for internal Dept. use)</w:t>
            </w:r>
          </w:p>
        </w:tc>
        <w:tc>
          <w:tcPr>
            <w:tcW w:w="7742"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411642C7" w14:textId="77777777" w:rsidR="00C40358" w:rsidRPr="005D0D22" w:rsidRDefault="00C40358">
            <w:pPr>
              <w:keepLines/>
              <w:spacing w:after="160"/>
              <w:contextualSpacing/>
              <w:jc w:val="left"/>
              <w:rPr>
                <w:rFonts w:ascii="Arial Narrow" w:eastAsia="Calibri" w:hAnsi="Arial Narrow" w:cs="Arial"/>
                <w:sz w:val="20"/>
                <w:szCs w:val="20"/>
                <w:lang w:eastAsia="en-US"/>
              </w:rPr>
            </w:pPr>
            <w:r w:rsidRPr="005D0D22">
              <w:rPr>
                <w:rFonts w:ascii="Arial Narrow" w:eastAsia="Calibri" w:hAnsi="Arial Narrow" w:cs="Arial"/>
                <w:b/>
                <w:sz w:val="20"/>
                <w:szCs w:val="20"/>
                <w:lang w:eastAsia="en-US"/>
              </w:rPr>
              <w:t>Category / Program:</w:t>
            </w:r>
            <w:r w:rsidRPr="005D0D22">
              <w:rPr>
                <w:rFonts w:ascii="Arial Narrow" w:eastAsia="Calibri" w:hAnsi="Arial Narrow" w:cs="Arial"/>
                <w:color w:val="FF0000"/>
                <w:sz w:val="20"/>
                <w:szCs w:val="20"/>
                <w:lang w:eastAsia="en-US"/>
              </w:rPr>
              <w:t xml:space="preserve"> </w:t>
            </w:r>
            <w:r w:rsidRPr="005D0D22">
              <w:rPr>
                <w:rFonts w:ascii="Arial Narrow" w:eastAsia="Calibri" w:hAnsi="Arial Narrow" w:cs="Arial"/>
                <w:sz w:val="20"/>
                <w:szCs w:val="20"/>
                <w:lang w:eastAsia="en-US"/>
              </w:rPr>
              <w:fldChar w:fldCharType="begin">
                <w:ffData>
                  <w:name w:val=""/>
                  <w:enabled/>
                  <w:calcOnExit w:val="0"/>
                  <w:checkBox>
                    <w:sizeAuto/>
                    <w:default w:val="1"/>
                  </w:checkBox>
                </w:ffData>
              </w:fldChar>
            </w:r>
            <w:r w:rsidRPr="005D0D22">
              <w:rPr>
                <w:rFonts w:ascii="Arial Narrow" w:eastAsia="Calibri" w:hAnsi="Arial Narrow" w:cs="Arial"/>
                <w:sz w:val="20"/>
                <w:szCs w:val="20"/>
                <w:lang w:eastAsia="en-US"/>
              </w:rPr>
              <w:instrText xml:space="preserve"> FORMCHECKBOX </w:instrText>
            </w:r>
            <w:r w:rsidRPr="005D0D22">
              <w:rPr>
                <w:rFonts w:ascii="Arial Narrow" w:eastAsia="Calibri" w:hAnsi="Arial Narrow" w:cs="Arial"/>
                <w:sz w:val="20"/>
                <w:szCs w:val="20"/>
                <w:lang w:eastAsia="en-US"/>
              </w:rPr>
            </w:r>
            <w:r w:rsidRPr="005D0D22">
              <w:rPr>
                <w:rFonts w:ascii="Arial Narrow" w:eastAsia="Calibri" w:hAnsi="Arial Narrow" w:cs="Arial"/>
                <w:sz w:val="20"/>
                <w:szCs w:val="20"/>
                <w:lang w:eastAsia="en-US"/>
              </w:rPr>
              <w:fldChar w:fldCharType="separate"/>
            </w:r>
            <w:r w:rsidRPr="005D0D22">
              <w:rPr>
                <w:rFonts w:ascii="Arial Narrow" w:eastAsia="Calibri" w:hAnsi="Arial Narrow" w:cs="Arial"/>
                <w:sz w:val="20"/>
                <w:szCs w:val="20"/>
                <w:lang w:eastAsia="en-US"/>
              </w:rPr>
              <w:fldChar w:fldCharType="end"/>
            </w:r>
            <w:r w:rsidRPr="005D0D22">
              <w:rPr>
                <w:rFonts w:ascii="Arial Narrow" w:eastAsia="Calibri" w:hAnsi="Arial Narrow" w:cs="Arial"/>
                <w:sz w:val="20"/>
                <w:szCs w:val="20"/>
                <w:lang w:eastAsia="en-US"/>
              </w:rPr>
              <w:t xml:space="preserve"> Section 100 – Highly Specialised Drugs Program – Public (Code HB)</w:t>
            </w:r>
            <w:r w:rsidRPr="005D0D22">
              <w:rPr>
                <w:rFonts w:ascii="Arial Narrow" w:eastAsia="Calibri" w:hAnsi="Arial Narrow" w:cs="Arial"/>
                <w:color w:val="FF0000"/>
                <w:sz w:val="20"/>
                <w:szCs w:val="20"/>
                <w:lang w:eastAsia="en-US"/>
              </w:rPr>
              <w:t xml:space="preserve"> </w:t>
            </w:r>
            <w:r w:rsidRPr="005D0D22">
              <w:rPr>
                <w:rFonts w:ascii="Arial Narrow" w:eastAsia="Calibri" w:hAnsi="Arial Narrow" w:cs="Arial"/>
                <w:sz w:val="20"/>
                <w:szCs w:val="20"/>
                <w:lang w:eastAsia="en-US"/>
              </w:rPr>
              <w:t>/ Private (Code HS)</w:t>
            </w:r>
          </w:p>
        </w:tc>
      </w:tr>
      <w:tr w:rsidR="00C40358" w:rsidRPr="005D0D22" w14:paraId="57F14F26" w14:textId="77777777">
        <w:trPr>
          <w:trHeight w:val="20"/>
        </w:trPr>
        <w:tc>
          <w:tcPr>
            <w:tcW w:w="1274" w:type="dxa"/>
            <w:gridSpan w:val="2"/>
            <w:vMerge/>
            <w:vAlign w:val="center"/>
            <w:hideMark/>
          </w:tcPr>
          <w:p w14:paraId="17764AB5" w14:textId="77777777" w:rsidR="00C40358" w:rsidRPr="005D0D22" w:rsidRDefault="00C40358">
            <w:pPr>
              <w:spacing w:line="256" w:lineRule="auto"/>
              <w:jc w:val="left"/>
              <w:rPr>
                <w:rFonts w:ascii="Arial Narrow" w:eastAsia="Calibri" w:hAnsi="Arial Narrow" w:cs="Arial"/>
                <w:b/>
                <w:sz w:val="20"/>
                <w:szCs w:val="20"/>
                <w:lang w:eastAsia="en-US"/>
              </w:rPr>
            </w:pPr>
          </w:p>
        </w:tc>
        <w:tc>
          <w:tcPr>
            <w:tcW w:w="7742"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301CB24F" w14:textId="380DCF87" w:rsidR="00C40358" w:rsidRPr="005D0D22" w:rsidRDefault="00C40358">
            <w:pPr>
              <w:keepLines/>
              <w:spacing w:after="160"/>
              <w:contextualSpacing/>
              <w:rPr>
                <w:rFonts w:ascii="Arial Narrow" w:eastAsia="Calibri" w:hAnsi="Arial Narrow" w:cs="Arial"/>
                <w:b/>
                <w:sz w:val="20"/>
                <w:szCs w:val="20"/>
                <w:lang w:eastAsia="en-US"/>
              </w:rPr>
            </w:pPr>
            <w:r w:rsidRPr="005D0D22">
              <w:rPr>
                <w:rFonts w:ascii="Arial Narrow" w:eastAsia="Calibri" w:hAnsi="Arial Narrow" w:cs="Arial"/>
                <w:b/>
                <w:sz w:val="20"/>
                <w:szCs w:val="20"/>
                <w:lang w:eastAsia="en-US"/>
              </w:rPr>
              <w:t xml:space="preserve">Prescriber type: </w:t>
            </w:r>
            <w:r w:rsidRPr="005D0D22">
              <w:rPr>
                <w:rFonts w:ascii="Arial Narrow" w:eastAsia="Calibri" w:hAnsi="Arial Narrow" w:cs="Arial"/>
                <w:sz w:val="20"/>
                <w:szCs w:val="20"/>
                <w:lang w:eastAsia="en-US"/>
              </w:rPr>
              <w:fldChar w:fldCharType="begin">
                <w:ffData>
                  <w:name w:val=""/>
                  <w:enabled/>
                  <w:calcOnExit w:val="0"/>
                  <w:checkBox>
                    <w:sizeAuto/>
                    <w:default w:val="1"/>
                  </w:checkBox>
                </w:ffData>
              </w:fldChar>
            </w:r>
            <w:r w:rsidRPr="005D0D22">
              <w:rPr>
                <w:rFonts w:ascii="Arial Narrow" w:eastAsia="Calibri" w:hAnsi="Arial Narrow" w:cs="Arial"/>
                <w:sz w:val="20"/>
                <w:szCs w:val="20"/>
                <w:lang w:eastAsia="en-US"/>
              </w:rPr>
              <w:instrText xml:space="preserve"> FORMCHECKBOX </w:instrText>
            </w:r>
            <w:r w:rsidRPr="005D0D22">
              <w:rPr>
                <w:rFonts w:ascii="Arial Narrow" w:eastAsia="Calibri" w:hAnsi="Arial Narrow" w:cs="Arial"/>
                <w:sz w:val="20"/>
                <w:szCs w:val="20"/>
                <w:lang w:eastAsia="en-US"/>
              </w:rPr>
            </w:r>
            <w:r w:rsidRPr="005D0D22">
              <w:rPr>
                <w:rFonts w:ascii="Arial Narrow" w:eastAsia="Calibri" w:hAnsi="Arial Narrow" w:cs="Arial"/>
                <w:sz w:val="20"/>
                <w:szCs w:val="20"/>
                <w:lang w:eastAsia="en-US"/>
              </w:rPr>
              <w:fldChar w:fldCharType="separate"/>
            </w:r>
            <w:r w:rsidRPr="005D0D22">
              <w:rPr>
                <w:rFonts w:ascii="Arial Narrow" w:eastAsia="Calibri" w:hAnsi="Arial Narrow" w:cs="Arial"/>
                <w:sz w:val="20"/>
                <w:szCs w:val="20"/>
                <w:lang w:eastAsia="en-US"/>
              </w:rPr>
              <w:fldChar w:fldCharType="end"/>
            </w:r>
            <w:r w:rsidR="00923B02">
              <w:rPr>
                <w:rFonts w:ascii="Arial Narrow" w:eastAsia="Calibri" w:hAnsi="Arial Narrow" w:cs="Arial"/>
                <w:sz w:val="20"/>
                <w:szCs w:val="20"/>
                <w:lang w:eastAsia="en-US"/>
              </w:rPr>
              <w:t xml:space="preserve"> </w:t>
            </w:r>
            <w:r w:rsidRPr="005D0D22">
              <w:rPr>
                <w:rFonts w:ascii="Arial Narrow" w:eastAsia="Calibri" w:hAnsi="Arial Narrow" w:cs="Arial"/>
                <w:sz w:val="20"/>
                <w:szCs w:val="20"/>
                <w:lang w:eastAsia="en-US"/>
              </w:rPr>
              <w:t xml:space="preserve">Medical Practitioners </w:t>
            </w:r>
          </w:p>
        </w:tc>
      </w:tr>
      <w:tr w:rsidR="00C40358" w:rsidRPr="005D0D22" w14:paraId="3F0E317A" w14:textId="77777777">
        <w:trPr>
          <w:trHeight w:val="20"/>
        </w:trPr>
        <w:tc>
          <w:tcPr>
            <w:tcW w:w="1274" w:type="dxa"/>
            <w:gridSpan w:val="2"/>
            <w:vMerge/>
            <w:vAlign w:val="center"/>
            <w:hideMark/>
          </w:tcPr>
          <w:p w14:paraId="5F764576" w14:textId="77777777" w:rsidR="00C40358" w:rsidRPr="005D0D22" w:rsidRDefault="00C40358">
            <w:pPr>
              <w:spacing w:line="256" w:lineRule="auto"/>
              <w:jc w:val="left"/>
              <w:rPr>
                <w:rFonts w:ascii="Arial Narrow" w:eastAsia="Calibri" w:hAnsi="Arial Narrow" w:cs="Arial"/>
                <w:b/>
                <w:sz w:val="20"/>
                <w:szCs w:val="20"/>
                <w:lang w:eastAsia="en-US"/>
              </w:rPr>
            </w:pPr>
          </w:p>
        </w:tc>
        <w:tc>
          <w:tcPr>
            <w:tcW w:w="7742"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5753A5D8" w14:textId="5A9DCC54" w:rsidR="00C40358" w:rsidRPr="005D0D22" w:rsidRDefault="00C40358">
            <w:pPr>
              <w:keepLines/>
              <w:spacing w:after="160"/>
              <w:contextualSpacing/>
              <w:jc w:val="left"/>
              <w:rPr>
                <w:rFonts w:ascii="Arial Narrow" w:eastAsia="Calibri" w:hAnsi="Arial Narrow" w:cs="Arial"/>
                <w:b/>
                <w:sz w:val="20"/>
                <w:szCs w:val="20"/>
                <w:lang w:eastAsia="en-US"/>
              </w:rPr>
            </w:pPr>
            <w:r w:rsidRPr="005D0D22">
              <w:rPr>
                <w:rFonts w:ascii="Arial Narrow" w:eastAsia="Calibri" w:hAnsi="Arial Narrow" w:cs="Arial"/>
                <w:b/>
                <w:sz w:val="20"/>
                <w:szCs w:val="20"/>
                <w:lang w:eastAsia="en-US"/>
              </w:rPr>
              <w:t xml:space="preserve">Restriction type: </w:t>
            </w:r>
            <w:r w:rsidRPr="005D0D22">
              <w:rPr>
                <w:rFonts w:ascii="Arial Narrow" w:eastAsia="Calibri" w:hAnsi="Arial Narrow" w:cs="Arial"/>
                <w:sz w:val="20"/>
                <w:szCs w:val="20"/>
                <w:lang w:eastAsia="en-US"/>
              </w:rPr>
              <w:fldChar w:fldCharType="begin">
                <w:ffData>
                  <w:name w:val=""/>
                  <w:enabled/>
                  <w:calcOnExit w:val="0"/>
                  <w:checkBox>
                    <w:sizeAuto/>
                    <w:default w:val="1"/>
                  </w:checkBox>
                </w:ffData>
              </w:fldChar>
            </w:r>
            <w:r w:rsidRPr="005D0D22">
              <w:rPr>
                <w:rFonts w:ascii="Arial Narrow" w:eastAsia="Calibri" w:hAnsi="Arial Narrow" w:cs="Arial"/>
                <w:sz w:val="20"/>
                <w:szCs w:val="20"/>
                <w:lang w:eastAsia="en-US"/>
              </w:rPr>
              <w:instrText xml:space="preserve"> FORMCHECKBOX </w:instrText>
            </w:r>
            <w:r w:rsidRPr="005D0D22">
              <w:rPr>
                <w:rFonts w:ascii="Arial Narrow" w:eastAsia="Calibri" w:hAnsi="Arial Narrow" w:cs="Arial"/>
                <w:sz w:val="20"/>
                <w:szCs w:val="20"/>
                <w:lang w:eastAsia="en-US"/>
              </w:rPr>
            </w:r>
            <w:r w:rsidRPr="005D0D22">
              <w:rPr>
                <w:rFonts w:ascii="Arial Narrow" w:eastAsia="Calibri" w:hAnsi="Arial Narrow" w:cs="Arial"/>
                <w:sz w:val="20"/>
                <w:szCs w:val="20"/>
                <w:lang w:eastAsia="en-US"/>
              </w:rPr>
              <w:fldChar w:fldCharType="separate"/>
            </w:r>
            <w:r w:rsidRPr="005D0D22">
              <w:rPr>
                <w:rFonts w:ascii="Arial Narrow" w:eastAsia="Calibri" w:hAnsi="Arial Narrow" w:cs="Arial"/>
                <w:sz w:val="20"/>
                <w:szCs w:val="20"/>
                <w:lang w:eastAsia="en-US"/>
              </w:rPr>
              <w:fldChar w:fldCharType="end"/>
            </w:r>
            <w:r w:rsidR="00923B02">
              <w:rPr>
                <w:rFonts w:ascii="Arial Narrow" w:eastAsia="Calibri" w:hAnsi="Arial Narrow" w:cs="Arial"/>
                <w:sz w:val="20"/>
                <w:szCs w:val="20"/>
                <w:lang w:eastAsia="en-US"/>
              </w:rPr>
              <w:t xml:space="preserve"> </w:t>
            </w:r>
            <w:r w:rsidRPr="005D0D22">
              <w:rPr>
                <w:rFonts w:ascii="Arial Narrow" w:eastAsia="Calibri" w:hAnsi="Arial Narrow" w:cs="Arial"/>
                <w:sz w:val="20"/>
                <w:szCs w:val="20"/>
                <w:lang w:eastAsia="en-US"/>
              </w:rPr>
              <w:t>Authority Required (</w:t>
            </w:r>
            <w:r>
              <w:rPr>
                <w:rFonts w:ascii="Arial Narrow" w:eastAsia="Calibri" w:hAnsi="Arial Narrow" w:cs="Arial"/>
                <w:sz w:val="20"/>
                <w:szCs w:val="20"/>
                <w:lang w:eastAsia="en-US"/>
              </w:rPr>
              <w:t xml:space="preserve">Written/Online </w:t>
            </w:r>
            <w:r w:rsidR="00AF0956">
              <w:rPr>
                <w:rFonts w:ascii="Arial Narrow" w:eastAsia="Calibri" w:hAnsi="Arial Narrow" w:cs="Arial"/>
                <w:sz w:val="20"/>
                <w:szCs w:val="20"/>
                <w:lang w:eastAsia="en-US"/>
              </w:rPr>
              <w:noBreakHyphen/>
            </w:r>
            <w:r>
              <w:rPr>
                <w:rFonts w:ascii="Arial Narrow" w:eastAsia="Calibri" w:hAnsi="Arial Narrow" w:cs="Arial"/>
                <w:sz w:val="20"/>
                <w:szCs w:val="20"/>
                <w:lang w:eastAsia="en-US"/>
              </w:rPr>
              <w:t xml:space="preserve"> Immediate</w:t>
            </w:r>
            <w:r w:rsidRPr="005D0D22">
              <w:rPr>
                <w:rFonts w:ascii="Arial Narrow" w:eastAsia="Calibri" w:hAnsi="Arial Narrow" w:cs="Arial"/>
                <w:sz w:val="20"/>
                <w:szCs w:val="20"/>
                <w:lang w:eastAsia="en-US"/>
              </w:rPr>
              <w:t xml:space="preserve"> assessment) </w:t>
            </w:r>
          </w:p>
        </w:tc>
      </w:tr>
      <w:tr w:rsidR="00C40358" w:rsidRPr="005D0D22" w14:paraId="4954E83F" w14:textId="77777777">
        <w:trPr>
          <w:trHeight w:val="20"/>
        </w:trPr>
        <w:tc>
          <w:tcPr>
            <w:tcW w:w="1274" w:type="dxa"/>
            <w:gridSpan w:val="2"/>
            <w:vMerge/>
            <w:vAlign w:val="center"/>
            <w:hideMark/>
          </w:tcPr>
          <w:p w14:paraId="1E8CDF47" w14:textId="77777777" w:rsidR="00C40358" w:rsidRPr="005D0D22" w:rsidRDefault="00C40358">
            <w:pPr>
              <w:spacing w:line="256" w:lineRule="auto"/>
              <w:jc w:val="left"/>
              <w:rPr>
                <w:rFonts w:ascii="Arial Narrow" w:eastAsia="Calibri" w:hAnsi="Arial Narrow" w:cs="Arial"/>
                <w:b/>
                <w:sz w:val="20"/>
                <w:szCs w:val="20"/>
                <w:lang w:eastAsia="en-US"/>
              </w:rPr>
            </w:pPr>
          </w:p>
        </w:tc>
        <w:tc>
          <w:tcPr>
            <w:tcW w:w="7742"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1D5E64FC" w14:textId="77777777" w:rsidR="00C40358" w:rsidRPr="005D0D22" w:rsidRDefault="00C40358">
            <w:pPr>
              <w:keepLines/>
              <w:spacing w:after="160"/>
              <w:contextualSpacing/>
              <w:jc w:val="left"/>
              <w:rPr>
                <w:rFonts w:ascii="Arial Narrow" w:eastAsia="Calibri" w:hAnsi="Arial Narrow" w:cs="Arial"/>
                <w:b/>
                <w:color w:val="FF0000"/>
                <w:sz w:val="20"/>
                <w:szCs w:val="20"/>
                <w:lang w:eastAsia="en-US"/>
              </w:rPr>
            </w:pPr>
            <w:r w:rsidRPr="005D0D22">
              <w:rPr>
                <w:rFonts w:ascii="Arial Narrow" w:eastAsia="Calibri" w:hAnsi="Arial Narrow" w:cs="Arial"/>
                <w:b/>
                <w:sz w:val="20"/>
                <w:szCs w:val="20"/>
                <w:lang w:eastAsia="en-US"/>
              </w:rPr>
              <w:t xml:space="preserve">Authority type: </w:t>
            </w:r>
            <w:r w:rsidRPr="005D0D22">
              <w:rPr>
                <w:rFonts w:ascii="Arial Narrow" w:eastAsia="Calibri" w:hAnsi="Arial Narrow" w:cs="Arial"/>
                <w:sz w:val="20"/>
                <w:szCs w:val="20"/>
                <w:lang w:eastAsia="en-US"/>
              </w:rPr>
              <w:fldChar w:fldCharType="begin">
                <w:ffData>
                  <w:name w:val=""/>
                  <w:enabled/>
                  <w:calcOnExit w:val="0"/>
                  <w:checkBox>
                    <w:sizeAuto/>
                    <w:default w:val="1"/>
                  </w:checkBox>
                </w:ffData>
              </w:fldChar>
            </w:r>
            <w:r w:rsidRPr="005D0D22">
              <w:rPr>
                <w:rFonts w:ascii="Arial Narrow" w:eastAsia="Calibri" w:hAnsi="Arial Narrow" w:cs="Arial"/>
                <w:sz w:val="20"/>
                <w:szCs w:val="20"/>
                <w:lang w:eastAsia="en-US"/>
              </w:rPr>
              <w:instrText xml:space="preserve"> FORMCHECKBOX </w:instrText>
            </w:r>
            <w:r w:rsidRPr="005D0D22">
              <w:rPr>
                <w:rFonts w:ascii="Arial Narrow" w:eastAsia="Calibri" w:hAnsi="Arial Narrow" w:cs="Arial"/>
                <w:sz w:val="20"/>
                <w:szCs w:val="20"/>
                <w:lang w:eastAsia="en-US"/>
              </w:rPr>
            </w:r>
            <w:r w:rsidRPr="005D0D22">
              <w:rPr>
                <w:rFonts w:ascii="Arial Narrow" w:eastAsia="Calibri" w:hAnsi="Arial Narrow" w:cs="Arial"/>
                <w:sz w:val="20"/>
                <w:szCs w:val="20"/>
                <w:lang w:eastAsia="en-US"/>
              </w:rPr>
              <w:fldChar w:fldCharType="separate"/>
            </w:r>
            <w:r w:rsidRPr="005D0D22">
              <w:rPr>
                <w:rFonts w:ascii="Arial Narrow" w:eastAsia="Calibri" w:hAnsi="Arial Narrow" w:cs="Arial"/>
                <w:sz w:val="20"/>
                <w:szCs w:val="20"/>
                <w:lang w:eastAsia="en-US"/>
              </w:rPr>
              <w:fldChar w:fldCharType="end"/>
            </w:r>
            <w:r w:rsidRPr="005D0D22">
              <w:rPr>
                <w:rFonts w:ascii="Arial Narrow" w:eastAsia="Calibri" w:hAnsi="Arial Narrow" w:cs="Arial"/>
                <w:sz w:val="20"/>
                <w:szCs w:val="20"/>
                <w:lang w:eastAsia="en-US"/>
              </w:rPr>
              <w:t xml:space="preserve"> Complex Authority Required (CAR)</w:t>
            </w:r>
          </w:p>
        </w:tc>
      </w:tr>
      <w:tr w:rsidR="00C40358" w:rsidRPr="005D0D22" w14:paraId="5E188C8E" w14:textId="77777777">
        <w:trPr>
          <w:trHeight w:val="300"/>
        </w:trPr>
        <w:tc>
          <w:tcPr>
            <w:tcW w:w="491" w:type="dxa"/>
            <w:vMerge w:val="restart"/>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extDirection w:val="btLr"/>
            <w:vAlign w:val="center"/>
            <w:hideMark/>
          </w:tcPr>
          <w:p w14:paraId="595E846A" w14:textId="77777777" w:rsidR="00C40358" w:rsidRPr="005D0D22" w:rsidRDefault="00C40358">
            <w:pPr>
              <w:jc w:val="center"/>
              <w:rPr>
                <w:rFonts w:ascii="Arial Narrow" w:eastAsia="Aptos" w:hAnsi="Arial Narrow" w:cs="Arial"/>
                <w:kern w:val="2"/>
                <w:sz w:val="16"/>
                <w:szCs w:val="16"/>
                <w:lang w:eastAsia="en-US"/>
                <w14:ligatures w14:val="standardContextual"/>
              </w:rPr>
            </w:pPr>
            <w:r w:rsidRPr="005D0D22">
              <w:rPr>
                <w:rFonts w:ascii="Arial Narrow" w:eastAsia="Aptos" w:hAnsi="Arial Narrow" w:cs="Arial"/>
                <w:kern w:val="2"/>
                <w:sz w:val="20"/>
                <w:szCs w:val="20"/>
                <w:lang w:eastAsia="en-US"/>
                <w14:ligatures w14:val="standardContextual"/>
              </w:rPr>
              <w:t>Prescribing rule level</w:t>
            </w:r>
          </w:p>
        </w:tc>
        <w:tc>
          <w:tcPr>
            <w:tcW w:w="783"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1A0AB3F2" w14:textId="2E19780E" w:rsidR="00C40358" w:rsidRPr="005D0D22" w:rsidRDefault="00C40358">
            <w:pPr>
              <w:jc w:val="center"/>
              <w:rPr>
                <w:rFonts w:ascii="Arial Narrow" w:hAnsi="Arial Narrow"/>
                <w:iCs/>
                <w:kern w:val="2"/>
                <w:sz w:val="20"/>
                <w:szCs w:val="20"/>
                <w14:ligatures w14:val="standardContextual"/>
              </w:rPr>
            </w:pPr>
          </w:p>
        </w:tc>
        <w:tc>
          <w:tcPr>
            <w:tcW w:w="7742"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27A611CC" w14:textId="77777777" w:rsidR="00C40358" w:rsidRPr="005D0D22" w:rsidRDefault="00C40358">
            <w:pPr>
              <w:spacing w:after="160"/>
              <w:contextualSpacing/>
              <w:jc w:val="left"/>
              <w:rPr>
                <w:rFonts w:ascii="Arial Narrow" w:hAnsi="Arial Narrow"/>
                <w:iCs/>
                <w:color w:val="000000"/>
                <w:sz w:val="20"/>
                <w:szCs w:val="20"/>
              </w:rPr>
            </w:pPr>
            <w:r w:rsidRPr="005D0D22">
              <w:rPr>
                <w:rFonts w:ascii="Arial Narrow" w:hAnsi="Arial Narrow"/>
                <w:b/>
                <w:bCs/>
                <w:iCs/>
                <w:color w:val="000000"/>
                <w:sz w:val="20"/>
                <w:szCs w:val="20"/>
              </w:rPr>
              <w:t xml:space="preserve">Administrative Advice: </w:t>
            </w:r>
          </w:p>
          <w:p w14:paraId="29059282" w14:textId="77777777" w:rsidR="00C40358" w:rsidRPr="005D0D22" w:rsidRDefault="00C40358">
            <w:pPr>
              <w:spacing w:after="160"/>
              <w:contextualSpacing/>
              <w:jc w:val="left"/>
              <w:rPr>
                <w:rFonts w:ascii="Arial Narrow" w:hAnsi="Arial Narrow"/>
                <w:iCs/>
                <w:color w:val="000000"/>
                <w:sz w:val="20"/>
                <w:szCs w:val="20"/>
              </w:rPr>
            </w:pPr>
            <w:r w:rsidRPr="005D0D22">
              <w:rPr>
                <w:rFonts w:ascii="Arial Narrow" w:hAnsi="Arial Narrow"/>
                <w:iCs/>
                <w:color w:val="000000"/>
                <w:sz w:val="20"/>
                <w:szCs w:val="20"/>
              </w:rPr>
              <w:t>Definitions for the purposes of administering this restriction.</w:t>
            </w:r>
          </w:p>
          <w:p w14:paraId="55D23F12" w14:textId="77777777" w:rsidR="00C40358" w:rsidRPr="005D0D22" w:rsidRDefault="00C40358">
            <w:pPr>
              <w:spacing w:after="160"/>
              <w:contextualSpacing/>
              <w:jc w:val="left"/>
              <w:rPr>
                <w:rFonts w:ascii="Arial Narrow" w:hAnsi="Arial Narrow"/>
                <w:iCs/>
                <w:color w:val="000000"/>
                <w:sz w:val="20"/>
                <w:szCs w:val="20"/>
              </w:rPr>
            </w:pPr>
          </w:p>
          <w:p w14:paraId="7DCA7811" w14:textId="77777777" w:rsidR="00C40358" w:rsidRPr="005D0D22" w:rsidRDefault="00C40358">
            <w:pPr>
              <w:spacing w:after="160"/>
              <w:contextualSpacing/>
              <w:jc w:val="left"/>
              <w:rPr>
                <w:rFonts w:ascii="Arial Narrow" w:hAnsi="Arial Narrow"/>
                <w:iCs/>
                <w:color w:val="000000"/>
                <w:sz w:val="20"/>
                <w:szCs w:val="20"/>
              </w:rPr>
            </w:pPr>
            <w:r w:rsidRPr="005D0D22">
              <w:rPr>
                <w:rFonts w:ascii="Arial Narrow" w:hAnsi="Arial Narrow"/>
                <w:iCs/>
                <w:color w:val="000000"/>
                <w:sz w:val="20"/>
                <w:szCs w:val="20"/>
              </w:rPr>
              <w:t xml:space="preserve">Where the term </w:t>
            </w:r>
            <w:r w:rsidRPr="005D0D22">
              <w:rPr>
                <w:rFonts w:ascii="Arial Narrow" w:hAnsi="Arial Narrow"/>
                <w:b/>
                <w:bCs/>
                <w:iCs/>
                <w:color w:val="000000"/>
                <w:sz w:val="20"/>
                <w:szCs w:val="20"/>
              </w:rPr>
              <w:t>‘gMG biological agent’</w:t>
            </w:r>
            <w:r w:rsidRPr="005D0D22">
              <w:rPr>
                <w:rFonts w:ascii="Arial Narrow" w:hAnsi="Arial Narrow"/>
                <w:iCs/>
                <w:color w:val="000000"/>
                <w:sz w:val="20"/>
                <w:szCs w:val="20"/>
              </w:rPr>
              <w:t xml:space="preserve"> is referenced in this restriction, it refers to efgartigimod alfa, ravulizumab, rozanolixizumab, and zilucoplan.</w:t>
            </w:r>
          </w:p>
          <w:p w14:paraId="5B6D1EE8" w14:textId="77777777" w:rsidR="00C40358" w:rsidRPr="005D0D22" w:rsidRDefault="00C40358">
            <w:pPr>
              <w:spacing w:after="160"/>
              <w:contextualSpacing/>
              <w:jc w:val="left"/>
              <w:rPr>
                <w:rFonts w:ascii="Arial Narrow" w:hAnsi="Arial Narrow"/>
                <w:iCs/>
                <w:color w:val="000000"/>
                <w:sz w:val="20"/>
                <w:szCs w:val="20"/>
              </w:rPr>
            </w:pPr>
          </w:p>
          <w:p w14:paraId="04479881" w14:textId="77777777" w:rsidR="00C40358" w:rsidRPr="005D0D22" w:rsidRDefault="00C40358">
            <w:pPr>
              <w:spacing w:after="160"/>
              <w:contextualSpacing/>
              <w:jc w:val="left"/>
              <w:rPr>
                <w:rFonts w:ascii="Arial Narrow" w:hAnsi="Arial Narrow"/>
                <w:iCs/>
                <w:color w:val="000000"/>
                <w:sz w:val="20"/>
                <w:szCs w:val="20"/>
              </w:rPr>
            </w:pPr>
            <w:r w:rsidRPr="005D0D22">
              <w:rPr>
                <w:rFonts w:ascii="Arial Narrow" w:hAnsi="Arial Narrow"/>
                <w:iCs/>
                <w:color w:val="000000"/>
                <w:sz w:val="20"/>
                <w:szCs w:val="20"/>
              </w:rPr>
              <w:t>The following are settings where a gMG biological agent are PBS subsidised:</w:t>
            </w:r>
          </w:p>
          <w:p w14:paraId="49B247C2" w14:textId="149AEBB9" w:rsidR="00C40358" w:rsidRPr="005D0D22" w:rsidRDefault="00945B6B" w:rsidP="00ED248B">
            <w:pPr>
              <w:numPr>
                <w:ilvl w:val="0"/>
                <w:numId w:val="12"/>
              </w:numPr>
              <w:spacing w:after="160" w:line="256" w:lineRule="auto"/>
              <w:contextualSpacing/>
              <w:jc w:val="left"/>
              <w:rPr>
                <w:rFonts w:ascii="Arial Narrow" w:hAnsi="Arial Narrow"/>
                <w:iCs/>
                <w:color w:val="000000"/>
                <w:sz w:val="20"/>
                <w:szCs w:val="20"/>
              </w:rPr>
            </w:pPr>
            <w:r>
              <w:rPr>
                <w:rFonts w:ascii="Arial Narrow" w:hAnsi="Arial Narrow"/>
                <w:iCs/>
                <w:color w:val="000000"/>
                <w:sz w:val="20"/>
                <w:szCs w:val="20"/>
              </w:rPr>
              <w:t>three</w:t>
            </w:r>
            <w:r w:rsidR="00C40358" w:rsidRPr="005D0D22">
              <w:rPr>
                <w:rFonts w:ascii="Arial Narrow" w:hAnsi="Arial Narrow"/>
                <w:iCs/>
                <w:color w:val="000000"/>
                <w:sz w:val="20"/>
                <w:szCs w:val="20"/>
              </w:rPr>
              <w:t xml:space="preserve"> months of acute treatment </w:t>
            </w:r>
            <w:r w:rsidR="00AF0956">
              <w:rPr>
                <w:rFonts w:ascii="Arial Narrow" w:hAnsi="Arial Narrow"/>
                <w:iCs/>
                <w:color w:val="000000"/>
                <w:sz w:val="20"/>
                <w:szCs w:val="20"/>
              </w:rPr>
              <w:noBreakHyphen/>
            </w:r>
            <w:r w:rsidR="00C40358" w:rsidRPr="005D0D22">
              <w:rPr>
                <w:rFonts w:ascii="Arial Narrow" w:hAnsi="Arial Narrow"/>
                <w:iCs/>
                <w:color w:val="000000"/>
                <w:sz w:val="20"/>
                <w:szCs w:val="20"/>
              </w:rPr>
              <w:t xml:space="preserve"> ‘acute severe gMG’ </w:t>
            </w:r>
          </w:p>
          <w:p w14:paraId="5777AE79" w14:textId="5C363C47" w:rsidR="00C40358" w:rsidRPr="005D0D22" w:rsidRDefault="00945B6B" w:rsidP="00ED248B">
            <w:pPr>
              <w:numPr>
                <w:ilvl w:val="0"/>
                <w:numId w:val="12"/>
              </w:numPr>
              <w:spacing w:after="160" w:line="256" w:lineRule="auto"/>
              <w:contextualSpacing/>
              <w:jc w:val="left"/>
              <w:rPr>
                <w:rFonts w:ascii="Arial Narrow" w:hAnsi="Arial Narrow"/>
                <w:iCs/>
                <w:color w:val="000000"/>
                <w:sz w:val="20"/>
                <w:szCs w:val="20"/>
              </w:rPr>
            </w:pPr>
            <w:r>
              <w:rPr>
                <w:rFonts w:ascii="Arial Narrow" w:hAnsi="Arial Narrow"/>
                <w:iCs/>
                <w:color w:val="000000"/>
                <w:sz w:val="20"/>
                <w:szCs w:val="20"/>
              </w:rPr>
              <w:t>six</w:t>
            </w:r>
            <w:r w:rsidR="00C40358" w:rsidRPr="005D0D22">
              <w:rPr>
                <w:rFonts w:ascii="Arial Narrow" w:hAnsi="Arial Narrow"/>
                <w:iCs/>
                <w:color w:val="000000"/>
                <w:sz w:val="20"/>
                <w:szCs w:val="20"/>
              </w:rPr>
              <w:t xml:space="preserve"> months of bridging therapy </w:t>
            </w:r>
            <w:r w:rsidR="00AF0956">
              <w:rPr>
                <w:rFonts w:ascii="Arial Narrow" w:hAnsi="Arial Narrow"/>
                <w:iCs/>
                <w:color w:val="000000"/>
                <w:sz w:val="20"/>
                <w:szCs w:val="20"/>
              </w:rPr>
              <w:noBreakHyphen/>
            </w:r>
            <w:r w:rsidR="00C40358" w:rsidRPr="005D0D22">
              <w:rPr>
                <w:rFonts w:ascii="Arial Narrow" w:hAnsi="Arial Narrow"/>
                <w:iCs/>
                <w:color w:val="000000"/>
                <w:sz w:val="20"/>
                <w:szCs w:val="20"/>
              </w:rPr>
              <w:t xml:space="preserve"> ‘bridging therapy for gMG’ </w:t>
            </w:r>
          </w:p>
          <w:p w14:paraId="256D3F5C" w14:textId="2655C3EB" w:rsidR="00C40358" w:rsidRPr="005D0D22" w:rsidRDefault="00C40358" w:rsidP="00ED248B">
            <w:pPr>
              <w:numPr>
                <w:ilvl w:val="0"/>
                <w:numId w:val="12"/>
              </w:numPr>
              <w:spacing w:after="160" w:line="256" w:lineRule="auto"/>
              <w:contextualSpacing/>
              <w:jc w:val="left"/>
              <w:rPr>
                <w:rFonts w:ascii="Arial Narrow" w:hAnsi="Arial Narrow"/>
                <w:iCs/>
                <w:color w:val="000000"/>
                <w:sz w:val="20"/>
                <w:szCs w:val="20"/>
              </w:rPr>
            </w:pPr>
            <w:r w:rsidRPr="005D0D22">
              <w:rPr>
                <w:rFonts w:ascii="Arial Narrow" w:hAnsi="Arial Narrow"/>
                <w:iCs/>
                <w:color w:val="000000"/>
                <w:sz w:val="20"/>
                <w:szCs w:val="20"/>
              </w:rPr>
              <w:t xml:space="preserve">Continuous therapy </w:t>
            </w:r>
            <w:r w:rsidR="00AF0956">
              <w:rPr>
                <w:rFonts w:ascii="Arial Narrow" w:hAnsi="Arial Narrow"/>
                <w:iCs/>
                <w:color w:val="000000"/>
                <w:sz w:val="20"/>
                <w:szCs w:val="20"/>
              </w:rPr>
              <w:noBreakHyphen/>
            </w:r>
            <w:r w:rsidRPr="005D0D22">
              <w:rPr>
                <w:rFonts w:ascii="Arial Narrow" w:hAnsi="Arial Narrow"/>
                <w:iCs/>
                <w:color w:val="000000"/>
                <w:sz w:val="20"/>
                <w:szCs w:val="20"/>
              </w:rPr>
              <w:t xml:space="preserve"> ‘treatment refractory gMG’</w:t>
            </w:r>
          </w:p>
          <w:p w14:paraId="6B24795F" w14:textId="77777777" w:rsidR="00C40358" w:rsidRPr="009C1AA2" w:rsidRDefault="00C40358">
            <w:pPr>
              <w:contextualSpacing/>
              <w:jc w:val="left"/>
              <w:rPr>
                <w:rFonts w:ascii="Arial Narrow" w:hAnsi="Arial Narrow"/>
                <w:color w:val="000000"/>
                <w:sz w:val="20"/>
                <w:szCs w:val="20"/>
              </w:rPr>
            </w:pPr>
            <w:r w:rsidRPr="74EB87D5">
              <w:rPr>
                <w:rFonts w:ascii="Arial Narrow" w:hAnsi="Arial Narrow"/>
                <w:color w:val="000000" w:themeColor="text1"/>
                <w:sz w:val="20"/>
                <w:szCs w:val="20"/>
              </w:rPr>
              <w:t>A patient may transition sequentially from one setting to another where all criteria are met e.g. (1) to (2) to (3</w:t>
            </w:r>
            <w:bookmarkStart w:id="17" w:name="_Int_Vk8dEJYQ"/>
            <w:r w:rsidRPr="74EB87D5">
              <w:rPr>
                <w:rFonts w:ascii="Arial Narrow" w:hAnsi="Arial Narrow"/>
                <w:color w:val="000000" w:themeColor="text1"/>
                <w:sz w:val="20"/>
                <w:szCs w:val="20"/>
              </w:rPr>
              <w:t>), but</w:t>
            </w:r>
            <w:bookmarkEnd w:id="17"/>
            <w:r w:rsidRPr="74EB87D5">
              <w:rPr>
                <w:rFonts w:ascii="Arial Narrow" w:hAnsi="Arial Narrow"/>
                <w:color w:val="000000" w:themeColor="text1"/>
                <w:sz w:val="20"/>
                <w:szCs w:val="20"/>
              </w:rPr>
              <w:t xml:space="preserve"> cannot return to an earlier treatment setting. </w:t>
            </w:r>
          </w:p>
          <w:p w14:paraId="71512041" w14:textId="77777777" w:rsidR="00C40358" w:rsidRDefault="00C40358">
            <w:pPr>
              <w:spacing w:after="160"/>
              <w:contextualSpacing/>
              <w:jc w:val="left"/>
              <w:rPr>
                <w:rFonts w:ascii="Arial Narrow" w:hAnsi="Arial Narrow"/>
                <w:b/>
                <w:bCs/>
                <w:iCs/>
                <w:color w:val="000000"/>
                <w:sz w:val="20"/>
                <w:szCs w:val="20"/>
              </w:rPr>
            </w:pPr>
          </w:p>
          <w:p w14:paraId="504F496F" w14:textId="77777777" w:rsidR="00C40358" w:rsidRPr="005D0D22" w:rsidRDefault="00C40358">
            <w:pPr>
              <w:spacing w:after="160"/>
              <w:contextualSpacing/>
              <w:jc w:val="left"/>
              <w:rPr>
                <w:rFonts w:ascii="Arial Narrow" w:hAnsi="Arial Narrow"/>
                <w:b/>
                <w:bCs/>
                <w:iCs/>
                <w:color w:val="000000"/>
                <w:sz w:val="20"/>
                <w:szCs w:val="20"/>
              </w:rPr>
            </w:pPr>
            <w:r w:rsidRPr="005D0D22">
              <w:rPr>
                <w:rFonts w:ascii="Arial Narrow" w:hAnsi="Arial Narrow"/>
                <w:b/>
                <w:bCs/>
                <w:iCs/>
                <w:color w:val="000000"/>
                <w:sz w:val="20"/>
                <w:szCs w:val="20"/>
              </w:rPr>
              <w:t>Definitions:</w:t>
            </w:r>
          </w:p>
          <w:p w14:paraId="0CC10FDA" w14:textId="759DD774" w:rsidR="00C40358" w:rsidRPr="005D0D22" w:rsidRDefault="00C40358">
            <w:pPr>
              <w:spacing w:after="160"/>
              <w:contextualSpacing/>
              <w:jc w:val="left"/>
              <w:rPr>
                <w:rFonts w:ascii="Arial Narrow" w:hAnsi="Arial Narrow"/>
                <w:iCs/>
                <w:color w:val="000000"/>
                <w:sz w:val="20"/>
                <w:szCs w:val="20"/>
              </w:rPr>
            </w:pPr>
            <w:r w:rsidRPr="005D0D22">
              <w:rPr>
                <w:rFonts w:ascii="Arial Narrow" w:hAnsi="Arial Narrow"/>
                <w:iCs/>
                <w:color w:val="000000"/>
                <w:sz w:val="20"/>
                <w:szCs w:val="20"/>
              </w:rPr>
              <w:t>A non</w:t>
            </w:r>
            <w:r w:rsidR="00AF0956">
              <w:rPr>
                <w:rFonts w:ascii="Arial Narrow" w:hAnsi="Arial Narrow"/>
                <w:iCs/>
                <w:color w:val="000000"/>
                <w:sz w:val="20"/>
                <w:szCs w:val="20"/>
              </w:rPr>
              <w:noBreakHyphen/>
            </w:r>
            <w:r w:rsidRPr="005D0D22">
              <w:rPr>
                <w:rFonts w:ascii="Arial Narrow" w:hAnsi="Arial Narrow"/>
                <w:iCs/>
                <w:color w:val="000000"/>
                <w:sz w:val="20"/>
                <w:szCs w:val="20"/>
              </w:rPr>
              <w:t>steroidal immunosuppressant (NS</w:t>
            </w:r>
            <w:r w:rsidR="00AF0956">
              <w:rPr>
                <w:rFonts w:ascii="Arial Narrow" w:hAnsi="Arial Narrow"/>
                <w:iCs/>
                <w:color w:val="000000"/>
                <w:sz w:val="20"/>
                <w:szCs w:val="20"/>
              </w:rPr>
              <w:noBreakHyphen/>
            </w:r>
            <w:r w:rsidRPr="005D0D22">
              <w:rPr>
                <w:rFonts w:ascii="Arial Narrow" w:hAnsi="Arial Narrow"/>
                <w:iCs/>
                <w:color w:val="000000"/>
                <w:sz w:val="20"/>
                <w:szCs w:val="20"/>
              </w:rPr>
              <w:t>IST) is one of the following:</w:t>
            </w:r>
          </w:p>
          <w:p w14:paraId="6589E094" w14:textId="77777777" w:rsidR="00C40358" w:rsidRPr="005D0D22" w:rsidRDefault="00C40358">
            <w:pPr>
              <w:spacing w:after="160"/>
              <w:contextualSpacing/>
              <w:jc w:val="left"/>
              <w:rPr>
                <w:rFonts w:ascii="Arial Narrow" w:hAnsi="Arial Narrow"/>
                <w:iCs/>
                <w:color w:val="000000"/>
                <w:sz w:val="20"/>
                <w:szCs w:val="20"/>
              </w:rPr>
            </w:pPr>
            <w:r w:rsidRPr="005D0D22">
              <w:rPr>
                <w:rFonts w:ascii="Arial Narrow" w:hAnsi="Arial Narrow"/>
                <w:iCs/>
                <w:color w:val="000000"/>
                <w:sz w:val="20"/>
                <w:szCs w:val="20"/>
              </w:rPr>
              <w:t xml:space="preserve">(i) azathioprine, </w:t>
            </w:r>
          </w:p>
          <w:p w14:paraId="75798B6B" w14:textId="77777777" w:rsidR="00C40358" w:rsidRPr="005D0D22" w:rsidRDefault="00C40358">
            <w:pPr>
              <w:spacing w:after="160"/>
              <w:contextualSpacing/>
              <w:jc w:val="left"/>
              <w:rPr>
                <w:rFonts w:ascii="Arial Narrow" w:hAnsi="Arial Narrow"/>
                <w:iCs/>
                <w:color w:val="000000"/>
                <w:sz w:val="20"/>
                <w:szCs w:val="20"/>
              </w:rPr>
            </w:pPr>
            <w:r w:rsidRPr="005D0D22">
              <w:rPr>
                <w:rFonts w:ascii="Arial Narrow" w:hAnsi="Arial Narrow"/>
                <w:iCs/>
                <w:color w:val="000000"/>
                <w:sz w:val="20"/>
                <w:szCs w:val="20"/>
              </w:rPr>
              <w:t>(ii) ciclosporin,</w:t>
            </w:r>
          </w:p>
          <w:p w14:paraId="52E67929" w14:textId="77777777" w:rsidR="00C40358" w:rsidRPr="005D0D22" w:rsidRDefault="00C40358">
            <w:pPr>
              <w:spacing w:after="160"/>
              <w:contextualSpacing/>
              <w:jc w:val="left"/>
              <w:rPr>
                <w:rFonts w:ascii="Arial Narrow" w:hAnsi="Arial Narrow"/>
                <w:iCs/>
                <w:color w:val="000000"/>
                <w:sz w:val="20"/>
                <w:szCs w:val="20"/>
              </w:rPr>
            </w:pPr>
            <w:r w:rsidRPr="005D0D22">
              <w:rPr>
                <w:rFonts w:ascii="Arial Narrow" w:hAnsi="Arial Narrow"/>
                <w:iCs/>
                <w:color w:val="000000"/>
                <w:sz w:val="20"/>
                <w:szCs w:val="20"/>
              </w:rPr>
              <w:t>(iii) cyclophosphamide,</w:t>
            </w:r>
          </w:p>
          <w:p w14:paraId="6EC30C4F" w14:textId="77777777" w:rsidR="00C40358" w:rsidRPr="005D0D22" w:rsidRDefault="00C40358">
            <w:pPr>
              <w:spacing w:after="160"/>
              <w:contextualSpacing/>
              <w:jc w:val="left"/>
              <w:rPr>
                <w:rFonts w:ascii="Arial Narrow" w:hAnsi="Arial Narrow"/>
                <w:iCs/>
                <w:color w:val="000000"/>
                <w:sz w:val="20"/>
                <w:szCs w:val="20"/>
              </w:rPr>
            </w:pPr>
            <w:r w:rsidRPr="005D0D22">
              <w:rPr>
                <w:rFonts w:ascii="Arial Narrow" w:hAnsi="Arial Narrow"/>
                <w:iCs/>
                <w:color w:val="000000"/>
                <w:sz w:val="20"/>
                <w:szCs w:val="20"/>
              </w:rPr>
              <w:t>(iv) methotrexate,</w:t>
            </w:r>
          </w:p>
          <w:p w14:paraId="4BBC1A8D" w14:textId="77777777" w:rsidR="00C40358" w:rsidRPr="005D0D22" w:rsidRDefault="00C40358">
            <w:pPr>
              <w:jc w:val="left"/>
              <w:rPr>
                <w:rFonts w:ascii="Arial Narrow" w:hAnsi="Arial Narrow"/>
                <w:iCs/>
                <w:color w:val="000000"/>
                <w:sz w:val="20"/>
                <w:szCs w:val="20"/>
              </w:rPr>
            </w:pPr>
            <w:r w:rsidRPr="005D0D22">
              <w:rPr>
                <w:rFonts w:ascii="Arial Narrow" w:hAnsi="Arial Narrow"/>
                <w:iCs/>
                <w:color w:val="000000"/>
                <w:sz w:val="20"/>
                <w:szCs w:val="20"/>
              </w:rPr>
              <w:t>(v) mycophenolate</w:t>
            </w:r>
          </w:p>
          <w:p w14:paraId="0A5363C6" w14:textId="77777777" w:rsidR="00C40358" w:rsidRPr="005D0D22" w:rsidRDefault="00C40358">
            <w:pPr>
              <w:jc w:val="left"/>
              <w:rPr>
                <w:rFonts w:ascii="Arial Narrow" w:hAnsi="Arial Narrow"/>
                <w:iCs/>
                <w:color w:val="000000"/>
                <w:sz w:val="20"/>
                <w:szCs w:val="20"/>
              </w:rPr>
            </w:pPr>
            <w:r w:rsidRPr="005D0D22">
              <w:rPr>
                <w:rFonts w:ascii="Arial Narrow" w:hAnsi="Arial Narrow"/>
                <w:iCs/>
                <w:color w:val="000000"/>
                <w:sz w:val="20"/>
                <w:szCs w:val="20"/>
              </w:rPr>
              <w:t>(vi) tacrolimus</w:t>
            </w:r>
          </w:p>
          <w:p w14:paraId="3C276085" w14:textId="77777777" w:rsidR="00C40358" w:rsidRPr="005D0D22" w:rsidRDefault="00C40358">
            <w:pPr>
              <w:jc w:val="left"/>
              <w:rPr>
                <w:rFonts w:ascii="Arial Narrow" w:hAnsi="Arial Narrow"/>
                <w:iCs/>
                <w:color w:val="000000"/>
                <w:sz w:val="20"/>
                <w:szCs w:val="20"/>
              </w:rPr>
            </w:pPr>
          </w:p>
          <w:p w14:paraId="4DAEB3FE" w14:textId="77777777" w:rsidR="00C40358" w:rsidRPr="005D0D22" w:rsidRDefault="00C40358">
            <w:pPr>
              <w:jc w:val="left"/>
              <w:rPr>
                <w:rFonts w:ascii="Arial Narrow" w:hAnsi="Arial Narrow"/>
                <w:iCs/>
                <w:color w:val="000000"/>
                <w:sz w:val="20"/>
                <w:szCs w:val="20"/>
              </w:rPr>
            </w:pPr>
            <w:r w:rsidRPr="005D0D22">
              <w:rPr>
                <w:rFonts w:ascii="Arial Narrow" w:hAnsi="Arial Narrow"/>
                <w:iCs/>
                <w:color w:val="000000"/>
                <w:kern w:val="2"/>
                <w:sz w:val="20"/>
                <w:szCs w:val="20"/>
                <w14:ligatures w14:val="standardContextual"/>
              </w:rPr>
              <w:t>The Myasthenia Gravis Foundation of America (</w:t>
            </w:r>
            <w:r w:rsidRPr="005D0D22">
              <w:rPr>
                <w:rFonts w:ascii="Arial Narrow" w:hAnsi="Arial Narrow"/>
                <w:b/>
                <w:bCs/>
                <w:iCs/>
                <w:color w:val="000000"/>
                <w:kern w:val="2"/>
                <w:sz w:val="20"/>
                <w:szCs w:val="20"/>
                <w14:ligatures w14:val="standardContextual"/>
              </w:rPr>
              <w:t>MGFA</w:t>
            </w:r>
            <w:r w:rsidRPr="005D0D22">
              <w:rPr>
                <w:rFonts w:ascii="Arial Narrow" w:hAnsi="Arial Narrow"/>
                <w:iCs/>
                <w:color w:val="000000"/>
                <w:kern w:val="2"/>
                <w:sz w:val="20"/>
                <w:szCs w:val="20"/>
                <w14:ligatures w14:val="standardContextual"/>
              </w:rPr>
              <w:t xml:space="preserve">) Disease Classification can be accessed at </w:t>
            </w:r>
            <w:hyperlink r:id="rId17" w:history="1">
              <w:r w:rsidRPr="005D0D22">
                <w:rPr>
                  <w:rFonts w:ascii="Arial Narrow" w:hAnsi="Arial Narrow"/>
                  <w:iCs/>
                  <w:color w:val="467886"/>
                  <w:sz w:val="20"/>
                  <w:szCs w:val="20"/>
                  <w:u w:val="single"/>
                </w:rPr>
                <w:t>https://myasthenia.org/</w:t>
              </w:r>
            </w:hyperlink>
            <w:r w:rsidRPr="005D0D22">
              <w:rPr>
                <w:rFonts w:ascii="Arial Narrow" w:hAnsi="Arial Narrow"/>
                <w:iCs/>
                <w:color w:val="000000"/>
                <w:sz w:val="20"/>
                <w:szCs w:val="20"/>
              </w:rPr>
              <w:t xml:space="preserve"> </w:t>
            </w:r>
          </w:p>
          <w:p w14:paraId="423C03C5" w14:textId="77777777" w:rsidR="00C40358" w:rsidRPr="005D0D22" w:rsidRDefault="00C40358">
            <w:pPr>
              <w:jc w:val="left"/>
              <w:rPr>
                <w:rFonts w:ascii="Arial Narrow" w:hAnsi="Arial Narrow"/>
                <w:iCs/>
                <w:color w:val="000000"/>
                <w:sz w:val="20"/>
                <w:szCs w:val="20"/>
              </w:rPr>
            </w:pPr>
          </w:p>
          <w:p w14:paraId="13697702" w14:textId="77777777" w:rsidR="00C40358" w:rsidRPr="005D0D22" w:rsidRDefault="00C40358">
            <w:pPr>
              <w:jc w:val="left"/>
              <w:rPr>
                <w:rFonts w:ascii="Arial Narrow" w:hAnsi="Arial Narrow"/>
                <w:iCs/>
                <w:color w:val="000000"/>
                <w:sz w:val="20"/>
                <w:szCs w:val="20"/>
              </w:rPr>
            </w:pPr>
            <w:r w:rsidRPr="005D0D22">
              <w:rPr>
                <w:rFonts w:ascii="Arial Narrow" w:hAnsi="Arial Narrow"/>
                <w:iCs/>
                <w:color w:val="000000"/>
                <w:sz w:val="20"/>
                <w:szCs w:val="20"/>
              </w:rPr>
              <w:t>The Myasthenia Gravis Composite (</w:t>
            </w:r>
            <w:r w:rsidRPr="005D0D22">
              <w:rPr>
                <w:rFonts w:ascii="Arial Narrow" w:hAnsi="Arial Narrow"/>
                <w:b/>
                <w:bCs/>
                <w:iCs/>
                <w:color w:val="000000"/>
                <w:sz w:val="20"/>
                <w:szCs w:val="20"/>
              </w:rPr>
              <w:t>MGC</w:t>
            </w:r>
            <w:r w:rsidRPr="005D0D22">
              <w:rPr>
                <w:rFonts w:ascii="Arial Narrow" w:hAnsi="Arial Narrow"/>
                <w:iCs/>
                <w:color w:val="000000"/>
                <w:sz w:val="20"/>
                <w:szCs w:val="20"/>
              </w:rPr>
              <w:t xml:space="preserve">) scoring profile can be accessed at </w:t>
            </w:r>
            <w:hyperlink r:id="rId18" w:anchor="MGC" w:history="1">
              <w:r w:rsidRPr="005D0D22">
                <w:rPr>
                  <w:rFonts w:ascii="Arial Narrow" w:hAnsi="Arial Narrow"/>
                  <w:iCs/>
                  <w:color w:val="467886"/>
                  <w:sz w:val="20"/>
                  <w:szCs w:val="20"/>
                  <w:u w:val="single"/>
                </w:rPr>
                <w:t>https://www.criteria.blood.gov.au/NeurologicalScales#MGC</w:t>
              </w:r>
            </w:hyperlink>
            <w:r w:rsidRPr="005D0D22">
              <w:rPr>
                <w:rFonts w:ascii="Arial Narrow" w:hAnsi="Arial Narrow"/>
                <w:iCs/>
                <w:color w:val="000000"/>
                <w:sz w:val="20"/>
                <w:szCs w:val="20"/>
              </w:rPr>
              <w:t xml:space="preserve"> </w:t>
            </w:r>
          </w:p>
          <w:p w14:paraId="5007446B" w14:textId="77777777" w:rsidR="00C40358" w:rsidRPr="005D0D22" w:rsidRDefault="00C40358">
            <w:pPr>
              <w:jc w:val="left"/>
              <w:rPr>
                <w:rFonts w:ascii="Arial Narrow" w:hAnsi="Arial Narrow"/>
                <w:iCs/>
                <w:color w:val="000000"/>
                <w:sz w:val="20"/>
                <w:szCs w:val="20"/>
              </w:rPr>
            </w:pPr>
          </w:p>
          <w:p w14:paraId="41D89BA8" w14:textId="74489B57" w:rsidR="00C40358" w:rsidRPr="005D0D22" w:rsidRDefault="00C40358">
            <w:pPr>
              <w:jc w:val="left"/>
              <w:rPr>
                <w:rFonts w:ascii="Arial Narrow" w:hAnsi="Arial Narrow"/>
                <w:iCs/>
                <w:color w:val="000000"/>
                <w:sz w:val="20"/>
                <w:szCs w:val="20"/>
              </w:rPr>
            </w:pPr>
            <w:r w:rsidRPr="005D0D22">
              <w:rPr>
                <w:rFonts w:ascii="Arial Narrow" w:hAnsi="Arial Narrow"/>
                <w:iCs/>
                <w:color w:val="000000"/>
                <w:sz w:val="20"/>
                <w:szCs w:val="20"/>
              </w:rPr>
              <w:t>The Myasthenia Gravis</w:t>
            </w:r>
            <w:r w:rsidR="00AF0956">
              <w:rPr>
                <w:rFonts w:ascii="Arial Narrow" w:hAnsi="Arial Narrow"/>
                <w:iCs/>
                <w:color w:val="000000"/>
                <w:sz w:val="20"/>
                <w:szCs w:val="20"/>
              </w:rPr>
              <w:noBreakHyphen/>
            </w:r>
            <w:r w:rsidRPr="005D0D22">
              <w:rPr>
                <w:rFonts w:ascii="Arial Narrow" w:hAnsi="Arial Narrow"/>
                <w:iCs/>
                <w:color w:val="000000"/>
                <w:sz w:val="20"/>
                <w:szCs w:val="20"/>
              </w:rPr>
              <w:t>Activities of Daily Living (</w:t>
            </w:r>
            <w:r w:rsidRPr="005D0D22">
              <w:rPr>
                <w:rFonts w:ascii="Arial Narrow" w:hAnsi="Arial Narrow"/>
                <w:b/>
                <w:bCs/>
                <w:iCs/>
                <w:color w:val="000000"/>
                <w:sz w:val="20"/>
                <w:szCs w:val="20"/>
              </w:rPr>
              <w:t>MG</w:t>
            </w:r>
            <w:r w:rsidR="00AF0956">
              <w:rPr>
                <w:rFonts w:ascii="Arial Narrow" w:hAnsi="Arial Narrow"/>
                <w:b/>
                <w:bCs/>
                <w:iCs/>
                <w:color w:val="000000"/>
                <w:sz w:val="20"/>
                <w:szCs w:val="20"/>
              </w:rPr>
              <w:noBreakHyphen/>
            </w:r>
            <w:r w:rsidRPr="005D0D22">
              <w:rPr>
                <w:rFonts w:ascii="Arial Narrow" w:hAnsi="Arial Narrow"/>
                <w:b/>
                <w:bCs/>
                <w:iCs/>
                <w:color w:val="000000"/>
                <w:sz w:val="20"/>
                <w:szCs w:val="20"/>
              </w:rPr>
              <w:t>ADL</w:t>
            </w:r>
            <w:r w:rsidRPr="005D0D22">
              <w:rPr>
                <w:rFonts w:ascii="Arial Narrow" w:hAnsi="Arial Narrow"/>
                <w:iCs/>
                <w:color w:val="000000"/>
                <w:sz w:val="20"/>
                <w:szCs w:val="20"/>
              </w:rPr>
              <w:t xml:space="preserve">) scoring profile can be accessed at </w:t>
            </w:r>
          </w:p>
          <w:p w14:paraId="2DD84D41" w14:textId="77777777" w:rsidR="00C40358" w:rsidRPr="005D0D22" w:rsidRDefault="00C40358">
            <w:pPr>
              <w:jc w:val="left"/>
              <w:rPr>
                <w:rFonts w:ascii="Arial Narrow" w:hAnsi="Arial Narrow"/>
                <w:iCs/>
                <w:color w:val="000000"/>
                <w:sz w:val="20"/>
                <w:szCs w:val="20"/>
              </w:rPr>
            </w:pPr>
            <w:hyperlink r:id="rId19" w:history="1">
              <w:r w:rsidRPr="005D0D22">
                <w:rPr>
                  <w:rFonts w:ascii="Arial Narrow" w:hAnsi="Arial Narrow"/>
                  <w:iCs/>
                  <w:color w:val="467886"/>
                  <w:sz w:val="20"/>
                  <w:szCs w:val="20"/>
                  <w:u w:val="single"/>
                </w:rPr>
                <w:t>https://myasthenia.org/</w:t>
              </w:r>
            </w:hyperlink>
          </w:p>
        </w:tc>
      </w:tr>
      <w:tr w:rsidR="00C40358" w:rsidRPr="005D0D22" w14:paraId="59FD0BD2" w14:textId="77777777">
        <w:trPr>
          <w:trHeight w:val="300"/>
        </w:trPr>
        <w:tc>
          <w:tcPr>
            <w:tcW w:w="491" w:type="dxa"/>
            <w:vMerge/>
            <w:vAlign w:val="center"/>
            <w:hideMark/>
          </w:tcPr>
          <w:p w14:paraId="6ED50A89" w14:textId="77777777" w:rsidR="00C40358" w:rsidRPr="005D0D22" w:rsidRDefault="00C40358">
            <w:pPr>
              <w:spacing w:line="256" w:lineRule="auto"/>
              <w:jc w:val="left"/>
              <w:rPr>
                <w:rFonts w:ascii="Arial Narrow" w:eastAsia="Aptos" w:hAnsi="Arial Narrow" w:cs="Arial"/>
                <w:kern w:val="2"/>
                <w:sz w:val="16"/>
                <w:szCs w:val="16"/>
                <w:lang w:eastAsia="en-US"/>
                <w14:ligatures w14:val="standardContextual"/>
              </w:rPr>
            </w:pPr>
          </w:p>
        </w:tc>
        <w:tc>
          <w:tcPr>
            <w:tcW w:w="783"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319E6366" w14:textId="77777777" w:rsidR="00C40358" w:rsidRPr="005D0D22" w:rsidRDefault="00C40358">
            <w:pPr>
              <w:jc w:val="center"/>
              <w:rPr>
                <w:rFonts w:ascii="Arial Narrow" w:eastAsia="Aptos" w:hAnsi="Arial Narrow"/>
                <w:iCs/>
                <w:kern w:val="2"/>
                <w:sz w:val="20"/>
                <w:szCs w:val="20"/>
                <w:lang w:eastAsia="en-US"/>
                <w14:ligatures w14:val="standardContextual"/>
              </w:rPr>
            </w:pPr>
          </w:p>
          <w:p w14:paraId="24580A29" w14:textId="10506B07" w:rsidR="00C40358" w:rsidRPr="005D0D22" w:rsidRDefault="00C40358">
            <w:pPr>
              <w:jc w:val="center"/>
              <w:rPr>
                <w:rFonts w:ascii="Arial Narrow" w:eastAsia="Aptos" w:hAnsi="Arial Narrow"/>
                <w:iCs/>
                <w:kern w:val="2"/>
                <w:sz w:val="20"/>
                <w:szCs w:val="20"/>
                <w:lang w:eastAsia="en-US"/>
                <w14:ligatures w14:val="standardContextual"/>
              </w:rPr>
            </w:pPr>
          </w:p>
        </w:tc>
        <w:tc>
          <w:tcPr>
            <w:tcW w:w="7742"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608A9305" w14:textId="77777777" w:rsidR="00C40358" w:rsidRPr="005D0D22" w:rsidRDefault="00C40358">
            <w:pPr>
              <w:spacing w:after="160"/>
              <w:contextualSpacing/>
              <w:jc w:val="left"/>
              <w:rPr>
                <w:rFonts w:ascii="Arial Narrow" w:hAnsi="Arial Narrow"/>
                <w:iCs/>
                <w:color w:val="000000"/>
                <w:sz w:val="20"/>
                <w:szCs w:val="20"/>
              </w:rPr>
            </w:pPr>
            <w:r w:rsidRPr="005D0D22">
              <w:rPr>
                <w:rFonts w:ascii="Arial Narrow" w:hAnsi="Arial Narrow"/>
                <w:b/>
                <w:bCs/>
                <w:iCs/>
                <w:color w:val="000000"/>
                <w:sz w:val="20"/>
                <w:szCs w:val="20"/>
              </w:rPr>
              <w:t xml:space="preserve">Administrative Advice: </w:t>
            </w:r>
          </w:p>
          <w:p w14:paraId="3F3715A3" w14:textId="77777777" w:rsidR="00C40358" w:rsidRPr="005D0D22" w:rsidRDefault="00C40358">
            <w:pPr>
              <w:spacing w:after="160"/>
              <w:contextualSpacing/>
              <w:jc w:val="left"/>
              <w:rPr>
                <w:rFonts w:ascii="Arial Narrow" w:hAnsi="Arial Narrow"/>
                <w:b/>
                <w:bCs/>
                <w:iCs/>
                <w:color w:val="000000"/>
                <w:sz w:val="20"/>
                <w:szCs w:val="20"/>
              </w:rPr>
            </w:pPr>
            <w:r w:rsidRPr="005D0D22">
              <w:rPr>
                <w:rFonts w:ascii="Arial Narrow" w:hAnsi="Arial Narrow"/>
                <w:b/>
                <w:bCs/>
                <w:iCs/>
                <w:color w:val="000000"/>
                <w:sz w:val="20"/>
                <w:szCs w:val="20"/>
              </w:rPr>
              <w:t>Treatment switching:</w:t>
            </w:r>
          </w:p>
          <w:p w14:paraId="3F45DA7E" w14:textId="77777777" w:rsidR="00C40358" w:rsidRPr="005D0D22" w:rsidRDefault="00C40358">
            <w:pPr>
              <w:spacing w:after="160"/>
              <w:contextualSpacing/>
              <w:jc w:val="left"/>
              <w:rPr>
                <w:rFonts w:ascii="Arial Narrow" w:hAnsi="Arial Narrow"/>
                <w:iCs/>
                <w:color w:val="000000"/>
                <w:sz w:val="20"/>
                <w:szCs w:val="20"/>
              </w:rPr>
            </w:pPr>
            <w:r w:rsidRPr="005D0D22">
              <w:rPr>
                <w:rFonts w:ascii="Arial Narrow" w:hAnsi="Arial Narrow"/>
                <w:iCs/>
                <w:color w:val="000000"/>
                <w:sz w:val="20"/>
                <w:szCs w:val="20"/>
              </w:rPr>
              <w:t xml:space="preserve">Switching between gMG biological agents is permitted. Treatment switching should be limited to when a patient moves between different treatment settings, i.e. moving from ‘acute severe gMG’ to ‘bridging therapy for gMG’ [(1) to (2)]; or moving from ‘bridging therapy for gMG’ to ‘treatment refractory gMG’ [(2) to (3)]. </w:t>
            </w:r>
          </w:p>
          <w:p w14:paraId="75DBEA2A" w14:textId="77777777" w:rsidR="00C40358" w:rsidRPr="005D0D22" w:rsidRDefault="00C40358">
            <w:pPr>
              <w:spacing w:after="160"/>
              <w:contextualSpacing/>
              <w:jc w:val="left"/>
              <w:rPr>
                <w:rFonts w:ascii="Arial Narrow" w:hAnsi="Arial Narrow"/>
                <w:iCs/>
                <w:color w:val="000000"/>
                <w:sz w:val="20"/>
                <w:szCs w:val="20"/>
              </w:rPr>
            </w:pPr>
          </w:p>
          <w:p w14:paraId="10B337A9" w14:textId="77777777" w:rsidR="00C40358" w:rsidRPr="005D0D22" w:rsidRDefault="00C40358">
            <w:pPr>
              <w:spacing w:after="160"/>
              <w:contextualSpacing/>
              <w:jc w:val="left"/>
              <w:rPr>
                <w:rFonts w:ascii="Arial Narrow" w:hAnsi="Arial Narrow"/>
                <w:iCs/>
                <w:color w:val="000000"/>
                <w:sz w:val="20"/>
                <w:szCs w:val="20"/>
              </w:rPr>
            </w:pPr>
            <w:r w:rsidRPr="005D0D22">
              <w:rPr>
                <w:rFonts w:ascii="Arial Narrow" w:hAnsi="Arial Narrow"/>
                <w:iCs/>
                <w:color w:val="000000"/>
                <w:sz w:val="20"/>
                <w:szCs w:val="20"/>
              </w:rPr>
              <w:t xml:space="preserve">In the acute severe (1) or bridging therapy (2) settings a patient may switch to an alternate gMG biological agent if they are experiencing an intolerance or toxicity necessitating treatment withdrawal. Patients can switch by requalifying through the relevant restrictions. Only a balance of the time limits specified within the relevant treatment phase will be approved i.e. the remaining of the 3 months (acute severe gMG); or 6 months (bridging therapy for gMG) after accounting for the treatment of the previous gMG biologic. </w:t>
            </w:r>
          </w:p>
          <w:p w14:paraId="466AFF2C" w14:textId="77777777" w:rsidR="00C40358" w:rsidRPr="005D0D22" w:rsidRDefault="00C40358">
            <w:pPr>
              <w:spacing w:after="160"/>
              <w:contextualSpacing/>
              <w:jc w:val="left"/>
              <w:rPr>
                <w:rFonts w:ascii="Arial Narrow" w:hAnsi="Arial Narrow"/>
                <w:iCs/>
                <w:color w:val="000000"/>
                <w:sz w:val="20"/>
                <w:szCs w:val="20"/>
              </w:rPr>
            </w:pPr>
          </w:p>
          <w:p w14:paraId="11CC1E58" w14:textId="77777777" w:rsidR="00C40358" w:rsidRPr="005D0D22" w:rsidRDefault="00C40358">
            <w:pPr>
              <w:spacing w:after="160"/>
              <w:contextualSpacing/>
              <w:jc w:val="left"/>
              <w:rPr>
                <w:rFonts w:ascii="Arial Narrow" w:hAnsi="Arial Narrow"/>
                <w:iCs/>
                <w:color w:val="000000"/>
                <w:sz w:val="20"/>
                <w:szCs w:val="20"/>
              </w:rPr>
            </w:pPr>
            <w:r w:rsidRPr="005D0D22">
              <w:rPr>
                <w:rFonts w:ascii="Arial Narrow" w:hAnsi="Arial Narrow"/>
                <w:iCs/>
                <w:color w:val="000000"/>
                <w:sz w:val="20"/>
                <w:szCs w:val="20"/>
              </w:rPr>
              <w:t>In the treatment refractory setting (3), a patient may switch to an alternate gMG biological agent via either:</w:t>
            </w:r>
          </w:p>
          <w:p w14:paraId="5EB4C3E6" w14:textId="77777777" w:rsidR="00C40358" w:rsidRPr="005D0D22" w:rsidRDefault="00C40358" w:rsidP="00ED248B">
            <w:pPr>
              <w:numPr>
                <w:ilvl w:val="0"/>
                <w:numId w:val="13"/>
              </w:numPr>
              <w:spacing w:after="160" w:line="256" w:lineRule="auto"/>
              <w:contextualSpacing/>
              <w:jc w:val="left"/>
              <w:rPr>
                <w:rFonts w:ascii="Arial Narrow" w:hAnsi="Arial Narrow"/>
                <w:iCs/>
                <w:color w:val="000000"/>
                <w:sz w:val="20"/>
                <w:szCs w:val="20"/>
              </w:rPr>
            </w:pPr>
            <w:r w:rsidRPr="005D0D22">
              <w:rPr>
                <w:rFonts w:ascii="Arial Narrow" w:hAnsi="Arial Narrow"/>
                <w:iCs/>
                <w:color w:val="000000"/>
                <w:sz w:val="20"/>
                <w:szCs w:val="20"/>
              </w:rPr>
              <w:t xml:space="preserve">the initial restriction if they have trialled a different gMG biologic, but did not respond to treatment; or </w:t>
            </w:r>
          </w:p>
          <w:p w14:paraId="57CC35A8" w14:textId="77777777" w:rsidR="00C40358" w:rsidRPr="005D0D22" w:rsidRDefault="00C40358" w:rsidP="00ED248B">
            <w:pPr>
              <w:numPr>
                <w:ilvl w:val="0"/>
                <w:numId w:val="13"/>
              </w:numPr>
              <w:spacing w:after="160" w:line="256" w:lineRule="auto"/>
              <w:contextualSpacing/>
              <w:jc w:val="left"/>
              <w:rPr>
                <w:rFonts w:ascii="Arial Narrow" w:hAnsi="Arial Narrow"/>
                <w:iCs/>
                <w:color w:val="000000"/>
                <w:sz w:val="20"/>
                <w:szCs w:val="20"/>
              </w:rPr>
            </w:pPr>
            <w:r w:rsidRPr="005D0D22">
              <w:rPr>
                <w:rFonts w:ascii="Arial Narrow" w:hAnsi="Arial Narrow"/>
                <w:iCs/>
                <w:color w:val="000000"/>
                <w:sz w:val="20"/>
                <w:szCs w:val="20"/>
              </w:rPr>
              <w:t xml:space="preserve">the continuing restriction if they have trialled a different gMG biological agent and have responded to treatment. </w:t>
            </w:r>
          </w:p>
          <w:p w14:paraId="50334579" w14:textId="77777777" w:rsidR="00C40358" w:rsidRPr="005D0D22" w:rsidRDefault="00C40358">
            <w:pPr>
              <w:jc w:val="left"/>
              <w:rPr>
                <w:rFonts w:ascii="Arial Narrow" w:hAnsi="Arial Narrow"/>
                <w:b/>
                <w:bCs/>
                <w:color w:val="000000"/>
                <w:sz w:val="20"/>
                <w:szCs w:val="20"/>
              </w:rPr>
            </w:pPr>
            <w:r w:rsidRPr="68F43EAC">
              <w:rPr>
                <w:rFonts w:ascii="Arial Narrow" w:hAnsi="Arial Narrow"/>
                <w:color w:val="000000" w:themeColor="text1"/>
                <w:sz w:val="20"/>
                <w:szCs w:val="20"/>
              </w:rPr>
              <w:t>Mark any remaining unused repeat prescriptions as “cancelled”.</w:t>
            </w:r>
          </w:p>
        </w:tc>
      </w:tr>
      <w:tr w:rsidR="00C40358" w:rsidRPr="005D0D22" w14:paraId="5F3DA94A" w14:textId="77777777">
        <w:trPr>
          <w:trHeight w:val="300"/>
        </w:trPr>
        <w:tc>
          <w:tcPr>
            <w:tcW w:w="491" w:type="dxa"/>
            <w:vMerge/>
            <w:vAlign w:val="center"/>
            <w:hideMark/>
          </w:tcPr>
          <w:p w14:paraId="5BBB6176" w14:textId="77777777" w:rsidR="00C40358" w:rsidRPr="005D0D22" w:rsidRDefault="00C40358">
            <w:pPr>
              <w:spacing w:line="256" w:lineRule="auto"/>
              <w:jc w:val="left"/>
              <w:rPr>
                <w:rFonts w:ascii="Arial Narrow" w:eastAsia="Aptos" w:hAnsi="Arial Narrow" w:cs="Arial"/>
                <w:kern w:val="2"/>
                <w:sz w:val="16"/>
                <w:szCs w:val="16"/>
                <w:lang w:eastAsia="en-US"/>
                <w14:ligatures w14:val="standardContextual"/>
              </w:rPr>
            </w:pPr>
          </w:p>
        </w:tc>
        <w:tc>
          <w:tcPr>
            <w:tcW w:w="783"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3E96D478" w14:textId="284FA4D9" w:rsidR="00C40358" w:rsidRPr="005D0D22" w:rsidRDefault="00C40358">
            <w:pPr>
              <w:jc w:val="center"/>
              <w:rPr>
                <w:rFonts w:ascii="Arial Narrow" w:eastAsia="Aptos" w:hAnsi="Arial Narrow"/>
                <w:iCs/>
                <w:kern w:val="2"/>
                <w:sz w:val="20"/>
                <w:szCs w:val="20"/>
                <w:lang w:eastAsia="en-US"/>
                <w14:ligatures w14:val="standardContextual"/>
              </w:rPr>
            </w:pPr>
          </w:p>
        </w:tc>
        <w:tc>
          <w:tcPr>
            <w:tcW w:w="7742"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3B61C8F3" w14:textId="77777777" w:rsidR="00C40358" w:rsidRPr="005D0D22" w:rsidRDefault="00C40358">
            <w:pPr>
              <w:spacing w:after="160"/>
              <w:contextualSpacing/>
              <w:jc w:val="left"/>
              <w:rPr>
                <w:rFonts w:ascii="Arial Narrow" w:hAnsi="Arial Narrow"/>
                <w:b/>
                <w:bCs/>
                <w:iCs/>
                <w:color w:val="000000"/>
                <w:sz w:val="20"/>
                <w:szCs w:val="20"/>
              </w:rPr>
            </w:pPr>
            <w:r w:rsidRPr="005D0D22">
              <w:rPr>
                <w:rFonts w:ascii="Arial Narrow" w:hAnsi="Arial Narrow"/>
                <w:b/>
                <w:bCs/>
                <w:iCs/>
                <w:color w:val="000000"/>
                <w:sz w:val="20"/>
                <w:szCs w:val="20"/>
              </w:rPr>
              <w:t>Administrative Advice:</w:t>
            </w:r>
          </w:p>
          <w:p w14:paraId="3166E573" w14:textId="77777777" w:rsidR="00C40358" w:rsidRPr="005D0D22" w:rsidRDefault="00C40358">
            <w:pPr>
              <w:spacing w:after="160"/>
              <w:contextualSpacing/>
              <w:jc w:val="left"/>
              <w:rPr>
                <w:rFonts w:ascii="Arial Narrow" w:hAnsi="Arial Narrow"/>
                <w:iCs/>
                <w:color w:val="000000"/>
                <w:sz w:val="20"/>
                <w:szCs w:val="20"/>
              </w:rPr>
            </w:pPr>
            <w:r w:rsidRPr="005D0D22">
              <w:rPr>
                <w:rFonts w:ascii="Arial Narrow" w:hAnsi="Arial Narrow"/>
                <w:iCs/>
                <w:color w:val="000000"/>
                <w:sz w:val="20"/>
                <w:szCs w:val="20"/>
              </w:rPr>
              <w:t>Any queries concerning the arrangements to prescribe may be directed to Services Australia on 1800 700 270 (hours of operation 8 a.m. to 5 p.m. Monday to Friday).</w:t>
            </w:r>
          </w:p>
          <w:p w14:paraId="537D3814" w14:textId="77777777" w:rsidR="00C40358" w:rsidRPr="005D0D22" w:rsidRDefault="00C40358">
            <w:pPr>
              <w:spacing w:after="160"/>
              <w:contextualSpacing/>
              <w:jc w:val="left"/>
              <w:rPr>
                <w:rFonts w:ascii="Arial Narrow" w:hAnsi="Arial Narrow"/>
                <w:iCs/>
                <w:color w:val="000000"/>
                <w:sz w:val="20"/>
                <w:szCs w:val="20"/>
              </w:rPr>
            </w:pPr>
            <w:r w:rsidRPr="005D0D22">
              <w:rPr>
                <w:rFonts w:ascii="Arial Narrow" w:hAnsi="Arial Narrow"/>
                <w:iCs/>
                <w:color w:val="000000"/>
                <w:sz w:val="20"/>
                <w:szCs w:val="20"/>
              </w:rPr>
              <w:t>Prescribing information (including Authority Application forms and other relevant documentation as applicable) is available on the Services Australia website at www.servicesaustralia.gov.au</w:t>
            </w:r>
          </w:p>
          <w:p w14:paraId="05DD462A" w14:textId="77777777" w:rsidR="00C40358" w:rsidRPr="005D0D22" w:rsidRDefault="00C40358">
            <w:pPr>
              <w:spacing w:after="160"/>
              <w:contextualSpacing/>
              <w:jc w:val="left"/>
              <w:rPr>
                <w:rFonts w:ascii="Arial Narrow" w:hAnsi="Arial Narrow"/>
                <w:iCs/>
                <w:color w:val="000000"/>
                <w:sz w:val="20"/>
                <w:szCs w:val="20"/>
              </w:rPr>
            </w:pPr>
            <w:r w:rsidRPr="005D0D22">
              <w:rPr>
                <w:rFonts w:ascii="Arial Narrow" w:hAnsi="Arial Narrow"/>
                <w:iCs/>
                <w:color w:val="000000"/>
                <w:sz w:val="20"/>
                <w:szCs w:val="20"/>
              </w:rPr>
              <w:t>Applications for authorisation under this restriction should be made using the Online PBS Authorities system (see www.servicesaustralia.gov.au/hpos)</w:t>
            </w:r>
          </w:p>
          <w:p w14:paraId="14D96625" w14:textId="77777777" w:rsidR="00C40358" w:rsidRPr="005D0D22" w:rsidRDefault="00C40358">
            <w:pPr>
              <w:spacing w:after="160"/>
              <w:contextualSpacing/>
              <w:jc w:val="left"/>
              <w:rPr>
                <w:rFonts w:ascii="Arial Narrow" w:hAnsi="Arial Narrow"/>
                <w:iCs/>
                <w:color w:val="000000"/>
                <w:sz w:val="20"/>
                <w:szCs w:val="20"/>
              </w:rPr>
            </w:pPr>
            <w:r w:rsidRPr="005D0D22">
              <w:rPr>
                <w:rFonts w:ascii="Arial Narrow" w:hAnsi="Arial Narrow"/>
                <w:iCs/>
                <w:color w:val="000000"/>
                <w:sz w:val="20"/>
                <w:szCs w:val="20"/>
              </w:rPr>
              <w:t>Alternatively, applications for authority to prescribe should be submitted online using the form upload facility in Health Professional Online Services (HPOS) at www.servicesaustralia.gov.au/hpos</w:t>
            </w:r>
          </w:p>
          <w:p w14:paraId="73304559" w14:textId="77777777" w:rsidR="00C40358" w:rsidRPr="005D0D22" w:rsidRDefault="00C40358">
            <w:pPr>
              <w:spacing w:after="160"/>
              <w:contextualSpacing/>
              <w:jc w:val="left"/>
              <w:rPr>
                <w:rFonts w:ascii="Arial Narrow" w:hAnsi="Arial Narrow"/>
                <w:iCs/>
                <w:color w:val="000000"/>
                <w:sz w:val="20"/>
                <w:szCs w:val="20"/>
              </w:rPr>
            </w:pPr>
            <w:r w:rsidRPr="005D0D22">
              <w:rPr>
                <w:rFonts w:ascii="Arial Narrow" w:hAnsi="Arial Narrow"/>
                <w:iCs/>
                <w:color w:val="000000"/>
                <w:sz w:val="20"/>
                <w:szCs w:val="20"/>
              </w:rPr>
              <w:t>Or mailed to:</w:t>
            </w:r>
          </w:p>
          <w:p w14:paraId="1DE1521B" w14:textId="77777777" w:rsidR="00C40358" w:rsidRPr="005D0D22" w:rsidRDefault="00C40358">
            <w:pPr>
              <w:spacing w:after="160"/>
              <w:contextualSpacing/>
              <w:jc w:val="left"/>
              <w:rPr>
                <w:rFonts w:ascii="Arial Narrow" w:hAnsi="Arial Narrow"/>
                <w:iCs/>
                <w:color w:val="000000"/>
                <w:sz w:val="20"/>
                <w:szCs w:val="20"/>
              </w:rPr>
            </w:pPr>
            <w:r w:rsidRPr="005D0D22">
              <w:rPr>
                <w:rFonts w:ascii="Arial Narrow" w:hAnsi="Arial Narrow"/>
                <w:iCs/>
                <w:color w:val="000000"/>
                <w:sz w:val="20"/>
                <w:szCs w:val="20"/>
              </w:rPr>
              <w:t>Services Australia</w:t>
            </w:r>
          </w:p>
          <w:p w14:paraId="6817A980" w14:textId="77777777" w:rsidR="00C40358" w:rsidRPr="005D0D22" w:rsidRDefault="00C40358">
            <w:pPr>
              <w:spacing w:after="160"/>
              <w:contextualSpacing/>
              <w:jc w:val="left"/>
              <w:rPr>
                <w:rFonts w:ascii="Arial Narrow" w:hAnsi="Arial Narrow"/>
                <w:iCs/>
                <w:color w:val="000000"/>
                <w:sz w:val="20"/>
                <w:szCs w:val="20"/>
              </w:rPr>
            </w:pPr>
            <w:r w:rsidRPr="005D0D22">
              <w:rPr>
                <w:rFonts w:ascii="Arial Narrow" w:hAnsi="Arial Narrow"/>
                <w:iCs/>
                <w:color w:val="000000"/>
                <w:sz w:val="20"/>
                <w:szCs w:val="20"/>
              </w:rPr>
              <w:t>Complex Drugs</w:t>
            </w:r>
          </w:p>
          <w:p w14:paraId="6ECE8F94" w14:textId="77777777" w:rsidR="00C40358" w:rsidRPr="005D0D22" w:rsidRDefault="00C40358">
            <w:pPr>
              <w:spacing w:after="160"/>
              <w:contextualSpacing/>
              <w:jc w:val="left"/>
              <w:rPr>
                <w:rFonts w:ascii="Arial Narrow" w:hAnsi="Arial Narrow"/>
                <w:iCs/>
                <w:color w:val="000000"/>
                <w:sz w:val="20"/>
                <w:szCs w:val="20"/>
              </w:rPr>
            </w:pPr>
            <w:r w:rsidRPr="005D0D22">
              <w:rPr>
                <w:rFonts w:ascii="Arial Narrow" w:hAnsi="Arial Narrow"/>
                <w:iCs/>
                <w:color w:val="000000"/>
                <w:sz w:val="20"/>
                <w:szCs w:val="20"/>
              </w:rPr>
              <w:t>Reply Paid 9826</w:t>
            </w:r>
          </w:p>
          <w:p w14:paraId="0567192E" w14:textId="77777777" w:rsidR="00C40358" w:rsidRPr="005D0D22" w:rsidRDefault="00C40358">
            <w:pPr>
              <w:spacing w:after="160"/>
              <w:contextualSpacing/>
              <w:jc w:val="left"/>
              <w:rPr>
                <w:rFonts w:ascii="Arial Narrow" w:hAnsi="Arial Narrow"/>
                <w:b/>
                <w:bCs/>
                <w:iCs/>
                <w:color w:val="000000"/>
                <w:sz w:val="20"/>
                <w:szCs w:val="20"/>
              </w:rPr>
            </w:pPr>
            <w:r w:rsidRPr="005D0D22">
              <w:rPr>
                <w:rFonts w:ascii="Arial Narrow" w:hAnsi="Arial Narrow"/>
                <w:iCs/>
                <w:color w:val="000000"/>
                <w:sz w:val="20"/>
                <w:szCs w:val="20"/>
              </w:rPr>
              <w:t>HOBART TAS 7001</w:t>
            </w:r>
          </w:p>
        </w:tc>
      </w:tr>
      <w:tr w:rsidR="00C40358" w:rsidRPr="005D0D22" w14:paraId="17B143B3" w14:textId="77777777">
        <w:trPr>
          <w:trHeight w:val="300"/>
        </w:trPr>
        <w:tc>
          <w:tcPr>
            <w:tcW w:w="491" w:type="dxa"/>
            <w:vMerge/>
            <w:vAlign w:val="center"/>
            <w:hideMark/>
          </w:tcPr>
          <w:p w14:paraId="5B9462D5" w14:textId="77777777" w:rsidR="00C40358" w:rsidRPr="005D0D22" w:rsidRDefault="00C40358">
            <w:pPr>
              <w:spacing w:line="256" w:lineRule="auto"/>
              <w:jc w:val="left"/>
              <w:rPr>
                <w:rFonts w:ascii="Arial Narrow" w:eastAsia="Aptos" w:hAnsi="Arial Narrow" w:cs="Arial"/>
                <w:kern w:val="2"/>
                <w:sz w:val="16"/>
                <w:szCs w:val="16"/>
                <w:lang w:eastAsia="en-US"/>
                <w14:ligatures w14:val="standardContextual"/>
              </w:rPr>
            </w:pPr>
          </w:p>
        </w:tc>
        <w:tc>
          <w:tcPr>
            <w:tcW w:w="783"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66A0753F" w14:textId="55BCA61F" w:rsidR="00C40358" w:rsidRPr="005D0D22" w:rsidRDefault="00C40358">
            <w:pPr>
              <w:jc w:val="center"/>
              <w:rPr>
                <w:rFonts w:ascii="Arial Narrow" w:eastAsia="Aptos" w:hAnsi="Arial Narrow"/>
                <w:iCs/>
                <w:kern w:val="2"/>
                <w:sz w:val="20"/>
                <w:szCs w:val="20"/>
                <w:lang w:eastAsia="en-US"/>
                <w14:ligatures w14:val="standardContextual"/>
              </w:rPr>
            </w:pPr>
          </w:p>
        </w:tc>
        <w:tc>
          <w:tcPr>
            <w:tcW w:w="7742"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34BED2FF" w14:textId="77777777" w:rsidR="00C40358" w:rsidRPr="005D0D22" w:rsidRDefault="00C40358">
            <w:pPr>
              <w:spacing w:after="160"/>
              <w:contextualSpacing/>
              <w:jc w:val="left"/>
              <w:rPr>
                <w:rFonts w:ascii="Arial Narrow" w:hAnsi="Arial Narrow"/>
                <w:b/>
                <w:bCs/>
                <w:iCs/>
                <w:color w:val="000000"/>
                <w:sz w:val="20"/>
                <w:szCs w:val="20"/>
              </w:rPr>
            </w:pPr>
            <w:r w:rsidRPr="005D0D22">
              <w:rPr>
                <w:rFonts w:ascii="Arial Narrow" w:hAnsi="Arial Narrow"/>
                <w:b/>
                <w:bCs/>
                <w:iCs/>
                <w:color w:val="000000"/>
                <w:sz w:val="20"/>
                <w:szCs w:val="20"/>
              </w:rPr>
              <w:t xml:space="preserve">Administrative Advice: </w:t>
            </w:r>
            <w:r w:rsidRPr="005D0D22">
              <w:rPr>
                <w:rFonts w:ascii="Arial Narrow" w:hAnsi="Arial Narrow"/>
                <w:iCs/>
                <w:color w:val="000000"/>
                <w:sz w:val="20"/>
                <w:szCs w:val="20"/>
              </w:rPr>
              <w:t>No increase in the maximum quantity or number of units may be authorised.</w:t>
            </w:r>
          </w:p>
        </w:tc>
      </w:tr>
      <w:tr w:rsidR="00C40358" w:rsidRPr="005D0D22" w14:paraId="70C6821F" w14:textId="77777777">
        <w:trPr>
          <w:trHeight w:val="300"/>
        </w:trPr>
        <w:tc>
          <w:tcPr>
            <w:tcW w:w="491" w:type="dxa"/>
            <w:vMerge/>
            <w:vAlign w:val="center"/>
            <w:hideMark/>
          </w:tcPr>
          <w:p w14:paraId="067EF350" w14:textId="77777777" w:rsidR="00C40358" w:rsidRPr="005D0D22" w:rsidRDefault="00C40358">
            <w:pPr>
              <w:spacing w:line="256" w:lineRule="auto"/>
              <w:jc w:val="left"/>
              <w:rPr>
                <w:rFonts w:ascii="Arial Narrow" w:eastAsia="Aptos" w:hAnsi="Arial Narrow" w:cs="Arial"/>
                <w:kern w:val="2"/>
                <w:sz w:val="16"/>
                <w:szCs w:val="16"/>
                <w:lang w:eastAsia="en-US"/>
                <w14:ligatures w14:val="standardContextual"/>
              </w:rPr>
            </w:pPr>
          </w:p>
        </w:tc>
        <w:tc>
          <w:tcPr>
            <w:tcW w:w="783"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4F48E9E7" w14:textId="4933E283" w:rsidR="00C40358" w:rsidRPr="005D0D22" w:rsidRDefault="00C40358">
            <w:pPr>
              <w:jc w:val="center"/>
              <w:rPr>
                <w:rFonts w:ascii="Arial Narrow" w:eastAsia="Aptos" w:hAnsi="Arial Narrow"/>
                <w:iCs/>
                <w:kern w:val="2"/>
                <w:sz w:val="20"/>
                <w:szCs w:val="20"/>
                <w:lang w:eastAsia="en-US"/>
                <w14:ligatures w14:val="standardContextual"/>
              </w:rPr>
            </w:pPr>
          </w:p>
        </w:tc>
        <w:tc>
          <w:tcPr>
            <w:tcW w:w="7742"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3B421258" w14:textId="77777777" w:rsidR="00C40358" w:rsidRPr="005D0D22" w:rsidRDefault="00C40358">
            <w:pPr>
              <w:spacing w:after="160"/>
              <w:contextualSpacing/>
              <w:jc w:val="left"/>
              <w:rPr>
                <w:rFonts w:ascii="Arial Narrow" w:hAnsi="Arial Narrow"/>
                <w:b/>
                <w:bCs/>
                <w:iCs/>
                <w:color w:val="000000"/>
                <w:sz w:val="20"/>
                <w:szCs w:val="20"/>
              </w:rPr>
            </w:pPr>
            <w:r w:rsidRPr="005D0D22">
              <w:rPr>
                <w:rFonts w:ascii="Arial Narrow" w:hAnsi="Arial Narrow"/>
                <w:b/>
                <w:bCs/>
                <w:iCs/>
                <w:color w:val="000000"/>
                <w:sz w:val="20"/>
                <w:szCs w:val="20"/>
              </w:rPr>
              <w:t xml:space="preserve">Administrative Advice: </w:t>
            </w:r>
            <w:r w:rsidRPr="005D0D22">
              <w:rPr>
                <w:rFonts w:ascii="Arial Narrow" w:hAnsi="Arial Narrow"/>
                <w:iCs/>
                <w:color w:val="000000"/>
                <w:sz w:val="20"/>
                <w:szCs w:val="20"/>
              </w:rPr>
              <w:t>No increase in the maximum number of repeats may be authorised.</w:t>
            </w:r>
          </w:p>
        </w:tc>
      </w:tr>
      <w:tr w:rsidR="00C40358" w:rsidRPr="005D0D22" w14:paraId="21918C65" w14:textId="77777777">
        <w:trPr>
          <w:trHeight w:val="300"/>
        </w:trPr>
        <w:tc>
          <w:tcPr>
            <w:tcW w:w="491" w:type="dxa"/>
            <w:vMerge/>
            <w:vAlign w:val="center"/>
            <w:hideMark/>
          </w:tcPr>
          <w:p w14:paraId="0A7ADC65" w14:textId="77777777" w:rsidR="00C40358" w:rsidRPr="005D0D22" w:rsidRDefault="00C40358">
            <w:pPr>
              <w:spacing w:line="256" w:lineRule="auto"/>
              <w:jc w:val="left"/>
              <w:rPr>
                <w:rFonts w:ascii="Arial Narrow" w:eastAsia="Aptos" w:hAnsi="Arial Narrow" w:cs="Arial"/>
                <w:kern w:val="2"/>
                <w:sz w:val="16"/>
                <w:szCs w:val="16"/>
                <w:lang w:eastAsia="en-US"/>
                <w14:ligatures w14:val="standardContextual"/>
              </w:rPr>
            </w:pPr>
          </w:p>
        </w:tc>
        <w:tc>
          <w:tcPr>
            <w:tcW w:w="783"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2665CF5B" w14:textId="03E79501" w:rsidR="00C40358" w:rsidRPr="005D0D22" w:rsidRDefault="00C40358">
            <w:pPr>
              <w:jc w:val="center"/>
              <w:rPr>
                <w:rFonts w:ascii="Arial Narrow" w:eastAsia="Aptos" w:hAnsi="Arial Narrow"/>
                <w:iCs/>
                <w:kern w:val="2"/>
                <w:sz w:val="20"/>
                <w:szCs w:val="20"/>
                <w:lang w:eastAsia="en-US"/>
                <w14:ligatures w14:val="standardContextual"/>
              </w:rPr>
            </w:pPr>
          </w:p>
        </w:tc>
        <w:tc>
          <w:tcPr>
            <w:tcW w:w="7742"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2AD0A688" w14:textId="77777777" w:rsidR="00C40358" w:rsidRPr="005D0D22" w:rsidRDefault="00C40358">
            <w:pPr>
              <w:spacing w:after="160"/>
              <w:contextualSpacing/>
              <w:jc w:val="left"/>
              <w:rPr>
                <w:rFonts w:ascii="Arial Narrow" w:hAnsi="Arial Narrow"/>
                <w:b/>
                <w:bCs/>
                <w:iCs/>
                <w:color w:val="000000"/>
                <w:sz w:val="20"/>
                <w:szCs w:val="20"/>
              </w:rPr>
            </w:pPr>
            <w:r w:rsidRPr="005D0D22">
              <w:rPr>
                <w:rFonts w:ascii="Arial Narrow" w:hAnsi="Arial Narrow"/>
                <w:b/>
                <w:bCs/>
                <w:iCs/>
                <w:color w:val="000000"/>
                <w:sz w:val="20"/>
                <w:szCs w:val="20"/>
              </w:rPr>
              <w:t xml:space="preserve">Administrative Advice: </w:t>
            </w:r>
            <w:r w:rsidRPr="005D0D22">
              <w:rPr>
                <w:rFonts w:ascii="Arial Narrow" w:hAnsi="Arial Narrow"/>
                <w:iCs/>
                <w:color w:val="000000"/>
                <w:sz w:val="20"/>
                <w:szCs w:val="20"/>
              </w:rPr>
              <w:t>Special Pricing Arrangements apply.</w:t>
            </w:r>
          </w:p>
        </w:tc>
      </w:tr>
      <w:tr w:rsidR="00C40358" w:rsidRPr="005D0D22" w14:paraId="5BFB31BF" w14:textId="77777777" w:rsidTr="002408E2">
        <w:trPr>
          <w:cantSplit/>
          <w:trHeight w:val="20"/>
        </w:trPr>
        <w:tc>
          <w:tcPr>
            <w:tcW w:w="9016" w:type="dxa"/>
            <w:gridSpan w:val="8"/>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67C3C220" w14:textId="365FA857" w:rsidR="00C40358" w:rsidRPr="005D0D22" w:rsidRDefault="00C40358">
            <w:pPr>
              <w:keepLines/>
              <w:spacing w:after="160"/>
              <w:contextualSpacing/>
              <w:jc w:val="left"/>
              <w:rPr>
                <w:rFonts w:ascii="Arial Narrow" w:hAnsi="Arial Narrow"/>
                <w:b/>
                <w:bCs/>
                <w:color w:val="000000"/>
                <w:sz w:val="20"/>
                <w:szCs w:val="20"/>
              </w:rPr>
            </w:pPr>
          </w:p>
        </w:tc>
      </w:tr>
      <w:tr w:rsidR="00C40358" w:rsidRPr="005D0D22" w14:paraId="7A7B4265" w14:textId="77777777">
        <w:trPr>
          <w:cantSplit/>
          <w:trHeight w:val="20"/>
        </w:trPr>
        <w:tc>
          <w:tcPr>
            <w:tcW w:w="1274"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4EB04A59" w14:textId="719A854C" w:rsidR="00C40358" w:rsidRPr="005D0D22" w:rsidRDefault="00C40358">
            <w:pPr>
              <w:spacing w:after="160"/>
              <w:contextualSpacing/>
              <w:jc w:val="center"/>
              <w:rPr>
                <w:rFonts w:ascii="Arial Narrow" w:hAnsi="Arial Narrow"/>
                <w:color w:val="333333"/>
                <w:sz w:val="20"/>
                <w:szCs w:val="20"/>
              </w:rPr>
            </w:pPr>
          </w:p>
        </w:tc>
        <w:tc>
          <w:tcPr>
            <w:tcW w:w="7742"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5C2109A1" w14:textId="77777777" w:rsidR="00C40358" w:rsidRPr="005D0D22" w:rsidRDefault="00C40358">
            <w:pPr>
              <w:spacing w:after="160"/>
              <w:contextualSpacing/>
              <w:jc w:val="left"/>
              <w:rPr>
                <w:rFonts w:ascii="Arial Narrow" w:hAnsi="Arial Narrow"/>
                <w:b/>
                <w:bCs/>
                <w:color w:val="000000"/>
                <w:sz w:val="20"/>
                <w:szCs w:val="20"/>
              </w:rPr>
            </w:pPr>
            <w:r w:rsidRPr="005D0D22">
              <w:rPr>
                <w:rFonts w:ascii="Arial Narrow" w:hAnsi="Arial Narrow"/>
                <w:b/>
                <w:bCs/>
                <w:color w:val="000000"/>
                <w:sz w:val="20"/>
                <w:szCs w:val="20"/>
              </w:rPr>
              <w:t>Indication:</w:t>
            </w:r>
            <w:r w:rsidRPr="005D0D22">
              <w:rPr>
                <w:rFonts w:ascii="Arial Narrow" w:hAnsi="Arial Narrow"/>
                <w:color w:val="000000"/>
                <w:sz w:val="20"/>
                <w:szCs w:val="20"/>
              </w:rPr>
              <w:t xml:space="preserve"> </w:t>
            </w:r>
            <w:r w:rsidRPr="005D0D22">
              <w:rPr>
                <w:rFonts w:ascii="Arial Narrow" w:eastAsia="Arial Narrow" w:hAnsi="Arial Narrow" w:cs="Arial Narrow"/>
                <w:color w:val="000000"/>
                <w:sz w:val="20"/>
                <w:szCs w:val="20"/>
                <w:lang w:eastAsia="en-US"/>
              </w:rPr>
              <w:t>Treatment refractory</w:t>
            </w:r>
            <w:r w:rsidRPr="005D0D22">
              <w:rPr>
                <w:rFonts w:ascii="Arial Narrow" w:hAnsi="Arial Narrow"/>
                <w:color w:val="000000"/>
                <w:sz w:val="20"/>
                <w:szCs w:val="20"/>
              </w:rPr>
              <w:t xml:space="preserve"> generalised myasthenia gravis (gMG)</w:t>
            </w:r>
          </w:p>
        </w:tc>
      </w:tr>
      <w:tr w:rsidR="00C40358" w:rsidRPr="005D0D22" w14:paraId="2D86D06D" w14:textId="77777777">
        <w:trPr>
          <w:cantSplit/>
          <w:trHeight w:val="20"/>
        </w:trPr>
        <w:tc>
          <w:tcPr>
            <w:tcW w:w="1274"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65AF25E2" w14:textId="77777777" w:rsidR="00C40358" w:rsidRPr="005D0D22" w:rsidRDefault="00C40358">
            <w:pPr>
              <w:spacing w:after="160"/>
              <w:contextualSpacing/>
              <w:jc w:val="center"/>
              <w:rPr>
                <w:rFonts w:ascii="Arial Narrow" w:hAnsi="Arial Narrow"/>
                <w:color w:val="333333"/>
                <w:sz w:val="20"/>
                <w:szCs w:val="20"/>
              </w:rPr>
            </w:pPr>
          </w:p>
        </w:tc>
        <w:tc>
          <w:tcPr>
            <w:tcW w:w="7742"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0B4D3F6C" w14:textId="77777777" w:rsidR="00C40358" w:rsidRPr="005D0D22" w:rsidRDefault="00C40358">
            <w:pPr>
              <w:spacing w:after="160"/>
              <w:contextualSpacing/>
              <w:jc w:val="left"/>
              <w:rPr>
                <w:rFonts w:ascii="Arial Narrow" w:hAnsi="Arial Narrow"/>
                <w:b/>
                <w:bCs/>
                <w:color w:val="000000"/>
                <w:sz w:val="20"/>
                <w:szCs w:val="20"/>
              </w:rPr>
            </w:pPr>
            <w:r w:rsidRPr="005D0D22">
              <w:rPr>
                <w:rFonts w:ascii="Arial Narrow" w:hAnsi="Arial Narrow"/>
                <w:b/>
                <w:bCs/>
                <w:color w:val="000000"/>
                <w:sz w:val="20"/>
                <w:szCs w:val="20"/>
              </w:rPr>
              <w:t xml:space="preserve">Treatment Phase: </w:t>
            </w:r>
            <w:r w:rsidRPr="005D0D22">
              <w:rPr>
                <w:rFonts w:ascii="Arial Narrow" w:hAnsi="Arial Narrow"/>
                <w:color w:val="000000"/>
                <w:sz w:val="20"/>
                <w:szCs w:val="20"/>
              </w:rPr>
              <w:t xml:space="preserve">Initial treatment – </w:t>
            </w:r>
            <w:r w:rsidRPr="005D0D22">
              <w:rPr>
                <w:rFonts w:ascii="Arial Narrow" w:eastAsia="Arial Narrow" w:hAnsi="Arial Narrow" w:cs="Arial Narrow"/>
                <w:color w:val="000000"/>
                <w:sz w:val="20"/>
                <w:szCs w:val="20"/>
                <w:lang w:eastAsia="en-US"/>
              </w:rPr>
              <w:t>Treatment refractory</w:t>
            </w:r>
            <w:r w:rsidRPr="005D0D22">
              <w:rPr>
                <w:rFonts w:ascii="Arial Narrow" w:hAnsi="Arial Narrow"/>
                <w:color w:val="000000"/>
                <w:sz w:val="20"/>
                <w:szCs w:val="20"/>
              </w:rPr>
              <w:t xml:space="preserve"> gMG patients </w:t>
            </w:r>
          </w:p>
        </w:tc>
      </w:tr>
      <w:tr w:rsidR="00C40358" w:rsidRPr="005D0D22" w14:paraId="58E81526" w14:textId="77777777">
        <w:trPr>
          <w:cantSplit/>
          <w:trHeight w:val="20"/>
        </w:trPr>
        <w:tc>
          <w:tcPr>
            <w:tcW w:w="1274"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27F6B64C" w14:textId="4BD81ED3" w:rsidR="00C40358" w:rsidRPr="005D0D22" w:rsidRDefault="00C40358">
            <w:pPr>
              <w:spacing w:after="160"/>
              <w:contextualSpacing/>
              <w:jc w:val="center"/>
              <w:rPr>
                <w:rFonts w:ascii="Arial Narrow" w:hAnsi="Arial Narrow"/>
                <w:color w:val="333333"/>
                <w:sz w:val="20"/>
                <w:szCs w:val="20"/>
              </w:rPr>
            </w:pPr>
          </w:p>
        </w:tc>
        <w:tc>
          <w:tcPr>
            <w:tcW w:w="7742"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3EBC4D23" w14:textId="77777777" w:rsidR="00C40358" w:rsidRPr="005D0D22" w:rsidRDefault="00C40358">
            <w:pPr>
              <w:spacing w:after="160"/>
              <w:contextualSpacing/>
              <w:jc w:val="left"/>
              <w:rPr>
                <w:rFonts w:ascii="Arial Narrow" w:hAnsi="Arial Narrow"/>
                <w:color w:val="000000"/>
                <w:sz w:val="20"/>
                <w:szCs w:val="20"/>
              </w:rPr>
            </w:pPr>
            <w:r w:rsidRPr="005D0D22">
              <w:rPr>
                <w:rFonts w:ascii="Arial Narrow" w:hAnsi="Arial Narrow"/>
                <w:b/>
                <w:bCs/>
                <w:color w:val="000000"/>
                <w:sz w:val="20"/>
                <w:szCs w:val="20"/>
              </w:rPr>
              <w:t>Clinical criteria:</w:t>
            </w:r>
          </w:p>
        </w:tc>
      </w:tr>
      <w:tr w:rsidR="00C40358" w:rsidRPr="005D0D22" w14:paraId="1EC58D1C" w14:textId="77777777">
        <w:trPr>
          <w:cantSplit/>
          <w:trHeight w:val="20"/>
        </w:trPr>
        <w:tc>
          <w:tcPr>
            <w:tcW w:w="1274"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5A80400D" w14:textId="2FCB67B8" w:rsidR="00C40358" w:rsidRPr="005D0D22" w:rsidRDefault="00C40358">
            <w:pPr>
              <w:spacing w:after="160"/>
              <w:contextualSpacing/>
              <w:jc w:val="center"/>
              <w:rPr>
                <w:rFonts w:ascii="Arial Narrow" w:hAnsi="Arial Narrow"/>
                <w:sz w:val="20"/>
                <w:szCs w:val="20"/>
              </w:rPr>
            </w:pPr>
          </w:p>
        </w:tc>
        <w:tc>
          <w:tcPr>
            <w:tcW w:w="7742"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0526061F" w14:textId="77777777" w:rsidR="00C40358" w:rsidRPr="005D0D22" w:rsidRDefault="00C40358">
            <w:pPr>
              <w:spacing w:after="160"/>
              <w:contextualSpacing/>
              <w:jc w:val="left"/>
              <w:rPr>
                <w:rFonts w:ascii="Arial Narrow" w:hAnsi="Arial Narrow"/>
                <w:color w:val="000000"/>
                <w:sz w:val="20"/>
                <w:szCs w:val="20"/>
              </w:rPr>
            </w:pPr>
            <w:r w:rsidRPr="005D0D22">
              <w:rPr>
                <w:rFonts w:ascii="Arial Narrow" w:hAnsi="Arial Narrow"/>
                <w:color w:val="333333"/>
                <w:kern w:val="2"/>
                <w:sz w:val="20"/>
                <w:szCs w:val="20"/>
                <w14:ligatures w14:val="standardContextual"/>
              </w:rPr>
              <w:t xml:space="preserve">Patient must have a diagnosis of MGFA Disease </w:t>
            </w:r>
            <w:r w:rsidRPr="005D0D22">
              <w:rPr>
                <w:rFonts w:ascii="Arial Narrow" w:hAnsi="Arial Narrow"/>
                <w:color w:val="000000"/>
                <w:kern w:val="2"/>
                <w:sz w:val="20"/>
                <w:szCs w:val="20"/>
                <w14:ligatures w14:val="standardContextual"/>
              </w:rPr>
              <w:t xml:space="preserve">Class II to IV </w:t>
            </w:r>
          </w:p>
        </w:tc>
      </w:tr>
      <w:tr w:rsidR="00C40358" w:rsidRPr="005D0D22" w14:paraId="436A2687" w14:textId="77777777">
        <w:trPr>
          <w:cantSplit/>
          <w:trHeight w:val="20"/>
        </w:trPr>
        <w:tc>
          <w:tcPr>
            <w:tcW w:w="1274"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1BC32758" w14:textId="77777777" w:rsidR="00C40358" w:rsidRPr="005D0D22" w:rsidRDefault="00C40358">
            <w:pPr>
              <w:spacing w:after="160"/>
              <w:contextualSpacing/>
              <w:jc w:val="center"/>
              <w:rPr>
                <w:rFonts w:ascii="Arial Narrow" w:hAnsi="Arial Narrow"/>
                <w:sz w:val="20"/>
                <w:szCs w:val="20"/>
              </w:rPr>
            </w:pPr>
          </w:p>
        </w:tc>
        <w:tc>
          <w:tcPr>
            <w:tcW w:w="7742"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28C908FA" w14:textId="77777777" w:rsidR="00C40358" w:rsidRPr="005D0D22" w:rsidRDefault="00C40358">
            <w:pPr>
              <w:spacing w:after="160"/>
              <w:contextualSpacing/>
              <w:jc w:val="left"/>
              <w:rPr>
                <w:rFonts w:ascii="Arial Narrow" w:hAnsi="Arial Narrow"/>
                <w:color w:val="000000"/>
                <w:sz w:val="20"/>
                <w:szCs w:val="20"/>
              </w:rPr>
            </w:pPr>
            <w:r w:rsidRPr="005D0D22">
              <w:rPr>
                <w:rFonts w:ascii="Arial Narrow" w:hAnsi="Arial Narrow"/>
                <w:b/>
                <w:bCs/>
                <w:color w:val="000000"/>
                <w:sz w:val="20"/>
                <w:szCs w:val="20"/>
              </w:rPr>
              <w:t>AND</w:t>
            </w:r>
          </w:p>
        </w:tc>
      </w:tr>
      <w:tr w:rsidR="00C40358" w:rsidRPr="005D0D22" w14:paraId="24AB8DD5" w14:textId="77777777">
        <w:trPr>
          <w:cantSplit/>
          <w:trHeight w:val="20"/>
        </w:trPr>
        <w:tc>
          <w:tcPr>
            <w:tcW w:w="1274"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5A54DC5D" w14:textId="566852A3" w:rsidR="00C40358" w:rsidRPr="005D0D22" w:rsidRDefault="00C40358">
            <w:pPr>
              <w:spacing w:after="160"/>
              <w:contextualSpacing/>
              <w:jc w:val="center"/>
              <w:rPr>
                <w:rFonts w:ascii="Arial Narrow" w:hAnsi="Arial Narrow"/>
                <w:sz w:val="20"/>
                <w:szCs w:val="20"/>
              </w:rPr>
            </w:pPr>
          </w:p>
        </w:tc>
        <w:tc>
          <w:tcPr>
            <w:tcW w:w="7742"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0496B507" w14:textId="77777777" w:rsidR="00C40358" w:rsidRPr="005D0D22" w:rsidRDefault="00C40358">
            <w:pPr>
              <w:spacing w:after="160"/>
              <w:contextualSpacing/>
              <w:jc w:val="left"/>
              <w:rPr>
                <w:rFonts w:ascii="Arial Narrow" w:hAnsi="Arial Narrow"/>
                <w:color w:val="000000"/>
                <w:sz w:val="20"/>
                <w:szCs w:val="20"/>
              </w:rPr>
            </w:pPr>
            <w:r w:rsidRPr="005D0D22">
              <w:rPr>
                <w:rFonts w:ascii="Arial Narrow" w:hAnsi="Arial Narrow"/>
                <w:b/>
                <w:bCs/>
                <w:color w:val="000000"/>
                <w:sz w:val="20"/>
                <w:szCs w:val="20"/>
              </w:rPr>
              <w:t>Clinical criteria:</w:t>
            </w:r>
          </w:p>
        </w:tc>
      </w:tr>
      <w:tr w:rsidR="00C40358" w:rsidRPr="005D0D22" w14:paraId="516B3B5F" w14:textId="77777777">
        <w:trPr>
          <w:cantSplit/>
          <w:trHeight w:val="20"/>
        </w:trPr>
        <w:tc>
          <w:tcPr>
            <w:tcW w:w="1274"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646CF85F" w14:textId="35CADAC2" w:rsidR="00C40358" w:rsidRPr="005D0D22" w:rsidRDefault="00C40358">
            <w:pPr>
              <w:spacing w:after="160"/>
              <w:contextualSpacing/>
              <w:jc w:val="center"/>
              <w:rPr>
                <w:rFonts w:ascii="Arial Narrow" w:hAnsi="Arial Narrow"/>
                <w:sz w:val="20"/>
                <w:szCs w:val="20"/>
              </w:rPr>
            </w:pPr>
          </w:p>
        </w:tc>
        <w:tc>
          <w:tcPr>
            <w:tcW w:w="7742"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4381461A" w14:textId="77777777" w:rsidR="00C40358" w:rsidRPr="005D0D22" w:rsidRDefault="00C40358">
            <w:pPr>
              <w:spacing w:after="160"/>
              <w:contextualSpacing/>
              <w:jc w:val="left"/>
              <w:rPr>
                <w:rFonts w:ascii="Arial Narrow" w:hAnsi="Arial Narrow"/>
                <w:sz w:val="20"/>
                <w:szCs w:val="20"/>
              </w:rPr>
            </w:pPr>
            <w:r w:rsidRPr="005D0D22">
              <w:rPr>
                <w:rFonts w:ascii="Arial Narrow" w:hAnsi="Arial Narrow"/>
                <w:bCs/>
                <w:kern w:val="2"/>
                <w:sz w:val="20"/>
                <w:szCs w:val="20"/>
                <w14:ligatures w14:val="standardContextual"/>
              </w:rPr>
              <w:t>Patient must have a positive serology for acetylcholine receptor (AChR) binding autoantibodies</w:t>
            </w:r>
          </w:p>
        </w:tc>
      </w:tr>
      <w:tr w:rsidR="00C40358" w:rsidRPr="005D0D22" w14:paraId="53DC0C25" w14:textId="77777777">
        <w:trPr>
          <w:cantSplit/>
          <w:trHeight w:val="20"/>
        </w:trPr>
        <w:tc>
          <w:tcPr>
            <w:tcW w:w="1274"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19D182E1" w14:textId="77777777" w:rsidR="00C40358" w:rsidRPr="005D0D22" w:rsidRDefault="00C40358">
            <w:pPr>
              <w:spacing w:after="160"/>
              <w:contextualSpacing/>
              <w:jc w:val="center"/>
              <w:rPr>
                <w:rFonts w:ascii="Arial Narrow" w:hAnsi="Arial Narrow"/>
                <w:sz w:val="20"/>
                <w:szCs w:val="20"/>
              </w:rPr>
            </w:pPr>
          </w:p>
        </w:tc>
        <w:tc>
          <w:tcPr>
            <w:tcW w:w="7742"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1596C3A3" w14:textId="77777777" w:rsidR="00C40358" w:rsidRPr="005D0D22" w:rsidRDefault="00C40358">
            <w:pPr>
              <w:spacing w:after="160"/>
              <w:contextualSpacing/>
              <w:jc w:val="left"/>
              <w:rPr>
                <w:rFonts w:ascii="Arial Narrow" w:hAnsi="Arial Narrow"/>
                <w:sz w:val="20"/>
                <w:szCs w:val="20"/>
              </w:rPr>
            </w:pPr>
            <w:r w:rsidRPr="005D0D22">
              <w:rPr>
                <w:rFonts w:ascii="Arial Narrow" w:eastAsia="Calibri" w:hAnsi="Arial Narrow"/>
                <w:b/>
                <w:bCs/>
                <w:sz w:val="20"/>
                <w:szCs w:val="20"/>
                <w:lang w:eastAsia="en-US"/>
              </w:rPr>
              <w:t>AND</w:t>
            </w:r>
          </w:p>
        </w:tc>
      </w:tr>
      <w:tr w:rsidR="00C40358" w:rsidRPr="005D0D22" w14:paraId="4A3FE16A" w14:textId="77777777">
        <w:trPr>
          <w:cantSplit/>
          <w:trHeight w:val="20"/>
        </w:trPr>
        <w:tc>
          <w:tcPr>
            <w:tcW w:w="1274"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3BCACFAB" w14:textId="5194FDCD" w:rsidR="00C40358" w:rsidRPr="005D0D22" w:rsidRDefault="00C40358">
            <w:pPr>
              <w:spacing w:after="160"/>
              <w:contextualSpacing/>
              <w:jc w:val="center"/>
              <w:rPr>
                <w:rFonts w:ascii="Arial Narrow" w:hAnsi="Arial Narrow"/>
                <w:sz w:val="20"/>
                <w:szCs w:val="20"/>
              </w:rPr>
            </w:pPr>
          </w:p>
        </w:tc>
        <w:tc>
          <w:tcPr>
            <w:tcW w:w="7742"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6E8D9FFF" w14:textId="77777777" w:rsidR="00C40358" w:rsidRPr="005D0D22" w:rsidRDefault="00C40358">
            <w:pPr>
              <w:spacing w:after="160"/>
              <w:contextualSpacing/>
              <w:jc w:val="left"/>
              <w:rPr>
                <w:rFonts w:ascii="Arial Narrow" w:hAnsi="Arial Narrow"/>
                <w:sz w:val="20"/>
                <w:szCs w:val="20"/>
              </w:rPr>
            </w:pPr>
            <w:r w:rsidRPr="005D0D22">
              <w:rPr>
                <w:rFonts w:ascii="Arial Narrow" w:eastAsia="Calibri" w:hAnsi="Arial Narrow"/>
                <w:b/>
                <w:bCs/>
                <w:sz w:val="20"/>
                <w:szCs w:val="20"/>
                <w:lang w:eastAsia="en-US"/>
              </w:rPr>
              <w:t>Clinical criteria:</w:t>
            </w:r>
          </w:p>
        </w:tc>
      </w:tr>
      <w:tr w:rsidR="00C40358" w:rsidRPr="005D0D22" w14:paraId="7FEA5C96" w14:textId="77777777">
        <w:trPr>
          <w:cantSplit/>
          <w:trHeight w:val="20"/>
        </w:trPr>
        <w:tc>
          <w:tcPr>
            <w:tcW w:w="1274"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0FB76904" w14:textId="0B147CF4" w:rsidR="00C40358" w:rsidRPr="005D0D22" w:rsidRDefault="00C40358">
            <w:pPr>
              <w:spacing w:after="160"/>
              <w:contextualSpacing/>
              <w:jc w:val="center"/>
              <w:rPr>
                <w:rFonts w:ascii="Arial Narrow" w:hAnsi="Arial Narrow"/>
                <w:sz w:val="20"/>
                <w:szCs w:val="20"/>
              </w:rPr>
            </w:pPr>
          </w:p>
        </w:tc>
        <w:tc>
          <w:tcPr>
            <w:tcW w:w="7742"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0A447933" w14:textId="77777777" w:rsidR="00C40358" w:rsidRPr="005D0D22" w:rsidRDefault="00C40358">
            <w:pPr>
              <w:spacing w:after="160"/>
              <w:contextualSpacing/>
              <w:jc w:val="left"/>
              <w:rPr>
                <w:rFonts w:ascii="Arial Narrow" w:hAnsi="Arial Narrow"/>
                <w:sz w:val="20"/>
                <w:szCs w:val="20"/>
              </w:rPr>
            </w:pPr>
            <w:r w:rsidRPr="005D0D22">
              <w:rPr>
                <w:rFonts w:ascii="Arial Narrow" w:eastAsia="Calibri" w:hAnsi="Arial Narrow"/>
                <w:sz w:val="20"/>
                <w:szCs w:val="20"/>
                <w:lang w:eastAsia="en-US"/>
              </w:rPr>
              <w:t xml:space="preserve">Patient must not be experiencing a myasthenic crisis </w:t>
            </w:r>
          </w:p>
        </w:tc>
      </w:tr>
      <w:tr w:rsidR="00C40358" w:rsidRPr="005D0D22" w14:paraId="13C36E8A" w14:textId="77777777">
        <w:trPr>
          <w:cantSplit/>
          <w:trHeight w:val="20"/>
        </w:trPr>
        <w:tc>
          <w:tcPr>
            <w:tcW w:w="1274"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5CEED622" w14:textId="77777777" w:rsidR="00C40358" w:rsidRPr="005D0D22" w:rsidRDefault="00C40358">
            <w:pPr>
              <w:spacing w:after="160"/>
              <w:contextualSpacing/>
              <w:jc w:val="center"/>
              <w:rPr>
                <w:rFonts w:ascii="Arial Narrow" w:hAnsi="Arial Narrow"/>
                <w:sz w:val="20"/>
                <w:szCs w:val="20"/>
              </w:rPr>
            </w:pPr>
          </w:p>
        </w:tc>
        <w:tc>
          <w:tcPr>
            <w:tcW w:w="7742"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5199C911" w14:textId="77777777" w:rsidR="00C40358" w:rsidRPr="005D0D22" w:rsidRDefault="00C40358">
            <w:pPr>
              <w:spacing w:after="160"/>
              <w:contextualSpacing/>
              <w:jc w:val="left"/>
              <w:rPr>
                <w:rFonts w:ascii="Arial Narrow" w:eastAsia="Calibri" w:hAnsi="Arial Narrow"/>
                <w:color w:val="000000"/>
                <w:sz w:val="20"/>
                <w:szCs w:val="20"/>
                <w:lang w:eastAsia="en-US"/>
              </w:rPr>
            </w:pPr>
            <w:r w:rsidRPr="005D0D22">
              <w:rPr>
                <w:rFonts w:ascii="Arial Narrow" w:eastAsia="Calibri" w:hAnsi="Arial Narrow"/>
                <w:b/>
                <w:bCs/>
                <w:color w:val="000000"/>
                <w:sz w:val="20"/>
                <w:szCs w:val="20"/>
                <w:lang w:eastAsia="en-US"/>
              </w:rPr>
              <w:t>AND</w:t>
            </w:r>
          </w:p>
        </w:tc>
      </w:tr>
      <w:tr w:rsidR="00C40358" w:rsidRPr="005D0D22" w14:paraId="63E82C35" w14:textId="77777777">
        <w:trPr>
          <w:cantSplit/>
          <w:trHeight w:val="20"/>
        </w:trPr>
        <w:tc>
          <w:tcPr>
            <w:tcW w:w="1274"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4B74640C" w14:textId="762FE783" w:rsidR="00C40358" w:rsidRPr="005D0D22" w:rsidRDefault="00C40358">
            <w:pPr>
              <w:spacing w:after="160"/>
              <w:contextualSpacing/>
              <w:jc w:val="center"/>
              <w:rPr>
                <w:rFonts w:ascii="Arial Narrow" w:hAnsi="Arial Narrow"/>
                <w:sz w:val="20"/>
                <w:szCs w:val="20"/>
              </w:rPr>
            </w:pPr>
          </w:p>
        </w:tc>
        <w:tc>
          <w:tcPr>
            <w:tcW w:w="7742"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4B2EF7E0" w14:textId="77777777" w:rsidR="00C40358" w:rsidRPr="005D0D22" w:rsidRDefault="00C40358">
            <w:pPr>
              <w:spacing w:after="160"/>
              <w:contextualSpacing/>
              <w:jc w:val="left"/>
              <w:rPr>
                <w:rFonts w:ascii="Arial Narrow" w:eastAsia="Calibri" w:hAnsi="Arial Narrow"/>
                <w:color w:val="000000"/>
                <w:sz w:val="20"/>
                <w:szCs w:val="20"/>
                <w:lang w:eastAsia="en-US"/>
              </w:rPr>
            </w:pPr>
            <w:r w:rsidRPr="005D0D22">
              <w:rPr>
                <w:rFonts w:ascii="Arial Narrow" w:eastAsia="Calibri" w:hAnsi="Arial Narrow"/>
                <w:b/>
                <w:bCs/>
                <w:color w:val="000000"/>
                <w:sz w:val="20"/>
                <w:szCs w:val="20"/>
                <w:lang w:eastAsia="en-US"/>
              </w:rPr>
              <w:t>Clinical criteria:</w:t>
            </w:r>
          </w:p>
        </w:tc>
      </w:tr>
      <w:tr w:rsidR="00C40358" w:rsidRPr="005D0D22" w14:paraId="42BF02E5" w14:textId="77777777">
        <w:trPr>
          <w:cantSplit/>
          <w:trHeight w:val="20"/>
        </w:trPr>
        <w:tc>
          <w:tcPr>
            <w:tcW w:w="1274"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5CF4D34E" w14:textId="4DD1A96C" w:rsidR="00C40358" w:rsidRPr="005D0D22" w:rsidRDefault="00C40358">
            <w:pPr>
              <w:spacing w:after="160"/>
              <w:contextualSpacing/>
              <w:jc w:val="center"/>
              <w:rPr>
                <w:rFonts w:ascii="Arial Narrow" w:hAnsi="Arial Narrow"/>
                <w:color w:val="FF0000"/>
                <w:sz w:val="20"/>
                <w:szCs w:val="20"/>
              </w:rPr>
            </w:pPr>
          </w:p>
        </w:tc>
        <w:tc>
          <w:tcPr>
            <w:tcW w:w="7742"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375B4050" w14:textId="77777777" w:rsidR="00C40358" w:rsidRPr="005D0D22" w:rsidRDefault="00C40358">
            <w:pPr>
              <w:spacing w:after="160"/>
              <w:contextualSpacing/>
              <w:jc w:val="left"/>
              <w:rPr>
                <w:rFonts w:ascii="Arial Narrow" w:eastAsia="Calibri" w:hAnsi="Arial Narrow"/>
                <w:color w:val="000000"/>
                <w:sz w:val="20"/>
                <w:szCs w:val="20"/>
                <w:lang w:eastAsia="en-US"/>
              </w:rPr>
            </w:pPr>
            <w:r w:rsidRPr="005D0D22">
              <w:rPr>
                <w:rFonts w:ascii="Arial Narrow" w:eastAsia="Calibri" w:hAnsi="Arial Narrow"/>
                <w:color w:val="000000"/>
                <w:sz w:val="20"/>
                <w:szCs w:val="20"/>
                <w:lang w:eastAsia="en-US"/>
              </w:rPr>
              <w:t>Patient must not have received treatment with a gMG biologic within 3 months prior to the first authority application for this indication (i.e. in treatment refractory setting); or</w:t>
            </w:r>
          </w:p>
        </w:tc>
      </w:tr>
      <w:tr w:rsidR="00C40358" w:rsidRPr="005D0D22" w14:paraId="319A7FF9" w14:textId="77777777">
        <w:trPr>
          <w:cantSplit/>
          <w:trHeight w:val="20"/>
        </w:trPr>
        <w:tc>
          <w:tcPr>
            <w:tcW w:w="1274"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34DEF01F" w14:textId="43DEA456" w:rsidR="00C40358" w:rsidRPr="005D0D22" w:rsidRDefault="00C40358">
            <w:pPr>
              <w:spacing w:after="160"/>
              <w:contextualSpacing/>
              <w:jc w:val="center"/>
              <w:rPr>
                <w:rFonts w:ascii="Arial Narrow" w:hAnsi="Arial Narrow"/>
                <w:sz w:val="20"/>
                <w:szCs w:val="20"/>
              </w:rPr>
            </w:pPr>
          </w:p>
        </w:tc>
        <w:tc>
          <w:tcPr>
            <w:tcW w:w="7742"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67AEA270" w14:textId="77777777" w:rsidR="00C40358" w:rsidRPr="005D0D22" w:rsidRDefault="00C40358">
            <w:pPr>
              <w:spacing w:after="160"/>
              <w:contextualSpacing/>
              <w:jc w:val="left"/>
              <w:rPr>
                <w:rFonts w:ascii="Arial Narrow" w:eastAsia="Calibri" w:hAnsi="Arial Narrow"/>
                <w:color w:val="000000"/>
                <w:sz w:val="20"/>
                <w:szCs w:val="20"/>
                <w:lang w:eastAsia="en-US"/>
              </w:rPr>
            </w:pPr>
            <w:r w:rsidRPr="005D0D22">
              <w:rPr>
                <w:rFonts w:ascii="Arial Narrow" w:eastAsia="Calibri" w:hAnsi="Arial Narrow"/>
                <w:color w:val="000000"/>
                <w:sz w:val="20"/>
                <w:szCs w:val="20"/>
                <w:lang w:eastAsia="en-US"/>
              </w:rPr>
              <w:t xml:space="preserve">Patient must be considered by the treating clinician to have deteriorating gMG disease during a treatment break with a gMG biological agent; </w:t>
            </w:r>
          </w:p>
        </w:tc>
      </w:tr>
      <w:tr w:rsidR="00C40358" w:rsidRPr="005D0D22" w14:paraId="0E768B91" w14:textId="77777777">
        <w:trPr>
          <w:cantSplit/>
          <w:trHeight w:val="20"/>
        </w:trPr>
        <w:tc>
          <w:tcPr>
            <w:tcW w:w="1274"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0F2C52C5" w14:textId="77777777" w:rsidR="00C40358" w:rsidRPr="005D0D22" w:rsidRDefault="00C40358">
            <w:pPr>
              <w:spacing w:after="160"/>
              <w:contextualSpacing/>
              <w:jc w:val="center"/>
              <w:rPr>
                <w:rFonts w:ascii="Arial Narrow" w:hAnsi="Arial Narrow"/>
                <w:sz w:val="20"/>
                <w:szCs w:val="20"/>
              </w:rPr>
            </w:pPr>
          </w:p>
        </w:tc>
        <w:tc>
          <w:tcPr>
            <w:tcW w:w="7742"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327004D7" w14:textId="77777777" w:rsidR="00C40358" w:rsidRPr="005D0D22" w:rsidRDefault="00C40358">
            <w:pPr>
              <w:spacing w:after="160"/>
              <w:contextualSpacing/>
              <w:jc w:val="left"/>
              <w:rPr>
                <w:rFonts w:ascii="Arial Narrow" w:hAnsi="Arial Narrow"/>
                <w:sz w:val="20"/>
                <w:szCs w:val="20"/>
              </w:rPr>
            </w:pPr>
            <w:r w:rsidRPr="005D0D22">
              <w:rPr>
                <w:rFonts w:ascii="Arial Narrow" w:hAnsi="Arial Narrow"/>
                <w:b/>
                <w:bCs/>
                <w:sz w:val="20"/>
                <w:szCs w:val="20"/>
              </w:rPr>
              <w:t>AND</w:t>
            </w:r>
          </w:p>
        </w:tc>
      </w:tr>
      <w:tr w:rsidR="00C40358" w:rsidRPr="005D0D22" w14:paraId="6CF46888" w14:textId="77777777">
        <w:trPr>
          <w:cantSplit/>
          <w:trHeight w:val="20"/>
        </w:trPr>
        <w:tc>
          <w:tcPr>
            <w:tcW w:w="1274"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74D4FCE2" w14:textId="27D1EE5C" w:rsidR="00C40358" w:rsidRPr="005D0D22" w:rsidRDefault="00C40358">
            <w:pPr>
              <w:spacing w:after="160"/>
              <w:contextualSpacing/>
              <w:jc w:val="center"/>
              <w:rPr>
                <w:rFonts w:ascii="Arial Narrow" w:hAnsi="Arial Narrow"/>
                <w:sz w:val="20"/>
                <w:szCs w:val="20"/>
              </w:rPr>
            </w:pPr>
          </w:p>
        </w:tc>
        <w:tc>
          <w:tcPr>
            <w:tcW w:w="7742"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29F667AF" w14:textId="77777777" w:rsidR="00C40358" w:rsidRPr="005D0D22" w:rsidRDefault="00C40358">
            <w:pPr>
              <w:spacing w:after="160"/>
              <w:contextualSpacing/>
              <w:jc w:val="left"/>
              <w:rPr>
                <w:rFonts w:ascii="Arial Narrow" w:hAnsi="Arial Narrow"/>
                <w:b/>
                <w:bCs/>
                <w:sz w:val="20"/>
                <w:szCs w:val="20"/>
              </w:rPr>
            </w:pPr>
            <w:r w:rsidRPr="005D0D22">
              <w:rPr>
                <w:rFonts w:ascii="Arial Narrow" w:hAnsi="Arial Narrow"/>
                <w:b/>
                <w:bCs/>
                <w:sz w:val="20"/>
                <w:szCs w:val="20"/>
              </w:rPr>
              <w:t>Clinical criteria:</w:t>
            </w:r>
          </w:p>
        </w:tc>
      </w:tr>
      <w:tr w:rsidR="00C40358" w:rsidRPr="005D0D22" w14:paraId="68D9B203" w14:textId="77777777">
        <w:trPr>
          <w:cantSplit/>
          <w:trHeight w:val="20"/>
        </w:trPr>
        <w:tc>
          <w:tcPr>
            <w:tcW w:w="1274"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775B1FF1" w14:textId="1CEC704D" w:rsidR="00C40358" w:rsidRPr="005D0D22" w:rsidRDefault="00C40358">
            <w:pPr>
              <w:spacing w:after="160"/>
              <w:contextualSpacing/>
              <w:jc w:val="center"/>
              <w:rPr>
                <w:rFonts w:ascii="Arial Narrow" w:hAnsi="Arial Narrow"/>
                <w:sz w:val="20"/>
                <w:szCs w:val="20"/>
              </w:rPr>
            </w:pPr>
          </w:p>
        </w:tc>
        <w:tc>
          <w:tcPr>
            <w:tcW w:w="7742"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7DE5482C" w14:textId="77777777" w:rsidR="00C40358" w:rsidRPr="005D0D22" w:rsidRDefault="00C40358">
            <w:pPr>
              <w:spacing w:after="160"/>
              <w:contextualSpacing/>
              <w:jc w:val="left"/>
              <w:rPr>
                <w:rFonts w:ascii="Arial Narrow" w:hAnsi="Arial Narrow"/>
                <w:color w:val="333333"/>
                <w:kern w:val="2"/>
                <w:sz w:val="20"/>
                <w:szCs w:val="20"/>
                <w14:ligatures w14:val="standardContextual"/>
              </w:rPr>
            </w:pPr>
            <w:r w:rsidRPr="005D0D22">
              <w:rPr>
                <w:rFonts w:ascii="Arial Narrow" w:hAnsi="Arial Narrow"/>
                <w:color w:val="333333"/>
                <w:kern w:val="2"/>
                <w:sz w:val="20"/>
                <w:szCs w:val="20"/>
                <w14:ligatures w14:val="standardContextual"/>
              </w:rPr>
              <w:t xml:space="preserve">Patient must not be receiving concomitant treatment with any of the following: </w:t>
            </w:r>
          </w:p>
          <w:p w14:paraId="600EC847" w14:textId="77777777" w:rsidR="00C40358" w:rsidRPr="005D0D22" w:rsidRDefault="00C40358">
            <w:pPr>
              <w:spacing w:after="160"/>
              <w:contextualSpacing/>
              <w:jc w:val="left"/>
              <w:rPr>
                <w:rFonts w:ascii="Arial Narrow" w:hAnsi="Arial Narrow"/>
                <w:sz w:val="20"/>
                <w:szCs w:val="20"/>
              </w:rPr>
            </w:pPr>
            <w:r w:rsidRPr="005D0D22">
              <w:rPr>
                <w:rFonts w:ascii="Arial Narrow" w:hAnsi="Arial Narrow"/>
                <w:sz w:val="20"/>
                <w:szCs w:val="20"/>
              </w:rPr>
              <w:t>(i) another gMG biological agent,</w:t>
            </w:r>
          </w:p>
          <w:p w14:paraId="32263538" w14:textId="4E0CA7E3" w:rsidR="00C40358" w:rsidRPr="005D0D22" w:rsidRDefault="00C40358">
            <w:pPr>
              <w:spacing w:after="160"/>
              <w:contextualSpacing/>
              <w:jc w:val="left"/>
              <w:rPr>
                <w:rFonts w:ascii="Arial Narrow" w:hAnsi="Arial Narrow"/>
                <w:sz w:val="20"/>
                <w:szCs w:val="20"/>
              </w:rPr>
            </w:pPr>
            <w:r w:rsidRPr="005D0D22">
              <w:rPr>
                <w:rFonts w:ascii="Arial Narrow" w:hAnsi="Arial Narrow"/>
                <w:sz w:val="20"/>
                <w:szCs w:val="20"/>
              </w:rPr>
              <w:t xml:space="preserve">(ii) </w:t>
            </w:r>
            <w:r w:rsidRPr="005D0D22">
              <w:rPr>
                <w:rFonts w:ascii="Arial Narrow" w:hAnsi="Arial Narrow"/>
                <w:color w:val="333333"/>
                <w:sz w:val="20"/>
                <w:szCs w:val="20"/>
              </w:rPr>
              <w:t>immunoglobulin</w:t>
            </w:r>
            <w:r w:rsidRPr="005D0D22">
              <w:rPr>
                <w:rFonts w:ascii="Arial Narrow" w:hAnsi="Arial Narrow"/>
                <w:sz w:val="20"/>
                <w:szCs w:val="20"/>
              </w:rPr>
              <w:t>,</w:t>
            </w:r>
          </w:p>
          <w:p w14:paraId="7ED46E9F" w14:textId="77777777" w:rsidR="00C40358" w:rsidRPr="005D0D22" w:rsidRDefault="00C40358">
            <w:pPr>
              <w:spacing w:after="160"/>
              <w:contextualSpacing/>
              <w:jc w:val="left"/>
              <w:rPr>
                <w:rFonts w:ascii="Arial Narrow" w:hAnsi="Arial Narrow"/>
                <w:sz w:val="20"/>
                <w:szCs w:val="20"/>
              </w:rPr>
            </w:pPr>
            <w:r w:rsidRPr="005D0D22">
              <w:rPr>
                <w:rFonts w:ascii="Arial Narrow" w:hAnsi="Arial Narrow"/>
                <w:sz w:val="20"/>
                <w:szCs w:val="20"/>
              </w:rPr>
              <w:t>(iii) plasma exchange (PLEX),</w:t>
            </w:r>
          </w:p>
          <w:p w14:paraId="36A4BC54" w14:textId="77777777" w:rsidR="00C40358" w:rsidRPr="005D0D22" w:rsidRDefault="00C40358">
            <w:pPr>
              <w:spacing w:after="160"/>
              <w:contextualSpacing/>
              <w:jc w:val="left"/>
              <w:rPr>
                <w:rFonts w:ascii="Arial Narrow" w:hAnsi="Arial Narrow"/>
                <w:b/>
                <w:bCs/>
                <w:sz w:val="20"/>
                <w:szCs w:val="20"/>
              </w:rPr>
            </w:pPr>
            <w:r w:rsidRPr="005D0D22">
              <w:rPr>
                <w:rFonts w:ascii="Arial Narrow" w:hAnsi="Arial Narrow"/>
                <w:sz w:val="20"/>
                <w:szCs w:val="20"/>
              </w:rPr>
              <w:t>(iv) rituximab for this condition.</w:t>
            </w:r>
          </w:p>
        </w:tc>
      </w:tr>
      <w:tr w:rsidR="00C40358" w:rsidRPr="005D0D22" w14:paraId="3972C566" w14:textId="77777777">
        <w:trPr>
          <w:cantSplit/>
          <w:trHeight w:val="20"/>
        </w:trPr>
        <w:tc>
          <w:tcPr>
            <w:tcW w:w="1274"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028F1295" w14:textId="77777777" w:rsidR="00C40358" w:rsidRPr="005D0D22" w:rsidRDefault="00C40358">
            <w:pPr>
              <w:spacing w:after="160"/>
              <w:contextualSpacing/>
              <w:jc w:val="center"/>
              <w:rPr>
                <w:rFonts w:ascii="Arial Narrow" w:hAnsi="Arial Narrow"/>
                <w:sz w:val="20"/>
                <w:szCs w:val="20"/>
              </w:rPr>
            </w:pPr>
          </w:p>
        </w:tc>
        <w:tc>
          <w:tcPr>
            <w:tcW w:w="7742"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45C88A69" w14:textId="77777777" w:rsidR="00C40358" w:rsidRPr="005D0D22" w:rsidRDefault="00C40358">
            <w:pPr>
              <w:spacing w:after="160"/>
              <w:contextualSpacing/>
              <w:jc w:val="left"/>
              <w:rPr>
                <w:rFonts w:ascii="Arial Narrow" w:hAnsi="Arial Narrow"/>
                <w:b/>
                <w:bCs/>
                <w:sz w:val="20"/>
                <w:szCs w:val="20"/>
              </w:rPr>
            </w:pPr>
            <w:r w:rsidRPr="005D0D22">
              <w:rPr>
                <w:rFonts w:ascii="Arial Narrow" w:hAnsi="Arial Narrow"/>
                <w:b/>
                <w:bCs/>
                <w:sz w:val="20"/>
                <w:szCs w:val="20"/>
              </w:rPr>
              <w:t>AND</w:t>
            </w:r>
          </w:p>
        </w:tc>
      </w:tr>
      <w:tr w:rsidR="00C40358" w:rsidRPr="005D0D22" w14:paraId="16A8C442" w14:textId="77777777">
        <w:trPr>
          <w:cantSplit/>
          <w:trHeight w:val="20"/>
        </w:trPr>
        <w:tc>
          <w:tcPr>
            <w:tcW w:w="1274"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030BB014" w14:textId="6EAA4B42" w:rsidR="00C40358" w:rsidRPr="005D0D22" w:rsidRDefault="00C40358">
            <w:pPr>
              <w:spacing w:after="160"/>
              <w:contextualSpacing/>
              <w:jc w:val="center"/>
              <w:rPr>
                <w:rFonts w:ascii="Arial Narrow" w:hAnsi="Arial Narrow"/>
                <w:sz w:val="20"/>
                <w:szCs w:val="20"/>
              </w:rPr>
            </w:pPr>
          </w:p>
        </w:tc>
        <w:tc>
          <w:tcPr>
            <w:tcW w:w="7742"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726E9075" w14:textId="77777777" w:rsidR="00C40358" w:rsidRPr="005D0D22" w:rsidRDefault="00C40358">
            <w:pPr>
              <w:spacing w:after="160"/>
              <w:contextualSpacing/>
              <w:jc w:val="left"/>
              <w:rPr>
                <w:rFonts w:ascii="Arial Narrow" w:hAnsi="Arial Narrow"/>
                <w:b/>
                <w:bCs/>
                <w:sz w:val="20"/>
                <w:szCs w:val="20"/>
              </w:rPr>
            </w:pPr>
            <w:r w:rsidRPr="005D0D22">
              <w:rPr>
                <w:rFonts w:ascii="Arial Narrow" w:hAnsi="Arial Narrow"/>
                <w:b/>
                <w:bCs/>
                <w:sz w:val="20"/>
                <w:szCs w:val="20"/>
              </w:rPr>
              <w:t>Clinical criteria:</w:t>
            </w:r>
          </w:p>
        </w:tc>
      </w:tr>
      <w:tr w:rsidR="00C40358" w:rsidRPr="005D0D22" w14:paraId="724BBE1A" w14:textId="77777777">
        <w:trPr>
          <w:cantSplit/>
          <w:trHeight w:val="20"/>
        </w:trPr>
        <w:tc>
          <w:tcPr>
            <w:tcW w:w="1274"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637DC3CF" w14:textId="55C1E15E" w:rsidR="00C40358" w:rsidRPr="005D0D22" w:rsidRDefault="00C40358">
            <w:pPr>
              <w:spacing w:after="160"/>
              <w:contextualSpacing/>
              <w:jc w:val="center"/>
              <w:rPr>
                <w:rFonts w:ascii="Arial Narrow" w:hAnsi="Arial Narrow"/>
                <w:sz w:val="20"/>
                <w:szCs w:val="20"/>
              </w:rPr>
            </w:pPr>
          </w:p>
        </w:tc>
        <w:tc>
          <w:tcPr>
            <w:tcW w:w="7742"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6ACDC000" w14:textId="4A3B8AAB" w:rsidR="00C40358" w:rsidRPr="005D0D22" w:rsidRDefault="00C40358">
            <w:pPr>
              <w:spacing w:after="160"/>
              <w:contextualSpacing/>
              <w:jc w:val="left"/>
              <w:rPr>
                <w:rFonts w:ascii="Arial Narrow" w:hAnsi="Arial Narrow"/>
                <w:sz w:val="20"/>
                <w:szCs w:val="20"/>
              </w:rPr>
            </w:pPr>
            <w:r w:rsidRPr="005D0D22">
              <w:rPr>
                <w:rFonts w:ascii="Arial Narrow" w:hAnsi="Arial Narrow"/>
                <w:color w:val="333333"/>
                <w:kern w:val="2"/>
                <w:sz w:val="20"/>
                <w:szCs w:val="20"/>
                <w14:ligatures w14:val="standardContextual"/>
              </w:rPr>
              <w:t xml:space="preserve">Patient must be receiving concomitant treatment with a </w:t>
            </w:r>
            <w:r w:rsidRPr="005D0D22">
              <w:rPr>
                <w:rFonts w:ascii="Arial Narrow" w:hAnsi="Arial Narrow"/>
                <w:sz w:val="20"/>
                <w:szCs w:val="20"/>
              </w:rPr>
              <w:t>non</w:t>
            </w:r>
            <w:r w:rsidR="00AF0956">
              <w:rPr>
                <w:rFonts w:ascii="Arial Narrow" w:hAnsi="Arial Narrow"/>
                <w:sz w:val="20"/>
                <w:szCs w:val="20"/>
              </w:rPr>
              <w:noBreakHyphen/>
            </w:r>
            <w:r w:rsidRPr="005D0D22">
              <w:rPr>
                <w:rFonts w:ascii="Arial Narrow" w:hAnsi="Arial Narrow"/>
                <w:sz w:val="20"/>
                <w:szCs w:val="20"/>
              </w:rPr>
              <w:t>steroidal immunosuppressant (NS</w:t>
            </w:r>
            <w:r w:rsidR="00AF0956">
              <w:rPr>
                <w:rFonts w:ascii="Arial Narrow" w:hAnsi="Arial Narrow"/>
                <w:sz w:val="20"/>
                <w:szCs w:val="20"/>
              </w:rPr>
              <w:noBreakHyphen/>
            </w:r>
            <w:r w:rsidRPr="005D0D22">
              <w:rPr>
                <w:rFonts w:ascii="Arial Narrow" w:hAnsi="Arial Narrow"/>
                <w:sz w:val="20"/>
                <w:szCs w:val="20"/>
              </w:rPr>
              <w:t>IST); or</w:t>
            </w:r>
          </w:p>
        </w:tc>
      </w:tr>
      <w:tr w:rsidR="00C40358" w:rsidRPr="005D0D22" w14:paraId="2C9D20B3" w14:textId="77777777">
        <w:trPr>
          <w:cantSplit/>
          <w:trHeight w:val="20"/>
        </w:trPr>
        <w:tc>
          <w:tcPr>
            <w:tcW w:w="1274"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5EC8E042" w14:textId="3AE87CF5" w:rsidR="00C40358" w:rsidRPr="005D0D22" w:rsidRDefault="00C40358">
            <w:pPr>
              <w:spacing w:after="160"/>
              <w:contextualSpacing/>
              <w:jc w:val="center"/>
              <w:rPr>
                <w:rFonts w:ascii="Arial Narrow" w:hAnsi="Arial Narrow"/>
                <w:sz w:val="20"/>
                <w:szCs w:val="20"/>
              </w:rPr>
            </w:pPr>
          </w:p>
        </w:tc>
        <w:tc>
          <w:tcPr>
            <w:tcW w:w="7742"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5B5024B5" w14:textId="77777777" w:rsidR="00C40358" w:rsidRPr="005D0D22" w:rsidRDefault="00C40358">
            <w:pPr>
              <w:spacing w:after="160"/>
              <w:contextualSpacing/>
              <w:jc w:val="left"/>
              <w:rPr>
                <w:rFonts w:ascii="Arial Narrow" w:hAnsi="Arial Narrow"/>
                <w:color w:val="333333"/>
                <w:kern w:val="2"/>
                <w:sz w:val="20"/>
                <w:szCs w:val="20"/>
                <w14:ligatures w14:val="standardContextual"/>
              </w:rPr>
            </w:pPr>
            <w:r w:rsidRPr="005D0D22">
              <w:rPr>
                <w:rFonts w:ascii="Arial Narrow" w:hAnsi="Arial Narrow"/>
                <w:color w:val="333333"/>
                <w:kern w:val="2"/>
                <w:sz w:val="20"/>
                <w:szCs w:val="20"/>
                <w14:ligatures w14:val="standardContextual"/>
              </w:rPr>
              <w:t>Patient must have had a thymectomy</w:t>
            </w:r>
          </w:p>
        </w:tc>
      </w:tr>
      <w:tr w:rsidR="00C40358" w:rsidRPr="005D0D22" w14:paraId="05292347" w14:textId="77777777">
        <w:trPr>
          <w:cantSplit/>
          <w:trHeight w:val="20"/>
        </w:trPr>
        <w:tc>
          <w:tcPr>
            <w:tcW w:w="1274"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22FC50EA" w14:textId="77777777" w:rsidR="00C40358" w:rsidRPr="005D0D22" w:rsidRDefault="00C40358">
            <w:pPr>
              <w:spacing w:after="160"/>
              <w:contextualSpacing/>
              <w:jc w:val="center"/>
              <w:rPr>
                <w:rFonts w:ascii="Arial Narrow" w:hAnsi="Arial Narrow"/>
                <w:sz w:val="20"/>
                <w:szCs w:val="20"/>
              </w:rPr>
            </w:pPr>
          </w:p>
        </w:tc>
        <w:tc>
          <w:tcPr>
            <w:tcW w:w="7742"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44B8EB56" w14:textId="77777777" w:rsidR="00C40358" w:rsidRPr="005D0D22" w:rsidRDefault="00C40358">
            <w:pPr>
              <w:spacing w:after="160"/>
              <w:contextualSpacing/>
              <w:jc w:val="left"/>
              <w:rPr>
                <w:rFonts w:ascii="Arial Narrow" w:hAnsi="Arial Narrow"/>
                <w:sz w:val="20"/>
                <w:szCs w:val="20"/>
              </w:rPr>
            </w:pPr>
            <w:r w:rsidRPr="005D0D22">
              <w:rPr>
                <w:rFonts w:ascii="Arial Narrow" w:eastAsia="Calibri" w:hAnsi="Arial Narrow"/>
                <w:b/>
                <w:bCs/>
                <w:sz w:val="20"/>
                <w:szCs w:val="20"/>
                <w:lang w:eastAsia="en-US"/>
              </w:rPr>
              <w:t>AND</w:t>
            </w:r>
          </w:p>
        </w:tc>
      </w:tr>
      <w:tr w:rsidR="00C40358" w:rsidRPr="005D0D22" w14:paraId="6BD84379" w14:textId="77777777">
        <w:trPr>
          <w:cantSplit/>
          <w:trHeight w:val="20"/>
        </w:trPr>
        <w:tc>
          <w:tcPr>
            <w:tcW w:w="1274"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163B16E3" w14:textId="0A962505" w:rsidR="00C40358" w:rsidRPr="005D0D22" w:rsidRDefault="00C40358">
            <w:pPr>
              <w:spacing w:after="160"/>
              <w:contextualSpacing/>
              <w:jc w:val="center"/>
              <w:rPr>
                <w:rFonts w:ascii="Arial Narrow" w:hAnsi="Arial Narrow"/>
                <w:sz w:val="20"/>
                <w:szCs w:val="20"/>
              </w:rPr>
            </w:pPr>
          </w:p>
        </w:tc>
        <w:tc>
          <w:tcPr>
            <w:tcW w:w="7742"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73E9CFDD" w14:textId="77777777" w:rsidR="00C40358" w:rsidRPr="005D0D22" w:rsidRDefault="00C40358">
            <w:pPr>
              <w:spacing w:after="160"/>
              <w:contextualSpacing/>
              <w:jc w:val="left"/>
              <w:rPr>
                <w:rFonts w:ascii="Arial Narrow" w:hAnsi="Arial Narrow"/>
                <w:sz w:val="20"/>
                <w:szCs w:val="20"/>
              </w:rPr>
            </w:pPr>
            <w:r w:rsidRPr="005D0D22">
              <w:rPr>
                <w:rFonts w:ascii="Arial Narrow" w:eastAsia="Calibri" w:hAnsi="Arial Narrow"/>
                <w:b/>
                <w:bCs/>
                <w:sz w:val="20"/>
                <w:szCs w:val="20"/>
                <w:lang w:eastAsia="en-US"/>
              </w:rPr>
              <w:t>Clinical criteria:</w:t>
            </w:r>
          </w:p>
        </w:tc>
      </w:tr>
      <w:tr w:rsidR="00C40358" w:rsidRPr="005D0D22" w14:paraId="0E5BC500" w14:textId="77777777">
        <w:trPr>
          <w:cantSplit/>
          <w:trHeight w:val="20"/>
        </w:trPr>
        <w:tc>
          <w:tcPr>
            <w:tcW w:w="1274"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62A17244" w14:textId="683D5440" w:rsidR="00C40358" w:rsidRPr="005D0D22" w:rsidRDefault="00C40358">
            <w:pPr>
              <w:spacing w:after="160"/>
              <w:contextualSpacing/>
              <w:jc w:val="center"/>
              <w:rPr>
                <w:rFonts w:ascii="Arial Narrow" w:hAnsi="Arial Narrow"/>
                <w:sz w:val="20"/>
                <w:szCs w:val="20"/>
              </w:rPr>
            </w:pPr>
          </w:p>
        </w:tc>
        <w:tc>
          <w:tcPr>
            <w:tcW w:w="7742"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66A9778A" w14:textId="78E61226" w:rsidR="00C40358" w:rsidRPr="005D0D22" w:rsidRDefault="00C40358">
            <w:pPr>
              <w:spacing w:after="160"/>
              <w:contextualSpacing/>
              <w:jc w:val="left"/>
              <w:rPr>
                <w:rFonts w:ascii="Arial Narrow" w:hAnsi="Arial Narrow"/>
                <w:sz w:val="20"/>
                <w:szCs w:val="20"/>
              </w:rPr>
            </w:pPr>
            <w:r w:rsidRPr="005D0D22">
              <w:rPr>
                <w:rFonts w:ascii="Arial Narrow" w:hAnsi="Arial Narrow"/>
                <w:sz w:val="20"/>
                <w:szCs w:val="20"/>
              </w:rPr>
              <w:t xml:space="preserve">Patient must </w:t>
            </w:r>
            <w:r w:rsidRPr="005D0D22">
              <w:rPr>
                <w:rFonts w:ascii="Arial Narrow" w:hAnsi="Arial Narrow"/>
                <w:color w:val="000000"/>
                <w:sz w:val="20"/>
                <w:szCs w:val="20"/>
              </w:rPr>
              <w:t>have a MG</w:t>
            </w:r>
            <w:r w:rsidR="00AF0956">
              <w:rPr>
                <w:rFonts w:ascii="Arial Narrow" w:hAnsi="Arial Narrow"/>
                <w:color w:val="000000"/>
                <w:sz w:val="20"/>
                <w:szCs w:val="20"/>
              </w:rPr>
              <w:noBreakHyphen/>
            </w:r>
            <w:r w:rsidRPr="005D0D22">
              <w:rPr>
                <w:rFonts w:ascii="Arial Narrow" w:hAnsi="Arial Narrow"/>
                <w:color w:val="000000"/>
                <w:sz w:val="20"/>
                <w:szCs w:val="20"/>
              </w:rPr>
              <w:t>ADL score of ≥ 6 and a MGC score of ≥ 10, despite having undergone 2 of the following 3 remission inducing</w:t>
            </w:r>
            <w:r w:rsidRPr="005D0D22">
              <w:rPr>
                <w:rFonts w:ascii="Arial Narrow" w:eastAsia="Calibri" w:hAnsi="Arial Narrow"/>
                <w:bCs/>
                <w:color w:val="000000"/>
                <w:sz w:val="20"/>
                <w:szCs w:val="20"/>
                <w:lang w:eastAsia="en-US"/>
              </w:rPr>
              <w:t xml:space="preserve"> </w:t>
            </w:r>
            <w:r w:rsidRPr="005D0D22">
              <w:rPr>
                <w:rFonts w:ascii="Arial Narrow" w:hAnsi="Arial Narrow"/>
                <w:color w:val="000000"/>
                <w:sz w:val="20"/>
                <w:szCs w:val="20"/>
              </w:rPr>
              <w:t>treatments: (i) NS</w:t>
            </w:r>
            <w:r w:rsidR="00AF0956">
              <w:rPr>
                <w:rFonts w:ascii="Arial Narrow" w:hAnsi="Arial Narrow"/>
                <w:color w:val="000000"/>
                <w:sz w:val="20"/>
                <w:szCs w:val="20"/>
              </w:rPr>
              <w:noBreakHyphen/>
            </w:r>
            <w:r w:rsidRPr="005D0D22">
              <w:rPr>
                <w:rFonts w:ascii="Arial Narrow" w:hAnsi="Arial Narrow"/>
                <w:color w:val="000000"/>
                <w:sz w:val="20"/>
                <w:szCs w:val="20"/>
              </w:rPr>
              <w:t>IST for a minimum of 12 months, (ii) oral corticosteroids for a minimum of 12 months; (iii) a thymectomy.</w:t>
            </w:r>
          </w:p>
        </w:tc>
      </w:tr>
      <w:tr w:rsidR="00C40358" w:rsidRPr="005D0D22" w14:paraId="069207F1" w14:textId="77777777">
        <w:trPr>
          <w:cantSplit/>
          <w:trHeight w:val="20"/>
        </w:trPr>
        <w:tc>
          <w:tcPr>
            <w:tcW w:w="1274"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71A138A2" w14:textId="77777777" w:rsidR="00C40358" w:rsidRPr="005D0D22" w:rsidRDefault="00C40358">
            <w:pPr>
              <w:spacing w:after="160"/>
              <w:contextualSpacing/>
              <w:jc w:val="center"/>
              <w:rPr>
                <w:rFonts w:ascii="Arial Narrow" w:hAnsi="Arial Narrow"/>
                <w:sz w:val="20"/>
                <w:szCs w:val="20"/>
              </w:rPr>
            </w:pPr>
          </w:p>
        </w:tc>
        <w:tc>
          <w:tcPr>
            <w:tcW w:w="7742"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5106A26D" w14:textId="77777777" w:rsidR="00C40358" w:rsidRPr="005D0D22" w:rsidRDefault="00C40358">
            <w:pPr>
              <w:spacing w:after="160"/>
              <w:contextualSpacing/>
              <w:jc w:val="left"/>
              <w:rPr>
                <w:rFonts w:ascii="Arial Narrow" w:hAnsi="Arial Narrow"/>
                <w:b/>
                <w:bCs/>
                <w:sz w:val="20"/>
                <w:szCs w:val="20"/>
              </w:rPr>
            </w:pPr>
            <w:r w:rsidRPr="005D0D22">
              <w:rPr>
                <w:rFonts w:ascii="Arial Narrow" w:hAnsi="Arial Narrow"/>
                <w:b/>
                <w:bCs/>
                <w:sz w:val="20"/>
                <w:szCs w:val="20"/>
              </w:rPr>
              <w:t>AND</w:t>
            </w:r>
          </w:p>
        </w:tc>
      </w:tr>
      <w:tr w:rsidR="00C40358" w:rsidRPr="005D0D22" w14:paraId="53C0A6BB" w14:textId="77777777">
        <w:trPr>
          <w:cantSplit/>
          <w:trHeight w:val="20"/>
        </w:trPr>
        <w:tc>
          <w:tcPr>
            <w:tcW w:w="1274"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2B4761F3" w14:textId="6C9B3015" w:rsidR="00C40358" w:rsidRPr="005D0D22" w:rsidRDefault="00C40358">
            <w:pPr>
              <w:spacing w:after="160"/>
              <w:contextualSpacing/>
              <w:jc w:val="center"/>
              <w:rPr>
                <w:rFonts w:ascii="Arial Narrow" w:hAnsi="Arial Narrow"/>
                <w:sz w:val="20"/>
                <w:szCs w:val="20"/>
              </w:rPr>
            </w:pPr>
          </w:p>
        </w:tc>
        <w:tc>
          <w:tcPr>
            <w:tcW w:w="7742"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6C855FFF" w14:textId="77777777" w:rsidR="00C40358" w:rsidRPr="005D0D22" w:rsidRDefault="00C40358">
            <w:pPr>
              <w:spacing w:after="160"/>
              <w:contextualSpacing/>
              <w:jc w:val="left"/>
              <w:rPr>
                <w:rFonts w:ascii="Arial Narrow" w:hAnsi="Arial Narrow"/>
                <w:b/>
                <w:bCs/>
                <w:sz w:val="20"/>
                <w:szCs w:val="20"/>
              </w:rPr>
            </w:pPr>
            <w:r w:rsidRPr="005D0D22">
              <w:rPr>
                <w:rFonts w:ascii="Arial Narrow" w:hAnsi="Arial Narrow"/>
                <w:b/>
                <w:bCs/>
                <w:sz w:val="20"/>
                <w:szCs w:val="20"/>
              </w:rPr>
              <w:t>Clinical criteria:</w:t>
            </w:r>
          </w:p>
        </w:tc>
      </w:tr>
      <w:tr w:rsidR="00C40358" w:rsidRPr="005D0D22" w14:paraId="0151F119" w14:textId="77777777">
        <w:trPr>
          <w:cantSplit/>
          <w:trHeight w:val="20"/>
        </w:trPr>
        <w:tc>
          <w:tcPr>
            <w:tcW w:w="1274"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20C93FC2" w14:textId="44D9D042" w:rsidR="00C40358" w:rsidRPr="005D0D22" w:rsidRDefault="00C40358">
            <w:pPr>
              <w:spacing w:after="160"/>
              <w:contextualSpacing/>
              <w:jc w:val="center"/>
              <w:rPr>
                <w:rFonts w:ascii="Arial Narrow" w:hAnsi="Arial Narrow"/>
                <w:sz w:val="20"/>
                <w:szCs w:val="20"/>
              </w:rPr>
            </w:pPr>
          </w:p>
        </w:tc>
        <w:tc>
          <w:tcPr>
            <w:tcW w:w="7742"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639FB790" w14:textId="77777777" w:rsidR="00C40358" w:rsidRPr="005D0D22" w:rsidRDefault="00C40358">
            <w:pPr>
              <w:spacing w:after="160"/>
              <w:contextualSpacing/>
              <w:jc w:val="left"/>
              <w:rPr>
                <w:rFonts w:ascii="Arial Narrow" w:hAnsi="Arial Narrow"/>
                <w:b/>
                <w:bCs/>
                <w:sz w:val="20"/>
                <w:szCs w:val="20"/>
              </w:rPr>
            </w:pPr>
            <w:r w:rsidRPr="005D0D22">
              <w:rPr>
                <w:rFonts w:ascii="Arial Narrow" w:eastAsia="Aptos" w:hAnsi="Arial Narrow"/>
                <w:kern w:val="2"/>
                <w:sz w:val="20"/>
                <w:szCs w:val="20"/>
                <w:lang w:eastAsia="en-US"/>
                <w14:ligatures w14:val="standardContextual"/>
              </w:rPr>
              <w:t xml:space="preserve">The treatment must provide no </w:t>
            </w:r>
            <w:r w:rsidRPr="005D0D22">
              <w:rPr>
                <w:rFonts w:ascii="Arial Narrow" w:eastAsia="Aptos" w:hAnsi="Arial Narrow"/>
                <w:color w:val="000000"/>
                <w:kern w:val="2"/>
                <w:sz w:val="20"/>
                <w:szCs w:val="20"/>
                <w:lang w:eastAsia="en-US"/>
                <w14:ligatures w14:val="standardContextual"/>
              </w:rPr>
              <w:t xml:space="preserve">more than 6 months of therapy per initial authority </w:t>
            </w:r>
            <w:r w:rsidRPr="005D0D22">
              <w:rPr>
                <w:rFonts w:ascii="Arial Narrow" w:eastAsia="Aptos" w:hAnsi="Arial Narrow"/>
                <w:kern w:val="2"/>
                <w:sz w:val="20"/>
                <w:szCs w:val="20"/>
                <w:lang w:eastAsia="en-US"/>
                <w14:ligatures w14:val="standardContextual"/>
              </w:rPr>
              <w:t xml:space="preserve">application </w:t>
            </w:r>
          </w:p>
        </w:tc>
      </w:tr>
      <w:tr w:rsidR="00C40358" w:rsidRPr="005D0D22" w14:paraId="37AB8252" w14:textId="77777777">
        <w:trPr>
          <w:cantSplit/>
          <w:trHeight w:val="20"/>
        </w:trPr>
        <w:tc>
          <w:tcPr>
            <w:tcW w:w="1274"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3F9B0122" w14:textId="59695D5C" w:rsidR="00C40358" w:rsidRPr="005D0D22" w:rsidRDefault="00C40358">
            <w:pPr>
              <w:spacing w:after="160"/>
              <w:contextualSpacing/>
              <w:jc w:val="center"/>
              <w:rPr>
                <w:rFonts w:ascii="Arial Narrow" w:hAnsi="Arial Narrow"/>
                <w:sz w:val="20"/>
                <w:szCs w:val="20"/>
              </w:rPr>
            </w:pPr>
          </w:p>
        </w:tc>
        <w:tc>
          <w:tcPr>
            <w:tcW w:w="7742"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38873FE8" w14:textId="77777777" w:rsidR="00C40358" w:rsidRPr="005D0D22" w:rsidRDefault="00C40358">
            <w:pPr>
              <w:spacing w:after="160"/>
              <w:contextualSpacing/>
              <w:jc w:val="left"/>
              <w:rPr>
                <w:rFonts w:ascii="Arial Narrow" w:hAnsi="Arial Narrow"/>
                <w:sz w:val="20"/>
                <w:szCs w:val="20"/>
              </w:rPr>
            </w:pPr>
            <w:r w:rsidRPr="005D0D22">
              <w:rPr>
                <w:rFonts w:ascii="Arial Narrow" w:hAnsi="Arial Narrow"/>
                <w:b/>
                <w:bCs/>
                <w:sz w:val="20"/>
                <w:szCs w:val="20"/>
              </w:rPr>
              <w:t>Treatment criteria:</w:t>
            </w:r>
          </w:p>
        </w:tc>
      </w:tr>
      <w:tr w:rsidR="00C40358" w:rsidRPr="005D0D22" w14:paraId="7EB8FC72" w14:textId="77777777">
        <w:trPr>
          <w:cantSplit/>
          <w:trHeight w:val="20"/>
        </w:trPr>
        <w:tc>
          <w:tcPr>
            <w:tcW w:w="1274"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49B351DD" w14:textId="6802ACC4" w:rsidR="00C40358" w:rsidRPr="005D0D22" w:rsidRDefault="00C40358">
            <w:pPr>
              <w:spacing w:after="160"/>
              <w:contextualSpacing/>
              <w:jc w:val="center"/>
              <w:rPr>
                <w:rFonts w:ascii="Arial Narrow" w:hAnsi="Arial Narrow"/>
                <w:sz w:val="20"/>
                <w:szCs w:val="20"/>
              </w:rPr>
            </w:pPr>
          </w:p>
        </w:tc>
        <w:tc>
          <w:tcPr>
            <w:tcW w:w="7742"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7F586F76" w14:textId="77777777" w:rsidR="00C40358" w:rsidRPr="005D0D22" w:rsidRDefault="00C40358">
            <w:pPr>
              <w:spacing w:after="160"/>
              <w:contextualSpacing/>
              <w:jc w:val="left"/>
              <w:rPr>
                <w:rFonts w:ascii="Arial Narrow" w:eastAsia="Calibri" w:hAnsi="Arial Narrow" w:cs="Arial Narrow"/>
                <w:color w:val="000000"/>
                <w:sz w:val="20"/>
                <w:szCs w:val="20"/>
                <w:lang w:eastAsia="en-US"/>
              </w:rPr>
            </w:pPr>
            <w:r w:rsidRPr="005D0D22">
              <w:rPr>
                <w:rFonts w:ascii="Arial Narrow" w:eastAsia="Calibri" w:hAnsi="Arial Narrow" w:cs="Arial Narrow"/>
                <w:iCs/>
                <w:color w:val="000000"/>
                <w:sz w:val="20"/>
                <w:szCs w:val="20"/>
                <w:lang w:eastAsia="en-US"/>
              </w:rPr>
              <w:t>Must be treated by a prescriber who is either: (i) a neurologist; (ii) a clinical immunologist with expertise in the treatment of myasthenia gravis, or</w:t>
            </w:r>
          </w:p>
        </w:tc>
      </w:tr>
      <w:tr w:rsidR="00C40358" w:rsidRPr="005D0D22" w14:paraId="6EE5B69D" w14:textId="77777777">
        <w:trPr>
          <w:cantSplit/>
          <w:trHeight w:val="20"/>
        </w:trPr>
        <w:tc>
          <w:tcPr>
            <w:tcW w:w="1274"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19B9A7EA" w14:textId="150FDE72" w:rsidR="00C40358" w:rsidRPr="005D0D22" w:rsidRDefault="00C40358">
            <w:pPr>
              <w:spacing w:after="160"/>
              <w:contextualSpacing/>
              <w:jc w:val="center"/>
              <w:rPr>
                <w:rFonts w:ascii="Arial Narrow" w:hAnsi="Arial Narrow"/>
                <w:sz w:val="20"/>
                <w:szCs w:val="20"/>
              </w:rPr>
            </w:pPr>
          </w:p>
        </w:tc>
        <w:tc>
          <w:tcPr>
            <w:tcW w:w="7742"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026B7149" w14:textId="77777777" w:rsidR="00C40358" w:rsidRPr="005D0D22" w:rsidRDefault="00C40358">
            <w:pPr>
              <w:spacing w:after="160"/>
              <w:contextualSpacing/>
              <w:jc w:val="left"/>
              <w:rPr>
                <w:rFonts w:ascii="Arial Narrow" w:hAnsi="Arial Narrow"/>
                <w:color w:val="000000"/>
                <w:sz w:val="20"/>
                <w:szCs w:val="20"/>
              </w:rPr>
            </w:pPr>
            <w:r w:rsidRPr="74EB87D5">
              <w:rPr>
                <w:rFonts w:ascii="Arial Narrow" w:eastAsia="Calibri" w:hAnsi="Arial Narrow" w:cs="Arial Narrow"/>
                <w:color w:val="000000" w:themeColor="text1"/>
                <w:sz w:val="20"/>
                <w:szCs w:val="20"/>
                <w:lang w:eastAsia="en-US"/>
              </w:rPr>
              <w:t xml:space="preserve">Must be treated by a medical practitioner who has consulted at least one of the </w:t>
            </w:r>
            <w:bookmarkStart w:id="18" w:name="_Int_c6Hzc3Jn"/>
            <w:r w:rsidRPr="74EB87D5">
              <w:rPr>
                <w:rFonts w:ascii="Arial Narrow" w:eastAsia="Calibri" w:hAnsi="Arial Narrow" w:cs="Arial Narrow"/>
                <w:color w:val="000000" w:themeColor="text1"/>
                <w:sz w:val="20"/>
                <w:szCs w:val="20"/>
                <w:lang w:eastAsia="en-US"/>
              </w:rPr>
              <w:t>above mentioned</w:t>
            </w:r>
            <w:bookmarkEnd w:id="18"/>
            <w:r w:rsidRPr="74EB87D5">
              <w:rPr>
                <w:rFonts w:ascii="Arial Narrow" w:eastAsia="Calibri" w:hAnsi="Arial Narrow" w:cs="Arial Narrow"/>
                <w:color w:val="000000" w:themeColor="text1"/>
                <w:sz w:val="20"/>
                <w:szCs w:val="20"/>
                <w:lang w:eastAsia="en-US"/>
              </w:rPr>
              <w:t xml:space="preserve"> specialist types, with an agreement reached that the patient should be treated with this pharmaceutical benefit on this occasion</w:t>
            </w:r>
          </w:p>
        </w:tc>
      </w:tr>
      <w:tr w:rsidR="00C40358" w:rsidRPr="005D0D22" w14:paraId="4B035CDC" w14:textId="77777777">
        <w:trPr>
          <w:cantSplit/>
          <w:trHeight w:val="20"/>
        </w:trPr>
        <w:tc>
          <w:tcPr>
            <w:tcW w:w="1274"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7D9B8E9C" w14:textId="71C3EBC8" w:rsidR="00C40358" w:rsidRPr="005D0D22" w:rsidRDefault="00C40358">
            <w:pPr>
              <w:spacing w:after="160"/>
              <w:contextualSpacing/>
              <w:jc w:val="center"/>
              <w:rPr>
                <w:rFonts w:ascii="Arial Narrow" w:hAnsi="Arial Narrow"/>
                <w:sz w:val="20"/>
                <w:szCs w:val="20"/>
              </w:rPr>
            </w:pPr>
          </w:p>
        </w:tc>
        <w:tc>
          <w:tcPr>
            <w:tcW w:w="7742"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53BAE4E4" w14:textId="77777777" w:rsidR="00C40358" w:rsidRPr="005D0D22" w:rsidRDefault="00C40358">
            <w:pPr>
              <w:spacing w:after="160"/>
              <w:contextualSpacing/>
              <w:jc w:val="left"/>
              <w:rPr>
                <w:rFonts w:ascii="Arial Narrow" w:eastAsia="Calibri" w:hAnsi="Arial Narrow" w:cs="Arial Narrow"/>
                <w:b/>
                <w:bCs/>
                <w:iCs/>
                <w:color w:val="000000"/>
                <w:sz w:val="20"/>
                <w:szCs w:val="20"/>
                <w:lang w:eastAsia="en-US"/>
              </w:rPr>
            </w:pPr>
            <w:r w:rsidRPr="005D0D22">
              <w:rPr>
                <w:rFonts w:ascii="Arial Narrow" w:eastAsia="Calibri" w:hAnsi="Arial Narrow" w:cs="Arial Narrow"/>
                <w:b/>
                <w:bCs/>
                <w:iCs/>
                <w:color w:val="000000"/>
                <w:sz w:val="20"/>
                <w:szCs w:val="20"/>
                <w:lang w:eastAsia="en-US"/>
              </w:rPr>
              <w:t>Prescribing Instruction:</w:t>
            </w:r>
          </w:p>
          <w:p w14:paraId="43EBE029" w14:textId="77777777" w:rsidR="00C40358" w:rsidRPr="005D0D22" w:rsidRDefault="00C40358">
            <w:pPr>
              <w:spacing w:after="160"/>
              <w:contextualSpacing/>
              <w:jc w:val="left"/>
              <w:rPr>
                <w:rFonts w:ascii="Arial Narrow" w:eastAsia="Calibri" w:hAnsi="Arial Narrow" w:cs="Arial Narrow"/>
                <w:iCs/>
                <w:color w:val="000000"/>
                <w:sz w:val="20"/>
                <w:szCs w:val="20"/>
                <w:lang w:eastAsia="en-US"/>
              </w:rPr>
            </w:pPr>
            <w:r w:rsidRPr="005D0D22">
              <w:rPr>
                <w:rFonts w:ascii="Arial Narrow" w:eastAsia="Calibri" w:hAnsi="Arial Narrow" w:cs="Arial Narrow"/>
                <w:iCs/>
                <w:color w:val="000000"/>
                <w:sz w:val="20"/>
                <w:szCs w:val="20"/>
                <w:lang w:eastAsia="en-US"/>
              </w:rPr>
              <w:t>Patients who are considered to have deteriorating gMG disease while on a treatment break with a gMG biologic may qualify with 9 months of remission inducing treatments (rather than 12 months)</w:t>
            </w:r>
          </w:p>
        </w:tc>
      </w:tr>
      <w:tr w:rsidR="00C40358" w:rsidRPr="005D0D22" w14:paraId="16702F14" w14:textId="77777777">
        <w:trPr>
          <w:cantSplit/>
          <w:trHeight w:val="20"/>
        </w:trPr>
        <w:tc>
          <w:tcPr>
            <w:tcW w:w="1274"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5B0E4733" w14:textId="07A65FD7" w:rsidR="00C40358" w:rsidRPr="005D0D22" w:rsidRDefault="00C40358">
            <w:pPr>
              <w:spacing w:after="160"/>
              <w:contextualSpacing/>
              <w:jc w:val="center"/>
              <w:rPr>
                <w:rFonts w:ascii="Arial Narrow" w:hAnsi="Arial Narrow"/>
                <w:sz w:val="20"/>
                <w:szCs w:val="20"/>
              </w:rPr>
            </w:pPr>
          </w:p>
        </w:tc>
        <w:tc>
          <w:tcPr>
            <w:tcW w:w="7742"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4DCE6337" w14:textId="77777777" w:rsidR="00C40358" w:rsidRPr="005D0D22" w:rsidRDefault="00C40358">
            <w:pPr>
              <w:spacing w:after="160"/>
              <w:contextualSpacing/>
              <w:jc w:val="left"/>
              <w:rPr>
                <w:rFonts w:ascii="Arial" w:eastAsia="Calibri" w:hAnsi="Arial" w:cs="Arial"/>
                <w:b/>
                <w:bCs/>
                <w:sz w:val="20"/>
                <w:szCs w:val="20"/>
                <w:shd w:val="clear" w:color="auto" w:fill="FFFFFF"/>
                <w:lang w:eastAsia="en-US"/>
              </w:rPr>
            </w:pPr>
            <w:r w:rsidRPr="005D0D22">
              <w:rPr>
                <w:rFonts w:ascii="Arial Narrow" w:eastAsia="Calibri" w:hAnsi="Arial Narrow"/>
                <w:b/>
                <w:bCs/>
                <w:sz w:val="20"/>
                <w:szCs w:val="20"/>
                <w:shd w:val="clear" w:color="auto" w:fill="FFFFFF"/>
                <w:lang w:eastAsia="en-US"/>
              </w:rPr>
              <w:t>Prescribing Instructions:</w:t>
            </w:r>
            <w:r w:rsidRPr="005D0D22">
              <w:rPr>
                <w:rFonts w:ascii="Arial" w:eastAsia="Calibri" w:hAnsi="Arial" w:cs="Arial"/>
                <w:b/>
                <w:bCs/>
                <w:sz w:val="20"/>
                <w:szCs w:val="20"/>
                <w:shd w:val="clear" w:color="auto" w:fill="FFFFFF"/>
                <w:lang w:eastAsia="en-US"/>
              </w:rPr>
              <w:t> </w:t>
            </w:r>
          </w:p>
          <w:p w14:paraId="01C12035" w14:textId="77777777" w:rsidR="00C40358" w:rsidRPr="005D0D22" w:rsidRDefault="00C40358">
            <w:pPr>
              <w:spacing w:after="160"/>
              <w:contextualSpacing/>
              <w:jc w:val="left"/>
              <w:rPr>
                <w:rFonts w:ascii="Arial Narrow" w:eastAsia="Calibri" w:hAnsi="Arial Narrow"/>
                <w:bCs/>
                <w:sz w:val="20"/>
                <w:szCs w:val="20"/>
                <w:lang w:eastAsia="en-US"/>
              </w:rPr>
            </w:pPr>
            <w:r w:rsidRPr="005D0D22">
              <w:rPr>
                <w:rFonts w:ascii="Arial Narrow" w:eastAsia="Calibri" w:hAnsi="Arial Narrow"/>
                <w:bCs/>
                <w:sz w:val="20"/>
                <w:szCs w:val="20"/>
                <w:lang w:eastAsia="en-US"/>
              </w:rPr>
              <w:t xml:space="preserve">The authority application must be </w:t>
            </w:r>
            <w:r w:rsidRPr="005D0D22">
              <w:rPr>
                <w:rFonts w:ascii="Arial Narrow" w:hAnsi="Arial Narrow"/>
                <w:sz w:val="20"/>
                <w:szCs w:val="20"/>
              </w:rPr>
              <w:t xml:space="preserve">via the Online PBS Authorities System, or </w:t>
            </w:r>
            <w:r w:rsidRPr="005D0D22">
              <w:rPr>
                <w:rFonts w:ascii="Arial Narrow" w:eastAsia="Calibri" w:hAnsi="Arial Narrow"/>
                <w:bCs/>
                <w:sz w:val="20"/>
                <w:szCs w:val="20"/>
                <w:lang w:eastAsia="en-US"/>
              </w:rPr>
              <w:t>in writing and must include:</w:t>
            </w:r>
          </w:p>
          <w:p w14:paraId="68FD41F5" w14:textId="6BDBD9C9" w:rsidR="00C40358" w:rsidRPr="005D0D22" w:rsidRDefault="00C40358" w:rsidP="00ED248B">
            <w:pPr>
              <w:numPr>
                <w:ilvl w:val="0"/>
                <w:numId w:val="14"/>
              </w:numPr>
              <w:spacing w:after="160" w:line="256" w:lineRule="auto"/>
              <w:contextualSpacing/>
              <w:jc w:val="left"/>
              <w:rPr>
                <w:rFonts w:ascii="Arial Narrow" w:eastAsia="Calibri" w:hAnsi="Arial Narrow"/>
                <w:sz w:val="20"/>
                <w:szCs w:val="20"/>
                <w:shd w:val="clear" w:color="auto" w:fill="FFFFFF"/>
              </w:rPr>
            </w:pPr>
            <w:r w:rsidRPr="005D0D22">
              <w:rPr>
                <w:rFonts w:ascii="Arial Narrow" w:eastAsia="Calibri" w:hAnsi="Arial Narrow"/>
                <w:bCs/>
                <w:sz w:val="20"/>
                <w:szCs w:val="20"/>
              </w:rPr>
              <w:t>details of remission</w:t>
            </w:r>
            <w:r w:rsidR="00AF0956">
              <w:rPr>
                <w:rFonts w:ascii="Arial Narrow" w:eastAsia="Calibri" w:hAnsi="Arial Narrow"/>
                <w:bCs/>
                <w:sz w:val="20"/>
                <w:szCs w:val="20"/>
              </w:rPr>
              <w:noBreakHyphen/>
            </w:r>
            <w:r w:rsidRPr="005D0D22">
              <w:rPr>
                <w:rFonts w:ascii="Arial Narrow" w:eastAsia="Calibri" w:hAnsi="Arial Narrow"/>
                <w:bCs/>
                <w:sz w:val="20"/>
                <w:szCs w:val="20"/>
              </w:rPr>
              <w:t>inducing treatments [date commencement and duration of drug therapy including drug names and dosages, and/or date of the thymectomy]</w:t>
            </w:r>
          </w:p>
          <w:p w14:paraId="56D83064" w14:textId="73DE94A4" w:rsidR="00C40358" w:rsidRPr="005D0D22" w:rsidRDefault="00C40358" w:rsidP="00ED248B">
            <w:pPr>
              <w:numPr>
                <w:ilvl w:val="0"/>
                <w:numId w:val="14"/>
              </w:numPr>
              <w:spacing w:after="160" w:line="256" w:lineRule="auto"/>
              <w:contextualSpacing/>
              <w:jc w:val="left"/>
              <w:rPr>
                <w:rFonts w:ascii="Arial Narrow" w:eastAsia="Calibri" w:hAnsi="Arial Narrow"/>
                <w:sz w:val="20"/>
                <w:szCs w:val="20"/>
                <w:shd w:val="clear" w:color="auto" w:fill="FFFFFF"/>
              </w:rPr>
            </w:pPr>
            <w:r w:rsidRPr="005D0D22">
              <w:rPr>
                <w:rFonts w:ascii="Arial Narrow" w:eastAsia="Calibri" w:hAnsi="Arial Narrow"/>
                <w:bCs/>
                <w:sz w:val="20"/>
                <w:szCs w:val="20"/>
              </w:rPr>
              <w:t xml:space="preserve">the </w:t>
            </w:r>
            <w:r w:rsidRPr="005D0D22">
              <w:rPr>
                <w:rFonts w:ascii="Arial Narrow" w:eastAsia="Calibri" w:hAnsi="Arial Narrow"/>
                <w:bCs/>
                <w:color w:val="000000"/>
                <w:sz w:val="20"/>
                <w:szCs w:val="20"/>
              </w:rPr>
              <w:t>baseline MG</w:t>
            </w:r>
            <w:r w:rsidR="00AF0956">
              <w:rPr>
                <w:rFonts w:ascii="Arial Narrow" w:eastAsia="Calibri" w:hAnsi="Arial Narrow"/>
                <w:bCs/>
                <w:color w:val="000000"/>
                <w:sz w:val="20"/>
                <w:szCs w:val="20"/>
              </w:rPr>
              <w:noBreakHyphen/>
            </w:r>
            <w:r w:rsidRPr="005D0D22">
              <w:rPr>
                <w:rFonts w:ascii="Arial Narrow" w:eastAsia="Calibri" w:hAnsi="Arial Narrow"/>
                <w:bCs/>
                <w:color w:val="000000"/>
                <w:sz w:val="20"/>
                <w:szCs w:val="20"/>
              </w:rPr>
              <w:t>ADL and MGC scores assessed after completing the 12 months of remission</w:t>
            </w:r>
            <w:r w:rsidR="00AF0956">
              <w:rPr>
                <w:rFonts w:ascii="Arial Narrow" w:eastAsia="Calibri" w:hAnsi="Arial Narrow"/>
                <w:bCs/>
                <w:color w:val="000000"/>
                <w:sz w:val="20"/>
                <w:szCs w:val="20"/>
              </w:rPr>
              <w:noBreakHyphen/>
            </w:r>
            <w:r w:rsidRPr="005D0D22">
              <w:rPr>
                <w:rFonts w:ascii="Arial Narrow" w:eastAsia="Calibri" w:hAnsi="Arial Narrow"/>
                <w:bCs/>
                <w:color w:val="000000"/>
                <w:sz w:val="20"/>
                <w:szCs w:val="20"/>
              </w:rPr>
              <w:t>inducing treatments (include the date the assessments were</w:t>
            </w:r>
            <w:r w:rsidRPr="005D0D22">
              <w:rPr>
                <w:rFonts w:ascii="Arial Narrow" w:eastAsia="Calibri" w:hAnsi="Arial Narrow"/>
                <w:bCs/>
                <w:sz w:val="20"/>
                <w:szCs w:val="20"/>
              </w:rPr>
              <w:t xml:space="preserve"> conducted)</w:t>
            </w:r>
          </w:p>
          <w:p w14:paraId="3EC55BBF" w14:textId="77777777" w:rsidR="00C40358" w:rsidRPr="005D0D22" w:rsidRDefault="00C40358">
            <w:pPr>
              <w:jc w:val="left"/>
              <w:rPr>
                <w:rFonts w:ascii="Arial Narrow" w:eastAsia="Calibri" w:hAnsi="Arial Narrow"/>
                <w:bCs/>
                <w:sz w:val="20"/>
                <w:szCs w:val="20"/>
                <w:lang w:eastAsia="en-US"/>
              </w:rPr>
            </w:pPr>
          </w:p>
          <w:p w14:paraId="345D8C0C" w14:textId="77777777" w:rsidR="00C40358" w:rsidRPr="005D0D22" w:rsidRDefault="00C40358">
            <w:pPr>
              <w:jc w:val="left"/>
              <w:rPr>
                <w:rFonts w:ascii="Arial Narrow" w:hAnsi="Arial Narrow"/>
                <w:sz w:val="20"/>
                <w:szCs w:val="20"/>
              </w:rPr>
            </w:pPr>
            <w:r w:rsidRPr="005D0D22">
              <w:rPr>
                <w:rFonts w:ascii="Arial Narrow" w:hAnsi="Arial Narrow"/>
                <w:sz w:val="20"/>
                <w:szCs w:val="20"/>
              </w:rPr>
              <w:t>If the application is submitted through HPOS form upload or mail, it must include:</w:t>
            </w:r>
          </w:p>
          <w:p w14:paraId="03D28427" w14:textId="77777777" w:rsidR="00C40358" w:rsidRPr="005D0D22" w:rsidRDefault="00C40358">
            <w:pPr>
              <w:spacing w:after="160" w:line="256" w:lineRule="auto"/>
              <w:contextualSpacing/>
              <w:jc w:val="left"/>
              <w:rPr>
                <w:rFonts w:ascii="Arial Narrow" w:eastAsia="Calibri" w:hAnsi="Arial Narrow"/>
                <w:bCs/>
                <w:sz w:val="20"/>
                <w:szCs w:val="20"/>
                <w:lang w:eastAsia="en-US"/>
              </w:rPr>
            </w:pPr>
            <w:r w:rsidRPr="005D0D22">
              <w:rPr>
                <w:rFonts w:ascii="Arial Narrow" w:eastAsia="Calibri" w:hAnsi="Arial Narrow"/>
                <w:bCs/>
                <w:sz w:val="20"/>
                <w:szCs w:val="20"/>
                <w:lang w:eastAsia="en-US"/>
              </w:rPr>
              <w:t>(1) details of the proposed prescription;</w:t>
            </w:r>
          </w:p>
          <w:p w14:paraId="3E246CD6" w14:textId="77777777" w:rsidR="00C40358" w:rsidRPr="005D0D22" w:rsidRDefault="00C40358">
            <w:pPr>
              <w:spacing w:after="160" w:line="256" w:lineRule="auto"/>
              <w:contextualSpacing/>
              <w:jc w:val="left"/>
              <w:rPr>
                <w:rFonts w:ascii="Arial Narrow" w:eastAsia="Calibri" w:hAnsi="Arial Narrow"/>
                <w:sz w:val="20"/>
                <w:szCs w:val="20"/>
                <w:shd w:val="clear" w:color="auto" w:fill="FFFFFF"/>
                <w:lang w:eastAsia="en-US"/>
              </w:rPr>
            </w:pPr>
            <w:r w:rsidRPr="005D0D22">
              <w:rPr>
                <w:rFonts w:ascii="Arial Narrow" w:eastAsia="Calibri" w:hAnsi="Arial Narrow"/>
                <w:bCs/>
                <w:sz w:val="20"/>
                <w:szCs w:val="20"/>
                <w:lang w:eastAsia="en-US"/>
              </w:rPr>
              <w:t>(2) a completed authority application form relevant to the indication and treatment phase (the latest version is located on the website specified in the Administrative Advice);</w:t>
            </w:r>
          </w:p>
        </w:tc>
      </w:tr>
      <w:tr w:rsidR="00C40358" w:rsidRPr="005D0D22" w14:paraId="4AE8BDC9" w14:textId="77777777">
        <w:trPr>
          <w:cantSplit/>
          <w:trHeight w:val="20"/>
        </w:trPr>
        <w:tc>
          <w:tcPr>
            <w:tcW w:w="1274"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68CAC3DE" w14:textId="77777777" w:rsidR="00C40358" w:rsidRPr="005D0D22" w:rsidRDefault="00C40358">
            <w:pPr>
              <w:spacing w:after="160"/>
              <w:contextualSpacing/>
              <w:jc w:val="center"/>
              <w:rPr>
                <w:rFonts w:ascii="Arial Narrow" w:hAnsi="Arial Narrow"/>
                <w:sz w:val="20"/>
                <w:szCs w:val="20"/>
              </w:rPr>
            </w:pPr>
          </w:p>
        </w:tc>
        <w:tc>
          <w:tcPr>
            <w:tcW w:w="7742"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45C8FEEE" w14:textId="77777777" w:rsidR="00C40358" w:rsidRPr="005D0D22" w:rsidRDefault="00C40358">
            <w:pPr>
              <w:spacing w:after="160" w:line="256" w:lineRule="auto"/>
              <w:contextualSpacing/>
              <w:jc w:val="left"/>
              <w:rPr>
                <w:rFonts w:ascii="Arial Narrow" w:hAnsi="Arial Narrow"/>
                <w:b/>
                <w:bCs/>
                <w:sz w:val="20"/>
                <w:szCs w:val="20"/>
              </w:rPr>
            </w:pPr>
          </w:p>
        </w:tc>
      </w:tr>
      <w:tr w:rsidR="00C40358" w:rsidRPr="005D0D22" w14:paraId="7E1024E9" w14:textId="77777777" w:rsidTr="002408E2">
        <w:trPr>
          <w:cantSplit/>
          <w:trHeight w:val="20"/>
        </w:trPr>
        <w:tc>
          <w:tcPr>
            <w:tcW w:w="1274"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5D74053E" w14:textId="0B65E3B1" w:rsidR="00C40358" w:rsidRPr="005D0D22" w:rsidRDefault="00C40358">
            <w:pPr>
              <w:spacing w:after="160"/>
              <w:contextualSpacing/>
              <w:jc w:val="center"/>
              <w:rPr>
                <w:rFonts w:ascii="Arial Narrow" w:hAnsi="Arial Narrow"/>
                <w:sz w:val="20"/>
                <w:szCs w:val="20"/>
              </w:rPr>
            </w:pPr>
          </w:p>
        </w:tc>
        <w:tc>
          <w:tcPr>
            <w:tcW w:w="7742" w:type="dxa"/>
            <w:gridSpan w:val="6"/>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08" w:type="dxa"/>
              <w:bottom w:w="15" w:type="dxa"/>
              <w:right w:w="108" w:type="dxa"/>
            </w:tcMar>
            <w:vAlign w:val="center"/>
            <w:hideMark/>
          </w:tcPr>
          <w:p w14:paraId="46F9F3F0" w14:textId="77777777" w:rsidR="00C40358" w:rsidRPr="005D0D22" w:rsidRDefault="00C40358">
            <w:pPr>
              <w:spacing w:after="160" w:line="256" w:lineRule="auto"/>
              <w:contextualSpacing/>
              <w:jc w:val="left"/>
              <w:rPr>
                <w:rFonts w:ascii="Arial Narrow" w:hAnsi="Arial Narrow"/>
                <w:b/>
                <w:bCs/>
                <w:sz w:val="20"/>
                <w:szCs w:val="20"/>
              </w:rPr>
            </w:pPr>
            <w:r w:rsidRPr="005D0D22">
              <w:rPr>
                <w:rFonts w:ascii="Arial Narrow" w:hAnsi="Arial Narrow"/>
                <w:b/>
                <w:bCs/>
                <w:color w:val="000000"/>
                <w:sz w:val="20"/>
                <w:szCs w:val="20"/>
              </w:rPr>
              <w:t>Indication:</w:t>
            </w:r>
            <w:r w:rsidRPr="005D0D22">
              <w:rPr>
                <w:rFonts w:ascii="Arial Narrow" w:hAnsi="Arial Narrow"/>
                <w:color w:val="000000"/>
                <w:sz w:val="20"/>
                <w:szCs w:val="20"/>
              </w:rPr>
              <w:t xml:space="preserve"> </w:t>
            </w:r>
            <w:r w:rsidRPr="005D0D22">
              <w:rPr>
                <w:rFonts w:ascii="Arial Narrow" w:eastAsia="Arial Narrow" w:hAnsi="Arial Narrow" w:cs="Arial Narrow"/>
                <w:color w:val="000000"/>
                <w:sz w:val="20"/>
                <w:szCs w:val="20"/>
                <w:lang w:eastAsia="en-US"/>
              </w:rPr>
              <w:t xml:space="preserve">Treatment </w:t>
            </w:r>
            <w:r w:rsidRPr="005D0D22">
              <w:rPr>
                <w:rFonts w:ascii="Arial Narrow" w:hAnsi="Arial Narrow"/>
                <w:iCs/>
                <w:color w:val="000000"/>
                <w:sz w:val="20"/>
                <w:szCs w:val="20"/>
              </w:rPr>
              <w:t>refractory</w:t>
            </w:r>
            <w:r w:rsidRPr="005D0D22">
              <w:rPr>
                <w:rFonts w:ascii="Arial Narrow" w:hAnsi="Arial Narrow"/>
                <w:color w:val="000000"/>
                <w:sz w:val="20"/>
                <w:szCs w:val="20"/>
              </w:rPr>
              <w:t xml:space="preserve"> generalised </w:t>
            </w:r>
            <w:r w:rsidRPr="005D0D22">
              <w:rPr>
                <w:rFonts w:ascii="Arial Narrow" w:hAnsi="Arial Narrow"/>
                <w:sz w:val="20"/>
                <w:szCs w:val="20"/>
              </w:rPr>
              <w:t>myasthenia gravis (gMG)</w:t>
            </w:r>
          </w:p>
        </w:tc>
      </w:tr>
      <w:tr w:rsidR="00C40358" w:rsidRPr="005D0D22" w14:paraId="3853CE5B" w14:textId="77777777">
        <w:trPr>
          <w:cantSplit/>
          <w:trHeight w:val="20"/>
        </w:trPr>
        <w:tc>
          <w:tcPr>
            <w:tcW w:w="1274"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08" w:type="dxa"/>
              <w:bottom w:w="15" w:type="dxa"/>
              <w:right w:w="108" w:type="dxa"/>
            </w:tcMar>
            <w:vAlign w:val="center"/>
          </w:tcPr>
          <w:p w14:paraId="4C64FFF8" w14:textId="77777777" w:rsidR="00C40358" w:rsidRPr="005D0D22" w:rsidRDefault="00C40358">
            <w:pPr>
              <w:spacing w:after="160"/>
              <w:contextualSpacing/>
              <w:jc w:val="center"/>
              <w:rPr>
                <w:rFonts w:ascii="Arial Narrow" w:hAnsi="Arial Narrow"/>
                <w:color w:val="333333"/>
                <w:sz w:val="20"/>
                <w:szCs w:val="20"/>
              </w:rPr>
            </w:pPr>
          </w:p>
        </w:tc>
        <w:tc>
          <w:tcPr>
            <w:tcW w:w="7742" w:type="dxa"/>
            <w:gridSpan w:val="6"/>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08" w:type="dxa"/>
              <w:bottom w:w="15" w:type="dxa"/>
              <w:right w:w="108" w:type="dxa"/>
            </w:tcMar>
            <w:hideMark/>
          </w:tcPr>
          <w:p w14:paraId="59BCBAB6" w14:textId="77777777" w:rsidR="00C40358" w:rsidRPr="005D0D22" w:rsidRDefault="00C40358">
            <w:pPr>
              <w:spacing w:after="160" w:line="256" w:lineRule="auto"/>
              <w:contextualSpacing/>
              <w:jc w:val="left"/>
              <w:rPr>
                <w:rFonts w:ascii="Arial Narrow" w:hAnsi="Arial Narrow"/>
                <w:b/>
                <w:bCs/>
                <w:color w:val="000000"/>
                <w:sz w:val="20"/>
                <w:szCs w:val="20"/>
              </w:rPr>
            </w:pPr>
            <w:r w:rsidRPr="005D0D22">
              <w:rPr>
                <w:rFonts w:ascii="Arial Narrow" w:hAnsi="Arial Narrow"/>
                <w:b/>
                <w:bCs/>
                <w:sz w:val="20"/>
                <w:szCs w:val="20"/>
              </w:rPr>
              <w:t>Treatment Phase:</w:t>
            </w:r>
            <w:r w:rsidRPr="005D0D22">
              <w:rPr>
                <w:rFonts w:ascii="Arial Narrow" w:hAnsi="Arial Narrow"/>
                <w:sz w:val="20"/>
                <w:szCs w:val="20"/>
              </w:rPr>
              <w:t xml:space="preserve"> Continuing treatment – </w:t>
            </w:r>
            <w:r w:rsidRPr="005D0D22">
              <w:rPr>
                <w:rFonts w:ascii="Arial Narrow" w:eastAsia="Arial Narrow" w:hAnsi="Arial Narrow" w:cs="Arial Narrow"/>
                <w:sz w:val="20"/>
                <w:szCs w:val="20"/>
                <w:lang w:eastAsia="en-US"/>
              </w:rPr>
              <w:t xml:space="preserve">Treatment </w:t>
            </w:r>
            <w:r w:rsidRPr="005D0D22">
              <w:rPr>
                <w:rFonts w:ascii="Arial Narrow" w:hAnsi="Arial Narrow"/>
                <w:iCs/>
                <w:color w:val="000000"/>
                <w:sz w:val="20"/>
                <w:szCs w:val="20"/>
              </w:rPr>
              <w:t>refractory</w:t>
            </w:r>
            <w:r w:rsidRPr="005D0D22">
              <w:rPr>
                <w:rFonts w:ascii="Arial Narrow" w:hAnsi="Arial Narrow"/>
                <w:sz w:val="20"/>
                <w:szCs w:val="20"/>
              </w:rPr>
              <w:t xml:space="preserve"> gMG patients</w:t>
            </w:r>
          </w:p>
        </w:tc>
      </w:tr>
      <w:tr w:rsidR="00C40358" w:rsidRPr="005D0D22" w14:paraId="5DC0DA3C" w14:textId="77777777">
        <w:trPr>
          <w:cantSplit/>
          <w:trHeight w:val="20"/>
        </w:trPr>
        <w:tc>
          <w:tcPr>
            <w:tcW w:w="1274"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022044AA" w14:textId="4CF59183" w:rsidR="00C40358" w:rsidRPr="005D0D22" w:rsidRDefault="00C40358">
            <w:pPr>
              <w:spacing w:after="160"/>
              <w:contextualSpacing/>
              <w:jc w:val="center"/>
              <w:rPr>
                <w:rFonts w:ascii="Arial Narrow" w:hAnsi="Arial Narrow"/>
                <w:sz w:val="20"/>
                <w:szCs w:val="20"/>
              </w:rPr>
            </w:pPr>
          </w:p>
        </w:tc>
        <w:tc>
          <w:tcPr>
            <w:tcW w:w="7742"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2AF6EBCD" w14:textId="77777777" w:rsidR="00C40358" w:rsidRPr="005D0D22" w:rsidRDefault="00C40358">
            <w:pPr>
              <w:spacing w:after="160" w:line="256" w:lineRule="auto"/>
              <w:contextualSpacing/>
              <w:jc w:val="left"/>
              <w:rPr>
                <w:rFonts w:ascii="Arial Narrow" w:hAnsi="Arial Narrow"/>
                <w:b/>
                <w:bCs/>
                <w:sz w:val="20"/>
                <w:szCs w:val="20"/>
              </w:rPr>
            </w:pPr>
            <w:r w:rsidRPr="005D0D22">
              <w:rPr>
                <w:rFonts w:ascii="Arial Narrow" w:hAnsi="Arial Narrow"/>
                <w:b/>
                <w:bCs/>
                <w:sz w:val="20"/>
                <w:szCs w:val="20"/>
              </w:rPr>
              <w:t>Clinical criteria:</w:t>
            </w:r>
          </w:p>
        </w:tc>
      </w:tr>
      <w:tr w:rsidR="00C40358" w:rsidRPr="005D0D22" w14:paraId="5308F025" w14:textId="77777777">
        <w:trPr>
          <w:cantSplit/>
          <w:trHeight w:val="20"/>
        </w:trPr>
        <w:tc>
          <w:tcPr>
            <w:tcW w:w="1274"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4A811A92" w14:textId="0D0E5BDD" w:rsidR="00C40358" w:rsidRPr="005D0D22" w:rsidRDefault="00C40358">
            <w:pPr>
              <w:spacing w:after="160"/>
              <w:contextualSpacing/>
              <w:jc w:val="center"/>
              <w:rPr>
                <w:rFonts w:ascii="Arial Narrow" w:hAnsi="Arial Narrow"/>
                <w:sz w:val="20"/>
                <w:szCs w:val="20"/>
              </w:rPr>
            </w:pPr>
          </w:p>
        </w:tc>
        <w:tc>
          <w:tcPr>
            <w:tcW w:w="7742"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55E526A8" w14:textId="77777777" w:rsidR="00C40358" w:rsidRPr="005D0D22" w:rsidRDefault="00C40358">
            <w:pPr>
              <w:spacing w:after="160" w:line="256" w:lineRule="auto"/>
              <w:contextualSpacing/>
              <w:jc w:val="left"/>
              <w:rPr>
                <w:rFonts w:ascii="Arial Narrow" w:hAnsi="Arial Narrow"/>
                <w:b/>
                <w:bCs/>
                <w:sz w:val="20"/>
                <w:szCs w:val="20"/>
              </w:rPr>
            </w:pPr>
            <w:r w:rsidRPr="005D0D22">
              <w:rPr>
                <w:rFonts w:ascii="Arial Narrow" w:hAnsi="Arial Narrow"/>
                <w:sz w:val="20"/>
                <w:szCs w:val="20"/>
              </w:rPr>
              <w:t>Patient must have previously received PBS subsidised treatment with a gMG biological agent for this PBS indication.</w:t>
            </w:r>
          </w:p>
        </w:tc>
      </w:tr>
      <w:tr w:rsidR="00C40358" w:rsidRPr="005D0D22" w14:paraId="73F6A5C2" w14:textId="77777777">
        <w:trPr>
          <w:cantSplit/>
          <w:trHeight w:val="20"/>
        </w:trPr>
        <w:tc>
          <w:tcPr>
            <w:tcW w:w="1274"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18F1919D" w14:textId="77777777" w:rsidR="00C40358" w:rsidRPr="005D0D22" w:rsidRDefault="00C40358">
            <w:pPr>
              <w:spacing w:after="160"/>
              <w:contextualSpacing/>
              <w:jc w:val="center"/>
              <w:rPr>
                <w:rFonts w:ascii="Arial Narrow" w:hAnsi="Arial Narrow"/>
                <w:sz w:val="20"/>
                <w:szCs w:val="20"/>
              </w:rPr>
            </w:pPr>
          </w:p>
        </w:tc>
        <w:tc>
          <w:tcPr>
            <w:tcW w:w="7742"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066BE32B" w14:textId="77777777" w:rsidR="00C40358" w:rsidRPr="005D0D22" w:rsidRDefault="00C40358">
            <w:pPr>
              <w:spacing w:after="160" w:line="256" w:lineRule="auto"/>
              <w:contextualSpacing/>
              <w:jc w:val="left"/>
              <w:rPr>
                <w:rFonts w:ascii="Arial Narrow" w:hAnsi="Arial Narrow"/>
                <w:b/>
                <w:bCs/>
                <w:sz w:val="20"/>
                <w:szCs w:val="20"/>
              </w:rPr>
            </w:pPr>
            <w:r w:rsidRPr="005D0D22">
              <w:rPr>
                <w:rFonts w:ascii="Arial Narrow" w:hAnsi="Arial Narrow"/>
                <w:b/>
                <w:bCs/>
                <w:sz w:val="20"/>
                <w:szCs w:val="20"/>
              </w:rPr>
              <w:t>AND</w:t>
            </w:r>
          </w:p>
        </w:tc>
      </w:tr>
      <w:tr w:rsidR="00C40358" w:rsidRPr="005D0D22" w14:paraId="42041A1E" w14:textId="77777777">
        <w:trPr>
          <w:cantSplit/>
          <w:trHeight w:val="20"/>
        </w:trPr>
        <w:tc>
          <w:tcPr>
            <w:tcW w:w="1274"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58420C12" w14:textId="4D9D30BC" w:rsidR="00C40358" w:rsidRPr="005D0D22" w:rsidRDefault="00C40358">
            <w:pPr>
              <w:spacing w:after="160"/>
              <w:contextualSpacing/>
              <w:jc w:val="center"/>
              <w:rPr>
                <w:rFonts w:ascii="Arial Narrow" w:hAnsi="Arial Narrow"/>
                <w:sz w:val="20"/>
                <w:szCs w:val="20"/>
              </w:rPr>
            </w:pPr>
          </w:p>
        </w:tc>
        <w:tc>
          <w:tcPr>
            <w:tcW w:w="7742"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78D5ED78" w14:textId="77777777" w:rsidR="00C40358" w:rsidRPr="005D0D22" w:rsidRDefault="00C40358">
            <w:pPr>
              <w:spacing w:after="160" w:line="256" w:lineRule="auto"/>
              <w:contextualSpacing/>
              <w:jc w:val="left"/>
              <w:rPr>
                <w:rFonts w:ascii="Arial Narrow" w:hAnsi="Arial Narrow"/>
                <w:b/>
                <w:bCs/>
                <w:sz w:val="20"/>
                <w:szCs w:val="20"/>
              </w:rPr>
            </w:pPr>
            <w:r w:rsidRPr="005D0D22">
              <w:rPr>
                <w:rFonts w:ascii="Arial Narrow" w:hAnsi="Arial Narrow"/>
                <w:b/>
                <w:bCs/>
                <w:sz w:val="20"/>
                <w:szCs w:val="20"/>
              </w:rPr>
              <w:t>Clinical criteria:</w:t>
            </w:r>
          </w:p>
        </w:tc>
      </w:tr>
      <w:tr w:rsidR="00C40358" w:rsidRPr="005D0D22" w14:paraId="4B5C15C3" w14:textId="77777777">
        <w:trPr>
          <w:cantSplit/>
          <w:trHeight w:val="20"/>
        </w:trPr>
        <w:tc>
          <w:tcPr>
            <w:tcW w:w="1274"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326ABEC0" w14:textId="18E1293E" w:rsidR="00C40358" w:rsidRPr="005D0D22" w:rsidRDefault="00C40358">
            <w:pPr>
              <w:spacing w:after="160"/>
              <w:contextualSpacing/>
              <w:jc w:val="center"/>
              <w:rPr>
                <w:rFonts w:ascii="Arial Narrow" w:hAnsi="Arial Narrow"/>
                <w:color w:val="000000"/>
                <w:sz w:val="20"/>
                <w:szCs w:val="20"/>
              </w:rPr>
            </w:pPr>
          </w:p>
        </w:tc>
        <w:tc>
          <w:tcPr>
            <w:tcW w:w="7742"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44249B06" w14:textId="408D54BD" w:rsidR="00C40358" w:rsidRPr="005D0D22" w:rsidRDefault="00C40358">
            <w:pPr>
              <w:spacing w:after="160" w:line="256" w:lineRule="auto"/>
              <w:contextualSpacing/>
              <w:jc w:val="left"/>
              <w:rPr>
                <w:rFonts w:ascii="Arial Narrow" w:hAnsi="Arial Narrow"/>
                <w:b/>
                <w:bCs/>
                <w:color w:val="000000"/>
                <w:sz w:val="20"/>
                <w:szCs w:val="20"/>
              </w:rPr>
            </w:pPr>
            <w:r w:rsidRPr="005D0D22">
              <w:rPr>
                <w:rFonts w:ascii="Arial Narrow" w:hAnsi="Arial Narrow"/>
                <w:color w:val="000000"/>
                <w:sz w:val="20"/>
                <w:szCs w:val="20"/>
              </w:rPr>
              <w:t>Patient must have demonstrated a clinical improvement based on a decrease in MG</w:t>
            </w:r>
            <w:r w:rsidR="00AF0956">
              <w:rPr>
                <w:rFonts w:ascii="Arial Narrow" w:hAnsi="Arial Narrow"/>
                <w:color w:val="000000"/>
                <w:sz w:val="20"/>
                <w:szCs w:val="20"/>
              </w:rPr>
              <w:noBreakHyphen/>
            </w:r>
            <w:r w:rsidRPr="005D0D22">
              <w:rPr>
                <w:rFonts w:ascii="Arial Narrow" w:hAnsi="Arial Narrow"/>
                <w:color w:val="000000"/>
                <w:sz w:val="20"/>
                <w:szCs w:val="20"/>
              </w:rPr>
              <w:t xml:space="preserve">ADL score of at least 2 points from baseline </w:t>
            </w:r>
          </w:p>
        </w:tc>
      </w:tr>
      <w:tr w:rsidR="00C40358" w:rsidRPr="005D0D22" w14:paraId="00A8A0F3" w14:textId="77777777">
        <w:trPr>
          <w:cantSplit/>
          <w:trHeight w:val="20"/>
        </w:trPr>
        <w:tc>
          <w:tcPr>
            <w:tcW w:w="1274"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26BBB8DA" w14:textId="77777777" w:rsidR="00C40358" w:rsidRPr="005D0D22" w:rsidRDefault="00C40358">
            <w:pPr>
              <w:spacing w:after="160"/>
              <w:contextualSpacing/>
              <w:jc w:val="center"/>
              <w:rPr>
                <w:rFonts w:ascii="Arial Narrow" w:hAnsi="Arial Narrow"/>
                <w:color w:val="000000"/>
                <w:sz w:val="20"/>
                <w:szCs w:val="20"/>
              </w:rPr>
            </w:pPr>
          </w:p>
        </w:tc>
        <w:tc>
          <w:tcPr>
            <w:tcW w:w="7742"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0AAF42F6" w14:textId="77777777" w:rsidR="00C40358" w:rsidRPr="005D0D22" w:rsidRDefault="00C40358">
            <w:pPr>
              <w:spacing w:after="160" w:line="256" w:lineRule="auto"/>
              <w:contextualSpacing/>
              <w:jc w:val="left"/>
              <w:rPr>
                <w:rFonts w:ascii="Arial Narrow" w:hAnsi="Arial Narrow"/>
                <w:color w:val="000000"/>
                <w:sz w:val="20"/>
                <w:szCs w:val="20"/>
              </w:rPr>
            </w:pPr>
            <w:r w:rsidRPr="005D0D22">
              <w:rPr>
                <w:rFonts w:ascii="Arial Narrow" w:hAnsi="Arial Narrow"/>
                <w:b/>
                <w:bCs/>
                <w:color w:val="000000"/>
                <w:sz w:val="20"/>
                <w:szCs w:val="20"/>
              </w:rPr>
              <w:t>AND</w:t>
            </w:r>
          </w:p>
        </w:tc>
      </w:tr>
      <w:tr w:rsidR="00C40358" w:rsidRPr="005D0D22" w14:paraId="62E92919" w14:textId="77777777">
        <w:trPr>
          <w:cantSplit/>
          <w:trHeight w:val="20"/>
        </w:trPr>
        <w:tc>
          <w:tcPr>
            <w:tcW w:w="1274"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60334BFD" w14:textId="3993DD47" w:rsidR="00C40358" w:rsidRPr="005D0D22" w:rsidRDefault="00C40358">
            <w:pPr>
              <w:spacing w:after="160"/>
              <w:contextualSpacing/>
              <w:jc w:val="center"/>
              <w:rPr>
                <w:rFonts w:ascii="Arial Narrow" w:hAnsi="Arial Narrow"/>
                <w:color w:val="000000"/>
                <w:sz w:val="20"/>
                <w:szCs w:val="20"/>
              </w:rPr>
            </w:pPr>
          </w:p>
        </w:tc>
        <w:tc>
          <w:tcPr>
            <w:tcW w:w="7742"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2AF70E37" w14:textId="77777777" w:rsidR="00C40358" w:rsidRPr="005D0D22" w:rsidRDefault="00C40358">
            <w:pPr>
              <w:spacing w:after="160" w:line="256" w:lineRule="auto"/>
              <w:contextualSpacing/>
              <w:jc w:val="left"/>
              <w:rPr>
                <w:rFonts w:ascii="Arial Narrow" w:hAnsi="Arial Narrow"/>
                <w:b/>
                <w:bCs/>
                <w:color w:val="000000"/>
                <w:sz w:val="20"/>
                <w:szCs w:val="20"/>
              </w:rPr>
            </w:pPr>
            <w:r w:rsidRPr="005D0D22">
              <w:rPr>
                <w:rFonts w:ascii="Arial Narrow" w:hAnsi="Arial Narrow"/>
                <w:b/>
                <w:bCs/>
                <w:sz w:val="20"/>
                <w:szCs w:val="20"/>
              </w:rPr>
              <w:t>Clinical criteria:</w:t>
            </w:r>
          </w:p>
        </w:tc>
      </w:tr>
      <w:tr w:rsidR="00C40358" w:rsidRPr="005D0D22" w14:paraId="3CD573EE" w14:textId="77777777">
        <w:trPr>
          <w:cantSplit/>
          <w:trHeight w:val="20"/>
        </w:trPr>
        <w:tc>
          <w:tcPr>
            <w:tcW w:w="1274"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25DA8B1C" w14:textId="32698FE9" w:rsidR="00C40358" w:rsidRPr="005D0D22" w:rsidRDefault="00C40358">
            <w:pPr>
              <w:spacing w:after="160"/>
              <w:contextualSpacing/>
              <w:jc w:val="center"/>
              <w:rPr>
                <w:rFonts w:ascii="Arial Narrow" w:hAnsi="Arial Narrow"/>
                <w:color w:val="000000"/>
                <w:sz w:val="20"/>
                <w:szCs w:val="20"/>
              </w:rPr>
            </w:pPr>
          </w:p>
        </w:tc>
        <w:tc>
          <w:tcPr>
            <w:tcW w:w="7742"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4C1781A5" w14:textId="77777777" w:rsidR="00C40358" w:rsidRPr="005D0D22" w:rsidRDefault="00C40358">
            <w:pPr>
              <w:spacing w:after="160" w:line="256" w:lineRule="auto"/>
              <w:contextualSpacing/>
              <w:jc w:val="left"/>
              <w:rPr>
                <w:rFonts w:ascii="Arial Narrow" w:hAnsi="Arial Narrow"/>
                <w:color w:val="000000"/>
                <w:sz w:val="20"/>
                <w:szCs w:val="20"/>
              </w:rPr>
            </w:pPr>
            <w:r w:rsidRPr="005D0D22">
              <w:rPr>
                <w:rFonts w:ascii="Arial Narrow" w:hAnsi="Arial Narrow"/>
                <w:color w:val="000000"/>
                <w:sz w:val="20"/>
                <w:szCs w:val="20"/>
              </w:rPr>
              <w:t>Patient must have demonstrated a clinical improvement based on a decrease in MGC score of at least 3 points from baseline</w:t>
            </w:r>
          </w:p>
        </w:tc>
      </w:tr>
      <w:tr w:rsidR="00C40358" w:rsidRPr="005D0D22" w14:paraId="25D1D806" w14:textId="77777777">
        <w:trPr>
          <w:cantSplit/>
          <w:trHeight w:val="20"/>
        </w:trPr>
        <w:tc>
          <w:tcPr>
            <w:tcW w:w="1274"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63CD34E5" w14:textId="77777777" w:rsidR="00C40358" w:rsidRPr="005D0D22" w:rsidRDefault="00C40358">
            <w:pPr>
              <w:spacing w:after="160"/>
              <w:contextualSpacing/>
              <w:jc w:val="center"/>
              <w:rPr>
                <w:rFonts w:ascii="Arial Narrow" w:hAnsi="Arial Narrow"/>
                <w:sz w:val="20"/>
                <w:szCs w:val="20"/>
              </w:rPr>
            </w:pPr>
          </w:p>
        </w:tc>
        <w:tc>
          <w:tcPr>
            <w:tcW w:w="7742"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52732150" w14:textId="77777777" w:rsidR="00C40358" w:rsidRPr="005D0D22" w:rsidRDefault="00C40358">
            <w:pPr>
              <w:spacing w:after="160" w:line="256" w:lineRule="auto"/>
              <w:contextualSpacing/>
              <w:jc w:val="left"/>
              <w:rPr>
                <w:rFonts w:ascii="Arial Narrow" w:hAnsi="Arial Narrow"/>
                <w:sz w:val="20"/>
                <w:szCs w:val="20"/>
              </w:rPr>
            </w:pPr>
            <w:r w:rsidRPr="005D0D22">
              <w:rPr>
                <w:rFonts w:ascii="Arial Narrow" w:hAnsi="Arial Narrow"/>
                <w:b/>
                <w:bCs/>
                <w:sz w:val="20"/>
                <w:szCs w:val="20"/>
              </w:rPr>
              <w:t>AND</w:t>
            </w:r>
          </w:p>
        </w:tc>
      </w:tr>
      <w:tr w:rsidR="00C40358" w:rsidRPr="005D0D22" w14:paraId="319D1244" w14:textId="77777777">
        <w:trPr>
          <w:cantSplit/>
          <w:trHeight w:val="20"/>
        </w:trPr>
        <w:tc>
          <w:tcPr>
            <w:tcW w:w="1274"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7E592F79" w14:textId="6A7E23EF" w:rsidR="00C40358" w:rsidRPr="005D0D22" w:rsidRDefault="00C40358">
            <w:pPr>
              <w:spacing w:after="160"/>
              <w:contextualSpacing/>
              <w:jc w:val="center"/>
              <w:rPr>
                <w:rFonts w:ascii="Arial Narrow" w:hAnsi="Arial Narrow"/>
                <w:sz w:val="20"/>
                <w:szCs w:val="20"/>
              </w:rPr>
            </w:pPr>
          </w:p>
        </w:tc>
        <w:tc>
          <w:tcPr>
            <w:tcW w:w="7742"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3E7F383B" w14:textId="77777777" w:rsidR="00C40358" w:rsidRPr="005D0D22" w:rsidRDefault="00C40358">
            <w:pPr>
              <w:spacing w:after="160" w:line="256" w:lineRule="auto"/>
              <w:contextualSpacing/>
              <w:jc w:val="left"/>
              <w:rPr>
                <w:rFonts w:ascii="Arial Narrow" w:hAnsi="Arial Narrow"/>
                <w:sz w:val="20"/>
                <w:szCs w:val="20"/>
              </w:rPr>
            </w:pPr>
            <w:r w:rsidRPr="005D0D22">
              <w:rPr>
                <w:rFonts w:ascii="Arial Narrow" w:hAnsi="Arial Narrow"/>
                <w:b/>
                <w:bCs/>
                <w:sz w:val="20"/>
                <w:szCs w:val="20"/>
              </w:rPr>
              <w:t>Clinical criteria:</w:t>
            </w:r>
          </w:p>
        </w:tc>
      </w:tr>
      <w:tr w:rsidR="00C40358" w:rsidRPr="005D0D22" w14:paraId="70A87049" w14:textId="77777777">
        <w:trPr>
          <w:cantSplit/>
          <w:trHeight w:val="20"/>
        </w:trPr>
        <w:tc>
          <w:tcPr>
            <w:tcW w:w="1274"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71D28494" w14:textId="0358C747" w:rsidR="00C40358" w:rsidRPr="005D0D22" w:rsidRDefault="00C40358">
            <w:pPr>
              <w:spacing w:after="160"/>
              <w:contextualSpacing/>
              <w:jc w:val="center"/>
              <w:rPr>
                <w:rFonts w:ascii="Arial Narrow" w:hAnsi="Arial Narrow"/>
                <w:sz w:val="20"/>
                <w:szCs w:val="20"/>
              </w:rPr>
            </w:pPr>
          </w:p>
        </w:tc>
        <w:tc>
          <w:tcPr>
            <w:tcW w:w="7742"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343525B7" w14:textId="77777777" w:rsidR="00C40358" w:rsidRPr="005D0D22" w:rsidRDefault="00C40358">
            <w:pPr>
              <w:spacing w:after="160"/>
              <w:contextualSpacing/>
              <w:jc w:val="left"/>
              <w:rPr>
                <w:rFonts w:ascii="Arial Narrow" w:hAnsi="Arial Narrow"/>
                <w:color w:val="333333"/>
                <w:kern w:val="2"/>
                <w:sz w:val="20"/>
                <w:szCs w:val="20"/>
                <w14:ligatures w14:val="standardContextual"/>
              </w:rPr>
            </w:pPr>
            <w:r w:rsidRPr="005D0D22">
              <w:rPr>
                <w:rFonts w:ascii="Arial Narrow" w:hAnsi="Arial Narrow"/>
                <w:color w:val="333333"/>
                <w:kern w:val="2"/>
                <w:sz w:val="20"/>
                <w:szCs w:val="20"/>
                <w14:ligatures w14:val="standardContextual"/>
              </w:rPr>
              <w:t xml:space="preserve">Patient must not be receiving concomitant treatment with any of the following: </w:t>
            </w:r>
          </w:p>
          <w:p w14:paraId="75F4B25F" w14:textId="77777777" w:rsidR="00C40358" w:rsidRPr="005D0D22" w:rsidRDefault="00C40358">
            <w:pPr>
              <w:spacing w:after="160"/>
              <w:contextualSpacing/>
              <w:jc w:val="left"/>
              <w:rPr>
                <w:rFonts w:ascii="Arial Narrow" w:hAnsi="Arial Narrow"/>
                <w:sz w:val="20"/>
                <w:szCs w:val="20"/>
              </w:rPr>
            </w:pPr>
            <w:r w:rsidRPr="005D0D22">
              <w:rPr>
                <w:rFonts w:ascii="Arial Narrow" w:hAnsi="Arial Narrow"/>
                <w:sz w:val="20"/>
                <w:szCs w:val="20"/>
              </w:rPr>
              <w:t>(i) another gMG biological agent,</w:t>
            </w:r>
          </w:p>
          <w:p w14:paraId="476BDEFF" w14:textId="56918E9F" w:rsidR="00C40358" w:rsidRPr="005D0D22" w:rsidRDefault="00C40358">
            <w:pPr>
              <w:spacing w:after="160"/>
              <w:contextualSpacing/>
              <w:jc w:val="left"/>
              <w:rPr>
                <w:rFonts w:ascii="Arial Narrow" w:hAnsi="Arial Narrow"/>
                <w:sz w:val="20"/>
                <w:szCs w:val="20"/>
              </w:rPr>
            </w:pPr>
            <w:r w:rsidRPr="005D0D22">
              <w:rPr>
                <w:rFonts w:ascii="Arial Narrow" w:hAnsi="Arial Narrow"/>
                <w:sz w:val="20"/>
                <w:szCs w:val="20"/>
              </w:rPr>
              <w:t xml:space="preserve">(ii) </w:t>
            </w:r>
            <w:r w:rsidRPr="005D0D22">
              <w:rPr>
                <w:rFonts w:ascii="Arial Narrow" w:hAnsi="Arial Narrow"/>
                <w:color w:val="333333"/>
                <w:sz w:val="20"/>
                <w:szCs w:val="20"/>
              </w:rPr>
              <w:t>immunoglobulin</w:t>
            </w:r>
            <w:r w:rsidRPr="005D0D22">
              <w:rPr>
                <w:rFonts w:ascii="Arial Narrow" w:hAnsi="Arial Narrow"/>
                <w:sz w:val="20"/>
                <w:szCs w:val="20"/>
              </w:rPr>
              <w:t>,</w:t>
            </w:r>
          </w:p>
          <w:p w14:paraId="1056B97A" w14:textId="77777777" w:rsidR="00C40358" w:rsidRPr="005D0D22" w:rsidRDefault="00C40358">
            <w:pPr>
              <w:spacing w:after="160"/>
              <w:contextualSpacing/>
              <w:jc w:val="left"/>
              <w:rPr>
                <w:rFonts w:ascii="Arial Narrow" w:hAnsi="Arial Narrow"/>
                <w:sz w:val="20"/>
                <w:szCs w:val="20"/>
              </w:rPr>
            </w:pPr>
            <w:r w:rsidRPr="005D0D22">
              <w:rPr>
                <w:rFonts w:ascii="Arial Narrow" w:hAnsi="Arial Narrow"/>
                <w:sz w:val="20"/>
                <w:szCs w:val="20"/>
              </w:rPr>
              <w:t>(iii) plasma exchange (PLEX),</w:t>
            </w:r>
          </w:p>
          <w:p w14:paraId="6A1632D1" w14:textId="77777777" w:rsidR="00C40358" w:rsidRPr="005D0D22" w:rsidRDefault="00C40358">
            <w:pPr>
              <w:spacing w:after="160" w:line="256" w:lineRule="auto"/>
              <w:contextualSpacing/>
              <w:jc w:val="left"/>
              <w:rPr>
                <w:rFonts w:ascii="Arial Narrow" w:hAnsi="Arial Narrow"/>
                <w:sz w:val="20"/>
                <w:szCs w:val="20"/>
              </w:rPr>
            </w:pPr>
            <w:r w:rsidRPr="005D0D22">
              <w:rPr>
                <w:rFonts w:ascii="Arial Narrow" w:hAnsi="Arial Narrow"/>
                <w:sz w:val="20"/>
                <w:szCs w:val="20"/>
              </w:rPr>
              <w:t>(iv) rituximab for this condition.</w:t>
            </w:r>
          </w:p>
        </w:tc>
      </w:tr>
      <w:tr w:rsidR="00C40358" w:rsidRPr="005D0D22" w14:paraId="7C8AF034" w14:textId="77777777">
        <w:trPr>
          <w:cantSplit/>
          <w:trHeight w:val="20"/>
        </w:trPr>
        <w:tc>
          <w:tcPr>
            <w:tcW w:w="1274"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08E8A419" w14:textId="77777777" w:rsidR="00C40358" w:rsidRPr="005D0D22" w:rsidRDefault="00C40358">
            <w:pPr>
              <w:spacing w:after="160"/>
              <w:contextualSpacing/>
              <w:jc w:val="center"/>
              <w:rPr>
                <w:rFonts w:ascii="Arial Narrow" w:hAnsi="Arial Narrow"/>
                <w:sz w:val="20"/>
                <w:szCs w:val="20"/>
              </w:rPr>
            </w:pPr>
          </w:p>
        </w:tc>
        <w:tc>
          <w:tcPr>
            <w:tcW w:w="7742"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5FEC050F" w14:textId="77777777" w:rsidR="00C40358" w:rsidRPr="005D0D22" w:rsidRDefault="00C40358">
            <w:pPr>
              <w:spacing w:after="160"/>
              <w:contextualSpacing/>
              <w:jc w:val="left"/>
              <w:rPr>
                <w:rFonts w:ascii="Arial Narrow" w:hAnsi="Arial Narrow"/>
                <w:color w:val="333333"/>
                <w:kern w:val="2"/>
                <w:sz w:val="20"/>
                <w:szCs w:val="20"/>
                <w14:ligatures w14:val="standardContextual"/>
              </w:rPr>
            </w:pPr>
            <w:r w:rsidRPr="005D0D22">
              <w:rPr>
                <w:rFonts w:ascii="Arial Narrow" w:hAnsi="Arial Narrow"/>
                <w:b/>
                <w:bCs/>
                <w:sz w:val="20"/>
                <w:szCs w:val="20"/>
              </w:rPr>
              <w:t>AND</w:t>
            </w:r>
          </w:p>
        </w:tc>
      </w:tr>
      <w:tr w:rsidR="00C40358" w:rsidRPr="005D0D22" w14:paraId="637B3F02" w14:textId="77777777">
        <w:trPr>
          <w:cantSplit/>
          <w:trHeight w:val="20"/>
        </w:trPr>
        <w:tc>
          <w:tcPr>
            <w:tcW w:w="1274"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792E0056" w14:textId="0A663487" w:rsidR="00C40358" w:rsidRPr="005D0D22" w:rsidRDefault="00C40358">
            <w:pPr>
              <w:spacing w:after="160"/>
              <w:contextualSpacing/>
              <w:jc w:val="center"/>
              <w:rPr>
                <w:rFonts w:ascii="Arial Narrow" w:hAnsi="Arial Narrow"/>
                <w:sz w:val="20"/>
                <w:szCs w:val="20"/>
              </w:rPr>
            </w:pPr>
          </w:p>
        </w:tc>
        <w:tc>
          <w:tcPr>
            <w:tcW w:w="7742"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74CFD069" w14:textId="77777777" w:rsidR="00C40358" w:rsidRPr="005D0D22" w:rsidRDefault="00C40358">
            <w:pPr>
              <w:spacing w:after="160"/>
              <w:contextualSpacing/>
              <w:jc w:val="left"/>
              <w:rPr>
                <w:rFonts w:ascii="Arial Narrow" w:hAnsi="Arial Narrow"/>
                <w:color w:val="333333"/>
                <w:kern w:val="2"/>
                <w:sz w:val="20"/>
                <w:szCs w:val="20"/>
                <w14:ligatures w14:val="standardContextual"/>
              </w:rPr>
            </w:pPr>
            <w:r w:rsidRPr="005D0D22">
              <w:rPr>
                <w:rFonts w:ascii="Arial Narrow" w:hAnsi="Arial Narrow"/>
                <w:b/>
                <w:bCs/>
                <w:sz w:val="20"/>
                <w:szCs w:val="20"/>
              </w:rPr>
              <w:t>Clinical criteria:</w:t>
            </w:r>
          </w:p>
        </w:tc>
      </w:tr>
      <w:tr w:rsidR="00C40358" w:rsidRPr="005D0D22" w14:paraId="57CCE723" w14:textId="77777777">
        <w:trPr>
          <w:cantSplit/>
          <w:trHeight w:val="20"/>
        </w:trPr>
        <w:tc>
          <w:tcPr>
            <w:tcW w:w="1274"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0A2D1B1A" w14:textId="12A94810" w:rsidR="00C40358" w:rsidRPr="005D0D22" w:rsidRDefault="00C40358">
            <w:pPr>
              <w:spacing w:after="160"/>
              <w:contextualSpacing/>
              <w:jc w:val="center"/>
              <w:rPr>
                <w:rFonts w:ascii="Arial Narrow" w:hAnsi="Arial Narrow"/>
                <w:sz w:val="20"/>
                <w:szCs w:val="20"/>
              </w:rPr>
            </w:pPr>
          </w:p>
        </w:tc>
        <w:tc>
          <w:tcPr>
            <w:tcW w:w="7742"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7F757315" w14:textId="630648C5" w:rsidR="00C40358" w:rsidRPr="005D0D22" w:rsidRDefault="00C40358">
            <w:pPr>
              <w:spacing w:after="160"/>
              <w:contextualSpacing/>
              <w:jc w:val="left"/>
              <w:rPr>
                <w:rFonts w:ascii="Arial Narrow" w:hAnsi="Arial Narrow"/>
                <w:color w:val="333333"/>
                <w:sz w:val="20"/>
                <w:szCs w:val="20"/>
              </w:rPr>
            </w:pPr>
            <w:r w:rsidRPr="005D0D22">
              <w:rPr>
                <w:rFonts w:ascii="Arial Narrow" w:hAnsi="Arial Narrow"/>
                <w:color w:val="333333"/>
                <w:kern w:val="2"/>
                <w:sz w:val="20"/>
                <w:szCs w:val="20"/>
                <w14:ligatures w14:val="standardContextual"/>
              </w:rPr>
              <w:t xml:space="preserve">Patient must be receiving concomitant treatment with a </w:t>
            </w:r>
            <w:r w:rsidRPr="005D0D22">
              <w:rPr>
                <w:rFonts w:ascii="Arial Narrow" w:hAnsi="Arial Narrow"/>
                <w:sz w:val="20"/>
                <w:szCs w:val="20"/>
              </w:rPr>
              <w:t>non</w:t>
            </w:r>
            <w:r w:rsidR="00AF0956">
              <w:rPr>
                <w:rFonts w:ascii="Arial Narrow" w:hAnsi="Arial Narrow"/>
                <w:sz w:val="20"/>
                <w:szCs w:val="20"/>
              </w:rPr>
              <w:noBreakHyphen/>
            </w:r>
            <w:r w:rsidRPr="005D0D22">
              <w:rPr>
                <w:rFonts w:ascii="Arial Narrow" w:hAnsi="Arial Narrow"/>
                <w:sz w:val="20"/>
                <w:szCs w:val="20"/>
              </w:rPr>
              <w:t>steroidal immunosuppressant (NS</w:t>
            </w:r>
            <w:r w:rsidR="00AF0956">
              <w:rPr>
                <w:rFonts w:ascii="Arial Narrow" w:hAnsi="Arial Narrow"/>
                <w:sz w:val="20"/>
                <w:szCs w:val="20"/>
              </w:rPr>
              <w:noBreakHyphen/>
            </w:r>
            <w:r w:rsidRPr="005D0D22">
              <w:rPr>
                <w:rFonts w:ascii="Arial Narrow" w:hAnsi="Arial Narrow"/>
                <w:sz w:val="20"/>
                <w:szCs w:val="20"/>
              </w:rPr>
              <w:t>IST); or</w:t>
            </w:r>
          </w:p>
        </w:tc>
      </w:tr>
      <w:tr w:rsidR="00C40358" w:rsidRPr="005D0D22" w14:paraId="4961DE64" w14:textId="77777777">
        <w:trPr>
          <w:cantSplit/>
          <w:trHeight w:val="20"/>
        </w:trPr>
        <w:tc>
          <w:tcPr>
            <w:tcW w:w="1274"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6ACC02F4" w14:textId="7BBBA7D8" w:rsidR="00C40358" w:rsidRPr="005D0D22" w:rsidRDefault="00C40358">
            <w:pPr>
              <w:spacing w:after="160"/>
              <w:contextualSpacing/>
              <w:jc w:val="center"/>
              <w:rPr>
                <w:rFonts w:ascii="Arial Narrow" w:hAnsi="Arial Narrow"/>
                <w:sz w:val="20"/>
                <w:szCs w:val="20"/>
              </w:rPr>
            </w:pPr>
          </w:p>
        </w:tc>
        <w:tc>
          <w:tcPr>
            <w:tcW w:w="7742"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2F9A314B" w14:textId="77777777" w:rsidR="00C40358" w:rsidRPr="005D0D22" w:rsidRDefault="00C40358">
            <w:pPr>
              <w:spacing w:after="160"/>
              <w:contextualSpacing/>
              <w:jc w:val="left"/>
              <w:rPr>
                <w:rFonts w:ascii="Arial Narrow" w:hAnsi="Arial Narrow"/>
                <w:color w:val="333333"/>
                <w:kern w:val="2"/>
                <w:sz w:val="20"/>
                <w:szCs w:val="20"/>
                <w14:ligatures w14:val="standardContextual"/>
              </w:rPr>
            </w:pPr>
            <w:r w:rsidRPr="005D0D22">
              <w:rPr>
                <w:rFonts w:ascii="Arial Narrow" w:hAnsi="Arial Narrow"/>
                <w:color w:val="333333"/>
                <w:kern w:val="2"/>
                <w:sz w:val="20"/>
                <w:szCs w:val="20"/>
                <w14:ligatures w14:val="standardContextual"/>
              </w:rPr>
              <w:t>Patient must have had a thymectomy</w:t>
            </w:r>
          </w:p>
        </w:tc>
      </w:tr>
      <w:tr w:rsidR="00C40358" w:rsidRPr="005D0D22" w14:paraId="4AC2109F" w14:textId="77777777">
        <w:trPr>
          <w:cantSplit/>
          <w:trHeight w:val="20"/>
        </w:trPr>
        <w:tc>
          <w:tcPr>
            <w:tcW w:w="1274"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4A9D7B7E" w14:textId="77777777" w:rsidR="00C40358" w:rsidRPr="005D0D22" w:rsidRDefault="00C40358">
            <w:pPr>
              <w:spacing w:after="160"/>
              <w:contextualSpacing/>
              <w:jc w:val="center"/>
              <w:rPr>
                <w:rFonts w:ascii="Arial Narrow" w:hAnsi="Arial Narrow"/>
                <w:sz w:val="20"/>
                <w:szCs w:val="20"/>
              </w:rPr>
            </w:pPr>
          </w:p>
        </w:tc>
        <w:tc>
          <w:tcPr>
            <w:tcW w:w="7742"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16977076" w14:textId="77777777" w:rsidR="00C40358" w:rsidRPr="005D0D22" w:rsidRDefault="00C40358">
            <w:pPr>
              <w:spacing w:after="160"/>
              <w:contextualSpacing/>
              <w:jc w:val="left"/>
              <w:rPr>
                <w:rFonts w:ascii="Arial Narrow" w:hAnsi="Arial Narrow"/>
                <w:color w:val="333333"/>
                <w:kern w:val="2"/>
                <w:sz w:val="20"/>
                <w:szCs w:val="20"/>
                <w14:ligatures w14:val="standardContextual"/>
              </w:rPr>
            </w:pPr>
            <w:r w:rsidRPr="005D0D22">
              <w:rPr>
                <w:rFonts w:ascii="Arial Narrow" w:hAnsi="Arial Narrow"/>
                <w:b/>
                <w:bCs/>
                <w:sz w:val="20"/>
                <w:szCs w:val="20"/>
              </w:rPr>
              <w:t>AND</w:t>
            </w:r>
          </w:p>
        </w:tc>
      </w:tr>
      <w:tr w:rsidR="00C40358" w:rsidRPr="005D0D22" w14:paraId="5CF922A7" w14:textId="77777777">
        <w:trPr>
          <w:cantSplit/>
          <w:trHeight w:val="20"/>
        </w:trPr>
        <w:tc>
          <w:tcPr>
            <w:tcW w:w="1274"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12046E9E" w14:textId="477414F9" w:rsidR="00C40358" w:rsidRPr="005D0D22" w:rsidRDefault="00C40358">
            <w:pPr>
              <w:spacing w:after="160"/>
              <w:contextualSpacing/>
              <w:jc w:val="center"/>
              <w:rPr>
                <w:rFonts w:ascii="Arial Narrow" w:hAnsi="Arial Narrow"/>
                <w:sz w:val="20"/>
                <w:szCs w:val="20"/>
              </w:rPr>
            </w:pPr>
          </w:p>
        </w:tc>
        <w:tc>
          <w:tcPr>
            <w:tcW w:w="7742"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4F14687B" w14:textId="77777777" w:rsidR="00C40358" w:rsidRPr="005D0D22" w:rsidRDefault="00C40358">
            <w:pPr>
              <w:spacing w:after="160"/>
              <w:contextualSpacing/>
              <w:jc w:val="left"/>
              <w:rPr>
                <w:rFonts w:ascii="Arial Narrow" w:hAnsi="Arial Narrow"/>
                <w:color w:val="333333"/>
                <w:kern w:val="2"/>
                <w:sz w:val="20"/>
                <w:szCs w:val="20"/>
                <w14:ligatures w14:val="standardContextual"/>
              </w:rPr>
            </w:pPr>
            <w:r w:rsidRPr="005D0D22">
              <w:rPr>
                <w:rFonts w:ascii="Arial Narrow" w:hAnsi="Arial Narrow"/>
                <w:b/>
                <w:bCs/>
                <w:sz w:val="20"/>
                <w:szCs w:val="20"/>
              </w:rPr>
              <w:t>Clinical criteria:</w:t>
            </w:r>
          </w:p>
        </w:tc>
      </w:tr>
      <w:tr w:rsidR="00C40358" w:rsidRPr="005D0D22" w14:paraId="40890F49" w14:textId="77777777">
        <w:trPr>
          <w:cantSplit/>
          <w:trHeight w:val="20"/>
        </w:trPr>
        <w:tc>
          <w:tcPr>
            <w:tcW w:w="1274"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5CB3570E" w14:textId="7AA021B5" w:rsidR="00C40358" w:rsidRPr="005D0D22" w:rsidRDefault="00C40358">
            <w:pPr>
              <w:spacing w:after="160"/>
              <w:contextualSpacing/>
              <w:jc w:val="center"/>
              <w:rPr>
                <w:rFonts w:ascii="Arial Narrow" w:hAnsi="Arial Narrow"/>
                <w:sz w:val="20"/>
                <w:szCs w:val="20"/>
              </w:rPr>
            </w:pPr>
          </w:p>
        </w:tc>
        <w:tc>
          <w:tcPr>
            <w:tcW w:w="7742"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671F8DA0" w14:textId="77777777" w:rsidR="00C40358" w:rsidRPr="005D0D22" w:rsidRDefault="00C40358">
            <w:pPr>
              <w:spacing w:after="160"/>
              <w:contextualSpacing/>
              <w:jc w:val="left"/>
              <w:rPr>
                <w:rFonts w:ascii="Arial Narrow" w:hAnsi="Arial Narrow"/>
                <w:color w:val="333333"/>
                <w:kern w:val="2"/>
                <w:sz w:val="20"/>
                <w:szCs w:val="20"/>
                <w14:ligatures w14:val="standardContextual"/>
              </w:rPr>
            </w:pPr>
            <w:r w:rsidRPr="005D0D22">
              <w:rPr>
                <w:rFonts w:ascii="Arial Narrow" w:eastAsia="Aptos" w:hAnsi="Arial Narrow"/>
                <w:kern w:val="2"/>
                <w:sz w:val="20"/>
                <w:szCs w:val="20"/>
                <w:lang w:eastAsia="en-US"/>
                <w14:ligatures w14:val="standardContextual"/>
              </w:rPr>
              <w:t xml:space="preserve">The treatment must </w:t>
            </w:r>
            <w:r w:rsidRPr="005D0D22">
              <w:rPr>
                <w:rFonts w:ascii="Arial Narrow" w:eastAsia="Aptos" w:hAnsi="Arial Narrow"/>
                <w:color w:val="000000"/>
                <w:kern w:val="2"/>
                <w:sz w:val="20"/>
                <w:szCs w:val="20"/>
                <w:lang w:eastAsia="en-US"/>
                <w14:ligatures w14:val="standardContextual"/>
              </w:rPr>
              <w:t>provide no more than 6 months of therapy per continuing authority application</w:t>
            </w:r>
          </w:p>
        </w:tc>
      </w:tr>
      <w:tr w:rsidR="00C40358" w:rsidRPr="005D0D22" w14:paraId="54CE2AB6" w14:textId="77777777">
        <w:trPr>
          <w:cantSplit/>
          <w:trHeight w:val="20"/>
        </w:trPr>
        <w:tc>
          <w:tcPr>
            <w:tcW w:w="1274"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651C4D64" w14:textId="77777777" w:rsidR="00C40358" w:rsidRPr="005D0D22" w:rsidRDefault="00C40358">
            <w:pPr>
              <w:spacing w:after="160"/>
              <w:contextualSpacing/>
              <w:jc w:val="center"/>
              <w:rPr>
                <w:rFonts w:ascii="Arial Narrow" w:hAnsi="Arial Narrow"/>
                <w:sz w:val="20"/>
                <w:szCs w:val="20"/>
              </w:rPr>
            </w:pPr>
          </w:p>
        </w:tc>
        <w:tc>
          <w:tcPr>
            <w:tcW w:w="7742"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09D1E86C" w14:textId="77777777" w:rsidR="00C40358" w:rsidRPr="005D0D22" w:rsidRDefault="00C40358">
            <w:pPr>
              <w:spacing w:after="160"/>
              <w:contextualSpacing/>
              <w:jc w:val="left"/>
              <w:rPr>
                <w:rFonts w:ascii="Arial Narrow" w:hAnsi="Arial Narrow"/>
                <w:color w:val="333333"/>
                <w:kern w:val="2"/>
                <w:sz w:val="20"/>
                <w:szCs w:val="20"/>
                <w14:ligatures w14:val="standardContextual"/>
              </w:rPr>
            </w:pPr>
            <w:r w:rsidRPr="005D0D22">
              <w:rPr>
                <w:rFonts w:ascii="Arial Narrow" w:hAnsi="Arial Narrow"/>
                <w:b/>
                <w:bCs/>
                <w:sz w:val="20"/>
                <w:szCs w:val="20"/>
              </w:rPr>
              <w:t>AND</w:t>
            </w:r>
          </w:p>
        </w:tc>
      </w:tr>
      <w:tr w:rsidR="00C40358" w:rsidRPr="005D0D22" w14:paraId="4B944128" w14:textId="77777777">
        <w:trPr>
          <w:cantSplit/>
          <w:trHeight w:val="20"/>
        </w:trPr>
        <w:tc>
          <w:tcPr>
            <w:tcW w:w="1274"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044959CB" w14:textId="3ED0E1C2" w:rsidR="00C40358" w:rsidRPr="005D0D22" w:rsidRDefault="00C40358">
            <w:pPr>
              <w:spacing w:after="160"/>
              <w:contextualSpacing/>
              <w:jc w:val="center"/>
              <w:rPr>
                <w:rFonts w:ascii="Arial Narrow" w:hAnsi="Arial Narrow"/>
                <w:sz w:val="20"/>
                <w:szCs w:val="20"/>
              </w:rPr>
            </w:pPr>
          </w:p>
        </w:tc>
        <w:tc>
          <w:tcPr>
            <w:tcW w:w="7742"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0D0673C7" w14:textId="77777777" w:rsidR="00C40358" w:rsidRPr="005D0D22" w:rsidRDefault="00C40358">
            <w:pPr>
              <w:spacing w:after="160" w:line="256" w:lineRule="auto"/>
              <w:contextualSpacing/>
              <w:jc w:val="left"/>
              <w:rPr>
                <w:rFonts w:ascii="Arial Narrow" w:hAnsi="Arial Narrow"/>
                <w:b/>
                <w:bCs/>
                <w:color w:val="000000"/>
                <w:sz w:val="20"/>
                <w:szCs w:val="20"/>
              </w:rPr>
            </w:pPr>
            <w:r w:rsidRPr="005D0D22">
              <w:rPr>
                <w:rFonts w:ascii="Arial Narrow" w:hAnsi="Arial Narrow"/>
                <w:b/>
                <w:bCs/>
                <w:color w:val="000000"/>
                <w:sz w:val="20"/>
                <w:szCs w:val="20"/>
              </w:rPr>
              <w:t>Treatment criteria:</w:t>
            </w:r>
          </w:p>
        </w:tc>
      </w:tr>
      <w:tr w:rsidR="00C40358" w:rsidRPr="005D0D22" w14:paraId="2F371405" w14:textId="77777777">
        <w:trPr>
          <w:cantSplit/>
          <w:trHeight w:val="20"/>
        </w:trPr>
        <w:tc>
          <w:tcPr>
            <w:tcW w:w="1274"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11946749" w14:textId="2338268C" w:rsidR="00C40358" w:rsidRPr="005D0D22" w:rsidRDefault="00C40358">
            <w:pPr>
              <w:spacing w:after="160"/>
              <w:contextualSpacing/>
              <w:jc w:val="center"/>
              <w:rPr>
                <w:rFonts w:ascii="Arial Narrow" w:hAnsi="Arial Narrow"/>
                <w:sz w:val="20"/>
                <w:szCs w:val="20"/>
              </w:rPr>
            </w:pPr>
          </w:p>
        </w:tc>
        <w:tc>
          <w:tcPr>
            <w:tcW w:w="7742"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054B2780" w14:textId="77777777" w:rsidR="00C40358" w:rsidRPr="005D0D22" w:rsidRDefault="00C40358">
            <w:pPr>
              <w:spacing w:after="160" w:line="256" w:lineRule="auto"/>
              <w:contextualSpacing/>
              <w:jc w:val="left"/>
              <w:rPr>
                <w:rFonts w:ascii="Arial Narrow" w:hAnsi="Arial Narrow"/>
                <w:b/>
                <w:bCs/>
                <w:color w:val="000000"/>
                <w:sz w:val="20"/>
                <w:szCs w:val="20"/>
              </w:rPr>
            </w:pPr>
            <w:r w:rsidRPr="005D0D22">
              <w:rPr>
                <w:rFonts w:ascii="Arial Narrow" w:eastAsia="Calibri" w:hAnsi="Arial Narrow" w:cs="Arial Narrow"/>
                <w:iCs/>
                <w:color w:val="000000"/>
                <w:sz w:val="20"/>
                <w:szCs w:val="20"/>
                <w:lang w:eastAsia="en-US"/>
              </w:rPr>
              <w:t>Must be treated by a prescriber who is either: (i) a neurologist; (ii) a clinical immunologist with expertise in the treatment of myasthenia gravis; or</w:t>
            </w:r>
          </w:p>
        </w:tc>
      </w:tr>
      <w:tr w:rsidR="00C40358" w:rsidRPr="005D0D22" w14:paraId="64773F9E" w14:textId="77777777">
        <w:trPr>
          <w:cantSplit/>
          <w:trHeight w:val="20"/>
        </w:trPr>
        <w:tc>
          <w:tcPr>
            <w:tcW w:w="1274"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6F07D855" w14:textId="59FE32E5" w:rsidR="00C40358" w:rsidRPr="005D0D22" w:rsidRDefault="00C40358">
            <w:pPr>
              <w:spacing w:after="160"/>
              <w:contextualSpacing/>
              <w:jc w:val="center"/>
              <w:rPr>
                <w:rFonts w:ascii="Arial Narrow" w:hAnsi="Arial Narrow"/>
                <w:sz w:val="20"/>
                <w:szCs w:val="20"/>
              </w:rPr>
            </w:pPr>
          </w:p>
        </w:tc>
        <w:tc>
          <w:tcPr>
            <w:tcW w:w="7742"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1B0330E3" w14:textId="63269F1C" w:rsidR="00C40358" w:rsidRPr="005D0D22" w:rsidRDefault="00C40358">
            <w:pPr>
              <w:spacing w:after="160" w:line="256" w:lineRule="auto"/>
              <w:contextualSpacing/>
              <w:jc w:val="left"/>
              <w:rPr>
                <w:rFonts w:ascii="Arial Narrow" w:eastAsia="Calibri" w:hAnsi="Arial Narrow" w:cs="Arial Narrow"/>
                <w:color w:val="000000"/>
                <w:sz w:val="20"/>
                <w:szCs w:val="20"/>
                <w:lang w:eastAsia="en-US"/>
              </w:rPr>
            </w:pPr>
            <w:r w:rsidRPr="005D0D22">
              <w:rPr>
                <w:rFonts w:ascii="Arial Narrow" w:eastAsia="Calibri" w:hAnsi="Arial Narrow" w:cs="Arial Narrow"/>
                <w:iCs/>
                <w:color w:val="000000"/>
                <w:sz w:val="20"/>
                <w:szCs w:val="20"/>
                <w:lang w:eastAsia="en-US"/>
              </w:rPr>
              <w:t>Must be treated by a medical practitioner who has consulted at least one of the above</w:t>
            </w:r>
            <w:r w:rsidR="00AF0956">
              <w:rPr>
                <w:rFonts w:ascii="Arial Narrow" w:eastAsia="Calibri" w:hAnsi="Arial Narrow" w:cs="Arial Narrow"/>
                <w:iCs/>
                <w:color w:val="000000"/>
                <w:sz w:val="20"/>
                <w:szCs w:val="20"/>
                <w:lang w:eastAsia="en-US"/>
              </w:rPr>
              <w:noBreakHyphen/>
            </w:r>
            <w:r w:rsidRPr="005D0D22">
              <w:rPr>
                <w:rFonts w:ascii="Arial Narrow" w:eastAsia="Calibri" w:hAnsi="Arial Narrow" w:cs="Arial Narrow"/>
                <w:iCs/>
                <w:color w:val="000000"/>
                <w:sz w:val="20"/>
                <w:szCs w:val="20"/>
                <w:lang w:eastAsia="en-US"/>
              </w:rPr>
              <w:t>mentioned specialist types, with an agreement reached that the patient should be treated with this pharmaceutical benefit on this occasion.</w:t>
            </w:r>
          </w:p>
        </w:tc>
      </w:tr>
      <w:tr w:rsidR="00C40358" w:rsidRPr="005D0D22" w14:paraId="4B22E31B" w14:textId="77777777">
        <w:trPr>
          <w:cantSplit/>
          <w:trHeight w:val="20"/>
        </w:trPr>
        <w:tc>
          <w:tcPr>
            <w:tcW w:w="1274"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4DD0715B" w14:textId="116DE265" w:rsidR="00C40358" w:rsidRPr="005D0D22" w:rsidRDefault="00C40358">
            <w:pPr>
              <w:spacing w:after="160"/>
              <w:contextualSpacing/>
              <w:jc w:val="center"/>
              <w:rPr>
                <w:rFonts w:ascii="Arial Narrow" w:hAnsi="Arial Narrow"/>
                <w:sz w:val="20"/>
                <w:szCs w:val="20"/>
              </w:rPr>
            </w:pPr>
          </w:p>
        </w:tc>
        <w:tc>
          <w:tcPr>
            <w:tcW w:w="7742"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50998B8C" w14:textId="77777777" w:rsidR="00C40358" w:rsidRPr="005D0D22" w:rsidRDefault="00C40358">
            <w:pPr>
              <w:spacing w:after="160" w:line="256" w:lineRule="auto"/>
              <w:contextualSpacing/>
              <w:jc w:val="left"/>
              <w:rPr>
                <w:rFonts w:ascii="Arial Narrow" w:eastAsia="Calibri" w:hAnsi="Arial Narrow"/>
                <w:bCs/>
                <w:sz w:val="20"/>
                <w:szCs w:val="20"/>
                <w:lang w:eastAsia="en-US"/>
              </w:rPr>
            </w:pPr>
            <w:r w:rsidRPr="005D0D22">
              <w:rPr>
                <w:rFonts w:ascii="Arial Narrow" w:eastAsia="Calibri" w:hAnsi="Arial Narrow"/>
                <w:b/>
                <w:bCs/>
                <w:sz w:val="20"/>
                <w:szCs w:val="20"/>
                <w:lang w:eastAsia="en-US"/>
              </w:rPr>
              <w:t>Prescribing Instructions</w:t>
            </w:r>
            <w:r w:rsidRPr="005D0D22">
              <w:rPr>
                <w:rFonts w:ascii="Arial Narrow" w:eastAsia="Calibri" w:hAnsi="Arial Narrow"/>
                <w:bCs/>
                <w:sz w:val="20"/>
                <w:szCs w:val="20"/>
                <w:lang w:eastAsia="en-US"/>
              </w:rPr>
              <w:t>:</w:t>
            </w:r>
          </w:p>
          <w:p w14:paraId="2D8B4B62" w14:textId="77B39821" w:rsidR="00C40358" w:rsidRPr="005D0D22" w:rsidRDefault="00C40358">
            <w:pPr>
              <w:spacing w:after="160" w:line="256" w:lineRule="auto"/>
              <w:contextualSpacing/>
              <w:jc w:val="left"/>
              <w:rPr>
                <w:rFonts w:ascii="Arial Narrow" w:eastAsia="Calibri" w:hAnsi="Arial Narrow"/>
                <w:bCs/>
                <w:color w:val="000000"/>
                <w:sz w:val="20"/>
                <w:szCs w:val="20"/>
                <w:lang w:eastAsia="en-US"/>
              </w:rPr>
            </w:pPr>
            <w:r w:rsidRPr="005D0D22">
              <w:rPr>
                <w:rFonts w:ascii="Arial Narrow" w:eastAsia="Calibri" w:hAnsi="Arial Narrow"/>
                <w:bCs/>
                <w:sz w:val="20"/>
                <w:szCs w:val="20"/>
                <w:lang w:eastAsia="en-US"/>
              </w:rPr>
              <w:t xml:space="preserve">The authority application </w:t>
            </w:r>
            <w:r w:rsidRPr="005D0D22">
              <w:rPr>
                <w:rFonts w:ascii="Arial Narrow" w:eastAsia="Calibri" w:hAnsi="Arial Narrow"/>
                <w:bCs/>
                <w:color w:val="000000"/>
                <w:sz w:val="20"/>
                <w:szCs w:val="20"/>
                <w:lang w:eastAsia="en-US"/>
              </w:rPr>
              <w:t xml:space="preserve">must be </w:t>
            </w:r>
            <w:r w:rsidRPr="005D0D22">
              <w:rPr>
                <w:rFonts w:ascii="Arial Narrow" w:hAnsi="Arial Narrow"/>
                <w:color w:val="000000"/>
                <w:sz w:val="20"/>
                <w:szCs w:val="20"/>
              </w:rPr>
              <w:t xml:space="preserve">via the Online PBS Authorities System, or </w:t>
            </w:r>
            <w:r w:rsidRPr="005D0D22">
              <w:rPr>
                <w:rFonts w:ascii="Arial Narrow" w:eastAsia="Calibri" w:hAnsi="Arial Narrow"/>
                <w:bCs/>
                <w:color w:val="000000"/>
                <w:sz w:val="20"/>
                <w:szCs w:val="20"/>
                <w:lang w:eastAsia="en-US"/>
              </w:rPr>
              <w:t xml:space="preserve">in writing and must include </w:t>
            </w:r>
            <w:r w:rsidRPr="005D0D22">
              <w:rPr>
                <w:rFonts w:ascii="Arial Narrow" w:hAnsi="Arial Narrow"/>
                <w:color w:val="000000"/>
                <w:sz w:val="20"/>
                <w:szCs w:val="20"/>
              </w:rPr>
              <w:t>the MG</w:t>
            </w:r>
            <w:r w:rsidR="00AF0956">
              <w:rPr>
                <w:rFonts w:ascii="Arial Narrow" w:hAnsi="Arial Narrow"/>
                <w:color w:val="000000"/>
                <w:sz w:val="20"/>
                <w:szCs w:val="20"/>
              </w:rPr>
              <w:noBreakHyphen/>
            </w:r>
            <w:r w:rsidRPr="005D0D22">
              <w:rPr>
                <w:rFonts w:ascii="Arial Narrow" w:hAnsi="Arial Narrow"/>
                <w:color w:val="000000"/>
                <w:sz w:val="20"/>
                <w:szCs w:val="20"/>
              </w:rPr>
              <w:t>ADL and MGC scores assessed from the most recent course of treatment.</w:t>
            </w:r>
          </w:p>
          <w:p w14:paraId="53D7BA0E" w14:textId="77777777" w:rsidR="00C40358" w:rsidRPr="005D0D22" w:rsidRDefault="00C40358">
            <w:pPr>
              <w:jc w:val="left"/>
              <w:rPr>
                <w:rFonts w:ascii="Arial Narrow" w:hAnsi="Arial Narrow"/>
                <w:color w:val="000000"/>
                <w:sz w:val="20"/>
                <w:szCs w:val="20"/>
              </w:rPr>
            </w:pPr>
          </w:p>
          <w:p w14:paraId="1609818E" w14:textId="77777777" w:rsidR="00C40358" w:rsidRPr="005D0D22" w:rsidRDefault="00C40358">
            <w:pPr>
              <w:jc w:val="left"/>
              <w:rPr>
                <w:rFonts w:ascii="Arial Narrow" w:hAnsi="Arial Narrow"/>
                <w:sz w:val="20"/>
                <w:szCs w:val="20"/>
              </w:rPr>
            </w:pPr>
            <w:r w:rsidRPr="005D0D22">
              <w:rPr>
                <w:rFonts w:ascii="Arial Narrow" w:hAnsi="Arial Narrow"/>
                <w:sz w:val="20"/>
                <w:szCs w:val="20"/>
              </w:rPr>
              <w:t>If the application is submitted through HPOS form upload or mail, it must include:</w:t>
            </w:r>
          </w:p>
          <w:p w14:paraId="05BBEF98" w14:textId="77777777" w:rsidR="00C40358" w:rsidRPr="005D0D22" w:rsidRDefault="00C40358">
            <w:pPr>
              <w:spacing w:after="160" w:line="256" w:lineRule="auto"/>
              <w:contextualSpacing/>
              <w:jc w:val="left"/>
              <w:rPr>
                <w:rFonts w:ascii="Arial Narrow" w:eastAsia="Calibri" w:hAnsi="Arial Narrow"/>
                <w:bCs/>
                <w:sz w:val="20"/>
                <w:szCs w:val="20"/>
                <w:lang w:eastAsia="en-US"/>
              </w:rPr>
            </w:pPr>
            <w:r w:rsidRPr="005D0D22">
              <w:rPr>
                <w:rFonts w:ascii="Arial Narrow" w:eastAsia="Calibri" w:hAnsi="Arial Narrow"/>
                <w:bCs/>
                <w:sz w:val="20"/>
                <w:szCs w:val="20"/>
                <w:lang w:eastAsia="en-US"/>
              </w:rPr>
              <w:t>(1) details of the proposed prescription;</w:t>
            </w:r>
          </w:p>
          <w:p w14:paraId="15E346E1" w14:textId="77777777" w:rsidR="00C40358" w:rsidRPr="005D0D22" w:rsidRDefault="00C40358">
            <w:pPr>
              <w:spacing w:after="160" w:line="256" w:lineRule="auto"/>
              <w:contextualSpacing/>
              <w:jc w:val="left"/>
              <w:rPr>
                <w:rFonts w:ascii="Arial Narrow" w:eastAsia="Calibri" w:hAnsi="Arial Narrow"/>
                <w:bCs/>
                <w:sz w:val="20"/>
                <w:szCs w:val="20"/>
                <w:lang w:eastAsia="en-US"/>
              </w:rPr>
            </w:pPr>
            <w:r w:rsidRPr="005D0D22">
              <w:rPr>
                <w:rFonts w:ascii="Arial Narrow" w:eastAsia="Calibri" w:hAnsi="Arial Narrow"/>
                <w:bCs/>
                <w:sz w:val="20"/>
                <w:szCs w:val="20"/>
                <w:lang w:eastAsia="en-US"/>
              </w:rPr>
              <w:t>(2) a completed authority application form relevant to the indication and treatment phase (the latest version is located on the website specified in the Administrative Advice);</w:t>
            </w:r>
          </w:p>
        </w:tc>
      </w:tr>
      <w:tr w:rsidR="00C40358" w:rsidRPr="005D0D22" w14:paraId="733FF092" w14:textId="77777777" w:rsidTr="002408E2">
        <w:trPr>
          <w:cantSplit/>
          <w:trHeight w:val="20"/>
        </w:trPr>
        <w:tc>
          <w:tcPr>
            <w:tcW w:w="9016" w:type="dxa"/>
            <w:gridSpan w:val="8"/>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527BD24F" w14:textId="27473D6A" w:rsidR="00C40358" w:rsidRPr="005D0D22" w:rsidRDefault="00C40358">
            <w:pPr>
              <w:keepLines/>
              <w:spacing w:after="160"/>
              <w:contextualSpacing/>
              <w:jc w:val="left"/>
              <w:rPr>
                <w:rFonts w:ascii="Arial Narrow" w:hAnsi="Arial Narrow"/>
                <w:b/>
                <w:bCs/>
                <w:color w:val="000000"/>
                <w:sz w:val="20"/>
                <w:szCs w:val="20"/>
              </w:rPr>
            </w:pPr>
          </w:p>
        </w:tc>
      </w:tr>
      <w:tr w:rsidR="00C40358" w:rsidRPr="005D0D22" w14:paraId="53442546" w14:textId="77777777">
        <w:trPr>
          <w:cantSplit/>
          <w:trHeight w:val="20"/>
        </w:trPr>
        <w:tc>
          <w:tcPr>
            <w:tcW w:w="1274"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76FD0301" w14:textId="7B5F346C" w:rsidR="00C40358" w:rsidRPr="005D0D22" w:rsidRDefault="00C40358">
            <w:pPr>
              <w:spacing w:after="160"/>
              <w:contextualSpacing/>
              <w:jc w:val="center"/>
              <w:rPr>
                <w:rFonts w:ascii="Arial Narrow" w:hAnsi="Arial Narrow"/>
                <w:color w:val="333333"/>
                <w:sz w:val="20"/>
                <w:szCs w:val="20"/>
              </w:rPr>
            </w:pPr>
          </w:p>
        </w:tc>
        <w:tc>
          <w:tcPr>
            <w:tcW w:w="7742"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636921D7" w14:textId="77777777" w:rsidR="00C40358" w:rsidRPr="005D0D22" w:rsidRDefault="00C40358">
            <w:pPr>
              <w:spacing w:after="160"/>
              <w:contextualSpacing/>
              <w:jc w:val="left"/>
              <w:rPr>
                <w:rFonts w:ascii="Arial Narrow" w:hAnsi="Arial Narrow"/>
                <w:b/>
                <w:bCs/>
                <w:color w:val="000000"/>
                <w:sz w:val="20"/>
                <w:szCs w:val="20"/>
              </w:rPr>
            </w:pPr>
            <w:r w:rsidRPr="005D0D22">
              <w:rPr>
                <w:rFonts w:ascii="Arial Narrow" w:hAnsi="Arial Narrow"/>
                <w:b/>
                <w:bCs/>
                <w:color w:val="000000"/>
                <w:sz w:val="20"/>
                <w:szCs w:val="20"/>
              </w:rPr>
              <w:t>Indication:</w:t>
            </w:r>
            <w:r w:rsidRPr="005D0D22">
              <w:rPr>
                <w:rFonts w:ascii="Arial Narrow" w:hAnsi="Arial Narrow"/>
                <w:color w:val="000000"/>
                <w:sz w:val="20"/>
                <w:szCs w:val="20"/>
              </w:rPr>
              <w:t xml:space="preserve"> </w:t>
            </w:r>
            <w:r w:rsidRPr="005D0D22">
              <w:rPr>
                <w:rFonts w:ascii="Arial Narrow" w:eastAsia="Arial Narrow" w:hAnsi="Arial Narrow" w:cs="Arial Narrow"/>
                <w:color w:val="000000"/>
                <w:sz w:val="20"/>
                <w:szCs w:val="20"/>
                <w:lang w:eastAsia="en-US"/>
              </w:rPr>
              <w:t>Treatment refractory</w:t>
            </w:r>
            <w:r w:rsidRPr="005D0D22">
              <w:rPr>
                <w:rFonts w:ascii="Arial Narrow" w:hAnsi="Arial Narrow"/>
                <w:color w:val="000000"/>
                <w:sz w:val="20"/>
                <w:szCs w:val="20"/>
              </w:rPr>
              <w:t xml:space="preserve"> generalised myasthenia gravis (gMG)</w:t>
            </w:r>
          </w:p>
        </w:tc>
      </w:tr>
      <w:tr w:rsidR="00C40358" w:rsidRPr="005D0D22" w14:paraId="2279F2D4" w14:textId="77777777">
        <w:trPr>
          <w:cantSplit/>
          <w:trHeight w:val="20"/>
        </w:trPr>
        <w:tc>
          <w:tcPr>
            <w:tcW w:w="1274"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7856C50B" w14:textId="77777777" w:rsidR="00C40358" w:rsidRPr="005D0D22" w:rsidRDefault="00C40358">
            <w:pPr>
              <w:spacing w:after="160"/>
              <w:contextualSpacing/>
              <w:jc w:val="center"/>
              <w:rPr>
                <w:rFonts w:ascii="Arial Narrow" w:hAnsi="Arial Narrow"/>
                <w:color w:val="333333"/>
                <w:sz w:val="20"/>
                <w:szCs w:val="20"/>
              </w:rPr>
            </w:pPr>
          </w:p>
        </w:tc>
        <w:tc>
          <w:tcPr>
            <w:tcW w:w="7742"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33D2364D" w14:textId="7A3791FB" w:rsidR="00C40358" w:rsidRPr="005D0D22" w:rsidRDefault="00C40358">
            <w:pPr>
              <w:spacing w:after="160"/>
              <w:contextualSpacing/>
              <w:jc w:val="left"/>
              <w:rPr>
                <w:rFonts w:ascii="Arial Narrow" w:hAnsi="Arial Narrow"/>
                <w:b/>
                <w:bCs/>
                <w:color w:val="000000"/>
                <w:sz w:val="20"/>
                <w:szCs w:val="20"/>
              </w:rPr>
            </w:pPr>
            <w:r w:rsidRPr="005D0D22">
              <w:rPr>
                <w:rFonts w:ascii="Arial Narrow" w:hAnsi="Arial Narrow"/>
                <w:b/>
                <w:bCs/>
                <w:color w:val="000000"/>
                <w:sz w:val="20"/>
                <w:szCs w:val="20"/>
              </w:rPr>
              <w:t xml:space="preserve">Treatment Phase: </w:t>
            </w:r>
            <w:r w:rsidRPr="005D0D22">
              <w:rPr>
                <w:rFonts w:ascii="Arial Narrow" w:hAnsi="Arial Narrow" w:cs="Arial"/>
                <w:kern w:val="2"/>
                <w:sz w:val="20"/>
                <w:szCs w:val="20"/>
                <w14:ligatures w14:val="standardContextual"/>
              </w:rPr>
              <w:t>Transitioning from non</w:t>
            </w:r>
            <w:r w:rsidR="00AF0956">
              <w:rPr>
                <w:rFonts w:ascii="Arial Narrow" w:hAnsi="Arial Narrow" w:cs="Arial"/>
                <w:kern w:val="2"/>
                <w:sz w:val="20"/>
                <w:szCs w:val="20"/>
                <w14:ligatures w14:val="standardContextual"/>
              </w:rPr>
              <w:noBreakHyphen/>
            </w:r>
            <w:r w:rsidRPr="005D0D22">
              <w:rPr>
                <w:rFonts w:ascii="Arial Narrow" w:hAnsi="Arial Narrow" w:cs="Arial"/>
                <w:kern w:val="2"/>
                <w:sz w:val="20"/>
                <w:szCs w:val="20"/>
                <w14:ligatures w14:val="standardContextual"/>
              </w:rPr>
              <w:t>PBS to PBS</w:t>
            </w:r>
            <w:r w:rsidR="00AF0956">
              <w:rPr>
                <w:rFonts w:ascii="Arial Narrow" w:hAnsi="Arial Narrow" w:cs="Arial"/>
                <w:kern w:val="2"/>
                <w:sz w:val="20"/>
                <w:szCs w:val="20"/>
                <w14:ligatures w14:val="standardContextual"/>
              </w:rPr>
              <w:noBreakHyphen/>
            </w:r>
            <w:r w:rsidRPr="005D0D22">
              <w:rPr>
                <w:rFonts w:ascii="Arial Narrow" w:hAnsi="Arial Narrow" w:cs="Arial"/>
                <w:kern w:val="2"/>
                <w:sz w:val="20"/>
                <w:szCs w:val="20"/>
                <w14:ligatures w14:val="standardContextual"/>
              </w:rPr>
              <w:t xml:space="preserve">subsidised treatment </w:t>
            </w:r>
            <w:r w:rsidR="00AF0956">
              <w:rPr>
                <w:rFonts w:ascii="Arial Narrow" w:hAnsi="Arial Narrow" w:cs="Arial"/>
                <w:kern w:val="2"/>
                <w:sz w:val="20"/>
                <w:szCs w:val="20"/>
                <w14:ligatures w14:val="standardContextual"/>
              </w:rPr>
              <w:noBreakHyphen/>
            </w:r>
            <w:r w:rsidRPr="005D0D22">
              <w:rPr>
                <w:rFonts w:ascii="Arial Narrow" w:hAnsi="Arial Narrow" w:cs="Arial"/>
                <w:kern w:val="2"/>
                <w:sz w:val="20"/>
                <w:szCs w:val="20"/>
                <w14:ligatures w14:val="standardContextual"/>
              </w:rPr>
              <w:t xml:space="preserve"> Grandfathering treatment</w:t>
            </w:r>
          </w:p>
        </w:tc>
      </w:tr>
      <w:tr w:rsidR="00C40358" w:rsidRPr="005D0D22" w14:paraId="7ECB1C1B" w14:textId="77777777">
        <w:trPr>
          <w:cantSplit/>
          <w:trHeight w:val="20"/>
        </w:trPr>
        <w:tc>
          <w:tcPr>
            <w:tcW w:w="1274"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3B65741A" w14:textId="5CAE79D4" w:rsidR="00C40358" w:rsidRPr="005D0D22" w:rsidRDefault="00C40358">
            <w:pPr>
              <w:spacing w:after="160"/>
              <w:contextualSpacing/>
              <w:jc w:val="center"/>
              <w:rPr>
                <w:rFonts w:ascii="Arial Narrow" w:hAnsi="Arial Narrow"/>
                <w:color w:val="333333"/>
                <w:sz w:val="20"/>
                <w:szCs w:val="20"/>
              </w:rPr>
            </w:pPr>
          </w:p>
        </w:tc>
        <w:tc>
          <w:tcPr>
            <w:tcW w:w="7742"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3E23CF0E" w14:textId="77777777" w:rsidR="00C40358" w:rsidRPr="005D0D22" w:rsidRDefault="00C40358">
            <w:pPr>
              <w:spacing w:after="160"/>
              <w:contextualSpacing/>
              <w:jc w:val="left"/>
              <w:rPr>
                <w:rFonts w:ascii="Arial Narrow" w:hAnsi="Arial Narrow"/>
                <w:b/>
                <w:bCs/>
                <w:color w:val="000000"/>
                <w:sz w:val="20"/>
                <w:szCs w:val="20"/>
              </w:rPr>
            </w:pPr>
            <w:r w:rsidRPr="005D0D22">
              <w:rPr>
                <w:rFonts w:ascii="Arial Narrow" w:hAnsi="Arial Narrow" w:cs="Arial"/>
                <w:b/>
                <w:bCs/>
                <w:kern w:val="2"/>
                <w:sz w:val="20"/>
                <w:szCs w:val="20"/>
                <w14:ligatures w14:val="standardContextual"/>
              </w:rPr>
              <w:t xml:space="preserve">Clinical criteria: </w:t>
            </w:r>
          </w:p>
        </w:tc>
      </w:tr>
      <w:tr w:rsidR="00C40358" w:rsidRPr="005D0D22" w14:paraId="3412F68A" w14:textId="77777777">
        <w:trPr>
          <w:cantSplit/>
          <w:trHeight w:val="20"/>
        </w:trPr>
        <w:tc>
          <w:tcPr>
            <w:tcW w:w="1274"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510237B6" w14:textId="020FF495" w:rsidR="00C40358" w:rsidRPr="005D0D22" w:rsidRDefault="00C40358">
            <w:pPr>
              <w:spacing w:after="160"/>
              <w:contextualSpacing/>
              <w:jc w:val="center"/>
              <w:rPr>
                <w:rFonts w:ascii="Arial Narrow" w:hAnsi="Arial Narrow"/>
                <w:color w:val="333333"/>
                <w:sz w:val="20"/>
                <w:szCs w:val="20"/>
              </w:rPr>
            </w:pPr>
          </w:p>
        </w:tc>
        <w:tc>
          <w:tcPr>
            <w:tcW w:w="7742"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5D201D5A" w14:textId="27754C94" w:rsidR="00C40358" w:rsidRPr="005D0D22" w:rsidRDefault="00C40358">
            <w:pPr>
              <w:spacing w:after="160"/>
              <w:contextualSpacing/>
              <w:jc w:val="left"/>
              <w:rPr>
                <w:rFonts w:ascii="Arial Narrow" w:hAnsi="Arial Narrow"/>
                <w:b/>
                <w:bCs/>
                <w:color w:val="000000"/>
                <w:sz w:val="20"/>
                <w:szCs w:val="20"/>
              </w:rPr>
            </w:pPr>
            <w:r w:rsidRPr="005D0D22">
              <w:rPr>
                <w:rFonts w:ascii="Arial Narrow" w:hAnsi="Arial Narrow" w:cs="Arial"/>
                <w:kern w:val="2"/>
                <w:sz w:val="20"/>
                <w:szCs w:val="20"/>
                <w14:ligatures w14:val="standardContextual"/>
              </w:rPr>
              <w:t>Patient must have received non</w:t>
            </w:r>
            <w:r w:rsidR="00AF0956">
              <w:rPr>
                <w:rFonts w:ascii="Arial Narrow" w:hAnsi="Arial Narrow" w:cs="Arial"/>
                <w:kern w:val="2"/>
                <w:sz w:val="20"/>
                <w:szCs w:val="20"/>
                <w14:ligatures w14:val="standardContextual"/>
              </w:rPr>
              <w:noBreakHyphen/>
            </w:r>
            <w:r w:rsidRPr="005D0D22">
              <w:rPr>
                <w:rFonts w:ascii="Arial Narrow" w:hAnsi="Arial Narrow" w:cs="Arial"/>
                <w:kern w:val="2"/>
                <w:sz w:val="20"/>
                <w:szCs w:val="20"/>
                <w14:ligatures w14:val="standardContextual"/>
              </w:rPr>
              <w:t>PBS subsidised treatment with this drug for this PBS indication prior to [PBS listing date].</w:t>
            </w:r>
          </w:p>
        </w:tc>
      </w:tr>
      <w:tr w:rsidR="00C40358" w:rsidRPr="005D0D22" w14:paraId="379DCF87" w14:textId="77777777">
        <w:trPr>
          <w:cantSplit/>
          <w:trHeight w:val="20"/>
        </w:trPr>
        <w:tc>
          <w:tcPr>
            <w:tcW w:w="1274"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5688D4BD" w14:textId="77777777" w:rsidR="00C40358" w:rsidRPr="005D0D22" w:rsidRDefault="00C40358">
            <w:pPr>
              <w:spacing w:after="160"/>
              <w:contextualSpacing/>
              <w:jc w:val="center"/>
              <w:rPr>
                <w:rFonts w:ascii="Arial Narrow" w:hAnsi="Arial Narrow"/>
                <w:color w:val="333333"/>
                <w:sz w:val="20"/>
                <w:szCs w:val="20"/>
              </w:rPr>
            </w:pPr>
          </w:p>
        </w:tc>
        <w:tc>
          <w:tcPr>
            <w:tcW w:w="7742"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5A5630DF" w14:textId="77777777" w:rsidR="00C40358" w:rsidRPr="005D0D22" w:rsidRDefault="00C40358">
            <w:pPr>
              <w:spacing w:after="160"/>
              <w:contextualSpacing/>
              <w:jc w:val="left"/>
              <w:rPr>
                <w:rFonts w:ascii="Arial Narrow" w:hAnsi="Arial Narrow"/>
                <w:b/>
                <w:bCs/>
                <w:color w:val="000000"/>
                <w:sz w:val="20"/>
                <w:szCs w:val="20"/>
              </w:rPr>
            </w:pPr>
            <w:r w:rsidRPr="005D0D22">
              <w:rPr>
                <w:rFonts w:ascii="Arial Narrow" w:hAnsi="Arial Narrow"/>
                <w:b/>
                <w:bCs/>
                <w:color w:val="000000"/>
                <w:sz w:val="20"/>
                <w:szCs w:val="20"/>
              </w:rPr>
              <w:t>AND</w:t>
            </w:r>
          </w:p>
        </w:tc>
      </w:tr>
      <w:tr w:rsidR="00C40358" w:rsidRPr="005D0D22" w14:paraId="7F599C0A" w14:textId="77777777">
        <w:trPr>
          <w:cantSplit/>
          <w:trHeight w:val="20"/>
        </w:trPr>
        <w:tc>
          <w:tcPr>
            <w:tcW w:w="1274"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3C2F32D4" w14:textId="4E579448" w:rsidR="00C40358" w:rsidRPr="005D0D22" w:rsidRDefault="00C40358">
            <w:pPr>
              <w:spacing w:after="160"/>
              <w:contextualSpacing/>
              <w:jc w:val="center"/>
              <w:rPr>
                <w:rFonts w:ascii="Arial Narrow" w:hAnsi="Arial Narrow"/>
                <w:color w:val="333333"/>
                <w:sz w:val="20"/>
                <w:szCs w:val="20"/>
              </w:rPr>
            </w:pPr>
          </w:p>
        </w:tc>
        <w:tc>
          <w:tcPr>
            <w:tcW w:w="7742"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79BDBF1C" w14:textId="77777777" w:rsidR="00C40358" w:rsidRPr="005D0D22" w:rsidRDefault="00C40358">
            <w:pPr>
              <w:spacing w:after="160"/>
              <w:contextualSpacing/>
              <w:jc w:val="left"/>
              <w:rPr>
                <w:rFonts w:ascii="Arial Narrow" w:hAnsi="Arial Narrow"/>
                <w:color w:val="000000"/>
                <w:sz w:val="20"/>
                <w:szCs w:val="20"/>
              </w:rPr>
            </w:pPr>
            <w:r w:rsidRPr="005D0D22">
              <w:rPr>
                <w:rFonts w:ascii="Arial Narrow" w:hAnsi="Arial Narrow"/>
                <w:b/>
                <w:bCs/>
                <w:color w:val="000000"/>
                <w:sz w:val="20"/>
                <w:szCs w:val="20"/>
              </w:rPr>
              <w:t>Clinical criteria:</w:t>
            </w:r>
          </w:p>
        </w:tc>
      </w:tr>
      <w:tr w:rsidR="00C40358" w:rsidRPr="005D0D22" w14:paraId="134AE865" w14:textId="77777777">
        <w:trPr>
          <w:cantSplit/>
          <w:trHeight w:val="20"/>
        </w:trPr>
        <w:tc>
          <w:tcPr>
            <w:tcW w:w="1274"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2BC42A0A" w14:textId="4D97637D" w:rsidR="00C40358" w:rsidRPr="005D0D22" w:rsidRDefault="00C40358">
            <w:pPr>
              <w:spacing w:after="160"/>
              <w:contextualSpacing/>
              <w:jc w:val="center"/>
              <w:rPr>
                <w:rFonts w:ascii="Arial Narrow" w:hAnsi="Arial Narrow"/>
                <w:sz w:val="20"/>
                <w:szCs w:val="20"/>
              </w:rPr>
            </w:pPr>
          </w:p>
        </w:tc>
        <w:tc>
          <w:tcPr>
            <w:tcW w:w="7742"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1F8D8598" w14:textId="77777777" w:rsidR="00C40358" w:rsidRPr="005D0D22" w:rsidRDefault="00C40358">
            <w:pPr>
              <w:spacing w:after="160"/>
              <w:contextualSpacing/>
              <w:jc w:val="left"/>
              <w:rPr>
                <w:rFonts w:ascii="Arial Narrow" w:hAnsi="Arial Narrow"/>
                <w:color w:val="000000"/>
                <w:sz w:val="20"/>
                <w:szCs w:val="20"/>
              </w:rPr>
            </w:pPr>
            <w:r w:rsidRPr="005D0D22">
              <w:rPr>
                <w:rFonts w:ascii="Arial Narrow" w:hAnsi="Arial Narrow"/>
                <w:color w:val="333333"/>
                <w:kern w:val="2"/>
                <w:sz w:val="20"/>
                <w:szCs w:val="20"/>
                <w14:ligatures w14:val="standardContextual"/>
              </w:rPr>
              <w:t xml:space="preserve">Patient must have a diagnosis of MGFA Disease </w:t>
            </w:r>
            <w:r w:rsidRPr="005D0D22">
              <w:rPr>
                <w:rFonts w:ascii="Arial Narrow" w:hAnsi="Arial Narrow"/>
                <w:color w:val="000000"/>
                <w:kern w:val="2"/>
                <w:sz w:val="20"/>
                <w:szCs w:val="20"/>
                <w14:ligatures w14:val="standardContextual"/>
              </w:rPr>
              <w:t xml:space="preserve">Class II to IV </w:t>
            </w:r>
          </w:p>
        </w:tc>
      </w:tr>
      <w:tr w:rsidR="00C40358" w:rsidRPr="005D0D22" w14:paraId="50A843BC" w14:textId="77777777">
        <w:trPr>
          <w:cantSplit/>
          <w:trHeight w:val="20"/>
        </w:trPr>
        <w:tc>
          <w:tcPr>
            <w:tcW w:w="1274"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3BC22BCE" w14:textId="77777777" w:rsidR="00C40358" w:rsidRPr="005D0D22" w:rsidRDefault="00C40358">
            <w:pPr>
              <w:spacing w:after="160"/>
              <w:contextualSpacing/>
              <w:jc w:val="center"/>
              <w:rPr>
                <w:rFonts w:ascii="Arial Narrow" w:hAnsi="Arial Narrow"/>
                <w:sz w:val="20"/>
                <w:szCs w:val="20"/>
              </w:rPr>
            </w:pPr>
          </w:p>
        </w:tc>
        <w:tc>
          <w:tcPr>
            <w:tcW w:w="7742"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231751C2" w14:textId="77777777" w:rsidR="00C40358" w:rsidRPr="005D0D22" w:rsidRDefault="00C40358">
            <w:pPr>
              <w:spacing w:after="160"/>
              <w:contextualSpacing/>
              <w:jc w:val="left"/>
              <w:rPr>
                <w:rFonts w:ascii="Arial Narrow" w:hAnsi="Arial Narrow"/>
                <w:color w:val="000000"/>
                <w:sz w:val="20"/>
                <w:szCs w:val="20"/>
              </w:rPr>
            </w:pPr>
            <w:r w:rsidRPr="005D0D22">
              <w:rPr>
                <w:rFonts w:ascii="Arial Narrow" w:hAnsi="Arial Narrow"/>
                <w:b/>
                <w:bCs/>
                <w:color w:val="000000"/>
                <w:sz w:val="20"/>
                <w:szCs w:val="20"/>
              </w:rPr>
              <w:t>AND</w:t>
            </w:r>
          </w:p>
        </w:tc>
      </w:tr>
      <w:tr w:rsidR="00C40358" w:rsidRPr="005D0D22" w14:paraId="232707CA" w14:textId="77777777">
        <w:trPr>
          <w:cantSplit/>
          <w:trHeight w:val="20"/>
        </w:trPr>
        <w:tc>
          <w:tcPr>
            <w:tcW w:w="1274"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623B6F57" w14:textId="333A3668" w:rsidR="00C40358" w:rsidRPr="005D0D22" w:rsidRDefault="00C40358">
            <w:pPr>
              <w:spacing w:after="160"/>
              <w:contextualSpacing/>
              <w:jc w:val="center"/>
              <w:rPr>
                <w:rFonts w:ascii="Arial Narrow" w:hAnsi="Arial Narrow"/>
                <w:sz w:val="20"/>
                <w:szCs w:val="20"/>
              </w:rPr>
            </w:pPr>
          </w:p>
        </w:tc>
        <w:tc>
          <w:tcPr>
            <w:tcW w:w="7742"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1D2B59F7" w14:textId="77777777" w:rsidR="00C40358" w:rsidRPr="005D0D22" w:rsidRDefault="00C40358">
            <w:pPr>
              <w:spacing w:after="160"/>
              <w:contextualSpacing/>
              <w:jc w:val="left"/>
              <w:rPr>
                <w:rFonts w:ascii="Arial Narrow" w:hAnsi="Arial Narrow"/>
                <w:color w:val="000000"/>
                <w:sz w:val="20"/>
                <w:szCs w:val="20"/>
              </w:rPr>
            </w:pPr>
            <w:r w:rsidRPr="005D0D22">
              <w:rPr>
                <w:rFonts w:ascii="Arial Narrow" w:hAnsi="Arial Narrow"/>
                <w:b/>
                <w:bCs/>
                <w:color w:val="000000"/>
                <w:sz w:val="20"/>
                <w:szCs w:val="20"/>
              </w:rPr>
              <w:t>Clinical criteria:</w:t>
            </w:r>
          </w:p>
        </w:tc>
      </w:tr>
      <w:tr w:rsidR="00C40358" w:rsidRPr="005D0D22" w14:paraId="509264AC" w14:textId="77777777">
        <w:trPr>
          <w:cantSplit/>
          <w:trHeight w:val="20"/>
        </w:trPr>
        <w:tc>
          <w:tcPr>
            <w:tcW w:w="1274"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2B62868F" w14:textId="7276CB45" w:rsidR="00C40358" w:rsidRPr="005D0D22" w:rsidRDefault="00C40358">
            <w:pPr>
              <w:spacing w:after="160"/>
              <w:contextualSpacing/>
              <w:jc w:val="center"/>
              <w:rPr>
                <w:rFonts w:ascii="Arial Narrow" w:hAnsi="Arial Narrow"/>
                <w:sz w:val="20"/>
                <w:szCs w:val="20"/>
              </w:rPr>
            </w:pPr>
          </w:p>
        </w:tc>
        <w:tc>
          <w:tcPr>
            <w:tcW w:w="7742"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7DD0DBEF" w14:textId="77777777" w:rsidR="00C40358" w:rsidRPr="005D0D22" w:rsidRDefault="00C40358">
            <w:pPr>
              <w:spacing w:after="160"/>
              <w:contextualSpacing/>
              <w:jc w:val="left"/>
              <w:rPr>
                <w:rFonts w:ascii="Arial Narrow" w:hAnsi="Arial Narrow"/>
                <w:sz w:val="20"/>
                <w:szCs w:val="20"/>
              </w:rPr>
            </w:pPr>
            <w:r w:rsidRPr="005D0D22">
              <w:rPr>
                <w:rFonts w:ascii="Arial Narrow" w:hAnsi="Arial Narrow"/>
                <w:bCs/>
                <w:kern w:val="2"/>
                <w:sz w:val="20"/>
                <w:szCs w:val="20"/>
                <w14:ligatures w14:val="standardContextual"/>
              </w:rPr>
              <w:t>Patient must have a positive serology for acetylcholine receptor (AChR) binding autoantibodies</w:t>
            </w:r>
          </w:p>
        </w:tc>
      </w:tr>
      <w:tr w:rsidR="00C40358" w:rsidRPr="005D0D22" w14:paraId="78956A32" w14:textId="77777777">
        <w:trPr>
          <w:cantSplit/>
          <w:trHeight w:val="20"/>
        </w:trPr>
        <w:tc>
          <w:tcPr>
            <w:tcW w:w="1274"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1B2CF646" w14:textId="77777777" w:rsidR="00C40358" w:rsidRPr="005D0D22" w:rsidRDefault="00C40358">
            <w:pPr>
              <w:spacing w:after="160"/>
              <w:contextualSpacing/>
              <w:jc w:val="center"/>
              <w:rPr>
                <w:rFonts w:ascii="Arial Narrow" w:hAnsi="Arial Narrow"/>
                <w:sz w:val="20"/>
                <w:szCs w:val="20"/>
              </w:rPr>
            </w:pPr>
          </w:p>
        </w:tc>
        <w:tc>
          <w:tcPr>
            <w:tcW w:w="7742"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26F0A277" w14:textId="77777777" w:rsidR="00C40358" w:rsidRPr="005D0D22" w:rsidRDefault="00C40358">
            <w:pPr>
              <w:spacing w:after="160"/>
              <w:contextualSpacing/>
              <w:jc w:val="left"/>
              <w:rPr>
                <w:rFonts w:ascii="Arial Narrow" w:hAnsi="Arial Narrow"/>
                <w:sz w:val="20"/>
                <w:szCs w:val="20"/>
              </w:rPr>
            </w:pPr>
            <w:r w:rsidRPr="005D0D22">
              <w:rPr>
                <w:rFonts w:ascii="Arial Narrow" w:eastAsia="Calibri" w:hAnsi="Arial Narrow"/>
                <w:b/>
                <w:bCs/>
                <w:sz w:val="20"/>
                <w:szCs w:val="20"/>
                <w:lang w:eastAsia="en-US"/>
              </w:rPr>
              <w:t>AND</w:t>
            </w:r>
          </w:p>
        </w:tc>
      </w:tr>
      <w:tr w:rsidR="00C40358" w:rsidRPr="005D0D22" w14:paraId="0739A528" w14:textId="77777777">
        <w:trPr>
          <w:cantSplit/>
          <w:trHeight w:val="20"/>
        </w:trPr>
        <w:tc>
          <w:tcPr>
            <w:tcW w:w="1274"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1717FE7F" w14:textId="7EB6588B" w:rsidR="00C40358" w:rsidRPr="005D0D22" w:rsidRDefault="00C40358">
            <w:pPr>
              <w:spacing w:after="160"/>
              <w:contextualSpacing/>
              <w:jc w:val="center"/>
              <w:rPr>
                <w:rFonts w:ascii="Arial Narrow" w:hAnsi="Arial Narrow"/>
                <w:sz w:val="20"/>
                <w:szCs w:val="20"/>
              </w:rPr>
            </w:pPr>
          </w:p>
        </w:tc>
        <w:tc>
          <w:tcPr>
            <w:tcW w:w="7742"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0E8B0B35" w14:textId="77777777" w:rsidR="00C40358" w:rsidRPr="005D0D22" w:rsidRDefault="00C40358">
            <w:pPr>
              <w:spacing w:after="160"/>
              <w:contextualSpacing/>
              <w:jc w:val="left"/>
              <w:rPr>
                <w:rFonts w:ascii="Arial Narrow" w:hAnsi="Arial Narrow"/>
                <w:sz w:val="20"/>
                <w:szCs w:val="20"/>
              </w:rPr>
            </w:pPr>
            <w:r w:rsidRPr="005D0D22">
              <w:rPr>
                <w:rFonts w:ascii="Arial Narrow" w:eastAsia="Calibri" w:hAnsi="Arial Narrow"/>
                <w:b/>
                <w:bCs/>
                <w:sz w:val="20"/>
                <w:szCs w:val="20"/>
                <w:lang w:eastAsia="en-US"/>
              </w:rPr>
              <w:t>Clinical criteria:</w:t>
            </w:r>
          </w:p>
        </w:tc>
      </w:tr>
      <w:tr w:rsidR="00C40358" w:rsidRPr="005D0D22" w14:paraId="78027A1A" w14:textId="77777777">
        <w:trPr>
          <w:cantSplit/>
          <w:trHeight w:val="20"/>
        </w:trPr>
        <w:tc>
          <w:tcPr>
            <w:tcW w:w="1274"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4981AC26" w14:textId="0BCCAD02" w:rsidR="00C40358" w:rsidRPr="005D0D22" w:rsidRDefault="00C40358">
            <w:pPr>
              <w:spacing w:after="160"/>
              <w:contextualSpacing/>
              <w:jc w:val="center"/>
              <w:rPr>
                <w:rFonts w:ascii="Arial Narrow" w:hAnsi="Arial Narrow"/>
                <w:sz w:val="20"/>
                <w:szCs w:val="20"/>
              </w:rPr>
            </w:pPr>
          </w:p>
        </w:tc>
        <w:tc>
          <w:tcPr>
            <w:tcW w:w="7742"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0EB605A0" w14:textId="77777777" w:rsidR="00C40358" w:rsidRPr="005D0D22" w:rsidRDefault="00C40358">
            <w:pPr>
              <w:spacing w:after="160"/>
              <w:contextualSpacing/>
              <w:jc w:val="left"/>
              <w:rPr>
                <w:rFonts w:ascii="Arial Narrow" w:hAnsi="Arial Narrow"/>
                <w:sz w:val="20"/>
                <w:szCs w:val="20"/>
              </w:rPr>
            </w:pPr>
            <w:r w:rsidRPr="005D0D22">
              <w:rPr>
                <w:rFonts w:ascii="Arial Narrow" w:eastAsia="Calibri" w:hAnsi="Arial Narrow"/>
                <w:sz w:val="20"/>
                <w:szCs w:val="20"/>
                <w:lang w:eastAsia="en-US"/>
              </w:rPr>
              <w:t xml:space="preserve">Patient must not be experiencing a myasthenic crisis </w:t>
            </w:r>
          </w:p>
        </w:tc>
      </w:tr>
      <w:tr w:rsidR="00C40358" w:rsidRPr="005D0D22" w14:paraId="6C32F82E" w14:textId="77777777">
        <w:trPr>
          <w:cantSplit/>
          <w:trHeight w:val="20"/>
        </w:trPr>
        <w:tc>
          <w:tcPr>
            <w:tcW w:w="1274"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12133361" w14:textId="77777777" w:rsidR="00C40358" w:rsidRPr="005D0D22" w:rsidRDefault="00C40358">
            <w:pPr>
              <w:spacing w:after="160"/>
              <w:contextualSpacing/>
              <w:jc w:val="center"/>
              <w:rPr>
                <w:rFonts w:ascii="Arial Narrow" w:hAnsi="Arial Narrow"/>
                <w:sz w:val="20"/>
                <w:szCs w:val="20"/>
              </w:rPr>
            </w:pPr>
          </w:p>
        </w:tc>
        <w:tc>
          <w:tcPr>
            <w:tcW w:w="7742"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05A6D480" w14:textId="77777777" w:rsidR="00C40358" w:rsidRPr="005D0D22" w:rsidRDefault="00C40358">
            <w:pPr>
              <w:spacing w:after="160"/>
              <w:contextualSpacing/>
              <w:jc w:val="left"/>
              <w:rPr>
                <w:rFonts w:ascii="Arial Narrow" w:eastAsia="Calibri" w:hAnsi="Arial Narrow"/>
                <w:color w:val="000000"/>
                <w:sz w:val="20"/>
                <w:szCs w:val="20"/>
                <w:lang w:eastAsia="en-US"/>
              </w:rPr>
            </w:pPr>
            <w:r w:rsidRPr="005D0D22">
              <w:rPr>
                <w:rFonts w:ascii="Arial Narrow" w:eastAsia="Calibri" w:hAnsi="Arial Narrow"/>
                <w:b/>
                <w:bCs/>
                <w:color w:val="000000"/>
                <w:sz w:val="20"/>
                <w:szCs w:val="20"/>
                <w:lang w:eastAsia="en-US"/>
              </w:rPr>
              <w:t>AND</w:t>
            </w:r>
          </w:p>
        </w:tc>
      </w:tr>
      <w:tr w:rsidR="00C40358" w:rsidRPr="005D0D22" w14:paraId="1D580AB4" w14:textId="77777777">
        <w:trPr>
          <w:cantSplit/>
          <w:trHeight w:val="20"/>
        </w:trPr>
        <w:tc>
          <w:tcPr>
            <w:tcW w:w="1274"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7A67FA10" w14:textId="1D4A69AA" w:rsidR="00C40358" w:rsidRPr="005D0D22" w:rsidRDefault="00C40358">
            <w:pPr>
              <w:spacing w:after="160"/>
              <w:contextualSpacing/>
              <w:jc w:val="center"/>
              <w:rPr>
                <w:rFonts w:ascii="Arial Narrow" w:hAnsi="Arial Narrow"/>
                <w:sz w:val="20"/>
                <w:szCs w:val="20"/>
              </w:rPr>
            </w:pPr>
          </w:p>
        </w:tc>
        <w:tc>
          <w:tcPr>
            <w:tcW w:w="7742"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01F133AC" w14:textId="77777777" w:rsidR="00C40358" w:rsidRPr="005D0D22" w:rsidRDefault="00C40358">
            <w:pPr>
              <w:spacing w:after="160"/>
              <w:contextualSpacing/>
              <w:jc w:val="left"/>
              <w:rPr>
                <w:rFonts w:ascii="Arial Narrow" w:hAnsi="Arial Narrow"/>
                <w:b/>
                <w:bCs/>
                <w:sz w:val="20"/>
                <w:szCs w:val="20"/>
              </w:rPr>
            </w:pPr>
            <w:r w:rsidRPr="005D0D22">
              <w:rPr>
                <w:rFonts w:ascii="Arial Narrow" w:hAnsi="Arial Narrow"/>
                <w:b/>
                <w:bCs/>
                <w:sz w:val="20"/>
                <w:szCs w:val="20"/>
              </w:rPr>
              <w:t>Clinical criteria:</w:t>
            </w:r>
          </w:p>
        </w:tc>
      </w:tr>
      <w:tr w:rsidR="00C40358" w:rsidRPr="005D0D22" w14:paraId="3C0C3804" w14:textId="77777777">
        <w:trPr>
          <w:cantSplit/>
          <w:trHeight w:val="20"/>
        </w:trPr>
        <w:tc>
          <w:tcPr>
            <w:tcW w:w="1274"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559F5E3A" w14:textId="6ADAA0BA" w:rsidR="00C40358" w:rsidRPr="005D0D22" w:rsidRDefault="00C40358">
            <w:pPr>
              <w:spacing w:after="160"/>
              <w:contextualSpacing/>
              <w:jc w:val="center"/>
              <w:rPr>
                <w:rFonts w:ascii="Arial Narrow" w:hAnsi="Arial Narrow"/>
                <w:sz w:val="20"/>
                <w:szCs w:val="20"/>
              </w:rPr>
            </w:pPr>
          </w:p>
        </w:tc>
        <w:tc>
          <w:tcPr>
            <w:tcW w:w="7742"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5DEEC8CF" w14:textId="77777777" w:rsidR="00C40358" w:rsidRPr="005D0D22" w:rsidRDefault="00C40358">
            <w:pPr>
              <w:spacing w:after="160"/>
              <w:contextualSpacing/>
              <w:jc w:val="left"/>
              <w:rPr>
                <w:rFonts w:ascii="Arial Narrow" w:hAnsi="Arial Narrow"/>
                <w:color w:val="333333"/>
                <w:kern w:val="2"/>
                <w:sz w:val="20"/>
                <w:szCs w:val="20"/>
                <w14:ligatures w14:val="standardContextual"/>
              </w:rPr>
            </w:pPr>
            <w:r w:rsidRPr="005D0D22">
              <w:rPr>
                <w:rFonts w:ascii="Arial Narrow" w:hAnsi="Arial Narrow"/>
                <w:color w:val="333333"/>
                <w:kern w:val="2"/>
                <w:sz w:val="20"/>
                <w:szCs w:val="20"/>
                <w14:ligatures w14:val="standardContextual"/>
              </w:rPr>
              <w:t xml:space="preserve">Patient must not be receiving concomitant treatment with any of the following: </w:t>
            </w:r>
          </w:p>
          <w:p w14:paraId="2C9AA310" w14:textId="77777777" w:rsidR="00C40358" w:rsidRPr="005D0D22" w:rsidRDefault="00C40358">
            <w:pPr>
              <w:spacing w:after="160"/>
              <w:contextualSpacing/>
              <w:jc w:val="left"/>
              <w:rPr>
                <w:rFonts w:ascii="Arial Narrow" w:hAnsi="Arial Narrow"/>
                <w:sz w:val="20"/>
                <w:szCs w:val="20"/>
              </w:rPr>
            </w:pPr>
            <w:r w:rsidRPr="005D0D22">
              <w:rPr>
                <w:rFonts w:ascii="Arial Narrow" w:hAnsi="Arial Narrow"/>
                <w:sz w:val="20"/>
                <w:szCs w:val="20"/>
              </w:rPr>
              <w:t>(i) another gMG biological agent,</w:t>
            </w:r>
          </w:p>
          <w:p w14:paraId="436E6BF0" w14:textId="29195DD4" w:rsidR="00C40358" w:rsidRPr="005D0D22" w:rsidRDefault="00C40358">
            <w:pPr>
              <w:spacing w:after="160"/>
              <w:contextualSpacing/>
              <w:jc w:val="left"/>
              <w:rPr>
                <w:rFonts w:ascii="Arial Narrow" w:hAnsi="Arial Narrow"/>
                <w:sz w:val="20"/>
                <w:szCs w:val="20"/>
              </w:rPr>
            </w:pPr>
            <w:r w:rsidRPr="005D0D22">
              <w:rPr>
                <w:rFonts w:ascii="Arial Narrow" w:hAnsi="Arial Narrow"/>
                <w:sz w:val="20"/>
                <w:szCs w:val="20"/>
              </w:rPr>
              <w:t xml:space="preserve">(ii) </w:t>
            </w:r>
            <w:r w:rsidRPr="005D0D22">
              <w:rPr>
                <w:rFonts w:ascii="Arial Narrow" w:hAnsi="Arial Narrow"/>
                <w:color w:val="333333"/>
                <w:sz w:val="20"/>
                <w:szCs w:val="20"/>
              </w:rPr>
              <w:t>immunoglobulin</w:t>
            </w:r>
            <w:r w:rsidRPr="005D0D22">
              <w:rPr>
                <w:rFonts w:ascii="Arial Narrow" w:hAnsi="Arial Narrow"/>
                <w:sz w:val="20"/>
                <w:szCs w:val="20"/>
              </w:rPr>
              <w:t>,</w:t>
            </w:r>
          </w:p>
          <w:p w14:paraId="7E2FA8D4" w14:textId="77777777" w:rsidR="00C40358" w:rsidRPr="005D0D22" w:rsidRDefault="00C40358">
            <w:pPr>
              <w:spacing w:after="160"/>
              <w:contextualSpacing/>
              <w:jc w:val="left"/>
              <w:rPr>
                <w:rFonts w:ascii="Arial Narrow" w:hAnsi="Arial Narrow"/>
                <w:sz w:val="20"/>
                <w:szCs w:val="20"/>
              </w:rPr>
            </w:pPr>
            <w:r w:rsidRPr="005D0D22">
              <w:rPr>
                <w:rFonts w:ascii="Arial Narrow" w:hAnsi="Arial Narrow"/>
                <w:sz w:val="20"/>
                <w:szCs w:val="20"/>
              </w:rPr>
              <w:t>(iii) plasma exchange (PLEX),</w:t>
            </w:r>
          </w:p>
          <w:p w14:paraId="056CDAA2" w14:textId="77777777" w:rsidR="00C40358" w:rsidRPr="005D0D22" w:rsidRDefault="00C40358">
            <w:pPr>
              <w:spacing w:after="160"/>
              <w:contextualSpacing/>
              <w:jc w:val="left"/>
              <w:rPr>
                <w:rFonts w:ascii="Arial Narrow" w:hAnsi="Arial Narrow"/>
                <w:b/>
                <w:bCs/>
                <w:sz w:val="20"/>
                <w:szCs w:val="20"/>
              </w:rPr>
            </w:pPr>
            <w:r w:rsidRPr="005D0D22">
              <w:rPr>
                <w:rFonts w:ascii="Arial Narrow" w:hAnsi="Arial Narrow"/>
                <w:sz w:val="20"/>
                <w:szCs w:val="20"/>
              </w:rPr>
              <w:t>(iv) rituximab for this condition.</w:t>
            </w:r>
          </w:p>
        </w:tc>
      </w:tr>
      <w:tr w:rsidR="00C40358" w:rsidRPr="005D0D22" w14:paraId="00C898E0" w14:textId="77777777">
        <w:trPr>
          <w:cantSplit/>
          <w:trHeight w:val="20"/>
        </w:trPr>
        <w:tc>
          <w:tcPr>
            <w:tcW w:w="1274"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3BCDD003" w14:textId="77777777" w:rsidR="00C40358" w:rsidRPr="005D0D22" w:rsidRDefault="00C40358">
            <w:pPr>
              <w:spacing w:after="160"/>
              <w:contextualSpacing/>
              <w:jc w:val="center"/>
              <w:rPr>
                <w:rFonts w:ascii="Arial Narrow" w:hAnsi="Arial Narrow"/>
                <w:sz w:val="20"/>
                <w:szCs w:val="20"/>
              </w:rPr>
            </w:pPr>
          </w:p>
        </w:tc>
        <w:tc>
          <w:tcPr>
            <w:tcW w:w="7742"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61B1E5C5" w14:textId="77777777" w:rsidR="00C40358" w:rsidRPr="005D0D22" w:rsidRDefault="00C40358">
            <w:pPr>
              <w:spacing w:after="160"/>
              <w:contextualSpacing/>
              <w:jc w:val="left"/>
              <w:rPr>
                <w:rFonts w:ascii="Arial Narrow" w:hAnsi="Arial Narrow"/>
                <w:b/>
                <w:bCs/>
                <w:sz w:val="20"/>
                <w:szCs w:val="20"/>
              </w:rPr>
            </w:pPr>
            <w:r w:rsidRPr="005D0D22">
              <w:rPr>
                <w:rFonts w:ascii="Arial Narrow" w:hAnsi="Arial Narrow"/>
                <w:b/>
                <w:bCs/>
                <w:sz w:val="20"/>
                <w:szCs w:val="20"/>
              </w:rPr>
              <w:t>AND</w:t>
            </w:r>
          </w:p>
        </w:tc>
      </w:tr>
      <w:tr w:rsidR="00C40358" w:rsidRPr="005D0D22" w14:paraId="6550C00B" w14:textId="77777777">
        <w:trPr>
          <w:cantSplit/>
          <w:trHeight w:val="20"/>
        </w:trPr>
        <w:tc>
          <w:tcPr>
            <w:tcW w:w="1274"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2A9D88D7" w14:textId="518F488E" w:rsidR="00C40358" w:rsidRPr="005D0D22" w:rsidRDefault="00C40358">
            <w:pPr>
              <w:spacing w:after="160"/>
              <w:contextualSpacing/>
              <w:jc w:val="center"/>
              <w:rPr>
                <w:rFonts w:ascii="Arial Narrow" w:hAnsi="Arial Narrow"/>
                <w:sz w:val="20"/>
                <w:szCs w:val="20"/>
              </w:rPr>
            </w:pPr>
          </w:p>
        </w:tc>
        <w:tc>
          <w:tcPr>
            <w:tcW w:w="7742"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7897742C" w14:textId="77777777" w:rsidR="00C40358" w:rsidRPr="005D0D22" w:rsidRDefault="00C40358">
            <w:pPr>
              <w:spacing w:after="160"/>
              <w:contextualSpacing/>
              <w:jc w:val="left"/>
              <w:rPr>
                <w:rFonts w:ascii="Arial Narrow" w:hAnsi="Arial Narrow"/>
                <w:b/>
                <w:bCs/>
                <w:sz w:val="20"/>
                <w:szCs w:val="20"/>
              </w:rPr>
            </w:pPr>
            <w:r w:rsidRPr="005D0D22">
              <w:rPr>
                <w:rFonts w:ascii="Arial Narrow" w:hAnsi="Arial Narrow"/>
                <w:b/>
                <w:bCs/>
                <w:sz w:val="20"/>
                <w:szCs w:val="20"/>
              </w:rPr>
              <w:t>Clinical criteria:</w:t>
            </w:r>
          </w:p>
        </w:tc>
      </w:tr>
      <w:tr w:rsidR="00C40358" w:rsidRPr="005D0D22" w14:paraId="4E9A29D1" w14:textId="77777777">
        <w:trPr>
          <w:cantSplit/>
          <w:trHeight w:val="20"/>
        </w:trPr>
        <w:tc>
          <w:tcPr>
            <w:tcW w:w="1274"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65E4588F" w14:textId="6CAEB102" w:rsidR="00C40358" w:rsidRPr="005D0D22" w:rsidRDefault="00C40358">
            <w:pPr>
              <w:spacing w:after="160"/>
              <w:contextualSpacing/>
              <w:jc w:val="center"/>
              <w:rPr>
                <w:rFonts w:ascii="Arial Narrow" w:hAnsi="Arial Narrow"/>
                <w:sz w:val="20"/>
                <w:szCs w:val="20"/>
              </w:rPr>
            </w:pPr>
          </w:p>
        </w:tc>
        <w:tc>
          <w:tcPr>
            <w:tcW w:w="7742"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04265BBE" w14:textId="3720E790" w:rsidR="00C40358" w:rsidRPr="005D0D22" w:rsidRDefault="00C40358">
            <w:pPr>
              <w:spacing w:after="160"/>
              <w:contextualSpacing/>
              <w:jc w:val="left"/>
              <w:rPr>
                <w:rFonts w:ascii="Arial Narrow" w:hAnsi="Arial Narrow"/>
                <w:sz w:val="20"/>
                <w:szCs w:val="20"/>
              </w:rPr>
            </w:pPr>
            <w:r w:rsidRPr="005D0D22">
              <w:rPr>
                <w:rFonts w:ascii="Arial Narrow" w:hAnsi="Arial Narrow"/>
                <w:color w:val="333333"/>
                <w:kern w:val="2"/>
                <w:sz w:val="20"/>
                <w:szCs w:val="20"/>
                <w14:ligatures w14:val="standardContextual"/>
              </w:rPr>
              <w:t xml:space="preserve">Patient must be receiving concomitant treatment with a </w:t>
            </w:r>
            <w:r w:rsidRPr="005D0D22">
              <w:rPr>
                <w:rFonts w:ascii="Arial Narrow" w:hAnsi="Arial Narrow"/>
                <w:sz w:val="20"/>
                <w:szCs w:val="20"/>
              </w:rPr>
              <w:t>non</w:t>
            </w:r>
            <w:r w:rsidR="00AF0956">
              <w:rPr>
                <w:rFonts w:ascii="Arial Narrow" w:hAnsi="Arial Narrow"/>
                <w:sz w:val="20"/>
                <w:szCs w:val="20"/>
              </w:rPr>
              <w:noBreakHyphen/>
            </w:r>
            <w:r w:rsidRPr="005D0D22">
              <w:rPr>
                <w:rFonts w:ascii="Arial Narrow" w:hAnsi="Arial Narrow"/>
                <w:sz w:val="20"/>
                <w:szCs w:val="20"/>
              </w:rPr>
              <w:t>steroidal immunosuppressant (NS</w:t>
            </w:r>
            <w:r w:rsidR="00AF0956">
              <w:rPr>
                <w:rFonts w:ascii="Arial Narrow" w:hAnsi="Arial Narrow"/>
                <w:sz w:val="20"/>
                <w:szCs w:val="20"/>
              </w:rPr>
              <w:noBreakHyphen/>
            </w:r>
            <w:r w:rsidRPr="005D0D22">
              <w:rPr>
                <w:rFonts w:ascii="Arial Narrow" w:hAnsi="Arial Narrow"/>
                <w:sz w:val="20"/>
                <w:szCs w:val="20"/>
              </w:rPr>
              <w:t>IST); or</w:t>
            </w:r>
          </w:p>
        </w:tc>
      </w:tr>
      <w:tr w:rsidR="00C40358" w:rsidRPr="005D0D22" w14:paraId="5DD2753F" w14:textId="77777777">
        <w:trPr>
          <w:cantSplit/>
          <w:trHeight w:val="20"/>
        </w:trPr>
        <w:tc>
          <w:tcPr>
            <w:tcW w:w="1274"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0B430DB2" w14:textId="4CCE5DC6" w:rsidR="00C40358" w:rsidRPr="005D0D22" w:rsidRDefault="00C40358">
            <w:pPr>
              <w:spacing w:after="160"/>
              <w:contextualSpacing/>
              <w:jc w:val="center"/>
              <w:rPr>
                <w:rFonts w:ascii="Arial Narrow" w:hAnsi="Arial Narrow"/>
                <w:sz w:val="20"/>
                <w:szCs w:val="20"/>
              </w:rPr>
            </w:pPr>
          </w:p>
        </w:tc>
        <w:tc>
          <w:tcPr>
            <w:tcW w:w="7742"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2671262E" w14:textId="77777777" w:rsidR="00C40358" w:rsidRPr="005D0D22" w:rsidRDefault="00C40358">
            <w:pPr>
              <w:spacing w:after="160"/>
              <w:contextualSpacing/>
              <w:jc w:val="left"/>
              <w:rPr>
                <w:rFonts w:ascii="Arial Narrow" w:hAnsi="Arial Narrow"/>
                <w:color w:val="333333"/>
                <w:kern w:val="2"/>
                <w:sz w:val="20"/>
                <w:szCs w:val="20"/>
                <w14:ligatures w14:val="standardContextual"/>
              </w:rPr>
            </w:pPr>
            <w:r w:rsidRPr="005D0D22">
              <w:rPr>
                <w:rFonts w:ascii="Arial Narrow" w:hAnsi="Arial Narrow"/>
                <w:color w:val="333333"/>
                <w:kern w:val="2"/>
                <w:sz w:val="20"/>
                <w:szCs w:val="20"/>
                <w14:ligatures w14:val="standardContextual"/>
              </w:rPr>
              <w:t>Patient must have had a thymectomy</w:t>
            </w:r>
          </w:p>
        </w:tc>
      </w:tr>
      <w:tr w:rsidR="00C40358" w:rsidRPr="005D0D22" w14:paraId="1B99B372" w14:textId="77777777">
        <w:trPr>
          <w:cantSplit/>
          <w:trHeight w:val="20"/>
        </w:trPr>
        <w:tc>
          <w:tcPr>
            <w:tcW w:w="1274"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6DE8D71D" w14:textId="77777777" w:rsidR="00C40358" w:rsidRPr="005D0D22" w:rsidRDefault="00C40358">
            <w:pPr>
              <w:spacing w:after="160"/>
              <w:contextualSpacing/>
              <w:jc w:val="center"/>
              <w:rPr>
                <w:rFonts w:ascii="Arial Narrow" w:hAnsi="Arial Narrow"/>
                <w:sz w:val="20"/>
                <w:szCs w:val="20"/>
              </w:rPr>
            </w:pPr>
          </w:p>
        </w:tc>
        <w:tc>
          <w:tcPr>
            <w:tcW w:w="7742"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18915C96" w14:textId="77777777" w:rsidR="00C40358" w:rsidRPr="005D0D22" w:rsidRDefault="00C40358">
            <w:pPr>
              <w:spacing w:after="160"/>
              <w:contextualSpacing/>
              <w:jc w:val="left"/>
              <w:rPr>
                <w:rFonts w:ascii="Arial Narrow" w:hAnsi="Arial Narrow"/>
                <w:sz w:val="20"/>
                <w:szCs w:val="20"/>
              </w:rPr>
            </w:pPr>
            <w:r w:rsidRPr="005D0D22">
              <w:rPr>
                <w:rFonts w:ascii="Arial Narrow" w:eastAsia="Calibri" w:hAnsi="Arial Narrow"/>
                <w:b/>
                <w:bCs/>
                <w:sz w:val="20"/>
                <w:szCs w:val="20"/>
                <w:lang w:eastAsia="en-US"/>
              </w:rPr>
              <w:t>AND</w:t>
            </w:r>
          </w:p>
        </w:tc>
      </w:tr>
      <w:tr w:rsidR="00C40358" w:rsidRPr="005D0D22" w14:paraId="49398276" w14:textId="77777777">
        <w:trPr>
          <w:cantSplit/>
          <w:trHeight w:val="20"/>
        </w:trPr>
        <w:tc>
          <w:tcPr>
            <w:tcW w:w="1274"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7285E4CB" w14:textId="2445FBBC" w:rsidR="00C40358" w:rsidRPr="005D0D22" w:rsidRDefault="00C40358">
            <w:pPr>
              <w:spacing w:after="160"/>
              <w:contextualSpacing/>
              <w:jc w:val="center"/>
              <w:rPr>
                <w:rFonts w:ascii="Arial Narrow" w:hAnsi="Arial Narrow"/>
                <w:sz w:val="20"/>
                <w:szCs w:val="20"/>
              </w:rPr>
            </w:pPr>
          </w:p>
        </w:tc>
        <w:tc>
          <w:tcPr>
            <w:tcW w:w="7742"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15A72B6C" w14:textId="77777777" w:rsidR="00C40358" w:rsidRPr="005D0D22" w:rsidRDefault="00C40358">
            <w:pPr>
              <w:spacing w:after="160"/>
              <w:contextualSpacing/>
              <w:jc w:val="left"/>
              <w:rPr>
                <w:rFonts w:ascii="Arial Narrow" w:hAnsi="Arial Narrow"/>
                <w:sz w:val="20"/>
                <w:szCs w:val="20"/>
              </w:rPr>
            </w:pPr>
            <w:r w:rsidRPr="005D0D22">
              <w:rPr>
                <w:rFonts w:ascii="Arial Narrow" w:eastAsia="Calibri" w:hAnsi="Arial Narrow"/>
                <w:b/>
                <w:bCs/>
                <w:sz w:val="20"/>
                <w:szCs w:val="20"/>
                <w:lang w:eastAsia="en-US"/>
              </w:rPr>
              <w:t>Clinical criteria:</w:t>
            </w:r>
          </w:p>
        </w:tc>
      </w:tr>
      <w:tr w:rsidR="00C40358" w:rsidRPr="005D0D22" w14:paraId="43A0162F" w14:textId="77777777">
        <w:trPr>
          <w:cantSplit/>
          <w:trHeight w:val="20"/>
        </w:trPr>
        <w:tc>
          <w:tcPr>
            <w:tcW w:w="1274"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3E4EB37F" w14:textId="1DEA2CBF" w:rsidR="00C40358" w:rsidRPr="005D0D22" w:rsidRDefault="00C40358">
            <w:pPr>
              <w:spacing w:after="160"/>
              <w:contextualSpacing/>
              <w:jc w:val="center"/>
              <w:rPr>
                <w:rFonts w:ascii="Arial Narrow" w:hAnsi="Arial Narrow"/>
                <w:sz w:val="20"/>
                <w:szCs w:val="20"/>
              </w:rPr>
            </w:pPr>
          </w:p>
        </w:tc>
        <w:tc>
          <w:tcPr>
            <w:tcW w:w="7742"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6C48E5AD" w14:textId="55FA5EBA" w:rsidR="00C40358" w:rsidRPr="005D0D22" w:rsidRDefault="00C40358">
            <w:pPr>
              <w:spacing w:after="160"/>
              <w:contextualSpacing/>
              <w:jc w:val="left"/>
              <w:rPr>
                <w:rFonts w:ascii="Arial Narrow" w:hAnsi="Arial Narrow"/>
                <w:sz w:val="20"/>
                <w:szCs w:val="20"/>
              </w:rPr>
            </w:pPr>
            <w:r w:rsidRPr="005D0D22">
              <w:rPr>
                <w:rFonts w:ascii="Arial Narrow" w:hAnsi="Arial Narrow"/>
                <w:sz w:val="20"/>
                <w:szCs w:val="20"/>
              </w:rPr>
              <w:t xml:space="preserve">Patient must </w:t>
            </w:r>
            <w:r w:rsidRPr="005D0D22">
              <w:rPr>
                <w:rFonts w:ascii="Arial Narrow" w:hAnsi="Arial Narrow"/>
                <w:color w:val="000000"/>
                <w:sz w:val="20"/>
                <w:szCs w:val="20"/>
              </w:rPr>
              <w:t>have had a MG</w:t>
            </w:r>
            <w:r w:rsidR="00AF0956">
              <w:rPr>
                <w:rFonts w:ascii="Arial Narrow" w:hAnsi="Arial Narrow"/>
                <w:color w:val="000000"/>
                <w:sz w:val="20"/>
                <w:szCs w:val="20"/>
              </w:rPr>
              <w:noBreakHyphen/>
            </w:r>
            <w:r w:rsidRPr="005D0D22">
              <w:rPr>
                <w:rFonts w:ascii="Arial Narrow" w:hAnsi="Arial Narrow"/>
                <w:color w:val="000000"/>
                <w:sz w:val="20"/>
                <w:szCs w:val="20"/>
              </w:rPr>
              <w:t>ADL score of ≥ 6 and a MGC score of ≥ 10, despite having undergone 2 of the following 3 remission inducing</w:t>
            </w:r>
            <w:r w:rsidRPr="005D0D22">
              <w:rPr>
                <w:rFonts w:ascii="Arial Narrow" w:eastAsia="Calibri" w:hAnsi="Arial Narrow"/>
                <w:bCs/>
                <w:color w:val="000000"/>
                <w:sz w:val="20"/>
                <w:szCs w:val="20"/>
                <w:lang w:eastAsia="en-US"/>
              </w:rPr>
              <w:t xml:space="preserve"> </w:t>
            </w:r>
            <w:r w:rsidRPr="005D0D22">
              <w:rPr>
                <w:rFonts w:ascii="Arial Narrow" w:hAnsi="Arial Narrow"/>
                <w:color w:val="000000"/>
                <w:sz w:val="20"/>
                <w:szCs w:val="20"/>
              </w:rPr>
              <w:t>treatments: (i) NS</w:t>
            </w:r>
            <w:r w:rsidR="00AF0956">
              <w:rPr>
                <w:rFonts w:ascii="Arial Narrow" w:hAnsi="Arial Narrow"/>
                <w:color w:val="000000"/>
                <w:sz w:val="20"/>
                <w:szCs w:val="20"/>
              </w:rPr>
              <w:noBreakHyphen/>
            </w:r>
            <w:r w:rsidRPr="005D0D22">
              <w:rPr>
                <w:rFonts w:ascii="Arial Narrow" w:hAnsi="Arial Narrow"/>
                <w:color w:val="000000"/>
                <w:sz w:val="20"/>
                <w:szCs w:val="20"/>
              </w:rPr>
              <w:t>IST for a minimum of 12 months, (ii) oral corticosteroids for a minimum of 12 months; (iii) a thymectomy.</w:t>
            </w:r>
          </w:p>
        </w:tc>
      </w:tr>
      <w:tr w:rsidR="00C40358" w:rsidRPr="005D0D22" w14:paraId="22BEE87F" w14:textId="77777777">
        <w:trPr>
          <w:cantSplit/>
          <w:trHeight w:val="20"/>
        </w:trPr>
        <w:tc>
          <w:tcPr>
            <w:tcW w:w="1274"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6F7FD81F" w14:textId="77777777" w:rsidR="00C40358" w:rsidRPr="005D0D22" w:rsidRDefault="00C40358">
            <w:pPr>
              <w:spacing w:after="160"/>
              <w:contextualSpacing/>
              <w:jc w:val="center"/>
              <w:rPr>
                <w:rFonts w:ascii="Arial Narrow" w:hAnsi="Arial Narrow"/>
                <w:sz w:val="20"/>
                <w:szCs w:val="20"/>
              </w:rPr>
            </w:pPr>
          </w:p>
        </w:tc>
        <w:tc>
          <w:tcPr>
            <w:tcW w:w="7742"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16930F4E" w14:textId="77777777" w:rsidR="00C40358" w:rsidRPr="005D0D22" w:rsidRDefault="00C40358">
            <w:pPr>
              <w:spacing w:after="160"/>
              <w:contextualSpacing/>
              <w:jc w:val="left"/>
              <w:rPr>
                <w:rFonts w:ascii="Arial Narrow" w:hAnsi="Arial Narrow"/>
                <w:sz w:val="20"/>
                <w:szCs w:val="20"/>
              </w:rPr>
            </w:pPr>
            <w:r w:rsidRPr="005D0D22">
              <w:rPr>
                <w:rFonts w:ascii="Arial Narrow" w:hAnsi="Arial Narrow"/>
                <w:b/>
                <w:bCs/>
                <w:sz w:val="20"/>
                <w:szCs w:val="20"/>
              </w:rPr>
              <w:t>AND</w:t>
            </w:r>
          </w:p>
        </w:tc>
      </w:tr>
      <w:tr w:rsidR="00C40358" w:rsidRPr="005D0D22" w14:paraId="7383DD83" w14:textId="77777777">
        <w:trPr>
          <w:cantSplit/>
          <w:trHeight w:val="20"/>
        </w:trPr>
        <w:tc>
          <w:tcPr>
            <w:tcW w:w="1274"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10EA1CB7" w14:textId="3241094B" w:rsidR="00C40358" w:rsidRPr="005D0D22" w:rsidRDefault="00C40358">
            <w:pPr>
              <w:spacing w:after="160"/>
              <w:contextualSpacing/>
              <w:jc w:val="center"/>
              <w:rPr>
                <w:rFonts w:ascii="Arial Narrow" w:hAnsi="Arial Narrow"/>
                <w:sz w:val="20"/>
                <w:szCs w:val="20"/>
              </w:rPr>
            </w:pPr>
          </w:p>
        </w:tc>
        <w:tc>
          <w:tcPr>
            <w:tcW w:w="7742"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005C6463" w14:textId="77777777" w:rsidR="00C40358" w:rsidRPr="005D0D22" w:rsidRDefault="00C40358">
            <w:pPr>
              <w:spacing w:after="160"/>
              <w:contextualSpacing/>
              <w:jc w:val="left"/>
              <w:rPr>
                <w:rFonts w:ascii="Arial Narrow" w:hAnsi="Arial Narrow"/>
                <w:sz w:val="20"/>
                <w:szCs w:val="20"/>
              </w:rPr>
            </w:pPr>
            <w:r w:rsidRPr="005D0D22">
              <w:rPr>
                <w:rFonts w:ascii="Arial Narrow" w:hAnsi="Arial Narrow"/>
                <w:b/>
                <w:bCs/>
                <w:sz w:val="20"/>
                <w:szCs w:val="20"/>
              </w:rPr>
              <w:t>Clinical criteria:</w:t>
            </w:r>
          </w:p>
        </w:tc>
      </w:tr>
      <w:tr w:rsidR="00C40358" w:rsidRPr="005D0D22" w14:paraId="725AEE0C" w14:textId="77777777">
        <w:trPr>
          <w:cantSplit/>
          <w:trHeight w:val="20"/>
        </w:trPr>
        <w:tc>
          <w:tcPr>
            <w:tcW w:w="1274"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24D5E999" w14:textId="022AFA43" w:rsidR="00C40358" w:rsidRPr="005D0D22" w:rsidRDefault="00C40358">
            <w:pPr>
              <w:spacing w:after="160"/>
              <w:contextualSpacing/>
              <w:jc w:val="center"/>
              <w:rPr>
                <w:rFonts w:ascii="Arial Narrow" w:hAnsi="Arial Narrow"/>
                <w:sz w:val="20"/>
                <w:szCs w:val="20"/>
              </w:rPr>
            </w:pPr>
          </w:p>
        </w:tc>
        <w:tc>
          <w:tcPr>
            <w:tcW w:w="7742"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3D6F4FF3" w14:textId="7E57BC53" w:rsidR="00C40358" w:rsidRPr="005D0D22" w:rsidRDefault="00C40358">
            <w:pPr>
              <w:spacing w:after="160"/>
              <w:contextualSpacing/>
              <w:jc w:val="left"/>
              <w:rPr>
                <w:rFonts w:ascii="Arial Narrow" w:hAnsi="Arial Narrow"/>
                <w:sz w:val="20"/>
                <w:szCs w:val="20"/>
              </w:rPr>
            </w:pPr>
            <w:r w:rsidRPr="005D0D22">
              <w:rPr>
                <w:rFonts w:ascii="Arial Narrow" w:hAnsi="Arial Narrow"/>
                <w:color w:val="000000"/>
                <w:sz w:val="20"/>
                <w:szCs w:val="20"/>
              </w:rPr>
              <w:t>Patient must have demonstrated a clinical improvement based on a decrease in MG</w:t>
            </w:r>
            <w:r w:rsidR="00AF0956">
              <w:rPr>
                <w:rFonts w:ascii="Arial Narrow" w:hAnsi="Arial Narrow"/>
                <w:color w:val="000000"/>
                <w:sz w:val="20"/>
                <w:szCs w:val="20"/>
              </w:rPr>
              <w:noBreakHyphen/>
            </w:r>
            <w:r w:rsidRPr="005D0D22">
              <w:rPr>
                <w:rFonts w:ascii="Arial Narrow" w:hAnsi="Arial Narrow"/>
                <w:color w:val="000000"/>
                <w:sz w:val="20"/>
                <w:szCs w:val="20"/>
              </w:rPr>
              <w:t xml:space="preserve">ADL score of at least 2 points from baseline </w:t>
            </w:r>
          </w:p>
        </w:tc>
      </w:tr>
      <w:tr w:rsidR="00C40358" w:rsidRPr="005D0D22" w14:paraId="29AE7686" w14:textId="77777777">
        <w:trPr>
          <w:cantSplit/>
          <w:trHeight w:val="20"/>
        </w:trPr>
        <w:tc>
          <w:tcPr>
            <w:tcW w:w="1274"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256B3B38" w14:textId="77777777" w:rsidR="00C40358" w:rsidRPr="005D0D22" w:rsidRDefault="00C40358">
            <w:pPr>
              <w:spacing w:after="160"/>
              <w:contextualSpacing/>
              <w:jc w:val="center"/>
              <w:rPr>
                <w:rFonts w:ascii="Arial Narrow" w:hAnsi="Arial Narrow"/>
                <w:sz w:val="20"/>
                <w:szCs w:val="20"/>
              </w:rPr>
            </w:pPr>
          </w:p>
        </w:tc>
        <w:tc>
          <w:tcPr>
            <w:tcW w:w="7742"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1DCBACBC" w14:textId="77777777" w:rsidR="00C40358" w:rsidRPr="005D0D22" w:rsidRDefault="00C40358">
            <w:pPr>
              <w:spacing w:after="160"/>
              <w:contextualSpacing/>
              <w:jc w:val="left"/>
              <w:rPr>
                <w:rFonts w:ascii="Arial Narrow" w:hAnsi="Arial Narrow"/>
                <w:sz w:val="20"/>
                <w:szCs w:val="20"/>
              </w:rPr>
            </w:pPr>
            <w:r w:rsidRPr="005D0D22">
              <w:rPr>
                <w:rFonts w:ascii="Arial Narrow" w:hAnsi="Arial Narrow"/>
                <w:b/>
                <w:bCs/>
                <w:color w:val="000000"/>
                <w:sz w:val="20"/>
                <w:szCs w:val="20"/>
              </w:rPr>
              <w:t>AND</w:t>
            </w:r>
          </w:p>
        </w:tc>
      </w:tr>
      <w:tr w:rsidR="00C40358" w:rsidRPr="005D0D22" w14:paraId="63E58EDA" w14:textId="77777777">
        <w:trPr>
          <w:cantSplit/>
          <w:trHeight w:val="20"/>
        </w:trPr>
        <w:tc>
          <w:tcPr>
            <w:tcW w:w="1274"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2505BE6F" w14:textId="63D96B4F" w:rsidR="00C40358" w:rsidRPr="005D0D22" w:rsidRDefault="00C40358">
            <w:pPr>
              <w:spacing w:after="160"/>
              <w:contextualSpacing/>
              <w:jc w:val="center"/>
              <w:rPr>
                <w:rFonts w:ascii="Arial Narrow" w:hAnsi="Arial Narrow"/>
                <w:sz w:val="20"/>
                <w:szCs w:val="20"/>
              </w:rPr>
            </w:pPr>
          </w:p>
        </w:tc>
        <w:tc>
          <w:tcPr>
            <w:tcW w:w="7742"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6867744D" w14:textId="77777777" w:rsidR="00C40358" w:rsidRPr="005D0D22" w:rsidRDefault="00C40358">
            <w:pPr>
              <w:spacing w:after="160"/>
              <w:contextualSpacing/>
              <w:jc w:val="left"/>
              <w:rPr>
                <w:rFonts w:ascii="Arial Narrow" w:hAnsi="Arial Narrow"/>
                <w:sz w:val="20"/>
                <w:szCs w:val="20"/>
              </w:rPr>
            </w:pPr>
            <w:r w:rsidRPr="005D0D22">
              <w:rPr>
                <w:rFonts w:ascii="Arial Narrow" w:hAnsi="Arial Narrow"/>
                <w:b/>
                <w:bCs/>
                <w:sz w:val="20"/>
                <w:szCs w:val="20"/>
              </w:rPr>
              <w:t>Clinical criteria:</w:t>
            </w:r>
          </w:p>
        </w:tc>
      </w:tr>
      <w:tr w:rsidR="00C40358" w:rsidRPr="005D0D22" w14:paraId="0238D5CD" w14:textId="77777777">
        <w:trPr>
          <w:cantSplit/>
          <w:trHeight w:val="20"/>
        </w:trPr>
        <w:tc>
          <w:tcPr>
            <w:tcW w:w="1274"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78A63C13" w14:textId="3B42DAAF" w:rsidR="00C40358" w:rsidRPr="005D0D22" w:rsidRDefault="00C40358">
            <w:pPr>
              <w:spacing w:after="160"/>
              <w:contextualSpacing/>
              <w:jc w:val="center"/>
              <w:rPr>
                <w:rFonts w:ascii="Arial Narrow" w:hAnsi="Arial Narrow"/>
                <w:sz w:val="20"/>
                <w:szCs w:val="20"/>
              </w:rPr>
            </w:pPr>
          </w:p>
        </w:tc>
        <w:tc>
          <w:tcPr>
            <w:tcW w:w="7742"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1C5BA0E9" w14:textId="77777777" w:rsidR="00C40358" w:rsidRPr="005D0D22" w:rsidRDefault="00C40358">
            <w:pPr>
              <w:spacing w:after="160"/>
              <w:contextualSpacing/>
              <w:jc w:val="left"/>
              <w:rPr>
                <w:rFonts w:ascii="Arial Narrow" w:hAnsi="Arial Narrow"/>
                <w:sz w:val="20"/>
                <w:szCs w:val="20"/>
              </w:rPr>
            </w:pPr>
            <w:r w:rsidRPr="005D0D22">
              <w:rPr>
                <w:rFonts w:ascii="Arial Narrow" w:hAnsi="Arial Narrow"/>
                <w:color w:val="000000"/>
                <w:sz w:val="20"/>
                <w:szCs w:val="20"/>
              </w:rPr>
              <w:t>Patient must have demonstrated a clinical improvement based on a decrease in MGC score of at least 3 points from baseline</w:t>
            </w:r>
          </w:p>
        </w:tc>
      </w:tr>
      <w:tr w:rsidR="00C40358" w:rsidRPr="005D0D22" w14:paraId="6F914148" w14:textId="77777777">
        <w:trPr>
          <w:cantSplit/>
          <w:trHeight w:val="20"/>
        </w:trPr>
        <w:tc>
          <w:tcPr>
            <w:tcW w:w="1274"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596ED411" w14:textId="77777777" w:rsidR="00C40358" w:rsidRPr="005D0D22" w:rsidRDefault="00C40358">
            <w:pPr>
              <w:spacing w:after="160"/>
              <w:contextualSpacing/>
              <w:jc w:val="center"/>
              <w:rPr>
                <w:rFonts w:ascii="Arial Narrow" w:hAnsi="Arial Narrow"/>
                <w:sz w:val="20"/>
                <w:szCs w:val="20"/>
              </w:rPr>
            </w:pPr>
          </w:p>
        </w:tc>
        <w:tc>
          <w:tcPr>
            <w:tcW w:w="7742"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0BCA6BAB" w14:textId="77777777" w:rsidR="00C40358" w:rsidRPr="005D0D22" w:rsidRDefault="00C40358">
            <w:pPr>
              <w:spacing w:after="160"/>
              <w:contextualSpacing/>
              <w:jc w:val="left"/>
              <w:rPr>
                <w:rFonts w:ascii="Arial Narrow" w:hAnsi="Arial Narrow"/>
                <w:b/>
                <w:bCs/>
                <w:sz w:val="20"/>
                <w:szCs w:val="20"/>
              </w:rPr>
            </w:pPr>
            <w:r w:rsidRPr="005D0D22">
              <w:rPr>
                <w:rFonts w:ascii="Arial Narrow" w:hAnsi="Arial Narrow"/>
                <w:b/>
                <w:bCs/>
                <w:sz w:val="20"/>
                <w:szCs w:val="20"/>
              </w:rPr>
              <w:t>AND</w:t>
            </w:r>
          </w:p>
        </w:tc>
      </w:tr>
      <w:tr w:rsidR="00C40358" w:rsidRPr="005D0D22" w14:paraId="5A18E812" w14:textId="77777777">
        <w:trPr>
          <w:cantSplit/>
          <w:trHeight w:val="20"/>
        </w:trPr>
        <w:tc>
          <w:tcPr>
            <w:tcW w:w="1274"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32824FE8" w14:textId="5B678DD6" w:rsidR="00C40358" w:rsidRPr="005D0D22" w:rsidRDefault="00C40358">
            <w:pPr>
              <w:spacing w:after="160"/>
              <w:contextualSpacing/>
              <w:jc w:val="center"/>
              <w:rPr>
                <w:rFonts w:ascii="Arial Narrow" w:hAnsi="Arial Narrow"/>
                <w:sz w:val="20"/>
                <w:szCs w:val="20"/>
              </w:rPr>
            </w:pPr>
          </w:p>
        </w:tc>
        <w:tc>
          <w:tcPr>
            <w:tcW w:w="7742"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4C404EB9" w14:textId="77777777" w:rsidR="00C40358" w:rsidRPr="005D0D22" w:rsidRDefault="00C40358">
            <w:pPr>
              <w:spacing w:after="160"/>
              <w:contextualSpacing/>
              <w:jc w:val="left"/>
              <w:rPr>
                <w:rFonts w:ascii="Arial Narrow" w:hAnsi="Arial Narrow"/>
                <w:b/>
                <w:bCs/>
                <w:sz w:val="20"/>
                <w:szCs w:val="20"/>
              </w:rPr>
            </w:pPr>
            <w:r w:rsidRPr="005D0D22">
              <w:rPr>
                <w:rFonts w:ascii="Arial Narrow" w:hAnsi="Arial Narrow"/>
                <w:b/>
                <w:bCs/>
                <w:sz w:val="20"/>
                <w:szCs w:val="20"/>
              </w:rPr>
              <w:t>Clinical criteria:</w:t>
            </w:r>
          </w:p>
        </w:tc>
      </w:tr>
      <w:tr w:rsidR="00C40358" w:rsidRPr="005D0D22" w14:paraId="08BF1634" w14:textId="77777777">
        <w:trPr>
          <w:cantSplit/>
          <w:trHeight w:val="20"/>
        </w:trPr>
        <w:tc>
          <w:tcPr>
            <w:tcW w:w="1274"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088BE4B7" w14:textId="0C3CC9D1" w:rsidR="00C40358" w:rsidRPr="005D0D22" w:rsidRDefault="00C40358">
            <w:pPr>
              <w:spacing w:after="160"/>
              <w:contextualSpacing/>
              <w:jc w:val="center"/>
              <w:rPr>
                <w:rFonts w:ascii="Arial Narrow" w:hAnsi="Arial Narrow"/>
                <w:sz w:val="20"/>
                <w:szCs w:val="20"/>
              </w:rPr>
            </w:pPr>
          </w:p>
        </w:tc>
        <w:tc>
          <w:tcPr>
            <w:tcW w:w="7742"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79D202B7" w14:textId="77777777" w:rsidR="00C40358" w:rsidRPr="005D0D22" w:rsidRDefault="00C40358">
            <w:pPr>
              <w:spacing w:after="160"/>
              <w:contextualSpacing/>
              <w:jc w:val="left"/>
              <w:rPr>
                <w:rFonts w:ascii="Arial Narrow" w:hAnsi="Arial Narrow"/>
                <w:b/>
                <w:bCs/>
                <w:sz w:val="20"/>
                <w:szCs w:val="20"/>
              </w:rPr>
            </w:pPr>
            <w:r w:rsidRPr="005D0D22">
              <w:rPr>
                <w:rFonts w:ascii="Arial Narrow" w:eastAsia="Aptos" w:hAnsi="Arial Narrow"/>
                <w:kern w:val="2"/>
                <w:sz w:val="20"/>
                <w:szCs w:val="20"/>
                <w:lang w:eastAsia="en-US"/>
                <w14:ligatures w14:val="standardContextual"/>
              </w:rPr>
              <w:t xml:space="preserve">The treatment must provide no </w:t>
            </w:r>
            <w:r w:rsidRPr="005D0D22">
              <w:rPr>
                <w:rFonts w:ascii="Arial Narrow" w:eastAsia="Aptos" w:hAnsi="Arial Narrow"/>
                <w:color w:val="000000"/>
                <w:kern w:val="2"/>
                <w:sz w:val="20"/>
                <w:szCs w:val="20"/>
                <w:lang w:eastAsia="en-US"/>
                <w14:ligatures w14:val="standardContextual"/>
              </w:rPr>
              <w:t>more than 6 months of therapy under this restriction</w:t>
            </w:r>
          </w:p>
        </w:tc>
      </w:tr>
      <w:tr w:rsidR="00C40358" w:rsidRPr="005D0D22" w14:paraId="0710324E" w14:textId="77777777">
        <w:trPr>
          <w:cantSplit/>
          <w:trHeight w:val="20"/>
        </w:trPr>
        <w:tc>
          <w:tcPr>
            <w:tcW w:w="1274"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25C375C6" w14:textId="66C11D91" w:rsidR="00C40358" w:rsidRPr="005D0D22" w:rsidRDefault="00C40358">
            <w:pPr>
              <w:spacing w:after="160"/>
              <w:contextualSpacing/>
              <w:jc w:val="center"/>
              <w:rPr>
                <w:rFonts w:ascii="Arial Narrow" w:hAnsi="Arial Narrow"/>
                <w:sz w:val="20"/>
                <w:szCs w:val="20"/>
              </w:rPr>
            </w:pPr>
          </w:p>
        </w:tc>
        <w:tc>
          <w:tcPr>
            <w:tcW w:w="7742"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5689FF33" w14:textId="77777777" w:rsidR="00C40358" w:rsidRPr="005D0D22" w:rsidRDefault="00C40358">
            <w:pPr>
              <w:spacing w:after="160"/>
              <w:contextualSpacing/>
              <w:jc w:val="left"/>
              <w:rPr>
                <w:rFonts w:ascii="Arial Narrow" w:hAnsi="Arial Narrow"/>
                <w:sz w:val="20"/>
                <w:szCs w:val="20"/>
              </w:rPr>
            </w:pPr>
            <w:r w:rsidRPr="005D0D22">
              <w:rPr>
                <w:rFonts w:ascii="Arial Narrow" w:hAnsi="Arial Narrow"/>
                <w:b/>
                <w:bCs/>
                <w:sz w:val="20"/>
                <w:szCs w:val="20"/>
              </w:rPr>
              <w:t>Treatment criteria:</w:t>
            </w:r>
          </w:p>
        </w:tc>
      </w:tr>
      <w:tr w:rsidR="00C40358" w:rsidRPr="005D0D22" w14:paraId="65682042" w14:textId="77777777">
        <w:trPr>
          <w:cantSplit/>
          <w:trHeight w:val="20"/>
        </w:trPr>
        <w:tc>
          <w:tcPr>
            <w:tcW w:w="1274"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13668798" w14:textId="6625BD83" w:rsidR="00C40358" w:rsidRPr="005D0D22" w:rsidRDefault="00C40358">
            <w:pPr>
              <w:spacing w:after="160"/>
              <w:contextualSpacing/>
              <w:jc w:val="center"/>
              <w:rPr>
                <w:rFonts w:ascii="Arial Narrow" w:hAnsi="Arial Narrow"/>
                <w:sz w:val="20"/>
                <w:szCs w:val="20"/>
              </w:rPr>
            </w:pPr>
          </w:p>
        </w:tc>
        <w:tc>
          <w:tcPr>
            <w:tcW w:w="7742"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5F6CA0F7" w14:textId="77777777" w:rsidR="00C40358" w:rsidRPr="005D0D22" w:rsidRDefault="00C40358">
            <w:pPr>
              <w:spacing w:after="160"/>
              <w:contextualSpacing/>
              <w:jc w:val="left"/>
              <w:rPr>
                <w:rFonts w:ascii="Arial Narrow" w:eastAsia="Calibri" w:hAnsi="Arial Narrow" w:cs="Arial Narrow"/>
                <w:color w:val="000000"/>
                <w:sz w:val="20"/>
                <w:szCs w:val="20"/>
                <w:lang w:eastAsia="en-US"/>
              </w:rPr>
            </w:pPr>
            <w:r w:rsidRPr="005D0D22">
              <w:rPr>
                <w:rFonts w:ascii="Arial Narrow" w:eastAsia="Calibri" w:hAnsi="Arial Narrow" w:cs="Arial Narrow"/>
                <w:iCs/>
                <w:color w:val="000000"/>
                <w:sz w:val="20"/>
                <w:szCs w:val="20"/>
                <w:lang w:eastAsia="en-US"/>
              </w:rPr>
              <w:t>Must be treated by a prescriber who is either: (i) a neurologist; (ii) a clinical immunologist with expertise in the treatment of myasthenia gravis, or</w:t>
            </w:r>
          </w:p>
        </w:tc>
      </w:tr>
      <w:tr w:rsidR="00C40358" w:rsidRPr="005D0D22" w14:paraId="5DAA4D55" w14:textId="77777777">
        <w:trPr>
          <w:cantSplit/>
          <w:trHeight w:val="20"/>
        </w:trPr>
        <w:tc>
          <w:tcPr>
            <w:tcW w:w="1274"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66AA7FD5" w14:textId="5D4956BD" w:rsidR="00C40358" w:rsidRPr="005D0D22" w:rsidRDefault="00C40358">
            <w:pPr>
              <w:spacing w:after="160"/>
              <w:contextualSpacing/>
              <w:jc w:val="center"/>
              <w:rPr>
                <w:rFonts w:ascii="Arial Narrow" w:hAnsi="Arial Narrow"/>
                <w:sz w:val="20"/>
                <w:szCs w:val="20"/>
              </w:rPr>
            </w:pPr>
          </w:p>
        </w:tc>
        <w:tc>
          <w:tcPr>
            <w:tcW w:w="7742"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35F6F1E2" w14:textId="77777777" w:rsidR="00C40358" w:rsidRPr="005D0D22" w:rsidRDefault="00C40358">
            <w:pPr>
              <w:spacing w:after="160"/>
              <w:contextualSpacing/>
              <w:jc w:val="left"/>
              <w:rPr>
                <w:rFonts w:ascii="Arial Narrow" w:hAnsi="Arial Narrow"/>
                <w:color w:val="000000"/>
                <w:sz w:val="20"/>
                <w:szCs w:val="20"/>
              </w:rPr>
            </w:pPr>
            <w:r w:rsidRPr="74EB87D5">
              <w:rPr>
                <w:rFonts w:ascii="Arial Narrow" w:eastAsia="Calibri" w:hAnsi="Arial Narrow" w:cs="Arial Narrow"/>
                <w:color w:val="000000" w:themeColor="text1"/>
                <w:sz w:val="20"/>
                <w:szCs w:val="20"/>
                <w:lang w:eastAsia="en-US"/>
              </w:rPr>
              <w:t xml:space="preserve">Must be treated by a medical practitioner who has consulted at least one of the </w:t>
            </w:r>
            <w:bookmarkStart w:id="19" w:name="_Int_yha29rR0"/>
            <w:r w:rsidRPr="74EB87D5">
              <w:rPr>
                <w:rFonts w:ascii="Arial Narrow" w:eastAsia="Calibri" w:hAnsi="Arial Narrow" w:cs="Arial Narrow"/>
                <w:color w:val="000000" w:themeColor="text1"/>
                <w:sz w:val="20"/>
                <w:szCs w:val="20"/>
                <w:lang w:eastAsia="en-US"/>
              </w:rPr>
              <w:t>above mentioned</w:t>
            </w:r>
            <w:bookmarkEnd w:id="19"/>
            <w:r w:rsidRPr="74EB87D5">
              <w:rPr>
                <w:rFonts w:ascii="Arial Narrow" w:eastAsia="Calibri" w:hAnsi="Arial Narrow" w:cs="Arial Narrow"/>
                <w:color w:val="000000" w:themeColor="text1"/>
                <w:sz w:val="20"/>
                <w:szCs w:val="20"/>
                <w:lang w:eastAsia="en-US"/>
              </w:rPr>
              <w:t xml:space="preserve"> specialist types, with an agreement reached that the patient should be treated with this pharmaceutical benefit on this occasion</w:t>
            </w:r>
          </w:p>
        </w:tc>
      </w:tr>
      <w:tr w:rsidR="00C40358" w:rsidRPr="005D0D22" w14:paraId="0CAD9A9C" w14:textId="77777777">
        <w:trPr>
          <w:cantSplit/>
          <w:trHeight w:val="20"/>
        </w:trPr>
        <w:tc>
          <w:tcPr>
            <w:tcW w:w="1274"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696594BC" w14:textId="3C65D3EF" w:rsidR="00C40358" w:rsidRPr="005D0D22" w:rsidRDefault="00C40358">
            <w:pPr>
              <w:spacing w:after="160"/>
              <w:contextualSpacing/>
              <w:jc w:val="center"/>
              <w:rPr>
                <w:rFonts w:ascii="Arial Narrow" w:hAnsi="Arial Narrow"/>
                <w:sz w:val="20"/>
                <w:szCs w:val="20"/>
              </w:rPr>
            </w:pPr>
          </w:p>
        </w:tc>
        <w:tc>
          <w:tcPr>
            <w:tcW w:w="7742"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7907EED9" w14:textId="77777777" w:rsidR="00C40358" w:rsidRPr="005D0D22" w:rsidRDefault="00C40358">
            <w:pPr>
              <w:spacing w:after="160"/>
              <w:contextualSpacing/>
              <w:jc w:val="left"/>
              <w:rPr>
                <w:rFonts w:ascii="Arial Narrow" w:hAnsi="Arial Narrow"/>
                <w:b/>
                <w:bCs/>
                <w:sz w:val="20"/>
                <w:szCs w:val="20"/>
              </w:rPr>
            </w:pPr>
            <w:r w:rsidRPr="005D0D22">
              <w:rPr>
                <w:rFonts w:ascii="Arial Narrow" w:hAnsi="Arial Narrow"/>
                <w:b/>
                <w:bCs/>
                <w:sz w:val="20"/>
                <w:szCs w:val="20"/>
              </w:rPr>
              <w:t>Prescribing Instructions:</w:t>
            </w:r>
            <w:r w:rsidRPr="005D0D22">
              <w:rPr>
                <w:rFonts w:ascii="Arial" w:hAnsi="Arial" w:cs="Arial"/>
                <w:b/>
                <w:bCs/>
                <w:sz w:val="20"/>
                <w:szCs w:val="20"/>
              </w:rPr>
              <w:t> </w:t>
            </w:r>
          </w:p>
          <w:p w14:paraId="4062F304" w14:textId="77777777" w:rsidR="00C40358" w:rsidRPr="005D0D22" w:rsidRDefault="00C40358">
            <w:pPr>
              <w:spacing w:after="160"/>
              <w:contextualSpacing/>
              <w:jc w:val="left"/>
              <w:rPr>
                <w:rFonts w:ascii="Arial Narrow" w:eastAsia="Calibri" w:hAnsi="Arial Narrow"/>
                <w:bCs/>
                <w:sz w:val="20"/>
                <w:szCs w:val="20"/>
                <w:lang w:eastAsia="en-US"/>
              </w:rPr>
            </w:pPr>
            <w:r w:rsidRPr="005D0D22">
              <w:rPr>
                <w:rFonts w:ascii="Arial Narrow" w:eastAsia="Calibri" w:hAnsi="Arial Narrow"/>
                <w:bCs/>
                <w:sz w:val="20"/>
                <w:szCs w:val="20"/>
                <w:lang w:eastAsia="en-US"/>
              </w:rPr>
              <w:t xml:space="preserve">The authority application must be </w:t>
            </w:r>
            <w:r w:rsidRPr="005D0D22">
              <w:rPr>
                <w:rFonts w:ascii="Arial Narrow" w:hAnsi="Arial Narrow"/>
                <w:sz w:val="20"/>
                <w:szCs w:val="20"/>
              </w:rPr>
              <w:t xml:space="preserve">via the Online PBS Authorities System, or </w:t>
            </w:r>
            <w:r w:rsidRPr="005D0D22">
              <w:rPr>
                <w:rFonts w:ascii="Arial Narrow" w:eastAsia="Calibri" w:hAnsi="Arial Narrow"/>
                <w:bCs/>
                <w:sz w:val="20"/>
                <w:szCs w:val="20"/>
                <w:lang w:eastAsia="en-US"/>
              </w:rPr>
              <w:t>in writing and must include:</w:t>
            </w:r>
          </w:p>
          <w:p w14:paraId="2F11C7C8" w14:textId="740ECA24" w:rsidR="00C40358" w:rsidRPr="005D0D22" w:rsidRDefault="00C40358" w:rsidP="00ED248B">
            <w:pPr>
              <w:numPr>
                <w:ilvl w:val="0"/>
                <w:numId w:val="15"/>
              </w:numPr>
              <w:spacing w:after="160" w:line="256" w:lineRule="auto"/>
              <w:contextualSpacing/>
              <w:jc w:val="left"/>
              <w:rPr>
                <w:rFonts w:ascii="Arial Narrow" w:eastAsia="Calibri" w:hAnsi="Arial Narrow"/>
                <w:sz w:val="20"/>
                <w:szCs w:val="20"/>
                <w:shd w:val="clear" w:color="auto" w:fill="FFFFFF"/>
              </w:rPr>
            </w:pPr>
            <w:r w:rsidRPr="005D0D22">
              <w:rPr>
                <w:rFonts w:ascii="Arial Narrow" w:eastAsia="Calibri" w:hAnsi="Arial Narrow"/>
                <w:bCs/>
                <w:sz w:val="20"/>
                <w:szCs w:val="20"/>
              </w:rPr>
              <w:t>details of remission</w:t>
            </w:r>
            <w:r w:rsidR="00AF0956">
              <w:rPr>
                <w:rFonts w:ascii="Arial Narrow" w:eastAsia="Calibri" w:hAnsi="Arial Narrow"/>
                <w:bCs/>
                <w:sz w:val="20"/>
                <w:szCs w:val="20"/>
              </w:rPr>
              <w:noBreakHyphen/>
            </w:r>
            <w:r w:rsidRPr="005D0D22">
              <w:rPr>
                <w:rFonts w:ascii="Arial Narrow" w:eastAsia="Calibri" w:hAnsi="Arial Narrow"/>
                <w:bCs/>
                <w:sz w:val="20"/>
                <w:szCs w:val="20"/>
              </w:rPr>
              <w:t>inducing treatments [date commencement and duration of drug therapy including drug names and dosages, and/or date of the thymectomy]</w:t>
            </w:r>
          </w:p>
          <w:p w14:paraId="582A09A3" w14:textId="0F1538A3" w:rsidR="00C40358" w:rsidRPr="005D0D22" w:rsidRDefault="00C40358" w:rsidP="00ED248B">
            <w:pPr>
              <w:numPr>
                <w:ilvl w:val="0"/>
                <w:numId w:val="15"/>
              </w:numPr>
              <w:spacing w:after="160" w:line="256" w:lineRule="auto"/>
              <w:contextualSpacing/>
              <w:jc w:val="left"/>
              <w:rPr>
                <w:rFonts w:ascii="Arial Narrow" w:eastAsia="Calibri" w:hAnsi="Arial Narrow"/>
                <w:sz w:val="20"/>
                <w:szCs w:val="20"/>
                <w:shd w:val="clear" w:color="auto" w:fill="FFFFFF"/>
              </w:rPr>
            </w:pPr>
            <w:r w:rsidRPr="005D0D22">
              <w:rPr>
                <w:rFonts w:ascii="Arial Narrow" w:eastAsia="Calibri" w:hAnsi="Arial Narrow"/>
                <w:bCs/>
                <w:sz w:val="20"/>
                <w:szCs w:val="20"/>
              </w:rPr>
              <w:t xml:space="preserve">the </w:t>
            </w:r>
            <w:r w:rsidRPr="005D0D22">
              <w:rPr>
                <w:rFonts w:ascii="Arial Narrow" w:eastAsia="Calibri" w:hAnsi="Arial Narrow"/>
                <w:bCs/>
                <w:color w:val="000000"/>
                <w:sz w:val="20"/>
                <w:szCs w:val="20"/>
              </w:rPr>
              <w:t>baseline MG</w:t>
            </w:r>
            <w:r w:rsidR="00AF0956">
              <w:rPr>
                <w:rFonts w:ascii="Arial Narrow" w:eastAsia="Calibri" w:hAnsi="Arial Narrow"/>
                <w:bCs/>
                <w:color w:val="000000"/>
                <w:sz w:val="20"/>
                <w:szCs w:val="20"/>
              </w:rPr>
              <w:noBreakHyphen/>
            </w:r>
            <w:r w:rsidRPr="005D0D22">
              <w:rPr>
                <w:rFonts w:ascii="Arial Narrow" w:eastAsia="Calibri" w:hAnsi="Arial Narrow"/>
                <w:bCs/>
                <w:color w:val="000000"/>
                <w:sz w:val="20"/>
                <w:szCs w:val="20"/>
              </w:rPr>
              <w:t>ADL and MGC scores assessed after completing the 12 months of remission</w:t>
            </w:r>
            <w:r w:rsidR="00AF0956">
              <w:rPr>
                <w:rFonts w:ascii="Arial Narrow" w:eastAsia="Calibri" w:hAnsi="Arial Narrow"/>
                <w:bCs/>
                <w:color w:val="000000"/>
                <w:sz w:val="20"/>
                <w:szCs w:val="20"/>
              </w:rPr>
              <w:noBreakHyphen/>
            </w:r>
            <w:r w:rsidRPr="005D0D22">
              <w:rPr>
                <w:rFonts w:ascii="Arial Narrow" w:eastAsia="Calibri" w:hAnsi="Arial Narrow"/>
                <w:bCs/>
                <w:color w:val="000000"/>
                <w:sz w:val="20"/>
                <w:szCs w:val="20"/>
              </w:rPr>
              <w:t xml:space="preserve">inducing treatments (include the date the assessments </w:t>
            </w:r>
            <w:r w:rsidRPr="005D0D22">
              <w:rPr>
                <w:rFonts w:ascii="Arial Narrow" w:eastAsia="Calibri" w:hAnsi="Arial Narrow"/>
                <w:bCs/>
                <w:sz w:val="20"/>
                <w:szCs w:val="20"/>
              </w:rPr>
              <w:t>was conducted)</w:t>
            </w:r>
          </w:p>
          <w:p w14:paraId="5FC0A514" w14:textId="45EBDE62" w:rsidR="00C40358" w:rsidRPr="000324C6" w:rsidRDefault="00C40358" w:rsidP="00ED248B">
            <w:pPr>
              <w:numPr>
                <w:ilvl w:val="0"/>
                <w:numId w:val="15"/>
              </w:numPr>
              <w:spacing w:after="160" w:line="256" w:lineRule="auto"/>
              <w:contextualSpacing/>
              <w:jc w:val="left"/>
              <w:rPr>
                <w:rFonts w:ascii="Arial Narrow" w:eastAsia="Calibri" w:hAnsi="Arial Narrow"/>
                <w:sz w:val="20"/>
                <w:szCs w:val="20"/>
                <w:shd w:val="clear" w:color="auto" w:fill="FFFFFF"/>
              </w:rPr>
            </w:pPr>
            <w:r w:rsidRPr="005D0D22">
              <w:rPr>
                <w:rFonts w:ascii="Arial Narrow" w:eastAsia="Calibri" w:hAnsi="Arial Narrow"/>
                <w:bCs/>
                <w:sz w:val="20"/>
                <w:szCs w:val="20"/>
              </w:rPr>
              <w:t>the MG</w:t>
            </w:r>
            <w:r w:rsidR="00AF0956">
              <w:rPr>
                <w:rFonts w:ascii="Arial Narrow" w:eastAsia="Calibri" w:hAnsi="Arial Narrow"/>
                <w:bCs/>
                <w:sz w:val="20"/>
                <w:szCs w:val="20"/>
              </w:rPr>
              <w:noBreakHyphen/>
            </w:r>
            <w:r w:rsidRPr="005D0D22">
              <w:rPr>
                <w:rFonts w:ascii="Arial Narrow" w:eastAsia="Calibri" w:hAnsi="Arial Narrow"/>
                <w:bCs/>
                <w:sz w:val="20"/>
                <w:szCs w:val="20"/>
              </w:rPr>
              <w:t>ADL and MGC</w:t>
            </w:r>
            <w:r w:rsidRPr="005D0D22">
              <w:rPr>
                <w:rFonts w:ascii="Times New Roman" w:hAnsi="Times New Roman"/>
                <w:sz w:val="20"/>
                <w:szCs w:val="20"/>
              </w:rPr>
              <w:t xml:space="preserve"> </w:t>
            </w:r>
            <w:r w:rsidRPr="005D0D22">
              <w:rPr>
                <w:rFonts w:ascii="Arial Narrow" w:eastAsia="Calibri" w:hAnsi="Arial Narrow"/>
                <w:bCs/>
                <w:sz w:val="20"/>
                <w:szCs w:val="20"/>
              </w:rPr>
              <w:t xml:space="preserve">scores assessed from the most recent course of treatment demonstrating clinical improvement to treatment </w:t>
            </w:r>
            <w:r w:rsidRPr="005D0D22">
              <w:rPr>
                <w:rFonts w:ascii="Arial Narrow" w:eastAsia="Calibri" w:hAnsi="Arial Narrow"/>
                <w:bCs/>
                <w:color w:val="000000"/>
                <w:sz w:val="20"/>
                <w:szCs w:val="20"/>
              </w:rPr>
              <w:t xml:space="preserve">(include the date the assessments </w:t>
            </w:r>
            <w:r w:rsidRPr="005D0D22">
              <w:rPr>
                <w:rFonts w:ascii="Arial Narrow" w:eastAsia="Calibri" w:hAnsi="Arial Narrow"/>
                <w:bCs/>
                <w:sz w:val="20"/>
                <w:szCs w:val="20"/>
              </w:rPr>
              <w:t>were conducted)</w:t>
            </w:r>
          </w:p>
          <w:p w14:paraId="7C89DB8F" w14:textId="77777777" w:rsidR="00C40358" w:rsidRPr="005D0D22" w:rsidRDefault="00C40358">
            <w:pPr>
              <w:spacing w:after="160" w:line="256" w:lineRule="auto"/>
              <w:ind w:left="720"/>
              <w:contextualSpacing/>
              <w:jc w:val="left"/>
              <w:rPr>
                <w:rFonts w:ascii="Arial Narrow" w:eastAsia="Calibri" w:hAnsi="Arial Narrow"/>
                <w:sz w:val="20"/>
                <w:szCs w:val="20"/>
                <w:shd w:val="clear" w:color="auto" w:fill="FFFFFF"/>
              </w:rPr>
            </w:pPr>
          </w:p>
          <w:p w14:paraId="4FB90159" w14:textId="77777777" w:rsidR="00C40358" w:rsidRPr="005D0D22" w:rsidRDefault="00C40358">
            <w:pPr>
              <w:jc w:val="left"/>
              <w:rPr>
                <w:rFonts w:ascii="Arial Narrow" w:hAnsi="Arial Narrow"/>
                <w:sz w:val="20"/>
                <w:szCs w:val="20"/>
              </w:rPr>
            </w:pPr>
            <w:r w:rsidRPr="005D0D22">
              <w:rPr>
                <w:rFonts w:ascii="Arial Narrow" w:hAnsi="Arial Narrow"/>
                <w:sz w:val="20"/>
                <w:szCs w:val="20"/>
              </w:rPr>
              <w:t>If the application is submitted through HPOS form upload or mail, it must include:</w:t>
            </w:r>
          </w:p>
          <w:p w14:paraId="07758BAD" w14:textId="77777777" w:rsidR="00C40358" w:rsidRPr="005D0D22" w:rsidRDefault="00C40358">
            <w:pPr>
              <w:spacing w:after="160" w:line="256" w:lineRule="auto"/>
              <w:contextualSpacing/>
              <w:jc w:val="left"/>
              <w:rPr>
                <w:rFonts w:ascii="Arial Narrow" w:eastAsia="Calibri" w:hAnsi="Arial Narrow"/>
                <w:bCs/>
                <w:sz w:val="20"/>
                <w:szCs w:val="20"/>
                <w:lang w:eastAsia="en-US"/>
              </w:rPr>
            </w:pPr>
            <w:r w:rsidRPr="005D0D22">
              <w:rPr>
                <w:rFonts w:ascii="Arial Narrow" w:eastAsia="Calibri" w:hAnsi="Arial Narrow"/>
                <w:bCs/>
                <w:sz w:val="20"/>
                <w:szCs w:val="20"/>
                <w:lang w:eastAsia="en-US"/>
              </w:rPr>
              <w:t>(1) details of the proposed prescription;</w:t>
            </w:r>
          </w:p>
          <w:p w14:paraId="437C253E" w14:textId="77777777" w:rsidR="00C40358" w:rsidRPr="005D0D22" w:rsidRDefault="00C40358">
            <w:pPr>
              <w:spacing w:after="160" w:line="256" w:lineRule="auto"/>
              <w:contextualSpacing/>
              <w:jc w:val="left"/>
              <w:rPr>
                <w:rFonts w:ascii="Arial Narrow" w:eastAsia="Calibri" w:hAnsi="Arial Narrow"/>
                <w:sz w:val="20"/>
                <w:szCs w:val="20"/>
                <w:shd w:val="clear" w:color="auto" w:fill="FFFFFF"/>
                <w:lang w:eastAsia="en-US"/>
              </w:rPr>
            </w:pPr>
            <w:r w:rsidRPr="005D0D22">
              <w:rPr>
                <w:rFonts w:ascii="Arial Narrow" w:eastAsia="Calibri" w:hAnsi="Arial Narrow"/>
                <w:bCs/>
                <w:sz w:val="20"/>
                <w:szCs w:val="20"/>
                <w:lang w:eastAsia="en-US"/>
              </w:rPr>
              <w:t>(2) a completed authority application form relevant to the indication and treatment phase (the latest version is located on the website specified in the Administrative Advice);</w:t>
            </w:r>
          </w:p>
        </w:tc>
      </w:tr>
      <w:tr w:rsidR="00C40358" w:rsidRPr="005D0D22" w14:paraId="33416E53" w14:textId="77777777">
        <w:trPr>
          <w:cantSplit/>
          <w:trHeight w:val="20"/>
        </w:trPr>
        <w:tc>
          <w:tcPr>
            <w:tcW w:w="1274"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7B111967" w14:textId="6D41714A" w:rsidR="00C40358" w:rsidRPr="005D0D22" w:rsidRDefault="00C40358">
            <w:pPr>
              <w:spacing w:after="160"/>
              <w:contextualSpacing/>
              <w:jc w:val="center"/>
              <w:rPr>
                <w:rFonts w:ascii="Arial Narrow" w:hAnsi="Arial Narrow"/>
                <w:sz w:val="20"/>
                <w:szCs w:val="20"/>
              </w:rPr>
            </w:pPr>
          </w:p>
        </w:tc>
        <w:tc>
          <w:tcPr>
            <w:tcW w:w="7742"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5A08703D" w14:textId="77777777" w:rsidR="00C40358" w:rsidRPr="005D0D22" w:rsidRDefault="00C40358">
            <w:pPr>
              <w:spacing w:after="160"/>
              <w:contextualSpacing/>
              <w:jc w:val="left"/>
              <w:rPr>
                <w:rFonts w:ascii="Arial Narrow" w:eastAsia="Calibri" w:hAnsi="Arial Narrow" w:cs="Arial Narrow"/>
                <w:b/>
                <w:bCs/>
                <w:iCs/>
                <w:color w:val="000000"/>
                <w:sz w:val="20"/>
                <w:szCs w:val="20"/>
                <w:lang w:eastAsia="en-US"/>
              </w:rPr>
            </w:pPr>
            <w:r w:rsidRPr="005D0D22">
              <w:rPr>
                <w:rFonts w:ascii="Arial Narrow" w:eastAsia="Calibri" w:hAnsi="Arial Narrow" w:cs="Arial Narrow"/>
                <w:b/>
                <w:bCs/>
                <w:iCs/>
                <w:color w:val="000000"/>
                <w:sz w:val="20"/>
                <w:szCs w:val="20"/>
                <w:lang w:eastAsia="en-US"/>
              </w:rPr>
              <w:t>Prescribing Instruction:</w:t>
            </w:r>
          </w:p>
          <w:p w14:paraId="10C6BCB0" w14:textId="1FFA5287" w:rsidR="00C40358" w:rsidRPr="005D0D22" w:rsidRDefault="00C40358">
            <w:pPr>
              <w:spacing w:after="160" w:line="256" w:lineRule="auto"/>
              <w:contextualSpacing/>
              <w:jc w:val="left"/>
              <w:rPr>
                <w:rFonts w:ascii="Arial Narrow" w:hAnsi="Arial Narrow"/>
                <w:b/>
                <w:bCs/>
                <w:sz w:val="20"/>
                <w:szCs w:val="20"/>
              </w:rPr>
            </w:pPr>
            <w:r w:rsidRPr="005D0D22">
              <w:rPr>
                <w:rFonts w:ascii="Arial Narrow" w:eastAsia="Calibri" w:hAnsi="Arial Narrow" w:cs="Arial Narrow"/>
                <w:iCs/>
                <w:color w:val="000000"/>
                <w:sz w:val="20"/>
                <w:szCs w:val="20"/>
                <w:lang w:eastAsia="en-US"/>
              </w:rPr>
              <w:t>A retrospective assessment for one of the MGC score or MG</w:t>
            </w:r>
            <w:r w:rsidR="00AF0956">
              <w:rPr>
                <w:rFonts w:ascii="Arial Narrow" w:eastAsia="Calibri" w:hAnsi="Arial Narrow" w:cs="Arial Narrow"/>
                <w:iCs/>
                <w:color w:val="000000"/>
                <w:sz w:val="20"/>
                <w:szCs w:val="20"/>
                <w:lang w:eastAsia="en-US"/>
              </w:rPr>
              <w:noBreakHyphen/>
            </w:r>
            <w:r w:rsidRPr="005D0D22">
              <w:rPr>
                <w:rFonts w:ascii="Arial Narrow" w:eastAsia="Calibri" w:hAnsi="Arial Narrow" w:cs="Arial Narrow"/>
                <w:iCs/>
                <w:color w:val="000000"/>
                <w:sz w:val="20"/>
                <w:szCs w:val="20"/>
                <w:lang w:eastAsia="en-US"/>
              </w:rPr>
              <w:t>ADL score after completing the 12 months</w:t>
            </w:r>
            <w:r w:rsidRPr="005D0D22">
              <w:rPr>
                <w:rFonts w:ascii="Arial Narrow" w:hAnsi="Arial Narrow"/>
                <w:color w:val="000000"/>
                <w:sz w:val="20"/>
                <w:szCs w:val="20"/>
              </w:rPr>
              <w:t xml:space="preserve"> remission inducing</w:t>
            </w:r>
            <w:r w:rsidRPr="005D0D22">
              <w:rPr>
                <w:rFonts w:ascii="Arial Narrow" w:eastAsia="Calibri" w:hAnsi="Arial Narrow"/>
                <w:bCs/>
                <w:color w:val="000000"/>
                <w:sz w:val="20"/>
                <w:szCs w:val="20"/>
                <w:lang w:eastAsia="en-US"/>
              </w:rPr>
              <w:t xml:space="preserve"> </w:t>
            </w:r>
            <w:r w:rsidRPr="005D0D22">
              <w:rPr>
                <w:rFonts w:ascii="Arial Narrow" w:hAnsi="Arial Narrow"/>
                <w:color w:val="000000"/>
                <w:sz w:val="20"/>
                <w:szCs w:val="20"/>
              </w:rPr>
              <w:t>treatments can be accepted for grandfathered patients in cases where it was not conducted prior to commencing non</w:t>
            </w:r>
            <w:r w:rsidR="00AF0956">
              <w:rPr>
                <w:rFonts w:ascii="Arial Narrow" w:hAnsi="Arial Narrow"/>
                <w:color w:val="000000"/>
                <w:sz w:val="20"/>
                <w:szCs w:val="20"/>
              </w:rPr>
              <w:noBreakHyphen/>
            </w:r>
            <w:r w:rsidRPr="005D0D22">
              <w:rPr>
                <w:rFonts w:ascii="Arial Narrow" w:hAnsi="Arial Narrow"/>
                <w:color w:val="000000"/>
                <w:sz w:val="20"/>
                <w:szCs w:val="20"/>
              </w:rPr>
              <w:t>PBS subsidised treatment for this indication.</w:t>
            </w:r>
            <w:r w:rsidRPr="005D0D22">
              <w:rPr>
                <w:rFonts w:ascii="Arial Narrow" w:eastAsia="Calibri" w:hAnsi="Arial Narrow" w:cs="Arial Narrow"/>
                <w:iCs/>
                <w:color w:val="000000"/>
                <w:sz w:val="20"/>
                <w:szCs w:val="20"/>
                <w:lang w:eastAsia="en-US"/>
              </w:rPr>
              <w:t xml:space="preserve"> </w:t>
            </w:r>
          </w:p>
        </w:tc>
      </w:tr>
      <w:tr w:rsidR="00C40358" w:rsidRPr="005D0D22" w14:paraId="15AF4106" w14:textId="77777777">
        <w:trPr>
          <w:cantSplit/>
          <w:trHeight w:val="20"/>
        </w:trPr>
        <w:tc>
          <w:tcPr>
            <w:tcW w:w="1274"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70323D71" w14:textId="463C779C" w:rsidR="00C40358" w:rsidRPr="005D0D22" w:rsidRDefault="00C40358">
            <w:pPr>
              <w:spacing w:after="160"/>
              <w:contextualSpacing/>
              <w:jc w:val="center"/>
              <w:rPr>
                <w:rFonts w:ascii="Arial Narrow" w:hAnsi="Arial Narrow"/>
                <w:sz w:val="20"/>
                <w:szCs w:val="20"/>
              </w:rPr>
            </w:pPr>
          </w:p>
        </w:tc>
        <w:tc>
          <w:tcPr>
            <w:tcW w:w="7742"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526C0957" w14:textId="70A3FBD4" w:rsidR="00C40358" w:rsidRPr="005D0D22" w:rsidRDefault="00C40358">
            <w:pPr>
              <w:spacing w:after="160"/>
              <w:contextualSpacing/>
              <w:jc w:val="left"/>
              <w:rPr>
                <w:rFonts w:ascii="Arial Narrow" w:eastAsia="Calibri" w:hAnsi="Arial Narrow" w:cs="Arial Narrow"/>
                <w:b/>
                <w:bCs/>
                <w:iCs/>
                <w:color w:val="000000"/>
                <w:sz w:val="20"/>
                <w:szCs w:val="20"/>
                <w:lang w:eastAsia="en-US"/>
              </w:rPr>
            </w:pPr>
            <w:r w:rsidRPr="005D0D22">
              <w:rPr>
                <w:rFonts w:ascii="Arial Narrow" w:eastAsia="Calibri" w:hAnsi="Arial Narrow" w:cs="Arial"/>
                <w:b/>
                <w:bCs/>
                <w:kern w:val="2"/>
                <w:sz w:val="20"/>
                <w:szCs w:val="20"/>
                <w14:ligatures w14:val="standardContextual"/>
              </w:rPr>
              <w:t xml:space="preserve">Administrative Advice: </w:t>
            </w:r>
            <w:r w:rsidRPr="005D0D22">
              <w:rPr>
                <w:rFonts w:ascii="Arial Narrow" w:eastAsia="Calibri" w:hAnsi="Arial Narrow" w:cs="Arial"/>
                <w:bCs/>
                <w:kern w:val="2"/>
                <w:sz w:val="20"/>
                <w:szCs w:val="20"/>
                <w14:ligatures w14:val="standardContextual"/>
              </w:rPr>
              <w:t>Patients may qualify for PBS</w:t>
            </w:r>
            <w:r w:rsidR="00AF0956">
              <w:rPr>
                <w:rFonts w:ascii="Arial Narrow" w:eastAsia="Calibri" w:hAnsi="Arial Narrow" w:cs="Arial"/>
                <w:bCs/>
                <w:kern w:val="2"/>
                <w:sz w:val="20"/>
                <w:szCs w:val="20"/>
                <w14:ligatures w14:val="standardContextual"/>
              </w:rPr>
              <w:noBreakHyphen/>
            </w:r>
            <w:r w:rsidRPr="005D0D22">
              <w:rPr>
                <w:rFonts w:ascii="Arial Narrow" w:eastAsia="Calibri" w:hAnsi="Arial Narrow" w:cs="Arial"/>
                <w:bCs/>
                <w:kern w:val="2"/>
                <w:sz w:val="20"/>
                <w:szCs w:val="20"/>
                <w14:ligatures w14:val="standardContextual"/>
              </w:rPr>
              <w:t>subsidised treatment under this restriction once only. For continuing PBS</w:t>
            </w:r>
            <w:r w:rsidR="00AF0956">
              <w:rPr>
                <w:rFonts w:ascii="Arial Narrow" w:eastAsia="Calibri" w:hAnsi="Arial Narrow" w:cs="Arial"/>
                <w:bCs/>
                <w:kern w:val="2"/>
                <w:sz w:val="20"/>
                <w:szCs w:val="20"/>
                <w14:ligatures w14:val="standardContextual"/>
              </w:rPr>
              <w:noBreakHyphen/>
            </w:r>
            <w:r w:rsidRPr="005D0D22">
              <w:rPr>
                <w:rFonts w:ascii="Arial Narrow" w:eastAsia="Calibri" w:hAnsi="Arial Narrow" w:cs="Arial"/>
                <w:bCs/>
                <w:kern w:val="2"/>
                <w:sz w:val="20"/>
                <w:szCs w:val="20"/>
                <w14:ligatures w14:val="standardContextual"/>
              </w:rPr>
              <w:t>subsidised treatment, a 'Grandfathered' patient must qualify under the 'Continuing treatment' criteria.</w:t>
            </w:r>
          </w:p>
        </w:tc>
      </w:tr>
      <w:tr w:rsidR="00C40358" w:rsidRPr="005D0D22" w14:paraId="01EED86A" w14:textId="77777777">
        <w:trPr>
          <w:cantSplit/>
          <w:trHeight w:val="20"/>
        </w:trPr>
        <w:tc>
          <w:tcPr>
            <w:tcW w:w="1274"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7F5E44AA" w14:textId="6AE86F73" w:rsidR="00C40358" w:rsidRPr="005D0D22" w:rsidRDefault="00C40358">
            <w:pPr>
              <w:spacing w:after="160"/>
              <w:contextualSpacing/>
              <w:jc w:val="center"/>
              <w:rPr>
                <w:rFonts w:ascii="Arial Narrow" w:hAnsi="Arial Narrow"/>
                <w:sz w:val="20"/>
                <w:szCs w:val="20"/>
              </w:rPr>
            </w:pPr>
          </w:p>
        </w:tc>
        <w:tc>
          <w:tcPr>
            <w:tcW w:w="7742"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5E7D2485" w14:textId="77777777" w:rsidR="00C40358" w:rsidRPr="005D0D22" w:rsidRDefault="00C40358">
            <w:pPr>
              <w:spacing w:after="160"/>
              <w:contextualSpacing/>
              <w:jc w:val="left"/>
              <w:rPr>
                <w:rFonts w:ascii="Arial Narrow" w:eastAsia="Calibri" w:hAnsi="Arial Narrow" w:cs="Arial Narrow"/>
                <w:b/>
                <w:bCs/>
                <w:iCs/>
                <w:color w:val="000000"/>
                <w:sz w:val="20"/>
                <w:szCs w:val="20"/>
                <w:lang w:eastAsia="en-US"/>
              </w:rPr>
            </w:pPr>
            <w:r w:rsidRPr="005D0D22">
              <w:rPr>
                <w:rFonts w:ascii="Arial Narrow" w:eastAsia="Calibri" w:hAnsi="Arial Narrow" w:cs="Arial"/>
                <w:b/>
                <w:bCs/>
                <w:kern w:val="2"/>
                <w:sz w:val="20"/>
                <w:szCs w:val="20"/>
                <w14:ligatures w14:val="standardContextual"/>
              </w:rPr>
              <w:t xml:space="preserve">Administrative Advice: </w:t>
            </w:r>
            <w:r w:rsidRPr="005D0D22">
              <w:rPr>
                <w:rFonts w:ascii="Arial Narrow" w:eastAsia="Calibri" w:hAnsi="Arial Narrow" w:cs="Arial"/>
                <w:bCs/>
                <w:kern w:val="2"/>
                <w:sz w:val="20"/>
                <w:szCs w:val="20"/>
                <w14:ligatures w14:val="standardContextual"/>
              </w:rPr>
              <w:t>This grandfather restriction will cease to operate from 12 months after the date specified in the clinical criteria.</w:t>
            </w:r>
          </w:p>
        </w:tc>
      </w:tr>
    </w:tbl>
    <w:p w14:paraId="5FF28B33" w14:textId="77777777" w:rsidR="00C40358" w:rsidRDefault="00C40358" w:rsidP="00C40358">
      <w:pPr>
        <w:jc w:val="left"/>
        <w:textAlignment w:val="baseline"/>
        <w:rPr>
          <w:rFonts w:cs="Arial"/>
        </w:rPr>
      </w:pPr>
      <w:r w:rsidRPr="74EB87D5">
        <w:rPr>
          <w:rFonts w:ascii="Times New Roman" w:hAnsi="Times New Roman"/>
        </w:rPr>
        <w:t> </w:t>
      </w:r>
    </w:p>
    <w:p w14:paraId="145F88A6" w14:textId="77777777" w:rsidR="00571259" w:rsidRDefault="00571259" w:rsidP="00571259">
      <w:pPr>
        <w:spacing w:before="120"/>
        <w:rPr>
          <w:rFonts w:asciiTheme="minorHAnsi" w:hAnsiTheme="minorHAnsi" w:cs="Arial"/>
          <w:b/>
          <w:i/>
          <w:iCs/>
          <w:snapToGrid w:val="0"/>
          <w:lang w:val="en-GB"/>
        </w:rPr>
      </w:pPr>
      <w:r w:rsidRPr="00907671">
        <w:rPr>
          <w:rFonts w:asciiTheme="minorHAnsi" w:hAnsiTheme="minorHAnsi" w:cs="Arial"/>
          <w:b/>
          <w:i/>
          <w:iCs/>
          <w:snapToGrid w:val="0"/>
          <w:lang w:val="en-GB"/>
        </w:rPr>
        <w:t>These restrictions may be subject to further review. Should there be any changes made to the restriction the sponsor will be informed.</w:t>
      </w:r>
    </w:p>
    <w:p w14:paraId="1141126F" w14:textId="4AD55A36" w:rsidR="00FA4577" w:rsidRPr="00FA4577" w:rsidRDefault="00FA4577" w:rsidP="00FA4577">
      <w:pPr>
        <w:keepNext/>
        <w:spacing w:before="240" w:after="120"/>
        <w:ind w:left="720" w:hanging="720"/>
        <w:jc w:val="left"/>
        <w:outlineLvl w:val="0"/>
        <w:rPr>
          <w:rFonts w:asciiTheme="minorHAnsi" w:hAnsiTheme="minorHAnsi" w:cs="Arial"/>
          <w:b/>
          <w:snapToGrid w:val="0"/>
          <w:sz w:val="32"/>
          <w:szCs w:val="32"/>
          <w:lang w:val="en-GB" w:eastAsia="en-US"/>
        </w:rPr>
      </w:pPr>
      <w:r>
        <w:rPr>
          <w:rFonts w:asciiTheme="minorHAnsi" w:hAnsiTheme="minorHAnsi" w:cs="Arial"/>
          <w:b/>
          <w:snapToGrid w:val="0"/>
          <w:sz w:val="32"/>
          <w:szCs w:val="32"/>
          <w:lang w:eastAsia="en-US"/>
        </w:rPr>
        <w:t>8</w:t>
      </w:r>
      <w:r w:rsidRPr="00FA4577">
        <w:rPr>
          <w:rFonts w:asciiTheme="minorHAnsi" w:hAnsiTheme="minorHAnsi" w:cs="Arial"/>
          <w:b/>
          <w:snapToGrid w:val="0"/>
          <w:sz w:val="32"/>
          <w:szCs w:val="32"/>
          <w:lang w:eastAsia="en-US"/>
        </w:rPr>
        <w:tab/>
        <w:t>Context for Decision</w:t>
      </w:r>
    </w:p>
    <w:p w14:paraId="086CD65D" w14:textId="77777777" w:rsidR="00FA4577" w:rsidRPr="00FA4577" w:rsidRDefault="00FA4577" w:rsidP="00FA4577">
      <w:pPr>
        <w:spacing w:after="120"/>
        <w:ind w:left="720"/>
        <w:rPr>
          <w:rFonts w:cs="Calibri"/>
          <w:bCs/>
          <w:szCs w:val="22"/>
          <w:lang w:val="en-GB"/>
        </w:rPr>
      </w:pPr>
      <w:r w:rsidRPr="00FA4577">
        <w:rPr>
          <w:rFonts w:cs="Calibri"/>
          <w:bCs/>
          <w:szCs w:val="22"/>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52685D70" w14:textId="1F3F8C95" w:rsidR="00FA4577" w:rsidRPr="00FA4577" w:rsidRDefault="00FA4577" w:rsidP="00FA4577">
      <w:pPr>
        <w:keepNext/>
        <w:spacing w:before="240" w:after="120"/>
        <w:ind w:left="720" w:hanging="720"/>
        <w:jc w:val="left"/>
        <w:outlineLvl w:val="0"/>
        <w:rPr>
          <w:rFonts w:asciiTheme="minorHAnsi" w:hAnsiTheme="minorHAnsi" w:cs="Arial"/>
          <w:b/>
          <w:snapToGrid w:val="0"/>
          <w:sz w:val="32"/>
          <w:szCs w:val="32"/>
          <w:lang w:eastAsia="en-US"/>
        </w:rPr>
      </w:pPr>
      <w:r>
        <w:rPr>
          <w:rFonts w:asciiTheme="minorHAnsi" w:hAnsiTheme="minorHAnsi" w:cs="Arial"/>
          <w:b/>
          <w:snapToGrid w:val="0"/>
          <w:sz w:val="32"/>
          <w:szCs w:val="32"/>
          <w:lang w:eastAsia="en-US"/>
        </w:rPr>
        <w:t>9</w:t>
      </w:r>
      <w:r w:rsidRPr="00FA4577">
        <w:rPr>
          <w:rFonts w:asciiTheme="minorHAnsi" w:hAnsiTheme="minorHAnsi" w:cs="Arial"/>
          <w:b/>
          <w:snapToGrid w:val="0"/>
          <w:sz w:val="32"/>
          <w:szCs w:val="32"/>
          <w:lang w:eastAsia="en-US"/>
        </w:rPr>
        <w:tab/>
        <w:t>Sponsor’s Comment</w:t>
      </w:r>
    </w:p>
    <w:p w14:paraId="266A6906" w14:textId="018D490F" w:rsidR="00071724" w:rsidRPr="00907671" w:rsidRDefault="00FA4577" w:rsidP="00FA4577">
      <w:pPr>
        <w:spacing w:before="120"/>
        <w:ind w:firstLine="720"/>
        <w:rPr>
          <w:rFonts w:asciiTheme="minorHAnsi" w:hAnsiTheme="minorHAnsi" w:cs="Arial"/>
          <w:b/>
          <w:i/>
          <w:iCs/>
          <w:snapToGrid w:val="0"/>
          <w:lang w:val="en-GB"/>
        </w:rPr>
      </w:pPr>
      <w:r w:rsidRPr="00FA4577">
        <w:rPr>
          <w:rFonts w:cs="Calibri"/>
          <w:bCs/>
          <w:szCs w:val="22"/>
          <w:lang w:eastAsia="en-US"/>
        </w:rPr>
        <w:t>The sponsor had no comment.</w:t>
      </w:r>
    </w:p>
    <w:p w14:paraId="3D7C4523" w14:textId="77777777" w:rsidR="00D21C6E" w:rsidRPr="00FD5DBA" w:rsidRDefault="00D21C6E" w:rsidP="004B3738"/>
    <w:sectPr w:rsidR="00D21C6E" w:rsidRPr="00FD5DBA" w:rsidSect="00606A7B">
      <w:headerReference w:type="even" r:id="rId20"/>
      <w:headerReference w:type="default" r:id="rId21"/>
      <w:footerReference w:type="even" r:id="rId22"/>
      <w:footerReference w:type="default" r:id="rId23"/>
      <w:headerReference w:type="first" r:id="rId24"/>
      <w:footerReference w:type="first" r:id="rId25"/>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494618" w14:textId="77777777" w:rsidR="00AB764A" w:rsidRDefault="00AB764A">
      <w:r>
        <w:separator/>
      </w:r>
    </w:p>
    <w:p w14:paraId="6512C7FB" w14:textId="77777777" w:rsidR="00AB764A" w:rsidRDefault="00AB764A"/>
  </w:endnote>
  <w:endnote w:type="continuationSeparator" w:id="0">
    <w:p w14:paraId="2CE9C404" w14:textId="77777777" w:rsidR="00AB764A" w:rsidRDefault="00AB764A">
      <w:r>
        <w:continuationSeparator/>
      </w:r>
    </w:p>
    <w:p w14:paraId="1F1193E3" w14:textId="77777777" w:rsidR="00AB764A" w:rsidRDefault="00AB764A"/>
  </w:endnote>
  <w:endnote w:type="continuationNotice" w:id="1">
    <w:p w14:paraId="79EB2413" w14:textId="77777777" w:rsidR="00AB764A" w:rsidRDefault="00AB76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arrow">
    <w:altName w:val="Arial"/>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panose1 w:val="02020609040205080304"/>
    <w:charset w:val="80"/>
    <w:family w:val="modern"/>
    <w:pitch w:val="fixed"/>
    <w:sig w:usb0="E00002FF" w:usb1="6AC7FDFB" w:usb2="08000012" w:usb3="00000000" w:csb0="0002009F" w:csb1="00000000"/>
  </w:font>
  <w:font w:name="PMingLiU">
    <w:panose1 w:val="02010601000101010101"/>
    <w:charset w:val="88"/>
    <w:family w:val="roman"/>
    <w:pitch w:val="variable"/>
    <w:sig w:usb0="A00002FF" w:usb1="28CFFCFA" w:usb2="00000016" w:usb3="00000000" w:csb0="00100001" w:csb1="00000000"/>
  </w:font>
  <w:font w:name="Arial Bold">
    <w:altName w:val="Arial"/>
    <w:panose1 w:val="020B0704020202020204"/>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7" w:rightFromText="187" w:bottomFromText="200" w:vertAnchor="text" w:tblpY="1"/>
      <w:tblW w:w="5000" w:type="pct"/>
      <w:tblLook w:val="04A0" w:firstRow="1" w:lastRow="0" w:firstColumn="1" w:lastColumn="0" w:noHBand="0" w:noVBand="1"/>
    </w:tblPr>
    <w:tblGrid>
      <w:gridCol w:w="3887"/>
      <w:gridCol w:w="1252"/>
      <w:gridCol w:w="3887"/>
    </w:tblGrid>
    <w:tr w:rsidR="009C26AA" w14:paraId="4075D3FE" w14:textId="77777777" w:rsidTr="005A3173">
      <w:trPr>
        <w:trHeight w:val="151"/>
      </w:trPr>
      <w:tc>
        <w:tcPr>
          <w:tcW w:w="2250" w:type="pct"/>
          <w:tcBorders>
            <w:top w:val="nil"/>
            <w:left w:val="nil"/>
            <w:bottom w:val="single" w:sz="4" w:space="0" w:color="4F81BD"/>
            <w:right w:val="nil"/>
          </w:tcBorders>
        </w:tcPr>
        <w:p w14:paraId="096D0DDE" w14:textId="3E894068" w:rsidR="009C26AA" w:rsidRPr="00C079BC" w:rsidRDefault="00D56F67" w:rsidP="005A3173">
          <w:pPr>
            <w:pStyle w:val="Header"/>
            <w:spacing w:line="276" w:lineRule="auto"/>
            <w:rPr>
              <w:rFonts w:eastAsia="MS Gothic"/>
              <w:bCs/>
              <w:i w:val="0"/>
              <w:color w:val="FF0000"/>
            </w:rPr>
          </w:pPr>
          <w:r>
            <w:rPr>
              <w:rFonts w:eastAsia="MS Gothic"/>
              <w:bCs/>
              <w:i w:val="0"/>
              <w:noProof/>
              <w:color w:val="FF0000"/>
            </w:rPr>
            <mc:AlternateContent>
              <mc:Choice Requires="wps">
                <w:drawing>
                  <wp:anchor distT="0" distB="0" distL="0" distR="0" simplePos="0" relativeHeight="251658244" behindDoc="0" locked="0" layoutInCell="1" allowOverlap="1" wp14:anchorId="3278ADE6" wp14:editId="5E3AD878">
                    <wp:simplePos x="635" y="635"/>
                    <wp:positionH relativeFrom="page">
                      <wp:align>center</wp:align>
                    </wp:positionH>
                    <wp:positionV relativeFrom="page">
                      <wp:align>bottom</wp:align>
                    </wp:positionV>
                    <wp:extent cx="622300" cy="376555"/>
                    <wp:effectExtent l="0" t="0" r="6350" b="0"/>
                    <wp:wrapNone/>
                    <wp:docPr id="20845591"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4A8C503A" w14:textId="03EEAD0C" w:rsidR="00D56F67" w:rsidRPr="00D56F67" w:rsidRDefault="00D56F67" w:rsidP="00D56F67">
                                <w:pPr>
                                  <w:rPr>
                                    <w:rFonts w:ascii="Aptos" w:eastAsia="Aptos" w:hAnsi="Aptos" w:cs="Aptos"/>
                                    <w:noProof/>
                                    <w:color w:val="FF0000"/>
                                  </w:rPr>
                                </w:pPr>
                                <w:r w:rsidRPr="00D56F67">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278ADE6" id="_x0000_t202" coordsize="21600,21600" o:spt="202" path="m,l,21600r21600,l21600,xe">
                    <v:stroke joinstyle="miter"/>
                    <v:path gradientshapeok="t" o:connecttype="rect"/>
                  </v:shapetype>
                  <v:shape id="Text Box 5" o:spid="_x0000_s1028" type="#_x0000_t202" alt="OFFICIAL" style="position:absolute;left:0;text-align:left;margin-left:0;margin-top:0;width:49pt;height:29.6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rqfZbw0CAAAcBAAA&#10;DgAAAAAAAAAAAAAAAAAuAgAAZHJzL2Uyb0RvYy54bWxQSwECLQAUAAYACAAAACEAaYjbD9kAAAAD&#10;AQAADwAAAAAAAAAAAAAAAABnBAAAZHJzL2Rvd25yZXYueG1sUEsFBgAAAAAEAAQA8wAAAG0FAAAA&#10;AA==&#10;" filled="f" stroked="f">
                    <v:textbox style="mso-fit-shape-to-text:t" inset="0,0,0,15pt">
                      <w:txbxContent>
                        <w:p w14:paraId="4A8C503A" w14:textId="03EEAD0C" w:rsidR="00D56F67" w:rsidRPr="00D56F67" w:rsidRDefault="00D56F67" w:rsidP="00D56F67">
                          <w:pPr>
                            <w:rPr>
                              <w:rFonts w:ascii="Aptos" w:eastAsia="Aptos" w:hAnsi="Aptos" w:cs="Aptos"/>
                              <w:noProof/>
                              <w:color w:val="FF0000"/>
                            </w:rPr>
                          </w:pPr>
                          <w:r w:rsidRPr="00D56F67">
                            <w:rPr>
                              <w:rFonts w:ascii="Aptos" w:eastAsia="Aptos" w:hAnsi="Aptos" w:cs="Aptos"/>
                              <w:noProof/>
                              <w:color w:val="FF0000"/>
                            </w:rPr>
                            <w:t>OFFICIAL</w:t>
                          </w:r>
                        </w:p>
                      </w:txbxContent>
                    </v:textbox>
                    <w10:wrap anchorx="page" anchory="page"/>
                  </v:shape>
                </w:pict>
              </mc:Fallback>
            </mc:AlternateContent>
          </w:r>
        </w:p>
      </w:tc>
      <w:tc>
        <w:tcPr>
          <w:tcW w:w="500" w:type="pct"/>
          <w:vMerge w:val="restart"/>
          <w:noWrap/>
          <w:vAlign w:val="center"/>
          <w:hideMark/>
        </w:tcPr>
        <w:p w14:paraId="37B9A2BD" w14:textId="77777777" w:rsidR="009C26AA" w:rsidRPr="005A3173" w:rsidRDefault="009C26AA"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14:paraId="67A50320" w14:textId="77777777" w:rsidR="009C26AA" w:rsidRPr="00C079BC" w:rsidRDefault="009C26AA" w:rsidP="005A3173">
          <w:pPr>
            <w:pStyle w:val="Header"/>
            <w:spacing w:line="276" w:lineRule="auto"/>
            <w:rPr>
              <w:rFonts w:eastAsia="MS Gothic"/>
              <w:bCs/>
              <w:i w:val="0"/>
              <w:color w:val="FF0000"/>
            </w:rPr>
          </w:pPr>
        </w:p>
      </w:tc>
    </w:tr>
    <w:tr w:rsidR="009C26AA" w14:paraId="32EF4DB8" w14:textId="77777777" w:rsidTr="005A3173">
      <w:trPr>
        <w:trHeight w:val="150"/>
      </w:trPr>
      <w:tc>
        <w:tcPr>
          <w:tcW w:w="2250" w:type="pct"/>
          <w:tcBorders>
            <w:top w:val="single" w:sz="4" w:space="0" w:color="4F81BD"/>
            <w:left w:val="nil"/>
            <w:bottom w:val="nil"/>
            <w:right w:val="nil"/>
          </w:tcBorders>
        </w:tcPr>
        <w:p w14:paraId="03528A4C" w14:textId="77777777" w:rsidR="009C26AA" w:rsidRPr="00C079BC" w:rsidRDefault="009C26AA" w:rsidP="005A3173">
          <w:pPr>
            <w:pStyle w:val="Header"/>
            <w:spacing w:line="276" w:lineRule="auto"/>
            <w:rPr>
              <w:rFonts w:eastAsia="MS Gothic"/>
              <w:bCs/>
              <w:i w:val="0"/>
              <w:color w:val="FF0000"/>
            </w:rPr>
          </w:pPr>
        </w:p>
      </w:tc>
      <w:tc>
        <w:tcPr>
          <w:tcW w:w="0" w:type="auto"/>
          <w:vMerge/>
          <w:vAlign w:val="center"/>
          <w:hideMark/>
        </w:tcPr>
        <w:p w14:paraId="109042FB" w14:textId="77777777" w:rsidR="009C26AA" w:rsidRPr="005A3173" w:rsidRDefault="009C26AA" w:rsidP="005A3173">
          <w:pPr>
            <w:rPr>
              <w:color w:val="365F91"/>
              <w:sz w:val="22"/>
              <w:szCs w:val="22"/>
            </w:rPr>
          </w:pPr>
        </w:p>
      </w:tc>
      <w:tc>
        <w:tcPr>
          <w:tcW w:w="2250" w:type="pct"/>
          <w:tcBorders>
            <w:top w:val="single" w:sz="4" w:space="0" w:color="4F81BD"/>
            <w:left w:val="nil"/>
            <w:bottom w:val="nil"/>
            <w:right w:val="nil"/>
          </w:tcBorders>
        </w:tcPr>
        <w:p w14:paraId="09664199" w14:textId="77777777" w:rsidR="009C26AA" w:rsidRPr="00C079BC" w:rsidRDefault="009C26AA" w:rsidP="005A3173">
          <w:pPr>
            <w:pStyle w:val="Header"/>
            <w:spacing w:line="276" w:lineRule="auto"/>
            <w:rPr>
              <w:rFonts w:eastAsia="MS Gothic"/>
              <w:bCs/>
              <w:i w:val="0"/>
              <w:color w:val="FF0000"/>
            </w:rPr>
          </w:pPr>
        </w:p>
      </w:tc>
    </w:tr>
  </w:tbl>
  <w:p w14:paraId="21855C18" w14:textId="77777777" w:rsidR="009C26AA" w:rsidRDefault="009C26AA"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42ACCCE" w14:textId="77777777" w:rsidR="009C26AA" w:rsidRDefault="009C26AA">
    <w:pPr>
      <w:pStyle w:val="Footer"/>
    </w:pPr>
  </w:p>
  <w:p w14:paraId="48FFA445" w14:textId="77777777" w:rsidR="009C26AA" w:rsidRDefault="009C26A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A0C56" w14:textId="22A81E50" w:rsidR="009C26AA" w:rsidRPr="00E57A43" w:rsidRDefault="00D56F67" w:rsidP="00C56D78">
    <w:pPr>
      <w:pStyle w:val="PBACFooter"/>
      <w:jc w:val="both"/>
      <w:rPr>
        <w:rFonts w:ascii="Aptos" w:hAnsi="Aptos" w:cs="Aptos"/>
        <w:sz w:val="24"/>
      </w:rPr>
    </w:pPr>
    <w:r>
      <w:rPr>
        <w:rFonts w:ascii="Aptos" w:hAnsi="Aptos" w:cs="Aptos"/>
        <w:noProof/>
        <w:sz w:val="24"/>
      </w:rPr>
      <mc:AlternateContent>
        <mc:Choice Requires="wps">
          <w:drawing>
            <wp:anchor distT="0" distB="0" distL="0" distR="0" simplePos="0" relativeHeight="251658245" behindDoc="0" locked="0" layoutInCell="1" allowOverlap="1" wp14:anchorId="269F9E8F" wp14:editId="61B93CEE">
              <wp:simplePos x="635" y="635"/>
              <wp:positionH relativeFrom="page">
                <wp:align>center</wp:align>
              </wp:positionH>
              <wp:positionV relativeFrom="page">
                <wp:align>bottom</wp:align>
              </wp:positionV>
              <wp:extent cx="622300" cy="376555"/>
              <wp:effectExtent l="0" t="0" r="6350" b="0"/>
              <wp:wrapNone/>
              <wp:docPr id="592127005"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15A9E387" w14:textId="318A81FE" w:rsidR="00D56F67" w:rsidRPr="00D56F67" w:rsidRDefault="00D56F67" w:rsidP="00D56F67">
                          <w:pPr>
                            <w:rPr>
                              <w:rFonts w:ascii="Aptos" w:eastAsia="Aptos" w:hAnsi="Aptos" w:cs="Aptos"/>
                              <w:noProof/>
                              <w:color w:val="FF0000"/>
                            </w:rPr>
                          </w:pPr>
                          <w:r w:rsidRPr="00D56F67">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69F9E8F" id="_x0000_t202" coordsize="21600,21600" o:spt="202" path="m,l,21600r21600,l21600,xe">
              <v:stroke joinstyle="miter"/>
              <v:path gradientshapeok="t" o:connecttype="rect"/>
            </v:shapetype>
            <v:shape id="Text Box 6" o:spid="_x0000_s1029" type="#_x0000_t202" alt="OFFICIAL" style="position:absolute;left:0;text-align:left;margin-left:0;margin-top:0;width:49pt;height:29.6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wxhrUg0CAAAcBAAA&#10;DgAAAAAAAAAAAAAAAAAuAgAAZHJzL2Uyb0RvYy54bWxQSwECLQAUAAYACAAAACEAaYjbD9kAAAAD&#10;AQAADwAAAAAAAAAAAAAAAABnBAAAZHJzL2Rvd25yZXYueG1sUEsFBgAAAAAEAAQA8wAAAG0FAAAA&#10;AA==&#10;" filled="f" stroked="f">
              <v:textbox style="mso-fit-shape-to-text:t" inset="0,0,0,15pt">
                <w:txbxContent>
                  <w:p w14:paraId="15A9E387" w14:textId="318A81FE" w:rsidR="00D56F67" w:rsidRPr="00D56F67" w:rsidRDefault="00D56F67" w:rsidP="00D56F67">
                    <w:pPr>
                      <w:rPr>
                        <w:rFonts w:ascii="Aptos" w:eastAsia="Aptos" w:hAnsi="Aptos" w:cs="Aptos"/>
                        <w:noProof/>
                        <w:color w:val="FF0000"/>
                      </w:rPr>
                    </w:pPr>
                    <w:r w:rsidRPr="00D56F67">
                      <w:rPr>
                        <w:rFonts w:ascii="Aptos" w:eastAsia="Aptos" w:hAnsi="Aptos" w:cs="Aptos"/>
                        <w:noProof/>
                        <w:color w:val="FF0000"/>
                      </w:rPr>
                      <w:t>OFFICIAL</w:t>
                    </w:r>
                  </w:p>
                </w:txbxContent>
              </v:textbox>
              <w10:wrap anchorx="page" anchory="page"/>
            </v:shape>
          </w:pict>
        </mc:Fallback>
      </mc:AlternateContent>
    </w:r>
  </w:p>
  <w:p w14:paraId="355827FE" w14:textId="73A43F7B" w:rsidR="009C26AA" w:rsidRPr="00272DE5" w:rsidRDefault="00401640" w:rsidP="00C56D78">
    <w:pPr>
      <w:pStyle w:val="MinorOVRHeader"/>
      <w:jc w:val="center"/>
      <w:rPr>
        <w:b/>
        <w:bCs/>
        <w:i w:val="0"/>
        <w:iCs w:val="0"/>
      </w:rPr>
    </w:pPr>
    <w:r w:rsidRPr="00272DE5">
      <w:rPr>
        <w:b/>
        <w:bCs/>
        <w:i w:val="0"/>
        <w:iCs w:val="0"/>
      </w:rPr>
      <w:fldChar w:fldCharType="begin"/>
    </w:r>
    <w:r w:rsidRPr="00272DE5">
      <w:rPr>
        <w:b/>
        <w:bCs/>
        <w:i w:val="0"/>
        <w:iCs w:val="0"/>
      </w:rPr>
      <w:instrText xml:space="preserve"> PAGE   \* MERGEFORMAT </w:instrText>
    </w:r>
    <w:r w:rsidRPr="00272DE5">
      <w:rPr>
        <w:b/>
        <w:bCs/>
        <w:i w:val="0"/>
        <w:iCs w:val="0"/>
      </w:rPr>
      <w:fldChar w:fldCharType="separate"/>
    </w:r>
    <w:r w:rsidRPr="00272DE5">
      <w:rPr>
        <w:b/>
        <w:bCs/>
        <w:i w:val="0"/>
        <w:iCs w:val="0"/>
      </w:rPr>
      <w:t>1</w:t>
    </w:r>
    <w:r w:rsidRPr="00272DE5">
      <w:rPr>
        <w:b/>
        <w:bCs/>
        <w:i w:val="0"/>
        <w:iCs w:val="0"/>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AE8F1" w14:textId="61874E68" w:rsidR="002C6941" w:rsidRDefault="00D56F67">
    <w:pPr>
      <w:pStyle w:val="Footer"/>
    </w:pPr>
    <w:r>
      <w:rPr>
        <w:noProof/>
      </w:rPr>
      <mc:AlternateContent>
        <mc:Choice Requires="wps">
          <w:drawing>
            <wp:anchor distT="0" distB="0" distL="0" distR="0" simplePos="0" relativeHeight="251658243" behindDoc="0" locked="0" layoutInCell="1" allowOverlap="1" wp14:anchorId="1ED7C59F" wp14:editId="76E53B4F">
              <wp:simplePos x="635" y="635"/>
              <wp:positionH relativeFrom="page">
                <wp:align>center</wp:align>
              </wp:positionH>
              <wp:positionV relativeFrom="page">
                <wp:align>bottom</wp:align>
              </wp:positionV>
              <wp:extent cx="622300" cy="376555"/>
              <wp:effectExtent l="0" t="0" r="6350" b="0"/>
              <wp:wrapNone/>
              <wp:docPr id="1362683017"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66C619B6" w14:textId="58D54FB4" w:rsidR="00D56F67" w:rsidRPr="00D56F67" w:rsidRDefault="00D56F67" w:rsidP="00D56F67">
                          <w:pPr>
                            <w:rPr>
                              <w:rFonts w:ascii="Aptos" w:eastAsia="Aptos" w:hAnsi="Aptos" w:cs="Aptos"/>
                              <w:noProof/>
                              <w:color w:val="FF0000"/>
                            </w:rPr>
                          </w:pPr>
                          <w:r w:rsidRPr="00D56F67">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ED7C59F" id="_x0000_t202" coordsize="21600,21600" o:spt="202" path="m,l,21600r21600,l21600,xe">
              <v:stroke joinstyle="miter"/>
              <v:path gradientshapeok="t" o:connecttype="rect"/>
            </v:shapetype>
            <v:shape id="Text Box 4" o:spid="_x0000_s1031" type="#_x0000_t202" alt="OFFICIAL" style="position:absolute;left:0;text-align:left;margin-left:0;margin-top:0;width:49pt;height:29.6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" filled="f" stroked="f">
              <v:textbox style="mso-fit-shape-to-text:t" inset="0,0,0,15pt">
                <w:txbxContent>
                  <w:p w14:paraId="66C619B6" w14:textId="58D54FB4" w:rsidR="00D56F67" w:rsidRPr="00D56F67" w:rsidRDefault="00D56F67" w:rsidP="00D56F67">
                    <w:pPr>
                      <w:rPr>
                        <w:rFonts w:ascii="Aptos" w:eastAsia="Aptos" w:hAnsi="Aptos" w:cs="Aptos"/>
                        <w:noProof/>
                        <w:color w:val="FF0000"/>
                      </w:rPr>
                    </w:pPr>
                    <w:r w:rsidRPr="00D56F67">
                      <w:rPr>
                        <w:rFonts w:ascii="Aptos" w:eastAsia="Aptos" w:hAnsi="Aptos" w:cs="Aptos"/>
                        <w:noProof/>
                        <w:color w:val="FF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159EE1" w14:textId="77777777" w:rsidR="00AB764A" w:rsidRDefault="00AB764A">
      <w:r>
        <w:separator/>
      </w:r>
    </w:p>
    <w:p w14:paraId="227D0990" w14:textId="77777777" w:rsidR="00AB764A" w:rsidRDefault="00AB764A"/>
  </w:footnote>
  <w:footnote w:type="continuationSeparator" w:id="0">
    <w:p w14:paraId="2A2A79D6" w14:textId="77777777" w:rsidR="00AB764A" w:rsidRDefault="00AB764A">
      <w:r>
        <w:continuationSeparator/>
      </w:r>
    </w:p>
    <w:p w14:paraId="3A90E228" w14:textId="77777777" w:rsidR="00AB764A" w:rsidRDefault="00AB764A"/>
  </w:footnote>
  <w:footnote w:type="continuationNotice" w:id="1">
    <w:p w14:paraId="4B549291" w14:textId="77777777" w:rsidR="00AB764A" w:rsidRDefault="00AB764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7" w:rightFromText="187" w:bottomFromText="200" w:vertAnchor="text" w:tblpY="1"/>
      <w:tblW w:w="4937" w:type="pct"/>
      <w:tblLook w:val="04A0" w:firstRow="1" w:lastRow="0" w:firstColumn="1" w:lastColumn="0" w:noHBand="0" w:noVBand="1"/>
    </w:tblPr>
    <w:tblGrid>
      <w:gridCol w:w="3929"/>
      <w:gridCol w:w="1252"/>
      <w:gridCol w:w="3731"/>
    </w:tblGrid>
    <w:tr w:rsidR="009C26AA" w:rsidRPr="008E0D90" w14:paraId="263B07EE" w14:textId="77777777" w:rsidTr="00A06225">
      <w:trPr>
        <w:trHeight w:val="151"/>
      </w:trPr>
      <w:tc>
        <w:tcPr>
          <w:tcW w:w="2389" w:type="pct"/>
          <w:tcBorders>
            <w:top w:val="nil"/>
            <w:left w:val="nil"/>
            <w:bottom w:val="single" w:sz="4" w:space="0" w:color="4F81BD"/>
            <w:right w:val="nil"/>
          </w:tcBorders>
        </w:tcPr>
        <w:p w14:paraId="4C63CCAF" w14:textId="5D7A49B9" w:rsidR="009C26AA" w:rsidRPr="00C079BC" w:rsidRDefault="00D56F67">
          <w:pPr>
            <w:pStyle w:val="Header"/>
            <w:spacing w:line="276" w:lineRule="auto"/>
            <w:rPr>
              <w:rFonts w:ascii="Cambria" w:eastAsia="MS Gothic" w:hAnsi="Cambria"/>
              <w:bCs/>
              <w:i w:val="0"/>
              <w:color w:val="FF0000"/>
            </w:rPr>
          </w:pPr>
          <w:r>
            <w:rPr>
              <w:rFonts w:ascii="Cambria" w:eastAsia="MS Gothic" w:hAnsi="Cambria"/>
              <w:bCs/>
              <w:i w:val="0"/>
              <w:noProof/>
              <w:color w:val="FF0000"/>
            </w:rPr>
            <mc:AlternateContent>
              <mc:Choice Requires="wps">
                <w:drawing>
                  <wp:anchor distT="0" distB="0" distL="0" distR="0" simplePos="0" relativeHeight="251658241" behindDoc="0" locked="0" layoutInCell="1" allowOverlap="1" wp14:anchorId="376B1B45" wp14:editId="171F8B21">
                    <wp:simplePos x="635" y="635"/>
                    <wp:positionH relativeFrom="page">
                      <wp:align>center</wp:align>
                    </wp:positionH>
                    <wp:positionV relativeFrom="page">
                      <wp:align>top</wp:align>
                    </wp:positionV>
                    <wp:extent cx="622300" cy="376555"/>
                    <wp:effectExtent l="0" t="0" r="6350" b="4445"/>
                    <wp:wrapNone/>
                    <wp:docPr id="1090390928"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1C731399" w14:textId="05C38C8F" w:rsidR="00D56F67" w:rsidRPr="00D56F67" w:rsidRDefault="00D56F67" w:rsidP="00D56F67">
                                <w:pPr>
                                  <w:rPr>
                                    <w:rFonts w:ascii="Aptos" w:eastAsia="Aptos" w:hAnsi="Aptos" w:cs="Aptos"/>
                                    <w:noProof/>
                                    <w:color w:val="FF0000"/>
                                  </w:rPr>
                                </w:pPr>
                                <w:r w:rsidRPr="00D56F67">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76B1B45" id="_x0000_t202" coordsize="21600,21600" o:spt="202" path="m,l,21600r21600,l21600,xe">
                    <v:stroke joinstyle="miter"/>
                    <v:path gradientshapeok="t" o:connecttype="rect"/>
                  </v:shapetype>
                  <v:shape id="Text Box 2" o:spid="_x0000_s1026" type="#_x0000_t202" alt="OFFICIAL" style="position:absolute;left:0;text-align:left;margin-left:0;margin-top:0;width:49pt;height:29.6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" filled="f" stroked="f">
                    <v:textbox style="mso-fit-shape-to-text:t" inset="0,15pt,0,0">
                      <w:txbxContent>
                        <w:p w14:paraId="1C731399" w14:textId="05C38C8F" w:rsidR="00D56F67" w:rsidRPr="00D56F67" w:rsidRDefault="00D56F67" w:rsidP="00D56F67">
                          <w:pPr>
                            <w:rPr>
                              <w:rFonts w:ascii="Aptos" w:eastAsia="Aptos" w:hAnsi="Aptos" w:cs="Aptos"/>
                              <w:noProof/>
                              <w:color w:val="FF0000"/>
                            </w:rPr>
                          </w:pPr>
                          <w:r w:rsidRPr="00D56F67">
                            <w:rPr>
                              <w:rFonts w:ascii="Aptos" w:eastAsia="Aptos" w:hAnsi="Aptos" w:cs="Aptos"/>
                              <w:noProof/>
                              <w:color w:val="FF0000"/>
                            </w:rPr>
                            <w:t>OFFICIAL</w:t>
                          </w:r>
                        </w:p>
                      </w:txbxContent>
                    </v:textbox>
                    <w10:wrap anchorx="page" anchory="page"/>
                  </v:shape>
                </w:pict>
              </mc:Fallback>
            </mc:AlternateContent>
          </w:r>
        </w:p>
      </w:tc>
      <w:tc>
        <w:tcPr>
          <w:tcW w:w="333" w:type="pct"/>
          <w:vMerge w:val="restart"/>
          <w:noWrap/>
          <w:vAlign w:val="center"/>
          <w:hideMark/>
        </w:tcPr>
        <w:p w14:paraId="2BB03196" w14:textId="77777777" w:rsidR="009C26AA" w:rsidRPr="00A06225" w:rsidRDefault="009C26AA"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14:paraId="216B236E" w14:textId="77777777" w:rsidR="009C26AA" w:rsidRPr="00C079BC" w:rsidRDefault="009C26AA">
          <w:pPr>
            <w:pStyle w:val="Header"/>
            <w:spacing w:line="276" w:lineRule="auto"/>
            <w:rPr>
              <w:rFonts w:ascii="Cambria" w:eastAsia="MS Gothic" w:hAnsi="Cambria"/>
              <w:bCs/>
              <w:i w:val="0"/>
              <w:color w:val="FF0000"/>
            </w:rPr>
          </w:pPr>
        </w:p>
      </w:tc>
    </w:tr>
    <w:tr w:rsidR="009C26AA" w:rsidRPr="008E0D90" w14:paraId="21F98E14" w14:textId="77777777" w:rsidTr="00A06225">
      <w:trPr>
        <w:trHeight w:val="150"/>
      </w:trPr>
      <w:tc>
        <w:tcPr>
          <w:tcW w:w="2389" w:type="pct"/>
          <w:tcBorders>
            <w:top w:val="single" w:sz="4" w:space="0" w:color="4F81BD"/>
            <w:left w:val="nil"/>
            <w:bottom w:val="nil"/>
            <w:right w:val="nil"/>
          </w:tcBorders>
        </w:tcPr>
        <w:p w14:paraId="41AC0E8D" w14:textId="77777777" w:rsidR="009C26AA" w:rsidRPr="00C079BC" w:rsidRDefault="009C26AA">
          <w:pPr>
            <w:pStyle w:val="Header"/>
            <w:spacing w:line="276" w:lineRule="auto"/>
            <w:rPr>
              <w:rFonts w:ascii="Cambria" w:eastAsia="MS Gothic" w:hAnsi="Cambria"/>
              <w:bCs/>
              <w:i w:val="0"/>
              <w:color w:val="FF0000"/>
            </w:rPr>
          </w:pPr>
        </w:p>
      </w:tc>
      <w:tc>
        <w:tcPr>
          <w:tcW w:w="0" w:type="auto"/>
          <w:vMerge/>
          <w:vAlign w:val="center"/>
          <w:hideMark/>
        </w:tcPr>
        <w:p w14:paraId="00B70FF1" w14:textId="77777777" w:rsidR="009C26AA" w:rsidRPr="00A06225" w:rsidRDefault="009C26AA">
          <w:pPr>
            <w:rPr>
              <w:rFonts w:ascii="Cambria" w:hAnsi="Cambria"/>
              <w:color w:val="4F81BD"/>
              <w:sz w:val="22"/>
              <w:szCs w:val="22"/>
            </w:rPr>
          </w:pPr>
        </w:p>
      </w:tc>
      <w:tc>
        <w:tcPr>
          <w:tcW w:w="2278" w:type="pct"/>
          <w:tcBorders>
            <w:top w:val="single" w:sz="4" w:space="0" w:color="4F81BD"/>
            <w:left w:val="nil"/>
            <w:bottom w:val="nil"/>
            <w:right w:val="nil"/>
          </w:tcBorders>
        </w:tcPr>
        <w:p w14:paraId="09EB466E" w14:textId="77777777" w:rsidR="009C26AA" w:rsidRPr="00C079BC" w:rsidRDefault="009C26AA">
          <w:pPr>
            <w:pStyle w:val="Header"/>
            <w:spacing w:line="276" w:lineRule="auto"/>
            <w:rPr>
              <w:rFonts w:ascii="Cambria" w:eastAsia="MS Gothic" w:hAnsi="Cambria"/>
              <w:bCs/>
              <w:i w:val="0"/>
              <w:color w:val="FF0000"/>
            </w:rPr>
          </w:pPr>
        </w:p>
      </w:tc>
    </w:tr>
  </w:tbl>
  <w:p w14:paraId="7DCC695F" w14:textId="77777777" w:rsidR="009C26AA" w:rsidRPr="00C079BC" w:rsidRDefault="009C26AA">
    <w:pPr>
      <w:pStyle w:val="Header"/>
      <w:rPr>
        <w:i w:val="0"/>
        <w:color w:val="FF0000"/>
      </w:rPr>
    </w:pPr>
  </w:p>
  <w:p w14:paraId="25F34A60" w14:textId="77777777" w:rsidR="009C26AA" w:rsidRDefault="009C26A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24B42" w14:textId="7B139576" w:rsidR="00C56D78" w:rsidRPr="00EB1CAD" w:rsidRDefault="00D56F67" w:rsidP="00BF4668">
    <w:pPr>
      <w:keepNext/>
      <w:tabs>
        <w:tab w:val="center" w:pos="4513"/>
        <w:tab w:val="right" w:pos="9026"/>
      </w:tabs>
      <w:jc w:val="center"/>
      <w:rPr>
        <w:rFonts w:asciiTheme="minorHAnsi" w:hAnsiTheme="minorHAnsi" w:cstheme="minorHAnsi"/>
        <w:i/>
        <w:iCs/>
      </w:rPr>
    </w:pPr>
    <w:r>
      <w:rPr>
        <w:rFonts w:asciiTheme="minorHAnsi" w:hAnsiTheme="minorHAnsi" w:cstheme="minorHAnsi"/>
        <w:i/>
        <w:iCs/>
        <w:noProof/>
      </w:rPr>
      <mc:AlternateContent>
        <mc:Choice Requires="wps">
          <w:drawing>
            <wp:anchor distT="0" distB="0" distL="0" distR="0" simplePos="0" relativeHeight="251658242" behindDoc="0" locked="0" layoutInCell="1" allowOverlap="1" wp14:anchorId="406238EE" wp14:editId="09659BC9">
              <wp:simplePos x="635" y="635"/>
              <wp:positionH relativeFrom="page">
                <wp:align>center</wp:align>
              </wp:positionH>
              <wp:positionV relativeFrom="page">
                <wp:align>top</wp:align>
              </wp:positionV>
              <wp:extent cx="622300" cy="376555"/>
              <wp:effectExtent l="0" t="0" r="6350" b="4445"/>
              <wp:wrapNone/>
              <wp:docPr id="1924509679"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087E3F5F" w14:textId="6E51D755" w:rsidR="00D56F67" w:rsidRPr="00D56F67" w:rsidRDefault="00D56F67" w:rsidP="00D56F67">
                          <w:pPr>
                            <w:rPr>
                              <w:rFonts w:ascii="Aptos" w:eastAsia="Aptos" w:hAnsi="Aptos" w:cs="Aptos"/>
                              <w:noProof/>
                              <w:color w:val="FF0000"/>
                            </w:rPr>
                          </w:pPr>
                          <w:r w:rsidRPr="00D56F67">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06238EE" id="_x0000_t202" coordsize="21600,21600" o:spt="202" path="m,l,21600r21600,l21600,xe">
              <v:stroke joinstyle="miter"/>
              <v:path gradientshapeok="t" o:connecttype="rect"/>
            </v:shapetype>
            <v:shape id="Text Box 3" o:spid="_x0000_s1027" type="#_x0000_t202" alt="OFFICIAL" style="position:absolute;left:0;text-align:left;margin-left:0;margin-top:0;width:49pt;height:29.6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" filled="f" stroked="f">
              <v:textbox style="mso-fit-shape-to-text:t" inset="0,15pt,0,0">
                <w:txbxContent>
                  <w:p w14:paraId="087E3F5F" w14:textId="6E51D755" w:rsidR="00D56F67" w:rsidRPr="00D56F67" w:rsidRDefault="00D56F67" w:rsidP="00D56F67">
                    <w:pPr>
                      <w:rPr>
                        <w:rFonts w:ascii="Aptos" w:eastAsia="Aptos" w:hAnsi="Aptos" w:cs="Aptos"/>
                        <w:noProof/>
                        <w:color w:val="FF0000"/>
                      </w:rPr>
                    </w:pPr>
                    <w:r w:rsidRPr="00D56F67">
                      <w:rPr>
                        <w:rFonts w:ascii="Aptos" w:eastAsia="Aptos" w:hAnsi="Aptos" w:cs="Aptos"/>
                        <w:noProof/>
                        <w:color w:val="FF0000"/>
                      </w:rPr>
                      <w:t>OFFICIAL</w:t>
                    </w:r>
                  </w:p>
                </w:txbxContent>
              </v:textbox>
              <w10:wrap anchorx="page" anchory="page"/>
            </v:shape>
          </w:pict>
        </mc:Fallback>
      </mc:AlternateContent>
    </w:r>
    <w:r w:rsidR="008B6ECE">
      <w:rPr>
        <w:rFonts w:asciiTheme="minorHAnsi" w:hAnsiTheme="minorHAnsi" w:cstheme="minorHAnsi"/>
        <w:i/>
        <w:iCs/>
      </w:rPr>
      <w:t>Public Summary Document</w:t>
    </w:r>
    <w:r w:rsidR="00CC2224" w:rsidRPr="00EB1CAD">
      <w:rPr>
        <w:rFonts w:asciiTheme="minorHAnsi" w:hAnsiTheme="minorHAnsi" w:cstheme="minorHAnsi"/>
        <w:i/>
        <w:iCs/>
      </w:rPr>
      <w:t xml:space="preserve"> – </w:t>
    </w:r>
    <w:r w:rsidR="00FC324D" w:rsidRPr="00EB1CAD">
      <w:rPr>
        <w:rFonts w:asciiTheme="minorHAnsi" w:hAnsiTheme="minorHAnsi" w:cstheme="minorHAnsi"/>
        <w:i/>
        <w:iCs/>
      </w:rPr>
      <w:t>March 2026</w:t>
    </w:r>
    <w:r w:rsidR="00C56D78" w:rsidRPr="00EB1CAD">
      <w:rPr>
        <w:rFonts w:asciiTheme="minorHAnsi" w:hAnsiTheme="minorHAnsi" w:cstheme="minorHAnsi"/>
        <w:i/>
        <w:iCs/>
      </w:rPr>
      <w:t xml:space="preserve"> PBAC Meeting</w:t>
    </w:r>
  </w:p>
  <w:p w14:paraId="49FC1F8C" w14:textId="77777777" w:rsidR="00C56D78" w:rsidRPr="00C079BC" w:rsidRDefault="00C56D78" w:rsidP="00A128E6">
    <w:pPr>
      <w:pStyle w:val="NoSpacing"/>
      <w:rPr>
        <w:i/>
        <w:iC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DFD5E" w14:textId="1F40EF48" w:rsidR="002C6941" w:rsidRPr="00C079BC" w:rsidRDefault="00D56F67">
    <w:pPr>
      <w:pStyle w:val="Header"/>
      <w:rPr>
        <w:i w:val="0"/>
        <w:color w:val="FF0000"/>
      </w:rPr>
    </w:pPr>
    <w:r>
      <w:rPr>
        <w:i w:val="0"/>
        <w:noProof/>
        <w:color w:val="FF0000"/>
      </w:rPr>
      <mc:AlternateContent>
        <mc:Choice Requires="wps">
          <w:drawing>
            <wp:anchor distT="0" distB="0" distL="0" distR="0" simplePos="0" relativeHeight="251658240" behindDoc="0" locked="0" layoutInCell="1" allowOverlap="1" wp14:anchorId="19286E75" wp14:editId="2177B804">
              <wp:simplePos x="635" y="635"/>
              <wp:positionH relativeFrom="page">
                <wp:align>center</wp:align>
              </wp:positionH>
              <wp:positionV relativeFrom="page">
                <wp:align>top</wp:align>
              </wp:positionV>
              <wp:extent cx="622300" cy="376555"/>
              <wp:effectExtent l="0" t="0" r="6350" b="4445"/>
              <wp:wrapNone/>
              <wp:docPr id="194841449"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1E5A168E" w14:textId="01200F78" w:rsidR="00D56F67" w:rsidRPr="00D56F67" w:rsidRDefault="00D56F67" w:rsidP="00D56F67">
                          <w:pPr>
                            <w:rPr>
                              <w:rFonts w:ascii="Aptos" w:eastAsia="Aptos" w:hAnsi="Aptos" w:cs="Aptos"/>
                              <w:noProof/>
                              <w:color w:val="FF0000"/>
                            </w:rPr>
                          </w:pPr>
                          <w:r w:rsidRPr="00D56F67">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9286E75" id="_x0000_t202" coordsize="21600,21600" o:spt="202" path="m,l,21600r21600,l21600,xe">
              <v:stroke joinstyle="miter"/>
              <v:path gradientshapeok="t" o:connecttype="rect"/>
            </v:shapetype>
            <v:shape id="Text Box 1" o:spid="_x0000_s1030" type="#_x0000_t202" alt="OFFICIAL" style="position:absolute;left:0;text-align:left;margin-left:0;margin-top:0;width:49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" filled="f" stroked="f">
              <v:textbox style="mso-fit-shape-to-text:t" inset="0,15pt,0,0">
                <w:txbxContent>
                  <w:p w14:paraId="1E5A168E" w14:textId="01200F78" w:rsidR="00D56F67" w:rsidRPr="00D56F67" w:rsidRDefault="00D56F67" w:rsidP="00D56F67">
                    <w:pPr>
                      <w:rPr>
                        <w:rFonts w:ascii="Aptos" w:eastAsia="Aptos" w:hAnsi="Aptos" w:cs="Aptos"/>
                        <w:noProof/>
                        <w:color w:val="FF0000"/>
                      </w:rPr>
                    </w:pPr>
                    <w:r w:rsidRPr="00D56F67">
                      <w:rPr>
                        <w:rFonts w:ascii="Aptos" w:eastAsia="Aptos" w:hAnsi="Aptos" w:cs="Aptos"/>
                        <w:noProof/>
                        <w:color w:val="FF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6A2BAC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E61E85"/>
    <w:multiLevelType w:val="hybridMultilevel"/>
    <w:tmpl w:val="236A10FE"/>
    <w:lvl w:ilvl="0" w:tplc="FFFFFFFF">
      <w:start w:val="1"/>
      <w:numFmt w:val="decimal"/>
      <w:lvlText w:val="(%1)"/>
      <w:lvlJc w:val="left"/>
      <w:pPr>
        <w:ind w:left="1080" w:hanging="720"/>
      </w:pPr>
      <w:rPr>
        <w:rFonts w:ascii="Arial Narrow" w:eastAsia="Times New Roman" w:hAnsi="Arial Narrow" w:cs="Times New Roman"/>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 w15:restartNumberingAfterBreak="0">
    <w:nsid w:val="0D872C8C"/>
    <w:multiLevelType w:val="hybridMultilevel"/>
    <w:tmpl w:val="C91E18BE"/>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1DBD0C62"/>
    <w:multiLevelType w:val="hybridMultilevel"/>
    <w:tmpl w:val="236A10FE"/>
    <w:lvl w:ilvl="0" w:tplc="FFFFFFFF">
      <w:start w:val="1"/>
      <w:numFmt w:val="decimal"/>
      <w:lvlText w:val="(%1)"/>
      <w:lvlJc w:val="left"/>
      <w:pPr>
        <w:ind w:left="1080" w:hanging="720"/>
      </w:pPr>
      <w:rPr>
        <w:rFonts w:ascii="Arial Narrow" w:eastAsia="Times New Roman" w:hAnsi="Arial Narrow" w:cs="Times New Roman"/>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221824DA"/>
    <w:multiLevelType w:val="hybridMultilevel"/>
    <w:tmpl w:val="236A10FE"/>
    <w:lvl w:ilvl="0" w:tplc="FFFFFFFF">
      <w:start w:val="1"/>
      <w:numFmt w:val="decimal"/>
      <w:lvlText w:val="(%1)"/>
      <w:lvlJc w:val="left"/>
      <w:pPr>
        <w:ind w:left="1080" w:hanging="720"/>
      </w:pPr>
      <w:rPr>
        <w:rFonts w:ascii="Arial Narrow" w:eastAsia="Times New Roman" w:hAnsi="Arial Narrow" w:cs="Times New Roman"/>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15:restartNumberingAfterBreak="0">
    <w:nsid w:val="2B784E17"/>
    <w:multiLevelType w:val="hybridMultilevel"/>
    <w:tmpl w:val="B1188F8E"/>
    <w:lvl w:ilvl="0" w:tplc="E81AF5D4">
      <w:start w:val="1"/>
      <w:numFmt w:val="lowerLetter"/>
      <w:lvlText w:val="(%1)"/>
      <w:lvlJc w:val="left"/>
      <w:pPr>
        <w:ind w:left="720" w:hanging="360"/>
      </w:pPr>
      <w:rPr>
        <w:rFonts w:ascii="Arial Narrow" w:eastAsia="Calibri" w:hAnsi="Arial Narrow" w:cs="Times New Roman"/>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 w15:restartNumberingAfterBreak="0">
    <w:nsid w:val="30346AD7"/>
    <w:multiLevelType w:val="hybridMultilevel"/>
    <w:tmpl w:val="150CCA76"/>
    <w:lvl w:ilvl="0" w:tplc="A22E5F30">
      <w:start w:val="1"/>
      <w:numFmt w:val="bullet"/>
      <w:pStyle w:val="ListParagraph"/>
      <w:lvlText w:val=""/>
      <w:lvlJc w:val="left"/>
      <w:pPr>
        <w:ind w:left="121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7" w15:restartNumberingAfterBreak="0">
    <w:nsid w:val="3D9407FC"/>
    <w:multiLevelType w:val="hybridMultilevel"/>
    <w:tmpl w:val="A4167B32"/>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 w15:restartNumberingAfterBreak="0">
    <w:nsid w:val="3E9B0E61"/>
    <w:multiLevelType w:val="hybridMultilevel"/>
    <w:tmpl w:val="58CAAE7C"/>
    <w:lvl w:ilvl="0" w:tplc="023293D0">
      <w:start w:val="1"/>
      <w:numFmt w:val="decimal"/>
      <w:pStyle w:val="ProcedureStep"/>
      <w:lvlText w:val="%1)"/>
      <w:lvlJc w:val="left"/>
      <w:pPr>
        <w:tabs>
          <w:tab w:val="num" w:pos="1134"/>
        </w:tabs>
        <w:ind w:left="1134" w:hanging="567"/>
      </w:pPr>
      <w:rPr>
        <w:rFonts w:hint="default"/>
      </w:rPr>
    </w:lvl>
    <w:lvl w:ilvl="1" w:tplc="FEF0FA2E">
      <w:numFmt w:val="decimal"/>
      <w:lvlText w:val=""/>
      <w:lvlJc w:val="left"/>
    </w:lvl>
    <w:lvl w:ilvl="2" w:tplc="4D60BAB6">
      <w:numFmt w:val="decimal"/>
      <w:lvlText w:val=""/>
      <w:lvlJc w:val="left"/>
    </w:lvl>
    <w:lvl w:ilvl="3" w:tplc="79345ED4">
      <w:numFmt w:val="decimal"/>
      <w:lvlText w:val=""/>
      <w:lvlJc w:val="left"/>
    </w:lvl>
    <w:lvl w:ilvl="4" w:tplc="4F1E9D76">
      <w:numFmt w:val="decimal"/>
      <w:lvlText w:val=""/>
      <w:lvlJc w:val="left"/>
    </w:lvl>
    <w:lvl w:ilvl="5" w:tplc="1DE660BE">
      <w:numFmt w:val="decimal"/>
      <w:lvlText w:val=""/>
      <w:lvlJc w:val="left"/>
    </w:lvl>
    <w:lvl w:ilvl="6" w:tplc="F39AEA7A">
      <w:numFmt w:val="decimal"/>
      <w:lvlText w:val=""/>
      <w:lvlJc w:val="left"/>
    </w:lvl>
    <w:lvl w:ilvl="7" w:tplc="C952D1F8">
      <w:numFmt w:val="decimal"/>
      <w:lvlText w:val=""/>
      <w:lvlJc w:val="left"/>
    </w:lvl>
    <w:lvl w:ilvl="8" w:tplc="C93A6AF8">
      <w:numFmt w:val="decimal"/>
      <w:lvlText w:val=""/>
      <w:lvlJc w:val="left"/>
    </w:lvl>
  </w:abstractNum>
  <w:abstractNum w:abstractNumId="9" w15:restartNumberingAfterBreak="0">
    <w:nsid w:val="4CBE6778"/>
    <w:multiLevelType w:val="hybridMultilevel"/>
    <w:tmpl w:val="A4167B32"/>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0" w15:restartNumberingAfterBreak="0">
    <w:nsid w:val="5DAC5FFD"/>
    <w:multiLevelType w:val="hybridMultilevel"/>
    <w:tmpl w:val="36F4BAC2"/>
    <w:lvl w:ilvl="0" w:tplc="309414AC">
      <w:start w:val="1"/>
      <w:numFmt w:val="decimal"/>
      <w:pStyle w:val="Lists"/>
      <w:lvlText w:val="(%1)"/>
      <w:lvlJc w:val="left"/>
      <w:pPr>
        <w:ind w:left="1080" w:hanging="360"/>
      </w:pPr>
      <w:rPr>
        <w:rFonts w:hint="default"/>
      </w:rPr>
    </w:lvl>
    <w:lvl w:ilvl="1" w:tplc="0C090019">
      <w:start w:val="1"/>
      <w:numFmt w:val="lowerLetter"/>
      <w:pStyle w:val="Lists"/>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1" w15:restartNumberingAfterBreak="0">
    <w:nsid w:val="6AEB74DD"/>
    <w:multiLevelType w:val="hybridMultilevel"/>
    <w:tmpl w:val="B1188F8E"/>
    <w:lvl w:ilvl="0" w:tplc="FFFFFFFF">
      <w:start w:val="1"/>
      <w:numFmt w:val="lowerLetter"/>
      <w:lvlText w:val="(%1)"/>
      <w:lvlJc w:val="left"/>
      <w:pPr>
        <w:ind w:left="720" w:hanging="360"/>
      </w:pPr>
      <w:rPr>
        <w:rFonts w:ascii="Arial Narrow" w:eastAsia="Calibri" w:hAnsi="Arial Narrow" w:cs="Times New Roman"/>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2" w15:restartNumberingAfterBreak="0">
    <w:nsid w:val="72E45E57"/>
    <w:multiLevelType w:val="hybridMultilevel"/>
    <w:tmpl w:val="DBF6EAAA"/>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15:restartNumberingAfterBreak="0">
    <w:nsid w:val="784D033C"/>
    <w:multiLevelType w:val="multilevel"/>
    <w:tmpl w:val="18D26F92"/>
    <w:lvl w:ilvl="0">
      <w:start w:val="1"/>
      <w:numFmt w:val="decimal"/>
      <w:pStyle w:val="2-SectionHeading"/>
      <w:lvlText w:val="%1"/>
      <w:lvlJc w:val="left"/>
      <w:pPr>
        <w:ind w:left="720" w:hanging="720"/>
      </w:pPr>
      <w:rPr>
        <w:rFonts w:hint="default"/>
        <w:b/>
        <w:color w:val="auto"/>
      </w:rPr>
    </w:lvl>
    <w:lvl w:ilvl="1">
      <w:start w:val="1"/>
      <w:numFmt w:val="decimal"/>
      <w:pStyle w:val="3-BodyText"/>
      <w:lvlText w:val="%1.%2"/>
      <w:lvlJc w:val="left"/>
      <w:pPr>
        <w:ind w:left="720" w:hanging="720"/>
      </w:pPr>
      <w:rPr>
        <w:rFonts w:hint="default"/>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E320C2B"/>
    <w:multiLevelType w:val="hybridMultilevel"/>
    <w:tmpl w:val="A4167B32"/>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957570559">
    <w:abstractNumId w:val="13"/>
  </w:num>
  <w:num w:numId="2" w16cid:durableId="1159004663">
    <w:abstractNumId w:val="10"/>
  </w:num>
  <w:num w:numId="3" w16cid:durableId="495537779">
    <w:abstractNumId w:val="8"/>
  </w:num>
  <w:num w:numId="4" w16cid:durableId="1468400811">
    <w:abstractNumId w:val="0"/>
  </w:num>
  <w:num w:numId="5" w16cid:durableId="1103570019">
    <w:abstractNumId w:val="6"/>
  </w:num>
  <w:num w:numId="6" w16cid:durableId="2041346921">
    <w:abstractNumId w:val="13"/>
  </w:num>
  <w:num w:numId="7" w16cid:durableId="1315063118">
    <w:abstractNumId w:val="12"/>
  </w:num>
  <w:num w:numId="8" w16cid:durableId="150215977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1414268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0375190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8006219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9883180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457080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5442800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542966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33833822">
    <w:abstractNumId w:val="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02BB"/>
    <w:rsid w:val="0000080A"/>
    <w:rsid w:val="0000092E"/>
    <w:rsid w:val="0000096D"/>
    <w:rsid w:val="00001663"/>
    <w:rsid w:val="00001A46"/>
    <w:rsid w:val="000025AD"/>
    <w:rsid w:val="0000335D"/>
    <w:rsid w:val="00003B1A"/>
    <w:rsid w:val="00003EC5"/>
    <w:rsid w:val="00004825"/>
    <w:rsid w:val="00005F92"/>
    <w:rsid w:val="00006782"/>
    <w:rsid w:val="00007EC3"/>
    <w:rsid w:val="0001179A"/>
    <w:rsid w:val="00011A59"/>
    <w:rsid w:val="00011C23"/>
    <w:rsid w:val="00012506"/>
    <w:rsid w:val="00012E8F"/>
    <w:rsid w:val="000130D0"/>
    <w:rsid w:val="00014D69"/>
    <w:rsid w:val="00015C46"/>
    <w:rsid w:val="00016A41"/>
    <w:rsid w:val="000171B8"/>
    <w:rsid w:val="0001730F"/>
    <w:rsid w:val="00017C09"/>
    <w:rsid w:val="000214D1"/>
    <w:rsid w:val="00021E41"/>
    <w:rsid w:val="00021F20"/>
    <w:rsid w:val="0002368F"/>
    <w:rsid w:val="00023CB3"/>
    <w:rsid w:val="000240A7"/>
    <w:rsid w:val="0002464A"/>
    <w:rsid w:val="00025749"/>
    <w:rsid w:val="00025A04"/>
    <w:rsid w:val="00025A62"/>
    <w:rsid w:val="00026431"/>
    <w:rsid w:val="0002693D"/>
    <w:rsid w:val="00026D2C"/>
    <w:rsid w:val="00027A58"/>
    <w:rsid w:val="000304C2"/>
    <w:rsid w:val="0003050E"/>
    <w:rsid w:val="0003106B"/>
    <w:rsid w:val="000322E8"/>
    <w:rsid w:val="00033519"/>
    <w:rsid w:val="000335B9"/>
    <w:rsid w:val="00034905"/>
    <w:rsid w:val="00034EE1"/>
    <w:rsid w:val="000356C5"/>
    <w:rsid w:val="00037906"/>
    <w:rsid w:val="00037DFF"/>
    <w:rsid w:val="0004080D"/>
    <w:rsid w:val="00040988"/>
    <w:rsid w:val="00040A30"/>
    <w:rsid w:val="000413DD"/>
    <w:rsid w:val="000414C9"/>
    <w:rsid w:val="000421A1"/>
    <w:rsid w:val="000422E1"/>
    <w:rsid w:val="0004240E"/>
    <w:rsid w:val="000424F0"/>
    <w:rsid w:val="000425A2"/>
    <w:rsid w:val="0004260E"/>
    <w:rsid w:val="00042E02"/>
    <w:rsid w:val="000430CC"/>
    <w:rsid w:val="00044E52"/>
    <w:rsid w:val="00044EC4"/>
    <w:rsid w:val="00045E26"/>
    <w:rsid w:val="00046903"/>
    <w:rsid w:val="00047247"/>
    <w:rsid w:val="000504FA"/>
    <w:rsid w:val="000514B5"/>
    <w:rsid w:val="0005181A"/>
    <w:rsid w:val="000521ED"/>
    <w:rsid w:val="0005322E"/>
    <w:rsid w:val="00053E27"/>
    <w:rsid w:val="000546CF"/>
    <w:rsid w:val="00054E2B"/>
    <w:rsid w:val="00055527"/>
    <w:rsid w:val="00055A8E"/>
    <w:rsid w:val="00055E56"/>
    <w:rsid w:val="0005673C"/>
    <w:rsid w:val="0005683D"/>
    <w:rsid w:val="00060DC1"/>
    <w:rsid w:val="00060E64"/>
    <w:rsid w:val="0006144B"/>
    <w:rsid w:val="00061721"/>
    <w:rsid w:val="000621AB"/>
    <w:rsid w:val="00062C03"/>
    <w:rsid w:val="00062E88"/>
    <w:rsid w:val="00064854"/>
    <w:rsid w:val="00066193"/>
    <w:rsid w:val="00066755"/>
    <w:rsid w:val="00071060"/>
    <w:rsid w:val="00071724"/>
    <w:rsid w:val="000719E7"/>
    <w:rsid w:val="00071A5B"/>
    <w:rsid w:val="00071D96"/>
    <w:rsid w:val="00072730"/>
    <w:rsid w:val="0007337F"/>
    <w:rsid w:val="00073791"/>
    <w:rsid w:val="00073917"/>
    <w:rsid w:val="00074320"/>
    <w:rsid w:val="000758A1"/>
    <w:rsid w:val="0007615D"/>
    <w:rsid w:val="000763D5"/>
    <w:rsid w:val="00076C38"/>
    <w:rsid w:val="00076C65"/>
    <w:rsid w:val="00076C8C"/>
    <w:rsid w:val="00076F7E"/>
    <w:rsid w:val="00077143"/>
    <w:rsid w:val="00077538"/>
    <w:rsid w:val="00077688"/>
    <w:rsid w:val="00077DF7"/>
    <w:rsid w:val="0008050C"/>
    <w:rsid w:val="00081D7E"/>
    <w:rsid w:val="00081DB0"/>
    <w:rsid w:val="00082169"/>
    <w:rsid w:val="00082516"/>
    <w:rsid w:val="0008301D"/>
    <w:rsid w:val="000834BE"/>
    <w:rsid w:val="00083F01"/>
    <w:rsid w:val="00086408"/>
    <w:rsid w:val="000865EF"/>
    <w:rsid w:val="00087C4C"/>
    <w:rsid w:val="00087E15"/>
    <w:rsid w:val="000918CB"/>
    <w:rsid w:val="00091A72"/>
    <w:rsid w:val="00091B06"/>
    <w:rsid w:val="000926A1"/>
    <w:rsid w:val="000946C9"/>
    <w:rsid w:val="000951C4"/>
    <w:rsid w:val="00095ADA"/>
    <w:rsid w:val="00095F3A"/>
    <w:rsid w:val="00096361"/>
    <w:rsid w:val="000969AD"/>
    <w:rsid w:val="000975FB"/>
    <w:rsid w:val="000A0024"/>
    <w:rsid w:val="000A02F8"/>
    <w:rsid w:val="000A1A6A"/>
    <w:rsid w:val="000A32B4"/>
    <w:rsid w:val="000A3AA2"/>
    <w:rsid w:val="000A42EF"/>
    <w:rsid w:val="000A44B2"/>
    <w:rsid w:val="000A4600"/>
    <w:rsid w:val="000A52F6"/>
    <w:rsid w:val="000A58B8"/>
    <w:rsid w:val="000A5C86"/>
    <w:rsid w:val="000A69DC"/>
    <w:rsid w:val="000A78B8"/>
    <w:rsid w:val="000A7F37"/>
    <w:rsid w:val="000B44C3"/>
    <w:rsid w:val="000B44E8"/>
    <w:rsid w:val="000B45F7"/>
    <w:rsid w:val="000B4F78"/>
    <w:rsid w:val="000B5387"/>
    <w:rsid w:val="000B558D"/>
    <w:rsid w:val="000B5A89"/>
    <w:rsid w:val="000B65F6"/>
    <w:rsid w:val="000B7767"/>
    <w:rsid w:val="000B780C"/>
    <w:rsid w:val="000C1AFF"/>
    <w:rsid w:val="000C2348"/>
    <w:rsid w:val="000C34DF"/>
    <w:rsid w:val="000C4E9F"/>
    <w:rsid w:val="000C5726"/>
    <w:rsid w:val="000C5740"/>
    <w:rsid w:val="000C577A"/>
    <w:rsid w:val="000C5F95"/>
    <w:rsid w:val="000C6344"/>
    <w:rsid w:val="000C6965"/>
    <w:rsid w:val="000C6996"/>
    <w:rsid w:val="000C7B50"/>
    <w:rsid w:val="000C7C46"/>
    <w:rsid w:val="000D09E9"/>
    <w:rsid w:val="000D0D42"/>
    <w:rsid w:val="000D113F"/>
    <w:rsid w:val="000D14E1"/>
    <w:rsid w:val="000D23BA"/>
    <w:rsid w:val="000D2E38"/>
    <w:rsid w:val="000D2F2A"/>
    <w:rsid w:val="000D4F18"/>
    <w:rsid w:val="000D5404"/>
    <w:rsid w:val="000D66F2"/>
    <w:rsid w:val="000D67C8"/>
    <w:rsid w:val="000D6E50"/>
    <w:rsid w:val="000D7561"/>
    <w:rsid w:val="000E19B7"/>
    <w:rsid w:val="000E1F4C"/>
    <w:rsid w:val="000E20FC"/>
    <w:rsid w:val="000E2E1A"/>
    <w:rsid w:val="000E3168"/>
    <w:rsid w:val="000E3593"/>
    <w:rsid w:val="000E3AEA"/>
    <w:rsid w:val="000E3C1D"/>
    <w:rsid w:val="000E3DFB"/>
    <w:rsid w:val="000E3F0F"/>
    <w:rsid w:val="000E468A"/>
    <w:rsid w:val="000E4BC5"/>
    <w:rsid w:val="000E5963"/>
    <w:rsid w:val="000E5EA1"/>
    <w:rsid w:val="000E681E"/>
    <w:rsid w:val="000E696B"/>
    <w:rsid w:val="000E7B2A"/>
    <w:rsid w:val="000E7CF6"/>
    <w:rsid w:val="000E7D0A"/>
    <w:rsid w:val="000E7D64"/>
    <w:rsid w:val="000E7E52"/>
    <w:rsid w:val="000E7E90"/>
    <w:rsid w:val="000EE1C7"/>
    <w:rsid w:val="000F0003"/>
    <w:rsid w:val="000F0136"/>
    <w:rsid w:val="000F22C5"/>
    <w:rsid w:val="000F3384"/>
    <w:rsid w:val="000F3438"/>
    <w:rsid w:val="000F44E6"/>
    <w:rsid w:val="000F4E6A"/>
    <w:rsid w:val="000F6455"/>
    <w:rsid w:val="000F676C"/>
    <w:rsid w:val="000F6ABB"/>
    <w:rsid w:val="000F6BBC"/>
    <w:rsid w:val="000F7354"/>
    <w:rsid w:val="000F7689"/>
    <w:rsid w:val="000F7C27"/>
    <w:rsid w:val="00100DE1"/>
    <w:rsid w:val="00101ABE"/>
    <w:rsid w:val="00101FF7"/>
    <w:rsid w:val="00102125"/>
    <w:rsid w:val="00102202"/>
    <w:rsid w:val="00102700"/>
    <w:rsid w:val="00102A78"/>
    <w:rsid w:val="00102EAE"/>
    <w:rsid w:val="00103118"/>
    <w:rsid w:val="001036C5"/>
    <w:rsid w:val="00103D0B"/>
    <w:rsid w:val="00103F1B"/>
    <w:rsid w:val="00104227"/>
    <w:rsid w:val="00104973"/>
    <w:rsid w:val="00104DDC"/>
    <w:rsid w:val="001053D5"/>
    <w:rsid w:val="0010573C"/>
    <w:rsid w:val="00107409"/>
    <w:rsid w:val="001107BF"/>
    <w:rsid w:val="001116B0"/>
    <w:rsid w:val="00111F92"/>
    <w:rsid w:val="001123D8"/>
    <w:rsid w:val="001128F4"/>
    <w:rsid w:val="00113649"/>
    <w:rsid w:val="00113AB8"/>
    <w:rsid w:val="00113D5C"/>
    <w:rsid w:val="001152B8"/>
    <w:rsid w:val="00116B03"/>
    <w:rsid w:val="00120AA6"/>
    <w:rsid w:val="00121AC7"/>
    <w:rsid w:val="001239DB"/>
    <w:rsid w:val="0012417C"/>
    <w:rsid w:val="00124BF2"/>
    <w:rsid w:val="00125837"/>
    <w:rsid w:val="0012597F"/>
    <w:rsid w:val="001263B5"/>
    <w:rsid w:val="00126B19"/>
    <w:rsid w:val="00126D3A"/>
    <w:rsid w:val="0012749D"/>
    <w:rsid w:val="00127A23"/>
    <w:rsid w:val="001306A5"/>
    <w:rsid w:val="00130918"/>
    <w:rsid w:val="00130B22"/>
    <w:rsid w:val="001311AE"/>
    <w:rsid w:val="00132156"/>
    <w:rsid w:val="00132AB9"/>
    <w:rsid w:val="001332C8"/>
    <w:rsid w:val="001340B0"/>
    <w:rsid w:val="00134994"/>
    <w:rsid w:val="001355B7"/>
    <w:rsid w:val="0013572A"/>
    <w:rsid w:val="001366C2"/>
    <w:rsid w:val="00136C17"/>
    <w:rsid w:val="00136D01"/>
    <w:rsid w:val="00140B74"/>
    <w:rsid w:val="00140CFC"/>
    <w:rsid w:val="00140D94"/>
    <w:rsid w:val="00140F63"/>
    <w:rsid w:val="00141B69"/>
    <w:rsid w:val="00142395"/>
    <w:rsid w:val="0014248F"/>
    <w:rsid w:val="001424B8"/>
    <w:rsid w:val="0014250D"/>
    <w:rsid w:val="00142540"/>
    <w:rsid w:val="001426B3"/>
    <w:rsid w:val="00142714"/>
    <w:rsid w:val="00142826"/>
    <w:rsid w:val="00143FCD"/>
    <w:rsid w:val="00144D09"/>
    <w:rsid w:val="00144E06"/>
    <w:rsid w:val="001452ED"/>
    <w:rsid w:val="00147D84"/>
    <w:rsid w:val="00147F26"/>
    <w:rsid w:val="00147F3E"/>
    <w:rsid w:val="001516FD"/>
    <w:rsid w:val="001518D0"/>
    <w:rsid w:val="00151CBD"/>
    <w:rsid w:val="00152732"/>
    <w:rsid w:val="0015299A"/>
    <w:rsid w:val="00153009"/>
    <w:rsid w:val="001532C4"/>
    <w:rsid w:val="001533C3"/>
    <w:rsid w:val="001535BE"/>
    <w:rsid w:val="0015400F"/>
    <w:rsid w:val="00154030"/>
    <w:rsid w:val="001548A6"/>
    <w:rsid w:val="001549C1"/>
    <w:rsid w:val="00155086"/>
    <w:rsid w:val="00156C8D"/>
    <w:rsid w:val="00160074"/>
    <w:rsid w:val="00160732"/>
    <w:rsid w:val="00160F4D"/>
    <w:rsid w:val="00161E4C"/>
    <w:rsid w:val="001620F5"/>
    <w:rsid w:val="00162287"/>
    <w:rsid w:val="00162BDD"/>
    <w:rsid w:val="00162D4E"/>
    <w:rsid w:val="001632CC"/>
    <w:rsid w:val="00163329"/>
    <w:rsid w:val="00164623"/>
    <w:rsid w:val="00164AAE"/>
    <w:rsid w:val="001652DE"/>
    <w:rsid w:val="001653EC"/>
    <w:rsid w:val="00165B64"/>
    <w:rsid w:val="00165D8F"/>
    <w:rsid w:val="0016617B"/>
    <w:rsid w:val="001661F3"/>
    <w:rsid w:val="001666BE"/>
    <w:rsid w:val="00167C39"/>
    <w:rsid w:val="0017024D"/>
    <w:rsid w:val="00170C4D"/>
    <w:rsid w:val="00173473"/>
    <w:rsid w:val="001738A7"/>
    <w:rsid w:val="00173E84"/>
    <w:rsid w:val="001747CD"/>
    <w:rsid w:val="00174EB8"/>
    <w:rsid w:val="001756CB"/>
    <w:rsid w:val="00175787"/>
    <w:rsid w:val="00175CA2"/>
    <w:rsid w:val="00176770"/>
    <w:rsid w:val="00176B9D"/>
    <w:rsid w:val="00180713"/>
    <w:rsid w:val="00180720"/>
    <w:rsid w:val="0018153B"/>
    <w:rsid w:val="00182FF9"/>
    <w:rsid w:val="001830CE"/>
    <w:rsid w:val="001836E3"/>
    <w:rsid w:val="00183A00"/>
    <w:rsid w:val="00184659"/>
    <w:rsid w:val="00184E60"/>
    <w:rsid w:val="001860E5"/>
    <w:rsid w:val="0018643B"/>
    <w:rsid w:val="00187B9A"/>
    <w:rsid w:val="001907C2"/>
    <w:rsid w:val="0019112B"/>
    <w:rsid w:val="001913F6"/>
    <w:rsid w:val="00191DE9"/>
    <w:rsid w:val="00193E3B"/>
    <w:rsid w:val="00195007"/>
    <w:rsid w:val="00195C48"/>
    <w:rsid w:val="00196307"/>
    <w:rsid w:val="00197A80"/>
    <w:rsid w:val="00197C70"/>
    <w:rsid w:val="00197F03"/>
    <w:rsid w:val="001A06F7"/>
    <w:rsid w:val="001A07A5"/>
    <w:rsid w:val="001A0D10"/>
    <w:rsid w:val="001A10F6"/>
    <w:rsid w:val="001A12E3"/>
    <w:rsid w:val="001A14A7"/>
    <w:rsid w:val="001A1BA2"/>
    <w:rsid w:val="001A33EA"/>
    <w:rsid w:val="001A3615"/>
    <w:rsid w:val="001A3C1D"/>
    <w:rsid w:val="001A4413"/>
    <w:rsid w:val="001A4820"/>
    <w:rsid w:val="001A4C4F"/>
    <w:rsid w:val="001A5354"/>
    <w:rsid w:val="001A5A2B"/>
    <w:rsid w:val="001A5EC7"/>
    <w:rsid w:val="001A6074"/>
    <w:rsid w:val="001A76FB"/>
    <w:rsid w:val="001A78C7"/>
    <w:rsid w:val="001A7F2A"/>
    <w:rsid w:val="001B017F"/>
    <w:rsid w:val="001B062C"/>
    <w:rsid w:val="001B0B79"/>
    <w:rsid w:val="001B13F9"/>
    <w:rsid w:val="001B19EA"/>
    <w:rsid w:val="001B2BBC"/>
    <w:rsid w:val="001B2BCD"/>
    <w:rsid w:val="001B3A40"/>
    <w:rsid w:val="001B3CDD"/>
    <w:rsid w:val="001B3FFE"/>
    <w:rsid w:val="001B5129"/>
    <w:rsid w:val="001B5AF2"/>
    <w:rsid w:val="001B6324"/>
    <w:rsid w:val="001B6EB5"/>
    <w:rsid w:val="001B6F18"/>
    <w:rsid w:val="001C0623"/>
    <w:rsid w:val="001C0B4C"/>
    <w:rsid w:val="001C0EC4"/>
    <w:rsid w:val="001C1195"/>
    <w:rsid w:val="001C12AE"/>
    <w:rsid w:val="001C1E84"/>
    <w:rsid w:val="001C20E1"/>
    <w:rsid w:val="001C2A0F"/>
    <w:rsid w:val="001C2AE5"/>
    <w:rsid w:val="001C2E42"/>
    <w:rsid w:val="001C2FD9"/>
    <w:rsid w:val="001C357C"/>
    <w:rsid w:val="001C4C16"/>
    <w:rsid w:val="001C59B2"/>
    <w:rsid w:val="001C63D4"/>
    <w:rsid w:val="001C6EF6"/>
    <w:rsid w:val="001C79FC"/>
    <w:rsid w:val="001D0721"/>
    <w:rsid w:val="001D1D70"/>
    <w:rsid w:val="001D1F5F"/>
    <w:rsid w:val="001D2048"/>
    <w:rsid w:val="001D4012"/>
    <w:rsid w:val="001D5483"/>
    <w:rsid w:val="001D595B"/>
    <w:rsid w:val="001D5C2C"/>
    <w:rsid w:val="001E06D2"/>
    <w:rsid w:val="001E0A45"/>
    <w:rsid w:val="001E0B80"/>
    <w:rsid w:val="001E0F84"/>
    <w:rsid w:val="001E17C4"/>
    <w:rsid w:val="001E2A47"/>
    <w:rsid w:val="001E2D65"/>
    <w:rsid w:val="001E318D"/>
    <w:rsid w:val="001E36E1"/>
    <w:rsid w:val="001E37E0"/>
    <w:rsid w:val="001E456D"/>
    <w:rsid w:val="001E493D"/>
    <w:rsid w:val="001E4B90"/>
    <w:rsid w:val="001E56F2"/>
    <w:rsid w:val="001E6567"/>
    <w:rsid w:val="001E6BC0"/>
    <w:rsid w:val="001F005B"/>
    <w:rsid w:val="001F0266"/>
    <w:rsid w:val="001F1850"/>
    <w:rsid w:val="001F1FBF"/>
    <w:rsid w:val="001F2311"/>
    <w:rsid w:val="001F2B80"/>
    <w:rsid w:val="001F2F1C"/>
    <w:rsid w:val="001F3189"/>
    <w:rsid w:val="001F3CEE"/>
    <w:rsid w:val="001F4941"/>
    <w:rsid w:val="00200BEA"/>
    <w:rsid w:val="00201FB8"/>
    <w:rsid w:val="00203FAC"/>
    <w:rsid w:val="0021189C"/>
    <w:rsid w:val="00212127"/>
    <w:rsid w:val="002133FB"/>
    <w:rsid w:val="002139CB"/>
    <w:rsid w:val="00213CFB"/>
    <w:rsid w:val="0021549C"/>
    <w:rsid w:val="0021553C"/>
    <w:rsid w:val="0021557B"/>
    <w:rsid w:val="00216B87"/>
    <w:rsid w:val="002174FD"/>
    <w:rsid w:val="00217BE1"/>
    <w:rsid w:val="00220643"/>
    <w:rsid w:val="002206D5"/>
    <w:rsid w:val="00221361"/>
    <w:rsid w:val="002214B9"/>
    <w:rsid w:val="00222680"/>
    <w:rsid w:val="00223370"/>
    <w:rsid w:val="00224D1E"/>
    <w:rsid w:val="00226203"/>
    <w:rsid w:val="00226611"/>
    <w:rsid w:val="00227026"/>
    <w:rsid w:val="002278BC"/>
    <w:rsid w:val="00227BC5"/>
    <w:rsid w:val="00230A91"/>
    <w:rsid w:val="00230F63"/>
    <w:rsid w:val="002311C0"/>
    <w:rsid w:val="00232380"/>
    <w:rsid w:val="0023394C"/>
    <w:rsid w:val="002341AC"/>
    <w:rsid w:val="002341B0"/>
    <w:rsid w:val="00234252"/>
    <w:rsid w:val="0023466E"/>
    <w:rsid w:val="0023497A"/>
    <w:rsid w:val="00234DBC"/>
    <w:rsid w:val="002355C5"/>
    <w:rsid w:val="0023574C"/>
    <w:rsid w:val="00236B02"/>
    <w:rsid w:val="00237AC6"/>
    <w:rsid w:val="00237AD0"/>
    <w:rsid w:val="00237E1F"/>
    <w:rsid w:val="00240007"/>
    <w:rsid w:val="002403C0"/>
    <w:rsid w:val="002408E2"/>
    <w:rsid w:val="002418D5"/>
    <w:rsid w:val="0024266B"/>
    <w:rsid w:val="00242B64"/>
    <w:rsid w:val="00242BFD"/>
    <w:rsid w:val="00243BED"/>
    <w:rsid w:val="00244139"/>
    <w:rsid w:val="002441E6"/>
    <w:rsid w:val="00244490"/>
    <w:rsid w:val="00244668"/>
    <w:rsid w:val="00244BEC"/>
    <w:rsid w:val="00245444"/>
    <w:rsid w:val="002458DD"/>
    <w:rsid w:val="00245B9C"/>
    <w:rsid w:val="00246694"/>
    <w:rsid w:val="0024755F"/>
    <w:rsid w:val="00250874"/>
    <w:rsid w:val="00250E81"/>
    <w:rsid w:val="002517C9"/>
    <w:rsid w:val="00251B85"/>
    <w:rsid w:val="002523FC"/>
    <w:rsid w:val="00252587"/>
    <w:rsid w:val="00252B30"/>
    <w:rsid w:val="002533A6"/>
    <w:rsid w:val="00253499"/>
    <w:rsid w:val="002539EB"/>
    <w:rsid w:val="00253D00"/>
    <w:rsid w:val="002541CE"/>
    <w:rsid w:val="002551A4"/>
    <w:rsid w:val="00255747"/>
    <w:rsid w:val="00255D84"/>
    <w:rsid w:val="002560C7"/>
    <w:rsid w:val="00256151"/>
    <w:rsid w:val="00257664"/>
    <w:rsid w:val="00257D6F"/>
    <w:rsid w:val="00260165"/>
    <w:rsid w:val="002608FB"/>
    <w:rsid w:val="00260DDD"/>
    <w:rsid w:val="0026158F"/>
    <w:rsid w:val="00261A76"/>
    <w:rsid w:val="002620DC"/>
    <w:rsid w:val="00262B65"/>
    <w:rsid w:val="00265151"/>
    <w:rsid w:val="00265C2C"/>
    <w:rsid w:val="00266509"/>
    <w:rsid w:val="00267098"/>
    <w:rsid w:val="00271BA1"/>
    <w:rsid w:val="0027209E"/>
    <w:rsid w:val="002721D5"/>
    <w:rsid w:val="00272885"/>
    <w:rsid w:val="00272A26"/>
    <w:rsid w:val="00272BEA"/>
    <w:rsid w:val="00272DE5"/>
    <w:rsid w:val="00272E94"/>
    <w:rsid w:val="00272F2A"/>
    <w:rsid w:val="002737BD"/>
    <w:rsid w:val="00273A9A"/>
    <w:rsid w:val="00273AC5"/>
    <w:rsid w:val="00273B9C"/>
    <w:rsid w:val="00276189"/>
    <w:rsid w:val="002762FA"/>
    <w:rsid w:val="00276773"/>
    <w:rsid w:val="002767DD"/>
    <w:rsid w:val="00276BE3"/>
    <w:rsid w:val="00277505"/>
    <w:rsid w:val="00277873"/>
    <w:rsid w:val="00277C96"/>
    <w:rsid w:val="0028158C"/>
    <w:rsid w:val="002820E8"/>
    <w:rsid w:val="002823B6"/>
    <w:rsid w:val="00283D48"/>
    <w:rsid w:val="00284A34"/>
    <w:rsid w:val="00285512"/>
    <w:rsid w:val="002859EB"/>
    <w:rsid w:val="00285C48"/>
    <w:rsid w:val="00285D9A"/>
    <w:rsid w:val="002864C4"/>
    <w:rsid w:val="00286C5B"/>
    <w:rsid w:val="00286C62"/>
    <w:rsid w:val="00290AF1"/>
    <w:rsid w:val="00290C03"/>
    <w:rsid w:val="00290D15"/>
    <w:rsid w:val="00290E90"/>
    <w:rsid w:val="00291656"/>
    <w:rsid w:val="0029187D"/>
    <w:rsid w:val="00292228"/>
    <w:rsid w:val="00292392"/>
    <w:rsid w:val="00292E3B"/>
    <w:rsid w:val="002933A8"/>
    <w:rsid w:val="00294274"/>
    <w:rsid w:val="0029458F"/>
    <w:rsid w:val="00295D04"/>
    <w:rsid w:val="002960F3"/>
    <w:rsid w:val="002962B3"/>
    <w:rsid w:val="00297256"/>
    <w:rsid w:val="00297A63"/>
    <w:rsid w:val="00297E01"/>
    <w:rsid w:val="002A018F"/>
    <w:rsid w:val="002A0E04"/>
    <w:rsid w:val="002A104C"/>
    <w:rsid w:val="002A1D5C"/>
    <w:rsid w:val="002A1EF7"/>
    <w:rsid w:val="002A2B7B"/>
    <w:rsid w:val="002A38C1"/>
    <w:rsid w:val="002A3AC3"/>
    <w:rsid w:val="002A3E31"/>
    <w:rsid w:val="002A494D"/>
    <w:rsid w:val="002A4960"/>
    <w:rsid w:val="002A4FF2"/>
    <w:rsid w:val="002A52D2"/>
    <w:rsid w:val="002A5BA1"/>
    <w:rsid w:val="002A5D32"/>
    <w:rsid w:val="002A5FFF"/>
    <w:rsid w:val="002A636A"/>
    <w:rsid w:val="002A6E06"/>
    <w:rsid w:val="002A755F"/>
    <w:rsid w:val="002A7B26"/>
    <w:rsid w:val="002A7CFC"/>
    <w:rsid w:val="002B07A2"/>
    <w:rsid w:val="002B0AE0"/>
    <w:rsid w:val="002B0B2B"/>
    <w:rsid w:val="002B18F4"/>
    <w:rsid w:val="002B1AE6"/>
    <w:rsid w:val="002B1D51"/>
    <w:rsid w:val="002B2DE8"/>
    <w:rsid w:val="002B30F8"/>
    <w:rsid w:val="002B388A"/>
    <w:rsid w:val="002B3BFE"/>
    <w:rsid w:val="002B3C1A"/>
    <w:rsid w:val="002B4C22"/>
    <w:rsid w:val="002B4C2A"/>
    <w:rsid w:val="002B5596"/>
    <w:rsid w:val="002B5737"/>
    <w:rsid w:val="002B57E5"/>
    <w:rsid w:val="002B5D6B"/>
    <w:rsid w:val="002B77D7"/>
    <w:rsid w:val="002C00FC"/>
    <w:rsid w:val="002C0763"/>
    <w:rsid w:val="002C0791"/>
    <w:rsid w:val="002C212F"/>
    <w:rsid w:val="002C2A73"/>
    <w:rsid w:val="002C2F35"/>
    <w:rsid w:val="002C5850"/>
    <w:rsid w:val="002C59F1"/>
    <w:rsid w:val="002C5B71"/>
    <w:rsid w:val="002C6941"/>
    <w:rsid w:val="002C6AA9"/>
    <w:rsid w:val="002C7485"/>
    <w:rsid w:val="002C79D2"/>
    <w:rsid w:val="002D0111"/>
    <w:rsid w:val="002D02E0"/>
    <w:rsid w:val="002D0A29"/>
    <w:rsid w:val="002D258E"/>
    <w:rsid w:val="002D2641"/>
    <w:rsid w:val="002D283A"/>
    <w:rsid w:val="002D30DD"/>
    <w:rsid w:val="002D3660"/>
    <w:rsid w:val="002D4184"/>
    <w:rsid w:val="002D44D7"/>
    <w:rsid w:val="002D4543"/>
    <w:rsid w:val="002D52CC"/>
    <w:rsid w:val="002D715F"/>
    <w:rsid w:val="002D7276"/>
    <w:rsid w:val="002E022A"/>
    <w:rsid w:val="002E0697"/>
    <w:rsid w:val="002E2D19"/>
    <w:rsid w:val="002E3153"/>
    <w:rsid w:val="002E3FD4"/>
    <w:rsid w:val="002E4A02"/>
    <w:rsid w:val="002E4ABE"/>
    <w:rsid w:val="002E5292"/>
    <w:rsid w:val="002E53CF"/>
    <w:rsid w:val="002E5553"/>
    <w:rsid w:val="002E72CA"/>
    <w:rsid w:val="002E75DD"/>
    <w:rsid w:val="002E7ACB"/>
    <w:rsid w:val="002F07EB"/>
    <w:rsid w:val="002F1D07"/>
    <w:rsid w:val="002F2199"/>
    <w:rsid w:val="002F22C4"/>
    <w:rsid w:val="002F27D8"/>
    <w:rsid w:val="002F5C5B"/>
    <w:rsid w:val="002F600D"/>
    <w:rsid w:val="002F6F0F"/>
    <w:rsid w:val="002F77A2"/>
    <w:rsid w:val="002F77E5"/>
    <w:rsid w:val="002F7E47"/>
    <w:rsid w:val="00300AD6"/>
    <w:rsid w:val="00300B1B"/>
    <w:rsid w:val="00300B3E"/>
    <w:rsid w:val="003019D0"/>
    <w:rsid w:val="003019DE"/>
    <w:rsid w:val="0030311E"/>
    <w:rsid w:val="003031BC"/>
    <w:rsid w:val="00303CFE"/>
    <w:rsid w:val="00304A21"/>
    <w:rsid w:val="00305AC1"/>
    <w:rsid w:val="00305CD2"/>
    <w:rsid w:val="003064AF"/>
    <w:rsid w:val="0030653E"/>
    <w:rsid w:val="003067C4"/>
    <w:rsid w:val="00306983"/>
    <w:rsid w:val="003077BD"/>
    <w:rsid w:val="00307DC6"/>
    <w:rsid w:val="00310A8B"/>
    <w:rsid w:val="00310B39"/>
    <w:rsid w:val="00310B68"/>
    <w:rsid w:val="00311B96"/>
    <w:rsid w:val="00311F67"/>
    <w:rsid w:val="0031212D"/>
    <w:rsid w:val="003129D8"/>
    <w:rsid w:val="00314FB7"/>
    <w:rsid w:val="003160D2"/>
    <w:rsid w:val="00316286"/>
    <w:rsid w:val="0031686A"/>
    <w:rsid w:val="003173FC"/>
    <w:rsid w:val="00317C6C"/>
    <w:rsid w:val="00320B80"/>
    <w:rsid w:val="00320CD3"/>
    <w:rsid w:val="00320FE0"/>
    <w:rsid w:val="0032124E"/>
    <w:rsid w:val="003215FF"/>
    <w:rsid w:val="00321778"/>
    <w:rsid w:val="00321B5D"/>
    <w:rsid w:val="00322667"/>
    <w:rsid w:val="00323A02"/>
    <w:rsid w:val="0032607C"/>
    <w:rsid w:val="003267B2"/>
    <w:rsid w:val="0032698A"/>
    <w:rsid w:val="00326E79"/>
    <w:rsid w:val="0032748A"/>
    <w:rsid w:val="003276DF"/>
    <w:rsid w:val="003279F1"/>
    <w:rsid w:val="003301B1"/>
    <w:rsid w:val="00330B11"/>
    <w:rsid w:val="00331189"/>
    <w:rsid w:val="0033263D"/>
    <w:rsid w:val="00332693"/>
    <w:rsid w:val="00332BE6"/>
    <w:rsid w:val="003346BE"/>
    <w:rsid w:val="00334D32"/>
    <w:rsid w:val="00334E69"/>
    <w:rsid w:val="0033518A"/>
    <w:rsid w:val="00335535"/>
    <w:rsid w:val="003367EF"/>
    <w:rsid w:val="00336820"/>
    <w:rsid w:val="0034141F"/>
    <w:rsid w:val="00341526"/>
    <w:rsid w:val="00341AE4"/>
    <w:rsid w:val="003425CA"/>
    <w:rsid w:val="00342E46"/>
    <w:rsid w:val="00343FB7"/>
    <w:rsid w:val="00344706"/>
    <w:rsid w:val="00345629"/>
    <w:rsid w:val="003476EE"/>
    <w:rsid w:val="00347A41"/>
    <w:rsid w:val="00351962"/>
    <w:rsid w:val="00352071"/>
    <w:rsid w:val="00352C06"/>
    <w:rsid w:val="003537BB"/>
    <w:rsid w:val="003541DD"/>
    <w:rsid w:val="00355A98"/>
    <w:rsid w:val="0035623B"/>
    <w:rsid w:val="003563B7"/>
    <w:rsid w:val="00356E5B"/>
    <w:rsid w:val="003607C2"/>
    <w:rsid w:val="00360887"/>
    <w:rsid w:val="0036249F"/>
    <w:rsid w:val="003636E8"/>
    <w:rsid w:val="00364685"/>
    <w:rsid w:val="003655EB"/>
    <w:rsid w:val="00365EF2"/>
    <w:rsid w:val="00366628"/>
    <w:rsid w:val="00366A0B"/>
    <w:rsid w:val="0036718C"/>
    <w:rsid w:val="00371246"/>
    <w:rsid w:val="00372755"/>
    <w:rsid w:val="003736C9"/>
    <w:rsid w:val="00374761"/>
    <w:rsid w:val="00375A73"/>
    <w:rsid w:val="003768E4"/>
    <w:rsid w:val="00376B39"/>
    <w:rsid w:val="0038004D"/>
    <w:rsid w:val="00380995"/>
    <w:rsid w:val="00381EB9"/>
    <w:rsid w:val="003825DD"/>
    <w:rsid w:val="00383B77"/>
    <w:rsid w:val="003847DA"/>
    <w:rsid w:val="00384988"/>
    <w:rsid w:val="00385A87"/>
    <w:rsid w:val="00385B70"/>
    <w:rsid w:val="003872CF"/>
    <w:rsid w:val="003874CB"/>
    <w:rsid w:val="003904B2"/>
    <w:rsid w:val="003916FC"/>
    <w:rsid w:val="00392EF5"/>
    <w:rsid w:val="00393E4B"/>
    <w:rsid w:val="00394D4A"/>
    <w:rsid w:val="00396E08"/>
    <w:rsid w:val="003970DD"/>
    <w:rsid w:val="003975DE"/>
    <w:rsid w:val="0039782C"/>
    <w:rsid w:val="00397F98"/>
    <w:rsid w:val="003A0F7C"/>
    <w:rsid w:val="003A1066"/>
    <w:rsid w:val="003A13A6"/>
    <w:rsid w:val="003A14CE"/>
    <w:rsid w:val="003A1978"/>
    <w:rsid w:val="003A2165"/>
    <w:rsid w:val="003A2971"/>
    <w:rsid w:val="003A2C1A"/>
    <w:rsid w:val="003A3056"/>
    <w:rsid w:val="003A30C4"/>
    <w:rsid w:val="003A3472"/>
    <w:rsid w:val="003A3AF3"/>
    <w:rsid w:val="003A3FD4"/>
    <w:rsid w:val="003A502F"/>
    <w:rsid w:val="003A586A"/>
    <w:rsid w:val="003A5B4A"/>
    <w:rsid w:val="003A5D95"/>
    <w:rsid w:val="003A6510"/>
    <w:rsid w:val="003A6650"/>
    <w:rsid w:val="003A727F"/>
    <w:rsid w:val="003A74E2"/>
    <w:rsid w:val="003A7E06"/>
    <w:rsid w:val="003B0487"/>
    <w:rsid w:val="003B0C7D"/>
    <w:rsid w:val="003B0D3A"/>
    <w:rsid w:val="003B1A66"/>
    <w:rsid w:val="003B2302"/>
    <w:rsid w:val="003B23C5"/>
    <w:rsid w:val="003B2A75"/>
    <w:rsid w:val="003B2AC0"/>
    <w:rsid w:val="003B49B2"/>
    <w:rsid w:val="003B4E34"/>
    <w:rsid w:val="003B591A"/>
    <w:rsid w:val="003B6124"/>
    <w:rsid w:val="003B616C"/>
    <w:rsid w:val="003B7960"/>
    <w:rsid w:val="003C06DA"/>
    <w:rsid w:val="003C0908"/>
    <w:rsid w:val="003C093A"/>
    <w:rsid w:val="003C1BE7"/>
    <w:rsid w:val="003C1ECF"/>
    <w:rsid w:val="003C2FB5"/>
    <w:rsid w:val="003C5E19"/>
    <w:rsid w:val="003C6F08"/>
    <w:rsid w:val="003C7924"/>
    <w:rsid w:val="003D07F1"/>
    <w:rsid w:val="003D096E"/>
    <w:rsid w:val="003D1F64"/>
    <w:rsid w:val="003D24C5"/>
    <w:rsid w:val="003D27B3"/>
    <w:rsid w:val="003D2D80"/>
    <w:rsid w:val="003D3F2E"/>
    <w:rsid w:val="003D4594"/>
    <w:rsid w:val="003D4AC4"/>
    <w:rsid w:val="003D5433"/>
    <w:rsid w:val="003D5C3B"/>
    <w:rsid w:val="003D5C74"/>
    <w:rsid w:val="003D6185"/>
    <w:rsid w:val="003D63B7"/>
    <w:rsid w:val="003D6DE3"/>
    <w:rsid w:val="003D74C5"/>
    <w:rsid w:val="003E0F1A"/>
    <w:rsid w:val="003E1F6F"/>
    <w:rsid w:val="003E34B6"/>
    <w:rsid w:val="003E4374"/>
    <w:rsid w:val="003E468B"/>
    <w:rsid w:val="003E5021"/>
    <w:rsid w:val="003E548A"/>
    <w:rsid w:val="003E62BD"/>
    <w:rsid w:val="003E658D"/>
    <w:rsid w:val="003E68ED"/>
    <w:rsid w:val="003E77E0"/>
    <w:rsid w:val="003E7B2A"/>
    <w:rsid w:val="003E7B68"/>
    <w:rsid w:val="003F044F"/>
    <w:rsid w:val="003F055B"/>
    <w:rsid w:val="003F0C3A"/>
    <w:rsid w:val="003F15F0"/>
    <w:rsid w:val="003F192F"/>
    <w:rsid w:val="003F2AD9"/>
    <w:rsid w:val="003F3173"/>
    <w:rsid w:val="003F3228"/>
    <w:rsid w:val="003F54AB"/>
    <w:rsid w:val="003F5C8C"/>
    <w:rsid w:val="003F6255"/>
    <w:rsid w:val="003F63CE"/>
    <w:rsid w:val="003F6DA8"/>
    <w:rsid w:val="003F775A"/>
    <w:rsid w:val="00400042"/>
    <w:rsid w:val="00400100"/>
    <w:rsid w:val="00400E55"/>
    <w:rsid w:val="0040128E"/>
    <w:rsid w:val="00401640"/>
    <w:rsid w:val="00401D0C"/>
    <w:rsid w:val="0040216B"/>
    <w:rsid w:val="004032B4"/>
    <w:rsid w:val="00403365"/>
    <w:rsid w:val="004037B9"/>
    <w:rsid w:val="00404852"/>
    <w:rsid w:val="00404EB4"/>
    <w:rsid w:val="00405299"/>
    <w:rsid w:val="0040590E"/>
    <w:rsid w:val="004062B0"/>
    <w:rsid w:val="00406A21"/>
    <w:rsid w:val="004073AC"/>
    <w:rsid w:val="004077E6"/>
    <w:rsid w:val="00407CC8"/>
    <w:rsid w:val="00411486"/>
    <w:rsid w:val="00411D3A"/>
    <w:rsid w:val="00411FB3"/>
    <w:rsid w:val="004126C2"/>
    <w:rsid w:val="00413880"/>
    <w:rsid w:val="00414631"/>
    <w:rsid w:val="00414F0C"/>
    <w:rsid w:val="004158B0"/>
    <w:rsid w:val="004169B2"/>
    <w:rsid w:val="00417703"/>
    <w:rsid w:val="00417C29"/>
    <w:rsid w:val="00417FF0"/>
    <w:rsid w:val="00420218"/>
    <w:rsid w:val="004203B2"/>
    <w:rsid w:val="00420400"/>
    <w:rsid w:val="00420BDD"/>
    <w:rsid w:val="00422DC5"/>
    <w:rsid w:val="0042379D"/>
    <w:rsid w:val="00423B8C"/>
    <w:rsid w:val="00423E78"/>
    <w:rsid w:val="004252EC"/>
    <w:rsid w:val="004253FA"/>
    <w:rsid w:val="0042658C"/>
    <w:rsid w:val="00426CEB"/>
    <w:rsid w:val="00426D1A"/>
    <w:rsid w:val="00427A69"/>
    <w:rsid w:val="00430788"/>
    <w:rsid w:val="00430D39"/>
    <w:rsid w:val="004318B7"/>
    <w:rsid w:val="00432AC7"/>
    <w:rsid w:val="00432C55"/>
    <w:rsid w:val="00432EBF"/>
    <w:rsid w:val="00433680"/>
    <w:rsid w:val="00433B4C"/>
    <w:rsid w:val="00434B1F"/>
    <w:rsid w:val="00434CC2"/>
    <w:rsid w:val="00434D73"/>
    <w:rsid w:val="004356E0"/>
    <w:rsid w:val="004357CD"/>
    <w:rsid w:val="00436664"/>
    <w:rsid w:val="004378ED"/>
    <w:rsid w:val="00441584"/>
    <w:rsid w:val="00442C63"/>
    <w:rsid w:val="00442C91"/>
    <w:rsid w:val="00442ED1"/>
    <w:rsid w:val="00443EBB"/>
    <w:rsid w:val="00444E9D"/>
    <w:rsid w:val="004462A8"/>
    <w:rsid w:val="004465BD"/>
    <w:rsid w:val="00446938"/>
    <w:rsid w:val="004502F5"/>
    <w:rsid w:val="00450A15"/>
    <w:rsid w:val="00451A31"/>
    <w:rsid w:val="0045275E"/>
    <w:rsid w:val="004528FA"/>
    <w:rsid w:val="00452962"/>
    <w:rsid w:val="00452A6C"/>
    <w:rsid w:val="00453214"/>
    <w:rsid w:val="00453496"/>
    <w:rsid w:val="00453D01"/>
    <w:rsid w:val="00454836"/>
    <w:rsid w:val="00454E96"/>
    <w:rsid w:val="0045708D"/>
    <w:rsid w:val="00457325"/>
    <w:rsid w:val="004615CA"/>
    <w:rsid w:val="00461A44"/>
    <w:rsid w:val="00461F9E"/>
    <w:rsid w:val="00462784"/>
    <w:rsid w:val="00462D26"/>
    <w:rsid w:val="0046368B"/>
    <w:rsid w:val="0046385A"/>
    <w:rsid w:val="00464039"/>
    <w:rsid w:val="00464152"/>
    <w:rsid w:val="00466ADA"/>
    <w:rsid w:val="0046737B"/>
    <w:rsid w:val="00467BB5"/>
    <w:rsid w:val="004702BB"/>
    <w:rsid w:val="00470930"/>
    <w:rsid w:val="00471D73"/>
    <w:rsid w:val="0047211D"/>
    <w:rsid w:val="00472800"/>
    <w:rsid w:val="004731B6"/>
    <w:rsid w:val="004742DF"/>
    <w:rsid w:val="0047494B"/>
    <w:rsid w:val="004749CE"/>
    <w:rsid w:val="00474F62"/>
    <w:rsid w:val="00475738"/>
    <w:rsid w:val="00475E44"/>
    <w:rsid w:val="00475F41"/>
    <w:rsid w:val="0047618A"/>
    <w:rsid w:val="00476245"/>
    <w:rsid w:val="004773C4"/>
    <w:rsid w:val="004773F3"/>
    <w:rsid w:val="00477A9B"/>
    <w:rsid w:val="00477BAB"/>
    <w:rsid w:val="004807BC"/>
    <w:rsid w:val="00480A71"/>
    <w:rsid w:val="00480CFA"/>
    <w:rsid w:val="00480FF5"/>
    <w:rsid w:val="00482AE4"/>
    <w:rsid w:val="00482CB7"/>
    <w:rsid w:val="00482D30"/>
    <w:rsid w:val="00483035"/>
    <w:rsid w:val="004830B5"/>
    <w:rsid w:val="00484875"/>
    <w:rsid w:val="00484A67"/>
    <w:rsid w:val="00485940"/>
    <w:rsid w:val="004860C2"/>
    <w:rsid w:val="00486318"/>
    <w:rsid w:val="004864C7"/>
    <w:rsid w:val="00486C95"/>
    <w:rsid w:val="00486CDE"/>
    <w:rsid w:val="00487598"/>
    <w:rsid w:val="004877C2"/>
    <w:rsid w:val="004904B9"/>
    <w:rsid w:val="0049133A"/>
    <w:rsid w:val="00491EDC"/>
    <w:rsid w:val="004928E1"/>
    <w:rsid w:val="00492D8D"/>
    <w:rsid w:val="00493A92"/>
    <w:rsid w:val="004943EE"/>
    <w:rsid w:val="004951E3"/>
    <w:rsid w:val="0049618C"/>
    <w:rsid w:val="00496662"/>
    <w:rsid w:val="004A02E3"/>
    <w:rsid w:val="004A0461"/>
    <w:rsid w:val="004A0BD3"/>
    <w:rsid w:val="004A0C58"/>
    <w:rsid w:val="004A1431"/>
    <w:rsid w:val="004A1FD7"/>
    <w:rsid w:val="004A2484"/>
    <w:rsid w:val="004A2D3E"/>
    <w:rsid w:val="004A378E"/>
    <w:rsid w:val="004A4618"/>
    <w:rsid w:val="004A553D"/>
    <w:rsid w:val="004A5A85"/>
    <w:rsid w:val="004A5EB5"/>
    <w:rsid w:val="004A6E89"/>
    <w:rsid w:val="004A71D1"/>
    <w:rsid w:val="004A7C5B"/>
    <w:rsid w:val="004A7EE0"/>
    <w:rsid w:val="004B1714"/>
    <w:rsid w:val="004B1845"/>
    <w:rsid w:val="004B1D02"/>
    <w:rsid w:val="004B2348"/>
    <w:rsid w:val="004B2CB8"/>
    <w:rsid w:val="004B2E01"/>
    <w:rsid w:val="004B2E98"/>
    <w:rsid w:val="004B3738"/>
    <w:rsid w:val="004B3EF5"/>
    <w:rsid w:val="004B544C"/>
    <w:rsid w:val="004B5640"/>
    <w:rsid w:val="004B5EB3"/>
    <w:rsid w:val="004B6084"/>
    <w:rsid w:val="004B65B4"/>
    <w:rsid w:val="004B6DEF"/>
    <w:rsid w:val="004BCF29"/>
    <w:rsid w:val="004C0206"/>
    <w:rsid w:val="004C03D0"/>
    <w:rsid w:val="004C1420"/>
    <w:rsid w:val="004C1BD7"/>
    <w:rsid w:val="004C1BF2"/>
    <w:rsid w:val="004C239C"/>
    <w:rsid w:val="004C2F7C"/>
    <w:rsid w:val="004C31FE"/>
    <w:rsid w:val="004C4EB9"/>
    <w:rsid w:val="004C5045"/>
    <w:rsid w:val="004C524C"/>
    <w:rsid w:val="004C59C7"/>
    <w:rsid w:val="004C5EDD"/>
    <w:rsid w:val="004C5FFA"/>
    <w:rsid w:val="004C60F5"/>
    <w:rsid w:val="004C691D"/>
    <w:rsid w:val="004C6C07"/>
    <w:rsid w:val="004C6F34"/>
    <w:rsid w:val="004C7E15"/>
    <w:rsid w:val="004C7EC6"/>
    <w:rsid w:val="004D075A"/>
    <w:rsid w:val="004D119B"/>
    <w:rsid w:val="004D246B"/>
    <w:rsid w:val="004D2CD1"/>
    <w:rsid w:val="004D2D5F"/>
    <w:rsid w:val="004D365C"/>
    <w:rsid w:val="004D4728"/>
    <w:rsid w:val="004D4E0B"/>
    <w:rsid w:val="004D4FF6"/>
    <w:rsid w:val="004D5ADD"/>
    <w:rsid w:val="004D632C"/>
    <w:rsid w:val="004D66F2"/>
    <w:rsid w:val="004D68C8"/>
    <w:rsid w:val="004D745E"/>
    <w:rsid w:val="004D76D1"/>
    <w:rsid w:val="004E019A"/>
    <w:rsid w:val="004E0583"/>
    <w:rsid w:val="004E0CC3"/>
    <w:rsid w:val="004E1918"/>
    <w:rsid w:val="004E1C01"/>
    <w:rsid w:val="004E25BC"/>
    <w:rsid w:val="004E33DE"/>
    <w:rsid w:val="004E46A0"/>
    <w:rsid w:val="004E4DB6"/>
    <w:rsid w:val="004E5D41"/>
    <w:rsid w:val="004E5F89"/>
    <w:rsid w:val="004E6312"/>
    <w:rsid w:val="004E692D"/>
    <w:rsid w:val="004E7230"/>
    <w:rsid w:val="004E7D87"/>
    <w:rsid w:val="004E7DF7"/>
    <w:rsid w:val="004E7FEA"/>
    <w:rsid w:val="004F2553"/>
    <w:rsid w:val="004F306A"/>
    <w:rsid w:val="004F38F6"/>
    <w:rsid w:val="004F3D0A"/>
    <w:rsid w:val="004F50D1"/>
    <w:rsid w:val="004F5334"/>
    <w:rsid w:val="004F6C1B"/>
    <w:rsid w:val="00501554"/>
    <w:rsid w:val="00502991"/>
    <w:rsid w:val="00502AFE"/>
    <w:rsid w:val="00502E64"/>
    <w:rsid w:val="00503794"/>
    <w:rsid w:val="00503AD7"/>
    <w:rsid w:val="00503E89"/>
    <w:rsid w:val="00503EF4"/>
    <w:rsid w:val="00504155"/>
    <w:rsid w:val="005046D0"/>
    <w:rsid w:val="00504E0C"/>
    <w:rsid w:val="00504E13"/>
    <w:rsid w:val="0050531C"/>
    <w:rsid w:val="00505976"/>
    <w:rsid w:val="00505ACA"/>
    <w:rsid w:val="00505E75"/>
    <w:rsid w:val="005079EC"/>
    <w:rsid w:val="005109D4"/>
    <w:rsid w:val="0051230A"/>
    <w:rsid w:val="00512FAE"/>
    <w:rsid w:val="00513DF8"/>
    <w:rsid w:val="00513FF4"/>
    <w:rsid w:val="00514860"/>
    <w:rsid w:val="005149D6"/>
    <w:rsid w:val="00514CD7"/>
    <w:rsid w:val="00515300"/>
    <w:rsid w:val="0051615E"/>
    <w:rsid w:val="005167EC"/>
    <w:rsid w:val="005170DA"/>
    <w:rsid w:val="00520D6A"/>
    <w:rsid w:val="005212DC"/>
    <w:rsid w:val="00521594"/>
    <w:rsid w:val="00522369"/>
    <w:rsid w:val="0052275E"/>
    <w:rsid w:val="00522AC2"/>
    <w:rsid w:val="00522DB6"/>
    <w:rsid w:val="00523EF0"/>
    <w:rsid w:val="00524CDF"/>
    <w:rsid w:val="00525B2B"/>
    <w:rsid w:val="0052604B"/>
    <w:rsid w:val="005260B4"/>
    <w:rsid w:val="005264A7"/>
    <w:rsid w:val="0052650F"/>
    <w:rsid w:val="00526A4A"/>
    <w:rsid w:val="00526BDE"/>
    <w:rsid w:val="00527755"/>
    <w:rsid w:val="0052792D"/>
    <w:rsid w:val="00527991"/>
    <w:rsid w:val="005301C2"/>
    <w:rsid w:val="005303CC"/>
    <w:rsid w:val="00530517"/>
    <w:rsid w:val="005319B2"/>
    <w:rsid w:val="00532127"/>
    <w:rsid w:val="00532402"/>
    <w:rsid w:val="00532C74"/>
    <w:rsid w:val="0053319E"/>
    <w:rsid w:val="00533239"/>
    <w:rsid w:val="00534318"/>
    <w:rsid w:val="00534882"/>
    <w:rsid w:val="00534E2E"/>
    <w:rsid w:val="00535133"/>
    <w:rsid w:val="00535AE6"/>
    <w:rsid w:val="00536330"/>
    <w:rsid w:val="005366F6"/>
    <w:rsid w:val="00536EC2"/>
    <w:rsid w:val="00537CC1"/>
    <w:rsid w:val="00540583"/>
    <w:rsid w:val="0054064C"/>
    <w:rsid w:val="00540F89"/>
    <w:rsid w:val="00542302"/>
    <w:rsid w:val="00542421"/>
    <w:rsid w:val="0054284A"/>
    <w:rsid w:val="00542BBA"/>
    <w:rsid w:val="005435E2"/>
    <w:rsid w:val="0054393C"/>
    <w:rsid w:val="00543A84"/>
    <w:rsid w:val="00544552"/>
    <w:rsid w:val="00545130"/>
    <w:rsid w:val="005453E6"/>
    <w:rsid w:val="00546B36"/>
    <w:rsid w:val="0054727E"/>
    <w:rsid w:val="00547734"/>
    <w:rsid w:val="005503BE"/>
    <w:rsid w:val="005509ED"/>
    <w:rsid w:val="00550D19"/>
    <w:rsid w:val="005512B9"/>
    <w:rsid w:val="005515A6"/>
    <w:rsid w:val="0055286A"/>
    <w:rsid w:val="00552D28"/>
    <w:rsid w:val="005536CA"/>
    <w:rsid w:val="005536F9"/>
    <w:rsid w:val="005538D1"/>
    <w:rsid w:val="00554C6B"/>
    <w:rsid w:val="0055545E"/>
    <w:rsid w:val="005556F7"/>
    <w:rsid w:val="00555745"/>
    <w:rsid w:val="00555BDA"/>
    <w:rsid w:val="005565DD"/>
    <w:rsid w:val="00556EFE"/>
    <w:rsid w:val="00557D4F"/>
    <w:rsid w:val="0056122E"/>
    <w:rsid w:val="00561D11"/>
    <w:rsid w:val="005627D9"/>
    <w:rsid w:val="00563352"/>
    <w:rsid w:val="0056378C"/>
    <w:rsid w:val="00563AF9"/>
    <w:rsid w:val="0056484E"/>
    <w:rsid w:val="00564DFE"/>
    <w:rsid w:val="0056510B"/>
    <w:rsid w:val="00565999"/>
    <w:rsid w:val="00565CC7"/>
    <w:rsid w:val="005662E0"/>
    <w:rsid w:val="00567D8A"/>
    <w:rsid w:val="00570231"/>
    <w:rsid w:val="00571259"/>
    <w:rsid w:val="005714B7"/>
    <w:rsid w:val="005736EA"/>
    <w:rsid w:val="00573C14"/>
    <w:rsid w:val="005743B0"/>
    <w:rsid w:val="005749ED"/>
    <w:rsid w:val="00574F0C"/>
    <w:rsid w:val="005750E9"/>
    <w:rsid w:val="005764CD"/>
    <w:rsid w:val="0057703E"/>
    <w:rsid w:val="00577C4D"/>
    <w:rsid w:val="00580532"/>
    <w:rsid w:val="00581932"/>
    <w:rsid w:val="00583002"/>
    <w:rsid w:val="005856E2"/>
    <w:rsid w:val="00586178"/>
    <w:rsid w:val="0058CE43"/>
    <w:rsid w:val="005903BB"/>
    <w:rsid w:val="005908C1"/>
    <w:rsid w:val="0059204E"/>
    <w:rsid w:val="00593893"/>
    <w:rsid w:val="00596119"/>
    <w:rsid w:val="005963BB"/>
    <w:rsid w:val="0059645C"/>
    <w:rsid w:val="0059652C"/>
    <w:rsid w:val="00596BD5"/>
    <w:rsid w:val="00596D37"/>
    <w:rsid w:val="00596F25"/>
    <w:rsid w:val="005A15A1"/>
    <w:rsid w:val="005A15D2"/>
    <w:rsid w:val="005A3173"/>
    <w:rsid w:val="005A3223"/>
    <w:rsid w:val="005A3DA3"/>
    <w:rsid w:val="005A3DFB"/>
    <w:rsid w:val="005A52C4"/>
    <w:rsid w:val="005A5A03"/>
    <w:rsid w:val="005A63A1"/>
    <w:rsid w:val="005A7793"/>
    <w:rsid w:val="005B0486"/>
    <w:rsid w:val="005B1032"/>
    <w:rsid w:val="005B1473"/>
    <w:rsid w:val="005B1DAD"/>
    <w:rsid w:val="005B2215"/>
    <w:rsid w:val="005B36FA"/>
    <w:rsid w:val="005B3EC6"/>
    <w:rsid w:val="005B4FB3"/>
    <w:rsid w:val="005B6343"/>
    <w:rsid w:val="005C06FD"/>
    <w:rsid w:val="005C1D79"/>
    <w:rsid w:val="005C4429"/>
    <w:rsid w:val="005C4F73"/>
    <w:rsid w:val="005C5247"/>
    <w:rsid w:val="005C53A2"/>
    <w:rsid w:val="005C53E0"/>
    <w:rsid w:val="005C5642"/>
    <w:rsid w:val="005C58AE"/>
    <w:rsid w:val="005C596A"/>
    <w:rsid w:val="005C6C05"/>
    <w:rsid w:val="005D03AB"/>
    <w:rsid w:val="005D357F"/>
    <w:rsid w:val="005D401D"/>
    <w:rsid w:val="005D42D3"/>
    <w:rsid w:val="005D48E6"/>
    <w:rsid w:val="005D5017"/>
    <w:rsid w:val="005D52BC"/>
    <w:rsid w:val="005D5708"/>
    <w:rsid w:val="005D594F"/>
    <w:rsid w:val="005D624F"/>
    <w:rsid w:val="005D63FA"/>
    <w:rsid w:val="005D643D"/>
    <w:rsid w:val="005D6844"/>
    <w:rsid w:val="005D6DAA"/>
    <w:rsid w:val="005D73C7"/>
    <w:rsid w:val="005D75DE"/>
    <w:rsid w:val="005D7BAC"/>
    <w:rsid w:val="005E0050"/>
    <w:rsid w:val="005E0C2D"/>
    <w:rsid w:val="005E0D82"/>
    <w:rsid w:val="005E0E66"/>
    <w:rsid w:val="005E0F59"/>
    <w:rsid w:val="005E1333"/>
    <w:rsid w:val="005E2D09"/>
    <w:rsid w:val="005E3136"/>
    <w:rsid w:val="005E3CDA"/>
    <w:rsid w:val="005E507D"/>
    <w:rsid w:val="005E5429"/>
    <w:rsid w:val="005E54DA"/>
    <w:rsid w:val="005E6996"/>
    <w:rsid w:val="005E722C"/>
    <w:rsid w:val="005E7D2E"/>
    <w:rsid w:val="005F0AD0"/>
    <w:rsid w:val="005F0C3F"/>
    <w:rsid w:val="005F1EA1"/>
    <w:rsid w:val="005F25A4"/>
    <w:rsid w:val="005F3077"/>
    <w:rsid w:val="005F3BC8"/>
    <w:rsid w:val="005F4F58"/>
    <w:rsid w:val="005F517C"/>
    <w:rsid w:val="005F5F37"/>
    <w:rsid w:val="005F7441"/>
    <w:rsid w:val="005F7CD5"/>
    <w:rsid w:val="00600A18"/>
    <w:rsid w:val="00600F16"/>
    <w:rsid w:val="00601875"/>
    <w:rsid w:val="00601A91"/>
    <w:rsid w:val="00602063"/>
    <w:rsid w:val="0060206D"/>
    <w:rsid w:val="0060259C"/>
    <w:rsid w:val="00602BA3"/>
    <w:rsid w:val="006037AB"/>
    <w:rsid w:val="00603A0D"/>
    <w:rsid w:val="00605B63"/>
    <w:rsid w:val="00605C85"/>
    <w:rsid w:val="00605F9A"/>
    <w:rsid w:val="00606242"/>
    <w:rsid w:val="00606442"/>
    <w:rsid w:val="00606515"/>
    <w:rsid w:val="006068F2"/>
    <w:rsid w:val="00606A7B"/>
    <w:rsid w:val="00606EED"/>
    <w:rsid w:val="006071F3"/>
    <w:rsid w:val="00607C3B"/>
    <w:rsid w:val="00607DDB"/>
    <w:rsid w:val="00610736"/>
    <w:rsid w:val="00612971"/>
    <w:rsid w:val="00612A95"/>
    <w:rsid w:val="00612E34"/>
    <w:rsid w:val="00613A46"/>
    <w:rsid w:val="00614159"/>
    <w:rsid w:val="0061415D"/>
    <w:rsid w:val="006146F4"/>
    <w:rsid w:val="00614842"/>
    <w:rsid w:val="00614AD2"/>
    <w:rsid w:val="00615794"/>
    <w:rsid w:val="006157A1"/>
    <w:rsid w:val="006158A3"/>
    <w:rsid w:val="00615BB1"/>
    <w:rsid w:val="00615E8C"/>
    <w:rsid w:val="00616C5F"/>
    <w:rsid w:val="00616DAC"/>
    <w:rsid w:val="00617725"/>
    <w:rsid w:val="00617C00"/>
    <w:rsid w:val="006221FE"/>
    <w:rsid w:val="0062316F"/>
    <w:rsid w:val="00623209"/>
    <w:rsid w:val="006241D8"/>
    <w:rsid w:val="0062446A"/>
    <w:rsid w:val="00624574"/>
    <w:rsid w:val="00624629"/>
    <w:rsid w:val="006256B9"/>
    <w:rsid w:val="006257F9"/>
    <w:rsid w:val="00625D95"/>
    <w:rsid w:val="006263BF"/>
    <w:rsid w:val="006268C8"/>
    <w:rsid w:val="0062748A"/>
    <w:rsid w:val="00627613"/>
    <w:rsid w:val="0062790E"/>
    <w:rsid w:val="00630546"/>
    <w:rsid w:val="00630770"/>
    <w:rsid w:val="00630A2C"/>
    <w:rsid w:val="00630B2F"/>
    <w:rsid w:val="00631420"/>
    <w:rsid w:val="00632180"/>
    <w:rsid w:val="00632931"/>
    <w:rsid w:val="00633A31"/>
    <w:rsid w:val="006347AF"/>
    <w:rsid w:val="00634A75"/>
    <w:rsid w:val="0063555F"/>
    <w:rsid w:val="0063682E"/>
    <w:rsid w:val="00636A57"/>
    <w:rsid w:val="00636D93"/>
    <w:rsid w:val="006375AB"/>
    <w:rsid w:val="00640088"/>
    <w:rsid w:val="00640174"/>
    <w:rsid w:val="00640D16"/>
    <w:rsid w:val="006413AC"/>
    <w:rsid w:val="0064209E"/>
    <w:rsid w:val="00642672"/>
    <w:rsid w:val="00642D3D"/>
    <w:rsid w:val="00642DA8"/>
    <w:rsid w:val="00643229"/>
    <w:rsid w:val="0064348F"/>
    <w:rsid w:val="006434E5"/>
    <w:rsid w:val="006436CD"/>
    <w:rsid w:val="00643B21"/>
    <w:rsid w:val="006448C0"/>
    <w:rsid w:val="00646C4F"/>
    <w:rsid w:val="0064731C"/>
    <w:rsid w:val="00650802"/>
    <w:rsid w:val="00650976"/>
    <w:rsid w:val="00650A6E"/>
    <w:rsid w:val="00651169"/>
    <w:rsid w:val="00652F78"/>
    <w:rsid w:val="00653D69"/>
    <w:rsid w:val="00654A44"/>
    <w:rsid w:val="00654DDF"/>
    <w:rsid w:val="006552E6"/>
    <w:rsid w:val="00655794"/>
    <w:rsid w:val="006564FB"/>
    <w:rsid w:val="00656799"/>
    <w:rsid w:val="00656802"/>
    <w:rsid w:val="00656F2F"/>
    <w:rsid w:val="00657029"/>
    <w:rsid w:val="00657129"/>
    <w:rsid w:val="00657C63"/>
    <w:rsid w:val="00660FA8"/>
    <w:rsid w:val="00661CBC"/>
    <w:rsid w:val="00662B85"/>
    <w:rsid w:val="00663314"/>
    <w:rsid w:val="00663EE9"/>
    <w:rsid w:val="006642F0"/>
    <w:rsid w:val="00664583"/>
    <w:rsid w:val="00664987"/>
    <w:rsid w:val="00665E6D"/>
    <w:rsid w:val="006670B3"/>
    <w:rsid w:val="006670BE"/>
    <w:rsid w:val="006705B4"/>
    <w:rsid w:val="00670A76"/>
    <w:rsid w:val="006711AA"/>
    <w:rsid w:val="00671DFC"/>
    <w:rsid w:val="0067282C"/>
    <w:rsid w:val="00672951"/>
    <w:rsid w:val="00672B57"/>
    <w:rsid w:val="00673F1F"/>
    <w:rsid w:val="006748EA"/>
    <w:rsid w:val="00674E35"/>
    <w:rsid w:val="00675622"/>
    <w:rsid w:val="00675DEB"/>
    <w:rsid w:val="0067690E"/>
    <w:rsid w:val="00677454"/>
    <w:rsid w:val="0067747D"/>
    <w:rsid w:val="00677F22"/>
    <w:rsid w:val="006810A8"/>
    <w:rsid w:val="006818D5"/>
    <w:rsid w:val="00681CA4"/>
    <w:rsid w:val="00681D59"/>
    <w:rsid w:val="00683282"/>
    <w:rsid w:val="00684A28"/>
    <w:rsid w:val="00685EF8"/>
    <w:rsid w:val="006863C7"/>
    <w:rsid w:val="00686559"/>
    <w:rsid w:val="0068681A"/>
    <w:rsid w:val="00690347"/>
    <w:rsid w:val="0069039D"/>
    <w:rsid w:val="006906DB"/>
    <w:rsid w:val="00691900"/>
    <w:rsid w:val="00691A2C"/>
    <w:rsid w:val="00691E6C"/>
    <w:rsid w:val="0069261D"/>
    <w:rsid w:val="00693425"/>
    <w:rsid w:val="0069342D"/>
    <w:rsid w:val="0069374A"/>
    <w:rsid w:val="00693B7B"/>
    <w:rsid w:val="00693DFB"/>
    <w:rsid w:val="006942D1"/>
    <w:rsid w:val="00694FD5"/>
    <w:rsid w:val="0069501D"/>
    <w:rsid w:val="00696129"/>
    <w:rsid w:val="0069695A"/>
    <w:rsid w:val="00697292"/>
    <w:rsid w:val="00697CF2"/>
    <w:rsid w:val="006A12A5"/>
    <w:rsid w:val="006A21A8"/>
    <w:rsid w:val="006A2515"/>
    <w:rsid w:val="006A32DD"/>
    <w:rsid w:val="006A371F"/>
    <w:rsid w:val="006A3B70"/>
    <w:rsid w:val="006A3BB3"/>
    <w:rsid w:val="006A40B5"/>
    <w:rsid w:val="006A5696"/>
    <w:rsid w:val="006A572D"/>
    <w:rsid w:val="006A5E20"/>
    <w:rsid w:val="006B00B7"/>
    <w:rsid w:val="006B07BE"/>
    <w:rsid w:val="006B0D94"/>
    <w:rsid w:val="006B16B6"/>
    <w:rsid w:val="006B2582"/>
    <w:rsid w:val="006B3DB3"/>
    <w:rsid w:val="006B4087"/>
    <w:rsid w:val="006B485D"/>
    <w:rsid w:val="006B5586"/>
    <w:rsid w:val="006B5CAB"/>
    <w:rsid w:val="006B79A6"/>
    <w:rsid w:val="006B7DDA"/>
    <w:rsid w:val="006B7F1C"/>
    <w:rsid w:val="006C0C45"/>
    <w:rsid w:val="006C2806"/>
    <w:rsid w:val="006C2A06"/>
    <w:rsid w:val="006C334C"/>
    <w:rsid w:val="006C34C2"/>
    <w:rsid w:val="006C4902"/>
    <w:rsid w:val="006C4B9C"/>
    <w:rsid w:val="006C4EB5"/>
    <w:rsid w:val="006C5F92"/>
    <w:rsid w:val="006C6C10"/>
    <w:rsid w:val="006C708E"/>
    <w:rsid w:val="006D017F"/>
    <w:rsid w:val="006D14E7"/>
    <w:rsid w:val="006D162F"/>
    <w:rsid w:val="006D1C53"/>
    <w:rsid w:val="006D1FA4"/>
    <w:rsid w:val="006D401B"/>
    <w:rsid w:val="006D4444"/>
    <w:rsid w:val="006D4B7B"/>
    <w:rsid w:val="006D4DF6"/>
    <w:rsid w:val="006D58D4"/>
    <w:rsid w:val="006D6493"/>
    <w:rsid w:val="006D67AF"/>
    <w:rsid w:val="006D6EC7"/>
    <w:rsid w:val="006D7B05"/>
    <w:rsid w:val="006D7E45"/>
    <w:rsid w:val="006E0DED"/>
    <w:rsid w:val="006E1143"/>
    <w:rsid w:val="006E1BCD"/>
    <w:rsid w:val="006E2732"/>
    <w:rsid w:val="006E5335"/>
    <w:rsid w:val="006E59CD"/>
    <w:rsid w:val="006E72F9"/>
    <w:rsid w:val="006E790D"/>
    <w:rsid w:val="006F00ED"/>
    <w:rsid w:val="006F026F"/>
    <w:rsid w:val="006F0A71"/>
    <w:rsid w:val="006F0D26"/>
    <w:rsid w:val="006F18B9"/>
    <w:rsid w:val="006F1C6B"/>
    <w:rsid w:val="006F2ECE"/>
    <w:rsid w:val="006F40C2"/>
    <w:rsid w:val="006F5125"/>
    <w:rsid w:val="006F531B"/>
    <w:rsid w:val="006F6D41"/>
    <w:rsid w:val="006F733D"/>
    <w:rsid w:val="006F79C4"/>
    <w:rsid w:val="006F79D3"/>
    <w:rsid w:val="0070052B"/>
    <w:rsid w:val="0070071E"/>
    <w:rsid w:val="00700765"/>
    <w:rsid w:val="00701555"/>
    <w:rsid w:val="00701DDA"/>
    <w:rsid w:val="00702959"/>
    <w:rsid w:val="00702B6F"/>
    <w:rsid w:val="007030B4"/>
    <w:rsid w:val="007039D7"/>
    <w:rsid w:val="00703B86"/>
    <w:rsid w:val="00704069"/>
    <w:rsid w:val="0070511F"/>
    <w:rsid w:val="00706417"/>
    <w:rsid w:val="00706A2F"/>
    <w:rsid w:val="0070718E"/>
    <w:rsid w:val="007073CC"/>
    <w:rsid w:val="00707E52"/>
    <w:rsid w:val="00710259"/>
    <w:rsid w:val="0071031F"/>
    <w:rsid w:val="00710534"/>
    <w:rsid w:val="00710737"/>
    <w:rsid w:val="00710D6C"/>
    <w:rsid w:val="00710DFB"/>
    <w:rsid w:val="00711324"/>
    <w:rsid w:val="0071245F"/>
    <w:rsid w:val="0071340B"/>
    <w:rsid w:val="00713C50"/>
    <w:rsid w:val="00713FF5"/>
    <w:rsid w:val="007140BD"/>
    <w:rsid w:val="0071436D"/>
    <w:rsid w:val="0071508D"/>
    <w:rsid w:val="00715BBB"/>
    <w:rsid w:val="00715CA1"/>
    <w:rsid w:val="00716741"/>
    <w:rsid w:val="007167BB"/>
    <w:rsid w:val="007174BB"/>
    <w:rsid w:val="0072025D"/>
    <w:rsid w:val="00721856"/>
    <w:rsid w:val="00721D70"/>
    <w:rsid w:val="0072218B"/>
    <w:rsid w:val="0072248A"/>
    <w:rsid w:val="00723328"/>
    <w:rsid w:val="007237DE"/>
    <w:rsid w:val="0072502E"/>
    <w:rsid w:val="00725553"/>
    <w:rsid w:val="00725926"/>
    <w:rsid w:val="00725D03"/>
    <w:rsid w:val="00727455"/>
    <w:rsid w:val="0072786F"/>
    <w:rsid w:val="00727C7F"/>
    <w:rsid w:val="00731019"/>
    <w:rsid w:val="0073137C"/>
    <w:rsid w:val="007315F4"/>
    <w:rsid w:val="00731827"/>
    <w:rsid w:val="0073306D"/>
    <w:rsid w:val="007338F3"/>
    <w:rsid w:val="00733C39"/>
    <w:rsid w:val="00733C56"/>
    <w:rsid w:val="007340B9"/>
    <w:rsid w:val="00734984"/>
    <w:rsid w:val="007353D3"/>
    <w:rsid w:val="00735512"/>
    <w:rsid w:val="00735556"/>
    <w:rsid w:val="0073736F"/>
    <w:rsid w:val="0074156B"/>
    <w:rsid w:val="00741619"/>
    <w:rsid w:val="00742885"/>
    <w:rsid w:val="00743A1D"/>
    <w:rsid w:val="00747092"/>
    <w:rsid w:val="007477FF"/>
    <w:rsid w:val="0074797A"/>
    <w:rsid w:val="00747E8B"/>
    <w:rsid w:val="00750094"/>
    <w:rsid w:val="007500DB"/>
    <w:rsid w:val="007502BF"/>
    <w:rsid w:val="00750BA7"/>
    <w:rsid w:val="0075197D"/>
    <w:rsid w:val="00751A8B"/>
    <w:rsid w:val="007526E6"/>
    <w:rsid w:val="00752F60"/>
    <w:rsid w:val="0075383D"/>
    <w:rsid w:val="00754A4C"/>
    <w:rsid w:val="00754C18"/>
    <w:rsid w:val="00754DF9"/>
    <w:rsid w:val="007555E8"/>
    <w:rsid w:val="00755CC5"/>
    <w:rsid w:val="00756CB2"/>
    <w:rsid w:val="007573D1"/>
    <w:rsid w:val="00762862"/>
    <w:rsid w:val="00763A09"/>
    <w:rsid w:val="0076420C"/>
    <w:rsid w:val="007643EA"/>
    <w:rsid w:val="00764428"/>
    <w:rsid w:val="00764B6A"/>
    <w:rsid w:val="00765852"/>
    <w:rsid w:val="00767984"/>
    <w:rsid w:val="00771D07"/>
    <w:rsid w:val="00772185"/>
    <w:rsid w:val="00772649"/>
    <w:rsid w:val="00772F5D"/>
    <w:rsid w:val="00773113"/>
    <w:rsid w:val="0077392C"/>
    <w:rsid w:val="00773BE3"/>
    <w:rsid w:val="007743DD"/>
    <w:rsid w:val="00774573"/>
    <w:rsid w:val="00774E2C"/>
    <w:rsid w:val="0077503C"/>
    <w:rsid w:val="0077518D"/>
    <w:rsid w:val="007753C2"/>
    <w:rsid w:val="00776068"/>
    <w:rsid w:val="00777492"/>
    <w:rsid w:val="00780D87"/>
    <w:rsid w:val="00781D28"/>
    <w:rsid w:val="007821C4"/>
    <w:rsid w:val="007838B8"/>
    <w:rsid w:val="00785779"/>
    <w:rsid w:val="00785E73"/>
    <w:rsid w:val="0078733F"/>
    <w:rsid w:val="00787A0E"/>
    <w:rsid w:val="00787FD8"/>
    <w:rsid w:val="007908C1"/>
    <w:rsid w:val="00791537"/>
    <w:rsid w:val="007915BA"/>
    <w:rsid w:val="00791844"/>
    <w:rsid w:val="0079250E"/>
    <w:rsid w:val="0079314B"/>
    <w:rsid w:val="00793582"/>
    <w:rsid w:val="0079374A"/>
    <w:rsid w:val="007939AF"/>
    <w:rsid w:val="00793CE9"/>
    <w:rsid w:val="0079497C"/>
    <w:rsid w:val="00796077"/>
    <w:rsid w:val="00796667"/>
    <w:rsid w:val="00797068"/>
    <w:rsid w:val="00797353"/>
    <w:rsid w:val="00797614"/>
    <w:rsid w:val="007979BD"/>
    <w:rsid w:val="007A11C6"/>
    <w:rsid w:val="007A1B30"/>
    <w:rsid w:val="007A339A"/>
    <w:rsid w:val="007A3D8E"/>
    <w:rsid w:val="007A4802"/>
    <w:rsid w:val="007A50F0"/>
    <w:rsid w:val="007A5C88"/>
    <w:rsid w:val="007A5FA7"/>
    <w:rsid w:val="007A639B"/>
    <w:rsid w:val="007A67CF"/>
    <w:rsid w:val="007A6A2F"/>
    <w:rsid w:val="007A6B44"/>
    <w:rsid w:val="007A6FAC"/>
    <w:rsid w:val="007A7278"/>
    <w:rsid w:val="007A741B"/>
    <w:rsid w:val="007B005F"/>
    <w:rsid w:val="007B024E"/>
    <w:rsid w:val="007B0927"/>
    <w:rsid w:val="007B0E10"/>
    <w:rsid w:val="007B0E18"/>
    <w:rsid w:val="007B1351"/>
    <w:rsid w:val="007B1E26"/>
    <w:rsid w:val="007B1F17"/>
    <w:rsid w:val="007B2EEA"/>
    <w:rsid w:val="007B36FF"/>
    <w:rsid w:val="007B3BAF"/>
    <w:rsid w:val="007B3DD1"/>
    <w:rsid w:val="007B3DDC"/>
    <w:rsid w:val="007B4196"/>
    <w:rsid w:val="007B43BB"/>
    <w:rsid w:val="007B5D94"/>
    <w:rsid w:val="007B72A6"/>
    <w:rsid w:val="007C06D2"/>
    <w:rsid w:val="007C08D1"/>
    <w:rsid w:val="007C08E0"/>
    <w:rsid w:val="007C0F57"/>
    <w:rsid w:val="007C1CA9"/>
    <w:rsid w:val="007C210B"/>
    <w:rsid w:val="007C244C"/>
    <w:rsid w:val="007C26BD"/>
    <w:rsid w:val="007C2F4B"/>
    <w:rsid w:val="007C324A"/>
    <w:rsid w:val="007C40B6"/>
    <w:rsid w:val="007C4237"/>
    <w:rsid w:val="007C5975"/>
    <w:rsid w:val="007C6172"/>
    <w:rsid w:val="007C729F"/>
    <w:rsid w:val="007C72AD"/>
    <w:rsid w:val="007C7389"/>
    <w:rsid w:val="007D1237"/>
    <w:rsid w:val="007D1A6F"/>
    <w:rsid w:val="007D1F69"/>
    <w:rsid w:val="007D23DF"/>
    <w:rsid w:val="007D2D0F"/>
    <w:rsid w:val="007D2E85"/>
    <w:rsid w:val="007D4A3B"/>
    <w:rsid w:val="007D503D"/>
    <w:rsid w:val="007D59E7"/>
    <w:rsid w:val="007D5D9B"/>
    <w:rsid w:val="007D5F2A"/>
    <w:rsid w:val="007D693C"/>
    <w:rsid w:val="007D6E42"/>
    <w:rsid w:val="007E04BA"/>
    <w:rsid w:val="007E07AC"/>
    <w:rsid w:val="007E1014"/>
    <w:rsid w:val="007E12F8"/>
    <w:rsid w:val="007E14EB"/>
    <w:rsid w:val="007E1673"/>
    <w:rsid w:val="007E1D28"/>
    <w:rsid w:val="007E25F8"/>
    <w:rsid w:val="007E32FB"/>
    <w:rsid w:val="007E35E1"/>
    <w:rsid w:val="007E4564"/>
    <w:rsid w:val="007E490F"/>
    <w:rsid w:val="007E5AF3"/>
    <w:rsid w:val="007E6533"/>
    <w:rsid w:val="007E6607"/>
    <w:rsid w:val="007E6BE5"/>
    <w:rsid w:val="007F0021"/>
    <w:rsid w:val="007F1007"/>
    <w:rsid w:val="007F2641"/>
    <w:rsid w:val="007F2D6B"/>
    <w:rsid w:val="007F4B86"/>
    <w:rsid w:val="007F7625"/>
    <w:rsid w:val="007F7C36"/>
    <w:rsid w:val="007F7E51"/>
    <w:rsid w:val="007F7F45"/>
    <w:rsid w:val="0080001F"/>
    <w:rsid w:val="00801958"/>
    <w:rsid w:val="00801B63"/>
    <w:rsid w:val="008055AF"/>
    <w:rsid w:val="008057CD"/>
    <w:rsid w:val="008064F0"/>
    <w:rsid w:val="008066B8"/>
    <w:rsid w:val="00806796"/>
    <w:rsid w:val="00807044"/>
    <w:rsid w:val="00810167"/>
    <w:rsid w:val="0081022B"/>
    <w:rsid w:val="008104D0"/>
    <w:rsid w:val="008112CA"/>
    <w:rsid w:val="00811CC0"/>
    <w:rsid w:val="0081218E"/>
    <w:rsid w:val="00814276"/>
    <w:rsid w:val="008142D2"/>
    <w:rsid w:val="00814302"/>
    <w:rsid w:val="00814857"/>
    <w:rsid w:val="008151D6"/>
    <w:rsid w:val="00816322"/>
    <w:rsid w:val="00816329"/>
    <w:rsid w:val="00820803"/>
    <w:rsid w:val="008210E7"/>
    <w:rsid w:val="00821527"/>
    <w:rsid w:val="00821CDF"/>
    <w:rsid w:val="00821F60"/>
    <w:rsid w:val="00822162"/>
    <w:rsid w:val="008225CE"/>
    <w:rsid w:val="00822696"/>
    <w:rsid w:val="00822C0B"/>
    <w:rsid w:val="00823581"/>
    <w:rsid w:val="008237FA"/>
    <w:rsid w:val="00825366"/>
    <w:rsid w:val="0082538B"/>
    <w:rsid w:val="00825A6C"/>
    <w:rsid w:val="0082617E"/>
    <w:rsid w:val="008268BB"/>
    <w:rsid w:val="00826F6D"/>
    <w:rsid w:val="00827097"/>
    <w:rsid w:val="008306F3"/>
    <w:rsid w:val="00830D62"/>
    <w:rsid w:val="00830E40"/>
    <w:rsid w:val="008311DC"/>
    <w:rsid w:val="00831242"/>
    <w:rsid w:val="00831B88"/>
    <w:rsid w:val="00831C20"/>
    <w:rsid w:val="00832D9A"/>
    <w:rsid w:val="008331B5"/>
    <w:rsid w:val="00833D0F"/>
    <w:rsid w:val="00835C62"/>
    <w:rsid w:val="008364FA"/>
    <w:rsid w:val="008368A1"/>
    <w:rsid w:val="00837B7F"/>
    <w:rsid w:val="00837C06"/>
    <w:rsid w:val="00840EF7"/>
    <w:rsid w:val="0084196B"/>
    <w:rsid w:val="00842044"/>
    <w:rsid w:val="00843436"/>
    <w:rsid w:val="00843437"/>
    <w:rsid w:val="00843B75"/>
    <w:rsid w:val="00844AE8"/>
    <w:rsid w:val="00844C0A"/>
    <w:rsid w:val="00844FD0"/>
    <w:rsid w:val="00844FD1"/>
    <w:rsid w:val="00846056"/>
    <w:rsid w:val="0084681F"/>
    <w:rsid w:val="00847049"/>
    <w:rsid w:val="00847D08"/>
    <w:rsid w:val="00847EC0"/>
    <w:rsid w:val="0085037E"/>
    <w:rsid w:val="00851239"/>
    <w:rsid w:val="00851B11"/>
    <w:rsid w:val="00852C02"/>
    <w:rsid w:val="00852D51"/>
    <w:rsid w:val="00853819"/>
    <w:rsid w:val="00854506"/>
    <w:rsid w:val="008546AD"/>
    <w:rsid w:val="00854EBC"/>
    <w:rsid w:val="00854ED7"/>
    <w:rsid w:val="008559AB"/>
    <w:rsid w:val="00855FD6"/>
    <w:rsid w:val="00856552"/>
    <w:rsid w:val="00856B79"/>
    <w:rsid w:val="00856DDD"/>
    <w:rsid w:val="008576D1"/>
    <w:rsid w:val="00860233"/>
    <w:rsid w:val="008617EF"/>
    <w:rsid w:val="00861A81"/>
    <w:rsid w:val="00862E91"/>
    <w:rsid w:val="00863DB4"/>
    <w:rsid w:val="00863E68"/>
    <w:rsid w:val="008647B5"/>
    <w:rsid w:val="00864A11"/>
    <w:rsid w:val="0086692E"/>
    <w:rsid w:val="00866DF1"/>
    <w:rsid w:val="00866F1F"/>
    <w:rsid w:val="00867938"/>
    <w:rsid w:val="00867D64"/>
    <w:rsid w:val="00867D85"/>
    <w:rsid w:val="00871C7B"/>
    <w:rsid w:val="00872E8F"/>
    <w:rsid w:val="008737FA"/>
    <w:rsid w:val="008749B1"/>
    <w:rsid w:val="00874B9A"/>
    <w:rsid w:val="00874FE3"/>
    <w:rsid w:val="008756E8"/>
    <w:rsid w:val="00875DCB"/>
    <w:rsid w:val="00876FBF"/>
    <w:rsid w:val="0087755A"/>
    <w:rsid w:val="00877621"/>
    <w:rsid w:val="0088046E"/>
    <w:rsid w:val="0088076C"/>
    <w:rsid w:val="00880C31"/>
    <w:rsid w:val="00881691"/>
    <w:rsid w:val="008818F0"/>
    <w:rsid w:val="00882085"/>
    <w:rsid w:val="00883188"/>
    <w:rsid w:val="00883D63"/>
    <w:rsid w:val="00883DF3"/>
    <w:rsid w:val="00883F7D"/>
    <w:rsid w:val="0088483B"/>
    <w:rsid w:val="00884A0C"/>
    <w:rsid w:val="0088611B"/>
    <w:rsid w:val="008866F3"/>
    <w:rsid w:val="00886ACA"/>
    <w:rsid w:val="00886B01"/>
    <w:rsid w:val="008871F3"/>
    <w:rsid w:val="008876B6"/>
    <w:rsid w:val="008878C3"/>
    <w:rsid w:val="008878EF"/>
    <w:rsid w:val="0089031E"/>
    <w:rsid w:val="0089109A"/>
    <w:rsid w:val="0089287D"/>
    <w:rsid w:val="00892C3D"/>
    <w:rsid w:val="00893742"/>
    <w:rsid w:val="00893D5C"/>
    <w:rsid w:val="008940C9"/>
    <w:rsid w:val="0089420E"/>
    <w:rsid w:val="0089460B"/>
    <w:rsid w:val="00894C7B"/>
    <w:rsid w:val="0089532A"/>
    <w:rsid w:val="00895414"/>
    <w:rsid w:val="00895844"/>
    <w:rsid w:val="008964C9"/>
    <w:rsid w:val="00897D58"/>
    <w:rsid w:val="00897F22"/>
    <w:rsid w:val="008A0B39"/>
    <w:rsid w:val="008A0DEC"/>
    <w:rsid w:val="008A17A3"/>
    <w:rsid w:val="008A1956"/>
    <w:rsid w:val="008A1E85"/>
    <w:rsid w:val="008A2419"/>
    <w:rsid w:val="008A2AE1"/>
    <w:rsid w:val="008A4937"/>
    <w:rsid w:val="008A4F50"/>
    <w:rsid w:val="008A4F98"/>
    <w:rsid w:val="008A50F1"/>
    <w:rsid w:val="008A5266"/>
    <w:rsid w:val="008A59D9"/>
    <w:rsid w:val="008A643E"/>
    <w:rsid w:val="008A65E2"/>
    <w:rsid w:val="008A6819"/>
    <w:rsid w:val="008A70EB"/>
    <w:rsid w:val="008A7172"/>
    <w:rsid w:val="008A76AE"/>
    <w:rsid w:val="008B007A"/>
    <w:rsid w:val="008B0C61"/>
    <w:rsid w:val="008B1016"/>
    <w:rsid w:val="008B1D0A"/>
    <w:rsid w:val="008B2EC0"/>
    <w:rsid w:val="008B3099"/>
    <w:rsid w:val="008B3BF0"/>
    <w:rsid w:val="008B4181"/>
    <w:rsid w:val="008B6992"/>
    <w:rsid w:val="008B6B26"/>
    <w:rsid w:val="008B6D22"/>
    <w:rsid w:val="008B6DCF"/>
    <w:rsid w:val="008B6ECE"/>
    <w:rsid w:val="008C0404"/>
    <w:rsid w:val="008C0C6C"/>
    <w:rsid w:val="008C3931"/>
    <w:rsid w:val="008C472E"/>
    <w:rsid w:val="008C4D49"/>
    <w:rsid w:val="008C60F2"/>
    <w:rsid w:val="008D0531"/>
    <w:rsid w:val="008D0644"/>
    <w:rsid w:val="008D0945"/>
    <w:rsid w:val="008D1409"/>
    <w:rsid w:val="008D14E2"/>
    <w:rsid w:val="008D15CC"/>
    <w:rsid w:val="008D1729"/>
    <w:rsid w:val="008D1B43"/>
    <w:rsid w:val="008D1B5C"/>
    <w:rsid w:val="008D1F23"/>
    <w:rsid w:val="008D3C82"/>
    <w:rsid w:val="008D447E"/>
    <w:rsid w:val="008D6019"/>
    <w:rsid w:val="008D6702"/>
    <w:rsid w:val="008D6ACF"/>
    <w:rsid w:val="008D7A41"/>
    <w:rsid w:val="008E039B"/>
    <w:rsid w:val="008E0C21"/>
    <w:rsid w:val="008E1087"/>
    <w:rsid w:val="008E1B03"/>
    <w:rsid w:val="008E2C44"/>
    <w:rsid w:val="008E2C72"/>
    <w:rsid w:val="008E3680"/>
    <w:rsid w:val="008E4A93"/>
    <w:rsid w:val="008E4F87"/>
    <w:rsid w:val="008E585B"/>
    <w:rsid w:val="008E5870"/>
    <w:rsid w:val="008E68C4"/>
    <w:rsid w:val="008E77E4"/>
    <w:rsid w:val="008F0213"/>
    <w:rsid w:val="008F07ED"/>
    <w:rsid w:val="008F0C28"/>
    <w:rsid w:val="008F11F8"/>
    <w:rsid w:val="008F12FC"/>
    <w:rsid w:val="008F1434"/>
    <w:rsid w:val="008F2883"/>
    <w:rsid w:val="008F2BB9"/>
    <w:rsid w:val="008F2FA8"/>
    <w:rsid w:val="008F3491"/>
    <w:rsid w:val="008F3D6A"/>
    <w:rsid w:val="008F3E2B"/>
    <w:rsid w:val="008F4C90"/>
    <w:rsid w:val="008F52B7"/>
    <w:rsid w:val="008F5414"/>
    <w:rsid w:val="008F54C3"/>
    <w:rsid w:val="008F65EE"/>
    <w:rsid w:val="008F7355"/>
    <w:rsid w:val="008F7BA7"/>
    <w:rsid w:val="0090074C"/>
    <w:rsid w:val="00900C0B"/>
    <w:rsid w:val="009020C9"/>
    <w:rsid w:val="009023DC"/>
    <w:rsid w:val="00902558"/>
    <w:rsid w:val="009027C5"/>
    <w:rsid w:val="00902E3E"/>
    <w:rsid w:val="00904413"/>
    <w:rsid w:val="00905D0A"/>
    <w:rsid w:val="009065D7"/>
    <w:rsid w:val="0090671E"/>
    <w:rsid w:val="009067B7"/>
    <w:rsid w:val="00906DDA"/>
    <w:rsid w:val="00906E7A"/>
    <w:rsid w:val="00906E7F"/>
    <w:rsid w:val="009070F2"/>
    <w:rsid w:val="0090775A"/>
    <w:rsid w:val="00907DFD"/>
    <w:rsid w:val="00911A49"/>
    <w:rsid w:val="00911AAA"/>
    <w:rsid w:val="00912951"/>
    <w:rsid w:val="00913C99"/>
    <w:rsid w:val="009145CA"/>
    <w:rsid w:val="00914BDC"/>
    <w:rsid w:val="009151D1"/>
    <w:rsid w:val="009152EA"/>
    <w:rsid w:val="009154BA"/>
    <w:rsid w:val="009165ED"/>
    <w:rsid w:val="009172C0"/>
    <w:rsid w:val="00917BE6"/>
    <w:rsid w:val="00917D69"/>
    <w:rsid w:val="0092004B"/>
    <w:rsid w:val="00920B6D"/>
    <w:rsid w:val="00922C68"/>
    <w:rsid w:val="00923B02"/>
    <w:rsid w:val="0092560C"/>
    <w:rsid w:val="0092570C"/>
    <w:rsid w:val="00925786"/>
    <w:rsid w:val="00925A8B"/>
    <w:rsid w:val="00925D78"/>
    <w:rsid w:val="0092654C"/>
    <w:rsid w:val="00926560"/>
    <w:rsid w:val="0092667C"/>
    <w:rsid w:val="00926927"/>
    <w:rsid w:val="00926B15"/>
    <w:rsid w:val="00926DB2"/>
    <w:rsid w:val="00927C24"/>
    <w:rsid w:val="00927E07"/>
    <w:rsid w:val="00930291"/>
    <w:rsid w:val="00930937"/>
    <w:rsid w:val="00931BEA"/>
    <w:rsid w:val="009324A6"/>
    <w:rsid w:val="009332FD"/>
    <w:rsid w:val="00933B7D"/>
    <w:rsid w:val="00933E6C"/>
    <w:rsid w:val="00934CFC"/>
    <w:rsid w:val="00934E2C"/>
    <w:rsid w:val="0093542C"/>
    <w:rsid w:val="00935A6E"/>
    <w:rsid w:val="00937958"/>
    <w:rsid w:val="00940529"/>
    <w:rsid w:val="009406E5"/>
    <w:rsid w:val="00941602"/>
    <w:rsid w:val="00941AA3"/>
    <w:rsid w:val="00942160"/>
    <w:rsid w:val="00942CD4"/>
    <w:rsid w:val="00943F9C"/>
    <w:rsid w:val="009448AE"/>
    <w:rsid w:val="00945B6B"/>
    <w:rsid w:val="00945D0D"/>
    <w:rsid w:val="00946921"/>
    <w:rsid w:val="00946F28"/>
    <w:rsid w:val="00947343"/>
    <w:rsid w:val="00950794"/>
    <w:rsid w:val="0095146F"/>
    <w:rsid w:val="00951A4A"/>
    <w:rsid w:val="00951B98"/>
    <w:rsid w:val="00951CA1"/>
    <w:rsid w:val="00951F2D"/>
    <w:rsid w:val="00952312"/>
    <w:rsid w:val="00952839"/>
    <w:rsid w:val="0095344C"/>
    <w:rsid w:val="009534C7"/>
    <w:rsid w:val="00953AE7"/>
    <w:rsid w:val="00954B84"/>
    <w:rsid w:val="00954D44"/>
    <w:rsid w:val="00956DB6"/>
    <w:rsid w:val="00957944"/>
    <w:rsid w:val="009602C5"/>
    <w:rsid w:val="0096103A"/>
    <w:rsid w:val="0096189B"/>
    <w:rsid w:val="009621FA"/>
    <w:rsid w:val="00962223"/>
    <w:rsid w:val="0096252B"/>
    <w:rsid w:val="00963939"/>
    <w:rsid w:val="00963B60"/>
    <w:rsid w:val="009644D9"/>
    <w:rsid w:val="00964A9F"/>
    <w:rsid w:val="00964B84"/>
    <w:rsid w:val="00966458"/>
    <w:rsid w:val="00966D0D"/>
    <w:rsid w:val="00966E6A"/>
    <w:rsid w:val="00967732"/>
    <w:rsid w:val="0096783C"/>
    <w:rsid w:val="00970023"/>
    <w:rsid w:val="0097225A"/>
    <w:rsid w:val="009722B3"/>
    <w:rsid w:val="0097267F"/>
    <w:rsid w:val="00973D10"/>
    <w:rsid w:val="00973E24"/>
    <w:rsid w:val="00974C21"/>
    <w:rsid w:val="00974D5F"/>
    <w:rsid w:val="00974EF6"/>
    <w:rsid w:val="00974FCF"/>
    <w:rsid w:val="00975948"/>
    <w:rsid w:val="00976DD2"/>
    <w:rsid w:val="009771CD"/>
    <w:rsid w:val="009772FD"/>
    <w:rsid w:val="00977BF3"/>
    <w:rsid w:val="0098027E"/>
    <w:rsid w:val="009803E4"/>
    <w:rsid w:val="00980B0E"/>
    <w:rsid w:val="009810EC"/>
    <w:rsid w:val="00982B39"/>
    <w:rsid w:val="00983008"/>
    <w:rsid w:val="009836A3"/>
    <w:rsid w:val="00984912"/>
    <w:rsid w:val="00984C58"/>
    <w:rsid w:val="009855A8"/>
    <w:rsid w:val="00985CBE"/>
    <w:rsid w:val="00985D1A"/>
    <w:rsid w:val="00986454"/>
    <w:rsid w:val="00986474"/>
    <w:rsid w:val="0098659B"/>
    <w:rsid w:val="00986708"/>
    <w:rsid w:val="00986E45"/>
    <w:rsid w:val="009872DD"/>
    <w:rsid w:val="009875A6"/>
    <w:rsid w:val="009906A9"/>
    <w:rsid w:val="0099082E"/>
    <w:rsid w:val="00990986"/>
    <w:rsid w:val="00990CF8"/>
    <w:rsid w:val="009913F4"/>
    <w:rsid w:val="00991782"/>
    <w:rsid w:val="009919C2"/>
    <w:rsid w:val="009937F7"/>
    <w:rsid w:val="00993AB1"/>
    <w:rsid w:val="0099465B"/>
    <w:rsid w:val="00994E26"/>
    <w:rsid w:val="009951A1"/>
    <w:rsid w:val="00995235"/>
    <w:rsid w:val="0099655F"/>
    <w:rsid w:val="00997195"/>
    <w:rsid w:val="00997A44"/>
    <w:rsid w:val="00997DB2"/>
    <w:rsid w:val="009A0095"/>
    <w:rsid w:val="009A022C"/>
    <w:rsid w:val="009A0CDD"/>
    <w:rsid w:val="009A28CC"/>
    <w:rsid w:val="009A2EC5"/>
    <w:rsid w:val="009A3168"/>
    <w:rsid w:val="009A40A8"/>
    <w:rsid w:val="009A4621"/>
    <w:rsid w:val="009A4926"/>
    <w:rsid w:val="009A4BDF"/>
    <w:rsid w:val="009A5081"/>
    <w:rsid w:val="009A571A"/>
    <w:rsid w:val="009A5D04"/>
    <w:rsid w:val="009A5DF7"/>
    <w:rsid w:val="009A61CA"/>
    <w:rsid w:val="009A6D33"/>
    <w:rsid w:val="009A6FAB"/>
    <w:rsid w:val="009A76D9"/>
    <w:rsid w:val="009A7EAE"/>
    <w:rsid w:val="009B0062"/>
    <w:rsid w:val="009B0C64"/>
    <w:rsid w:val="009B0F67"/>
    <w:rsid w:val="009B208A"/>
    <w:rsid w:val="009B2756"/>
    <w:rsid w:val="009B27D5"/>
    <w:rsid w:val="009B286C"/>
    <w:rsid w:val="009B28DF"/>
    <w:rsid w:val="009B30DA"/>
    <w:rsid w:val="009B3D56"/>
    <w:rsid w:val="009B3F8C"/>
    <w:rsid w:val="009B533B"/>
    <w:rsid w:val="009B546B"/>
    <w:rsid w:val="009B5671"/>
    <w:rsid w:val="009B7D7C"/>
    <w:rsid w:val="009C26AA"/>
    <w:rsid w:val="009C2C86"/>
    <w:rsid w:val="009C39B7"/>
    <w:rsid w:val="009C3EE6"/>
    <w:rsid w:val="009C444A"/>
    <w:rsid w:val="009C4A09"/>
    <w:rsid w:val="009C59B9"/>
    <w:rsid w:val="009C69B2"/>
    <w:rsid w:val="009C7004"/>
    <w:rsid w:val="009C703C"/>
    <w:rsid w:val="009D092E"/>
    <w:rsid w:val="009D0C29"/>
    <w:rsid w:val="009D16E5"/>
    <w:rsid w:val="009D17EF"/>
    <w:rsid w:val="009D1E71"/>
    <w:rsid w:val="009D206E"/>
    <w:rsid w:val="009D25EF"/>
    <w:rsid w:val="009D2F01"/>
    <w:rsid w:val="009D2FBC"/>
    <w:rsid w:val="009D3450"/>
    <w:rsid w:val="009D3CAA"/>
    <w:rsid w:val="009D485D"/>
    <w:rsid w:val="009D507A"/>
    <w:rsid w:val="009D5EBD"/>
    <w:rsid w:val="009D6532"/>
    <w:rsid w:val="009D71FD"/>
    <w:rsid w:val="009D7FCE"/>
    <w:rsid w:val="009E06F0"/>
    <w:rsid w:val="009E0755"/>
    <w:rsid w:val="009E10AD"/>
    <w:rsid w:val="009E18F3"/>
    <w:rsid w:val="009E20CA"/>
    <w:rsid w:val="009E2588"/>
    <w:rsid w:val="009E2E8E"/>
    <w:rsid w:val="009E3AFF"/>
    <w:rsid w:val="009E40E1"/>
    <w:rsid w:val="009E54B9"/>
    <w:rsid w:val="009E5A1A"/>
    <w:rsid w:val="009E7612"/>
    <w:rsid w:val="009E7A72"/>
    <w:rsid w:val="009E7CE0"/>
    <w:rsid w:val="009F0EFA"/>
    <w:rsid w:val="009F1168"/>
    <w:rsid w:val="009F1487"/>
    <w:rsid w:val="009F2BD9"/>
    <w:rsid w:val="009F380E"/>
    <w:rsid w:val="009F396B"/>
    <w:rsid w:val="009F4268"/>
    <w:rsid w:val="009F4E46"/>
    <w:rsid w:val="009F4EF4"/>
    <w:rsid w:val="009F52BA"/>
    <w:rsid w:val="009F5B65"/>
    <w:rsid w:val="009F5F2E"/>
    <w:rsid w:val="009F5F55"/>
    <w:rsid w:val="009F661C"/>
    <w:rsid w:val="009F778C"/>
    <w:rsid w:val="009F79EC"/>
    <w:rsid w:val="00A0057B"/>
    <w:rsid w:val="00A01432"/>
    <w:rsid w:val="00A0167A"/>
    <w:rsid w:val="00A01980"/>
    <w:rsid w:val="00A01F52"/>
    <w:rsid w:val="00A02B82"/>
    <w:rsid w:val="00A030DA"/>
    <w:rsid w:val="00A0380D"/>
    <w:rsid w:val="00A03A6A"/>
    <w:rsid w:val="00A0483F"/>
    <w:rsid w:val="00A050A6"/>
    <w:rsid w:val="00A05C01"/>
    <w:rsid w:val="00A06225"/>
    <w:rsid w:val="00A066E6"/>
    <w:rsid w:val="00A068EC"/>
    <w:rsid w:val="00A06BAD"/>
    <w:rsid w:val="00A07422"/>
    <w:rsid w:val="00A07B16"/>
    <w:rsid w:val="00A07DEC"/>
    <w:rsid w:val="00A10004"/>
    <w:rsid w:val="00A10132"/>
    <w:rsid w:val="00A110D1"/>
    <w:rsid w:val="00A11121"/>
    <w:rsid w:val="00A12501"/>
    <w:rsid w:val="00A12587"/>
    <w:rsid w:val="00A128E6"/>
    <w:rsid w:val="00A12C24"/>
    <w:rsid w:val="00A144D3"/>
    <w:rsid w:val="00A15680"/>
    <w:rsid w:val="00A16162"/>
    <w:rsid w:val="00A1697E"/>
    <w:rsid w:val="00A178C2"/>
    <w:rsid w:val="00A17EA7"/>
    <w:rsid w:val="00A2030A"/>
    <w:rsid w:val="00A20360"/>
    <w:rsid w:val="00A21D7D"/>
    <w:rsid w:val="00A22AC3"/>
    <w:rsid w:val="00A234B1"/>
    <w:rsid w:val="00A2351E"/>
    <w:rsid w:val="00A23F3F"/>
    <w:rsid w:val="00A24067"/>
    <w:rsid w:val="00A24A4B"/>
    <w:rsid w:val="00A25EA7"/>
    <w:rsid w:val="00A266B9"/>
    <w:rsid w:val="00A26A40"/>
    <w:rsid w:val="00A26D99"/>
    <w:rsid w:val="00A27307"/>
    <w:rsid w:val="00A2744D"/>
    <w:rsid w:val="00A27B17"/>
    <w:rsid w:val="00A306F6"/>
    <w:rsid w:val="00A30D16"/>
    <w:rsid w:val="00A31936"/>
    <w:rsid w:val="00A31BDC"/>
    <w:rsid w:val="00A33EB7"/>
    <w:rsid w:val="00A34E6C"/>
    <w:rsid w:val="00A34FD0"/>
    <w:rsid w:val="00A351C9"/>
    <w:rsid w:val="00A361EA"/>
    <w:rsid w:val="00A36398"/>
    <w:rsid w:val="00A367E7"/>
    <w:rsid w:val="00A36CC1"/>
    <w:rsid w:val="00A37C8D"/>
    <w:rsid w:val="00A4020E"/>
    <w:rsid w:val="00A40493"/>
    <w:rsid w:val="00A408E8"/>
    <w:rsid w:val="00A40FB5"/>
    <w:rsid w:val="00A42826"/>
    <w:rsid w:val="00A429B3"/>
    <w:rsid w:val="00A42C27"/>
    <w:rsid w:val="00A43BEA"/>
    <w:rsid w:val="00A442F3"/>
    <w:rsid w:val="00A44EC1"/>
    <w:rsid w:val="00A46564"/>
    <w:rsid w:val="00A465B4"/>
    <w:rsid w:val="00A4736D"/>
    <w:rsid w:val="00A50294"/>
    <w:rsid w:val="00A510E4"/>
    <w:rsid w:val="00A5148A"/>
    <w:rsid w:val="00A51F8C"/>
    <w:rsid w:val="00A526F7"/>
    <w:rsid w:val="00A5273B"/>
    <w:rsid w:val="00A52F95"/>
    <w:rsid w:val="00A53156"/>
    <w:rsid w:val="00A53A9D"/>
    <w:rsid w:val="00A54ABE"/>
    <w:rsid w:val="00A54B8B"/>
    <w:rsid w:val="00A558C2"/>
    <w:rsid w:val="00A55E64"/>
    <w:rsid w:val="00A55FEE"/>
    <w:rsid w:val="00A56304"/>
    <w:rsid w:val="00A57422"/>
    <w:rsid w:val="00A57ABF"/>
    <w:rsid w:val="00A610F2"/>
    <w:rsid w:val="00A629CC"/>
    <w:rsid w:val="00A62C1A"/>
    <w:rsid w:val="00A63CA2"/>
    <w:rsid w:val="00A640A1"/>
    <w:rsid w:val="00A640DB"/>
    <w:rsid w:val="00A6426D"/>
    <w:rsid w:val="00A6439B"/>
    <w:rsid w:val="00A644CD"/>
    <w:rsid w:val="00A65A61"/>
    <w:rsid w:val="00A665C1"/>
    <w:rsid w:val="00A66CE1"/>
    <w:rsid w:val="00A66F7C"/>
    <w:rsid w:val="00A6705C"/>
    <w:rsid w:val="00A673A4"/>
    <w:rsid w:val="00A67B40"/>
    <w:rsid w:val="00A7001A"/>
    <w:rsid w:val="00A70622"/>
    <w:rsid w:val="00A70977"/>
    <w:rsid w:val="00A70D58"/>
    <w:rsid w:val="00A71768"/>
    <w:rsid w:val="00A719C6"/>
    <w:rsid w:val="00A721F9"/>
    <w:rsid w:val="00A731C7"/>
    <w:rsid w:val="00A744F9"/>
    <w:rsid w:val="00A74E0F"/>
    <w:rsid w:val="00A74F23"/>
    <w:rsid w:val="00A753A1"/>
    <w:rsid w:val="00A7564B"/>
    <w:rsid w:val="00A759F1"/>
    <w:rsid w:val="00A75FC2"/>
    <w:rsid w:val="00A77613"/>
    <w:rsid w:val="00A77B87"/>
    <w:rsid w:val="00A77E01"/>
    <w:rsid w:val="00A801AD"/>
    <w:rsid w:val="00A8178A"/>
    <w:rsid w:val="00A81851"/>
    <w:rsid w:val="00A82445"/>
    <w:rsid w:val="00A8390C"/>
    <w:rsid w:val="00A83F0C"/>
    <w:rsid w:val="00A85EE3"/>
    <w:rsid w:val="00A86AB5"/>
    <w:rsid w:val="00A86AE0"/>
    <w:rsid w:val="00A87FBD"/>
    <w:rsid w:val="00A904DE"/>
    <w:rsid w:val="00A90515"/>
    <w:rsid w:val="00A912B0"/>
    <w:rsid w:val="00A91326"/>
    <w:rsid w:val="00A91362"/>
    <w:rsid w:val="00A9151C"/>
    <w:rsid w:val="00A919C6"/>
    <w:rsid w:val="00A928BD"/>
    <w:rsid w:val="00A92C41"/>
    <w:rsid w:val="00A92D61"/>
    <w:rsid w:val="00A93264"/>
    <w:rsid w:val="00A936B6"/>
    <w:rsid w:val="00A95168"/>
    <w:rsid w:val="00A9543F"/>
    <w:rsid w:val="00A9765B"/>
    <w:rsid w:val="00A97B77"/>
    <w:rsid w:val="00A97DE9"/>
    <w:rsid w:val="00AA01CA"/>
    <w:rsid w:val="00AA12CD"/>
    <w:rsid w:val="00AA13DF"/>
    <w:rsid w:val="00AA24E9"/>
    <w:rsid w:val="00AA3CF9"/>
    <w:rsid w:val="00AA4D1C"/>
    <w:rsid w:val="00AA4F49"/>
    <w:rsid w:val="00AA52FD"/>
    <w:rsid w:val="00AA541A"/>
    <w:rsid w:val="00AA5D40"/>
    <w:rsid w:val="00AA651E"/>
    <w:rsid w:val="00AA7006"/>
    <w:rsid w:val="00AA74CE"/>
    <w:rsid w:val="00AA7F7C"/>
    <w:rsid w:val="00AB0459"/>
    <w:rsid w:val="00AB052A"/>
    <w:rsid w:val="00AB2C09"/>
    <w:rsid w:val="00AB3138"/>
    <w:rsid w:val="00AB3D49"/>
    <w:rsid w:val="00AB4684"/>
    <w:rsid w:val="00AB5856"/>
    <w:rsid w:val="00AB604E"/>
    <w:rsid w:val="00AB6A80"/>
    <w:rsid w:val="00AB6E64"/>
    <w:rsid w:val="00AB7039"/>
    <w:rsid w:val="00AB764A"/>
    <w:rsid w:val="00AC081D"/>
    <w:rsid w:val="00AC0C6F"/>
    <w:rsid w:val="00AC1266"/>
    <w:rsid w:val="00AC193C"/>
    <w:rsid w:val="00AC30C1"/>
    <w:rsid w:val="00AC33F7"/>
    <w:rsid w:val="00AC4DE5"/>
    <w:rsid w:val="00AC5206"/>
    <w:rsid w:val="00AC54BE"/>
    <w:rsid w:val="00AC6397"/>
    <w:rsid w:val="00AC67F2"/>
    <w:rsid w:val="00AC6B25"/>
    <w:rsid w:val="00AC6B87"/>
    <w:rsid w:val="00AC7062"/>
    <w:rsid w:val="00AC7B1A"/>
    <w:rsid w:val="00AD095B"/>
    <w:rsid w:val="00AD217F"/>
    <w:rsid w:val="00AD3106"/>
    <w:rsid w:val="00AD325A"/>
    <w:rsid w:val="00AD346D"/>
    <w:rsid w:val="00AD3F81"/>
    <w:rsid w:val="00AD4322"/>
    <w:rsid w:val="00AD4DB1"/>
    <w:rsid w:val="00AD5A0A"/>
    <w:rsid w:val="00AD6719"/>
    <w:rsid w:val="00AD675F"/>
    <w:rsid w:val="00AD7C45"/>
    <w:rsid w:val="00AD7FAD"/>
    <w:rsid w:val="00AE11A5"/>
    <w:rsid w:val="00AE13E2"/>
    <w:rsid w:val="00AE1708"/>
    <w:rsid w:val="00AE22D3"/>
    <w:rsid w:val="00AE3F04"/>
    <w:rsid w:val="00AE4307"/>
    <w:rsid w:val="00AE5987"/>
    <w:rsid w:val="00AE5A37"/>
    <w:rsid w:val="00AE5A49"/>
    <w:rsid w:val="00AE6314"/>
    <w:rsid w:val="00AE6517"/>
    <w:rsid w:val="00AE70FB"/>
    <w:rsid w:val="00AE79A2"/>
    <w:rsid w:val="00AF03E6"/>
    <w:rsid w:val="00AF03EC"/>
    <w:rsid w:val="00AF04D3"/>
    <w:rsid w:val="00AF065B"/>
    <w:rsid w:val="00AF0956"/>
    <w:rsid w:val="00AF0A2A"/>
    <w:rsid w:val="00AF11D8"/>
    <w:rsid w:val="00AF28E3"/>
    <w:rsid w:val="00AF3EF6"/>
    <w:rsid w:val="00AF427C"/>
    <w:rsid w:val="00AF4D7A"/>
    <w:rsid w:val="00AF5867"/>
    <w:rsid w:val="00AF5DC6"/>
    <w:rsid w:val="00AF62DF"/>
    <w:rsid w:val="00AF68CC"/>
    <w:rsid w:val="00AF70D7"/>
    <w:rsid w:val="00B00086"/>
    <w:rsid w:val="00B00CD0"/>
    <w:rsid w:val="00B00DCF"/>
    <w:rsid w:val="00B00E7F"/>
    <w:rsid w:val="00B01FF4"/>
    <w:rsid w:val="00B02E15"/>
    <w:rsid w:val="00B0326D"/>
    <w:rsid w:val="00B05398"/>
    <w:rsid w:val="00B056F9"/>
    <w:rsid w:val="00B05FAF"/>
    <w:rsid w:val="00B06037"/>
    <w:rsid w:val="00B06478"/>
    <w:rsid w:val="00B07533"/>
    <w:rsid w:val="00B07CFB"/>
    <w:rsid w:val="00B07DD1"/>
    <w:rsid w:val="00B1054E"/>
    <w:rsid w:val="00B1059E"/>
    <w:rsid w:val="00B11198"/>
    <w:rsid w:val="00B11673"/>
    <w:rsid w:val="00B12593"/>
    <w:rsid w:val="00B125E6"/>
    <w:rsid w:val="00B13AD1"/>
    <w:rsid w:val="00B149BA"/>
    <w:rsid w:val="00B14A36"/>
    <w:rsid w:val="00B14CCE"/>
    <w:rsid w:val="00B1503F"/>
    <w:rsid w:val="00B16273"/>
    <w:rsid w:val="00B164B4"/>
    <w:rsid w:val="00B17012"/>
    <w:rsid w:val="00B170A5"/>
    <w:rsid w:val="00B1725F"/>
    <w:rsid w:val="00B173A2"/>
    <w:rsid w:val="00B17586"/>
    <w:rsid w:val="00B176C8"/>
    <w:rsid w:val="00B17EE5"/>
    <w:rsid w:val="00B17EFA"/>
    <w:rsid w:val="00B205AA"/>
    <w:rsid w:val="00B2100A"/>
    <w:rsid w:val="00B21A91"/>
    <w:rsid w:val="00B22321"/>
    <w:rsid w:val="00B22E84"/>
    <w:rsid w:val="00B233AD"/>
    <w:rsid w:val="00B239B7"/>
    <w:rsid w:val="00B23E25"/>
    <w:rsid w:val="00B24190"/>
    <w:rsid w:val="00B2553C"/>
    <w:rsid w:val="00B25A7B"/>
    <w:rsid w:val="00B25F75"/>
    <w:rsid w:val="00B26B3F"/>
    <w:rsid w:val="00B27646"/>
    <w:rsid w:val="00B2778F"/>
    <w:rsid w:val="00B3077E"/>
    <w:rsid w:val="00B30C19"/>
    <w:rsid w:val="00B31EA8"/>
    <w:rsid w:val="00B327E2"/>
    <w:rsid w:val="00B33635"/>
    <w:rsid w:val="00B36E25"/>
    <w:rsid w:val="00B36FC7"/>
    <w:rsid w:val="00B3770F"/>
    <w:rsid w:val="00B37A23"/>
    <w:rsid w:val="00B37CF8"/>
    <w:rsid w:val="00B41270"/>
    <w:rsid w:val="00B41B7D"/>
    <w:rsid w:val="00B42AF4"/>
    <w:rsid w:val="00B43DB1"/>
    <w:rsid w:val="00B43E90"/>
    <w:rsid w:val="00B44308"/>
    <w:rsid w:val="00B44AE0"/>
    <w:rsid w:val="00B452F3"/>
    <w:rsid w:val="00B45722"/>
    <w:rsid w:val="00B46034"/>
    <w:rsid w:val="00B460F4"/>
    <w:rsid w:val="00B467DC"/>
    <w:rsid w:val="00B47A88"/>
    <w:rsid w:val="00B502A3"/>
    <w:rsid w:val="00B51BFA"/>
    <w:rsid w:val="00B51E09"/>
    <w:rsid w:val="00B52303"/>
    <w:rsid w:val="00B52987"/>
    <w:rsid w:val="00B52E15"/>
    <w:rsid w:val="00B5392A"/>
    <w:rsid w:val="00B539EF"/>
    <w:rsid w:val="00B53A32"/>
    <w:rsid w:val="00B53AE2"/>
    <w:rsid w:val="00B55A8C"/>
    <w:rsid w:val="00B56118"/>
    <w:rsid w:val="00B566E1"/>
    <w:rsid w:val="00B56AFB"/>
    <w:rsid w:val="00B572BE"/>
    <w:rsid w:val="00B602F6"/>
    <w:rsid w:val="00B60C2F"/>
    <w:rsid w:val="00B60ED3"/>
    <w:rsid w:val="00B62EC1"/>
    <w:rsid w:val="00B63251"/>
    <w:rsid w:val="00B64A96"/>
    <w:rsid w:val="00B65133"/>
    <w:rsid w:val="00B652B2"/>
    <w:rsid w:val="00B6533B"/>
    <w:rsid w:val="00B667D5"/>
    <w:rsid w:val="00B67731"/>
    <w:rsid w:val="00B6773F"/>
    <w:rsid w:val="00B7079E"/>
    <w:rsid w:val="00B70EB3"/>
    <w:rsid w:val="00B72906"/>
    <w:rsid w:val="00B72E4C"/>
    <w:rsid w:val="00B73578"/>
    <w:rsid w:val="00B74F48"/>
    <w:rsid w:val="00B7525E"/>
    <w:rsid w:val="00B75433"/>
    <w:rsid w:val="00B75774"/>
    <w:rsid w:val="00B75F70"/>
    <w:rsid w:val="00B760FB"/>
    <w:rsid w:val="00B76765"/>
    <w:rsid w:val="00B767AB"/>
    <w:rsid w:val="00B801BA"/>
    <w:rsid w:val="00B80467"/>
    <w:rsid w:val="00B80B50"/>
    <w:rsid w:val="00B80D50"/>
    <w:rsid w:val="00B812D6"/>
    <w:rsid w:val="00B82A79"/>
    <w:rsid w:val="00B82B83"/>
    <w:rsid w:val="00B846E6"/>
    <w:rsid w:val="00B84D5C"/>
    <w:rsid w:val="00B85AF6"/>
    <w:rsid w:val="00B85B2C"/>
    <w:rsid w:val="00B86DED"/>
    <w:rsid w:val="00B906DB"/>
    <w:rsid w:val="00B9072E"/>
    <w:rsid w:val="00B91D04"/>
    <w:rsid w:val="00B92E46"/>
    <w:rsid w:val="00B941ED"/>
    <w:rsid w:val="00B949E3"/>
    <w:rsid w:val="00B951B1"/>
    <w:rsid w:val="00B95588"/>
    <w:rsid w:val="00B956ED"/>
    <w:rsid w:val="00B95FFF"/>
    <w:rsid w:val="00B96396"/>
    <w:rsid w:val="00BA0E53"/>
    <w:rsid w:val="00BA16D4"/>
    <w:rsid w:val="00BA184F"/>
    <w:rsid w:val="00BA2871"/>
    <w:rsid w:val="00BA2DA8"/>
    <w:rsid w:val="00BA347C"/>
    <w:rsid w:val="00BA4C79"/>
    <w:rsid w:val="00BA4CA1"/>
    <w:rsid w:val="00BA4D84"/>
    <w:rsid w:val="00BA71FA"/>
    <w:rsid w:val="00BA768F"/>
    <w:rsid w:val="00BB120A"/>
    <w:rsid w:val="00BB17C8"/>
    <w:rsid w:val="00BB1A46"/>
    <w:rsid w:val="00BB1D2B"/>
    <w:rsid w:val="00BB298A"/>
    <w:rsid w:val="00BB30EE"/>
    <w:rsid w:val="00BB3469"/>
    <w:rsid w:val="00BB39E0"/>
    <w:rsid w:val="00BB42C3"/>
    <w:rsid w:val="00BB58C5"/>
    <w:rsid w:val="00BB5C49"/>
    <w:rsid w:val="00BB5F19"/>
    <w:rsid w:val="00BB615D"/>
    <w:rsid w:val="00BB6240"/>
    <w:rsid w:val="00BB6285"/>
    <w:rsid w:val="00BB67F1"/>
    <w:rsid w:val="00BB69F5"/>
    <w:rsid w:val="00BB6E48"/>
    <w:rsid w:val="00BB76B7"/>
    <w:rsid w:val="00BB7EC3"/>
    <w:rsid w:val="00BC01BD"/>
    <w:rsid w:val="00BC04B1"/>
    <w:rsid w:val="00BC0F29"/>
    <w:rsid w:val="00BC284E"/>
    <w:rsid w:val="00BC2F9D"/>
    <w:rsid w:val="00BC3BFD"/>
    <w:rsid w:val="00BC413D"/>
    <w:rsid w:val="00BC470E"/>
    <w:rsid w:val="00BC4B9A"/>
    <w:rsid w:val="00BC4C8E"/>
    <w:rsid w:val="00BC65A1"/>
    <w:rsid w:val="00BC677B"/>
    <w:rsid w:val="00BC792E"/>
    <w:rsid w:val="00BD026A"/>
    <w:rsid w:val="00BD02C3"/>
    <w:rsid w:val="00BD0D47"/>
    <w:rsid w:val="00BD0E43"/>
    <w:rsid w:val="00BD149E"/>
    <w:rsid w:val="00BD2695"/>
    <w:rsid w:val="00BD2F55"/>
    <w:rsid w:val="00BD3119"/>
    <w:rsid w:val="00BD36F6"/>
    <w:rsid w:val="00BD7390"/>
    <w:rsid w:val="00BD7483"/>
    <w:rsid w:val="00BD784C"/>
    <w:rsid w:val="00BE020A"/>
    <w:rsid w:val="00BE13DF"/>
    <w:rsid w:val="00BE17F0"/>
    <w:rsid w:val="00BE1EF0"/>
    <w:rsid w:val="00BE25D7"/>
    <w:rsid w:val="00BE3800"/>
    <w:rsid w:val="00BE6A66"/>
    <w:rsid w:val="00BE790E"/>
    <w:rsid w:val="00BE7A09"/>
    <w:rsid w:val="00BF092C"/>
    <w:rsid w:val="00BF172A"/>
    <w:rsid w:val="00BF1A15"/>
    <w:rsid w:val="00BF215B"/>
    <w:rsid w:val="00BF21D1"/>
    <w:rsid w:val="00BF27A0"/>
    <w:rsid w:val="00BF391D"/>
    <w:rsid w:val="00BF40E6"/>
    <w:rsid w:val="00BF4668"/>
    <w:rsid w:val="00BF4774"/>
    <w:rsid w:val="00BF4CB6"/>
    <w:rsid w:val="00BF51E1"/>
    <w:rsid w:val="00BF5834"/>
    <w:rsid w:val="00BF59E2"/>
    <w:rsid w:val="00BF5BD8"/>
    <w:rsid w:val="00BF5D23"/>
    <w:rsid w:val="00BF641E"/>
    <w:rsid w:val="00BF6CBD"/>
    <w:rsid w:val="00BF6DA4"/>
    <w:rsid w:val="00C00DA7"/>
    <w:rsid w:val="00C016CB"/>
    <w:rsid w:val="00C034FB"/>
    <w:rsid w:val="00C03E99"/>
    <w:rsid w:val="00C04CDE"/>
    <w:rsid w:val="00C059D5"/>
    <w:rsid w:val="00C05BBF"/>
    <w:rsid w:val="00C064E2"/>
    <w:rsid w:val="00C068A6"/>
    <w:rsid w:val="00C06F66"/>
    <w:rsid w:val="00C079BC"/>
    <w:rsid w:val="00C07AE8"/>
    <w:rsid w:val="00C10C18"/>
    <w:rsid w:val="00C112AF"/>
    <w:rsid w:val="00C115C6"/>
    <w:rsid w:val="00C11DEA"/>
    <w:rsid w:val="00C11FAB"/>
    <w:rsid w:val="00C12768"/>
    <w:rsid w:val="00C12D70"/>
    <w:rsid w:val="00C1300E"/>
    <w:rsid w:val="00C132B0"/>
    <w:rsid w:val="00C13A54"/>
    <w:rsid w:val="00C143BD"/>
    <w:rsid w:val="00C14498"/>
    <w:rsid w:val="00C15892"/>
    <w:rsid w:val="00C16724"/>
    <w:rsid w:val="00C1672C"/>
    <w:rsid w:val="00C16747"/>
    <w:rsid w:val="00C20206"/>
    <w:rsid w:val="00C20A75"/>
    <w:rsid w:val="00C21B09"/>
    <w:rsid w:val="00C233F4"/>
    <w:rsid w:val="00C234AD"/>
    <w:rsid w:val="00C25EFF"/>
    <w:rsid w:val="00C2612B"/>
    <w:rsid w:val="00C2673A"/>
    <w:rsid w:val="00C278CD"/>
    <w:rsid w:val="00C27B58"/>
    <w:rsid w:val="00C27C1C"/>
    <w:rsid w:val="00C3166C"/>
    <w:rsid w:val="00C3179D"/>
    <w:rsid w:val="00C317AE"/>
    <w:rsid w:val="00C31B4E"/>
    <w:rsid w:val="00C33186"/>
    <w:rsid w:val="00C331E9"/>
    <w:rsid w:val="00C334D6"/>
    <w:rsid w:val="00C33843"/>
    <w:rsid w:val="00C3447B"/>
    <w:rsid w:val="00C34C17"/>
    <w:rsid w:val="00C354E3"/>
    <w:rsid w:val="00C3556E"/>
    <w:rsid w:val="00C356DB"/>
    <w:rsid w:val="00C35996"/>
    <w:rsid w:val="00C37270"/>
    <w:rsid w:val="00C3776E"/>
    <w:rsid w:val="00C37D7F"/>
    <w:rsid w:val="00C40358"/>
    <w:rsid w:val="00C40AA5"/>
    <w:rsid w:val="00C412FC"/>
    <w:rsid w:val="00C415E1"/>
    <w:rsid w:val="00C41B2E"/>
    <w:rsid w:val="00C41C40"/>
    <w:rsid w:val="00C42724"/>
    <w:rsid w:val="00C428AF"/>
    <w:rsid w:val="00C42BCD"/>
    <w:rsid w:val="00C431C9"/>
    <w:rsid w:val="00C439D2"/>
    <w:rsid w:val="00C44757"/>
    <w:rsid w:val="00C4485F"/>
    <w:rsid w:val="00C44DED"/>
    <w:rsid w:val="00C45B26"/>
    <w:rsid w:val="00C46C13"/>
    <w:rsid w:val="00C470CB"/>
    <w:rsid w:val="00C47317"/>
    <w:rsid w:val="00C4747E"/>
    <w:rsid w:val="00C474C0"/>
    <w:rsid w:val="00C47762"/>
    <w:rsid w:val="00C500E2"/>
    <w:rsid w:val="00C5151E"/>
    <w:rsid w:val="00C52256"/>
    <w:rsid w:val="00C523AC"/>
    <w:rsid w:val="00C5342C"/>
    <w:rsid w:val="00C53B2B"/>
    <w:rsid w:val="00C547F5"/>
    <w:rsid w:val="00C54D0D"/>
    <w:rsid w:val="00C54F3F"/>
    <w:rsid w:val="00C555AD"/>
    <w:rsid w:val="00C56484"/>
    <w:rsid w:val="00C56D78"/>
    <w:rsid w:val="00C57465"/>
    <w:rsid w:val="00C60272"/>
    <w:rsid w:val="00C603D4"/>
    <w:rsid w:val="00C604B4"/>
    <w:rsid w:val="00C61202"/>
    <w:rsid w:val="00C61207"/>
    <w:rsid w:val="00C6256A"/>
    <w:rsid w:val="00C63833"/>
    <w:rsid w:val="00C63FDA"/>
    <w:rsid w:val="00C6425F"/>
    <w:rsid w:val="00C64EBC"/>
    <w:rsid w:val="00C664D2"/>
    <w:rsid w:val="00C667AB"/>
    <w:rsid w:val="00C672BE"/>
    <w:rsid w:val="00C677E1"/>
    <w:rsid w:val="00C67F26"/>
    <w:rsid w:val="00C707E1"/>
    <w:rsid w:val="00C70E6E"/>
    <w:rsid w:val="00C710E2"/>
    <w:rsid w:val="00C71910"/>
    <w:rsid w:val="00C71C3F"/>
    <w:rsid w:val="00C7375F"/>
    <w:rsid w:val="00C73E26"/>
    <w:rsid w:val="00C7409E"/>
    <w:rsid w:val="00C74D6D"/>
    <w:rsid w:val="00C76E76"/>
    <w:rsid w:val="00C776FD"/>
    <w:rsid w:val="00C77891"/>
    <w:rsid w:val="00C77B74"/>
    <w:rsid w:val="00C807EA"/>
    <w:rsid w:val="00C80DBD"/>
    <w:rsid w:val="00C80FB9"/>
    <w:rsid w:val="00C81A8C"/>
    <w:rsid w:val="00C82062"/>
    <w:rsid w:val="00C827C1"/>
    <w:rsid w:val="00C829A9"/>
    <w:rsid w:val="00C82A6A"/>
    <w:rsid w:val="00C83729"/>
    <w:rsid w:val="00C85424"/>
    <w:rsid w:val="00C85DB5"/>
    <w:rsid w:val="00C87B80"/>
    <w:rsid w:val="00C9011F"/>
    <w:rsid w:val="00C90330"/>
    <w:rsid w:val="00C90E0C"/>
    <w:rsid w:val="00C91449"/>
    <w:rsid w:val="00C91A5E"/>
    <w:rsid w:val="00C92D10"/>
    <w:rsid w:val="00C92F79"/>
    <w:rsid w:val="00C951AC"/>
    <w:rsid w:val="00C95200"/>
    <w:rsid w:val="00C96EC0"/>
    <w:rsid w:val="00CA06F9"/>
    <w:rsid w:val="00CA14BB"/>
    <w:rsid w:val="00CA1B6F"/>
    <w:rsid w:val="00CA1B85"/>
    <w:rsid w:val="00CA2107"/>
    <w:rsid w:val="00CA230C"/>
    <w:rsid w:val="00CA249E"/>
    <w:rsid w:val="00CA3C4E"/>
    <w:rsid w:val="00CA48D9"/>
    <w:rsid w:val="00CA70B5"/>
    <w:rsid w:val="00CA7238"/>
    <w:rsid w:val="00CA79C8"/>
    <w:rsid w:val="00CA7F49"/>
    <w:rsid w:val="00CB093B"/>
    <w:rsid w:val="00CB1193"/>
    <w:rsid w:val="00CB122C"/>
    <w:rsid w:val="00CB2D35"/>
    <w:rsid w:val="00CB358A"/>
    <w:rsid w:val="00CB3F6D"/>
    <w:rsid w:val="00CB458E"/>
    <w:rsid w:val="00CB4767"/>
    <w:rsid w:val="00CB4794"/>
    <w:rsid w:val="00CB493D"/>
    <w:rsid w:val="00CB6591"/>
    <w:rsid w:val="00CB7A26"/>
    <w:rsid w:val="00CB7D96"/>
    <w:rsid w:val="00CB7F76"/>
    <w:rsid w:val="00CC061B"/>
    <w:rsid w:val="00CC0E19"/>
    <w:rsid w:val="00CC181E"/>
    <w:rsid w:val="00CC2224"/>
    <w:rsid w:val="00CC2C96"/>
    <w:rsid w:val="00CC3B97"/>
    <w:rsid w:val="00CC5928"/>
    <w:rsid w:val="00CC62F2"/>
    <w:rsid w:val="00CC7802"/>
    <w:rsid w:val="00CD04A4"/>
    <w:rsid w:val="00CD0AF7"/>
    <w:rsid w:val="00CD12F7"/>
    <w:rsid w:val="00CD1A7F"/>
    <w:rsid w:val="00CD3E88"/>
    <w:rsid w:val="00CD4A8C"/>
    <w:rsid w:val="00CD4B48"/>
    <w:rsid w:val="00CD4D14"/>
    <w:rsid w:val="00CD5A6B"/>
    <w:rsid w:val="00CD6257"/>
    <w:rsid w:val="00CD69F1"/>
    <w:rsid w:val="00CD6B89"/>
    <w:rsid w:val="00CD7C0B"/>
    <w:rsid w:val="00CE0FEC"/>
    <w:rsid w:val="00CE10C4"/>
    <w:rsid w:val="00CE1395"/>
    <w:rsid w:val="00CE1543"/>
    <w:rsid w:val="00CE2343"/>
    <w:rsid w:val="00CE27B5"/>
    <w:rsid w:val="00CE2BDF"/>
    <w:rsid w:val="00CE40F7"/>
    <w:rsid w:val="00CE566F"/>
    <w:rsid w:val="00CE589E"/>
    <w:rsid w:val="00CE5DF7"/>
    <w:rsid w:val="00CE62BA"/>
    <w:rsid w:val="00CE6D24"/>
    <w:rsid w:val="00CE6DAF"/>
    <w:rsid w:val="00CF0C1E"/>
    <w:rsid w:val="00CF2238"/>
    <w:rsid w:val="00CF3329"/>
    <w:rsid w:val="00CF36EB"/>
    <w:rsid w:val="00CF410A"/>
    <w:rsid w:val="00CF47B8"/>
    <w:rsid w:val="00CF7528"/>
    <w:rsid w:val="00CF7A3D"/>
    <w:rsid w:val="00CF7FDE"/>
    <w:rsid w:val="00D006AC"/>
    <w:rsid w:val="00D00CDF"/>
    <w:rsid w:val="00D012AF"/>
    <w:rsid w:val="00D016A4"/>
    <w:rsid w:val="00D0321E"/>
    <w:rsid w:val="00D05457"/>
    <w:rsid w:val="00D063E0"/>
    <w:rsid w:val="00D069EB"/>
    <w:rsid w:val="00D06A5C"/>
    <w:rsid w:val="00D06A72"/>
    <w:rsid w:val="00D075CD"/>
    <w:rsid w:val="00D07A8A"/>
    <w:rsid w:val="00D1025B"/>
    <w:rsid w:val="00D102E1"/>
    <w:rsid w:val="00D10532"/>
    <w:rsid w:val="00D10E31"/>
    <w:rsid w:val="00D11199"/>
    <w:rsid w:val="00D1282C"/>
    <w:rsid w:val="00D133A2"/>
    <w:rsid w:val="00D1455A"/>
    <w:rsid w:val="00D14573"/>
    <w:rsid w:val="00D14A70"/>
    <w:rsid w:val="00D14C31"/>
    <w:rsid w:val="00D15134"/>
    <w:rsid w:val="00D15C6E"/>
    <w:rsid w:val="00D17DB5"/>
    <w:rsid w:val="00D17EB1"/>
    <w:rsid w:val="00D207EA"/>
    <w:rsid w:val="00D211FB"/>
    <w:rsid w:val="00D2136A"/>
    <w:rsid w:val="00D21C6E"/>
    <w:rsid w:val="00D21D61"/>
    <w:rsid w:val="00D22093"/>
    <w:rsid w:val="00D2281F"/>
    <w:rsid w:val="00D233FF"/>
    <w:rsid w:val="00D236CA"/>
    <w:rsid w:val="00D2515A"/>
    <w:rsid w:val="00D267D0"/>
    <w:rsid w:val="00D275E8"/>
    <w:rsid w:val="00D30106"/>
    <w:rsid w:val="00D31150"/>
    <w:rsid w:val="00D3131B"/>
    <w:rsid w:val="00D3138B"/>
    <w:rsid w:val="00D31931"/>
    <w:rsid w:val="00D31FCE"/>
    <w:rsid w:val="00D32187"/>
    <w:rsid w:val="00D3280C"/>
    <w:rsid w:val="00D33675"/>
    <w:rsid w:val="00D3406A"/>
    <w:rsid w:val="00D34D24"/>
    <w:rsid w:val="00D35928"/>
    <w:rsid w:val="00D36708"/>
    <w:rsid w:val="00D37AB5"/>
    <w:rsid w:val="00D37E3A"/>
    <w:rsid w:val="00D40618"/>
    <w:rsid w:val="00D40B11"/>
    <w:rsid w:val="00D41DD4"/>
    <w:rsid w:val="00D42864"/>
    <w:rsid w:val="00D429EC"/>
    <w:rsid w:val="00D4301F"/>
    <w:rsid w:val="00D43638"/>
    <w:rsid w:val="00D43C22"/>
    <w:rsid w:val="00D441F1"/>
    <w:rsid w:val="00D4572C"/>
    <w:rsid w:val="00D45832"/>
    <w:rsid w:val="00D469B2"/>
    <w:rsid w:val="00D47406"/>
    <w:rsid w:val="00D479B9"/>
    <w:rsid w:val="00D5085A"/>
    <w:rsid w:val="00D50D0E"/>
    <w:rsid w:val="00D50F47"/>
    <w:rsid w:val="00D516E1"/>
    <w:rsid w:val="00D52B24"/>
    <w:rsid w:val="00D52EAA"/>
    <w:rsid w:val="00D52ECF"/>
    <w:rsid w:val="00D53A1F"/>
    <w:rsid w:val="00D53C0A"/>
    <w:rsid w:val="00D53F0C"/>
    <w:rsid w:val="00D53F27"/>
    <w:rsid w:val="00D5411A"/>
    <w:rsid w:val="00D54A67"/>
    <w:rsid w:val="00D54B09"/>
    <w:rsid w:val="00D54E04"/>
    <w:rsid w:val="00D55D5F"/>
    <w:rsid w:val="00D56072"/>
    <w:rsid w:val="00D564E3"/>
    <w:rsid w:val="00D56DFC"/>
    <w:rsid w:val="00D56F67"/>
    <w:rsid w:val="00D571C3"/>
    <w:rsid w:val="00D5774C"/>
    <w:rsid w:val="00D57CB2"/>
    <w:rsid w:val="00D60019"/>
    <w:rsid w:val="00D611C5"/>
    <w:rsid w:val="00D612A5"/>
    <w:rsid w:val="00D614E0"/>
    <w:rsid w:val="00D6212F"/>
    <w:rsid w:val="00D6243E"/>
    <w:rsid w:val="00D6250A"/>
    <w:rsid w:val="00D627D9"/>
    <w:rsid w:val="00D62F11"/>
    <w:rsid w:val="00D6424F"/>
    <w:rsid w:val="00D65425"/>
    <w:rsid w:val="00D65658"/>
    <w:rsid w:val="00D67312"/>
    <w:rsid w:val="00D67EB2"/>
    <w:rsid w:val="00D70349"/>
    <w:rsid w:val="00D706B7"/>
    <w:rsid w:val="00D711DA"/>
    <w:rsid w:val="00D720E9"/>
    <w:rsid w:val="00D72B6F"/>
    <w:rsid w:val="00D72BA8"/>
    <w:rsid w:val="00D72C28"/>
    <w:rsid w:val="00D739F4"/>
    <w:rsid w:val="00D73E28"/>
    <w:rsid w:val="00D741EB"/>
    <w:rsid w:val="00D74CEA"/>
    <w:rsid w:val="00D7679C"/>
    <w:rsid w:val="00D76C96"/>
    <w:rsid w:val="00D77D0E"/>
    <w:rsid w:val="00D817A9"/>
    <w:rsid w:val="00D81991"/>
    <w:rsid w:val="00D820F3"/>
    <w:rsid w:val="00D826B9"/>
    <w:rsid w:val="00D83605"/>
    <w:rsid w:val="00D839C2"/>
    <w:rsid w:val="00D83C5E"/>
    <w:rsid w:val="00D84075"/>
    <w:rsid w:val="00D84934"/>
    <w:rsid w:val="00D854FE"/>
    <w:rsid w:val="00D85A80"/>
    <w:rsid w:val="00D866EB"/>
    <w:rsid w:val="00D868E5"/>
    <w:rsid w:val="00D869DF"/>
    <w:rsid w:val="00D86A84"/>
    <w:rsid w:val="00D86C52"/>
    <w:rsid w:val="00D8732A"/>
    <w:rsid w:val="00D87D1A"/>
    <w:rsid w:val="00D906DA"/>
    <w:rsid w:val="00D906EA"/>
    <w:rsid w:val="00D90E33"/>
    <w:rsid w:val="00D91271"/>
    <w:rsid w:val="00D919F5"/>
    <w:rsid w:val="00D92E65"/>
    <w:rsid w:val="00D9315D"/>
    <w:rsid w:val="00D931F8"/>
    <w:rsid w:val="00D939E1"/>
    <w:rsid w:val="00D93A50"/>
    <w:rsid w:val="00D945F6"/>
    <w:rsid w:val="00D9463F"/>
    <w:rsid w:val="00D94F03"/>
    <w:rsid w:val="00D95161"/>
    <w:rsid w:val="00D953CF"/>
    <w:rsid w:val="00D95BB2"/>
    <w:rsid w:val="00D95C23"/>
    <w:rsid w:val="00D95C48"/>
    <w:rsid w:val="00DA0034"/>
    <w:rsid w:val="00DA0A82"/>
    <w:rsid w:val="00DA0B9D"/>
    <w:rsid w:val="00DA0D14"/>
    <w:rsid w:val="00DA0D8F"/>
    <w:rsid w:val="00DA11B7"/>
    <w:rsid w:val="00DA13E3"/>
    <w:rsid w:val="00DA1764"/>
    <w:rsid w:val="00DA1FC9"/>
    <w:rsid w:val="00DA2CB5"/>
    <w:rsid w:val="00DA32AE"/>
    <w:rsid w:val="00DA358F"/>
    <w:rsid w:val="00DA383E"/>
    <w:rsid w:val="00DA3950"/>
    <w:rsid w:val="00DA463E"/>
    <w:rsid w:val="00DA4762"/>
    <w:rsid w:val="00DA4BAC"/>
    <w:rsid w:val="00DA4EA6"/>
    <w:rsid w:val="00DA5B04"/>
    <w:rsid w:val="00DA66DC"/>
    <w:rsid w:val="00DA722E"/>
    <w:rsid w:val="00DA792A"/>
    <w:rsid w:val="00DB0151"/>
    <w:rsid w:val="00DB0160"/>
    <w:rsid w:val="00DB0338"/>
    <w:rsid w:val="00DB04D7"/>
    <w:rsid w:val="00DB0753"/>
    <w:rsid w:val="00DB14C9"/>
    <w:rsid w:val="00DB1C36"/>
    <w:rsid w:val="00DB1E26"/>
    <w:rsid w:val="00DB1EE2"/>
    <w:rsid w:val="00DB2B54"/>
    <w:rsid w:val="00DB3335"/>
    <w:rsid w:val="00DB49B2"/>
    <w:rsid w:val="00DB50E1"/>
    <w:rsid w:val="00DB5D76"/>
    <w:rsid w:val="00DB77C0"/>
    <w:rsid w:val="00DB7EAB"/>
    <w:rsid w:val="00DC0541"/>
    <w:rsid w:val="00DC0566"/>
    <w:rsid w:val="00DC05E1"/>
    <w:rsid w:val="00DC1499"/>
    <w:rsid w:val="00DC16CF"/>
    <w:rsid w:val="00DC2476"/>
    <w:rsid w:val="00DC2C3E"/>
    <w:rsid w:val="00DC3137"/>
    <w:rsid w:val="00DC32BC"/>
    <w:rsid w:val="00DC382D"/>
    <w:rsid w:val="00DC3A71"/>
    <w:rsid w:val="00DC4880"/>
    <w:rsid w:val="00DC581F"/>
    <w:rsid w:val="00DC5E90"/>
    <w:rsid w:val="00DC6EC3"/>
    <w:rsid w:val="00DC732A"/>
    <w:rsid w:val="00DD04D7"/>
    <w:rsid w:val="00DD0B5A"/>
    <w:rsid w:val="00DD0BD6"/>
    <w:rsid w:val="00DD0BE9"/>
    <w:rsid w:val="00DD1D98"/>
    <w:rsid w:val="00DD26AC"/>
    <w:rsid w:val="00DD26F9"/>
    <w:rsid w:val="00DD2F7E"/>
    <w:rsid w:val="00DD350E"/>
    <w:rsid w:val="00DD3798"/>
    <w:rsid w:val="00DD42AB"/>
    <w:rsid w:val="00DD45C6"/>
    <w:rsid w:val="00DD47BD"/>
    <w:rsid w:val="00DD6FB1"/>
    <w:rsid w:val="00DD74AD"/>
    <w:rsid w:val="00DD75B8"/>
    <w:rsid w:val="00DD781B"/>
    <w:rsid w:val="00DD7AC1"/>
    <w:rsid w:val="00DE068F"/>
    <w:rsid w:val="00DE06AF"/>
    <w:rsid w:val="00DE1F61"/>
    <w:rsid w:val="00DE21E7"/>
    <w:rsid w:val="00DE2CA3"/>
    <w:rsid w:val="00DE55BD"/>
    <w:rsid w:val="00DE55C3"/>
    <w:rsid w:val="00DE6D27"/>
    <w:rsid w:val="00DE7102"/>
    <w:rsid w:val="00DE76EA"/>
    <w:rsid w:val="00DE78CA"/>
    <w:rsid w:val="00DF01F8"/>
    <w:rsid w:val="00DF021D"/>
    <w:rsid w:val="00DF04D7"/>
    <w:rsid w:val="00DF122F"/>
    <w:rsid w:val="00DF14EE"/>
    <w:rsid w:val="00DF1788"/>
    <w:rsid w:val="00DF1D30"/>
    <w:rsid w:val="00DF217D"/>
    <w:rsid w:val="00DF2473"/>
    <w:rsid w:val="00DF249E"/>
    <w:rsid w:val="00DF26A7"/>
    <w:rsid w:val="00DF3277"/>
    <w:rsid w:val="00DF39E5"/>
    <w:rsid w:val="00DF4D81"/>
    <w:rsid w:val="00DF52A8"/>
    <w:rsid w:val="00DF5956"/>
    <w:rsid w:val="00DF6A31"/>
    <w:rsid w:val="00DF7407"/>
    <w:rsid w:val="00DF77A1"/>
    <w:rsid w:val="00DF7919"/>
    <w:rsid w:val="00E0041B"/>
    <w:rsid w:val="00E0071E"/>
    <w:rsid w:val="00E01C40"/>
    <w:rsid w:val="00E01F01"/>
    <w:rsid w:val="00E01F5A"/>
    <w:rsid w:val="00E0207E"/>
    <w:rsid w:val="00E02526"/>
    <w:rsid w:val="00E02991"/>
    <w:rsid w:val="00E02AE6"/>
    <w:rsid w:val="00E03912"/>
    <w:rsid w:val="00E04748"/>
    <w:rsid w:val="00E04CB8"/>
    <w:rsid w:val="00E05AE6"/>
    <w:rsid w:val="00E060AF"/>
    <w:rsid w:val="00E06A00"/>
    <w:rsid w:val="00E06F37"/>
    <w:rsid w:val="00E074A2"/>
    <w:rsid w:val="00E0778F"/>
    <w:rsid w:val="00E078D9"/>
    <w:rsid w:val="00E10293"/>
    <w:rsid w:val="00E103A0"/>
    <w:rsid w:val="00E1043F"/>
    <w:rsid w:val="00E10A78"/>
    <w:rsid w:val="00E10DAE"/>
    <w:rsid w:val="00E10E15"/>
    <w:rsid w:val="00E1157E"/>
    <w:rsid w:val="00E1179C"/>
    <w:rsid w:val="00E11F44"/>
    <w:rsid w:val="00E12847"/>
    <w:rsid w:val="00E129E7"/>
    <w:rsid w:val="00E12CAC"/>
    <w:rsid w:val="00E12CF9"/>
    <w:rsid w:val="00E130DC"/>
    <w:rsid w:val="00E132AB"/>
    <w:rsid w:val="00E13E60"/>
    <w:rsid w:val="00E14B64"/>
    <w:rsid w:val="00E15627"/>
    <w:rsid w:val="00E15880"/>
    <w:rsid w:val="00E163DF"/>
    <w:rsid w:val="00E164B3"/>
    <w:rsid w:val="00E16727"/>
    <w:rsid w:val="00E16910"/>
    <w:rsid w:val="00E17213"/>
    <w:rsid w:val="00E207B8"/>
    <w:rsid w:val="00E20F9C"/>
    <w:rsid w:val="00E21164"/>
    <w:rsid w:val="00E211AF"/>
    <w:rsid w:val="00E22116"/>
    <w:rsid w:val="00E22979"/>
    <w:rsid w:val="00E239E2"/>
    <w:rsid w:val="00E24E09"/>
    <w:rsid w:val="00E27234"/>
    <w:rsid w:val="00E27BB3"/>
    <w:rsid w:val="00E30C4B"/>
    <w:rsid w:val="00E30D97"/>
    <w:rsid w:val="00E31671"/>
    <w:rsid w:val="00E32881"/>
    <w:rsid w:val="00E3495C"/>
    <w:rsid w:val="00E35B3D"/>
    <w:rsid w:val="00E35E99"/>
    <w:rsid w:val="00E3672B"/>
    <w:rsid w:val="00E403C3"/>
    <w:rsid w:val="00E41A28"/>
    <w:rsid w:val="00E41FDC"/>
    <w:rsid w:val="00E42782"/>
    <w:rsid w:val="00E428DB"/>
    <w:rsid w:val="00E42BDB"/>
    <w:rsid w:val="00E43EA4"/>
    <w:rsid w:val="00E45A8B"/>
    <w:rsid w:val="00E45AE5"/>
    <w:rsid w:val="00E45F08"/>
    <w:rsid w:val="00E507A4"/>
    <w:rsid w:val="00E50F18"/>
    <w:rsid w:val="00E5125B"/>
    <w:rsid w:val="00E524A9"/>
    <w:rsid w:val="00E53A15"/>
    <w:rsid w:val="00E53F1A"/>
    <w:rsid w:val="00E548E4"/>
    <w:rsid w:val="00E55090"/>
    <w:rsid w:val="00E55274"/>
    <w:rsid w:val="00E559E6"/>
    <w:rsid w:val="00E5726D"/>
    <w:rsid w:val="00E57A43"/>
    <w:rsid w:val="00E57EEB"/>
    <w:rsid w:val="00E60F5A"/>
    <w:rsid w:val="00E61B08"/>
    <w:rsid w:val="00E62D94"/>
    <w:rsid w:val="00E62E03"/>
    <w:rsid w:val="00E62ECC"/>
    <w:rsid w:val="00E638F2"/>
    <w:rsid w:val="00E64F37"/>
    <w:rsid w:val="00E65091"/>
    <w:rsid w:val="00E65393"/>
    <w:rsid w:val="00E6545D"/>
    <w:rsid w:val="00E65E54"/>
    <w:rsid w:val="00E661C7"/>
    <w:rsid w:val="00E66679"/>
    <w:rsid w:val="00E66EFF"/>
    <w:rsid w:val="00E67D28"/>
    <w:rsid w:val="00E70EF8"/>
    <w:rsid w:val="00E732C4"/>
    <w:rsid w:val="00E74540"/>
    <w:rsid w:val="00E74B95"/>
    <w:rsid w:val="00E74E41"/>
    <w:rsid w:val="00E75151"/>
    <w:rsid w:val="00E75B9E"/>
    <w:rsid w:val="00E767FF"/>
    <w:rsid w:val="00E7700C"/>
    <w:rsid w:val="00E77A06"/>
    <w:rsid w:val="00E80064"/>
    <w:rsid w:val="00E80155"/>
    <w:rsid w:val="00E811E2"/>
    <w:rsid w:val="00E8134B"/>
    <w:rsid w:val="00E81E0D"/>
    <w:rsid w:val="00E81F28"/>
    <w:rsid w:val="00E82089"/>
    <w:rsid w:val="00E83861"/>
    <w:rsid w:val="00E83FFF"/>
    <w:rsid w:val="00E84275"/>
    <w:rsid w:val="00E848C0"/>
    <w:rsid w:val="00E848E4"/>
    <w:rsid w:val="00E84BB8"/>
    <w:rsid w:val="00E852E2"/>
    <w:rsid w:val="00E86F92"/>
    <w:rsid w:val="00E871E2"/>
    <w:rsid w:val="00E91598"/>
    <w:rsid w:val="00E91B96"/>
    <w:rsid w:val="00E92227"/>
    <w:rsid w:val="00E92841"/>
    <w:rsid w:val="00E92F2E"/>
    <w:rsid w:val="00E92FD5"/>
    <w:rsid w:val="00E9352F"/>
    <w:rsid w:val="00E935DA"/>
    <w:rsid w:val="00E93B2A"/>
    <w:rsid w:val="00E93D1E"/>
    <w:rsid w:val="00E941A1"/>
    <w:rsid w:val="00E9491F"/>
    <w:rsid w:val="00E957F5"/>
    <w:rsid w:val="00E95CE3"/>
    <w:rsid w:val="00E95D72"/>
    <w:rsid w:val="00E95F9A"/>
    <w:rsid w:val="00E9615C"/>
    <w:rsid w:val="00E969D1"/>
    <w:rsid w:val="00E96E99"/>
    <w:rsid w:val="00EA0128"/>
    <w:rsid w:val="00EA0856"/>
    <w:rsid w:val="00EA0C36"/>
    <w:rsid w:val="00EA1DC4"/>
    <w:rsid w:val="00EA1E14"/>
    <w:rsid w:val="00EA252F"/>
    <w:rsid w:val="00EA2747"/>
    <w:rsid w:val="00EA2825"/>
    <w:rsid w:val="00EA4E63"/>
    <w:rsid w:val="00EA5027"/>
    <w:rsid w:val="00EA5EC7"/>
    <w:rsid w:val="00EA64C2"/>
    <w:rsid w:val="00EA6518"/>
    <w:rsid w:val="00EA6AA3"/>
    <w:rsid w:val="00EA6E85"/>
    <w:rsid w:val="00EA6F8C"/>
    <w:rsid w:val="00EA71A2"/>
    <w:rsid w:val="00EA7466"/>
    <w:rsid w:val="00EA7EDE"/>
    <w:rsid w:val="00EB029B"/>
    <w:rsid w:val="00EB04C7"/>
    <w:rsid w:val="00EB0B63"/>
    <w:rsid w:val="00EB0EB5"/>
    <w:rsid w:val="00EB10EC"/>
    <w:rsid w:val="00EB1110"/>
    <w:rsid w:val="00EB1265"/>
    <w:rsid w:val="00EB1936"/>
    <w:rsid w:val="00EB1CAD"/>
    <w:rsid w:val="00EB3545"/>
    <w:rsid w:val="00EB37BE"/>
    <w:rsid w:val="00EB4335"/>
    <w:rsid w:val="00EB4BAE"/>
    <w:rsid w:val="00EB5088"/>
    <w:rsid w:val="00EB58EE"/>
    <w:rsid w:val="00EB5BC5"/>
    <w:rsid w:val="00EB7210"/>
    <w:rsid w:val="00EB7F1C"/>
    <w:rsid w:val="00EC1A28"/>
    <w:rsid w:val="00EC2726"/>
    <w:rsid w:val="00EC2C67"/>
    <w:rsid w:val="00EC3259"/>
    <w:rsid w:val="00EC34E4"/>
    <w:rsid w:val="00EC3650"/>
    <w:rsid w:val="00EC575E"/>
    <w:rsid w:val="00EC681C"/>
    <w:rsid w:val="00EC7B87"/>
    <w:rsid w:val="00ED1644"/>
    <w:rsid w:val="00ED1A64"/>
    <w:rsid w:val="00ED1C9F"/>
    <w:rsid w:val="00ED1CF6"/>
    <w:rsid w:val="00ED248B"/>
    <w:rsid w:val="00ED2593"/>
    <w:rsid w:val="00ED289C"/>
    <w:rsid w:val="00ED2AB0"/>
    <w:rsid w:val="00ED2E9E"/>
    <w:rsid w:val="00ED2EAE"/>
    <w:rsid w:val="00ED3349"/>
    <w:rsid w:val="00ED3709"/>
    <w:rsid w:val="00ED432F"/>
    <w:rsid w:val="00ED6803"/>
    <w:rsid w:val="00ED6A02"/>
    <w:rsid w:val="00ED6E34"/>
    <w:rsid w:val="00ED76A7"/>
    <w:rsid w:val="00ED7D55"/>
    <w:rsid w:val="00ED7D9C"/>
    <w:rsid w:val="00EE008E"/>
    <w:rsid w:val="00EE00A7"/>
    <w:rsid w:val="00EE0BB0"/>
    <w:rsid w:val="00EE2F77"/>
    <w:rsid w:val="00EE3158"/>
    <w:rsid w:val="00EE31A2"/>
    <w:rsid w:val="00EE4329"/>
    <w:rsid w:val="00EE550E"/>
    <w:rsid w:val="00EE6203"/>
    <w:rsid w:val="00EE6479"/>
    <w:rsid w:val="00EE6818"/>
    <w:rsid w:val="00EF0069"/>
    <w:rsid w:val="00EF02DC"/>
    <w:rsid w:val="00EF063E"/>
    <w:rsid w:val="00EF0B7C"/>
    <w:rsid w:val="00EF229C"/>
    <w:rsid w:val="00EF2B0B"/>
    <w:rsid w:val="00EF3C52"/>
    <w:rsid w:val="00EF44A0"/>
    <w:rsid w:val="00EF4580"/>
    <w:rsid w:val="00EF4AE1"/>
    <w:rsid w:val="00EF4CDC"/>
    <w:rsid w:val="00EF4FED"/>
    <w:rsid w:val="00EF5058"/>
    <w:rsid w:val="00EF5BD0"/>
    <w:rsid w:val="00EF5F45"/>
    <w:rsid w:val="00EF6843"/>
    <w:rsid w:val="00EF6941"/>
    <w:rsid w:val="00EF6FB3"/>
    <w:rsid w:val="00EF7D70"/>
    <w:rsid w:val="00F0068B"/>
    <w:rsid w:val="00F007C6"/>
    <w:rsid w:val="00F00DC0"/>
    <w:rsid w:val="00F0172E"/>
    <w:rsid w:val="00F01DA2"/>
    <w:rsid w:val="00F02A68"/>
    <w:rsid w:val="00F04E0A"/>
    <w:rsid w:val="00F050BD"/>
    <w:rsid w:val="00F05657"/>
    <w:rsid w:val="00F056B8"/>
    <w:rsid w:val="00F05AB0"/>
    <w:rsid w:val="00F06175"/>
    <w:rsid w:val="00F066FB"/>
    <w:rsid w:val="00F10119"/>
    <w:rsid w:val="00F11D74"/>
    <w:rsid w:val="00F120D4"/>
    <w:rsid w:val="00F12C74"/>
    <w:rsid w:val="00F12C75"/>
    <w:rsid w:val="00F13214"/>
    <w:rsid w:val="00F139CB"/>
    <w:rsid w:val="00F1559A"/>
    <w:rsid w:val="00F15AC2"/>
    <w:rsid w:val="00F17B11"/>
    <w:rsid w:val="00F17ED6"/>
    <w:rsid w:val="00F20676"/>
    <w:rsid w:val="00F209E2"/>
    <w:rsid w:val="00F21C73"/>
    <w:rsid w:val="00F238AF"/>
    <w:rsid w:val="00F2398F"/>
    <w:rsid w:val="00F24694"/>
    <w:rsid w:val="00F250AB"/>
    <w:rsid w:val="00F25578"/>
    <w:rsid w:val="00F25707"/>
    <w:rsid w:val="00F258E5"/>
    <w:rsid w:val="00F25B9C"/>
    <w:rsid w:val="00F26603"/>
    <w:rsid w:val="00F2675A"/>
    <w:rsid w:val="00F26CC6"/>
    <w:rsid w:val="00F26D80"/>
    <w:rsid w:val="00F27354"/>
    <w:rsid w:val="00F275C2"/>
    <w:rsid w:val="00F300BC"/>
    <w:rsid w:val="00F3023A"/>
    <w:rsid w:val="00F305FA"/>
    <w:rsid w:val="00F3081B"/>
    <w:rsid w:val="00F30901"/>
    <w:rsid w:val="00F30DDD"/>
    <w:rsid w:val="00F30EBB"/>
    <w:rsid w:val="00F3225E"/>
    <w:rsid w:val="00F3263C"/>
    <w:rsid w:val="00F32686"/>
    <w:rsid w:val="00F32DE0"/>
    <w:rsid w:val="00F3334E"/>
    <w:rsid w:val="00F345F8"/>
    <w:rsid w:val="00F3573A"/>
    <w:rsid w:val="00F35AD4"/>
    <w:rsid w:val="00F36688"/>
    <w:rsid w:val="00F3686F"/>
    <w:rsid w:val="00F36CCB"/>
    <w:rsid w:val="00F374E5"/>
    <w:rsid w:val="00F37A7E"/>
    <w:rsid w:val="00F37B93"/>
    <w:rsid w:val="00F37BAD"/>
    <w:rsid w:val="00F37ECA"/>
    <w:rsid w:val="00F37FF9"/>
    <w:rsid w:val="00F40A1C"/>
    <w:rsid w:val="00F41335"/>
    <w:rsid w:val="00F41E03"/>
    <w:rsid w:val="00F439ED"/>
    <w:rsid w:val="00F43AF2"/>
    <w:rsid w:val="00F43C3B"/>
    <w:rsid w:val="00F43D41"/>
    <w:rsid w:val="00F44165"/>
    <w:rsid w:val="00F45216"/>
    <w:rsid w:val="00F45FDA"/>
    <w:rsid w:val="00F4617E"/>
    <w:rsid w:val="00F46236"/>
    <w:rsid w:val="00F463CC"/>
    <w:rsid w:val="00F474F8"/>
    <w:rsid w:val="00F5007E"/>
    <w:rsid w:val="00F508F6"/>
    <w:rsid w:val="00F50EC4"/>
    <w:rsid w:val="00F51583"/>
    <w:rsid w:val="00F5170D"/>
    <w:rsid w:val="00F5189B"/>
    <w:rsid w:val="00F51ABF"/>
    <w:rsid w:val="00F51B06"/>
    <w:rsid w:val="00F52232"/>
    <w:rsid w:val="00F527B1"/>
    <w:rsid w:val="00F52DC2"/>
    <w:rsid w:val="00F54192"/>
    <w:rsid w:val="00F549D8"/>
    <w:rsid w:val="00F54AF9"/>
    <w:rsid w:val="00F550CF"/>
    <w:rsid w:val="00F553D2"/>
    <w:rsid w:val="00F55859"/>
    <w:rsid w:val="00F56311"/>
    <w:rsid w:val="00F56A2D"/>
    <w:rsid w:val="00F57A6D"/>
    <w:rsid w:val="00F600D8"/>
    <w:rsid w:val="00F60137"/>
    <w:rsid w:val="00F6044B"/>
    <w:rsid w:val="00F60CCA"/>
    <w:rsid w:val="00F62D15"/>
    <w:rsid w:val="00F62F19"/>
    <w:rsid w:val="00F638CC"/>
    <w:rsid w:val="00F63F43"/>
    <w:rsid w:val="00F64C9E"/>
    <w:rsid w:val="00F64CC1"/>
    <w:rsid w:val="00F64FBE"/>
    <w:rsid w:val="00F64FC8"/>
    <w:rsid w:val="00F659AC"/>
    <w:rsid w:val="00F65DE1"/>
    <w:rsid w:val="00F67728"/>
    <w:rsid w:val="00F67742"/>
    <w:rsid w:val="00F67DF5"/>
    <w:rsid w:val="00F7012F"/>
    <w:rsid w:val="00F708B1"/>
    <w:rsid w:val="00F70B4B"/>
    <w:rsid w:val="00F7182B"/>
    <w:rsid w:val="00F71E0F"/>
    <w:rsid w:val="00F72317"/>
    <w:rsid w:val="00F727E9"/>
    <w:rsid w:val="00F7280B"/>
    <w:rsid w:val="00F72845"/>
    <w:rsid w:val="00F73007"/>
    <w:rsid w:val="00F73DC1"/>
    <w:rsid w:val="00F74CCD"/>
    <w:rsid w:val="00F75BB8"/>
    <w:rsid w:val="00F77714"/>
    <w:rsid w:val="00F77E70"/>
    <w:rsid w:val="00F8045F"/>
    <w:rsid w:val="00F80475"/>
    <w:rsid w:val="00F80788"/>
    <w:rsid w:val="00F80E6E"/>
    <w:rsid w:val="00F81390"/>
    <w:rsid w:val="00F81F7A"/>
    <w:rsid w:val="00F81FA1"/>
    <w:rsid w:val="00F82056"/>
    <w:rsid w:val="00F8247A"/>
    <w:rsid w:val="00F82871"/>
    <w:rsid w:val="00F82E5C"/>
    <w:rsid w:val="00F832CA"/>
    <w:rsid w:val="00F83C39"/>
    <w:rsid w:val="00F83E86"/>
    <w:rsid w:val="00F83F58"/>
    <w:rsid w:val="00F85154"/>
    <w:rsid w:val="00F85206"/>
    <w:rsid w:val="00F86126"/>
    <w:rsid w:val="00F863FD"/>
    <w:rsid w:val="00F8672E"/>
    <w:rsid w:val="00F86BCF"/>
    <w:rsid w:val="00F86DC2"/>
    <w:rsid w:val="00F87C7A"/>
    <w:rsid w:val="00F87CEA"/>
    <w:rsid w:val="00F90AF3"/>
    <w:rsid w:val="00F91D52"/>
    <w:rsid w:val="00F91FF7"/>
    <w:rsid w:val="00F9265D"/>
    <w:rsid w:val="00F944E2"/>
    <w:rsid w:val="00F94C92"/>
    <w:rsid w:val="00F95FAE"/>
    <w:rsid w:val="00F9629A"/>
    <w:rsid w:val="00F97C59"/>
    <w:rsid w:val="00F97EFC"/>
    <w:rsid w:val="00FA0B04"/>
    <w:rsid w:val="00FA0C7C"/>
    <w:rsid w:val="00FA0E60"/>
    <w:rsid w:val="00FA1BDD"/>
    <w:rsid w:val="00FA2E10"/>
    <w:rsid w:val="00FA305C"/>
    <w:rsid w:val="00FA4160"/>
    <w:rsid w:val="00FA4567"/>
    <w:rsid w:val="00FA4577"/>
    <w:rsid w:val="00FA462E"/>
    <w:rsid w:val="00FA4AAA"/>
    <w:rsid w:val="00FA4DD5"/>
    <w:rsid w:val="00FA5883"/>
    <w:rsid w:val="00FA6055"/>
    <w:rsid w:val="00FA6446"/>
    <w:rsid w:val="00FA6737"/>
    <w:rsid w:val="00FA6ED7"/>
    <w:rsid w:val="00FA7508"/>
    <w:rsid w:val="00FB0B39"/>
    <w:rsid w:val="00FB12F5"/>
    <w:rsid w:val="00FB1545"/>
    <w:rsid w:val="00FB322F"/>
    <w:rsid w:val="00FB442F"/>
    <w:rsid w:val="00FB5256"/>
    <w:rsid w:val="00FB5922"/>
    <w:rsid w:val="00FB65B8"/>
    <w:rsid w:val="00FC0FF1"/>
    <w:rsid w:val="00FC118C"/>
    <w:rsid w:val="00FC150E"/>
    <w:rsid w:val="00FC1929"/>
    <w:rsid w:val="00FC270E"/>
    <w:rsid w:val="00FC2B6E"/>
    <w:rsid w:val="00FC324D"/>
    <w:rsid w:val="00FC552B"/>
    <w:rsid w:val="00FC5B46"/>
    <w:rsid w:val="00FC5D10"/>
    <w:rsid w:val="00FC640E"/>
    <w:rsid w:val="00FC6903"/>
    <w:rsid w:val="00FC7EA1"/>
    <w:rsid w:val="00FD0326"/>
    <w:rsid w:val="00FD0CA0"/>
    <w:rsid w:val="00FD1D4F"/>
    <w:rsid w:val="00FD24BF"/>
    <w:rsid w:val="00FD2764"/>
    <w:rsid w:val="00FD3B6E"/>
    <w:rsid w:val="00FD4140"/>
    <w:rsid w:val="00FD45A8"/>
    <w:rsid w:val="00FD45B9"/>
    <w:rsid w:val="00FD46BD"/>
    <w:rsid w:val="00FD57EB"/>
    <w:rsid w:val="00FD5938"/>
    <w:rsid w:val="00FD5CF8"/>
    <w:rsid w:val="00FD5D81"/>
    <w:rsid w:val="00FD5DBA"/>
    <w:rsid w:val="00FD6518"/>
    <w:rsid w:val="00FD6D8E"/>
    <w:rsid w:val="00FD7094"/>
    <w:rsid w:val="00FD712A"/>
    <w:rsid w:val="00FD7491"/>
    <w:rsid w:val="00FD7FC2"/>
    <w:rsid w:val="00FE0663"/>
    <w:rsid w:val="00FE069B"/>
    <w:rsid w:val="00FE0E94"/>
    <w:rsid w:val="00FE28C5"/>
    <w:rsid w:val="00FE2D71"/>
    <w:rsid w:val="00FE2FC6"/>
    <w:rsid w:val="00FE369C"/>
    <w:rsid w:val="00FE3CC3"/>
    <w:rsid w:val="00FE3CD9"/>
    <w:rsid w:val="00FE3E0E"/>
    <w:rsid w:val="00FE3F43"/>
    <w:rsid w:val="00FE434C"/>
    <w:rsid w:val="00FF00BD"/>
    <w:rsid w:val="00FF0148"/>
    <w:rsid w:val="00FF067C"/>
    <w:rsid w:val="00FF0B13"/>
    <w:rsid w:val="00FF1672"/>
    <w:rsid w:val="00FF1ED4"/>
    <w:rsid w:val="00FF2339"/>
    <w:rsid w:val="00FF2801"/>
    <w:rsid w:val="00FF39E2"/>
    <w:rsid w:val="00FF6175"/>
    <w:rsid w:val="00FF688F"/>
    <w:rsid w:val="00FF77AA"/>
    <w:rsid w:val="00FF799B"/>
    <w:rsid w:val="00FF7D6F"/>
    <w:rsid w:val="0107EE73"/>
    <w:rsid w:val="012A7082"/>
    <w:rsid w:val="0143FC8B"/>
    <w:rsid w:val="01472274"/>
    <w:rsid w:val="016F9A65"/>
    <w:rsid w:val="01BAC867"/>
    <w:rsid w:val="0220FD2B"/>
    <w:rsid w:val="0254441C"/>
    <w:rsid w:val="02674854"/>
    <w:rsid w:val="02C30660"/>
    <w:rsid w:val="02E816C3"/>
    <w:rsid w:val="032394EB"/>
    <w:rsid w:val="033B2F40"/>
    <w:rsid w:val="03D4261B"/>
    <w:rsid w:val="03EB8233"/>
    <w:rsid w:val="03FE7C31"/>
    <w:rsid w:val="0427C310"/>
    <w:rsid w:val="0437B5A4"/>
    <w:rsid w:val="04952F62"/>
    <w:rsid w:val="04A12F4E"/>
    <w:rsid w:val="04ABFB44"/>
    <w:rsid w:val="04CEDB22"/>
    <w:rsid w:val="04DBE9EA"/>
    <w:rsid w:val="04F7A361"/>
    <w:rsid w:val="050A093E"/>
    <w:rsid w:val="05182518"/>
    <w:rsid w:val="051D99F9"/>
    <w:rsid w:val="052A4FDB"/>
    <w:rsid w:val="05B612E3"/>
    <w:rsid w:val="05C4DCEF"/>
    <w:rsid w:val="05C98DF0"/>
    <w:rsid w:val="0605216C"/>
    <w:rsid w:val="061BE704"/>
    <w:rsid w:val="063EE9F7"/>
    <w:rsid w:val="0664A3B1"/>
    <w:rsid w:val="0676C4E7"/>
    <w:rsid w:val="069F379E"/>
    <w:rsid w:val="0708FE82"/>
    <w:rsid w:val="076CEE75"/>
    <w:rsid w:val="07B52B11"/>
    <w:rsid w:val="07C11D94"/>
    <w:rsid w:val="07CC4998"/>
    <w:rsid w:val="07D8A786"/>
    <w:rsid w:val="07DF75DE"/>
    <w:rsid w:val="07E69C9B"/>
    <w:rsid w:val="080158CB"/>
    <w:rsid w:val="08185FB9"/>
    <w:rsid w:val="08187A92"/>
    <w:rsid w:val="082A09EB"/>
    <w:rsid w:val="085C8FF8"/>
    <w:rsid w:val="089BC592"/>
    <w:rsid w:val="08C86C0D"/>
    <w:rsid w:val="092D8680"/>
    <w:rsid w:val="09984876"/>
    <w:rsid w:val="09ABF41A"/>
    <w:rsid w:val="09B5901F"/>
    <w:rsid w:val="09C27EA4"/>
    <w:rsid w:val="09D7C3A1"/>
    <w:rsid w:val="0A0C7AE1"/>
    <w:rsid w:val="0A663D94"/>
    <w:rsid w:val="0AA9C204"/>
    <w:rsid w:val="0AAC1A86"/>
    <w:rsid w:val="0AB7D057"/>
    <w:rsid w:val="0ABE0240"/>
    <w:rsid w:val="0B01C4AE"/>
    <w:rsid w:val="0B0424E7"/>
    <w:rsid w:val="0B0BC14C"/>
    <w:rsid w:val="0B1BF5E7"/>
    <w:rsid w:val="0B3D0AF8"/>
    <w:rsid w:val="0B96B36C"/>
    <w:rsid w:val="0C1C3B26"/>
    <w:rsid w:val="0C4F567F"/>
    <w:rsid w:val="0CF130DF"/>
    <w:rsid w:val="0CFE1DFD"/>
    <w:rsid w:val="0D029FA3"/>
    <w:rsid w:val="0D0772D3"/>
    <w:rsid w:val="0D2E6088"/>
    <w:rsid w:val="0D4FC7CF"/>
    <w:rsid w:val="0DC4E36E"/>
    <w:rsid w:val="0E5E506F"/>
    <w:rsid w:val="0EDE1FCB"/>
    <w:rsid w:val="0EEBB008"/>
    <w:rsid w:val="0F4393B8"/>
    <w:rsid w:val="0F5CF529"/>
    <w:rsid w:val="0F8DF368"/>
    <w:rsid w:val="0FC31246"/>
    <w:rsid w:val="0FCE408E"/>
    <w:rsid w:val="1023E0F9"/>
    <w:rsid w:val="10409C12"/>
    <w:rsid w:val="1050DBC8"/>
    <w:rsid w:val="10B5E8CB"/>
    <w:rsid w:val="10DEB195"/>
    <w:rsid w:val="10E75539"/>
    <w:rsid w:val="1123DA06"/>
    <w:rsid w:val="113C6B68"/>
    <w:rsid w:val="11675DF7"/>
    <w:rsid w:val="11E0882A"/>
    <w:rsid w:val="1272477B"/>
    <w:rsid w:val="12B95C68"/>
    <w:rsid w:val="12FA9C6E"/>
    <w:rsid w:val="130D9FAD"/>
    <w:rsid w:val="13265441"/>
    <w:rsid w:val="132F3E76"/>
    <w:rsid w:val="1371F08E"/>
    <w:rsid w:val="1397CD1A"/>
    <w:rsid w:val="13D9A3D5"/>
    <w:rsid w:val="145664F1"/>
    <w:rsid w:val="1491C078"/>
    <w:rsid w:val="149816DA"/>
    <w:rsid w:val="14A58FF9"/>
    <w:rsid w:val="14F07869"/>
    <w:rsid w:val="1500C74C"/>
    <w:rsid w:val="15107A79"/>
    <w:rsid w:val="1559BAC6"/>
    <w:rsid w:val="16257476"/>
    <w:rsid w:val="162998A6"/>
    <w:rsid w:val="162CE54A"/>
    <w:rsid w:val="16E448CB"/>
    <w:rsid w:val="16F7E609"/>
    <w:rsid w:val="176293C2"/>
    <w:rsid w:val="179F3E49"/>
    <w:rsid w:val="17D418A1"/>
    <w:rsid w:val="17FD5F39"/>
    <w:rsid w:val="18479D83"/>
    <w:rsid w:val="18657CF4"/>
    <w:rsid w:val="189F5B7C"/>
    <w:rsid w:val="18AA1913"/>
    <w:rsid w:val="18C02878"/>
    <w:rsid w:val="18DB1647"/>
    <w:rsid w:val="18E4F4AA"/>
    <w:rsid w:val="18FF12F8"/>
    <w:rsid w:val="190086E1"/>
    <w:rsid w:val="192CECD1"/>
    <w:rsid w:val="19890FA6"/>
    <w:rsid w:val="199C191F"/>
    <w:rsid w:val="19AE6DC2"/>
    <w:rsid w:val="19B44400"/>
    <w:rsid w:val="19F2311B"/>
    <w:rsid w:val="19F7AA11"/>
    <w:rsid w:val="1A0D3C6A"/>
    <w:rsid w:val="1A116633"/>
    <w:rsid w:val="1A2D1BE7"/>
    <w:rsid w:val="1A8A0C43"/>
    <w:rsid w:val="1AA04D2A"/>
    <w:rsid w:val="1B0BFFE7"/>
    <w:rsid w:val="1B4DABE9"/>
    <w:rsid w:val="1B778655"/>
    <w:rsid w:val="1B8C9655"/>
    <w:rsid w:val="1BA40949"/>
    <w:rsid w:val="1BA5D41F"/>
    <w:rsid w:val="1BCB7983"/>
    <w:rsid w:val="1C126DB4"/>
    <w:rsid w:val="1C89AFC8"/>
    <w:rsid w:val="1CC4296A"/>
    <w:rsid w:val="1CC59A03"/>
    <w:rsid w:val="1CD8D271"/>
    <w:rsid w:val="1CD934C9"/>
    <w:rsid w:val="1CE415B0"/>
    <w:rsid w:val="1D4E7C25"/>
    <w:rsid w:val="1D6033D6"/>
    <w:rsid w:val="1D794568"/>
    <w:rsid w:val="1DDBDA0D"/>
    <w:rsid w:val="1E382E8C"/>
    <w:rsid w:val="1E5CFDF1"/>
    <w:rsid w:val="1E938E64"/>
    <w:rsid w:val="1EAFF635"/>
    <w:rsid w:val="1EBC4271"/>
    <w:rsid w:val="1EC17343"/>
    <w:rsid w:val="1F394CBD"/>
    <w:rsid w:val="1F3EECBD"/>
    <w:rsid w:val="1F58416E"/>
    <w:rsid w:val="1F7238FE"/>
    <w:rsid w:val="1FB6E350"/>
    <w:rsid w:val="1FF3162D"/>
    <w:rsid w:val="2009EB8A"/>
    <w:rsid w:val="201FF4A5"/>
    <w:rsid w:val="20B4D002"/>
    <w:rsid w:val="20FC4BD9"/>
    <w:rsid w:val="210F5AF1"/>
    <w:rsid w:val="2124F4CA"/>
    <w:rsid w:val="212CBC64"/>
    <w:rsid w:val="22711BE7"/>
    <w:rsid w:val="22BD0AA8"/>
    <w:rsid w:val="22CB3C9A"/>
    <w:rsid w:val="23166EB2"/>
    <w:rsid w:val="231C3354"/>
    <w:rsid w:val="238763BF"/>
    <w:rsid w:val="238CC620"/>
    <w:rsid w:val="242B32A2"/>
    <w:rsid w:val="243759EB"/>
    <w:rsid w:val="244B8CF8"/>
    <w:rsid w:val="245BD4B9"/>
    <w:rsid w:val="24A01595"/>
    <w:rsid w:val="24BE925C"/>
    <w:rsid w:val="24C0A041"/>
    <w:rsid w:val="24C15468"/>
    <w:rsid w:val="24C897CC"/>
    <w:rsid w:val="24CA5046"/>
    <w:rsid w:val="24F3D9C8"/>
    <w:rsid w:val="24F49182"/>
    <w:rsid w:val="24FBB808"/>
    <w:rsid w:val="2538C0D7"/>
    <w:rsid w:val="257A5378"/>
    <w:rsid w:val="257CEE86"/>
    <w:rsid w:val="257E34CC"/>
    <w:rsid w:val="25B3E4FE"/>
    <w:rsid w:val="25E00BCE"/>
    <w:rsid w:val="263EAFBF"/>
    <w:rsid w:val="26615FE7"/>
    <w:rsid w:val="266BCA3A"/>
    <w:rsid w:val="26736AF4"/>
    <w:rsid w:val="2678B15D"/>
    <w:rsid w:val="2681E81C"/>
    <w:rsid w:val="26BB2040"/>
    <w:rsid w:val="26E45595"/>
    <w:rsid w:val="26F2031E"/>
    <w:rsid w:val="26F6F44A"/>
    <w:rsid w:val="27394882"/>
    <w:rsid w:val="28502A01"/>
    <w:rsid w:val="28B27485"/>
    <w:rsid w:val="28C24219"/>
    <w:rsid w:val="28D9551F"/>
    <w:rsid w:val="28F5AD16"/>
    <w:rsid w:val="29365BD7"/>
    <w:rsid w:val="29882150"/>
    <w:rsid w:val="29E0E709"/>
    <w:rsid w:val="2A3A5B93"/>
    <w:rsid w:val="2A4356E3"/>
    <w:rsid w:val="2A7EF69C"/>
    <w:rsid w:val="2AA490C3"/>
    <w:rsid w:val="2AB480AD"/>
    <w:rsid w:val="2AC48382"/>
    <w:rsid w:val="2ACF235D"/>
    <w:rsid w:val="2AD91715"/>
    <w:rsid w:val="2AFB4C3A"/>
    <w:rsid w:val="2B4A372C"/>
    <w:rsid w:val="2B8D5B09"/>
    <w:rsid w:val="2C14A5D2"/>
    <w:rsid w:val="2C4C1D68"/>
    <w:rsid w:val="2C7C3DFB"/>
    <w:rsid w:val="2C80FA81"/>
    <w:rsid w:val="2C9709B4"/>
    <w:rsid w:val="2CA74AB4"/>
    <w:rsid w:val="2D295EE1"/>
    <w:rsid w:val="2D470254"/>
    <w:rsid w:val="2D8C3EB5"/>
    <w:rsid w:val="2DCF85DE"/>
    <w:rsid w:val="2DECC312"/>
    <w:rsid w:val="2DF46B25"/>
    <w:rsid w:val="2E02B3FE"/>
    <w:rsid w:val="2E4579D6"/>
    <w:rsid w:val="2EC50B11"/>
    <w:rsid w:val="2ECFCE78"/>
    <w:rsid w:val="2EF0545B"/>
    <w:rsid w:val="2EF2FC08"/>
    <w:rsid w:val="2F193147"/>
    <w:rsid w:val="2FC97F8A"/>
    <w:rsid w:val="2FD5E70C"/>
    <w:rsid w:val="3006AF36"/>
    <w:rsid w:val="300EDF22"/>
    <w:rsid w:val="303BB7E2"/>
    <w:rsid w:val="3079EB0D"/>
    <w:rsid w:val="307D714D"/>
    <w:rsid w:val="3093AC95"/>
    <w:rsid w:val="30E8B387"/>
    <w:rsid w:val="30F163B4"/>
    <w:rsid w:val="311CC9DB"/>
    <w:rsid w:val="31361354"/>
    <w:rsid w:val="315C9413"/>
    <w:rsid w:val="316CC50E"/>
    <w:rsid w:val="317FD6E9"/>
    <w:rsid w:val="31C037BF"/>
    <w:rsid w:val="31C1265F"/>
    <w:rsid w:val="321F658F"/>
    <w:rsid w:val="32477010"/>
    <w:rsid w:val="32494C9F"/>
    <w:rsid w:val="32622F8E"/>
    <w:rsid w:val="32FFC29C"/>
    <w:rsid w:val="3320F36F"/>
    <w:rsid w:val="333B904F"/>
    <w:rsid w:val="3385D803"/>
    <w:rsid w:val="33A89352"/>
    <w:rsid w:val="33CFA963"/>
    <w:rsid w:val="340D0A3D"/>
    <w:rsid w:val="343A4F58"/>
    <w:rsid w:val="34623671"/>
    <w:rsid w:val="347045BD"/>
    <w:rsid w:val="34949411"/>
    <w:rsid w:val="3495E99B"/>
    <w:rsid w:val="34A0F8C3"/>
    <w:rsid w:val="34E7EA92"/>
    <w:rsid w:val="34EDBBED"/>
    <w:rsid w:val="34FCAF0D"/>
    <w:rsid w:val="35A9736E"/>
    <w:rsid w:val="35C366B0"/>
    <w:rsid w:val="3622EE3C"/>
    <w:rsid w:val="363425FC"/>
    <w:rsid w:val="3637E501"/>
    <w:rsid w:val="3656CED8"/>
    <w:rsid w:val="36A5E60E"/>
    <w:rsid w:val="36B5131D"/>
    <w:rsid w:val="36E58CCA"/>
    <w:rsid w:val="36F34306"/>
    <w:rsid w:val="3712B19E"/>
    <w:rsid w:val="373C6128"/>
    <w:rsid w:val="3788BB8F"/>
    <w:rsid w:val="37C1F8E8"/>
    <w:rsid w:val="3805C0E7"/>
    <w:rsid w:val="3807BC57"/>
    <w:rsid w:val="38168071"/>
    <w:rsid w:val="3833DE1D"/>
    <w:rsid w:val="38444691"/>
    <w:rsid w:val="3869565B"/>
    <w:rsid w:val="3888EDDA"/>
    <w:rsid w:val="390CC946"/>
    <w:rsid w:val="393376D2"/>
    <w:rsid w:val="395463D1"/>
    <w:rsid w:val="398863F1"/>
    <w:rsid w:val="39E697F3"/>
    <w:rsid w:val="3A0A6538"/>
    <w:rsid w:val="3A20C143"/>
    <w:rsid w:val="3A32D63E"/>
    <w:rsid w:val="3A4C135D"/>
    <w:rsid w:val="3A50615A"/>
    <w:rsid w:val="3A929A06"/>
    <w:rsid w:val="3ADBFA77"/>
    <w:rsid w:val="3ADDCB7B"/>
    <w:rsid w:val="3AE91C6C"/>
    <w:rsid w:val="3B042E1F"/>
    <w:rsid w:val="3B61A4AA"/>
    <w:rsid w:val="3B9AE779"/>
    <w:rsid w:val="3BA095AD"/>
    <w:rsid w:val="3BBCC96F"/>
    <w:rsid w:val="3BFC5181"/>
    <w:rsid w:val="3C537D81"/>
    <w:rsid w:val="3C9E6385"/>
    <w:rsid w:val="3C9EE36B"/>
    <w:rsid w:val="3CF1966F"/>
    <w:rsid w:val="3D382E89"/>
    <w:rsid w:val="3D54D72D"/>
    <w:rsid w:val="3E0F445B"/>
    <w:rsid w:val="3E0FE3A2"/>
    <w:rsid w:val="3ED20DFA"/>
    <w:rsid w:val="3EDC23CB"/>
    <w:rsid w:val="3EF7CD24"/>
    <w:rsid w:val="3F397A63"/>
    <w:rsid w:val="3F5BBDBF"/>
    <w:rsid w:val="3FDC7963"/>
    <w:rsid w:val="40771079"/>
    <w:rsid w:val="407C29CE"/>
    <w:rsid w:val="40930EF5"/>
    <w:rsid w:val="40A59A29"/>
    <w:rsid w:val="40F71288"/>
    <w:rsid w:val="40FE3CA2"/>
    <w:rsid w:val="4110CDB4"/>
    <w:rsid w:val="414CEE8F"/>
    <w:rsid w:val="420D8B07"/>
    <w:rsid w:val="420F554E"/>
    <w:rsid w:val="422ACFA0"/>
    <w:rsid w:val="42691D0F"/>
    <w:rsid w:val="429D4C48"/>
    <w:rsid w:val="42D2A489"/>
    <w:rsid w:val="42E378C9"/>
    <w:rsid w:val="42EA3918"/>
    <w:rsid w:val="4304F9F1"/>
    <w:rsid w:val="4345FC9F"/>
    <w:rsid w:val="4372D6C2"/>
    <w:rsid w:val="441A009D"/>
    <w:rsid w:val="443448FB"/>
    <w:rsid w:val="444E6E1E"/>
    <w:rsid w:val="444EDE7E"/>
    <w:rsid w:val="44505BFC"/>
    <w:rsid w:val="450F5A46"/>
    <w:rsid w:val="4543519F"/>
    <w:rsid w:val="456C4AA2"/>
    <w:rsid w:val="4574226D"/>
    <w:rsid w:val="45B42624"/>
    <w:rsid w:val="45E0D092"/>
    <w:rsid w:val="461CED71"/>
    <w:rsid w:val="4632D316"/>
    <w:rsid w:val="4641A0D0"/>
    <w:rsid w:val="465D3F80"/>
    <w:rsid w:val="46A44B54"/>
    <w:rsid w:val="471641BA"/>
    <w:rsid w:val="473E9FA4"/>
    <w:rsid w:val="47C7DD54"/>
    <w:rsid w:val="47E95820"/>
    <w:rsid w:val="47EE2104"/>
    <w:rsid w:val="4819E2FF"/>
    <w:rsid w:val="483DA525"/>
    <w:rsid w:val="4873567A"/>
    <w:rsid w:val="487E2979"/>
    <w:rsid w:val="48F582C0"/>
    <w:rsid w:val="48F92B25"/>
    <w:rsid w:val="495D9BBE"/>
    <w:rsid w:val="49625175"/>
    <w:rsid w:val="49B7B512"/>
    <w:rsid w:val="49CAE3F1"/>
    <w:rsid w:val="49E99C24"/>
    <w:rsid w:val="49F64DD5"/>
    <w:rsid w:val="4A6290D7"/>
    <w:rsid w:val="4A6992A0"/>
    <w:rsid w:val="4A7D3FC0"/>
    <w:rsid w:val="4A9F2AFE"/>
    <w:rsid w:val="4AACA763"/>
    <w:rsid w:val="4AE47A69"/>
    <w:rsid w:val="4AE86C22"/>
    <w:rsid w:val="4B3923BD"/>
    <w:rsid w:val="4B69AE5A"/>
    <w:rsid w:val="4BA8084E"/>
    <w:rsid w:val="4BD243C2"/>
    <w:rsid w:val="4C18A355"/>
    <w:rsid w:val="4C1EF4D3"/>
    <w:rsid w:val="4C41158E"/>
    <w:rsid w:val="4C8B405E"/>
    <w:rsid w:val="4CA8BA21"/>
    <w:rsid w:val="4D21EA56"/>
    <w:rsid w:val="4DA14906"/>
    <w:rsid w:val="4DAB684F"/>
    <w:rsid w:val="4DD74500"/>
    <w:rsid w:val="4E14B4B5"/>
    <w:rsid w:val="4E185606"/>
    <w:rsid w:val="4E306910"/>
    <w:rsid w:val="4E5B04C0"/>
    <w:rsid w:val="4E7361DE"/>
    <w:rsid w:val="4E9B2185"/>
    <w:rsid w:val="4EE3854C"/>
    <w:rsid w:val="4F1466B5"/>
    <w:rsid w:val="4F231C59"/>
    <w:rsid w:val="4F28A562"/>
    <w:rsid w:val="4F44B530"/>
    <w:rsid w:val="4F77174D"/>
    <w:rsid w:val="4F982764"/>
    <w:rsid w:val="4FA492FD"/>
    <w:rsid w:val="4FCA4025"/>
    <w:rsid w:val="4FF863B4"/>
    <w:rsid w:val="50119D9A"/>
    <w:rsid w:val="5044945D"/>
    <w:rsid w:val="5057B658"/>
    <w:rsid w:val="50956621"/>
    <w:rsid w:val="50A1B809"/>
    <w:rsid w:val="50C62D53"/>
    <w:rsid w:val="50F1C25A"/>
    <w:rsid w:val="50FB76D5"/>
    <w:rsid w:val="510E41E8"/>
    <w:rsid w:val="513B0D4E"/>
    <w:rsid w:val="5175EF4F"/>
    <w:rsid w:val="517C50E5"/>
    <w:rsid w:val="51A107A9"/>
    <w:rsid w:val="51AB890B"/>
    <w:rsid w:val="51D04B77"/>
    <w:rsid w:val="51D856AC"/>
    <w:rsid w:val="521C1C44"/>
    <w:rsid w:val="52B7AC96"/>
    <w:rsid w:val="52BC0BE6"/>
    <w:rsid w:val="52C2156B"/>
    <w:rsid w:val="52D83F65"/>
    <w:rsid w:val="52D98067"/>
    <w:rsid w:val="53044900"/>
    <w:rsid w:val="53229BC9"/>
    <w:rsid w:val="534EA782"/>
    <w:rsid w:val="53AB33C3"/>
    <w:rsid w:val="53B39A2E"/>
    <w:rsid w:val="53EB3FB1"/>
    <w:rsid w:val="545CB410"/>
    <w:rsid w:val="54C17BA2"/>
    <w:rsid w:val="54DBC7F7"/>
    <w:rsid w:val="5520BE40"/>
    <w:rsid w:val="553311EF"/>
    <w:rsid w:val="559120BE"/>
    <w:rsid w:val="55ACD1A0"/>
    <w:rsid w:val="55D3191F"/>
    <w:rsid w:val="55FFE440"/>
    <w:rsid w:val="569D8029"/>
    <w:rsid w:val="56AFA43F"/>
    <w:rsid w:val="56EFEC9E"/>
    <w:rsid w:val="56FD8280"/>
    <w:rsid w:val="5705963D"/>
    <w:rsid w:val="572036C5"/>
    <w:rsid w:val="58682760"/>
    <w:rsid w:val="587702F4"/>
    <w:rsid w:val="58963761"/>
    <w:rsid w:val="58C5660F"/>
    <w:rsid w:val="58C80D96"/>
    <w:rsid w:val="58D1B62C"/>
    <w:rsid w:val="59185BFB"/>
    <w:rsid w:val="591A0A2F"/>
    <w:rsid w:val="593F501C"/>
    <w:rsid w:val="59BC8DD7"/>
    <w:rsid w:val="5A05D725"/>
    <w:rsid w:val="5A861EF8"/>
    <w:rsid w:val="5AA2C513"/>
    <w:rsid w:val="5AC644C6"/>
    <w:rsid w:val="5ADD90BE"/>
    <w:rsid w:val="5B09FB99"/>
    <w:rsid w:val="5B1E38D7"/>
    <w:rsid w:val="5B2DF36B"/>
    <w:rsid w:val="5B44FFF7"/>
    <w:rsid w:val="5B646A9C"/>
    <w:rsid w:val="5B735D52"/>
    <w:rsid w:val="5B9D8C93"/>
    <w:rsid w:val="5C86D3E6"/>
    <w:rsid w:val="5CB076C8"/>
    <w:rsid w:val="5D1559E5"/>
    <w:rsid w:val="5D1964ED"/>
    <w:rsid w:val="5D1CF276"/>
    <w:rsid w:val="5D4A8AC4"/>
    <w:rsid w:val="5D5832E9"/>
    <w:rsid w:val="5D80A09E"/>
    <w:rsid w:val="5D8C244F"/>
    <w:rsid w:val="5DC1C88E"/>
    <w:rsid w:val="5DF2A876"/>
    <w:rsid w:val="5E081EA3"/>
    <w:rsid w:val="5E315782"/>
    <w:rsid w:val="5EACEEBD"/>
    <w:rsid w:val="5EBDDC85"/>
    <w:rsid w:val="5EC33D8A"/>
    <w:rsid w:val="5ECDE145"/>
    <w:rsid w:val="5F3313A5"/>
    <w:rsid w:val="5F7F4AB8"/>
    <w:rsid w:val="5F8C18FC"/>
    <w:rsid w:val="5FBBF1A5"/>
    <w:rsid w:val="5FDE498D"/>
    <w:rsid w:val="600E03FD"/>
    <w:rsid w:val="604B747C"/>
    <w:rsid w:val="604D6576"/>
    <w:rsid w:val="609D483B"/>
    <w:rsid w:val="60BE40C9"/>
    <w:rsid w:val="616905B3"/>
    <w:rsid w:val="61837C23"/>
    <w:rsid w:val="6238D218"/>
    <w:rsid w:val="628CB478"/>
    <w:rsid w:val="6293B19C"/>
    <w:rsid w:val="62AD93BA"/>
    <w:rsid w:val="63285C1E"/>
    <w:rsid w:val="63555756"/>
    <w:rsid w:val="63F13042"/>
    <w:rsid w:val="64269886"/>
    <w:rsid w:val="643787E5"/>
    <w:rsid w:val="644E444D"/>
    <w:rsid w:val="654BAD90"/>
    <w:rsid w:val="65573E26"/>
    <w:rsid w:val="65695382"/>
    <w:rsid w:val="65AD35BA"/>
    <w:rsid w:val="65C2D45A"/>
    <w:rsid w:val="65F0301E"/>
    <w:rsid w:val="6657D135"/>
    <w:rsid w:val="666D26C6"/>
    <w:rsid w:val="66D9E62A"/>
    <w:rsid w:val="66E8E023"/>
    <w:rsid w:val="6728F4B3"/>
    <w:rsid w:val="673BE400"/>
    <w:rsid w:val="67B6BAF7"/>
    <w:rsid w:val="67C33D8E"/>
    <w:rsid w:val="67C3E715"/>
    <w:rsid w:val="67EE6EA0"/>
    <w:rsid w:val="67EEB053"/>
    <w:rsid w:val="684CC55E"/>
    <w:rsid w:val="6856BDA1"/>
    <w:rsid w:val="68E0347C"/>
    <w:rsid w:val="690EEF73"/>
    <w:rsid w:val="6927502A"/>
    <w:rsid w:val="694AC630"/>
    <w:rsid w:val="6956685D"/>
    <w:rsid w:val="696578C7"/>
    <w:rsid w:val="697921C4"/>
    <w:rsid w:val="699B3EBB"/>
    <w:rsid w:val="69A7D5B7"/>
    <w:rsid w:val="6A2AAF49"/>
    <w:rsid w:val="6A36F920"/>
    <w:rsid w:val="6A651835"/>
    <w:rsid w:val="6AC65B2D"/>
    <w:rsid w:val="6B474819"/>
    <w:rsid w:val="6B4F28F9"/>
    <w:rsid w:val="6B6A2237"/>
    <w:rsid w:val="6B6DA8C9"/>
    <w:rsid w:val="6BAD574D"/>
    <w:rsid w:val="6BFAAE8A"/>
    <w:rsid w:val="6CA77350"/>
    <w:rsid w:val="6CF8E27A"/>
    <w:rsid w:val="6D8AB576"/>
    <w:rsid w:val="6DEAE955"/>
    <w:rsid w:val="6E113759"/>
    <w:rsid w:val="6E9E2F6C"/>
    <w:rsid w:val="6ECFE2FB"/>
    <w:rsid w:val="6EF970AC"/>
    <w:rsid w:val="6F4C380F"/>
    <w:rsid w:val="6F544BBE"/>
    <w:rsid w:val="7070BAD8"/>
    <w:rsid w:val="70971A32"/>
    <w:rsid w:val="709A626A"/>
    <w:rsid w:val="716D6D8F"/>
    <w:rsid w:val="71AE2E89"/>
    <w:rsid w:val="71CE31C2"/>
    <w:rsid w:val="720DAEE8"/>
    <w:rsid w:val="72D5C0BA"/>
    <w:rsid w:val="72F2C99F"/>
    <w:rsid w:val="731BA24E"/>
    <w:rsid w:val="731E0F24"/>
    <w:rsid w:val="73C929CD"/>
    <w:rsid w:val="73E7CF48"/>
    <w:rsid w:val="749268B7"/>
    <w:rsid w:val="7497C0D9"/>
    <w:rsid w:val="749DA41E"/>
    <w:rsid w:val="74AA6A4A"/>
    <w:rsid w:val="74F06AD7"/>
    <w:rsid w:val="7571F7F6"/>
    <w:rsid w:val="75A6DE5F"/>
    <w:rsid w:val="75A80FFF"/>
    <w:rsid w:val="75B5D97D"/>
    <w:rsid w:val="75B9CE48"/>
    <w:rsid w:val="75C6E942"/>
    <w:rsid w:val="75FBC1BE"/>
    <w:rsid w:val="762180E1"/>
    <w:rsid w:val="76256C4A"/>
    <w:rsid w:val="764DA178"/>
    <w:rsid w:val="76D7C63A"/>
    <w:rsid w:val="76FF895C"/>
    <w:rsid w:val="77424A2C"/>
    <w:rsid w:val="77B642A1"/>
    <w:rsid w:val="7802B713"/>
    <w:rsid w:val="78063D85"/>
    <w:rsid w:val="7810E4CD"/>
    <w:rsid w:val="78168F3E"/>
    <w:rsid w:val="782A703C"/>
    <w:rsid w:val="784DB501"/>
    <w:rsid w:val="789F941F"/>
    <w:rsid w:val="78E271BD"/>
    <w:rsid w:val="78E93C4E"/>
    <w:rsid w:val="79E7FDEB"/>
    <w:rsid w:val="79E941EA"/>
    <w:rsid w:val="7A3DE86F"/>
    <w:rsid w:val="7A7780D2"/>
    <w:rsid w:val="7AA5BDFC"/>
    <w:rsid w:val="7ABD8181"/>
    <w:rsid w:val="7AD6838E"/>
    <w:rsid w:val="7B180F93"/>
    <w:rsid w:val="7B1B6DA9"/>
    <w:rsid w:val="7B1B8220"/>
    <w:rsid w:val="7B24EAA5"/>
    <w:rsid w:val="7B349606"/>
    <w:rsid w:val="7BACCCC3"/>
    <w:rsid w:val="7BADAD32"/>
    <w:rsid w:val="7C53821C"/>
    <w:rsid w:val="7C63B7C1"/>
    <w:rsid w:val="7C73E7A8"/>
    <w:rsid w:val="7C7878ED"/>
    <w:rsid w:val="7CB29758"/>
    <w:rsid w:val="7CBC3797"/>
    <w:rsid w:val="7CDEBC17"/>
    <w:rsid w:val="7D0D0561"/>
    <w:rsid w:val="7D196D7E"/>
    <w:rsid w:val="7D61AEBC"/>
    <w:rsid w:val="7D78DD2D"/>
    <w:rsid w:val="7D98DA3E"/>
    <w:rsid w:val="7DAC400C"/>
    <w:rsid w:val="7DF83DEA"/>
    <w:rsid w:val="7E303FD3"/>
    <w:rsid w:val="7E3EF267"/>
    <w:rsid w:val="7E7230EC"/>
    <w:rsid w:val="7E77EEEF"/>
    <w:rsid w:val="7E784689"/>
    <w:rsid w:val="7E88D400"/>
    <w:rsid w:val="7E9A54A9"/>
    <w:rsid w:val="7EFD1F40"/>
    <w:rsid w:val="7F158772"/>
    <w:rsid w:val="7F47C472"/>
    <w:rsid w:val="7FA82C29"/>
    <w:rsid w:val="7FC15486"/>
    <w:rsid w:val="7FCD1C24"/>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4BD7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1" w:qFormat="1"/>
    <w:lsdException w:name="heading 2" w:uiPriority="1" w:qFormat="1"/>
    <w:lsdException w:name="heading 3" w:semiHidden="1" w:uiPriority="9" w:unhideWhenUsed="1" w:qFormat="1"/>
    <w:lsdException w:name="heading 4" w:semiHidden="1" w:uiPriority="9" w:unhideWhenUsed="1"/>
    <w:lsdException w:name="heading 5" w:uiPriority="9" w:qFormat="1"/>
    <w:lsdException w:name="heading 6" w:uiPriority="9" w:qFormat="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qFormat="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unhideWhenUsed="1"/>
    <w:lsdException w:name="No Spacing" w:uiPriority="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Quote" w:uiPriority="29"/>
    <w:lsdException w:name="Intense Quote" w:uiPriority="3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60ED3"/>
    <w:pPr>
      <w:jc w:val="both"/>
    </w:pPr>
    <w:rPr>
      <w:rFonts w:ascii="Calibri" w:hAnsi="Calibri"/>
      <w:sz w:val="24"/>
      <w:szCs w:val="24"/>
    </w:rPr>
  </w:style>
  <w:style w:type="paragraph" w:styleId="Heading1">
    <w:name w:val="heading 1"/>
    <w:basedOn w:val="ListParagraph"/>
    <w:next w:val="Normal"/>
    <w:link w:val="Heading1Char"/>
    <w:uiPriority w:val="1"/>
    <w:qFormat/>
    <w:rsid w:val="00C603D4"/>
    <w:pPr>
      <w:ind w:left="0"/>
      <w:outlineLvl w:val="0"/>
    </w:pPr>
    <w:rPr>
      <w:b/>
      <w:szCs w:val="22"/>
    </w:rPr>
  </w:style>
  <w:style w:type="paragraph" w:styleId="Heading2">
    <w:name w:val="heading 2"/>
    <w:aliases w:val="Subsection Headings"/>
    <w:basedOn w:val="Normal"/>
    <w:next w:val="Normal"/>
    <w:link w:val="Heading2Char"/>
    <w:uiPriority w:val="1"/>
    <w:qFormat/>
    <w:rsid w:val="00B1059E"/>
    <w:pPr>
      <w:keepNext/>
      <w:outlineLvl w:val="1"/>
    </w:pPr>
    <w:rPr>
      <w:rFonts w:ascii="Arial" w:hAnsi="Arial"/>
      <w:b/>
      <w:i/>
      <w:sz w:val="22"/>
    </w:rPr>
  </w:style>
  <w:style w:type="paragraph" w:styleId="Heading3">
    <w:name w:val="heading 3"/>
    <w:basedOn w:val="Normal"/>
    <w:next w:val="Normal"/>
    <w:link w:val="Heading3Char"/>
    <w:uiPriority w:val="9"/>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rsid w:val="008E1B03"/>
    <w:pPr>
      <w:keepNext/>
      <w:keepLines/>
      <w:spacing w:before="40"/>
      <w:outlineLvl w:val="3"/>
    </w:pPr>
    <w:rPr>
      <w:rFonts w:ascii="Aptos" w:hAnsi="Aptos"/>
      <w:i/>
      <w:iCs/>
      <w:color w:val="0F4761"/>
      <w:kern w:val="2"/>
      <w:lang w:eastAsia="en-US"/>
      <w14:ligatures w14:val="standardContextual"/>
    </w:rPr>
  </w:style>
  <w:style w:type="paragraph" w:styleId="Heading5">
    <w:name w:val="heading 5"/>
    <w:basedOn w:val="Normal"/>
    <w:next w:val="Normal"/>
    <w:link w:val="Heading5Char"/>
    <w:uiPriority w:val="9"/>
    <w:qFormat/>
    <w:pPr>
      <w:spacing w:before="240" w:after="60"/>
      <w:outlineLvl w:val="4"/>
    </w:pPr>
    <w:rPr>
      <w:b/>
      <w:bCs/>
      <w:i/>
      <w:iCs/>
      <w:sz w:val="26"/>
      <w:szCs w:val="26"/>
    </w:rPr>
  </w:style>
  <w:style w:type="paragraph" w:styleId="Heading6">
    <w:name w:val="heading 6"/>
    <w:basedOn w:val="Normal"/>
    <w:next w:val="Normal"/>
    <w:link w:val="Heading6Char"/>
    <w:uiPriority w:val="9"/>
    <w:qFormat/>
    <w:pPr>
      <w:spacing w:before="240" w:after="60"/>
      <w:outlineLvl w:val="5"/>
    </w:pPr>
    <w:rPr>
      <w:b/>
      <w:bCs/>
      <w:sz w:val="22"/>
      <w:szCs w:val="22"/>
    </w:rPr>
  </w:style>
  <w:style w:type="paragraph" w:styleId="Heading7">
    <w:name w:val="heading 7"/>
    <w:basedOn w:val="Normal"/>
    <w:next w:val="Normal"/>
    <w:link w:val="Heading7Char"/>
    <w:uiPriority w:val="9"/>
    <w:semiHidden/>
    <w:unhideWhenUsed/>
    <w:rsid w:val="008E1B03"/>
    <w:pPr>
      <w:keepNext/>
      <w:keepLines/>
      <w:spacing w:before="40"/>
      <w:outlineLvl w:val="6"/>
    </w:pPr>
    <w:rPr>
      <w:rFonts w:ascii="Aptos" w:hAnsi="Aptos"/>
      <w:color w:val="595959"/>
      <w:kern w:val="2"/>
      <w:lang w:eastAsia="en-US"/>
      <w14:ligatures w14:val="standardContextual"/>
    </w:rPr>
  </w:style>
  <w:style w:type="paragraph" w:styleId="Heading8">
    <w:name w:val="heading 8"/>
    <w:basedOn w:val="Normal"/>
    <w:next w:val="Normal"/>
    <w:link w:val="Heading8Char"/>
    <w:uiPriority w:val="9"/>
    <w:semiHidden/>
    <w:unhideWhenUsed/>
    <w:rsid w:val="008E1B03"/>
    <w:pPr>
      <w:keepNext/>
      <w:keepLines/>
      <w:spacing w:before="40"/>
      <w:outlineLvl w:val="7"/>
    </w:pPr>
    <w:rPr>
      <w:rFonts w:ascii="Aptos" w:hAnsi="Aptos"/>
      <w:i/>
      <w:iCs/>
      <w:color w:val="272727"/>
      <w:kern w:val="2"/>
      <w:lang w:eastAsia="en-US"/>
      <w14:ligatures w14:val="standardContextual"/>
    </w:rPr>
  </w:style>
  <w:style w:type="paragraph" w:styleId="Heading9">
    <w:name w:val="heading 9"/>
    <w:basedOn w:val="Normal"/>
    <w:next w:val="Normal"/>
    <w:link w:val="Heading9Char"/>
    <w:uiPriority w:val="9"/>
    <w:semiHidden/>
    <w:unhideWhenUsed/>
    <w:rsid w:val="008E1B03"/>
    <w:pPr>
      <w:keepNext/>
      <w:keepLines/>
      <w:spacing w:before="40"/>
      <w:outlineLvl w:val="8"/>
    </w:pPr>
    <w:rPr>
      <w:rFonts w:ascii="Aptos" w:hAnsi="Aptos"/>
      <w:color w:val="272727"/>
      <w:kern w:val="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qFormat/>
    <w:rsid w:val="00B60ED3"/>
    <w:pPr>
      <w:keepNext/>
      <w:tabs>
        <w:tab w:val="center" w:pos="4513"/>
        <w:tab w:val="right" w:pos="9026"/>
      </w:tabs>
      <w:jc w:val="center"/>
    </w:pPr>
    <w:rPr>
      <w:i/>
      <w:iCs/>
    </w:r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link w:val="BalloonTextChar"/>
    <w:uiPriority w:val="99"/>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uiPriority w:val="99"/>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link w:val="TabletextChar"/>
    <w:pPr>
      <w:spacing w:after="120"/>
    </w:pPr>
    <w:rPr>
      <w:rFonts w:ascii="Arial" w:hAnsi="Arial"/>
      <w:sz w:val="20"/>
      <w:szCs w:val="20"/>
      <w:lang w:eastAsia="en-US"/>
    </w:rPr>
  </w:style>
  <w:style w:type="paragraph" w:styleId="BodyText2">
    <w:name w:val="Body Text 2"/>
    <w:basedOn w:val="Normal"/>
    <w:link w:val="BodyText2Char"/>
    <w:pPr>
      <w:widowControl w:val="0"/>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uiPriority w:val="11"/>
    <w:rPr>
      <w:lang w:val="en-AU" w:eastAsia="en-US" w:bidi="ar-SA"/>
    </w:rPr>
  </w:style>
  <w:style w:type="paragraph" w:styleId="Subtitle">
    <w:name w:val="Subtitle"/>
    <w:basedOn w:val="Normal"/>
    <w:link w:val="SubtitleChar"/>
    <w:uiPriority w:val="11"/>
    <w:qFormat/>
    <w:rPr>
      <w:sz w:val="20"/>
      <w:szCs w:val="20"/>
      <w:lang w:eastAsia="en-US"/>
    </w:rPr>
  </w:style>
  <w:style w:type="character" w:customStyle="1" w:styleId="HeaderChar">
    <w:name w:val="Header Char"/>
    <w:aliases w:val="Page Header Char,Header title Char,he=header Char,cntr/bld Char"/>
    <w:basedOn w:val="DefaultParagraphFont"/>
    <w:link w:val="Header"/>
    <w:uiPriority w:val="99"/>
    <w:rsid w:val="00B60ED3"/>
    <w:rPr>
      <w:rFonts w:ascii="Calibri" w:hAnsi="Calibri"/>
      <w:i/>
      <w:iCs/>
      <w:sz w:val="24"/>
      <w:szCs w:val="24"/>
    </w:rPr>
  </w:style>
  <w:style w:type="paragraph" w:customStyle="1" w:styleId="MediumGrid21">
    <w:name w:val="Medium Grid 21"/>
    <w:link w:val="MediumGrid2Char"/>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ody Text Bullet Points,BulletPoints,Numbered para,List Paragraph1,Bullet point,List Paragraph11,Recommendation,Section heading,Footnote,ES Paragraph,PBAC ES Paragraph,PBAC normal points,Bullet List,Figure_name,Numbered Indented Text"/>
    <w:link w:val="ListParagraphChar"/>
    <w:uiPriority w:val="34"/>
    <w:qFormat/>
    <w:rsid w:val="00D86C52"/>
    <w:pPr>
      <w:numPr>
        <w:numId w:val="5"/>
      </w:numPr>
      <w:spacing w:before="120" w:after="120"/>
      <w:ind w:left="1077" w:hanging="357"/>
      <w:jc w:val="both"/>
    </w:pPr>
    <w:rPr>
      <w:rFonts w:asciiTheme="minorHAnsi" w:hAnsiTheme="minorHAnsi" w:cs="Arial"/>
      <w:snapToGrid w:val="0"/>
      <w:sz w:val="24"/>
      <w:szCs w:val="24"/>
    </w:r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uiPriority w:val="99"/>
    <w:rsid w:val="00BB7EC3"/>
    <w:rPr>
      <w:sz w:val="20"/>
      <w:szCs w:val="20"/>
    </w:rPr>
  </w:style>
  <w:style w:type="character" w:customStyle="1" w:styleId="CommentTextChar">
    <w:name w:val="Comment Text Char"/>
    <w:basedOn w:val="DefaultParagraphFont"/>
    <w:link w:val="CommentText"/>
    <w:uiPriority w:val="99"/>
    <w:rsid w:val="00BB7EC3"/>
  </w:style>
  <w:style w:type="paragraph" w:styleId="CommentSubject">
    <w:name w:val="annotation subject"/>
    <w:basedOn w:val="CommentText"/>
    <w:next w:val="CommentText"/>
    <w:link w:val="CommentSubjectChar"/>
    <w:uiPriority w:val="99"/>
    <w:rsid w:val="00BB7EC3"/>
    <w:rPr>
      <w:b/>
      <w:bCs/>
    </w:rPr>
  </w:style>
  <w:style w:type="character" w:customStyle="1" w:styleId="CommentSubjectChar">
    <w:name w:val="Comment Subject Char"/>
    <w:basedOn w:val="CommentTextChar"/>
    <w:link w:val="CommentSubject"/>
    <w:uiPriority w:val="99"/>
    <w:rsid w:val="00BB7EC3"/>
    <w:rPr>
      <w:b/>
      <w:bCs/>
    </w:rPr>
  </w:style>
  <w:style w:type="character" w:customStyle="1" w:styleId="Heading3Char">
    <w:name w:val="Heading 3 Char"/>
    <w:basedOn w:val="DefaultParagraphFont"/>
    <w:link w:val="Heading3"/>
    <w:uiPriority w:val="9"/>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rsid w:val="009F5F2E"/>
  </w:style>
  <w:style w:type="paragraph" w:styleId="NoSpacing">
    <w:name w:val="No Spacing"/>
    <w:basedOn w:val="Normal"/>
    <w:link w:val="NoSpacingChar"/>
    <w:uiPriority w:val="1"/>
    <w:rsid w:val="00C27B58"/>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uiPriority w:val="10"/>
    <w:qFormat/>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tabs>
        <w:tab w:val="num" w:pos="360"/>
      </w:tabs>
      <w:ind w:left="360" w:hanging="360"/>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uiPriority w:val="10"/>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ody Text Bullet Points Char,BulletPoints Char,Numbered para Char,List Paragraph1 Char,Bullet point Char,List Paragraph11 Char,Recommendation Char,Section heading Char,Footnote Char,ES Paragraph Char,PBAC ES Paragraph Char"/>
    <w:basedOn w:val="DefaultParagraphFont"/>
    <w:link w:val="ListParagraph"/>
    <w:uiPriority w:val="34"/>
    <w:qFormat/>
    <w:rsid w:val="00D86C52"/>
    <w:rPr>
      <w:rFonts w:asciiTheme="minorHAnsi" w:hAnsiTheme="minorHAnsi" w:cs="Arial"/>
      <w:snapToGrid w:val="0"/>
      <w:sz w:val="24"/>
      <w:szCs w:val="24"/>
    </w:rPr>
  </w:style>
  <w:style w:type="paragraph" w:customStyle="1" w:styleId="2Sections">
    <w:name w:val="2. Sections"/>
    <w:rsid w:val="0033263D"/>
    <w:pPr>
      <w:spacing w:before="240" w:after="120"/>
      <w:outlineLvl w:val="0"/>
    </w:pPr>
    <w:rPr>
      <w:rFonts w:asciiTheme="minorHAnsi" w:hAnsiTheme="minorHAnsi" w:cs="Arial"/>
      <w:b/>
      <w:snapToGrid w:val="0"/>
      <w:sz w:val="32"/>
      <w:szCs w:val="32"/>
      <w:lang w:eastAsia="en-US"/>
    </w:rPr>
  </w:style>
  <w:style w:type="character" w:customStyle="1" w:styleId="Heading1Char">
    <w:name w:val="Heading 1 Char"/>
    <w:basedOn w:val="DefaultParagraphFont"/>
    <w:link w:val="Heading1"/>
    <w:uiPriority w:val="1"/>
    <w:rsid w:val="003C2FB5"/>
    <w:rPr>
      <w:rFonts w:asciiTheme="minorHAnsi" w:hAnsiTheme="minorHAnsi" w:cs="Arial"/>
      <w:b/>
      <w:snapToGrid w:val="0"/>
      <w:sz w:val="24"/>
      <w:szCs w:val="22"/>
    </w:rPr>
  </w:style>
  <w:style w:type="character" w:customStyle="1" w:styleId="Heading2Char">
    <w:name w:val="Heading 2 Char"/>
    <w:aliases w:val="Subsection Headings Char"/>
    <w:basedOn w:val="DefaultParagraphFont"/>
    <w:link w:val="Heading2"/>
    <w:uiPriority w:val="1"/>
    <w:rsid w:val="003C2FB5"/>
    <w:rPr>
      <w:rFonts w:ascii="Arial" w:hAnsi="Arial"/>
      <w:b/>
      <w:i/>
      <w:sz w:val="22"/>
      <w:szCs w:val="24"/>
    </w:rPr>
  </w:style>
  <w:style w:type="paragraph" w:customStyle="1" w:styleId="1MainTitle">
    <w:name w:val="1. Main Title"/>
    <w:basedOn w:val="Title"/>
    <w:link w:val="1MainTitleChar"/>
    <w:qFormat/>
    <w:rsid w:val="00706A2F"/>
    <w:pPr>
      <w:spacing w:before="120" w:after="160"/>
      <w:ind w:left="720" w:hanging="720"/>
    </w:pPr>
    <w:rPr>
      <w:rFonts w:asciiTheme="minorHAnsi" w:hAnsiTheme="minorHAnsi"/>
      <w:sz w:val="36"/>
      <w:szCs w:val="36"/>
    </w:rPr>
  </w:style>
  <w:style w:type="paragraph" w:customStyle="1" w:styleId="MinorOVRHeader">
    <w:name w:val="Minor OVR Header"/>
    <w:basedOn w:val="Header"/>
    <w:link w:val="MinorOVRHeaderChar"/>
    <w:rsid w:val="00706A2F"/>
    <w:pPr>
      <w:jc w:val="right"/>
    </w:pPr>
    <w:rPr>
      <w:rFonts w:asciiTheme="minorHAnsi" w:hAnsiTheme="minorHAnsi" w:cs="Arial"/>
    </w:rPr>
  </w:style>
  <w:style w:type="character" w:customStyle="1" w:styleId="1MainTitleChar">
    <w:name w:val="1. Main Title Char"/>
    <w:basedOn w:val="TitleChar"/>
    <w:link w:val="1MainTitle"/>
    <w:rsid w:val="00706A2F"/>
    <w:rPr>
      <w:rFonts w:asciiTheme="minorHAnsi" w:eastAsiaTheme="majorEastAsia" w:hAnsiTheme="minorHAnsi" w:cstheme="majorBidi"/>
      <w:b/>
      <w:spacing w:val="5"/>
      <w:kern w:val="28"/>
      <w:sz w:val="36"/>
      <w:szCs w:val="36"/>
    </w:rPr>
  </w:style>
  <w:style w:type="paragraph" w:customStyle="1" w:styleId="Tabletitles">
    <w:name w:val="Table titles"/>
    <w:basedOn w:val="NoSpacing"/>
    <w:link w:val="TabletitlesChar"/>
    <w:rsid w:val="00774E2C"/>
    <w:pPr>
      <w:spacing w:after="60"/>
    </w:pPr>
    <w:rPr>
      <w:rFonts w:ascii="Arial Narrow" w:hAnsi="Arial Narrow"/>
      <w:b/>
      <w:sz w:val="20"/>
    </w:rPr>
  </w:style>
  <w:style w:type="character" w:customStyle="1" w:styleId="MinorOVRHeaderChar">
    <w:name w:val="Minor OVR Header Char"/>
    <w:basedOn w:val="HeaderChar"/>
    <w:link w:val="MinorOVRHeader"/>
    <w:rsid w:val="00706A2F"/>
    <w:rPr>
      <w:rFonts w:asciiTheme="minorHAnsi" w:hAnsiTheme="minorHAnsi" w:cs="Arial"/>
      <w:i/>
      <w:iCs/>
      <w:sz w:val="24"/>
      <w:szCs w:val="24"/>
      <w:lang w:eastAsia="en-AU"/>
    </w:rPr>
  </w:style>
  <w:style w:type="character" w:customStyle="1" w:styleId="NoSpacingChar">
    <w:name w:val="No Spacing Char"/>
    <w:basedOn w:val="DefaultParagraphFont"/>
    <w:link w:val="NoSpacing"/>
    <w:uiPriority w:val="1"/>
    <w:rsid w:val="00774E2C"/>
    <w:rPr>
      <w:rFonts w:ascii="Arial" w:hAnsi="Arial"/>
      <w:sz w:val="22"/>
      <w:szCs w:val="22"/>
    </w:rPr>
  </w:style>
  <w:style w:type="character" w:customStyle="1" w:styleId="TabletitlesChar">
    <w:name w:val="Table titles Char"/>
    <w:basedOn w:val="NoSpacingChar"/>
    <w:link w:val="Tabletitles"/>
    <w:rsid w:val="00774E2C"/>
    <w:rPr>
      <w:rFonts w:ascii="Arial Narrow" w:hAnsi="Arial Narrow"/>
      <w:b/>
      <w:sz w:val="22"/>
      <w:szCs w:val="22"/>
    </w:rPr>
  </w:style>
  <w:style w:type="paragraph" w:customStyle="1" w:styleId="3Bodytext">
    <w:name w:val="3. Body text"/>
    <w:basedOn w:val="ListParagraph"/>
    <w:link w:val="3BodytextChar"/>
    <w:rsid w:val="00A673A4"/>
    <w:pPr>
      <w:numPr>
        <w:numId w:val="0"/>
      </w:numPr>
    </w:pPr>
    <w:rPr>
      <w:rFonts w:eastAsiaTheme="minorHAnsi" w:cstheme="minorBidi"/>
      <w:snapToGrid/>
      <w:szCs w:val="22"/>
    </w:rPr>
  </w:style>
  <w:style w:type="paragraph" w:customStyle="1" w:styleId="PBACFooter">
    <w:name w:val="PBAC Footer"/>
    <w:basedOn w:val="Footer"/>
    <w:link w:val="PBACFooterChar"/>
    <w:rsid w:val="00E27234"/>
    <w:pPr>
      <w:jc w:val="center"/>
    </w:pPr>
    <w:rPr>
      <w:rFonts w:ascii="Arial" w:hAnsi="Arial" w:cs="Arial"/>
      <w:b/>
      <w:sz w:val="20"/>
      <w:szCs w:val="20"/>
    </w:rPr>
  </w:style>
  <w:style w:type="character" w:customStyle="1" w:styleId="3BodytextChar">
    <w:name w:val="3. Body text Char"/>
    <w:basedOn w:val="ListParagraphChar"/>
    <w:link w:val="3Bodytext"/>
    <w:rsid w:val="00A673A4"/>
    <w:rPr>
      <w:rFonts w:asciiTheme="minorHAnsi" w:eastAsiaTheme="minorHAnsi" w:hAnsiTheme="minorHAnsi" w:cstheme="minorBidi"/>
      <w:snapToGrid/>
      <w:sz w:val="24"/>
      <w:szCs w:val="22"/>
    </w:rPr>
  </w:style>
  <w:style w:type="character" w:customStyle="1" w:styleId="PBACFooterChar">
    <w:name w:val="PBAC Footer Char"/>
    <w:basedOn w:val="FooterChar"/>
    <w:link w:val="PBACFooter"/>
    <w:rsid w:val="00E27234"/>
    <w:rPr>
      <w:rFonts w:ascii="Arial" w:hAnsi="Arial" w:cs="Arial"/>
      <w:b/>
      <w:sz w:val="24"/>
      <w:szCs w:val="24"/>
    </w:rPr>
  </w:style>
  <w:style w:type="paragraph" w:customStyle="1" w:styleId="PBACHeading1">
    <w:name w:val="PBAC Heading 1"/>
    <w:qFormat/>
    <w:rsid w:val="00162D4E"/>
    <w:pPr>
      <w:ind w:left="720" w:hanging="720"/>
      <w:outlineLvl w:val="0"/>
    </w:pPr>
    <w:rPr>
      <w:rFonts w:ascii="Arial" w:hAnsi="Arial" w:cs="Arial"/>
      <w:b/>
      <w:snapToGrid w:val="0"/>
      <w:sz w:val="22"/>
      <w:szCs w:val="22"/>
      <w:lang w:eastAsia="en-US"/>
    </w:rPr>
  </w:style>
  <w:style w:type="paragraph" w:customStyle="1" w:styleId="TableText0">
    <w:name w:val="Table Text"/>
    <w:link w:val="TableTextChar0"/>
    <w:qFormat/>
    <w:rsid w:val="00B60ED3"/>
    <w:pPr>
      <w:keepNext/>
    </w:pPr>
    <w:rPr>
      <w:rFonts w:ascii="Arial Narrow" w:eastAsiaTheme="majorEastAsia" w:hAnsi="Arial Narrow" w:cstheme="majorBidi"/>
      <w:bCs/>
      <w:szCs w:val="24"/>
    </w:rPr>
  </w:style>
  <w:style w:type="paragraph" w:customStyle="1" w:styleId="Lists">
    <w:name w:val="Lists"/>
    <w:basedOn w:val="3Bodytext"/>
    <w:link w:val="ListsChar"/>
    <w:rsid w:val="000A44B2"/>
    <w:pPr>
      <w:numPr>
        <w:numId w:val="2"/>
      </w:numPr>
    </w:pPr>
  </w:style>
  <w:style w:type="character" w:customStyle="1" w:styleId="TableTextChar0">
    <w:name w:val="Table Text Char"/>
    <w:basedOn w:val="DefaultParagraphFont"/>
    <w:link w:val="TableText0"/>
    <w:rsid w:val="00B60ED3"/>
    <w:rPr>
      <w:rFonts w:ascii="Arial Narrow" w:eastAsiaTheme="majorEastAsia" w:hAnsi="Arial Narrow" w:cstheme="majorBidi"/>
      <w:bCs/>
      <w:szCs w:val="24"/>
    </w:rPr>
  </w:style>
  <w:style w:type="character" w:styleId="FollowedHyperlink">
    <w:name w:val="FollowedHyperlink"/>
    <w:basedOn w:val="DefaultParagraphFont"/>
    <w:uiPriority w:val="99"/>
    <w:semiHidden/>
    <w:unhideWhenUsed/>
    <w:rsid w:val="00FA4DD5"/>
    <w:rPr>
      <w:color w:val="800080" w:themeColor="followedHyperlink"/>
      <w:u w:val="single"/>
    </w:rPr>
  </w:style>
  <w:style w:type="character" w:customStyle="1" w:styleId="ListsChar">
    <w:name w:val="Lists Char"/>
    <w:basedOn w:val="3BodytextChar"/>
    <w:link w:val="Lists"/>
    <w:rsid w:val="000A44B2"/>
    <w:rPr>
      <w:rFonts w:asciiTheme="minorHAnsi" w:eastAsiaTheme="minorHAnsi" w:hAnsiTheme="minorHAnsi" w:cstheme="minorBidi"/>
      <w:snapToGrid/>
      <w:sz w:val="24"/>
      <w:szCs w:val="22"/>
    </w:rPr>
  </w:style>
  <w:style w:type="paragraph" w:customStyle="1" w:styleId="OvrSummary-Bulletpoints">
    <w:name w:val="Ovr Summary - Bullet points"/>
    <w:basedOn w:val="ListParagraph"/>
    <w:qFormat/>
    <w:rsid w:val="00D86C52"/>
    <w:pPr>
      <w:ind w:left="754"/>
    </w:pPr>
    <w:rPr>
      <w:rFonts w:cstheme="minorHAnsi"/>
      <w:color w:val="000000" w:themeColor="text1"/>
    </w:rPr>
  </w:style>
  <w:style w:type="paragraph" w:customStyle="1" w:styleId="TableFooter">
    <w:name w:val="Table Footer"/>
    <w:basedOn w:val="Normal"/>
    <w:link w:val="TableFooterChar"/>
    <w:rsid w:val="00C7409E"/>
    <w:pPr>
      <w:widowControl w:val="0"/>
    </w:pPr>
    <w:rPr>
      <w:rFonts w:ascii="Arial Narrow" w:hAnsi="Arial Narrow" w:cs="Arial"/>
      <w:snapToGrid w:val="0"/>
      <w:sz w:val="18"/>
      <w:szCs w:val="22"/>
      <w:lang w:eastAsia="en-US"/>
    </w:rPr>
  </w:style>
  <w:style w:type="character" w:customStyle="1" w:styleId="TableFooterChar">
    <w:name w:val="Table Footer Char"/>
    <w:link w:val="TableFooter"/>
    <w:rsid w:val="00C7409E"/>
    <w:rPr>
      <w:rFonts w:ascii="Arial Narrow" w:hAnsi="Arial Narrow" w:cs="Arial"/>
      <w:snapToGrid w:val="0"/>
      <w:sz w:val="18"/>
      <w:szCs w:val="22"/>
      <w:lang w:eastAsia="en-US"/>
    </w:rPr>
  </w:style>
  <w:style w:type="character" w:customStyle="1" w:styleId="TabletextChar">
    <w:name w:val="Table text Char"/>
    <w:link w:val="Tabletext"/>
    <w:rsid w:val="00C7409E"/>
    <w:rPr>
      <w:rFonts w:ascii="Arial" w:hAnsi="Arial"/>
      <w:lang w:eastAsia="en-US"/>
    </w:rPr>
  </w:style>
  <w:style w:type="paragraph" w:customStyle="1" w:styleId="Bodytextitalics">
    <w:name w:val="Body text italics"/>
    <w:basedOn w:val="BodyText"/>
    <w:qFormat/>
    <w:rsid w:val="00E03912"/>
    <w:rPr>
      <w:rFonts w:asciiTheme="minorHAnsi" w:eastAsiaTheme="minorHAnsi" w:hAnsiTheme="minorHAnsi" w:cstheme="minorBidi"/>
      <w:i/>
      <w:szCs w:val="22"/>
    </w:rPr>
  </w:style>
  <w:style w:type="paragraph" w:styleId="BodyText">
    <w:name w:val="Body Text"/>
    <w:basedOn w:val="Normal"/>
    <w:link w:val="BodyTextChar"/>
    <w:semiHidden/>
    <w:unhideWhenUsed/>
    <w:rsid w:val="00E03912"/>
    <w:pPr>
      <w:spacing w:after="120"/>
    </w:pPr>
  </w:style>
  <w:style w:type="character" w:customStyle="1" w:styleId="BodyTextChar">
    <w:name w:val="Body Text Char"/>
    <w:basedOn w:val="DefaultParagraphFont"/>
    <w:link w:val="BodyText"/>
    <w:semiHidden/>
    <w:rsid w:val="00E03912"/>
    <w:rPr>
      <w:sz w:val="24"/>
      <w:szCs w:val="24"/>
    </w:rPr>
  </w:style>
  <w:style w:type="paragraph" w:styleId="Caption">
    <w:name w:val="caption"/>
    <w:basedOn w:val="Normal"/>
    <w:next w:val="Normal"/>
    <w:unhideWhenUsed/>
    <w:rsid w:val="00691A2C"/>
    <w:rPr>
      <w:rFonts w:ascii="Arial Narrow" w:hAnsi="Arial Narrow"/>
      <w:b/>
      <w:iCs/>
      <w:color w:val="000000" w:themeColor="text1"/>
      <w:sz w:val="20"/>
      <w:szCs w:val="18"/>
    </w:rPr>
  </w:style>
  <w:style w:type="paragraph" w:customStyle="1" w:styleId="ProcedureStep">
    <w:name w:val="ProcedureStep"/>
    <w:basedOn w:val="Normal"/>
    <w:rsid w:val="00BF27A0"/>
    <w:pPr>
      <w:numPr>
        <w:numId w:val="3"/>
      </w:numPr>
      <w:spacing w:before="60" w:after="60" w:line="300" w:lineRule="atLeast"/>
      <w:ind w:right="567"/>
    </w:pPr>
    <w:rPr>
      <w:rFonts w:ascii="Tahoma" w:hAnsi="Tahoma"/>
      <w:sz w:val="22"/>
      <w:szCs w:val="20"/>
    </w:rPr>
  </w:style>
  <w:style w:type="paragraph" w:customStyle="1" w:styleId="GeneralHeading">
    <w:name w:val="General Heading"/>
    <w:qFormat/>
    <w:rsid w:val="00B60ED3"/>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B60ED3"/>
    <w:pPr>
      <w:keepNext/>
    </w:pPr>
    <w:rPr>
      <w:rFonts w:ascii="Arial Narrow" w:eastAsiaTheme="majorEastAsia" w:hAnsi="Arial Narrow"/>
      <w:b/>
      <w:szCs w:val="24"/>
      <w:lang w:val="en-US"/>
    </w:rPr>
  </w:style>
  <w:style w:type="paragraph" w:customStyle="1" w:styleId="2-SectionHeading">
    <w:name w:val="2-Section Heading"/>
    <w:next w:val="3-BodyText"/>
    <w:qFormat/>
    <w:rsid w:val="00B60ED3"/>
    <w:pPr>
      <w:keepNext/>
      <w:numPr>
        <w:numId w:val="6"/>
      </w:numPr>
      <w:spacing w:before="240" w:after="120"/>
      <w:outlineLvl w:val="0"/>
    </w:pPr>
    <w:rPr>
      <w:rFonts w:asciiTheme="minorHAnsi" w:hAnsiTheme="minorHAnsi" w:cs="Arial"/>
      <w:b/>
      <w:snapToGrid w:val="0"/>
      <w:sz w:val="32"/>
      <w:szCs w:val="32"/>
    </w:rPr>
  </w:style>
  <w:style w:type="paragraph" w:customStyle="1" w:styleId="1-MainHeading">
    <w:name w:val="1-Main Heading"/>
    <w:next w:val="2-SectionHeading"/>
    <w:link w:val="1-MainHeadingChar"/>
    <w:qFormat/>
    <w:rsid w:val="00B60ED3"/>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B60ED3"/>
    <w:rPr>
      <w:rFonts w:asciiTheme="minorHAnsi" w:eastAsiaTheme="majorEastAsia" w:hAnsiTheme="minorHAnsi" w:cstheme="majorBidi"/>
      <w:b/>
      <w:spacing w:val="5"/>
      <w:kern w:val="28"/>
      <w:sz w:val="36"/>
      <w:szCs w:val="36"/>
    </w:rPr>
  </w:style>
  <w:style w:type="paragraph" w:customStyle="1" w:styleId="TableFigureHeading">
    <w:name w:val="Table/Figure Heading"/>
    <w:link w:val="TableFigureHeadingChar"/>
    <w:qFormat/>
    <w:rsid w:val="00B60ED3"/>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B60ED3"/>
    <w:rPr>
      <w:rFonts w:ascii="Arial Narrow" w:eastAsiaTheme="majorEastAsia" w:hAnsi="Arial Narrow" w:cstheme="majorBidi"/>
      <w:b/>
      <w:bCs/>
      <w:szCs w:val="24"/>
    </w:rPr>
  </w:style>
  <w:style w:type="paragraph" w:customStyle="1" w:styleId="3-BodyText">
    <w:name w:val="3-Body Text"/>
    <w:link w:val="3-BodyTextChar"/>
    <w:qFormat/>
    <w:rsid w:val="00D53F0C"/>
    <w:pPr>
      <w:numPr>
        <w:ilvl w:val="1"/>
        <w:numId w:val="6"/>
      </w:numPr>
      <w:spacing w:before="120" w:after="120"/>
      <w:jc w:val="both"/>
    </w:pPr>
    <w:rPr>
      <w:rFonts w:asciiTheme="minorHAnsi" w:eastAsiaTheme="minorHAnsi" w:hAnsiTheme="minorHAnsi" w:cstheme="minorBidi"/>
      <w:sz w:val="24"/>
      <w:szCs w:val="22"/>
    </w:rPr>
  </w:style>
  <w:style w:type="character" w:customStyle="1" w:styleId="3-BodyTextChar">
    <w:name w:val="3-Body Text Char"/>
    <w:basedOn w:val="ListParagraphChar"/>
    <w:link w:val="3-BodyText"/>
    <w:rsid w:val="00D53F0C"/>
    <w:rPr>
      <w:rFonts w:asciiTheme="minorHAnsi" w:eastAsiaTheme="minorHAnsi" w:hAnsiTheme="minorHAnsi" w:cstheme="minorBidi"/>
      <w:snapToGrid/>
      <w:sz w:val="24"/>
      <w:szCs w:val="22"/>
    </w:rPr>
  </w:style>
  <w:style w:type="paragraph" w:customStyle="1" w:styleId="PageFooter">
    <w:name w:val="Page Footer"/>
    <w:basedOn w:val="Normal"/>
    <w:link w:val="PageFooterChar"/>
    <w:qFormat/>
    <w:rsid w:val="00B60ED3"/>
    <w:pPr>
      <w:keepNext/>
      <w:tabs>
        <w:tab w:val="center" w:pos="4153"/>
        <w:tab w:val="center" w:pos="4513"/>
        <w:tab w:val="right" w:pos="8306"/>
        <w:tab w:val="right" w:pos="9026"/>
      </w:tabs>
      <w:jc w:val="center"/>
    </w:pPr>
    <w:rPr>
      <w:rFonts w:cs="Arial"/>
      <w:b/>
    </w:rPr>
  </w:style>
  <w:style w:type="character" w:customStyle="1" w:styleId="PageFooterChar">
    <w:name w:val="Page Footer Char"/>
    <w:basedOn w:val="DefaultParagraphFont"/>
    <w:link w:val="PageFooter"/>
    <w:rsid w:val="00B60ED3"/>
    <w:rPr>
      <w:rFonts w:ascii="Calibri" w:hAnsi="Calibri" w:cs="Arial"/>
      <w:b/>
      <w:sz w:val="24"/>
      <w:szCs w:val="24"/>
    </w:rPr>
  </w:style>
  <w:style w:type="paragraph" w:customStyle="1" w:styleId="TableFigureFooter">
    <w:name w:val="Table/Figure Footer"/>
    <w:basedOn w:val="Normal"/>
    <w:next w:val="3-BodyText"/>
    <w:link w:val="TableFigureFooterChar"/>
    <w:qFormat/>
    <w:rsid w:val="00B60ED3"/>
    <w:pPr>
      <w:spacing w:after="120"/>
      <w:contextualSpacing/>
    </w:pPr>
    <w:rPr>
      <w:rFonts w:ascii="Arial Narrow" w:hAnsi="Arial Narrow" w:cs="Arial"/>
      <w:snapToGrid w:val="0"/>
      <w:sz w:val="18"/>
      <w:szCs w:val="22"/>
    </w:rPr>
  </w:style>
  <w:style w:type="character" w:customStyle="1" w:styleId="TableFigureFooterChar">
    <w:name w:val="Table/Figure Footer Char"/>
    <w:link w:val="TableFigureFooter"/>
    <w:rsid w:val="00B60ED3"/>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B60ED3"/>
    <w:pPr>
      <w:spacing w:before="120" w:after="120"/>
    </w:pPr>
    <w:rPr>
      <w:rFonts w:asciiTheme="minorHAnsi" w:eastAsiaTheme="majorEastAsia" w:hAnsiTheme="minorHAnsi" w:cstheme="majorBidi"/>
      <w:spacing w:val="5"/>
      <w:kern w:val="28"/>
      <w:sz w:val="28"/>
      <w:szCs w:val="36"/>
    </w:rPr>
  </w:style>
  <w:style w:type="character" w:customStyle="1" w:styleId="4-SubsectionHeadingChar">
    <w:name w:val="4-Subsection Heading Char"/>
    <w:basedOn w:val="Heading2Char"/>
    <w:link w:val="4-SubsectionHeading"/>
    <w:rsid w:val="00B60ED3"/>
    <w:rPr>
      <w:rFonts w:asciiTheme="minorHAnsi" w:eastAsiaTheme="majorEastAsia" w:hAnsiTheme="minorHAnsi" w:cstheme="majorBidi"/>
      <w:b/>
      <w:i/>
      <w:spacing w:val="5"/>
      <w:kern w:val="28"/>
      <w:sz w:val="28"/>
      <w:szCs w:val="36"/>
    </w:rPr>
  </w:style>
  <w:style w:type="paragraph" w:customStyle="1" w:styleId="5-SubsectionSubheading">
    <w:name w:val="5-Subsection Subheading"/>
    <w:basedOn w:val="Heading3"/>
    <w:next w:val="3-BodyText"/>
    <w:link w:val="5-SubsectionSubheadingChar"/>
    <w:qFormat/>
    <w:rsid w:val="00B60ED3"/>
    <w:pPr>
      <w:spacing w:before="40"/>
    </w:pPr>
    <w:rPr>
      <w:rFonts w:asciiTheme="minorHAnsi" w:hAnsiTheme="minorHAnsi"/>
      <w:bCs w:val="0"/>
      <w:color w:val="000000" w:themeColor="text1"/>
    </w:rPr>
  </w:style>
  <w:style w:type="character" w:customStyle="1" w:styleId="5-SubsectionSubheadingChar">
    <w:name w:val="5-Subsection Subheading Char"/>
    <w:basedOn w:val="Heading3Char"/>
    <w:link w:val="5-SubsectionSubheading"/>
    <w:rsid w:val="00B60ED3"/>
    <w:rPr>
      <w:rFonts w:asciiTheme="minorHAnsi" w:eastAsiaTheme="majorEastAsia" w:hAnsiTheme="minorHAnsi" w:cstheme="majorBidi"/>
      <w:b/>
      <w:bCs w:val="0"/>
      <w:color w:val="000000" w:themeColor="text1"/>
      <w:sz w:val="24"/>
      <w:szCs w:val="24"/>
    </w:rPr>
  </w:style>
  <w:style w:type="paragraph" w:styleId="ListBullet">
    <w:name w:val="List Bullet"/>
    <w:basedOn w:val="Normal"/>
    <w:unhideWhenUsed/>
    <w:rsid w:val="006F40C2"/>
    <w:pPr>
      <w:numPr>
        <w:numId w:val="4"/>
      </w:numPr>
      <w:contextualSpacing/>
    </w:pPr>
  </w:style>
  <w:style w:type="paragraph" w:styleId="Revision">
    <w:name w:val="Revision"/>
    <w:hidden/>
    <w:uiPriority w:val="99"/>
    <w:semiHidden/>
    <w:rsid w:val="00DF021D"/>
    <w:rPr>
      <w:rFonts w:ascii="Calibri" w:hAnsi="Calibri"/>
      <w:sz w:val="24"/>
      <w:szCs w:val="24"/>
    </w:rPr>
  </w:style>
  <w:style w:type="paragraph" w:customStyle="1" w:styleId="Default">
    <w:name w:val="Default"/>
    <w:rsid w:val="000B7767"/>
    <w:pPr>
      <w:autoSpaceDE w:val="0"/>
      <w:autoSpaceDN w:val="0"/>
      <w:adjustRightInd w:val="0"/>
    </w:pPr>
    <w:rPr>
      <w:rFonts w:ascii="Calibri" w:hAnsi="Calibri" w:cs="Calibri"/>
      <w:color w:val="000000"/>
      <w:sz w:val="24"/>
      <w:szCs w:val="24"/>
    </w:rPr>
  </w:style>
  <w:style w:type="character" w:styleId="UnresolvedMention">
    <w:name w:val="Unresolved Mention"/>
    <w:basedOn w:val="DefaultParagraphFont"/>
    <w:uiPriority w:val="99"/>
    <w:semiHidden/>
    <w:unhideWhenUsed/>
    <w:rsid w:val="00EE4329"/>
    <w:rPr>
      <w:color w:val="605E5C"/>
      <w:shd w:val="clear" w:color="auto" w:fill="E1DFDD"/>
    </w:rPr>
  </w:style>
  <w:style w:type="paragraph" w:styleId="TOC9">
    <w:name w:val="toc 9"/>
    <w:basedOn w:val="Normal"/>
    <w:next w:val="Normal"/>
    <w:autoRedefine/>
    <w:semiHidden/>
    <w:unhideWhenUsed/>
    <w:rsid w:val="00C56D78"/>
    <w:pPr>
      <w:spacing w:after="100"/>
      <w:ind w:left="1920"/>
    </w:pPr>
  </w:style>
  <w:style w:type="paragraph" w:customStyle="1" w:styleId="FooterTableFigure">
    <w:name w:val="Footer Table/Figure"/>
    <w:basedOn w:val="Normal"/>
    <w:link w:val="FooterTableFigureChar"/>
    <w:rsid w:val="00B6533B"/>
    <w:pPr>
      <w:spacing w:after="120"/>
      <w:contextualSpacing/>
    </w:pPr>
    <w:rPr>
      <w:rFonts w:ascii="Arial Narrow" w:hAnsi="Arial Narrow" w:cs="Arial"/>
      <w:snapToGrid w:val="0"/>
      <w:sz w:val="18"/>
      <w:szCs w:val="22"/>
    </w:rPr>
  </w:style>
  <w:style w:type="character" w:customStyle="1" w:styleId="FooterTableFigureChar">
    <w:name w:val="Footer Table/Figure Char"/>
    <w:link w:val="FooterTableFigure"/>
    <w:rsid w:val="00B6533B"/>
    <w:rPr>
      <w:rFonts w:ascii="Arial Narrow" w:hAnsi="Arial Narrow" w:cs="Arial"/>
      <w:snapToGrid w:val="0"/>
      <w:sz w:val="18"/>
      <w:szCs w:val="22"/>
    </w:rPr>
  </w:style>
  <w:style w:type="character" w:customStyle="1" w:styleId="cf01">
    <w:name w:val="cf01"/>
    <w:basedOn w:val="DefaultParagraphFont"/>
    <w:rsid w:val="00170C4D"/>
    <w:rPr>
      <w:rFonts w:ascii="Segoe UI" w:hAnsi="Segoe UI" w:cs="Segoe UI" w:hint="default"/>
      <w:sz w:val="18"/>
      <w:szCs w:val="18"/>
    </w:rPr>
  </w:style>
  <w:style w:type="character" w:customStyle="1" w:styleId="Heading4Char">
    <w:name w:val="Heading 4 Char"/>
    <w:basedOn w:val="DefaultParagraphFont"/>
    <w:link w:val="Heading4"/>
    <w:uiPriority w:val="9"/>
    <w:semiHidden/>
    <w:rsid w:val="008E1B03"/>
    <w:rPr>
      <w:rFonts w:ascii="Aptos" w:hAnsi="Aptos"/>
      <w:i/>
      <w:iCs/>
      <w:color w:val="0F4761"/>
      <w:kern w:val="2"/>
      <w:sz w:val="24"/>
      <w:szCs w:val="24"/>
      <w:lang w:eastAsia="en-US"/>
      <w14:ligatures w14:val="standardContextual"/>
    </w:rPr>
  </w:style>
  <w:style w:type="character" w:customStyle="1" w:styleId="Heading7Char">
    <w:name w:val="Heading 7 Char"/>
    <w:basedOn w:val="DefaultParagraphFont"/>
    <w:link w:val="Heading7"/>
    <w:uiPriority w:val="9"/>
    <w:semiHidden/>
    <w:rsid w:val="008E1B03"/>
    <w:rPr>
      <w:rFonts w:ascii="Aptos" w:hAnsi="Aptos"/>
      <w:color w:val="595959"/>
      <w:kern w:val="2"/>
      <w:sz w:val="24"/>
      <w:szCs w:val="24"/>
      <w:lang w:eastAsia="en-US"/>
      <w14:ligatures w14:val="standardContextual"/>
    </w:rPr>
  </w:style>
  <w:style w:type="character" w:customStyle="1" w:styleId="Heading8Char">
    <w:name w:val="Heading 8 Char"/>
    <w:basedOn w:val="DefaultParagraphFont"/>
    <w:link w:val="Heading8"/>
    <w:uiPriority w:val="9"/>
    <w:semiHidden/>
    <w:rsid w:val="008E1B03"/>
    <w:rPr>
      <w:rFonts w:ascii="Aptos" w:hAnsi="Aptos"/>
      <w:i/>
      <w:iCs/>
      <w:color w:val="272727"/>
      <w:kern w:val="2"/>
      <w:sz w:val="24"/>
      <w:szCs w:val="24"/>
      <w:lang w:eastAsia="en-US"/>
      <w14:ligatures w14:val="standardContextual"/>
    </w:rPr>
  </w:style>
  <w:style w:type="character" w:customStyle="1" w:styleId="Heading9Char">
    <w:name w:val="Heading 9 Char"/>
    <w:basedOn w:val="DefaultParagraphFont"/>
    <w:link w:val="Heading9"/>
    <w:uiPriority w:val="9"/>
    <w:semiHidden/>
    <w:rsid w:val="008E1B03"/>
    <w:rPr>
      <w:rFonts w:ascii="Aptos" w:hAnsi="Aptos"/>
      <w:color w:val="272727"/>
      <w:kern w:val="2"/>
      <w:sz w:val="24"/>
      <w:szCs w:val="24"/>
      <w:lang w:eastAsia="en-US"/>
      <w14:ligatures w14:val="standardContextual"/>
    </w:rPr>
  </w:style>
  <w:style w:type="character" w:customStyle="1" w:styleId="authors-list-item">
    <w:name w:val="authors-list-item"/>
    <w:basedOn w:val="DefaultParagraphFont"/>
    <w:rsid w:val="008E1B03"/>
  </w:style>
  <w:style w:type="character" w:customStyle="1" w:styleId="author-sup-separator">
    <w:name w:val="author-sup-separator"/>
    <w:basedOn w:val="DefaultParagraphFont"/>
    <w:rsid w:val="008E1B03"/>
  </w:style>
  <w:style w:type="character" w:customStyle="1" w:styleId="comma">
    <w:name w:val="comma"/>
    <w:basedOn w:val="DefaultParagraphFont"/>
    <w:rsid w:val="008E1B03"/>
  </w:style>
  <w:style w:type="character" w:customStyle="1" w:styleId="semicolon">
    <w:name w:val="semicolon"/>
    <w:basedOn w:val="DefaultParagraphFont"/>
    <w:rsid w:val="008E1B03"/>
  </w:style>
  <w:style w:type="paragraph" w:styleId="FootnoteText">
    <w:name w:val="footnote text"/>
    <w:basedOn w:val="Normal"/>
    <w:link w:val="FootnoteTextChar"/>
    <w:semiHidden/>
    <w:unhideWhenUsed/>
    <w:rsid w:val="008E1B03"/>
    <w:rPr>
      <w:sz w:val="20"/>
      <w:szCs w:val="20"/>
    </w:rPr>
  </w:style>
  <w:style w:type="character" w:customStyle="1" w:styleId="FootnoteTextChar">
    <w:name w:val="Footnote Text Char"/>
    <w:basedOn w:val="DefaultParagraphFont"/>
    <w:link w:val="FootnoteText"/>
    <w:semiHidden/>
    <w:rsid w:val="008E1B03"/>
    <w:rPr>
      <w:rFonts w:ascii="Calibri" w:hAnsi="Calibri"/>
    </w:rPr>
  </w:style>
  <w:style w:type="character" w:styleId="FootnoteReference">
    <w:name w:val="footnote reference"/>
    <w:basedOn w:val="DefaultParagraphFont"/>
    <w:semiHidden/>
    <w:unhideWhenUsed/>
    <w:rsid w:val="008E1B03"/>
    <w:rPr>
      <w:vertAlign w:val="superscript"/>
    </w:rPr>
  </w:style>
  <w:style w:type="paragraph" w:customStyle="1" w:styleId="COMH2-non-numbered">
    <w:name w:val="COM H2 - non-numbered"/>
    <w:basedOn w:val="Heading2"/>
    <w:next w:val="Normal"/>
    <w:link w:val="COMH2-non-numberedChar"/>
    <w:qFormat/>
    <w:rsid w:val="008E1B03"/>
    <w:pPr>
      <w:spacing w:before="120" w:after="120"/>
      <w:jc w:val="left"/>
    </w:pPr>
    <w:rPr>
      <w:rFonts w:asciiTheme="minorHAnsi" w:eastAsiaTheme="majorEastAsia" w:hAnsiTheme="minorHAnsi" w:cstheme="majorBidi"/>
      <w:spacing w:val="5"/>
      <w:kern w:val="28"/>
      <w:sz w:val="28"/>
      <w:szCs w:val="36"/>
      <w:lang w:eastAsia="en-US"/>
    </w:rPr>
  </w:style>
  <w:style w:type="character" w:customStyle="1" w:styleId="COMH2-non-numberedChar">
    <w:name w:val="COM H2 - non-numbered Char"/>
    <w:basedOn w:val="Heading2Char"/>
    <w:link w:val="COMH2-non-numbered"/>
    <w:rsid w:val="008E1B03"/>
    <w:rPr>
      <w:rFonts w:asciiTheme="minorHAnsi" w:eastAsiaTheme="majorEastAsia" w:hAnsiTheme="minorHAnsi" w:cstheme="majorBidi"/>
      <w:b/>
      <w:i/>
      <w:spacing w:val="5"/>
      <w:kern w:val="28"/>
      <w:sz w:val="28"/>
      <w:szCs w:val="36"/>
      <w:lang w:eastAsia="en-US"/>
    </w:rPr>
  </w:style>
  <w:style w:type="character" w:styleId="Mention">
    <w:name w:val="Mention"/>
    <w:basedOn w:val="DefaultParagraphFont"/>
    <w:uiPriority w:val="99"/>
    <w:unhideWhenUsed/>
    <w:rsid w:val="008E1B03"/>
    <w:rPr>
      <w:color w:val="2B579A"/>
      <w:shd w:val="clear" w:color="auto" w:fill="E1DFDD"/>
    </w:rPr>
  </w:style>
  <w:style w:type="paragraph" w:customStyle="1" w:styleId="3-SubsectionHeading">
    <w:name w:val="3-Subsection Heading"/>
    <w:basedOn w:val="Heading2"/>
    <w:next w:val="Normal"/>
    <w:link w:val="3-SubsectionHeadingChar"/>
    <w:qFormat/>
    <w:rsid w:val="008E1B03"/>
    <w:pPr>
      <w:spacing w:before="120" w:after="120"/>
      <w:outlineLvl w:val="9"/>
    </w:pPr>
    <w:rPr>
      <w:rFonts w:asciiTheme="minorHAnsi" w:eastAsiaTheme="majorEastAsia" w:hAnsiTheme="minorHAnsi" w:cstheme="majorBidi"/>
      <w:spacing w:val="5"/>
      <w:kern w:val="28"/>
      <w:sz w:val="28"/>
      <w:szCs w:val="36"/>
      <w:lang w:eastAsia="en-US"/>
    </w:rPr>
  </w:style>
  <w:style w:type="character" w:customStyle="1" w:styleId="3-SubsectionHeadingChar">
    <w:name w:val="3-Subsection Heading Char"/>
    <w:basedOn w:val="DefaultParagraphFont"/>
    <w:link w:val="3-SubsectionHeading"/>
    <w:rsid w:val="008E1B03"/>
    <w:rPr>
      <w:rFonts w:asciiTheme="minorHAnsi" w:eastAsiaTheme="majorEastAsia" w:hAnsiTheme="minorHAnsi" w:cstheme="majorBidi"/>
      <w:b/>
      <w:i/>
      <w:spacing w:val="5"/>
      <w:kern w:val="28"/>
      <w:sz w:val="28"/>
      <w:szCs w:val="36"/>
      <w:lang w:eastAsia="en-US"/>
    </w:rPr>
  </w:style>
  <w:style w:type="numbering" w:customStyle="1" w:styleId="NoList1">
    <w:name w:val="No List1"/>
    <w:next w:val="NoList"/>
    <w:uiPriority w:val="99"/>
    <w:semiHidden/>
    <w:unhideWhenUsed/>
    <w:rsid w:val="008E1B03"/>
  </w:style>
  <w:style w:type="paragraph" w:customStyle="1" w:styleId="msonormal0">
    <w:name w:val="msonormal"/>
    <w:basedOn w:val="Normal"/>
    <w:uiPriority w:val="99"/>
    <w:rsid w:val="008E1B03"/>
    <w:pPr>
      <w:spacing w:before="100" w:beforeAutospacing="1" w:after="100" w:afterAutospacing="1"/>
      <w:jc w:val="left"/>
    </w:pPr>
    <w:rPr>
      <w:rFonts w:ascii="Times New Roman" w:hAnsi="Times New Roman"/>
    </w:rPr>
  </w:style>
  <w:style w:type="paragraph" w:customStyle="1" w:styleId="paragraph">
    <w:name w:val="paragraph"/>
    <w:basedOn w:val="Normal"/>
    <w:uiPriority w:val="99"/>
    <w:rsid w:val="008E1B03"/>
    <w:pPr>
      <w:spacing w:before="100" w:beforeAutospacing="1" w:after="100" w:afterAutospacing="1"/>
      <w:jc w:val="left"/>
    </w:pPr>
    <w:rPr>
      <w:rFonts w:ascii="Times New Roman" w:hAnsi="Times New Roman"/>
    </w:rPr>
  </w:style>
  <w:style w:type="character" w:customStyle="1" w:styleId="textrun">
    <w:name w:val="textrun"/>
    <w:basedOn w:val="DefaultParagraphFont"/>
    <w:rsid w:val="008E1B03"/>
  </w:style>
  <w:style w:type="character" w:customStyle="1" w:styleId="normaltextrun">
    <w:name w:val="normaltextrun"/>
    <w:basedOn w:val="DefaultParagraphFont"/>
    <w:rsid w:val="008E1B03"/>
  </w:style>
  <w:style w:type="character" w:customStyle="1" w:styleId="eop">
    <w:name w:val="eop"/>
    <w:basedOn w:val="DefaultParagraphFont"/>
    <w:rsid w:val="008E1B03"/>
  </w:style>
  <w:style w:type="paragraph" w:customStyle="1" w:styleId="outlineelement">
    <w:name w:val="outlineelement"/>
    <w:basedOn w:val="Normal"/>
    <w:rsid w:val="008E1B03"/>
    <w:pPr>
      <w:spacing w:before="100" w:beforeAutospacing="1" w:after="100" w:afterAutospacing="1"/>
      <w:jc w:val="left"/>
    </w:pPr>
    <w:rPr>
      <w:rFonts w:ascii="Times New Roman" w:hAnsi="Times New Roman"/>
    </w:rPr>
  </w:style>
  <w:style w:type="paragraph" w:customStyle="1" w:styleId="Heading41">
    <w:name w:val="Heading 41"/>
    <w:basedOn w:val="Normal"/>
    <w:next w:val="Normal"/>
    <w:uiPriority w:val="9"/>
    <w:semiHidden/>
    <w:unhideWhenUsed/>
    <w:qFormat/>
    <w:rsid w:val="008E1B03"/>
    <w:pPr>
      <w:keepNext/>
      <w:keepLines/>
      <w:spacing w:before="80" w:after="40" w:line="256" w:lineRule="auto"/>
      <w:jc w:val="left"/>
      <w:outlineLvl w:val="3"/>
    </w:pPr>
    <w:rPr>
      <w:rFonts w:ascii="Aptos" w:hAnsi="Aptos"/>
      <w:i/>
      <w:iCs/>
      <w:color w:val="0F4761"/>
      <w:kern w:val="2"/>
      <w:lang w:eastAsia="en-US"/>
      <w14:ligatures w14:val="standardContextual"/>
    </w:rPr>
  </w:style>
  <w:style w:type="paragraph" w:customStyle="1" w:styleId="Heading71">
    <w:name w:val="Heading 71"/>
    <w:basedOn w:val="Normal"/>
    <w:next w:val="Normal"/>
    <w:uiPriority w:val="9"/>
    <w:semiHidden/>
    <w:unhideWhenUsed/>
    <w:qFormat/>
    <w:rsid w:val="008E1B03"/>
    <w:pPr>
      <w:keepNext/>
      <w:keepLines/>
      <w:spacing w:before="40" w:line="256" w:lineRule="auto"/>
      <w:jc w:val="left"/>
      <w:outlineLvl w:val="6"/>
    </w:pPr>
    <w:rPr>
      <w:rFonts w:ascii="Aptos" w:hAnsi="Aptos"/>
      <w:color w:val="595959"/>
      <w:kern w:val="2"/>
      <w:lang w:eastAsia="en-US"/>
      <w14:ligatures w14:val="standardContextual"/>
    </w:rPr>
  </w:style>
  <w:style w:type="paragraph" w:customStyle="1" w:styleId="Heading81">
    <w:name w:val="Heading 81"/>
    <w:basedOn w:val="Normal"/>
    <w:next w:val="Normal"/>
    <w:uiPriority w:val="9"/>
    <w:semiHidden/>
    <w:unhideWhenUsed/>
    <w:qFormat/>
    <w:rsid w:val="008E1B03"/>
    <w:pPr>
      <w:keepNext/>
      <w:keepLines/>
      <w:spacing w:line="256" w:lineRule="auto"/>
      <w:jc w:val="left"/>
      <w:outlineLvl w:val="7"/>
    </w:pPr>
    <w:rPr>
      <w:rFonts w:ascii="Aptos" w:hAnsi="Aptos"/>
      <w:i/>
      <w:iCs/>
      <w:color w:val="272727"/>
      <w:kern w:val="2"/>
      <w:lang w:eastAsia="en-US"/>
      <w14:ligatures w14:val="standardContextual"/>
    </w:rPr>
  </w:style>
  <w:style w:type="paragraph" w:customStyle="1" w:styleId="Heading91">
    <w:name w:val="Heading 91"/>
    <w:basedOn w:val="Normal"/>
    <w:next w:val="Normal"/>
    <w:uiPriority w:val="9"/>
    <w:semiHidden/>
    <w:unhideWhenUsed/>
    <w:qFormat/>
    <w:rsid w:val="008E1B03"/>
    <w:pPr>
      <w:keepNext/>
      <w:keepLines/>
      <w:spacing w:line="256" w:lineRule="auto"/>
      <w:jc w:val="left"/>
      <w:outlineLvl w:val="8"/>
    </w:pPr>
    <w:rPr>
      <w:rFonts w:ascii="Aptos" w:hAnsi="Aptos"/>
      <w:color w:val="272727"/>
      <w:kern w:val="2"/>
      <w:lang w:eastAsia="en-US"/>
      <w14:ligatures w14:val="standardContextual"/>
    </w:rPr>
  </w:style>
  <w:style w:type="numbering" w:customStyle="1" w:styleId="NoList2">
    <w:name w:val="No List2"/>
    <w:next w:val="NoList"/>
    <w:uiPriority w:val="99"/>
    <w:semiHidden/>
    <w:unhideWhenUsed/>
    <w:rsid w:val="008E1B03"/>
  </w:style>
  <w:style w:type="character" w:customStyle="1" w:styleId="Heading5Char">
    <w:name w:val="Heading 5 Char"/>
    <w:basedOn w:val="DefaultParagraphFont"/>
    <w:link w:val="Heading5"/>
    <w:uiPriority w:val="9"/>
    <w:rsid w:val="008E1B03"/>
    <w:rPr>
      <w:rFonts w:ascii="Calibri" w:hAnsi="Calibri"/>
      <w:b/>
      <w:bCs/>
      <w:i/>
      <w:iCs/>
      <w:sz w:val="26"/>
      <w:szCs w:val="26"/>
    </w:rPr>
  </w:style>
  <w:style w:type="character" w:customStyle="1" w:styleId="Heading6Char">
    <w:name w:val="Heading 6 Char"/>
    <w:basedOn w:val="DefaultParagraphFont"/>
    <w:link w:val="Heading6"/>
    <w:uiPriority w:val="9"/>
    <w:rsid w:val="008E1B03"/>
    <w:rPr>
      <w:rFonts w:ascii="Calibri" w:hAnsi="Calibri"/>
      <w:b/>
      <w:bCs/>
      <w:sz w:val="22"/>
      <w:szCs w:val="22"/>
    </w:rPr>
  </w:style>
  <w:style w:type="character" w:customStyle="1" w:styleId="Heading2Char1">
    <w:name w:val="Heading 2 Char1"/>
    <w:aliases w:val="Subsection Headings Char1"/>
    <w:basedOn w:val="DefaultParagraphFont"/>
    <w:uiPriority w:val="1"/>
    <w:semiHidden/>
    <w:rsid w:val="008E1B03"/>
    <w:rPr>
      <w:rFonts w:ascii="Aptos Display" w:eastAsia="Yu Gothic Light" w:hAnsi="Aptos Display" w:cs="Times New Roman"/>
      <w:color w:val="0F4761"/>
      <w:kern w:val="2"/>
      <w:sz w:val="32"/>
      <w:szCs w:val="32"/>
      <w14:ligatures w14:val="standardContextual"/>
    </w:rPr>
  </w:style>
  <w:style w:type="paragraph" w:styleId="NormalWeb">
    <w:name w:val="Normal (Web)"/>
    <w:basedOn w:val="Normal"/>
    <w:uiPriority w:val="99"/>
    <w:semiHidden/>
    <w:unhideWhenUsed/>
    <w:rsid w:val="008E1B03"/>
    <w:pPr>
      <w:spacing w:before="100" w:beforeAutospacing="1" w:after="100" w:afterAutospacing="1"/>
      <w:jc w:val="left"/>
    </w:pPr>
    <w:rPr>
      <w:rFonts w:ascii="Times New Roman" w:hAnsi="Times New Roman"/>
    </w:rPr>
  </w:style>
  <w:style w:type="character" w:customStyle="1" w:styleId="BalloonTextChar">
    <w:name w:val="Balloon Text Char"/>
    <w:basedOn w:val="DefaultParagraphFont"/>
    <w:link w:val="BalloonText"/>
    <w:uiPriority w:val="99"/>
    <w:semiHidden/>
    <w:rsid w:val="008E1B03"/>
    <w:rPr>
      <w:rFonts w:ascii="Tahoma" w:hAnsi="Tahoma" w:cs="Tahoma"/>
      <w:sz w:val="16"/>
      <w:szCs w:val="16"/>
    </w:rPr>
  </w:style>
  <w:style w:type="paragraph" w:customStyle="1" w:styleId="Quote1">
    <w:name w:val="Quote1"/>
    <w:basedOn w:val="Normal"/>
    <w:next w:val="Normal"/>
    <w:uiPriority w:val="29"/>
    <w:qFormat/>
    <w:rsid w:val="008E1B03"/>
    <w:pPr>
      <w:spacing w:before="160" w:after="160" w:line="256" w:lineRule="auto"/>
      <w:jc w:val="center"/>
    </w:pPr>
    <w:rPr>
      <w:rFonts w:ascii="Times New Roman" w:eastAsia="Aptos" w:hAnsi="Times New Roman"/>
      <w:i/>
      <w:iCs/>
      <w:color w:val="404040"/>
      <w:kern w:val="2"/>
      <w:lang w:eastAsia="en-US"/>
      <w14:ligatures w14:val="standardContextual"/>
    </w:rPr>
  </w:style>
  <w:style w:type="character" w:customStyle="1" w:styleId="QuoteChar">
    <w:name w:val="Quote Char"/>
    <w:basedOn w:val="DefaultParagraphFont"/>
    <w:link w:val="Quote"/>
    <w:uiPriority w:val="29"/>
    <w:rsid w:val="008E1B03"/>
    <w:rPr>
      <w:rFonts w:eastAsia="Aptos"/>
      <w:i/>
      <w:iCs/>
      <w:color w:val="404040"/>
      <w:kern w:val="2"/>
      <w:sz w:val="24"/>
      <w:szCs w:val="24"/>
      <w:lang w:eastAsia="en-US"/>
      <w14:ligatures w14:val="standardContextual"/>
    </w:rPr>
  </w:style>
  <w:style w:type="paragraph" w:customStyle="1" w:styleId="IntenseQuote2">
    <w:name w:val="Intense Quote2"/>
    <w:basedOn w:val="Normal"/>
    <w:next w:val="Normal"/>
    <w:uiPriority w:val="30"/>
    <w:qFormat/>
    <w:rsid w:val="008E1B03"/>
    <w:pPr>
      <w:pBdr>
        <w:top w:val="single" w:sz="4" w:space="10" w:color="0F4761"/>
        <w:bottom w:val="single" w:sz="4" w:space="10" w:color="0F4761"/>
      </w:pBdr>
      <w:spacing w:before="360" w:after="360" w:line="256" w:lineRule="auto"/>
      <w:ind w:left="864" w:right="864"/>
      <w:jc w:val="center"/>
    </w:pPr>
    <w:rPr>
      <w:rFonts w:ascii="Times New Roman" w:eastAsia="Aptos" w:hAnsi="Times New Roman"/>
      <w:i/>
      <w:iCs/>
      <w:color w:val="0F4761"/>
      <w:kern w:val="2"/>
      <w:lang w:eastAsia="en-US"/>
      <w14:ligatures w14:val="standardContextual"/>
    </w:rPr>
  </w:style>
  <w:style w:type="character" w:customStyle="1" w:styleId="IntenseQuoteChar">
    <w:name w:val="Intense Quote Char"/>
    <w:basedOn w:val="DefaultParagraphFont"/>
    <w:link w:val="IntenseQuote"/>
    <w:uiPriority w:val="30"/>
    <w:rsid w:val="008E1B03"/>
    <w:rPr>
      <w:rFonts w:eastAsia="Aptos"/>
      <w:i/>
      <w:iCs/>
      <w:color w:val="0F4761"/>
      <w:kern w:val="2"/>
      <w:sz w:val="24"/>
      <w:szCs w:val="24"/>
      <w:lang w:eastAsia="en-US"/>
      <w14:ligatures w14:val="standardContextual"/>
    </w:rPr>
  </w:style>
  <w:style w:type="paragraph" w:customStyle="1" w:styleId="PBACRestrictiontemplate">
    <w:name w:val="PBAC Restriction template"/>
    <w:basedOn w:val="Normal"/>
    <w:uiPriority w:val="99"/>
    <w:semiHidden/>
    <w:qFormat/>
    <w:rsid w:val="008E1B03"/>
    <w:pPr>
      <w:jc w:val="left"/>
    </w:pPr>
    <w:rPr>
      <w:rFonts w:ascii="Arial Narrow" w:hAnsi="Arial Narrow"/>
      <w:color w:val="333333"/>
      <w:sz w:val="18"/>
      <w:szCs w:val="18"/>
      <w:lang w:bidi="en-US"/>
      <w14:ligatures w14:val="standardContextual"/>
    </w:rPr>
  </w:style>
  <w:style w:type="character" w:customStyle="1" w:styleId="IntenseEmphasis1">
    <w:name w:val="Intense Emphasis1"/>
    <w:basedOn w:val="DefaultParagraphFont"/>
    <w:uiPriority w:val="21"/>
    <w:qFormat/>
    <w:rsid w:val="008E1B03"/>
    <w:rPr>
      <w:i/>
      <w:iCs/>
      <w:color w:val="0F4761"/>
    </w:rPr>
  </w:style>
  <w:style w:type="character" w:customStyle="1" w:styleId="IntenseReference1">
    <w:name w:val="Intense Reference1"/>
    <w:basedOn w:val="DefaultParagraphFont"/>
    <w:uiPriority w:val="32"/>
    <w:qFormat/>
    <w:rsid w:val="008E1B03"/>
    <w:rPr>
      <w:b/>
      <w:bCs/>
      <w:smallCaps/>
      <w:color w:val="0F4761"/>
      <w:spacing w:val="5"/>
    </w:rPr>
  </w:style>
  <w:style w:type="character" w:customStyle="1" w:styleId="Hyperlink1">
    <w:name w:val="Hyperlink1"/>
    <w:basedOn w:val="DefaultParagraphFont"/>
    <w:uiPriority w:val="99"/>
    <w:rsid w:val="008E1B03"/>
    <w:rPr>
      <w:color w:val="0563C1"/>
      <w:u w:val="single"/>
    </w:rPr>
  </w:style>
  <w:style w:type="character" w:customStyle="1" w:styleId="FollowedHyperlink1">
    <w:name w:val="FollowedHyperlink1"/>
    <w:basedOn w:val="DefaultParagraphFont"/>
    <w:uiPriority w:val="99"/>
    <w:semiHidden/>
    <w:rsid w:val="008E1B03"/>
    <w:rPr>
      <w:color w:val="954F72"/>
      <w:u w:val="single"/>
    </w:rPr>
  </w:style>
  <w:style w:type="character" w:customStyle="1" w:styleId="text-widget">
    <w:name w:val="text-widget"/>
    <w:basedOn w:val="DefaultParagraphFont"/>
    <w:rsid w:val="008E1B03"/>
  </w:style>
  <w:style w:type="table" w:customStyle="1" w:styleId="TableGrid1">
    <w:name w:val="Table Grid1"/>
    <w:basedOn w:val="TableNormal"/>
    <w:next w:val="TableGrid"/>
    <w:rsid w:val="008E1B03"/>
    <w:rPr>
      <w:lang w:eastAsia="en-US"/>
    </w:rPr>
    <w:tblPr>
      <w:tblInd w:w="0" w:type="nil"/>
    </w:tblPr>
  </w:style>
  <w:style w:type="table" w:customStyle="1" w:styleId="TableGrid11">
    <w:name w:val="Table Grid11"/>
    <w:basedOn w:val="TableNormal"/>
    <w:uiPriority w:val="39"/>
    <w:rsid w:val="008E1B03"/>
    <w:rPr>
      <w:rFonts w:eastAsia="Aptos"/>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rsid w:val="008E1B03"/>
    <w:rPr>
      <w:rFonts w:eastAsia="Aptos"/>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1">
    <w:name w:val="Heading 4 Char1"/>
    <w:basedOn w:val="DefaultParagraphFont"/>
    <w:semiHidden/>
    <w:rsid w:val="008E1B03"/>
    <w:rPr>
      <w:rFonts w:asciiTheme="majorHAnsi" w:eastAsiaTheme="majorEastAsia" w:hAnsiTheme="majorHAnsi" w:cstheme="majorBidi"/>
      <w:i/>
      <w:iCs/>
      <w:color w:val="365F91" w:themeColor="accent1" w:themeShade="BF"/>
      <w:sz w:val="24"/>
      <w:szCs w:val="24"/>
    </w:rPr>
  </w:style>
  <w:style w:type="character" w:customStyle="1" w:styleId="Heading7Char1">
    <w:name w:val="Heading 7 Char1"/>
    <w:basedOn w:val="DefaultParagraphFont"/>
    <w:semiHidden/>
    <w:rsid w:val="008E1B03"/>
    <w:rPr>
      <w:rFonts w:asciiTheme="majorHAnsi" w:eastAsiaTheme="majorEastAsia" w:hAnsiTheme="majorHAnsi" w:cstheme="majorBidi"/>
      <w:i/>
      <w:iCs/>
      <w:color w:val="243F60" w:themeColor="accent1" w:themeShade="7F"/>
      <w:sz w:val="24"/>
      <w:szCs w:val="24"/>
    </w:rPr>
  </w:style>
  <w:style w:type="character" w:customStyle="1" w:styleId="Heading8Char1">
    <w:name w:val="Heading 8 Char1"/>
    <w:basedOn w:val="DefaultParagraphFont"/>
    <w:semiHidden/>
    <w:rsid w:val="008E1B03"/>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DefaultParagraphFont"/>
    <w:semiHidden/>
    <w:rsid w:val="008E1B03"/>
    <w:rPr>
      <w:rFonts w:asciiTheme="majorHAnsi" w:eastAsiaTheme="majorEastAsia" w:hAnsiTheme="majorHAnsi" w:cstheme="majorBidi"/>
      <w:i/>
      <w:iCs/>
      <w:color w:val="272727" w:themeColor="text1" w:themeTint="D8"/>
      <w:sz w:val="21"/>
      <w:szCs w:val="21"/>
    </w:rPr>
  </w:style>
  <w:style w:type="paragraph" w:styleId="Quote">
    <w:name w:val="Quote"/>
    <w:basedOn w:val="Normal"/>
    <w:next w:val="Normal"/>
    <w:link w:val="QuoteChar"/>
    <w:uiPriority w:val="29"/>
    <w:rsid w:val="008E1B03"/>
    <w:pPr>
      <w:spacing w:before="200" w:after="160"/>
      <w:ind w:left="864" w:right="864"/>
      <w:jc w:val="center"/>
    </w:pPr>
    <w:rPr>
      <w:rFonts w:ascii="Times New Roman" w:eastAsia="Aptos" w:hAnsi="Times New Roman"/>
      <w:i/>
      <w:iCs/>
      <w:color w:val="404040"/>
      <w:kern w:val="2"/>
      <w:lang w:eastAsia="en-US"/>
      <w14:ligatures w14:val="standardContextual"/>
    </w:rPr>
  </w:style>
  <w:style w:type="character" w:customStyle="1" w:styleId="QuoteChar1">
    <w:name w:val="Quote Char1"/>
    <w:basedOn w:val="DefaultParagraphFont"/>
    <w:uiPriority w:val="73"/>
    <w:rsid w:val="008E1B03"/>
    <w:rPr>
      <w:rFonts w:ascii="Calibri" w:hAnsi="Calibri"/>
      <w:i/>
      <w:iCs/>
      <w:color w:val="404040" w:themeColor="text1" w:themeTint="BF"/>
      <w:sz w:val="24"/>
      <w:szCs w:val="24"/>
    </w:rPr>
  </w:style>
  <w:style w:type="paragraph" w:styleId="IntenseQuote">
    <w:name w:val="Intense Quote"/>
    <w:basedOn w:val="Normal"/>
    <w:next w:val="Normal"/>
    <w:link w:val="IntenseQuoteChar"/>
    <w:uiPriority w:val="30"/>
    <w:rsid w:val="008E1B03"/>
    <w:pPr>
      <w:pBdr>
        <w:top w:val="single" w:sz="4" w:space="10" w:color="4F81BD" w:themeColor="accent1"/>
        <w:bottom w:val="single" w:sz="4" w:space="10" w:color="4F81BD" w:themeColor="accent1"/>
      </w:pBdr>
      <w:spacing w:before="360" w:after="360"/>
      <w:ind w:left="864" w:right="864"/>
      <w:jc w:val="center"/>
    </w:pPr>
    <w:rPr>
      <w:rFonts w:ascii="Times New Roman" w:eastAsia="Aptos" w:hAnsi="Times New Roman"/>
      <w:i/>
      <w:iCs/>
      <w:color w:val="0F4761"/>
      <w:kern w:val="2"/>
      <w:lang w:eastAsia="en-US"/>
      <w14:ligatures w14:val="standardContextual"/>
    </w:rPr>
  </w:style>
  <w:style w:type="character" w:customStyle="1" w:styleId="IntenseQuoteChar1">
    <w:name w:val="Intense Quote Char1"/>
    <w:basedOn w:val="DefaultParagraphFont"/>
    <w:uiPriority w:val="60"/>
    <w:rsid w:val="008E1B03"/>
    <w:rPr>
      <w:rFonts w:ascii="Calibri" w:hAnsi="Calibri"/>
      <w:i/>
      <w:iCs/>
      <w:color w:val="4F81BD" w:themeColor="accent1"/>
      <w:sz w:val="24"/>
      <w:szCs w:val="24"/>
    </w:rPr>
  </w:style>
  <w:style w:type="character" w:styleId="IntenseEmphasis">
    <w:name w:val="Intense Emphasis"/>
    <w:basedOn w:val="DefaultParagraphFont"/>
    <w:uiPriority w:val="66"/>
    <w:rsid w:val="008E1B03"/>
    <w:rPr>
      <w:i/>
      <w:iCs/>
      <w:color w:val="4F81BD" w:themeColor="accent1"/>
    </w:rPr>
  </w:style>
  <w:style w:type="character" w:styleId="IntenseReference">
    <w:name w:val="Intense Reference"/>
    <w:basedOn w:val="DefaultParagraphFont"/>
    <w:uiPriority w:val="68"/>
    <w:rsid w:val="008E1B03"/>
    <w:rPr>
      <w:b/>
      <w:bCs/>
      <w:smallCaps/>
      <w:color w:val="4F81BD" w:themeColor="accent1"/>
      <w:spacing w:val="5"/>
    </w:rPr>
  </w:style>
  <w:style w:type="paragraph" w:customStyle="1" w:styleId="COMH1-numbered">
    <w:name w:val="COM H1 - numbered"/>
    <w:next w:val="COMexecsummnumbered"/>
    <w:qFormat/>
    <w:rsid w:val="008E1B03"/>
    <w:pPr>
      <w:keepNext/>
      <w:spacing w:before="240" w:after="120"/>
      <w:ind w:left="720" w:hanging="720"/>
      <w:outlineLvl w:val="0"/>
    </w:pPr>
    <w:rPr>
      <w:rFonts w:asciiTheme="minorHAnsi" w:hAnsiTheme="minorHAnsi" w:cs="Arial"/>
      <w:b/>
      <w:snapToGrid w:val="0"/>
      <w:sz w:val="32"/>
      <w:szCs w:val="32"/>
    </w:rPr>
  </w:style>
  <w:style w:type="paragraph" w:customStyle="1" w:styleId="COMexecsummnumbered">
    <w:name w:val="COM exec summ numbered"/>
    <w:qFormat/>
    <w:rsid w:val="008E1B03"/>
    <w:pPr>
      <w:spacing w:before="60" w:after="60"/>
      <w:ind w:left="720" w:hanging="720"/>
      <w:jc w:val="both"/>
    </w:pPr>
    <w:rPr>
      <w:rFonts w:asciiTheme="minorHAnsi" w:eastAsiaTheme="minorHAnsi" w:hAnsiTheme="minorHAnsi" w:cstheme="minorBidi"/>
      <w:sz w:val="24"/>
      <w:szCs w:val="22"/>
    </w:rPr>
  </w:style>
  <w:style w:type="paragraph" w:customStyle="1" w:styleId="KMC16-Tablecontent">
    <w:name w:val="KMC16 - Table content"/>
    <w:basedOn w:val="Normal"/>
    <w:link w:val="KMC16-TablecontentChar"/>
    <w:qFormat/>
    <w:rsid w:val="009A5DF7"/>
    <w:pPr>
      <w:spacing w:before="40" w:after="40"/>
      <w:jc w:val="left"/>
    </w:pPr>
    <w:rPr>
      <w:rFonts w:ascii="Arial Narrow" w:hAnsi="Arial Narrow" w:cs="Arial"/>
      <w:color w:val="000000"/>
      <w:sz w:val="20"/>
      <w:lang w:val="en-GB" w:eastAsia="en-GB"/>
    </w:rPr>
  </w:style>
  <w:style w:type="character" w:customStyle="1" w:styleId="KMC16-TablecontentChar">
    <w:name w:val="KMC16 - Table content Char"/>
    <w:basedOn w:val="DefaultParagraphFont"/>
    <w:link w:val="KMC16-Tablecontent"/>
    <w:rsid w:val="009A5DF7"/>
    <w:rPr>
      <w:rFonts w:ascii="Arial Narrow" w:hAnsi="Arial Narrow" w:cs="Arial"/>
      <w:color w:val="000000"/>
      <w:szCs w:val="24"/>
      <w:lang w:val="en-GB" w:eastAsia="en-GB"/>
    </w:rPr>
  </w:style>
  <w:style w:type="paragraph" w:customStyle="1" w:styleId="pf0">
    <w:name w:val="pf0"/>
    <w:basedOn w:val="Normal"/>
    <w:rsid w:val="00365EF2"/>
    <w:pPr>
      <w:spacing w:before="100" w:beforeAutospacing="1" w:after="100" w:afterAutospacing="1"/>
      <w:jc w:val="left"/>
    </w:pPr>
    <w:rPr>
      <w:rFonts w:ascii="Times New Roman" w:hAnsi="Times New Roman"/>
    </w:rPr>
  </w:style>
  <w:style w:type="character" w:customStyle="1" w:styleId="cf11">
    <w:name w:val="cf11"/>
    <w:basedOn w:val="DefaultParagraphFont"/>
    <w:rsid w:val="00365EF2"/>
    <w:rPr>
      <w:rFonts w:ascii="Segoe UI" w:hAnsi="Segoe UI" w:cs="Segoe UI" w:hint="default"/>
      <w:i/>
      <w:iCs/>
      <w:sz w:val="18"/>
      <w:szCs w:val="18"/>
    </w:rPr>
  </w:style>
  <w:style w:type="character" w:customStyle="1" w:styleId="cf21">
    <w:name w:val="cf21"/>
    <w:basedOn w:val="DefaultParagraphFont"/>
    <w:rsid w:val="00365EF2"/>
    <w:rPr>
      <w:rFonts w:ascii="Segoe UI" w:hAnsi="Segoe UI" w:cs="Segoe UI" w:hint="default"/>
      <w:sz w:val="18"/>
      <w:szCs w:val="18"/>
      <w:shd w:val="clear" w:color="auto" w:fill="FFFF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47954">
      <w:bodyDiv w:val="1"/>
      <w:marLeft w:val="0"/>
      <w:marRight w:val="0"/>
      <w:marTop w:val="0"/>
      <w:marBottom w:val="0"/>
      <w:divBdr>
        <w:top w:val="none" w:sz="0" w:space="0" w:color="auto"/>
        <w:left w:val="none" w:sz="0" w:space="0" w:color="auto"/>
        <w:bottom w:val="none" w:sz="0" w:space="0" w:color="auto"/>
        <w:right w:val="none" w:sz="0" w:space="0" w:color="auto"/>
      </w:divBdr>
    </w:div>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76176744">
      <w:bodyDiv w:val="1"/>
      <w:marLeft w:val="0"/>
      <w:marRight w:val="0"/>
      <w:marTop w:val="0"/>
      <w:marBottom w:val="0"/>
      <w:divBdr>
        <w:top w:val="none" w:sz="0" w:space="0" w:color="auto"/>
        <w:left w:val="none" w:sz="0" w:space="0" w:color="auto"/>
        <w:bottom w:val="none" w:sz="0" w:space="0" w:color="auto"/>
        <w:right w:val="none" w:sz="0" w:space="0" w:color="auto"/>
      </w:divBdr>
    </w:div>
    <w:div w:id="257450267">
      <w:bodyDiv w:val="1"/>
      <w:marLeft w:val="0"/>
      <w:marRight w:val="0"/>
      <w:marTop w:val="0"/>
      <w:marBottom w:val="0"/>
      <w:divBdr>
        <w:top w:val="none" w:sz="0" w:space="0" w:color="auto"/>
        <w:left w:val="none" w:sz="0" w:space="0" w:color="auto"/>
        <w:bottom w:val="none" w:sz="0" w:space="0" w:color="auto"/>
        <w:right w:val="none" w:sz="0" w:space="0" w:color="auto"/>
      </w:divBdr>
    </w:div>
    <w:div w:id="403184464">
      <w:bodyDiv w:val="1"/>
      <w:marLeft w:val="0"/>
      <w:marRight w:val="0"/>
      <w:marTop w:val="0"/>
      <w:marBottom w:val="0"/>
      <w:divBdr>
        <w:top w:val="none" w:sz="0" w:space="0" w:color="auto"/>
        <w:left w:val="none" w:sz="0" w:space="0" w:color="auto"/>
        <w:bottom w:val="none" w:sz="0" w:space="0" w:color="auto"/>
        <w:right w:val="none" w:sz="0" w:space="0" w:color="auto"/>
      </w:divBdr>
    </w:div>
    <w:div w:id="417101693">
      <w:bodyDiv w:val="1"/>
      <w:marLeft w:val="0"/>
      <w:marRight w:val="0"/>
      <w:marTop w:val="0"/>
      <w:marBottom w:val="0"/>
      <w:divBdr>
        <w:top w:val="none" w:sz="0" w:space="0" w:color="auto"/>
        <w:left w:val="none" w:sz="0" w:space="0" w:color="auto"/>
        <w:bottom w:val="none" w:sz="0" w:space="0" w:color="auto"/>
        <w:right w:val="none" w:sz="0" w:space="0" w:color="auto"/>
      </w:divBdr>
    </w:div>
    <w:div w:id="484274041">
      <w:bodyDiv w:val="1"/>
      <w:marLeft w:val="0"/>
      <w:marRight w:val="0"/>
      <w:marTop w:val="0"/>
      <w:marBottom w:val="0"/>
      <w:divBdr>
        <w:top w:val="none" w:sz="0" w:space="0" w:color="auto"/>
        <w:left w:val="none" w:sz="0" w:space="0" w:color="auto"/>
        <w:bottom w:val="none" w:sz="0" w:space="0" w:color="auto"/>
        <w:right w:val="none" w:sz="0" w:space="0" w:color="auto"/>
      </w:divBdr>
    </w:div>
    <w:div w:id="753667543">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913128256">
      <w:bodyDiv w:val="1"/>
      <w:marLeft w:val="0"/>
      <w:marRight w:val="0"/>
      <w:marTop w:val="0"/>
      <w:marBottom w:val="0"/>
      <w:divBdr>
        <w:top w:val="none" w:sz="0" w:space="0" w:color="auto"/>
        <w:left w:val="none" w:sz="0" w:space="0" w:color="auto"/>
        <w:bottom w:val="none" w:sz="0" w:space="0" w:color="auto"/>
        <w:right w:val="none" w:sz="0" w:space="0" w:color="auto"/>
      </w:divBdr>
    </w:div>
    <w:div w:id="962998671">
      <w:bodyDiv w:val="1"/>
      <w:marLeft w:val="0"/>
      <w:marRight w:val="0"/>
      <w:marTop w:val="0"/>
      <w:marBottom w:val="0"/>
      <w:divBdr>
        <w:top w:val="none" w:sz="0" w:space="0" w:color="auto"/>
        <w:left w:val="none" w:sz="0" w:space="0" w:color="auto"/>
        <w:bottom w:val="none" w:sz="0" w:space="0" w:color="auto"/>
        <w:right w:val="none" w:sz="0" w:space="0" w:color="auto"/>
      </w:divBdr>
    </w:div>
    <w:div w:id="1183588103">
      <w:bodyDiv w:val="1"/>
      <w:marLeft w:val="0"/>
      <w:marRight w:val="0"/>
      <w:marTop w:val="0"/>
      <w:marBottom w:val="0"/>
      <w:divBdr>
        <w:top w:val="none" w:sz="0" w:space="0" w:color="auto"/>
        <w:left w:val="none" w:sz="0" w:space="0" w:color="auto"/>
        <w:bottom w:val="none" w:sz="0" w:space="0" w:color="auto"/>
        <w:right w:val="none" w:sz="0" w:space="0" w:color="auto"/>
      </w:divBdr>
    </w:div>
    <w:div w:id="1259756296">
      <w:bodyDiv w:val="1"/>
      <w:marLeft w:val="0"/>
      <w:marRight w:val="0"/>
      <w:marTop w:val="0"/>
      <w:marBottom w:val="0"/>
      <w:divBdr>
        <w:top w:val="none" w:sz="0" w:space="0" w:color="auto"/>
        <w:left w:val="none" w:sz="0" w:space="0" w:color="auto"/>
        <w:bottom w:val="none" w:sz="0" w:space="0" w:color="auto"/>
        <w:right w:val="none" w:sz="0" w:space="0" w:color="auto"/>
      </w:divBdr>
    </w:div>
    <w:div w:id="1306548319">
      <w:bodyDiv w:val="1"/>
      <w:marLeft w:val="0"/>
      <w:marRight w:val="0"/>
      <w:marTop w:val="0"/>
      <w:marBottom w:val="0"/>
      <w:divBdr>
        <w:top w:val="none" w:sz="0" w:space="0" w:color="auto"/>
        <w:left w:val="none" w:sz="0" w:space="0" w:color="auto"/>
        <w:bottom w:val="none" w:sz="0" w:space="0" w:color="auto"/>
        <w:right w:val="none" w:sz="0" w:space="0" w:color="auto"/>
      </w:divBdr>
    </w:div>
    <w:div w:id="1548684218">
      <w:bodyDiv w:val="1"/>
      <w:marLeft w:val="0"/>
      <w:marRight w:val="0"/>
      <w:marTop w:val="0"/>
      <w:marBottom w:val="0"/>
      <w:divBdr>
        <w:top w:val="none" w:sz="0" w:space="0" w:color="auto"/>
        <w:left w:val="none" w:sz="0" w:space="0" w:color="auto"/>
        <w:bottom w:val="none" w:sz="0" w:space="0" w:color="auto"/>
        <w:right w:val="none" w:sz="0" w:space="0" w:color="auto"/>
      </w:divBdr>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742676564">
      <w:bodyDiv w:val="1"/>
      <w:marLeft w:val="0"/>
      <w:marRight w:val="0"/>
      <w:marTop w:val="0"/>
      <w:marBottom w:val="0"/>
      <w:divBdr>
        <w:top w:val="none" w:sz="0" w:space="0" w:color="auto"/>
        <w:left w:val="none" w:sz="0" w:space="0" w:color="auto"/>
        <w:bottom w:val="none" w:sz="0" w:space="0" w:color="auto"/>
        <w:right w:val="none" w:sz="0" w:space="0" w:color="auto"/>
      </w:divBdr>
    </w:div>
    <w:div w:id="1891531523">
      <w:bodyDiv w:val="1"/>
      <w:marLeft w:val="0"/>
      <w:marRight w:val="0"/>
      <w:marTop w:val="0"/>
      <w:marBottom w:val="0"/>
      <w:divBdr>
        <w:top w:val="none" w:sz="0" w:space="0" w:color="auto"/>
        <w:left w:val="none" w:sz="0" w:space="0" w:color="auto"/>
        <w:bottom w:val="none" w:sz="0" w:space="0" w:color="auto"/>
        <w:right w:val="none" w:sz="0" w:space="0" w:color="auto"/>
      </w:divBdr>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 w:id="1978029779">
      <w:bodyDiv w:val="1"/>
      <w:marLeft w:val="0"/>
      <w:marRight w:val="0"/>
      <w:marTop w:val="0"/>
      <w:marBottom w:val="0"/>
      <w:divBdr>
        <w:top w:val="none" w:sz="0" w:space="0" w:color="auto"/>
        <w:left w:val="none" w:sz="0" w:space="0" w:color="auto"/>
        <w:bottom w:val="none" w:sz="0" w:space="0" w:color="auto"/>
        <w:right w:val="none" w:sz="0" w:space="0" w:color="auto"/>
      </w:divBdr>
    </w:div>
    <w:div w:id="1988512834">
      <w:bodyDiv w:val="1"/>
      <w:marLeft w:val="0"/>
      <w:marRight w:val="0"/>
      <w:marTop w:val="0"/>
      <w:marBottom w:val="0"/>
      <w:divBdr>
        <w:top w:val="none" w:sz="0" w:space="0" w:color="auto"/>
        <w:left w:val="none" w:sz="0" w:space="0" w:color="auto"/>
        <w:bottom w:val="none" w:sz="0" w:space="0" w:color="auto"/>
        <w:right w:val="none" w:sz="0" w:space="0" w:color="auto"/>
      </w:divBdr>
    </w:div>
    <w:div w:id="2004621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yasthenia.org/" TargetMode="External"/><Relationship Id="rId18" Type="http://schemas.openxmlformats.org/officeDocument/2006/relationships/hyperlink" Target="https://www.criteria.blood.gov.au/NeurologicalScales"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www.criteria.blood.gov.au/NeurologicalScales" TargetMode="External"/><Relationship Id="rId17" Type="http://schemas.openxmlformats.org/officeDocument/2006/relationships/hyperlink" Target="https://myasthenia.org/"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myasthenia.org/"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yasthenia.org/" TargetMode="External"/><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www.criteria.blood.gov.au/NeurologicalScales"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myasthenia.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myasthenia.org/"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FED174C5281F747A8037A05221D6DBD" ma:contentTypeVersion="15" ma:contentTypeDescription="Create a new document." ma:contentTypeScope="" ma:versionID="800ebfdfa1bbf1ff6c9cf58b3ab635a0">
  <xsd:schema xmlns:xsd="http://www.w3.org/2001/XMLSchema" xmlns:xs="http://www.w3.org/2001/XMLSchema" xmlns:p="http://schemas.microsoft.com/office/2006/metadata/properties" xmlns:ns2="7f856f8d-13b3-495a-9a4b-41f8182eda4c" xmlns:ns3="72f95629-adac-4ec1-8738-e1cec852b92b" targetNamespace="http://schemas.microsoft.com/office/2006/metadata/properties" ma:root="true" ma:fieldsID="cd488804b94607c00d160a5d5b6e66e9" ns2:_="" ns3:_="">
    <xsd:import namespace="7f856f8d-13b3-495a-9a4b-41f8182eda4c"/>
    <xsd:import namespace="72f95629-adac-4ec1-8738-e1cec852b92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element ref="ns2:Datecrea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856f8d-13b3-495a-9a4b-41f8182eda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element name="Datecreated" ma:index="22" nillable="true" ma:displayName="Date created" ma:description="date created" ma:format="DateOnly" ma:internalName="Datecreat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2f95629-adac-4ec1-8738-e1cec852b92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9ae0e28-eb5b-45a0-b45a-3f44301ba7c5}" ma:internalName="TaxCatchAll" ma:showField="CatchAllData" ma:web="72f95629-adac-4ec1-8738-e1cec852b9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f856f8d-13b3-495a-9a4b-41f8182eda4c">
      <Terms xmlns="http://schemas.microsoft.com/office/infopath/2007/PartnerControls"/>
    </lcf76f155ced4ddcb4097134ff3c332f>
    <TaxCatchAll xmlns="72f95629-adac-4ec1-8738-e1cec852b92b" xsi:nil="true"/>
    <Datecreated xmlns="7f856f8d-13b3-495a-9a4b-41f8182eda4c"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0E18D7-FB19-4656-85B2-ABD8FFACAE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856f8d-13b3-495a-9a4b-41f8182eda4c"/>
    <ds:schemaRef ds:uri="72f95629-adac-4ec1-8738-e1cec852b9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353560A-D7DD-4726-B7E8-039373D2C4E3}">
  <ds:schemaRefs>
    <ds:schemaRef ds:uri="http://schemas.microsoft.com/sharepoint/v3/contenttype/forms"/>
  </ds:schemaRefs>
</ds:datastoreItem>
</file>

<file path=customXml/itemProps3.xml><?xml version="1.0" encoding="utf-8"?>
<ds:datastoreItem xmlns:ds="http://schemas.openxmlformats.org/officeDocument/2006/customXml" ds:itemID="{6C45F522-1905-4AF0-9BAC-C85800DE67A9}">
  <ds:schemaRefs>
    <ds:schemaRef ds:uri="http://schemas.microsoft.com/office/2006/metadata/properties"/>
    <ds:schemaRef ds:uri="http://schemas.microsoft.com/office/infopath/2007/PartnerControls"/>
    <ds:schemaRef ds:uri="7f856f8d-13b3-495a-9a4b-41f8182eda4c"/>
    <ds:schemaRef ds:uri="72f95629-adac-4ec1-8738-e1cec852b92b"/>
  </ds:schemaRefs>
</ds:datastoreItem>
</file>

<file path=customXml/itemProps4.xml><?xml version="1.0" encoding="utf-8"?>
<ds:datastoreItem xmlns:ds="http://schemas.openxmlformats.org/officeDocument/2006/customXml" ds:itemID="{DE0892AD-C596-40B4-89DF-FDD2641BC5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7836</Words>
  <Characters>43261</Characters>
  <Application>Microsoft Office Word</Application>
  <DocSecurity>0</DocSecurity>
  <Lines>1310</Lines>
  <Paragraphs>774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2026-05-25T04:57:00Z</dcterms:created>
  <dcterms:modified xsi:type="dcterms:W3CDTF">2026-06-12T01:20:00Z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b9d0b69,40fe0b90,72b5afef</vt:lpwstr>
  </property>
  <property fmtid="{D5CDD505-2E9C-101B-9397-08002B2CF9AE}" pid="3" name="ClassificationContentMarkingHeaderFontProps">
    <vt:lpwstr>#ff0000,12,Aptos</vt:lpwstr>
  </property>
  <property fmtid="{D5CDD505-2E9C-101B-9397-08002B2CF9AE}" pid="4" name="ClassificationContentMarkingHeaderText">
    <vt:lpwstr>OFFICIAL</vt:lpwstr>
  </property>
  <property fmtid="{D5CDD505-2E9C-101B-9397-08002B2CF9AE}" pid="5" name="ClassificationContentMarkingFooterShapeIds">
    <vt:lpwstr>5138e489,13e1417,234b241d</vt:lpwstr>
  </property>
  <property fmtid="{D5CDD505-2E9C-101B-9397-08002B2CF9AE}" pid="6" name="ClassificationContentMarkingFooterFontProps">
    <vt:lpwstr>#ff0000,12,Aptos</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2026-04-01T06:00:39Z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6f8690a5-7204-40bd-a69a-cf7419fe1445</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y fmtid="{D5CDD505-2E9C-101B-9397-08002B2CF9AE}" pid="16" name="MSIP_Label_7cd3e8b9-ffed-43a8-b7f4-cc2fa0382d36_Removed">
    <vt:lpwstr>False</vt:lpwstr>
  </property>
  <property fmtid="{D5CDD505-2E9C-101B-9397-08002B2CF9AE}" pid="17" name="MediaServiceImageTags">
    <vt:lpwstr/>
  </property>
  <property fmtid="{D5CDD505-2E9C-101B-9397-08002B2CF9AE}" pid="18" name="ContentTypeId">
    <vt:lpwstr>0x0101007FED174C5281F747A8037A05221D6DBD</vt:lpwstr>
  </property>
  <property fmtid="{D5CDD505-2E9C-101B-9397-08002B2CF9AE}" pid="19" name="docLang">
    <vt:lpwstr>en</vt:lpwstr>
  </property>
  <property fmtid="{D5CDD505-2E9C-101B-9397-08002B2CF9AE}" pid="20" name="MSIP_Label_7cd3e8b9-ffed-43a8-b7f4-cc2fa0382d36_Extended_MSFT_Method">
    <vt:lpwstr>Standard</vt:lpwstr>
  </property>
  <property fmtid="{D5CDD505-2E9C-101B-9397-08002B2CF9AE}" pid="21" name="Sensitivity">
    <vt:lpwstr>OFFICIAL</vt:lpwstr>
  </property>
</Properties>
</file>