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1CA8" w14:textId="069DF405" w:rsidR="00BF6C94" w:rsidRPr="00362265" w:rsidRDefault="00186E24" w:rsidP="00362265">
      <w:pPr>
        <w:pStyle w:val="1-MainHeading"/>
      </w:pPr>
      <w:bookmarkStart w:id="0" w:name="_Toc219899363"/>
      <w:r>
        <w:t>6.07</w:t>
      </w:r>
      <w:r w:rsidR="00163F66" w:rsidRPr="0098262F">
        <w:tab/>
      </w:r>
      <w:r w:rsidR="006C233E">
        <w:t>INCOBOTULINUM TOXIN A</w:t>
      </w:r>
      <w:r w:rsidR="00163F66" w:rsidRPr="0098262F">
        <w:t>,</w:t>
      </w:r>
      <w:r w:rsidR="00163F66" w:rsidRPr="0098262F">
        <w:br/>
      </w:r>
      <w:r w:rsidR="00BA2A17">
        <w:t xml:space="preserve">Lyophilised </w:t>
      </w:r>
      <w:r w:rsidR="006C233E">
        <w:t>powder for solution for injection</w:t>
      </w:r>
      <w:r w:rsidR="00163F66" w:rsidRPr="0098262F">
        <w:t>,</w:t>
      </w:r>
      <w:r w:rsidR="00163F66" w:rsidRPr="0098262F">
        <w:br/>
      </w:r>
      <w:r w:rsidR="006C233E">
        <w:t>100 units</w:t>
      </w:r>
      <w:r w:rsidR="00163F66" w:rsidRPr="0098262F">
        <w:t>,</w:t>
      </w:r>
      <w:r w:rsidR="00163F66" w:rsidRPr="0098262F">
        <w:br/>
      </w:r>
      <w:r w:rsidR="006C233E">
        <w:t>Xeomin</w:t>
      </w:r>
      <w:r w:rsidR="00B60939" w:rsidRPr="0098262F">
        <w:rPr>
          <w:vertAlign w:val="superscript"/>
        </w:rPr>
        <w:t>®</w:t>
      </w:r>
      <w:r w:rsidR="004A6040" w:rsidRPr="0098262F">
        <w:t>,</w:t>
      </w:r>
      <w:r w:rsidR="004A6040" w:rsidRPr="0098262F">
        <w:br/>
      </w:r>
      <w:r w:rsidR="006C233E">
        <w:t xml:space="preserve">Merz </w:t>
      </w:r>
      <w:r w:rsidR="00985ACA">
        <w:t>Australia Pty Ltd</w:t>
      </w:r>
      <w:r w:rsidR="006C233E">
        <w:t>.</w:t>
      </w:r>
      <w:bookmarkEnd w:id="0"/>
      <w:r w:rsidR="00F73E08" w:rsidRPr="0098262F">
        <w:t xml:space="preserve"> </w:t>
      </w:r>
    </w:p>
    <w:p w14:paraId="11C00795" w14:textId="3DFB6D23" w:rsidR="00B50DB8" w:rsidRPr="0098262F" w:rsidRDefault="00B50DB8" w:rsidP="004A6040">
      <w:pPr>
        <w:pStyle w:val="2-SectionHeading"/>
      </w:pPr>
      <w:bookmarkStart w:id="1" w:name="_Toc219899365"/>
      <w:r w:rsidRPr="0098262F">
        <w:t xml:space="preserve">Purpose of </w:t>
      </w:r>
      <w:r w:rsidR="00CD7193" w:rsidRPr="0098262F">
        <w:t>s</w:t>
      </w:r>
      <w:r w:rsidR="00BB3A45" w:rsidRPr="0098262F">
        <w:t>ubmission</w:t>
      </w:r>
      <w:bookmarkEnd w:id="1"/>
    </w:p>
    <w:p w14:paraId="4B93DFB3" w14:textId="74C61B72" w:rsidR="009B59CE" w:rsidRDefault="007170DA" w:rsidP="00A622A2">
      <w:pPr>
        <w:pStyle w:val="3-BodyText"/>
      </w:pPr>
      <w:r w:rsidRPr="0098262F">
        <w:t xml:space="preserve">The </w:t>
      </w:r>
      <w:r w:rsidR="00F73E08" w:rsidRPr="0098262F">
        <w:t xml:space="preserve">Category </w:t>
      </w:r>
      <w:r w:rsidR="006C233E">
        <w:t>2</w:t>
      </w:r>
      <w:r w:rsidR="00DC3571">
        <w:t xml:space="preserve"> streamlined codependent</w:t>
      </w:r>
      <w:r w:rsidR="00F73E08" w:rsidRPr="0098262F">
        <w:t xml:space="preserve"> </w:t>
      </w:r>
      <w:r w:rsidRPr="0098262F">
        <w:t xml:space="preserve">submission requested </w:t>
      </w:r>
      <w:r w:rsidR="00395094">
        <w:t xml:space="preserve">a </w:t>
      </w:r>
      <w:r w:rsidR="008B1757" w:rsidRPr="0098262F">
        <w:t>Section 100</w:t>
      </w:r>
      <w:r w:rsidR="006C233E">
        <w:t>, PBS Botulinum Toxin Program</w:t>
      </w:r>
      <w:r w:rsidR="008B1757" w:rsidRPr="0098262F">
        <w:t>, Authority Required</w:t>
      </w:r>
      <w:r w:rsidR="006C233E">
        <w:t xml:space="preserve"> Streamlined </w:t>
      </w:r>
      <w:r w:rsidR="008B1757" w:rsidRPr="0098262F">
        <w:t xml:space="preserve">listing for </w:t>
      </w:r>
      <w:r w:rsidR="006C233E">
        <w:t>incobotulinumtoxinA</w:t>
      </w:r>
      <w:r w:rsidR="008B1757" w:rsidRPr="0098262F">
        <w:t xml:space="preserve"> </w:t>
      </w:r>
      <w:r w:rsidR="004F195F">
        <w:t xml:space="preserve">(Xeomin) </w:t>
      </w:r>
      <w:r w:rsidR="008B1757" w:rsidRPr="0098262F">
        <w:t xml:space="preserve">for </w:t>
      </w:r>
      <w:r w:rsidR="0050174E" w:rsidRPr="0098262F">
        <w:t xml:space="preserve">the </w:t>
      </w:r>
      <w:r w:rsidR="008B1757" w:rsidRPr="0098262F">
        <w:t xml:space="preserve">treatment of </w:t>
      </w:r>
      <w:r w:rsidR="006C233E">
        <w:t xml:space="preserve">moderate to severe spasticity of the lower limb in adults following </w:t>
      </w:r>
      <w:r w:rsidR="009B59CE">
        <w:t>stroke, traumatic brain injury, or spinal cord injury.</w:t>
      </w:r>
      <w:r w:rsidR="00A622A2" w:rsidDel="00A622A2">
        <w:t xml:space="preserve"> </w:t>
      </w:r>
    </w:p>
    <w:p w14:paraId="5F042BFB" w14:textId="1A8DD40A" w:rsidR="00DC3571" w:rsidRPr="0098262F" w:rsidRDefault="00DC3571" w:rsidP="00A622A2">
      <w:pPr>
        <w:pStyle w:val="3-BodyText"/>
      </w:pPr>
      <w:r w:rsidRPr="00DC3571">
        <w:t xml:space="preserve">A submission to the MSAC </w:t>
      </w:r>
      <w:r w:rsidR="00F859E2">
        <w:t xml:space="preserve">is required </w:t>
      </w:r>
      <w:r w:rsidRPr="00DC3571">
        <w:t>to amend existing MBS item code</w:t>
      </w:r>
      <w:r w:rsidR="00663600">
        <w:t xml:space="preserve"> 1836</w:t>
      </w:r>
      <w:r w:rsidR="007F03BD">
        <w:t>0</w:t>
      </w:r>
      <w:r w:rsidR="00663600">
        <w:t xml:space="preserve"> to </w:t>
      </w:r>
      <w:r w:rsidRPr="00DC3571">
        <w:t>include incobotulinumtoxinA.</w:t>
      </w:r>
    </w:p>
    <w:p w14:paraId="4E9FBCB5" w14:textId="6B7BF459" w:rsidR="00C2778B" w:rsidRPr="0098262F" w:rsidRDefault="005750C5" w:rsidP="004E18E9">
      <w:pPr>
        <w:pStyle w:val="3-BodyText"/>
      </w:pPr>
      <w:r w:rsidRPr="0098262F">
        <w:t>Listing was requested on the basis of a cost-minimisation</w:t>
      </w:r>
      <w:r w:rsidR="001D71F4" w:rsidRPr="0098262F">
        <w:t xml:space="preserve"> approach</w:t>
      </w:r>
      <w:r w:rsidRPr="0098262F">
        <w:t xml:space="preserve"> versus </w:t>
      </w:r>
      <w:r w:rsidR="00B51231" w:rsidRPr="00B51231">
        <w:t>botulinum toxin type A</w:t>
      </w:r>
      <w:r w:rsidR="00B51231">
        <w:t xml:space="preserve"> </w:t>
      </w:r>
      <w:r w:rsidR="006C233E">
        <w:t>(Botox).</w:t>
      </w:r>
    </w:p>
    <w:p w14:paraId="3718DE61" w14:textId="78163D5D" w:rsidR="008B1757" w:rsidRPr="0098262F" w:rsidRDefault="00696EF9" w:rsidP="004A6040">
      <w:pPr>
        <w:pStyle w:val="TableFigureHeading"/>
        <w:rPr>
          <w:rStyle w:val="CommentReference"/>
          <w:b/>
          <w:szCs w:val="24"/>
        </w:rPr>
      </w:pPr>
      <w:r w:rsidRPr="0098262F">
        <w:t xml:space="preserve">Table </w:t>
      </w:r>
      <w:fldSimple w:instr=" SEQ Table \* ARABIC ">
        <w:r w:rsidR="00761491">
          <w:rPr>
            <w:noProof/>
          </w:rPr>
          <w:t>1</w:t>
        </w:r>
      </w:fldSimple>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8B1757" w:rsidRPr="0098262F" w14:paraId="569F5103" w14:textId="77777777" w:rsidTr="00041FF2">
        <w:trPr>
          <w:cantSplit/>
          <w:tblHeader/>
        </w:trPr>
        <w:tc>
          <w:tcPr>
            <w:tcW w:w="924" w:type="pct"/>
          </w:tcPr>
          <w:p w14:paraId="501803FB" w14:textId="77777777" w:rsidR="008B1757" w:rsidRPr="0098262F" w:rsidRDefault="008B1757" w:rsidP="004A6040">
            <w:pPr>
              <w:pStyle w:val="In-tableHeading"/>
              <w:rPr>
                <w:szCs w:val="20"/>
                <w:lang w:val="en-AU"/>
              </w:rPr>
            </w:pPr>
            <w:r w:rsidRPr="0098262F">
              <w:rPr>
                <w:lang w:val="en-AU"/>
              </w:rPr>
              <w:t>Component</w:t>
            </w:r>
          </w:p>
        </w:tc>
        <w:tc>
          <w:tcPr>
            <w:tcW w:w="4076" w:type="pct"/>
          </w:tcPr>
          <w:p w14:paraId="445D9EBB" w14:textId="77777777" w:rsidR="008B1757" w:rsidRPr="0098262F" w:rsidRDefault="008B1757" w:rsidP="004A6040">
            <w:pPr>
              <w:pStyle w:val="In-tableHeading"/>
              <w:rPr>
                <w:lang w:val="en-AU"/>
              </w:rPr>
            </w:pPr>
            <w:r w:rsidRPr="0098262F">
              <w:rPr>
                <w:lang w:val="en-AU"/>
              </w:rPr>
              <w:t>Description</w:t>
            </w:r>
          </w:p>
        </w:tc>
      </w:tr>
      <w:tr w:rsidR="008B1757" w:rsidRPr="0098262F" w14:paraId="2EB546E2" w14:textId="77777777" w:rsidTr="00041FF2">
        <w:trPr>
          <w:cantSplit/>
        </w:trPr>
        <w:tc>
          <w:tcPr>
            <w:tcW w:w="924" w:type="pct"/>
          </w:tcPr>
          <w:p w14:paraId="38F3BB34" w14:textId="77777777" w:rsidR="008B1757" w:rsidRPr="0098262F" w:rsidRDefault="008B1757" w:rsidP="003E4C55">
            <w:pPr>
              <w:pStyle w:val="TableText0"/>
            </w:pPr>
            <w:r w:rsidRPr="0098262F">
              <w:t>Population</w:t>
            </w:r>
          </w:p>
        </w:tc>
        <w:tc>
          <w:tcPr>
            <w:tcW w:w="4076" w:type="pct"/>
          </w:tcPr>
          <w:p w14:paraId="79618EEE" w14:textId="4DBA3EF3" w:rsidR="00233C01" w:rsidRPr="0098262F" w:rsidRDefault="006C233E" w:rsidP="003E4C55">
            <w:pPr>
              <w:pStyle w:val="TableText0"/>
            </w:pPr>
            <w:r w:rsidRPr="006C233E">
              <w:t>Adults with moderate to severe unilateral lower limb spasticity (MAS ≥2) following stroke, traumatic</w:t>
            </w:r>
            <w:r>
              <w:t xml:space="preserve"> </w:t>
            </w:r>
            <w:r w:rsidRPr="006C233E">
              <w:t>brain injury, or spinal cord injury, with functional impairment affecting mobility, activities of daily living, or quality of life</w:t>
            </w:r>
            <w:r>
              <w:t>.</w:t>
            </w:r>
          </w:p>
        </w:tc>
      </w:tr>
      <w:tr w:rsidR="008B1757" w:rsidRPr="0098262F" w14:paraId="0CA523AF" w14:textId="77777777" w:rsidTr="00041FF2">
        <w:trPr>
          <w:cantSplit/>
        </w:trPr>
        <w:tc>
          <w:tcPr>
            <w:tcW w:w="924" w:type="pct"/>
          </w:tcPr>
          <w:p w14:paraId="7B6D20D8" w14:textId="77777777" w:rsidR="008B1757" w:rsidRPr="0098262F" w:rsidRDefault="008B1757" w:rsidP="003E4C55">
            <w:pPr>
              <w:pStyle w:val="TableText0"/>
            </w:pPr>
            <w:r w:rsidRPr="0098262F">
              <w:t>Intervention</w:t>
            </w:r>
          </w:p>
        </w:tc>
        <w:tc>
          <w:tcPr>
            <w:tcW w:w="4076" w:type="pct"/>
          </w:tcPr>
          <w:p w14:paraId="2491E905" w14:textId="00B75E90" w:rsidR="00233C01" w:rsidRPr="0098262F" w:rsidRDefault="006C233E" w:rsidP="003E4C55">
            <w:pPr>
              <w:pStyle w:val="TableText0"/>
            </w:pPr>
            <w:r w:rsidRPr="006C233E">
              <w:t>IncobotulinumtoxinA, purified Botulinum toxin type A</w:t>
            </w:r>
          </w:p>
        </w:tc>
      </w:tr>
      <w:tr w:rsidR="008B1757" w:rsidRPr="0098262F" w14:paraId="0F81EBE4" w14:textId="77777777" w:rsidTr="00041FF2">
        <w:trPr>
          <w:cantSplit/>
        </w:trPr>
        <w:tc>
          <w:tcPr>
            <w:tcW w:w="924" w:type="pct"/>
          </w:tcPr>
          <w:p w14:paraId="3656B343" w14:textId="77777777" w:rsidR="008B1757" w:rsidRPr="0098262F" w:rsidRDefault="008B1757" w:rsidP="003E4C55">
            <w:pPr>
              <w:pStyle w:val="TableText0"/>
            </w:pPr>
            <w:r w:rsidRPr="0098262F">
              <w:t>Comparator</w:t>
            </w:r>
          </w:p>
        </w:tc>
        <w:tc>
          <w:tcPr>
            <w:tcW w:w="4076" w:type="pct"/>
          </w:tcPr>
          <w:p w14:paraId="3727DE24" w14:textId="65288641" w:rsidR="00233C01" w:rsidRPr="0098262F" w:rsidRDefault="006C233E" w:rsidP="003E4C55">
            <w:pPr>
              <w:pStyle w:val="TableText0"/>
            </w:pPr>
            <w:r w:rsidRPr="006C233E">
              <w:t>Botulinum toxin type A</w:t>
            </w:r>
            <w:r>
              <w:t xml:space="preserve"> (</w:t>
            </w:r>
            <w:r w:rsidRPr="00452B53">
              <w:t>BOTOX®)</w:t>
            </w:r>
          </w:p>
        </w:tc>
      </w:tr>
      <w:tr w:rsidR="008B1757" w:rsidRPr="0098262F" w14:paraId="02F86F0D" w14:textId="77777777" w:rsidTr="00041FF2">
        <w:trPr>
          <w:cantSplit/>
        </w:trPr>
        <w:tc>
          <w:tcPr>
            <w:tcW w:w="924" w:type="pct"/>
          </w:tcPr>
          <w:p w14:paraId="06433105" w14:textId="77777777" w:rsidR="008B1757" w:rsidRPr="0098262F" w:rsidRDefault="008B1757" w:rsidP="003E4C55">
            <w:pPr>
              <w:pStyle w:val="TableText0"/>
            </w:pPr>
            <w:r w:rsidRPr="0098262F">
              <w:t>Outcomes</w:t>
            </w:r>
          </w:p>
        </w:tc>
        <w:tc>
          <w:tcPr>
            <w:tcW w:w="4076" w:type="pct"/>
          </w:tcPr>
          <w:p w14:paraId="69435AEB" w14:textId="77777777" w:rsidR="006C233E" w:rsidRPr="006C233E" w:rsidRDefault="006C233E" w:rsidP="003E4C55">
            <w:pPr>
              <w:pStyle w:val="TableText0"/>
            </w:pPr>
            <w:r w:rsidRPr="006C233E">
              <w:t>Efficacy endpoints:</w:t>
            </w:r>
          </w:p>
          <w:p w14:paraId="5803D617" w14:textId="77777777" w:rsidR="006C233E" w:rsidRPr="006C233E" w:rsidRDefault="006C233E" w:rsidP="00041FF2">
            <w:pPr>
              <w:pStyle w:val="TableText0"/>
              <w:ind w:left="113" w:hanging="113"/>
            </w:pPr>
            <w:r w:rsidRPr="006C233E">
              <w:t>•</w:t>
            </w:r>
            <w:r w:rsidRPr="006C233E">
              <w:tab/>
              <w:t>Change from baseline in Modified Ashworth Scale (MAS) plantar flexors score to end of Week 12</w:t>
            </w:r>
          </w:p>
          <w:p w14:paraId="26391FB3" w14:textId="4FD1A32B" w:rsidR="006C233E" w:rsidRPr="006C233E" w:rsidRDefault="006C233E" w:rsidP="00041FF2">
            <w:pPr>
              <w:pStyle w:val="TableText0"/>
              <w:ind w:left="113" w:hanging="113"/>
            </w:pPr>
            <w:r w:rsidRPr="006C233E">
              <w:t>•</w:t>
            </w:r>
            <w:r w:rsidRPr="006C233E">
              <w:tab/>
              <w:t>Change from bas</w:t>
            </w:r>
            <w:r w:rsidR="009F34A7">
              <w:t>e</w:t>
            </w:r>
            <w:r w:rsidRPr="006C233E">
              <w:t>line in MAS-PF to Weeks 4, 6, and 8</w:t>
            </w:r>
          </w:p>
          <w:p w14:paraId="7881ECB7" w14:textId="77777777" w:rsidR="006C233E" w:rsidRPr="006C233E" w:rsidRDefault="006C233E" w:rsidP="00041FF2">
            <w:pPr>
              <w:pStyle w:val="TableText0"/>
              <w:ind w:left="113" w:hanging="113"/>
            </w:pPr>
            <w:r w:rsidRPr="006C233E">
              <w:t>•</w:t>
            </w:r>
            <w:r w:rsidRPr="006C233E">
              <w:tab/>
              <w:t>Responders defined as an improvement of at least 1 point in MAS plantar flexors</w:t>
            </w:r>
          </w:p>
          <w:p w14:paraId="2B632EC1" w14:textId="77777777" w:rsidR="006C233E" w:rsidRPr="006C233E" w:rsidRDefault="006C233E" w:rsidP="00041FF2">
            <w:pPr>
              <w:pStyle w:val="TableText0"/>
              <w:ind w:left="113" w:hanging="113"/>
            </w:pPr>
            <w:r w:rsidRPr="006C233E">
              <w:t>Primary safety endpoints:</w:t>
            </w:r>
          </w:p>
          <w:p w14:paraId="5ABC4037" w14:textId="170568C6" w:rsidR="00233C01" w:rsidRPr="0098262F" w:rsidRDefault="006C233E" w:rsidP="00041FF2">
            <w:pPr>
              <w:pStyle w:val="TableText0"/>
              <w:ind w:left="113" w:hanging="113"/>
              <w:rPr>
                <w:bCs/>
                <w:color w:val="0066FF"/>
              </w:rPr>
            </w:pPr>
            <w:r w:rsidRPr="006C233E">
              <w:t>•</w:t>
            </w:r>
            <w:r w:rsidRPr="006C233E">
              <w:tab/>
              <w:t>Incidence of treatment emergent AEs (TEAEs), TEAEs of special interest, (TEAESIs) and serious TEAEs.</w:t>
            </w:r>
          </w:p>
        </w:tc>
      </w:tr>
      <w:tr w:rsidR="008B1757" w:rsidRPr="0098262F" w14:paraId="22223890" w14:textId="77777777" w:rsidTr="00041FF2">
        <w:trPr>
          <w:cantSplit/>
        </w:trPr>
        <w:tc>
          <w:tcPr>
            <w:tcW w:w="924" w:type="pct"/>
          </w:tcPr>
          <w:p w14:paraId="0FC8FCE0" w14:textId="77777777" w:rsidR="008B1757" w:rsidRPr="0098262F" w:rsidRDefault="008B1757" w:rsidP="003E4C55">
            <w:pPr>
              <w:pStyle w:val="TableText0"/>
            </w:pPr>
            <w:r w:rsidRPr="0098262F">
              <w:t>Clinical claim</w:t>
            </w:r>
          </w:p>
        </w:tc>
        <w:tc>
          <w:tcPr>
            <w:tcW w:w="4076" w:type="pct"/>
          </w:tcPr>
          <w:p w14:paraId="2C99C4DE" w14:textId="200B8E86" w:rsidR="00233C01" w:rsidRPr="0098262F" w:rsidRDefault="006C233E" w:rsidP="003E4C55">
            <w:pPr>
              <w:pStyle w:val="TableText0"/>
              <w:rPr>
                <w:bCs/>
                <w:color w:val="0066FF"/>
              </w:rPr>
            </w:pPr>
            <w:r w:rsidRPr="006C233E">
              <w:t>IncobotulinumtoxinA is noninferior to Botulinum toxin type A</w:t>
            </w:r>
            <w:r>
              <w:t xml:space="preserve"> </w:t>
            </w:r>
            <w:r w:rsidRPr="006C233E">
              <w:t>for treatment of moderate to severe spasticity of the lower limb following an acute event</w:t>
            </w:r>
          </w:p>
        </w:tc>
      </w:tr>
    </w:tbl>
    <w:p w14:paraId="527CA7F0" w14:textId="60607963" w:rsidR="004E43B2" w:rsidRPr="0098262F" w:rsidRDefault="008B1757" w:rsidP="004A6040">
      <w:pPr>
        <w:pStyle w:val="FooterTableFigure"/>
        <w:rPr>
          <w:sz w:val="20"/>
        </w:rPr>
      </w:pPr>
      <w:r w:rsidRPr="0098262F">
        <w:t xml:space="preserve">Source: </w:t>
      </w:r>
      <w:r w:rsidR="006C233E">
        <w:t>T</w:t>
      </w:r>
      <w:r w:rsidRPr="0098262F">
        <w:t>able</w:t>
      </w:r>
      <w:r w:rsidR="006C233E">
        <w:t xml:space="preserve"> 1.1.1</w:t>
      </w:r>
      <w:r w:rsidRPr="0098262F">
        <w:t>, p</w:t>
      </w:r>
      <w:r w:rsidR="006C233E">
        <w:t>4</w:t>
      </w:r>
      <w:r w:rsidRPr="0098262F">
        <w:t xml:space="preserve"> of the submission</w:t>
      </w:r>
      <w:r w:rsidR="006C233E">
        <w:t>.</w:t>
      </w:r>
    </w:p>
    <w:p w14:paraId="6B4AB6C2" w14:textId="7F01D731" w:rsidR="005C25FF" w:rsidRPr="0098262F" w:rsidRDefault="005C25FF" w:rsidP="004A6040">
      <w:pPr>
        <w:pStyle w:val="2-SectionHeading"/>
      </w:pPr>
      <w:bookmarkStart w:id="2" w:name="_Toc219899366"/>
      <w:r w:rsidRPr="0098262F">
        <w:t>Background</w:t>
      </w:r>
      <w:bookmarkEnd w:id="2"/>
    </w:p>
    <w:p w14:paraId="2C521D6D" w14:textId="78CF03EE" w:rsidR="005C25FF" w:rsidRPr="0098262F" w:rsidRDefault="005C25FF" w:rsidP="004C55C7">
      <w:pPr>
        <w:pStyle w:val="4-SubsectionHeading"/>
      </w:pPr>
      <w:bookmarkStart w:id="3" w:name="_Toc22897638"/>
      <w:bookmarkStart w:id="4" w:name="_Toc219899367"/>
      <w:r w:rsidRPr="0098262F">
        <w:t>Registration status</w:t>
      </w:r>
      <w:bookmarkEnd w:id="3"/>
      <w:bookmarkEnd w:id="4"/>
    </w:p>
    <w:p w14:paraId="5374AD55" w14:textId="053BB171" w:rsidR="005C25FF" w:rsidRDefault="00253162" w:rsidP="00253162">
      <w:pPr>
        <w:pStyle w:val="3-BodyText"/>
      </w:pPr>
      <w:r w:rsidRPr="004F195F">
        <w:rPr>
          <w:color w:val="000000" w:themeColor="text1"/>
        </w:rPr>
        <w:t xml:space="preserve">IncobotulinumtoxinA </w:t>
      </w:r>
      <w:r w:rsidR="004F195F" w:rsidRPr="004F195F">
        <w:rPr>
          <w:color w:val="000000" w:themeColor="text1"/>
        </w:rPr>
        <w:t xml:space="preserve">(Xeomin) </w:t>
      </w:r>
      <w:r w:rsidR="005C25FF" w:rsidRPr="004F195F">
        <w:rPr>
          <w:color w:val="000000" w:themeColor="text1"/>
        </w:rPr>
        <w:t xml:space="preserve">was </w:t>
      </w:r>
      <w:r w:rsidR="005C25FF" w:rsidRPr="0098262F">
        <w:t xml:space="preserve">TGA registered </w:t>
      </w:r>
      <w:r w:rsidR="00E80C2E">
        <w:t>on 8</w:t>
      </w:r>
      <w:r>
        <w:t xml:space="preserve"> May 2025</w:t>
      </w:r>
      <w:r w:rsidR="005C25FF" w:rsidRPr="0098262F">
        <w:t xml:space="preserve"> for</w:t>
      </w:r>
      <w:r>
        <w:t xml:space="preserve"> the additional indication of </w:t>
      </w:r>
      <w:r w:rsidRPr="00253162">
        <w:t xml:space="preserve">treatment in adults of unilateral spasticity of the lower limb affecting the ankle joint. </w:t>
      </w:r>
    </w:p>
    <w:p w14:paraId="2CD17758" w14:textId="4D6668B0" w:rsidR="00253162" w:rsidRPr="0098262F" w:rsidRDefault="00253162" w:rsidP="00253162">
      <w:pPr>
        <w:pStyle w:val="3-BodyText"/>
      </w:pPr>
      <w:r w:rsidRPr="00253162">
        <w:t>IncobotulinumtoxinA</w:t>
      </w:r>
      <w:r>
        <w:t xml:space="preserve"> </w:t>
      </w:r>
      <w:r w:rsidR="004F195F">
        <w:t xml:space="preserve">(Xeomin) </w:t>
      </w:r>
      <w:r>
        <w:t>is registered in the USA, Canada, New Zealand, Singapore and Switzerland and the E</w:t>
      </w:r>
      <w:r w:rsidR="00667E75">
        <w:t>U</w:t>
      </w:r>
      <w:r w:rsidR="00DC5890">
        <w:t xml:space="preserve">. In the US and Europe the approved indications </w:t>
      </w:r>
      <w:r w:rsidR="00DC5890">
        <w:lastRenderedPageBreak/>
        <w:t>do not include spasticity of the lower limb and in Canada they include only lower limb spasticity due to stroke.</w:t>
      </w:r>
    </w:p>
    <w:p w14:paraId="3E2A6EAB" w14:textId="469C8C0C" w:rsidR="005C25FF" w:rsidRPr="0098262F" w:rsidRDefault="005C25FF" w:rsidP="004C55C7">
      <w:pPr>
        <w:pStyle w:val="4-SubsectionHeading"/>
      </w:pPr>
      <w:bookmarkStart w:id="5" w:name="_Toc22897639"/>
      <w:bookmarkStart w:id="6" w:name="_Toc219899368"/>
      <w:r w:rsidRPr="0098262F">
        <w:t>Previous PBAC consideration</w:t>
      </w:r>
      <w:bookmarkEnd w:id="5"/>
      <w:bookmarkEnd w:id="6"/>
    </w:p>
    <w:p w14:paraId="734DE3B8" w14:textId="77777777" w:rsidR="009E27BC" w:rsidRPr="009E27BC" w:rsidRDefault="00C00571" w:rsidP="00253162">
      <w:pPr>
        <w:pStyle w:val="3-BodyText"/>
        <w:rPr>
          <w:color w:val="0066FF"/>
        </w:rPr>
      </w:pPr>
      <w:r>
        <w:t xml:space="preserve">PBAC has not previously considered Xeomin for lower limb spasticity due to stroke or other acute events. </w:t>
      </w:r>
    </w:p>
    <w:p w14:paraId="44965D13" w14:textId="3052CB4C" w:rsidR="00C00571" w:rsidRPr="00C00571" w:rsidRDefault="00C00571" w:rsidP="00253162">
      <w:pPr>
        <w:pStyle w:val="3-BodyText"/>
        <w:rPr>
          <w:color w:val="0066FF"/>
        </w:rPr>
      </w:pPr>
      <w:r>
        <w:t xml:space="preserve">Xeomin was most recently considered in July 2025 for the treatment of upper limb spasticity and equinus foot deformity in patients with cerebral palsy. </w:t>
      </w:r>
    </w:p>
    <w:p w14:paraId="4EFB2FEE" w14:textId="460F7E6F" w:rsidR="003B6DB7" w:rsidRPr="00D616E3" w:rsidRDefault="003B6DB7" w:rsidP="00253162">
      <w:pPr>
        <w:pStyle w:val="3-BodyText"/>
        <w:rPr>
          <w:color w:val="0066FF"/>
        </w:rPr>
      </w:pPr>
      <w:r>
        <w:t>There have been</w:t>
      </w:r>
      <w:r w:rsidR="00C00571">
        <w:t xml:space="preserve"> a number of</w:t>
      </w:r>
      <w:r>
        <w:t xml:space="preserve"> p</w:t>
      </w:r>
      <w:r w:rsidR="00253162">
        <w:t>revious PBAC considerations of</w:t>
      </w:r>
      <w:r w:rsidR="00050B1E">
        <w:t xml:space="preserve"> botulinum toxin preparations</w:t>
      </w:r>
      <w:r w:rsidR="00253162">
        <w:t xml:space="preserve"> </w:t>
      </w:r>
      <w:r w:rsidR="003E4F0A">
        <w:t>for spasticity</w:t>
      </w:r>
      <w:r>
        <w:t xml:space="preserve"> in </w:t>
      </w:r>
      <w:r w:rsidR="00C54CCD">
        <w:t>upper and lower limbs</w:t>
      </w:r>
      <w:r>
        <w:t xml:space="preserve"> </w:t>
      </w:r>
      <w:r w:rsidR="0026287D">
        <w:t>following stroke or other acute neurological events</w:t>
      </w:r>
      <w:r>
        <w:t>.</w:t>
      </w:r>
    </w:p>
    <w:p w14:paraId="6AEF36BA" w14:textId="77777777" w:rsidR="00A3662F" w:rsidRPr="00632060" w:rsidRDefault="00A3662F" w:rsidP="00A3662F">
      <w:pPr>
        <w:pStyle w:val="3-BodyText"/>
        <w:rPr>
          <w:color w:val="0066FF"/>
        </w:rPr>
      </w:pPr>
      <w:r>
        <w:rPr>
          <w:color w:val="000000" w:themeColor="text1"/>
        </w:rPr>
        <w:t xml:space="preserve">Botox was recommended for listing for the treatment of upper limb spasticity following stroke in July 2008. </w:t>
      </w:r>
    </w:p>
    <w:p w14:paraId="2EDCC2F5" w14:textId="2BBA4C48" w:rsidR="00632060" w:rsidRDefault="00632060" w:rsidP="00632060">
      <w:pPr>
        <w:pStyle w:val="3-BodyText"/>
        <w:rPr>
          <w:color w:val="000000" w:themeColor="text1"/>
        </w:rPr>
      </w:pPr>
      <w:r w:rsidRPr="0085714E">
        <w:rPr>
          <w:color w:val="000000" w:themeColor="text1"/>
        </w:rPr>
        <w:t xml:space="preserve">In July 2014 PBAC recommended </w:t>
      </w:r>
      <w:r>
        <w:rPr>
          <w:color w:val="000000" w:themeColor="text1"/>
        </w:rPr>
        <w:t xml:space="preserve">listing of Xeomin for blepharospasm, cervical dystonia and post-stroke spasticity of the upper limb (Paragraph 7.1, Xeomin </w:t>
      </w:r>
      <w:r w:rsidR="00B97708">
        <w:rPr>
          <w:color w:val="000000" w:themeColor="text1"/>
        </w:rPr>
        <w:t>Public Summary Document [</w:t>
      </w:r>
      <w:r>
        <w:rPr>
          <w:color w:val="000000" w:themeColor="text1"/>
        </w:rPr>
        <w:t>PSD</w:t>
      </w:r>
      <w:r w:rsidR="00B97708">
        <w:rPr>
          <w:color w:val="000000" w:themeColor="text1"/>
        </w:rPr>
        <w:t>]</w:t>
      </w:r>
      <w:r>
        <w:rPr>
          <w:color w:val="000000" w:themeColor="text1"/>
        </w:rPr>
        <w:t xml:space="preserve">, July 2014 PBAC Meeting). </w:t>
      </w:r>
    </w:p>
    <w:p w14:paraId="12210D21" w14:textId="3BCC62E5" w:rsidR="00D616E3" w:rsidRPr="00D616E3" w:rsidRDefault="00717809" w:rsidP="00D616E3">
      <w:pPr>
        <w:pStyle w:val="3-BodyText"/>
        <w:rPr>
          <w:color w:val="0066FF"/>
        </w:rPr>
      </w:pPr>
      <w:r>
        <w:rPr>
          <w:color w:val="000000" w:themeColor="text1"/>
        </w:rPr>
        <w:t>In March 2019 PBAC recommended the listing of Botox for treatment of lower limb spasticity following stroke or other acute neurological event. D</w:t>
      </w:r>
      <w:r w:rsidRPr="00C00571">
        <w:rPr>
          <w:color w:val="000000" w:themeColor="text1"/>
        </w:rPr>
        <w:t xml:space="preserve">ysport </w:t>
      </w:r>
      <w:r>
        <w:rPr>
          <w:color w:val="000000" w:themeColor="text1"/>
        </w:rPr>
        <w:t>was recommended for listing for lower limb spasticity following stroke or other acute neurological event in July 2019.</w:t>
      </w:r>
    </w:p>
    <w:p w14:paraId="2E6233B4" w14:textId="22CAF5FA" w:rsidR="0085714E" w:rsidRDefault="00252BFC" w:rsidP="00253162">
      <w:pPr>
        <w:pStyle w:val="3-BodyText"/>
        <w:rPr>
          <w:color w:val="000000" w:themeColor="text1"/>
        </w:rPr>
      </w:pPr>
      <w:r>
        <w:rPr>
          <w:color w:val="000000" w:themeColor="text1"/>
        </w:rPr>
        <w:t>In November 2019 PBAC recommended the extension of listing for upper limb spasticity following stroke to upper limb spasticity following other acute events, considering that "</w:t>
      </w:r>
      <w:r w:rsidRPr="00252BFC">
        <w:rPr>
          <w:color w:val="000000" w:themeColor="text1"/>
        </w:rPr>
        <w:t>despite the lack of clinical trials in aetiologies other than stroke, the request to extend the listing of botulinum toxins to include acute events was reasonable and biologically plausible</w:t>
      </w:r>
      <w:r w:rsidR="005F2798">
        <w:rPr>
          <w:color w:val="000000" w:themeColor="text1"/>
        </w:rPr>
        <w:t>"</w:t>
      </w:r>
      <w:r>
        <w:rPr>
          <w:color w:val="000000" w:themeColor="text1"/>
        </w:rPr>
        <w:t xml:space="preserve"> (Paragraph</w:t>
      </w:r>
      <w:r w:rsidR="005F2798">
        <w:rPr>
          <w:color w:val="000000" w:themeColor="text1"/>
        </w:rPr>
        <w:t>s 5.11,</w:t>
      </w:r>
      <w:r>
        <w:rPr>
          <w:color w:val="000000" w:themeColor="text1"/>
        </w:rPr>
        <w:t xml:space="preserve"> 6.1, Xeomin PSD, November 2019 PBAC Meeting</w:t>
      </w:r>
      <w:r w:rsidR="005F2798">
        <w:rPr>
          <w:color w:val="000000" w:themeColor="text1"/>
        </w:rPr>
        <w:t>; see also Paragraph 5.2, Botox PSD, March 2019 PBAC Meeting</w:t>
      </w:r>
      <w:r>
        <w:rPr>
          <w:color w:val="000000" w:themeColor="text1"/>
        </w:rPr>
        <w:t>)</w:t>
      </w:r>
      <w:r w:rsidR="005F2798">
        <w:rPr>
          <w:color w:val="000000" w:themeColor="text1"/>
        </w:rPr>
        <w:t xml:space="preserve">. </w:t>
      </w:r>
    </w:p>
    <w:p w14:paraId="6E374107" w14:textId="6004D7AE" w:rsidR="00B75D0F" w:rsidRPr="009A2D1C" w:rsidRDefault="009A2D1C" w:rsidP="009A2D1C">
      <w:pPr>
        <w:ind w:firstLine="709"/>
        <w:rPr>
          <w:rFonts w:asciiTheme="minorHAnsi" w:hAnsiTheme="minorHAnsi"/>
          <w:i/>
        </w:rPr>
      </w:pPr>
      <w:bookmarkStart w:id="7" w:name="_Hlk76375324"/>
      <w:r w:rsidRPr="00C33D30">
        <w:rPr>
          <w:rFonts w:asciiTheme="minorHAnsi" w:hAnsiTheme="minorHAnsi"/>
          <w:i/>
        </w:rPr>
        <w:t>For more detail on PBAC’s view, see section 7 PBAC outcome.</w:t>
      </w:r>
      <w:bookmarkEnd w:id="7"/>
    </w:p>
    <w:p w14:paraId="76E4EF3C" w14:textId="13040F70" w:rsidR="00B60939" w:rsidRPr="0098262F" w:rsidRDefault="00B50DB8" w:rsidP="004E18E9">
      <w:pPr>
        <w:pStyle w:val="2-SectionHeading"/>
      </w:pPr>
      <w:bookmarkStart w:id="8" w:name="_Toc218946641"/>
      <w:bookmarkStart w:id="9" w:name="_Toc218946716"/>
      <w:bookmarkStart w:id="10" w:name="_Toc107902078"/>
      <w:bookmarkStart w:id="11" w:name="_Toc219899369"/>
      <w:bookmarkEnd w:id="8"/>
      <w:bookmarkEnd w:id="9"/>
      <w:bookmarkEnd w:id="10"/>
      <w:r w:rsidRPr="0098262F">
        <w:t>Requested listing</w:t>
      </w:r>
      <w:bookmarkEnd w:id="11"/>
    </w:p>
    <w:p w14:paraId="1B423B86" w14:textId="53C621B6" w:rsidR="003A4C14" w:rsidRPr="0098262F" w:rsidRDefault="003A4C14" w:rsidP="003E4C55">
      <w:pPr>
        <w:pStyle w:val="Table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488"/>
        <w:gridCol w:w="784"/>
        <w:gridCol w:w="2667"/>
        <w:gridCol w:w="812"/>
        <w:gridCol w:w="812"/>
        <w:gridCol w:w="812"/>
        <w:gridCol w:w="812"/>
        <w:gridCol w:w="1830"/>
      </w:tblGrid>
      <w:tr w:rsidR="00BB375F" w:rsidRPr="007F6427" w14:paraId="21F8A4E8" w14:textId="77777777" w:rsidTr="007F6427">
        <w:trPr>
          <w:cantSplit/>
          <w:trHeight w:val="20"/>
        </w:trPr>
        <w:tc>
          <w:tcPr>
            <w:tcW w:w="2185" w:type="pct"/>
            <w:gridSpan w:val="3"/>
            <w:vAlign w:val="center"/>
          </w:tcPr>
          <w:p w14:paraId="7660353F" w14:textId="77777777" w:rsidR="00BB375F" w:rsidRPr="007F6427" w:rsidRDefault="00BB375F" w:rsidP="004171F4">
            <w:pPr>
              <w:keepLines/>
              <w:jc w:val="left"/>
              <w:rPr>
                <w:rFonts w:ascii="Arial Narrow" w:eastAsia="Calibri" w:hAnsi="Arial Narrow"/>
                <w:b/>
                <w:bCs/>
                <w:sz w:val="20"/>
                <w:szCs w:val="20"/>
                <w:lang w:eastAsia="en-US"/>
              </w:rPr>
            </w:pPr>
            <w:r w:rsidRPr="007F6427">
              <w:rPr>
                <w:rFonts w:ascii="Arial Narrow" w:eastAsia="Calibri" w:hAnsi="Arial Narrow"/>
                <w:b/>
                <w:bCs/>
                <w:sz w:val="20"/>
                <w:szCs w:val="20"/>
                <w:lang w:eastAsia="en-US"/>
              </w:rPr>
              <w:t>MEDICINAL PRODUCT</w:t>
            </w:r>
          </w:p>
          <w:p w14:paraId="63E7A400" w14:textId="77777777" w:rsidR="00BB375F" w:rsidRPr="007F6427" w:rsidRDefault="00BB375F" w:rsidP="004171F4">
            <w:pPr>
              <w:keepLines/>
              <w:jc w:val="left"/>
              <w:rPr>
                <w:rFonts w:ascii="Arial Narrow" w:eastAsia="Calibri" w:hAnsi="Arial Narrow"/>
                <w:b/>
                <w:sz w:val="20"/>
                <w:szCs w:val="20"/>
                <w:lang w:eastAsia="en-US"/>
              </w:rPr>
            </w:pPr>
            <w:r w:rsidRPr="007F6427">
              <w:rPr>
                <w:rFonts w:ascii="Arial Narrow" w:eastAsia="Calibri" w:hAnsi="Arial Narrow"/>
                <w:b/>
                <w:bCs/>
                <w:sz w:val="20"/>
                <w:szCs w:val="20"/>
                <w:lang w:eastAsia="en-US"/>
              </w:rPr>
              <w:t>medicinal product pack</w:t>
            </w:r>
          </w:p>
        </w:tc>
        <w:tc>
          <w:tcPr>
            <w:tcW w:w="450" w:type="pct"/>
            <w:vAlign w:val="center"/>
          </w:tcPr>
          <w:p w14:paraId="488B866A" w14:textId="77777777" w:rsidR="00BB375F" w:rsidRPr="007F6427" w:rsidRDefault="00BB375F" w:rsidP="004171F4">
            <w:pPr>
              <w:keepLines/>
              <w:jc w:val="center"/>
              <w:rPr>
                <w:rFonts w:ascii="Arial Narrow" w:eastAsia="Calibri" w:hAnsi="Arial Narrow"/>
                <w:b/>
                <w:sz w:val="20"/>
                <w:szCs w:val="20"/>
                <w:lang w:eastAsia="en-US"/>
              </w:rPr>
            </w:pPr>
            <w:r w:rsidRPr="007F6427">
              <w:rPr>
                <w:rFonts w:ascii="Arial Narrow" w:eastAsia="Calibri" w:hAnsi="Arial Narrow"/>
                <w:b/>
                <w:sz w:val="20"/>
                <w:szCs w:val="20"/>
                <w:lang w:eastAsia="en-US"/>
              </w:rPr>
              <w:t>PBS item code</w:t>
            </w:r>
          </w:p>
        </w:tc>
        <w:tc>
          <w:tcPr>
            <w:tcW w:w="450" w:type="pct"/>
            <w:vAlign w:val="center"/>
          </w:tcPr>
          <w:p w14:paraId="2BB0785C" w14:textId="77777777" w:rsidR="00BB375F" w:rsidRPr="007F6427" w:rsidRDefault="00BB375F" w:rsidP="004171F4">
            <w:pPr>
              <w:keepLines/>
              <w:jc w:val="center"/>
              <w:rPr>
                <w:rFonts w:ascii="Arial Narrow" w:eastAsia="Calibri" w:hAnsi="Arial Narrow"/>
                <w:b/>
                <w:sz w:val="20"/>
                <w:szCs w:val="20"/>
                <w:lang w:eastAsia="en-US"/>
              </w:rPr>
            </w:pPr>
            <w:r w:rsidRPr="007F6427">
              <w:rPr>
                <w:rFonts w:ascii="Arial Narrow" w:eastAsia="Calibri" w:hAnsi="Arial Narrow"/>
                <w:b/>
                <w:sz w:val="20"/>
                <w:szCs w:val="20"/>
                <w:lang w:eastAsia="en-US"/>
              </w:rPr>
              <w:t>Max. qty packs</w:t>
            </w:r>
          </w:p>
        </w:tc>
        <w:tc>
          <w:tcPr>
            <w:tcW w:w="450" w:type="pct"/>
            <w:vAlign w:val="center"/>
          </w:tcPr>
          <w:p w14:paraId="2C0631D2" w14:textId="77777777" w:rsidR="00BB375F" w:rsidRPr="007F6427" w:rsidRDefault="00BB375F" w:rsidP="004171F4">
            <w:pPr>
              <w:keepLines/>
              <w:jc w:val="center"/>
              <w:rPr>
                <w:rFonts w:ascii="Arial Narrow" w:eastAsia="Calibri" w:hAnsi="Arial Narrow"/>
                <w:b/>
                <w:sz w:val="20"/>
                <w:szCs w:val="20"/>
                <w:lang w:eastAsia="en-US"/>
              </w:rPr>
            </w:pPr>
            <w:r w:rsidRPr="007F6427">
              <w:rPr>
                <w:rFonts w:ascii="Arial Narrow" w:eastAsia="Calibri" w:hAnsi="Arial Narrow"/>
                <w:b/>
                <w:sz w:val="20"/>
                <w:szCs w:val="20"/>
                <w:lang w:eastAsia="en-US"/>
              </w:rPr>
              <w:t>Max. qty units</w:t>
            </w:r>
          </w:p>
        </w:tc>
        <w:tc>
          <w:tcPr>
            <w:tcW w:w="450" w:type="pct"/>
            <w:vAlign w:val="center"/>
          </w:tcPr>
          <w:p w14:paraId="04B21B50" w14:textId="77777777" w:rsidR="00BB375F" w:rsidRPr="007F6427" w:rsidRDefault="00BB375F" w:rsidP="004171F4">
            <w:pPr>
              <w:keepLines/>
              <w:jc w:val="center"/>
              <w:rPr>
                <w:rFonts w:ascii="Arial Narrow" w:eastAsia="Calibri" w:hAnsi="Arial Narrow"/>
                <w:b/>
                <w:sz w:val="20"/>
                <w:szCs w:val="20"/>
                <w:lang w:eastAsia="en-US"/>
              </w:rPr>
            </w:pPr>
            <w:r w:rsidRPr="007F6427">
              <w:rPr>
                <w:rFonts w:ascii="Arial Narrow" w:eastAsia="Calibri" w:hAnsi="Arial Narrow"/>
                <w:b/>
                <w:sz w:val="20"/>
                <w:szCs w:val="20"/>
                <w:lang w:eastAsia="en-US"/>
              </w:rPr>
              <w:t>№.of</w:t>
            </w:r>
          </w:p>
          <w:p w14:paraId="3FCE6D42" w14:textId="77777777" w:rsidR="00BB375F" w:rsidRPr="007F6427" w:rsidRDefault="00BB375F" w:rsidP="004171F4">
            <w:pPr>
              <w:keepLines/>
              <w:jc w:val="center"/>
              <w:rPr>
                <w:rFonts w:ascii="Arial Narrow" w:eastAsia="Calibri" w:hAnsi="Arial Narrow"/>
                <w:b/>
                <w:sz w:val="20"/>
                <w:szCs w:val="20"/>
                <w:lang w:eastAsia="en-US"/>
              </w:rPr>
            </w:pPr>
            <w:r w:rsidRPr="007F6427">
              <w:rPr>
                <w:rFonts w:ascii="Arial Narrow" w:eastAsia="Calibri" w:hAnsi="Arial Narrow"/>
                <w:b/>
                <w:sz w:val="20"/>
                <w:szCs w:val="20"/>
                <w:lang w:eastAsia="en-US"/>
              </w:rPr>
              <w:t>Rpts</w:t>
            </w:r>
          </w:p>
        </w:tc>
        <w:tc>
          <w:tcPr>
            <w:tcW w:w="1015" w:type="pct"/>
            <w:vAlign w:val="center"/>
          </w:tcPr>
          <w:p w14:paraId="6D42425C" w14:textId="77777777" w:rsidR="00BB375F" w:rsidRPr="007F6427" w:rsidRDefault="00BB375F" w:rsidP="004171F4">
            <w:pPr>
              <w:keepLines/>
              <w:jc w:val="left"/>
              <w:rPr>
                <w:rFonts w:ascii="Arial Narrow" w:eastAsia="Calibri" w:hAnsi="Arial Narrow"/>
                <w:b/>
                <w:sz w:val="20"/>
                <w:szCs w:val="20"/>
                <w:lang w:val="fr-FR" w:eastAsia="en-US"/>
              </w:rPr>
            </w:pPr>
            <w:r w:rsidRPr="007F6427">
              <w:rPr>
                <w:rFonts w:ascii="Arial Narrow" w:eastAsia="Calibri" w:hAnsi="Arial Narrow"/>
                <w:b/>
                <w:sz w:val="20"/>
                <w:szCs w:val="20"/>
                <w:lang w:eastAsia="en-US"/>
              </w:rPr>
              <w:t>Available brands</w:t>
            </w:r>
          </w:p>
        </w:tc>
      </w:tr>
      <w:tr w:rsidR="00BB375F" w:rsidRPr="007F6427" w14:paraId="22308E33" w14:textId="77777777" w:rsidTr="007F6427">
        <w:trPr>
          <w:cantSplit/>
          <w:trHeight w:val="20"/>
        </w:trPr>
        <w:tc>
          <w:tcPr>
            <w:tcW w:w="5000" w:type="pct"/>
            <w:gridSpan w:val="8"/>
            <w:vAlign w:val="center"/>
          </w:tcPr>
          <w:p w14:paraId="5ADB17E5" w14:textId="77777777" w:rsidR="00BB375F" w:rsidRPr="007F6427" w:rsidRDefault="00BB375F" w:rsidP="004171F4">
            <w:pPr>
              <w:keepLines/>
              <w:jc w:val="left"/>
              <w:rPr>
                <w:rFonts w:ascii="Arial Narrow" w:eastAsia="Calibri" w:hAnsi="Arial Narrow"/>
                <w:sz w:val="20"/>
                <w:szCs w:val="20"/>
                <w:lang w:eastAsia="en-US"/>
              </w:rPr>
            </w:pPr>
            <w:r w:rsidRPr="007F6427">
              <w:rPr>
                <w:rFonts w:ascii="Arial Narrow" w:eastAsia="Calibri" w:hAnsi="Arial Narrow"/>
                <w:sz w:val="20"/>
                <w:szCs w:val="20"/>
                <w:lang w:eastAsia="en-US"/>
              </w:rPr>
              <w:t>INCOBOTULINUMTOXINA</w:t>
            </w:r>
          </w:p>
        </w:tc>
      </w:tr>
      <w:tr w:rsidR="00BB375F" w:rsidRPr="007F6427" w14:paraId="62F444AE" w14:textId="77777777" w:rsidTr="007F6427">
        <w:trPr>
          <w:cantSplit/>
          <w:trHeight w:val="20"/>
        </w:trPr>
        <w:tc>
          <w:tcPr>
            <w:tcW w:w="2185" w:type="pct"/>
            <w:gridSpan w:val="3"/>
            <w:vAlign w:val="center"/>
          </w:tcPr>
          <w:p w14:paraId="3BCC047B" w14:textId="77777777" w:rsidR="00BB375F" w:rsidRPr="007F6427" w:rsidRDefault="00BB375F" w:rsidP="004171F4">
            <w:pPr>
              <w:keepLines/>
              <w:jc w:val="left"/>
              <w:rPr>
                <w:rFonts w:ascii="Arial Narrow" w:eastAsia="Calibri" w:hAnsi="Arial Narrow"/>
                <w:sz w:val="20"/>
                <w:szCs w:val="20"/>
                <w:lang w:eastAsia="en-US"/>
              </w:rPr>
            </w:pPr>
            <w:r w:rsidRPr="007F6427">
              <w:rPr>
                <w:rFonts w:ascii="Arial Narrow" w:eastAsia="Calibri" w:hAnsi="Arial Narrow"/>
                <w:sz w:val="20"/>
                <w:szCs w:val="20"/>
                <w:lang w:eastAsia="en-US"/>
              </w:rPr>
              <w:t xml:space="preserve">incobotulinumtoxinA 100 units injection, 1 vial </w:t>
            </w:r>
            <w:r w:rsidRPr="007F6427">
              <w:rPr>
                <w:rFonts w:ascii="Arial Narrow" w:eastAsia="Calibri" w:hAnsi="Arial Narrow"/>
                <w:strike/>
                <w:sz w:val="20"/>
                <w:szCs w:val="20"/>
                <w:lang w:eastAsia="en-US"/>
              </w:rPr>
              <w:t>powder for solution for injection</w:t>
            </w:r>
          </w:p>
        </w:tc>
        <w:tc>
          <w:tcPr>
            <w:tcW w:w="450" w:type="pct"/>
            <w:vAlign w:val="center"/>
          </w:tcPr>
          <w:p w14:paraId="1CD4C73D" w14:textId="77777777" w:rsidR="00BB375F" w:rsidRPr="007F6427" w:rsidRDefault="00BB375F" w:rsidP="004171F4">
            <w:pPr>
              <w:keepLines/>
              <w:jc w:val="center"/>
              <w:rPr>
                <w:rFonts w:ascii="Arial Narrow" w:eastAsia="Calibri" w:hAnsi="Arial Narrow"/>
                <w:sz w:val="20"/>
                <w:szCs w:val="20"/>
                <w:lang w:eastAsia="en-US"/>
              </w:rPr>
            </w:pPr>
            <w:r w:rsidRPr="007F6427">
              <w:rPr>
                <w:rFonts w:ascii="Arial Narrow" w:eastAsia="Calibri" w:hAnsi="Arial Narrow"/>
                <w:sz w:val="20"/>
                <w:szCs w:val="20"/>
                <w:lang w:eastAsia="en-US"/>
              </w:rPr>
              <w:t>NEW</w:t>
            </w:r>
          </w:p>
        </w:tc>
        <w:tc>
          <w:tcPr>
            <w:tcW w:w="450" w:type="pct"/>
            <w:vAlign w:val="center"/>
          </w:tcPr>
          <w:p w14:paraId="29EC3FDC" w14:textId="77777777" w:rsidR="00BB375F" w:rsidRPr="007F6427" w:rsidRDefault="00BB375F" w:rsidP="004171F4">
            <w:pPr>
              <w:keepLines/>
              <w:jc w:val="center"/>
              <w:rPr>
                <w:rFonts w:ascii="Arial Narrow" w:eastAsia="Calibri" w:hAnsi="Arial Narrow"/>
                <w:sz w:val="20"/>
                <w:szCs w:val="20"/>
                <w:lang w:eastAsia="en-US"/>
              </w:rPr>
            </w:pPr>
            <w:r w:rsidRPr="007F6427">
              <w:rPr>
                <w:rFonts w:ascii="Arial Narrow" w:eastAsia="Calibri" w:hAnsi="Arial Narrow"/>
                <w:sz w:val="20"/>
                <w:szCs w:val="20"/>
                <w:lang w:eastAsia="en-US"/>
              </w:rPr>
              <w:t>4</w:t>
            </w:r>
          </w:p>
        </w:tc>
        <w:tc>
          <w:tcPr>
            <w:tcW w:w="450" w:type="pct"/>
            <w:vAlign w:val="center"/>
          </w:tcPr>
          <w:p w14:paraId="675AA673" w14:textId="77777777" w:rsidR="00BB375F" w:rsidRPr="007F6427" w:rsidRDefault="00BB375F" w:rsidP="004171F4">
            <w:pPr>
              <w:keepLines/>
              <w:jc w:val="center"/>
              <w:rPr>
                <w:rFonts w:ascii="Arial Narrow" w:eastAsia="Calibri" w:hAnsi="Arial Narrow"/>
                <w:sz w:val="20"/>
                <w:szCs w:val="20"/>
                <w:lang w:eastAsia="en-US"/>
              </w:rPr>
            </w:pPr>
            <w:r w:rsidRPr="007F6427">
              <w:rPr>
                <w:rFonts w:ascii="Arial Narrow" w:eastAsia="Calibri" w:hAnsi="Arial Narrow"/>
                <w:sz w:val="20"/>
                <w:szCs w:val="20"/>
                <w:lang w:eastAsia="en-US"/>
              </w:rPr>
              <w:t>4</w:t>
            </w:r>
          </w:p>
        </w:tc>
        <w:tc>
          <w:tcPr>
            <w:tcW w:w="450" w:type="pct"/>
            <w:vAlign w:val="center"/>
          </w:tcPr>
          <w:p w14:paraId="1BB06737" w14:textId="77777777" w:rsidR="00BB375F" w:rsidRPr="007F6427" w:rsidRDefault="00BB375F" w:rsidP="004171F4">
            <w:pPr>
              <w:keepLines/>
              <w:jc w:val="center"/>
              <w:rPr>
                <w:rFonts w:ascii="Arial Narrow" w:eastAsia="Calibri" w:hAnsi="Arial Narrow"/>
                <w:sz w:val="20"/>
                <w:szCs w:val="20"/>
                <w:lang w:eastAsia="en-US"/>
              </w:rPr>
            </w:pPr>
            <w:r w:rsidRPr="007F6427">
              <w:rPr>
                <w:rFonts w:ascii="Arial Narrow" w:eastAsia="Calibri" w:hAnsi="Arial Narrow"/>
                <w:sz w:val="20"/>
                <w:szCs w:val="20"/>
                <w:lang w:eastAsia="en-US"/>
              </w:rPr>
              <w:t>0</w:t>
            </w:r>
          </w:p>
        </w:tc>
        <w:tc>
          <w:tcPr>
            <w:tcW w:w="1015" w:type="pct"/>
            <w:vAlign w:val="center"/>
          </w:tcPr>
          <w:p w14:paraId="59746FDD" w14:textId="77777777" w:rsidR="00BB375F" w:rsidRPr="007F6427" w:rsidRDefault="00BB375F" w:rsidP="004171F4">
            <w:pPr>
              <w:keepLines/>
              <w:jc w:val="left"/>
              <w:rPr>
                <w:rFonts w:ascii="Arial Narrow" w:eastAsia="Calibri" w:hAnsi="Arial Narrow"/>
                <w:sz w:val="20"/>
                <w:szCs w:val="20"/>
                <w:lang w:eastAsia="en-US"/>
              </w:rPr>
            </w:pPr>
            <w:r w:rsidRPr="007F6427">
              <w:rPr>
                <w:rFonts w:ascii="Arial Narrow" w:eastAsia="Calibri" w:hAnsi="Arial Narrow"/>
                <w:sz w:val="20"/>
                <w:szCs w:val="20"/>
                <w:lang w:eastAsia="en-US"/>
              </w:rPr>
              <w:t>Xeomin</w:t>
            </w:r>
          </w:p>
        </w:tc>
      </w:tr>
      <w:tr w:rsidR="00BB375F" w:rsidRPr="007F6427" w14:paraId="04529668" w14:textId="77777777" w:rsidTr="007F6427">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FFBA76B" w14:textId="77777777" w:rsidR="00BB375F" w:rsidRPr="007F6427" w:rsidRDefault="00BB375F" w:rsidP="004171F4">
            <w:pPr>
              <w:jc w:val="left"/>
              <w:rPr>
                <w:rFonts w:ascii="Arial Narrow" w:eastAsia="Calibri" w:hAnsi="Arial Narrow"/>
                <w:sz w:val="20"/>
                <w:szCs w:val="20"/>
                <w:lang w:eastAsia="en-US"/>
              </w:rPr>
            </w:pPr>
          </w:p>
        </w:tc>
      </w:tr>
      <w:tr w:rsidR="00BB375F" w:rsidRPr="007F6427" w14:paraId="6DF72A16" w14:textId="77777777" w:rsidTr="007F6427">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F60C1C9" w14:textId="286B11D3" w:rsidR="00BB375F" w:rsidRPr="007F6427" w:rsidRDefault="00BB375F" w:rsidP="004171F4">
            <w:pPr>
              <w:keepLines/>
              <w:jc w:val="left"/>
              <w:rPr>
                <w:rFonts w:ascii="Arial Narrow" w:eastAsia="Calibri" w:hAnsi="Arial Narrow"/>
                <w:b/>
                <w:sz w:val="20"/>
                <w:szCs w:val="20"/>
                <w:lang w:eastAsia="en-US"/>
              </w:rPr>
            </w:pPr>
          </w:p>
        </w:tc>
      </w:tr>
      <w:tr w:rsidR="00BB375F" w:rsidRPr="007F6427" w14:paraId="422E6968" w14:textId="77777777" w:rsidTr="007F6427">
        <w:tblPrEx>
          <w:tblCellMar>
            <w:top w:w="15" w:type="dxa"/>
            <w:bottom w:w="15" w:type="dxa"/>
          </w:tblCellMar>
          <w:tblLook w:val="04A0" w:firstRow="1" w:lastRow="0" w:firstColumn="1" w:lastColumn="0" w:noHBand="0" w:noVBand="1"/>
        </w:tblPrEx>
        <w:trPr>
          <w:trHeight w:val="20"/>
        </w:trPr>
        <w:tc>
          <w:tcPr>
            <w:tcW w:w="705" w:type="pct"/>
            <w:gridSpan w:val="2"/>
            <w:vMerge w:val="restart"/>
            <w:tcBorders>
              <w:top w:val="single" w:sz="4" w:space="0" w:color="auto"/>
              <w:left w:val="single" w:sz="4" w:space="0" w:color="auto"/>
              <w:right w:val="single" w:sz="4" w:space="0" w:color="auto"/>
            </w:tcBorders>
          </w:tcPr>
          <w:p w14:paraId="3E1687C0" w14:textId="4963A080" w:rsidR="00BB375F" w:rsidRPr="007F6427" w:rsidRDefault="00BB375F" w:rsidP="004171F4">
            <w:pPr>
              <w:jc w:val="center"/>
              <w:rPr>
                <w:rFonts w:ascii="Arial Narrow" w:eastAsia="Calibri" w:hAnsi="Arial Narrow"/>
                <w:b/>
                <w:sz w:val="20"/>
                <w:szCs w:val="20"/>
                <w:lang w:eastAsia="en-US"/>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162B109" w14:textId="77777777" w:rsidR="00BB375F" w:rsidRPr="007F6427" w:rsidRDefault="00BB375F" w:rsidP="004171F4">
            <w:pPr>
              <w:keepLines/>
              <w:jc w:val="left"/>
              <w:rPr>
                <w:rFonts w:ascii="Arial Narrow" w:eastAsia="Calibri" w:hAnsi="Arial Narrow"/>
                <w:sz w:val="20"/>
                <w:szCs w:val="20"/>
                <w:lang w:eastAsia="en-US"/>
              </w:rPr>
            </w:pPr>
            <w:r w:rsidRPr="007F6427">
              <w:rPr>
                <w:rFonts w:ascii="Arial Narrow" w:eastAsia="Calibri" w:hAnsi="Arial Narrow"/>
                <w:b/>
                <w:sz w:val="20"/>
                <w:szCs w:val="20"/>
                <w:lang w:eastAsia="en-US"/>
              </w:rPr>
              <w:t>Category / Program:</w:t>
            </w:r>
            <w:r w:rsidRPr="007F6427">
              <w:rPr>
                <w:rFonts w:ascii="Arial Narrow" w:eastAsia="Calibri" w:hAnsi="Arial Narrow"/>
                <w:color w:val="FF0000"/>
                <w:sz w:val="20"/>
                <w:szCs w:val="20"/>
                <w:lang w:eastAsia="en-US"/>
              </w:rPr>
              <w:t xml:space="preserve"> </w:t>
            </w:r>
            <w:r w:rsidRPr="007F6427">
              <w:rPr>
                <w:rFonts w:ascii="Arial Narrow" w:eastAsia="Calibri" w:hAnsi="Arial Narrow"/>
                <w:sz w:val="20"/>
                <w:szCs w:val="20"/>
                <w:lang w:eastAsia="en-US"/>
              </w:rPr>
              <w:fldChar w:fldCharType="begin">
                <w:ffData>
                  <w:name w:val=""/>
                  <w:enabled/>
                  <w:calcOnExit w:val="0"/>
                  <w:checkBox>
                    <w:sizeAuto/>
                    <w:default w:val="1"/>
                  </w:checkBox>
                </w:ffData>
              </w:fldChar>
            </w:r>
            <w:r w:rsidRPr="007F6427">
              <w:rPr>
                <w:rFonts w:ascii="Arial Narrow" w:eastAsia="Calibri" w:hAnsi="Arial Narrow"/>
                <w:sz w:val="20"/>
                <w:szCs w:val="20"/>
                <w:lang w:eastAsia="en-US"/>
              </w:rPr>
              <w:instrText xml:space="preserve"> FORMCHECKBOX </w:instrText>
            </w:r>
            <w:r w:rsidRPr="007F6427">
              <w:rPr>
                <w:rFonts w:ascii="Arial Narrow" w:eastAsia="Calibri" w:hAnsi="Arial Narrow"/>
                <w:sz w:val="20"/>
                <w:szCs w:val="20"/>
                <w:lang w:eastAsia="en-US"/>
              </w:rPr>
            </w:r>
            <w:r w:rsidRPr="007F6427">
              <w:rPr>
                <w:rFonts w:ascii="Arial Narrow" w:eastAsia="Calibri" w:hAnsi="Arial Narrow"/>
                <w:sz w:val="20"/>
                <w:szCs w:val="20"/>
                <w:lang w:eastAsia="en-US"/>
              </w:rPr>
              <w:fldChar w:fldCharType="separate"/>
            </w:r>
            <w:r w:rsidRPr="007F6427">
              <w:rPr>
                <w:rFonts w:ascii="Arial Narrow" w:eastAsia="Calibri" w:hAnsi="Arial Narrow"/>
                <w:sz w:val="20"/>
                <w:szCs w:val="20"/>
                <w:lang w:eastAsia="en-US"/>
              </w:rPr>
              <w:fldChar w:fldCharType="end"/>
            </w:r>
            <w:r w:rsidRPr="007F6427">
              <w:rPr>
                <w:rFonts w:ascii="Arial Narrow" w:eastAsia="Calibri" w:hAnsi="Arial Narrow"/>
                <w:sz w:val="20"/>
                <w:szCs w:val="20"/>
                <w:lang w:eastAsia="en-US"/>
              </w:rPr>
              <w:t xml:space="preserve"> Section 100 – Botulinum Toxin Program (Code MF)</w:t>
            </w:r>
          </w:p>
        </w:tc>
      </w:tr>
      <w:tr w:rsidR="00BB375F" w:rsidRPr="007F6427" w14:paraId="76A47AEB" w14:textId="77777777" w:rsidTr="007F6427">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098E8B09" w14:textId="77777777" w:rsidR="00BB375F" w:rsidRPr="007F6427" w:rsidRDefault="00BB375F" w:rsidP="004171F4">
            <w:pPr>
              <w:rPr>
                <w:rFonts w:ascii="Arial Narrow" w:eastAsia="Calibri" w:hAnsi="Arial Narrow"/>
                <w:sz w:val="20"/>
                <w:szCs w:val="20"/>
                <w:lang w:eastAsia="en-US"/>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C788574" w14:textId="6BC12E5F" w:rsidR="00BB375F" w:rsidRPr="007F6427" w:rsidRDefault="00BB375F" w:rsidP="004171F4">
            <w:pPr>
              <w:keepLines/>
              <w:rPr>
                <w:rFonts w:ascii="Arial Narrow" w:eastAsia="Calibri" w:hAnsi="Arial Narrow"/>
                <w:b/>
                <w:sz w:val="20"/>
                <w:szCs w:val="20"/>
                <w:lang w:eastAsia="en-US"/>
              </w:rPr>
            </w:pPr>
            <w:r w:rsidRPr="007F6427">
              <w:rPr>
                <w:rFonts w:ascii="Arial Narrow" w:eastAsia="Calibri" w:hAnsi="Arial Narrow"/>
                <w:b/>
                <w:sz w:val="20"/>
                <w:szCs w:val="20"/>
                <w:lang w:eastAsia="en-US"/>
              </w:rPr>
              <w:t xml:space="preserve">Prescriber type: </w:t>
            </w:r>
            <w:r w:rsidRPr="007F6427">
              <w:rPr>
                <w:rFonts w:ascii="Arial Narrow" w:eastAsia="Calibri" w:hAnsi="Arial Narrow"/>
                <w:sz w:val="20"/>
                <w:szCs w:val="20"/>
                <w:lang w:eastAsia="en-US"/>
              </w:rPr>
              <w:fldChar w:fldCharType="begin">
                <w:ffData>
                  <w:name w:val=""/>
                  <w:enabled/>
                  <w:calcOnExit w:val="0"/>
                  <w:checkBox>
                    <w:sizeAuto/>
                    <w:default w:val="1"/>
                  </w:checkBox>
                </w:ffData>
              </w:fldChar>
            </w:r>
            <w:r w:rsidRPr="007F6427">
              <w:rPr>
                <w:rFonts w:ascii="Arial Narrow" w:eastAsia="Calibri" w:hAnsi="Arial Narrow"/>
                <w:sz w:val="20"/>
                <w:szCs w:val="20"/>
                <w:lang w:eastAsia="en-US"/>
              </w:rPr>
              <w:instrText xml:space="preserve"> FORMCHECKBOX </w:instrText>
            </w:r>
            <w:r w:rsidRPr="007F6427">
              <w:rPr>
                <w:rFonts w:ascii="Arial Narrow" w:eastAsia="Calibri" w:hAnsi="Arial Narrow"/>
                <w:sz w:val="20"/>
                <w:szCs w:val="20"/>
                <w:lang w:eastAsia="en-US"/>
              </w:rPr>
            </w:r>
            <w:r w:rsidRPr="007F6427">
              <w:rPr>
                <w:rFonts w:ascii="Arial Narrow" w:eastAsia="Calibri" w:hAnsi="Arial Narrow"/>
                <w:sz w:val="20"/>
                <w:szCs w:val="20"/>
                <w:lang w:eastAsia="en-US"/>
              </w:rPr>
              <w:fldChar w:fldCharType="separate"/>
            </w:r>
            <w:r w:rsidRPr="007F6427">
              <w:rPr>
                <w:rFonts w:ascii="Arial Narrow" w:eastAsia="Calibri" w:hAnsi="Arial Narrow"/>
                <w:sz w:val="20"/>
                <w:szCs w:val="20"/>
                <w:lang w:eastAsia="en-US"/>
              </w:rPr>
              <w:fldChar w:fldCharType="end"/>
            </w:r>
            <w:r w:rsidR="007F6427">
              <w:rPr>
                <w:rFonts w:ascii="Arial Narrow" w:eastAsia="Calibri" w:hAnsi="Arial Narrow"/>
                <w:sz w:val="20"/>
                <w:szCs w:val="20"/>
                <w:lang w:eastAsia="en-US"/>
              </w:rPr>
              <w:t xml:space="preserve"> </w:t>
            </w:r>
            <w:r w:rsidRPr="007F6427">
              <w:rPr>
                <w:rFonts w:ascii="Arial Narrow" w:eastAsia="Calibri" w:hAnsi="Arial Narrow"/>
                <w:sz w:val="20"/>
                <w:szCs w:val="20"/>
                <w:lang w:eastAsia="en-US"/>
              </w:rPr>
              <w:t>Medical Practitioners</w:t>
            </w:r>
          </w:p>
        </w:tc>
      </w:tr>
      <w:tr w:rsidR="00BB375F" w:rsidRPr="007F6427" w14:paraId="11947382" w14:textId="77777777" w:rsidTr="007F6427">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1F0C8A06" w14:textId="77777777" w:rsidR="00BB375F" w:rsidRPr="007F6427" w:rsidRDefault="00BB375F" w:rsidP="004171F4">
            <w:pPr>
              <w:rPr>
                <w:rFonts w:ascii="Arial Narrow" w:eastAsia="Calibri" w:hAnsi="Arial Narrow"/>
                <w:sz w:val="20"/>
                <w:szCs w:val="20"/>
                <w:lang w:eastAsia="en-US"/>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F17DD60" w14:textId="6D1CDFE8" w:rsidR="00BB375F" w:rsidRPr="007F6427" w:rsidRDefault="00BB375F" w:rsidP="004171F4">
            <w:pPr>
              <w:keepLines/>
              <w:jc w:val="left"/>
              <w:rPr>
                <w:rFonts w:ascii="Arial Narrow" w:eastAsia="Calibri" w:hAnsi="Arial Narrow"/>
                <w:b/>
                <w:sz w:val="20"/>
                <w:szCs w:val="20"/>
                <w:lang w:eastAsia="en-US"/>
              </w:rPr>
            </w:pPr>
            <w:r w:rsidRPr="007F6427">
              <w:rPr>
                <w:rFonts w:ascii="Arial Narrow" w:eastAsia="Calibri" w:hAnsi="Arial Narrow"/>
                <w:b/>
                <w:sz w:val="20"/>
                <w:szCs w:val="20"/>
                <w:lang w:eastAsia="en-US"/>
              </w:rPr>
              <w:t xml:space="preserve">Restriction type: </w:t>
            </w:r>
            <w:r w:rsidRPr="007F6427">
              <w:rPr>
                <w:rFonts w:ascii="Arial Narrow" w:eastAsia="Calibri" w:hAnsi="Arial Narrow"/>
                <w:sz w:val="20"/>
                <w:szCs w:val="20"/>
                <w:lang w:eastAsia="en-US"/>
              </w:rPr>
              <w:fldChar w:fldCharType="begin">
                <w:ffData>
                  <w:name w:val=""/>
                  <w:enabled/>
                  <w:calcOnExit w:val="0"/>
                  <w:checkBox>
                    <w:sizeAuto/>
                    <w:default w:val="1"/>
                  </w:checkBox>
                </w:ffData>
              </w:fldChar>
            </w:r>
            <w:r w:rsidRPr="007F6427">
              <w:rPr>
                <w:rFonts w:ascii="Arial Narrow" w:eastAsia="Calibri" w:hAnsi="Arial Narrow"/>
                <w:sz w:val="20"/>
                <w:szCs w:val="20"/>
                <w:lang w:eastAsia="en-US"/>
              </w:rPr>
              <w:instrText xml:space="preserve"> FORMCHECKBOX </w:instrText>
            </w:r>
            <w:r w:rsidRPr="007F6427">
              <w:rPr>
                <w:rFonts w:ascii="Arial Narrow" w:eastAsia="Calibri" w:hAnsi="Arial Narrow"/>
                <w:sz w:val="20"/>
                <w:szCs w:val="20"/>
                <w:lang w:eastAsia="en-US"/>
              </w:rPr>
            </w:r>
            <w:r w:rsidRPr="007F6427">
              <w:rPr>
                <w:rFonts w:ascii="Arial Narrow" w:eastAsia="Calibri" w:hAnsi="Arial Narrow"/>
                <w:sz w:val="20"/>
                <w:szCs w:val="20"/>
                <w:lang w:eastAsia="en-US"/>
              </w:rPr>
              <w:fldChar w:fldCharType="separate"/>
            </w:r>
            <w:r w:rsidRPr="007F6427">
              <w:rPr>
                <w:rFonts w:ascii="Arial Narrow" w:eastAsia="Calibri" w:hAnsi="Arial Narrow"/>
                <w:sz w:val="20"/>
                <w:szCs w:val="20"/>
                <w:lang w:eastAsia="en-US"/>
              </w:rPr>
              <w:fldChar w:fldCharType="end"/>
            </w:r>
            <w:r w:rsidR="007F6427">
              <w:rPr>
                <w:rFonts w:ascii="Arial Narrow" w:eastAsia="Calibri" w:hAnsi="Arial Narrow"/>
                <w:sz w:val="20"/>
                <w:szCs w:val="20"/>
                <w:lang w:eastAsia="en-US"/>
              </w:rPr>
              <w:t xml:space="preserve"> </w:t>
            </w:r>
            <w:r w:rsidRPr="007F6427">
              <w:rPr>
                <w:rFonts w:ascii="Arial Narrow" w:eastAsia="Calibri" w:hAnsi="Arial Narrow"/>
                <w:sz w:val="20"/>
                <w:szCs w:val="20"/>
                <w:lang w:eastAsia="en-US"/>
              </w:rPr>
              <w:t xml:space="preserve">Authority Required (Streamlined) [new/existing code] </w:t>
            </w:r>
          </w:p>
        </w:tc>
      </w:tr>
      <w:tr w:rsidR="00BB375F" w:rsidRPr="007F6427" w14:paraId="56618107" w14:textId="77777777" w:rsidTr="007F6427">
        <w:tblPrEx>
          <w:tblCellMar>
            <w:top w:w="15" w:type="dxa"/>
            <w:bottom w:w="15" w:type="dxa"/>
          </w:tblCellMar>
          <w:tblLook w:val="04A0" w:firstRow="1" w:lastRow="0" w:firstColumn="1" w:lastColumn="0" w:noHBand="0" w:noVBand="1"/>
        </w:tblPrEx>
        <w:trPr>
          <w:trHeight w:val="20"/>
        </w:trPr>
        <w:tc>
          <w:tcPr>
            <w:tcW w:w="271" w:type="pct"/>
            <w:vMerge w:val="restart"/>
            <w:tcBorders>
              <w:left w:val="single" w:sz="4" w:space="0" w:color="auto"/>
              <w:right w:val="single" w:sz="4" w:space="0" w:color="auto"/>
            </w:tcBorders>
            <w:textDirection w:val="btLr"/>
            <w:vAlign w:val="center"/>
          </w:tcPr>
          <w:p w14:paraId="07200E95" w14:textId="2E978DD1" w:rsidR="00BB375F" w:rsidRPr="007F6427" w:rsidRDefault="00BB375F" w:rsidP="004171F4">
            <w:pPr>
              <w:jc w:val="center"/>
              <w:rPr>
                <w:rFonts w:ascii="Arial Narrow" w:eastAsia="Calibri" w:hAnsi="Arial Narrow"/>
                <w:color w:val="000000"/>
                <w:sz w:val="20"/>
                <w:szCs w:val="20"/>
                <w:lang w:eastAsia="en-US"/>
              </w:rPr>
            </w:pPr>
          </w:p>
        </w:tc>
        <w:tc>
          <w:tcPr>
            <w:tcW w:w="435" w:type="pct"/>
            <w:vAlign w:val="center"/>
          </w:tcPr>
          <w:p w14:paraId="73DC2120" w14:textId="54D3C79A"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5EEFAEE7" w14:textId="77777777" w:rsidR="00BB375F" w:rsidRPr="007F6427" w:rsidRDefault="00BB375F" w:rsidP="004171F4">
            <w:pPr>
              <w:jc w:val="left"/>
              <w:rPr>
                <w:rFonts w:ascii="Arial Narrow" w:hAnsi="Arial Narrow" w:cs="Times New Roman"/>
                <w:bCs/>
                <w:color w:val="000000"/>
                <w:sz w:val="20"/>
                <w:szCs w:val="20"/>
              </w:rPr>
            </w:pPr>
            <w:r w:rsidRPr="007F6427">
              <w:rPr>
                <w:rFonts w:ascii="Arial Narrow" w:hAnsi="Arial Narrow" w:cs="Times New Roman"/>
                <w:b/>
                <w:bCs/>
                <w:color w:val="000000"/>
                <w:sz w:val="20"/>
                <w:szCs w:val="20"/>
              </w:rPr>
              <w:t xml:space="preserve">Administrative Advice: </w:t>
            </w:r>
          </w:p>
          <w:p w14:paraId="2C15AB83"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i/>
                <w:iCs/>
                <w:color w:val="000000"/>
                <w:sz w:val="20"/>
                <w:szCs w:val="20"/>
              </w:rPr>
              <w:lastRenderedPageBreak/>
              <w:t xml:space="preserve">The units used to express the potency of botulinum toxin preparations currently available for PBS subsidy are not equivalent. </w:t>
            </w:r>
          </w:p>
        </w:tc>
      </w:tr>
      <w:tr w:rsidR="00BB375F" w:rsidRPr="007F6427" w14:paraId="6506EF56" w14:textId="77777777" w:rsidTr="007F6427">
        <w:tblPrEx>
          <w:tblCellMar>
            <w:top w:w="15" w:type="dxa"/>
            <w:bottom w:w="15" w:type="dxa"/>
          </w:tblCellMar>
          <w:tblLook w:val="04A0" w:firstRow="1" w:lastRow="0" w:firstColumn="1" w:lastColumn="0" w:noHBand="0" w:noVBand="1"/>
        </w:tblPrEx>
        <w:trPr>
          <w:trHeight w:val="20"/>
        </w:trPr>
        <w:tc>
          <w:tcPr>
            <w:tcW w:w="271" w:type="pct"/>
            <w:vMerge/>
            <w:tcBorders>
              <w:left w:val="single" w:sz="4" w:space="0" w:color="auto"/>
              <w:right w:val="single" w:sz="4" w:space="0" w:color="auto"/>
            </w:tcBorders>
          </w:tcPr>
          <w:p w14:paraId="759FCB79" w14:textId="77777777" w:rsidR="00BB375F" w:rsidRPr="007F6427" w:rsidRDefault="00BB375F" w:rsidP="004171F4">
            <w:pPr>
              <w:rPr>
                <w:rFonts w:ascii="Arial Narrow" w:eastAsia="Calibri" w:hAnsi="Arial Narrow"/>
                <w:color w:val="000000"/>
                <w:sz w:val="20"/>
                <w:szCs w:val="20"/>
                <w:lang w:eastAsia="en-US"/>
              </w:rPr>
            </w:pPr>
          </w:p>
        </w:tc>
        <w:tc>
          <w:tcPr>
            <w:tcW w:w="435" w:type="pct"/>
            <w:vAlign w:val="center"/>
          </w:tcPr>
          <w:p w14:paraId="0E4DCA4F" w14:textId="670C4788"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5956FB29" w14:textId="77777777" w:rsidR="00BB375F" w:rsidRPr="007F6427" w:rsidRDefault="00BB375F" w:rsidP="004171F4">
            <w:pPr>
              <w:jc w:val="left"/>
              <w:rPr>
                <w:rFonts w:ascii="Arial Narrow" w:hAnsi="Arial Narrow" w:cs="Times New Roman"/>
                <w:b/>
                <w:bCs/>
                <w:color w:val="000000"/>
                <w:sz w:val="20"/>
                <w:szCs w:val="20"/>
              </w:rPr>
            </w:pPr>
            <w:r w:rsidRPr="007F6427">
              <w:rPr>
                <w:rFonts w:ascii="Arial Narrow" w:hAnsi="Arial Narrow" w:cs="Times New Roman"/>
                <w:b/>
                <w:bCs/>
                <w:color w:val="000000"/>
                <w:sz w:val="20"/>
                <w:szCs w:val="20"/>
              </w:rPr>
              <w:t>Caution:</w:t>
            </w:r>
          </w:p>
          <w:p w14:paraId="78EE3227" w14:textId="77777777" w:rsidR="00BB375F" w:rsidRPr="007F6427" w:rsidRDefault="00BB375F" w:rsidP="004171F4">
            <w:pPr>
              <w:jc w:val="left"/>
              <w:rPr>
                <w:rFonts w:ascii="Arial Narrow" w:hAnsi="Arial Narrow" w:cs="Times New Roman"/>
                <w:b/>
                <w:bCs/>
                <w:color w:val="000000"/>
                <w:sz w:val="20"/>
                <w:szCs w:val="20"/>
              </w:rPr>
            </w:pPr>
            <w:r w:rsidRPr="007F6427">
              <w:rPr>
                <w:rFonts w:ascii="Arial Narrow" w:hAnsi="Arial Narrow" w:cs="Times New Roman"/>
                <w:i/>
                <w:iCs/>
                <w:color w:val="000000"/>
                <w:sz w:val="20"/>
                <w:szCs w:val="20"/>
              </w:rPr>
              <w:t>Contraindications to treatment include known sensitivity to botulinum toxin.</w:t>
            </w:r>
          </w:p>
        </w:tc>
      </w:tr>
      <w:tr w:rsidR="00BB375F" w:rsidRPr="007F6427" w14:paraId="77536015" w14:textId="77777777" w:rsidTr="007F6427">
        <w:tblPrEx>
          <w:tblCellMar>
            <w:top w:w="15" w:type="dxa"/>
            <w:bottom w:w="15" w:type="dxa"/>
          </w:tblCellMar>
          <w:tblLook w:val="04A0" w:firstRow="1" w:lastRow="0" w:firstColumn="1" w:lastColumn="0" w:noHBand="0" w:noVBand="1"/>
        </w:tblPrEx>
        <w:trPr>
          <w:trHeight w:val="20"/>
        </w:trPr>
        <w:tc>
          <w:tcPr>
            <w:tcW w:w="271" w:type="pct"/>
            <w:vMerge/>
            <w:tcBorders>
              <w:left w:val="single" w:sz="4" w:space="0" w:color="auto"/>
              <w:bottom w:val="single" w:sz="4" w:space="0" w:color="auto"/>
              <w:right w:val="single" w:sz="4" w:space="0" w:color="auto"/>
            </w:tcBorders>
          </w:tcPr>
          <w:p w14:paraId="5618A91B" w14:textId="77777777" w:rsidR="00BB375F" w:rsidRPr="007F6427" w:rsidRDefault="00BB375F" w:rsidP="004171F4">
            <w:pPr>
              <w:rPr>
                <w:rFonts w:ascii="Arial Narrow" w:eastAsia="Calibri" w:hAnsi="Arial Narrow"/>
                <w:color w:val="000000"/>
                <w:sz w:val="20"/>
                <w:szCs w:val="20"/>
                <w:lang w:eastAsia="en-US"/>
              </w:rPr>
            </w:pPr>
          </w:p>
        </w:tc>
        <w:tc>
          <w:tcPr>
            <w:tcW w:w="435" w:type="pct"/>
            <w:vAlign w:val="center"/>
          </w:tcPr>
          <w:p w14:paraId="0B1C5C1C" w14:textId="10F05345"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5A0655D8" w14:textId="77777777" w:rsidR="00BB375F" w:rsidRPr="007F6427" w:rsidRDefault="00BB375F" w:rsidP="004171F4">
            <w:pPr>
              <w:jc w:val="left"/>
              <w:rPr>
                <w:rFonts w:ascii="Arial Narrow" w:hAnsi="Arial Narrow" w:cs="Times New Roman"/>
                <w:b/>
                <w:bCs/>
                <w:color w:val="000000"/>
                <w:sz w:val="20"/>
                <w:szCs w:val="20"/>
              </w:rPr>
            </w:pPr>
            <w:r w:rsidRPr="007F6427">
              <w:rPr>
                <w:rFonts w:ascii="Arial Narrow" w:hAnsi="Arial Narrow" w:cs="Times New Roman"/>
                <w:b/>
                <w:bCs/>
                <w:color w:val="000000"/>
                <w:sz w:val="20"/>
                <w:szCs w:val="20"/>
              </w:rPr>
              <w:t>Administrative Advice:</w:t>
            </w:r>
          </w:p>
          <w:p w14:paraId="401817BC" w14:textId="77777777" w:rsidR="00BB375F" w:rsidRPr="007F6427" w:rsidRDefault="00BB375F" w:rsidP="004171F4">
            <w:pPr>
              <w:jc w:val="left"/>
              <w:rPr>
                <w:rFonts w:ascii="Arial Narrow" w:hAnsi="Arial Narrow" w:cs="Times New Roman"/>
                <w:i/>
                <w:iCs/>
                <w:color w:val="000000"/>
                <w:sz w:val="20"/>
                <w:szCs w:val="20"/>
              </w:rPr>
            </w:pPr>
            <w:r w:rsidRPr="007F6427">
              <w:rPr>
                <w:rFonts w:ascii="Arial Narrow" w:hAnsi="Arial Narrow" w:cs="Times New Roman"/>
                <w:i/>
                <w:iCs/>
                <w:color w:val="000000"/>
                <w:sz w:val="20"/>
                <w:szCs w:val="20"/>
              </w:rPr>
              <w:t xml:space="preserve">Special Pricing Arrangements apply. </w:t>
            </w:r>
          </w:p>
        </w:tc>
      </w:tr>
      <w:tr w:rsidR="00BB375F" w:rsidRPr="007F6427" w14:paraId="545E1672" w14:textId="77777777" w:rsidTr="005F1F9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49A0F32" w14:textId="7FA4194F" w:rsidR="00BB375F" w:rsidRPr="007F6427" w:rsidRDefault="00BB375F" w:rsidP="004171F4">
            <w:pPr>
              <w:keepLines/>
              <w:jc w:val="center"/>
              <w:rPr>
                <w:rFonts w:ascii="Arial Narrow" w:hAnsi="Arial Narrow" w:cs="Times New Roman"/>
                <w:color w:val="000000"/>
                <w:sz w:val="20"/>
                <w:szCs w:val="20"/>
              </w:rPr>
            </w:pPr>
          </w:p>
        </w:tc>
        <w:tc>
          <w:tcPr>
            <w:tcW w:w="4295" w:type="pct"/>
            <w:gridSpan w:val="6"/>
            <w:vAlign w:val="center"/>
            <w:hideMark/>
          </w:tcPr>
          <w:p w14:paraId="3545DDE3" w14:textId="77777777" w:rsidR="00BB375F" w:rsidRPr="007F6427" w:rsidRDefault="00BB375F" w:rsidP="004171F4">
            <w:pPr>
              <w:keepLines/>
              <w:jc w:val="left"/>
              <w:rPr>
                <w:rFonts w:ascii="Arial Narrow" w:hAnsi="Arial Narrow" w:cs="Times New Roman"/>
                <w:color w:val="000000"/>
                <w:sz w:val="20"/>
                <w:szCs w:val="20"/>
              </w:rPr>
            </w:pPr>
            <w:r w:rsidRPr="007F6427">
              <w:rPr>
                <w:rFonts w:ascii="Arial Narrow" w:hAnsi="Arial Narrow" w:cs="Times New Roman"/>
                <w:b/>
                <w:bCs/>
                <w:color w:val="000000"/>
                <w:sz w:val="20"/>
                <w:szCs w:val="20"/>
              </w:rPr>
              <w:t>Indication:</w:t>
            </w:r>
            <w:r w:rsidRPr="007F6427">
              <w:rPr>
                <w:rFonts w:ascii="Arial Narrow" w:hAnsi="Arial Narrow" w:cs="Times New Roman"/>
                <w:color w:val="000000"/>
                <w:sz w:val="20"/>
                <w:szCs w:val="20"/>
              </w:rPr>
              <w:t xml:space="preserve"> Moderate to severe spasticity of the lower limb following an acute event</w:t>
            </w:r>
          </w:p>
        </w:tc>
      </w:tr>
      <w:tr w:rsidR="00BB375F" w:rsidRPr="007F6427" w14:paraId="31F07281" w14:textId="77777777" w:rsidTr="005F1F9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88FEA1B" w14:textId="2924A488"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0414EDB9" w14:textId="77777777" w:rsidR="00BB375F" w:rsidRPr="007F6427" w:rsidRDefault="00BB375F" w:rsidP="004171F4">
            <w:pPr>
              <w:jc w:val="left"/>
              <w:rPr>
                <w:rFonts w:ascii="Arial Narrow" w:hAnsi="Arial Narrow" w:cs="Times New Roman"/>
                <w:sz w:val="20"/>
                <w:szCs w:val="20"/>
              </w:rPr>
            </w:pPr>
            <w:r w:rsidRPr="007F6427">
              <w:rPr>
                <w:rFonts w:ascii="Arial Narrow" w:hAnsi="Arial Narrow" w:cs="Times New Roman"/>
                <w:b/>
                <w:bCs/>
                <w:color w:val="333333"/>
                <w:sz w:val="20"/>
                <w:szCs w:val="20"/>
              </w:rPr>
              <w:t xml:space="preserve">Clinical criteria: </w:t>
            </w:r>
          </w:p>
        </w:tc>
      </w:tr>
      <w:tr w:rsidR="00BB375F" w:rsidRPr="007F6427" w14:paraId="4F3D5C2F" w14:textId="77777777" w:rsidTr="005F1F9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0657D5A" w14:textId="5738F179"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0086D245"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The condition must be moderate to severe spasticity of the lower limb/s following stroke or other acute neurological event, defined as a Modified Ashworth Scale rating of 3 or more,</w:t>
            </w:r>
          </w:p>
        </w:tc>
      </w:tr>
      <w:tr w:rsidR="00BB375F" w:rsidRPr="007F6427" w14:paraId="511D3B36" w14:textId="77777777" w:rsidTr="005F1F9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0065CFB" w14:textId="77777777"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0F29C953" w14:textId="77777777" w:rsidR="00BB375F" w:rsidRPr="007F6427" w:rsidRDefault="00BB375F" w:rsidP="004171F4">
            <w:pPr>
              <w:jc w:val="left"/>
              <w:rPr>
                <w:rFonts w:ascii="Arial Narrow" w:hAnsi="Arial Narrow" w:cs="Times New Roman"/>
                <w:color w:val="333333"/>
                <w:sz w:val="20"/>
                <w:szCs w:val="20"/>
              </w:rPr>
            </w:pPr>
            <w:r w:rsidRPr="007F6427">
              <w:rPr>
                <w:rFonts w:ascii="Arial Narrow" w:hAnsi="Arial Narrow" w:cs="Times New Roman"/>
                <w:b/>
                <w:bCs/>
                <w:color w:val="333333"/>
                <w:sz w:val="20"/>
                <w:szCs w:val="20"/>
              </w:rPr>
              <w:t>AND</w:t>
            </w:r>
          </w:p>
        </w:tc>
      </w:tr>
      <w:tr w:rsidR="00BB375F" w:rsidRPr="007F6427" w14:paraId="6FBDABA2"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97567BE" w14:textId="50527E94"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5819C594" w14:textId="77777777" w:rsidR="00BB375F" w:rsidRPr="007F6427" w:rsidRDefault="00BB375F" w:rsidP="004171F4">
            <w:pPr>
              <w:jc w:val="left"/>
              <w:rPr>
                <w:rFonts w:ascii="Arial Narrow" w:hAnsi="Arial Narrow" w:cs="Times New Roman"/>
                <w:color w:val="333333"/>
                <w:sz w:val="20"/>
                <w:szCs w:val="20"/>
              </w:rPr>
            </w:pPr>
            <w:r w:rsidRPr="007F6427">
              <w:rPr>
                <w:rFonts w:ascii="Arial Narrow" w:hAnsi="Arial Narrow" w:cs="Times New Roman"/>
                <w:b/>
                <w:bCs/>
                <w:color w:val="333333"/>
                <w:sz w:val="20"/>
                <w:szCs w:val="20"/>
              </w:rPr>
              <w:t>Clinical criteria:</w:t>
            </w:r>
          </w:p>
        </w:tc>
      </w:tr>
      <w:tr w:rsidR="00BB375F" w:rsidRPr="007F6427" w14:paraId="7592E221"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A6E6321" w14:textId="1B2A2A0A"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57DDDDCD"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 xml:space="preserve">The treatment must only be used as second line therapy when standard management has failed; OR </w:t>
            </w:r>
          </w:p>
        </w:tc>
      </w:tr>
      <w:tr w:rsidR="00BB375F" w:rsidRPr="007F6427" w14:paraId="0C75667D"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EF9F1F8" w14:textId="36433236"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75C472CF"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The treatment must only be used as an adjunct to physical therapy</w:t>
            </w:r>
          </w:p>
        </w:tc>
      </w:tr>
      <w:tr w:rsidR="00BB375F" w:rsidRPr="007F6427" w14:paraId="70EC987B"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EE9837C" w14:textId="77777777"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2F65D6C2" w14:textId="77777777" w:rsidR="00BB375F" w:rsidRPr="007F6427" w:rsidRDefault="00BB375F" w:rsidP="004171F4">
            <w:pPr>
              <w:jc w:val="left"/>
              <w:rPr>
                <w:rFonts w:ascii="Arial Narrow" w:hAnsi="Arial Narrow" w:cs="Times New Roman"/>
                <w:color w:val="333333"/>
                <w:sz w:val="20"/>
                <w:szCs w:val="20"/>
              </w:rPr>
            </w:pPr>
            <w:r w:rsidRPr="007F6427">
              <w:rPr>
                <w:rFonts w:ascii="Arial Narrow" w:hAnsi="Arial Narrow" w:cs="Times New Roman"/>
                <w:b/>
                <w:bCs/>
                <w:color w:val="333333"/>
                <w:sz w:val="20"/>
                <w:szCs w:val="20"/>
              </w:rPr>
              <w:t>AND</w:t>
            </w:r>
          </w:p>
        </w:tc>
      </w:tr>
      <w:tr w:rsidR="00BB375F" w:rsidRPr="007F6427" w14:paraId="0BAC46ED"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FA295E1" w14:textId="4AEA14B6"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5B5CA17E" w14:textId="77777777" w:rsidR="00BB375F" w:rsidRPr="007F6427" w:rsidRDefault="00BB375F" w:rsidP="004171F4">
            <w:pPr>
              <w:jc w:val="left"/>
              <w:rPr>
                <w:rFonts w:ascii="Arial Narrow" w:hAnsi="Arial Narrow" w:cs="Times New Roman"/>
                <w:color w:val="333333"/>
                <w:sz w:val="20"/>
                <w:szCs w:val="20"/>
              </w:rPr>
            </w:pPr>
            <w:r w:rsidRPr="007F6427">
              <w:rPr>
                <w:rFonts w:ascii="Arial Narrow" w:hAnsi="Arial Narrow" w:cs="Times New Roman"/>
                <w:b/>
                <w:bCs/>
                <w:color w:val="333333"/>
                <w:sz w:val="20"/>
                <w:szCs w:val="20"/>
              </w:rPr>
              <w:t>Clinical criteria:</w:t>
            </w:r>
          </w:p>
        </w:tc>
      </w:tr>
      <w:tr w:rsidR="00BB375F" w:rsidRPr="007F6427" w14:paraId="181BD566"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B29B801" w14:textId="112974D1"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3A84EA43" w14:textId="77777777" w:rsidR="00BB375F" w:rsidRPr="007F6427" w:rsidRDefault="00BB375F" w:rsidP="004171F4">
            <w:pPr>
              <w:jc w:val="left"/>
              <w:rPr>
                <w:rFonts w:ascii="Arial Narrow" w:hAnsi="Arial Narrow" w:cs="Times New Roman"/>
                <w:color w:val="333333"/>
                <w:sz w:val="20"/>
                <w:szCs w:val="20"/>
              </w:rPr>
            </w:pPr>
            <w:r w:rsidRPr="007F6427">
              <w:rPr>
                <w:rFonts w:ascii="Arial Narrow" w:hAnsi="Arial Narrow" w:cs="Times New Roman"/>
                <w:color w:val="000000"/>
                <w:sz w:val="20"/>
                <w:szCs w:val="20"/>
              </w:rPr>
              <w:t xml:space="preserve">The treatment must not continue if the patient does not respond (defined as not having had a decrease in spasticity rating of at least 1, using the Modified Ashworth Scale, in at least one joint) after two treatment periods (with any botulinum toxin type A) </w:t>
            </w:r>
          </w:p>
        </w:tc>
      </w:tr>
      <w:tr w:rsidR="00BB375F" w:rsidRPr="007F6427" w14:paraId="17B07D28"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ED66159" w14:textId="77777777"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0161957D"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b/>
                <w:bCs/>
                <w:color w:val="333333"/>
                <w:sz w:val="20"/>
                <w:szCs w:val="20"/>
              </w:rPr>
              <w:t>AND</w:t>
            </w:r>
          </w:p>
        </w:tc>
      </w:tr>
      <w:tr w:rsidR="00BB375F" w:rsidRPr="007F6427" w14:paraId="42554C87"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8BE2978" w14:textId="7E734293"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6249BFF0"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b/>
                <w:bCs/>
                <w:color w:val="333333"/>
                <w:sz w:val="20"/>
                <w:szCs w:val="20"/>
              </w:rPr>
              <w:t>Clinical criteria:</w:t>
            </w:r>
          </w:p>
        </w:tc>
      </w:tr>
      <w:tr w:rsidR="00BB375F" w:rsidRPr="007F6427" w14:paraId="1EBC2A0B"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D65B7EC" w14:textId="26CDFAA3"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224DD39E"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 xml:space="preserve">Patient must not have established severe contracture in the limb to be treated, </w:t>
            </w:r>
          </w:p>
        </w:tc>
      </w:tr>
      <w:tr w:rsidR="00BB375F" w:rsidRPr="007F6427" w14:paraId="338F3F70"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3A5B313" w14:textId="77777777"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76D3B9E3"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b/>
                <w:bCs/>
                <w:color w:val="333333"/>
                <w:sz w:val="20"/>
                <w:szCs w:val="20"/>
              </w:rPr>
              <w:t>AND</w:t>
            </w:r>
          </w:p>
        </w:tc>
      </w:tr>
      <w:tr w:rsidR="00BB375F" w:rsidRPr="007F6427" w14:paraId="46EC138E"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9817CD6" w14:textId="47151528"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179EECB8"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b/>
                <w:bCs/>
                <w:color w:val="333333"/>
                <w:sz w:val="20"/>
                <w:szCs w:val="20"/>
              </w:rPr>
              <w:t>Clinical criteria:</w:t>
            </w:r>
          </w:p>
        </w:tc>
      </w:tr>
      <w:tr w:rsidR="00BB375F" w:rsidRPr="007F6427" w14:paraId="52BF65D6"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9B6F7B7" w14:textId="0ED9867C"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2B4A0C1C"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 xml:space="preserve">The treatment must not exceed a maximum of 4 treatment periods (with any botulinum toxin type A) per lower limb in the first year of treatment, and 2 treatment periods with any botulinum toxin type A) per lower limb each year thereafter. </w:t>
            </w:r>
          </w:p>
        </w:tc>
      </w:tr>
      <w:tr w:rsidR="00BB375F" w:rsidRPr="007F6427" w14:paraId="7C0085C6"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3B2B084" w14:textId="4A090C8D" w:rsidR="00BB375F" w:rsidRPr="007F6427" w:rsidRDefault="00BB375F" w:rsidP="004171F4">
            <w:pPr>
              <w:keepNext/>
              <w:jc w:val="center"/>
              <w:rPr>
                <w:rFonts w:ascii="Arial Narrow" w:hAnsi="Arial Narrow" w:cs="Times New Roman"/>
                <w:color w:val="000000"/>
                <w:sz w:val="20"/>
                <w:szCs w:val="20"/>
              </w:rPr>
            </w:pPr>
          </w:p>
        </w:tc>
        <w:tc>
          <w:tcPr>
            <w:tcW w:w="4295" w:type="pct"/>
            <w:gridSpan w:val="6"/>
            <w:vAlign w:val="center"/>
            <w:hideMark/>
          </w:tcPr>
          <w:p w14:paraId="492A6F66" w14:textId="77777777" w:rsidR="00BB375F" w:rsidRPr="007F6427" w:rsidRDefault="00BB375F" w:rsidP="004171F4">
            <w:pPr>
              <w:keepNext/>
              <w:jc w:val="left"/>
              <w:rPr>
                <w:rFonts w:ascii="Arial Narrow" w:hAnsi="Arial Narrow" w:cs="Times New Roman"/>
                <w:color w:val="333333"/>
                <w:sz w:val="20"/>
                <w:szCs w:val="20"/>
              </w:rPr>
            </w:pPr>
            <w:r w:rsidRPr="007F6427">
              <w:rPr>
                <w:rFonts w:ascii="Arial Narrow" w:hAnsi="Arial Narrow" w:cs="Times New Roman"/>
                <w:b/>
                <w:bCs/>
                <w:color w:val="333333"/>
                <w:sz w:val="20"/>
                <w:szCs w:val="20"/>
              </w:rPr>
              <w:t>Treatment criteria:</w:t>
            </w:r>
          </w:p>
        </w:tc>
      </w:tr>
      <w:tr w:rsidR="00BB375F" w:rsidRPr="007F6427" w14:paraId="41419BCD"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B190872" w14:textId="58335E54" w:rsidR="00BB375F" w:rsidRPr="007F6427" w:rsidRDefault="00BB375F" w:rsidP="004171F4">
            <w:pPr>
              <w:jc w:val="center"/>
              <w:rPr>
                <w:rFonts w:ascii="Arial Narrow" w:hAnsi="Arial Narrow" w:cs="Times New Roman"/>
                <w:color w:val="333333"/>
                <w:sz w:val="20"/>
                <w:szCs w:val="20"/>
              </w:rPr>
            </w:pPr>
          </w:p>
        </w:tc>
        <w:tc>
          <w:tcPr>
            <w:tcW w:w="4295" w:type="pct"/>
            <w:gridSpan w:val="6"/>
            <w:vAlign w:val="center"/>
            <w:hideMark/>
          </w:tcPr>
          <w:p w14:paraId="4A65DFA5" w14:textId="77777777" w:rsidR="00BB375F" w:rsidRPr="007F6427" w:rsidRDefault="00BB375F" w:rsidP="004171F4">
            <w:pPr>
              <w:autoSpaceDE w:val="0"/>
              <w:autoSpaceDN w:val="0"/>
              <w:adjustRightInd w:val="0"/>
              <w:jc w:val="left"/>
              <w:rPr>
                <w:rFonts w:ascii="Arial Narrow" w:eastAsia="Calibri" w:hAnsi="Arial Narrow" w:cs="Arial Narrow"/>
                <w:iCs/>
                <w:color w:val="000000"/>
                <w:sz w:val="20"/>
                <w:szCs w:val="20"/>
                <w:lang w:eastAsia="en-US"/>
              </w:rPr>
            </w:pPr>
            <w:r w:rsidRPr="007F6427">
              <w:rPr>
                <w:rFonts w:ascii="Arial Narrow" w:eastAsia="Calibri" w:hAnsi="Arial Narrow" w:cs="Arial Narrow"/>
                <w:iCs/>
                <w:color w:val="000000"/>
                <w:sz w:val="20"/>
                <w:szCs w:val="20"/>
                <w:lang w:eastAsia="en-US"/>
              </w:rPr>
              <w:t xml:space="preserve">Must be treated by a neurologist; OR </w:t>
            </w:r>
          </w:p>
        </w:tc>
      </w:tr>
      <w:tr w:rsidR="00BB375F" w:rsidRPr="007F6427" w14:paraId="5E126B17"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D02DFAB" w14:textId="45B6A5F1" w:rsidR="00BB375F" w:rsidRPr="007F6427" w:rsidRDefault="00BB375F" w:rsidP="004171F4">
            <w:pPr>
              <w:jc w:val="center"/>
              <w:rPr>
                <w:rFonts w:ascii="Arial Narrow" w:hAnsi="Arial Narrow" w:cs="Times New Roman"/>
                <w:color w:val="333333"/>
                <w:sz w:val="20"/>
                <w:szCs w:val="20"/>
              </w:rPr>
            </w:pPr>
          </w:p>
        </w:tc>
        <w:tc>
          <w:tcPr>
            <w:tcW w:w="4295" w:type="pct"/>
            <w:gridSpan w:val="6"/>
            <w:vAlign w:val="center"/>
          </w:tcPr>
          <w:p w14:paraId="424B4E94" w14:textId="77777777" w:rsidR="00BB375F" w:rsidRPr="007F6427" w:rsidRDefault="00BB375F" w:rsidP="004171F4">
            <w:pPr>
              <w:autoSpaceDE w:val="0"/>
              <w:autoSpaceDN w:val="0"/>
              <w:adjustRightInd w:val="0"/>
              <w:jc w:val="left"/>
              <w:rPr>
                <w:rFonts w:ascii="Arial Narrow" w:eastAsia="Calibri" w:hAnsi="Arial Narrow" w:cs="Arial Narrow"/>
                <w:sz w:val="20"/>
                <w:szCs w:val="20"/>
                <w:lang w:eastAsia="en-US"/>
              </w:rPr>
            </w:pPr>
            <w:r w:rsidRPr="007F6427">
              <w:rPr>
                <w:rFonts w:ascii="Arial Narrow" w:eastAsia="Calibri" w:hAnsi="Arial Narrow" w:cs="Arial Narrow"/>
                <w:sz w:val="20"/>
                <w:szCs w:val="20"/>
                <w:lang w:eastAsia="en-US"/>
              </w:rPr>
              <w:t xml:space="preserve">Must be treated by an orthopaedic surgeon; OR </w:t>
            </w:r>
          </w:p>
        </w:tc>
      </w:tr>
      <w:tr w:rsidR="00BB375F" w:rsidRPr="007F6427" w14:paraId="42138C20"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3A33DB5" w14:textId="0B08D7D6"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2882EEE5"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 xml:space="preserve">Must be treated by a rehabilitation specialist; OR </w:t>
            </w:r>
          </w:p>
        </w:tc>
      </w:tr>
      <w:tr w:rsidR="00BB375F" w:rsidRPr="007F6427" w14:paraId="77CA382F"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2F385AA" w14:textId="6D4CD294"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535B7CA9"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 xml:space="preserve">Must be treated by a plastic surgeon; OR </w:t>
            </w:r>
          </w:p>
        </w:tc>
      </w:tr>
      <w:tr w:rsidR="00BB375F" w:rsidRPr="007F6427" w14:paraId="3692B33D"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3DA5D49" w14:textId="37376D8E"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0B3976E4" w14:textId="77777777" w:rsidR="00BB375F" w:rsidRPr="007F6427" w:rsidRDefault="00BB375F" w:rsidP="004171F4">
            <w:pPr>
              <w:jc w:val="left"/>
              <w:rPr>
                <w:rFonts w:ascii="Arial Narrow" w:hAnsi="Arial Narrow" w:cs="Times New Roman"/>
                <w:color w:val="000000"/>
                <w:sz w:val="20"/>
                <w:szCs w:val="20"/>
              </w:rPr>
            </w:pPr>
            <w:r w:rsidRPr="007F6427">
              <w:rPr>
                <w:rFonts w:ascii="Arial Narrow" w:hAnsi="Arial Narrow" w:cs="Times New Roman"/>
                <w:color w:val="000000"/>
                <w:sz w:val="20"/>
                <w:szCs w:val="20"/>
              </w:rPr>
              <w:t>Must be treated by a geriatrician</w:t>
            </w:r>
          </w:p>
        </w:tc>
      </w:tr>
      <w:tr w:rsidR="00BB375F" w:rsidRPr="007F6427" w14:paraId="575FF096"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4F2FDA8" w14:textId="6472A8BD"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68F9EF58" w14:textId="77777777" w:rsidR="00BB375F" w:rsidRPr="007F6427" w:rsidRDefault="00BB375F" w:rsidP="004171F4">
            <w:pPr>
              <w:jc w:val="left"/>
              <w:rPr>
                <w:rFonts w:ascii="Arial Narrow" w:hAnsi="Arial Narrow" w:cs="Times New Roman"/>
                <w:color w:val="333333"/>
                <w:sz w:val="20"/>
                <w:szCs w:val="20"/>
              </w:rPr>
            </w:pPr>
            <w:r w:rsidRPr="007F6427">
              <w:rPr>
                <w:rFonts w:ascii="Arial Narrow" w:hAnsi="Arial Narrow" w:cs="Times New Roman"/>
                <w:b/>
                <w:bCs/>
                <w:color w:val="333333"/>
                <w:sz w:val="20"/>
                <w:szCs w:val="20"/>
              </w:rPr>
              <w:t>Population criteria:</w:t>
            </w:r>
          </w:p>
        </w:tc>
      </w:tr>
      <w:tr w:rsidR="00BB375F" w:rsidRPr="007F6427" w14:paraId="08DDF92D" w14:textId="77777777" w:rsidTr="005F1F9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69DA0BB" w14:textId="1DC057CB"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382BF189" w14:textId="77777777" w:rsidR="00BB375F" w:rsidRPr="007F6427" w:rsidRDefault="00BB375F" w:rsidP="004171F4">
            <w:pPr>
              <w:jc w:val="left"/>
              <w:rPr>
                <w:rFonts w:ascii="Arial Narrow" w:hAnsi="Arial Narrow" w:cs="Times New Roman"/>
                <w:i/>
                <w:iCs/>
                <w:color w:val="333333"/>
                <w:sz w:val="20"/>
                <w:szCs w:val="20"/>
              </w:rPr>
            </w:pPr>
            <w:r w:rsidRPr="007F6427">
              <w:rPr>
                <w:rFonts w:ascii="Arial Narrow" w:hAnsi="Arial Narrow" w:cs="Times New Roman"/>
                <w:color w:val="000000"/>
                <w:sz w:val="20"/>
                <w:szCs w:val="20"/>
              </w:rPr>
              <w:t xml:space="preserve">Patient must be </w:t>
            </w:r>
            <w:r w:rsidRPr="007F6427">
              <w:rPr>
                <w:rFonts w:ascii="Arial Narrow" w:hAnsi="Arial Narrow" w:cs="Times New Roman"/>
                <w:strike/>
                <w:color w:val="000000"/>
                <w:sz w:val="20"/>
                <w:szCs w:val="20"/>
              </w:rPr>
              <w:t xml:space="preserve">aged 18 years or older </w:t>
            </w:r>
            <w:r w:rsidRPr="007F6427">
              <w:rPr>
                <w:rFonts w:ascii="Arial Narrow" w:hAnsi="Arial Narrow" w:cs="Times New Roman"/>
                <w:i/>
                <w:iCs/>
                <w:color w:val="000000"/>
                <w:sz w:val="20"/>
                <w:szCs w:val="20"/>
              </w:rPr>
              <w:t xml:space="preserve">at least 18 years of age. </w:t>
            </w:r>
          </w:p>
        </w:tc>
      </w:tr>
      <w:tr w:rsidR="00BB375F" w:rsidRPr="007F6427" w14:paraId="109B7F2A" w14:textId="77777777" w:rsidTr="005F1F9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6ACF61C" w14:textId="76F4C742"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hideMark/>
          </w:tcPr>
          <w:p w14:paraId="746A63F0" w14:textId="77777777" w:rsidR="00BB375F" w:rsidRPr="007F6427" w:rsidRDefault="00BB375F" w:rsidP="004171F4">
            <w:pPr>
              <w:jc w:val="left"/>
              <w:rPr>
                <w:rFonts w:ascii="Arial Narrow" w:hAnsi="Arial Narrow" w:cs="Times New Roman"/>
                <w:bCs/>
                <w:color w:val="000000"/>
                <w:sz w:val="20"/>
                <w:szCs w:val="20"/>
              </w:rPr>
            </w:pPr>
            <w:r w:rsidRPr="007F6427">
              <w:rPr>
                <w:rFonts w:ascii="Arial Narrow" w:hAnsi="Arial Narrow" w:cs="Times New Roman"/>
                <w:b/>
                <w:bCs/>
                <w:color w:val="000000"/>
                <w:sz w:val="20"/>
                <w:szCs w:val="20"/>
              </w:rPr>
              <w:t xml:space="preserve">Administrative Advice: </w:t>
            </w:r>
          </w:p>
          <w:p w14:paraId="3088F13D" w14:textId="71C42F48" w:rsidR="00BB375F" w:rsidRPr="007F6427" w:rsidRDefault="00BB375F" w:rsidP="004171F4">
            <w:pPr>
              <w:jc w:val="left"/>
              <w:rPr>
                <w:rFonts w:ascii="Arial Narrow" w:hAnsi="Arial Narrow" w:cs="Times New Roman"/>
                <w:color w:val="333333"/>
                <w:sz w:val="20"/>
                <w:szCs w:val="20"/>
              </w:rPr>
            </w:pPr>
            <w:r w:rsidRPr="007F6427">
              <w:rPr>
                <w:rFonts w:ascii="Arial Narrow" w:hAnsi="Arial Narrow" w:cs="Times New Roman"/>
                <w:bCs/>
                <w:color w:val="000000"/>
                <w:sz w:val="20"/>
                <w:szCs w:val="20"/>
              </w:rPr>
              <w:t>Standard management includes physiotherapy and/or oral spasticity agents.</w:t>
            </w:r>
          </w:p>
        </w:tc>
      </w:tr>
      <w:tr w:rsidR="00BB375F" w:rsidRPr="007F6427" w14:paraId="0CF8DD66" w14:textId="77777777" w:rsidTr="007F642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86A251B" w14:textId="278D17E1" w:rsidR="00BB375F" w:rsidRPr="007F6427" w:rsidRDefault="00BB375F" w:rsidP="004171F4">
            <w:pPr>
              <w:jc w:val="center"/>
              <w:rPr>
                <w:rFonts w:ascii="Arial Narrow" w:hAnsi="Arial Narrow" w:cs="Times New Roman"/>
                <w:color w:val="000000"/>
                <w:sz w:val="20"/>
                <w:szCs w:val="20"/>
              </w:rPr>
            </w:pPr>
          </w:p>
        </w:tc>
        <w:tc>
          <w:tcPr>
            <w:tcW w:w="4295" w:type="pct"/>
            <w:gridSpan w:val="6"/>
            <w:vAlign w:val="center"/>
          </w:tcPr>
          <w:p w14:paraId="5B1E5526" w14:textId="77777777" w:rsidR="00BB375F" w:rsidRPr="007F6427" w:rsidRDefault="00BB375F" w:rsidP="004171F4">
            <w:pPr>
              <w:jc w:val="left"/>
              <w:rPr>
                <w:rFonts w:ascii="Arial Narrow" w:hAnsi="Arial Narrow" w:cs="Times New Roman"/>
                <w:bCs/>
                <w:color w:val="000000"/>
                <w:sz w:val="20"/>
                <w:szCs w:val="20"/>
              </w:rPr>
            </w:pPr>
            <w:r w:rsidRPr="007F6427">
              <w:rPr>
                <w:rFonts w:ascii="Arial Narrow" w:hAnsi="Arial Narrow" w:cs="Times New Roman"/>
                <w:b/>
                <w:bCs/>
                <w:color w:val="000000"/>
                <w:sz w:val="20"/>
                <w:szCs w:val="20"/>
              </w:rPr>
              <w:t xml:space="preserve">Administrative Advice: </w:t>
            </w:r>
          </w:p>
          <w:p w14:paraId="35B57290" w14:textId="77777777" w:rsidR="00BB375F" w:rsidRPr="007F6427" w:rsidRDefault="00BB375F" w:rsidP="004171F4">
            <w:pPr>
              <w:jc w:val="left"/>
              <w:rPr>
                <w:rFonts w:ascii="Arial Narrow" w:hAnsi="Arial Narrow" w:cs="Times New Roman"/>
                <w:i/>
                <w:iCs/>
                <w:color w:val="000000"/>
                <w:sz w:val="20"/>
                <w:szCs w:val="20"/>
              </w:rPr>
            </w:pPr>
            <w:r w:rsidRPr="007F6427">
              <w:rPr>
                <w:rFonts w:ascii="Arial Narrow" w:hAnsi="Arial Narrow" w:cs="Times New Roman"/>
                <w:i/>
                <w:iCs/>
                <w:color w:val="000000"/>
                <w:sz w:val="20"/>
                <w:szCs w:val="20"/>
              </w:rPr>
              <w:t>An acute event may be clinical external event that leads to upper motor neuron lesions resulting in spasticity for example stroke, traumatic brain injury, spinal cord injury, infection or hypoxia.</w:t>
            </w:r>
          </w:p>
        </w:tc>
      </w:tr>
    </w:tbl>
    <w:p w14:paraId="210B3796" w14:textId="12D5EEC6" w:rsidR="00046D64" w:rsidRPr="0098262F" w:rsidRDefault="00046D64"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98262F" w14:paraId="3EE8ABAE" w14:textId="77777777" w:rsidTr="003A4C14">
        <w:trPr>
          <w:cantSplit/>
          <w:trHeight w:val="20"/>
        </w:trPr>
        <w:tc>
          <w:tcPr>
            <w:tcW w:w="5000" w:type="pct"/>
          </w:tcPr>
          <w:p w14:paraId="3B622315" w14:textId="3E3362F0" w:rsidR="003A4C14" w:rsidRPr="0098262F" w:rsidRDefault="003A4C14" w:rsidP="003E4C55">
            <w:pPr>
              <w:pStyle w:val="TableText0"/>
            </w:pPr>
            <w:bookmarkStart w:id="12" w:name="_Hlk104809470"/>
            <w:r w:rsidRPr="0098262F">
              <w:lastRenderedPageBreak/>
              <w:t>Category / Program: Section 100</w:t>
            </w:r>
          </w:p>
        </w:tc>
      </w:tr>
      <w:tr w:rsidR="003A4C14" w:rsidRPr="0098262F" w14:paraId="09416ED3" w14:textId="77777777" w:rsidTr="003A4C14">
        <w:trPr>
          <w:cantSplit/>
          <w:trHeight w:val="20"/>
        </w:trPr>
        <w:tc>
          <w:tcPr>
            <w:tcW w:w="5000" w:type="pct"/>
          </w:tcPr>
          <w:p w14:paraId="7D2ED8D5" w14:textId="372B57C2" w:rsidR="003A4C14" w:rsidRPr="0098262F" w:rsidRDefault="003A4C14" w:rsidP="003E4C55">
            <w:pPr>
              <w:pStyle w:val="TableText0"/>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00253162">
              <w:fldChar w:fldCharType="begin">
                <w:ffData>
                  <w:name w:val=""/>
                  <w:enabled/>
                  <w:calcOnExit w:val="0"/>
                  <w:checkBox>
                    <w:sizeAuto/>
                    <w:default w:val="1"/>
                  </w:checkBox>
                </w:ffData>
              </w:fldChar>
            </w:r>
            <w:r w:rsidR="00253162">
              <w:instrText xml:space="preserve"> FORMCHECKBOX </w:instrText>
            </w:r>
            <w:r w:rsidR="00253162">
              <w:fldChar w:fldCharType="separate"/>
            </w:r>
            <w:r w:rsidR="00253162">
              <w:fldChar w:fldCharType="end"/>
            </w:r>
            <w:r w:rsidRPr="0098262F">
              <w:t xml:space="preserve">Medical Practitioners </w:t>
            </w:r>
            <w:r w:rsidRPr="0098262F">
              <w:fldChar w:fldCharType="begin">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3A4C14" w:rsidRPr="0098262F" w14:paraId="070CFDD2" w14:textId="77777777" w:rsidTr="003A4C14">
        <w:trPr>
          <w:cantSplit/>
          <w:trHeight w:val="20"/>
        </w:trPr>
        <w:tc>
          <w:tcPr>
            <w:tcW w:w="5000" w:type="pct"/>
          </w:tcPr>
          <w:p w14:paraId="3320A955" w14:textId="311016DE" w:rsidR="003A4C14" w:rsidRPr="0098262F" w:rsidRDefault="003A4C14" w:rsidP="003E4C55">
            <w:pPr>
              <w:pStyle w:val="TableText0"/>
            </w:pPr>
            <w:r w:rsidRPr="0098262F">
              <w:rPr>
                <w:b/>
              </w:rPr>
              <w:t>Restriction type:</w:t>
            </w:r>
            <w:r w:rsidR="00F5277C">
              <w:rPr>
                <w:b/>
              </w:rPr>
              <w:t xml:space="preserve"> </w:t>
            </w:r>
            <w:r w:rsidR="00253162">
              <w:fldChar w:fldCharType="begin">
                <w:ffData>
                  <w:name w:val=""/>
                  <w:enabled/>
                  <w:calcOnExit w:val="0"/>
                  <w:checkBox>
                    <w:sizeAuto/>
                    <w:default w:val="1"/>
                  </w:checkBox>
                </w:ffData>
              </w:fldChar>
            </w:r>
            <w:r w:rsidR="00253162">
              <w:instrText xml:space="preserve"> FORMCHECKBOX </w:instrText>
            </w:r>
            <w:r w:rsidR="00253162">
              <w:fldChar w:fldCharType="separate"/>
            </w:r>
            <w:r w:rsidR="00253162">
              <w:fldChar w:fldCharType="end"/>
            </w:r>
            <w:r w:rsidRPr="0098262F">
              <w:t xml:space="preserve">Authority Required (STREAMLINED) </w:t>
            </w:r>
          </w:p>
        </w:tc>
      </w:tr>
      <w:tr w:rsidR="003A4C14" w:rsidRPr="0098262F" w14:paraId="4473716B" w14:textId="77777777" w:rsidTr="003A4C14">
        <w:trPr>
          <w:cantSplit/>
          <w:trHeight w:val="20"/>
        </w:trPr>
        <w:tc>
          <w:tcPr>
            <w:tcW w:w="5000" w:type="pct"/>
            <w:vAlign w:val="center"/>
          </w:tcPr>
          <w:p w14:paraId="0C58C468" w14:textId="232E0D32" w:rsidR="003A4C14" w:rsidRPr="0098262F" w:rsidRDefault="003A4C14" w:rsidP="003E4C55">
            <w:pPr>
              <w:pStyle w:val="TableText0"/>
              <w:rPr>
                <w:b/>
              </w:rPr>
            </w:pPr>
            <w:r w:rsidRPr="0098262F">
              <w:rPr>
                <w:b/>
              </w:rPr>
              <w:t xml:space="preserve">Condition: </w:t>
            </w:r>
            <w:r w:rsidR="00253162">
              <w:t>Moderate to severe spasticity of the lower limb following an</w:t>
            </w:r>
            <w:r w:rsidR="002B5487">
              <w:t xml:space="preserve"> </w:t>
            </w:r>
            <w:r w:rsidR="00253162">
              <w:t>acute event</w:t>
            </w:r>
            <w:r w:rsidRPr="0098262F">
              <w:t xml:space="preserve"> </w:t>
            </w:r>
          </w:p>
        </w:tc>
      </w:tr>
      <w:tr w:rsidR="003A4C14" w:rsidRPr="0098262F" w14:paraId="7A6417F7" w14:textId="77777777" w:rsidTr="003A4C14">
        <w:trPr>
          <w:cantSplit/>
          <w:trHeight w:val="20"/>
        </w:trPr>
        <w:tc>
          <w:tcPr>
            <w:tcW w:w="5000" w:type="pct"/>
            <w:vAlign w:val="center"/>
            <w:hideMark/>
          </w:tcPr>
          <w:p w14:paraId="655B4B49" w14:textId="3A26E539" w:rsidR="003A4C14" w:rsidRPr="0098262F" w:rsidRDefault="003A4C14" w:rsidP="003E4C55">
            <w:pPr>
              <w:pStyle w:val="TableText0"/>
            </w:pPr>
            <w:r w:rsidRPr="0098262F">
              <w:rPr>
                <w:b/>
              </w:rPr>
              <w:t>Treatment Phase:</w:t>
            </w:r>
            <w:r w:rsidRPr="0098262F">
              <w:t xml:space="preserve"> </w:t>
            </w:r>
            <w:r w:rsidR="00253162">
              <w:t>Initial and continuing</w:t>
            </w:r>
          </w:p>
        </w:tc>
      </w:tr>
      <w:tr w:rsidR="003A4C14" w:rsidRPr="0098262F" w14:paraId="3ABBD2EC" w14:textId="77777777" w:rsidTr="003A4C14">
        <w:trPr>
          <w:cantSplit/>
          <w:trHeight w:val="20"/>
        </w:trPr>
        <w:tc>
          <w:tcPr>
            <w:tcW w:w="5000" w:type="pct"/>
            <w:vAlign w:val="center"/>
            <w:hideMark/>
          </w:tcPr>
          <w:p w14:paraId="5D485398" w14:textId="77777777" w:rsidR="003A4C14" w:rsidRPr="00A26C01" w:rsidRDefault="003A4C14" w:rsidP="003E4C55">
            <w:pPr>
              <w:pStyle w:val="TableText0"/>
              <w:rPr>
                <w:b/>
                <w:bCs/>
              </w:rPr>
            </w:pPr>
            <w:r w:rsidRPr="00A26C01">
              <w:rPr>
                <w:b/>
                <w:bCs/>
              </w:rPr>
              <w:t>Clinical criteria:</w:t>
            </w:r>
          </w:p>
        </w:tc>
      </w:tr>
      <w:tr w:rsidR="003A4C14" w:rsidRPr="0098262F" w14:paraId="26BA494C" w14:textId="77777777" w:rsidTr="003A4C14">
        <w:trPr>
          <w:cantSplit/>
          <w:trHeight w:val="20"/>
        </w:trPr>
        <w:tc>
          <w:tcPr>
            <w:tcW w:w="5000" w:type="pct"/>
            <w:vAlign w:val="center"/>
            <w:hideMark/>
          </w:tcPr>
          <w:p w14:paraId="1A0AADCD" w14:textId="1EB5B995" w:rsidR="003A4C14" w:rsidRPr="0098262F" w:rsidRDefault="00253162" w:rsidP="003E4C55">
            <w:pPr>
              <w:pStyle w:val="TableText0"/>
            </w:pPr>
            <w:r w:rsidRPr="00253162">
              <w:t>The condition must be moderate to severe spasticity of the lower limb/s following stroke or other acute neurological event, defined as a Modified Ashworth Scale rating of 3 or more,</w:t>
            </w:r>
          </w:p>
        </w:tc>
      </w:tr>
      <w:tr w:rsidR="003A4C14" w:rsidRPr="0098262F" w14:paraId="1541981C" w14:textId="77777777" w:rsidTr="003A4C14">
        <w:trPr>
          <w:cantSplit/>
          <w:trHeight w:val="20"/>
        </w:trPr>
        <w:tc>
          <w:tcPr>
            <w:tcW w:w="5000" w:type="pct"/>
            <w:vAlign w:val="center"/>
            <w:hideMark/>
          </w:tcPr>
          <w:p w14:paraId="6F3D1453" w14:textId="77777777" w:rsidR="003A4C14" w:rsidRPr="0098262F" w:rsidRDefault="003A4C14" w:rsidP="003E4C55">
            <w:pPr>
              <w:pStyle w:val="TableText0"/>
            </w:pPr>
            <w:r w:rsidRPr="0098262F">
              <w:t>AND</w:t>
            </w:r>
          </w:p>
        </w:tc>
      </w:tr>
      <w:tr w:rsidR="003A4C14" w:rsidRPr="0098262F" w14:paraId="018890B8" w14:textId="77777777" w:rsidTr="003A4C14">
        <w:trPr>
          <w:cantSplit/>
          <w:trHeight w:val="20"/>
        </w:trPr>
        <w:tc>
          <w:tcPr>
            <w:tcW w:w="5000" w:type="pct"/>
            <w:vAlign w:val="center"/>
            <w:hideMark/>
          </w:tcPr>
          <w:p w14:paraId="79CB2648" w14:textId="77777777" w:rsidR="003A4C14" w:rsidRPr="00A26C01" w:rsidRDefault="003A4C14" w:rsidP="003E4C55">
            <w:pPr>
              <w:pStyle w:val="TableText0"/>
              <w:rPr>
                <w:b/>
                <w:bCs/>
              </w:rPr>
            </w:pPr>
            <w:r w:rsidRPr="00A26C01">
              <w:rPr>
                <w:b/>
                <w:bCs/>
              </w:rPr>
              <w:t>Clinical criteria:</w:t>
            </w:r>
          </w:p>
        </w:tc>
      </w:tr>
      <w:tr w:rsidR="00253162" w:rsidRPr="0098262F" w14:paraId="6DA9B9CA" w14:textId="77777777" w:rsidTr="003A4C14">
        <w:trPr>
          <w:cantSplit/>
          <w:trHeight w:val="20"/>
        </w:trPr>
        <w:tc>
          <w:tcPr>
            <w:tcW w:w="5000" w:type="pct"/>
            <w:vAlign w:val="center"/>
          </w:tcPr>
          <w:p w14:paraId="3C7B9FAE" w14:textId="31C01D2B" w:rsidR="00253162" w:rsidRPr="0098262F" w:rsidRDefault="00253162" w:rsidP="003E4C55">
            <w:pPr>
              <w:pStyle w:val="TableText0"/>
            </w:pPr>
            <w:r w:rsidRPr="00253162">
              <w:t>The treatment must only be used as second line therapy when standard management has failed;</w:t>
            </w:r>
          </w:p>
        </w:tc>
      </w:tr>
      <w:tr w:rsidR="00253162" w:rsidRPr="0098262F" w14:paraId="11898E26" w14:textId="77777777" w:rsidTr="003A4C14">
        <w:trPr>
          <w:cantSplit/>
          <w:trHeight w:val="20"/>
        </w:trPr>
        <w:tc>
          <w:tcPr>
            <w:tcW w:w="5000" w:type="pct"/>
            <w:vAlign w:val="center"/>
          </w:tcPr>
          <w:p w14:paraId="563D87A4" w14:textId="73440C2D" w:rsidR="00253162" w:rsidRPr="00253162" w:rsidRDefault="00253162" w:rsidP="003E4C55">
            <w:pPr>
              <w:pStyle w:val="TableText0"/>
            </w:pPr>
            <w:r>
              <w:t>OR</w:t>
            </w:r>
          </w:p>
        </w:tc>
      </w:tr>
      <w:tr w:rsidR="00253162" w:rsidRPr="0098262F" w14:paraId="15A0CEEF" w14:textId="77777777" w:rsidTr="003A4C14">
        <w:trPr>
          <w:cantSplit/>
          <w:trHeight w:val="20"/>
        </w:trPr>
        <w:tc>
          <w:tcPr>
            <w:tcW w:w="5000" w:type="pct"/>
            <w:vAlign w:val="center"/>
          </w:tcPr>
          <w:p w14:paraId="0E16A411" w14:textId="2DCA8901" w:rsidR="00253162" w:rsidRDefault="00253162" w:rsidP="003E4C55">
            <w:pPr>
              <w:pStyle w:val="TableText0"/>
            </w:pPr>
            <w:r w:rsidRPr="00253162">
              <w:t>The treatment must only be used as an adjunct to physical therapy,</w:t>
            </w:r>
          </w:p>
        </w:tc>
      </w:tr>
      <w:tr w:rsidR="00253162" w:rsidRPr="0098262F" w14:paraId="3AC2DA6B" w14:textId="77777777" w:rsidTr="003A4C14">
        <w:trPr>
          <w:cantSplit/>
          <w:trHeight w:val="20"/>
        </w:trPr>
        <w:tc>
          <w:tcPr>
            <w:tcW w:w="5000" w:type="pct"/>
            <w:vAlign w:val="center"/>
          </w:tcPr>
          <w:p w14:paraId="53172A69" w14:textId="6BBFB70E" w:rsidR="00253162" w:rsidRPr="00253162" w:rsidRDefault="00253162" w:rsidP="003E4C55">
            <w:pPr>
              <w:pStyle w:val="TableText0"/>
            </w:pPr>
            <w:r>
              <w:t>AND</w:t>
            </w:r>
          </w:p>
        </w:tc>
      </w:tr>
      <w:tr w:rsidR="00253162" w:rsidRPr="0098262F" w14:paraId="02986655" w14:textId="77777777" w:rsidTr="003A4C14">
        <w:trPr>
          <w:cantSplit/>
          <w:trHeight w:val="20"/>
        </w:trPr>
        <w:tc>
          <w:tcPr>
            <w:tcW w:w="5000" w:type="pct"/>
            <w:vAlign w:val="center"/>
          </w:tcPr>
          <w:p w14:paraId="57EEE372" w14:textId="374FE705" w:rsidR="00253162" w:rsidRDefault="00253162" w:rsidP="003E4C55">
            <w:pPr>
              <w:pStyle w:val="TableText0"/>
            </w:pPr>
            <w:r w:rsidRPr="00253162">
              <w:t>The treatment must not continue if the patient does not respond (defined as not having had a decrease in spasticity rating of at least 1, using the Modified Ashworth Scale, in at least one joint) after two treatment periods (with any botulinum toxin type A),</w:t>
            </w:r>
          </w:p>
        </w:tc>
      </w:tr>
      <w:tr w:rsidR="00253162" w:rsidRPr="0098262F" w14:paraId="5B6E0339" w14:textId="77777777" w:rsidTr="003A4C14">
        <w:trPr>
          <w:cantSplit/>
          <w:trHeight w:val="20"/>
        </w:trPr>
        <w:tc>
          <w:tcPr>
            <w:tcW w:w="5000" w:type="pct"/>
            <w:vAlign w:val="center"/>
          </w:tcPr>
          <w:p w14:paraId="3A57F565" w14:textId="5F253EAA" w:rsidR="00253162" w:rsidRPr="00253162" w:rsidRDefault="00253162" w:rsidP="003E4C55">
            <w:pPr>
              <w:pStyle w:val="TableText0"/>
            </w:pPr>
            <w:r>
              <w:t>AND</w:t>
            </w:r>
          </w:p>
        </w:tc>
      </w:tr>
      <w:tr w:rsidR="00253162" w:rsidRPr="0098262F" w14:paraId="19605645" w14:textId="77777777" w:rsidTr="003A4C14">
        <w:trPr>
          <w:cantSplit/>
          <w:trHeight w:val="20"/>
        </w:trPr>
        <w:tc>
          <w:tcPr>
            <w:tcW w:w="5000" w:type="pct"/>
            <w:vAlign w:val="center"/>
          </w:tcPr>
          <w:p w14:paraId="212B68CD" w14:textId="292FB586" w:rsidR="00253162" w:rsidRDefault="00253162" w:rsidP="003E4C55">
            <w:pPr>
              <w:pStyle w:val="TableText0"/>
            </w:pPr>
            <w:r w:rsidRPr="00253162">
              <w:t>Patient must not have established severe contracture in the limb to be treated,</w:t>
            </w:r>
          </w:p>
        </w:tc>
      </w:tr>
      <w:tr w:rsidR="00253162" w:rsidRPr="0098262F" w14:paraId="52B8B157" w14:textId="77777777" w:rsidTr="003A4C14">
        <w:trPr>
          <w:cantSplit/>
          <w:trHeight w:val="20"/>
        </w:trPr>
        <w:tc>
          <w:tcPr>
            <w:tcW w:w="5000" w:type="pct"/>
            <w:vAlign w:val="center"/>
          </w:tcPr>
          <w:p w14:paraId="362F6168" w14:textId="45798F7B" w:rsidR="00253162" w:rsidRPr="00253162" w:rsidRDefault="00253162" w:rsidP="003E4C55">
            <w:pPr>
              <w:pStyle w:val="TableText0"/>
            </w:pPr>
            <w:r>
              <w:t>AND</w:t>
            </w:r>
          </w:p>
        </w:tc>
      </w:tr>
      <w:tr w:rsidR="00253162" w:rsidRPr="0098262F" w14:paraId="78D35D80" w14:textId="77777777" w:rsidTr="003A4C14">
        <w:trPr>
          <w:cantSplit/>
          <w:trHeight w:val="20"/>
        </w:trPr>
        <w:tc>
          <w:tcPr>
            <w:tcW w:w="5000" w:type="pct"/>
            <w:vAlign w:val="center"/>
          </w:tcPr>
          <w:p w14:paraId="1554FF50" w14:textId="39B315DD" w:rsidR="00253162" w:rsidRDefault="00253162" w:rsidP="003E4C55">
            <w:pPr>
              <w:pStyle w:val="TableText0"/>
            </w:pPr>
            <w:r w:rsidRPr="00253162">
              <w:t>The treatment must not exceed a maximum of 4 treatment periods (with any botulinum toxin type A) per lower limb in the first year of treatment, and 2 treatment periods (with any botulinum toxin type A) per lower limb each year thereafter.</w:t>
            </w:r>
          </w:p>
        </w:tc>
      </w:tr>
      <w:tr w:rsidR="003A4C14" w:rsidRPr="0098262F" w14:paraId="1E0CC9FB" w14:textId="77777777" w:rsidTr="003A4C14">
        <w:trPr>
          <w:cantSplit/>
          <w:trHeight w:val="20"/>
        </w:trPr>
        <w:tc>
          <w:tcPr>
            <w:tcW w:w="5000" w:type="pct"/>
            <w:vAlign w:val="center"/>
            <w:hideMark/>
          </w:tcPr>
          <w:p w14:paraId="6E11057F" w14:textId="77777777" w:rsidR="003A4C14" w:rsidRPr="00A26C01" w:rsidRDefault="003A4C14" w:rsidP="003E4C55">
            <w:pPr>
              <w:pStyle w:val="TableText0"/>
              <w:rPr>
                <w:b/>
                <w:bCs/>
              </w:rPr>
            </w:pPr>
            <w:r w:rsidRPr="00A26C01">
              <w:rPr>
                <w:b/>
                <w:bCs/>
              </w:rPr>
              <w:t>Treatment criteria:</w:t>
            </w:r>
          </w:p>
        </w:tc>
      </w:tr>
      <w:tr w:rsidR="00253162" w:rsidRPr="0098262F" w14:paraId="3FAFF196" w14:textId="77777777" w:rsidTr="003A4C14">
        <w:trPr>
          <w:cantSplit/>
          <w:trHeight w:val="20"/>
        </w:trPr>
        <w:tc>
          <w:tcPr>
            <w:tcW w:w="5000" w:type="pct"/>
            <w:vAlign w:val="center"/>
          </w:tcPr>
          <w:p w14:paraId="775CD6F8" w14:textId="3E5A90A9" w:rsidR="00253162" w:rsidRPr="0098262F" w:rsidRDefault="00253162" w:rsidP="003E4C55">
            <w:pPr>
              <w:pStyle w:val="TableText0"/>
            </w:pPr>
            <w:r w:rsidRPr="00866160">
              <w:t>Must be treated by a neurologist;</w:t>
            </w:r>
            <w:r>
              <w:t xml:space="preserve"> OR</w:t>
            </w:r>
          </w:p>
        </w:tc>
      </w:tr>
      <w:tr w:rsidR="00253162" w:rsidRPr="0098262F" w14:paraId="285FCA2E" w14:textId="77777777" w:rsidTr="003A4C14">
        <w:trPr>
          <w:cantSplit/>
          <w:trHeight w:val="20"/>
        </w:trPr>
        <w:tc>
          <w:tcPr>
            <w:tcW w:w="5000" w:type="pct"/>
            <w:vAlign w:val="center"/>
          </w:tcPr>
          <w:p w14:paraId="0C3A01B2" w14:textId="6F8630FC" w:rsidR="00253162" w:rsidRPr="00866160" w:rsidRDefault="00253162" w:rsidP="003E4C55">
            <w:pPr>
              <w:pStyle w:val="TableText0"/>
            </w:pPr>
            <w:r w:rsidRPr="00253162">
              <w:t>Must be treated by an orthopaedic surgeon; OR</w:t>
            </w:r>
          </w:p>
        </w:tc>
      </w:tr>
      <w:tr w:rsidR="00253162" w:rsidRPr="0098262F" w14:paraId="4BC87ABD" w14:textId="77777777" w:rsidTr="003A4C14">
        <w:trPr>
          <w:cantSplit/>
          <w:trHeight w:val="20"/>
        </w:trPr>
        <w:tc>
          <w:tcPr>
            <w:tcW w:w="5000" w:type="pct"/>
            <w:vAlign w:val="center"/>
          </w:tcPr>
          <w:p w14:paraId="76162CFA" w14:textId="173EE004" w:rsidR="00253162" w:rsidRPr="00253162" w:rsidRDefault="00253162" w:rsidP="003E4C55">
            <w:pPr>
              <w:pStyle w:val="TableText0"/>
            </w:pPr>
            <w:r w:rsidRPr="00253162">
              <w:t>Must be treated by a rehabilitation specialist; OR</w:t>
            </w:r>
          </w:p>
        </w:tc>
      </w:tr>
      <w:tr w:rsidR="00253162" w:rsidRPr="0098262F" w14:paraId="7FB02EE1" w14:textId="77777777" w:rsidTr="003A4C14">
        <w:trPr>
          <w:cantSplit/>
          <w:trHeight w:val="20"/>
        </w:trPr>
        <w:tc>
          <w:tcPr>
            <w:tcW w:w="5000" w:type="pct"/>
            <w:vAlign w:val="center"/>
          </w:tcPr>
          <w:p w14:paraId="3871C570" w14:textId="748372FD" w:rsidR="00253162" w:rsidRPr="00253162" w:rsidRDefault="00253162" w:rsidP="003E4C55">
            <w:pPr>
              <w:pStyle w:val="TableText0"/>
            </w:pPr>
            <w:r w:rsidRPr="00253162">
              <w:t>Must be treated by a plastic surgeon; OR</w:t>
            </w:r>
          </w:p>
        </w:tc>
      </w:tr>
      <w:tr w:rsidR="00253162" w:rsidRPr="0098262F" w14:paraId="7C683DC3" w14:textId="77777777" w:rsidTr="003A4C14">
        <w:trPr>
          <w:cantSplit/>
          <w:trHeight w:val="20"/>
        </w:trPr>
        <w:tc>
          <w:tcPr>
            <w:tcW w:w="5000" w:type="pct"/>
            <w:vAlign w:val="center"/>
          </w:tcPr>
          <w:p w14:paraId="1BD95A41" w14:textId="45C340B3" w:rsidR="00253162" w:rsidRPr="00253162" w:rsidRDefault="00253162" w:rsidP="003E4C55">
            <w:pPr>
              <w:pStyle w:val="TableText0"/>
            </w:pPr>
            <w:r w:rsidRPr="00866160">
              <w:t>Must be treated by a geriatrician</w:t>
            </w:r>
          </w:p>
        </w:tc>
      </w:tr>
      <w:tr w:rsidR="003A4C14" w:rsidRPr="0098262F" w14:paraId="7499D438" w14:textId="77777777" w:rsidTr="003A4C14">
        <w:trPr>
          <w:cantSplit/>
          <w:trHeight w:val="20"/>
        </w:trPr>
        <w:tc>
          <w:tcPr>
            <w:tcW w:w="5000" w:type="pct"/>
            <w:vAlign w:val="center"/>
            <w:hideMark/>
          </w:tcPr>
          <w:p w14:paraId="06292C6C" w14:textId="77777777" w:rsidR="003A4C14" w:rsidRPr="00A26C01" w:rsidRDefault="003A4C14" w:rsidP="003E4C55">
            <w:pPr>
              <w:pStyle w:val="TableText0"/>
              <w:rPr>
                <w:b/>
                <w:bCs/>
              </w:rPr>
            </w:pPr>
            <w:r w:rsidRPr="00A26C01">
              <w:rPr>
                <w:b/>
                <w:bCs/>
              </w:rPr>
              <w:t>Population criteria:</w:t>
            </w:r>
          </w:p>
        </w:tc>
      </w:tr>
      <w:tr w:rsidR="00253162" w:rsidRPr="0098262F" w14:paraId="455A176A" w14:textId="77777777" w:rsidTr="003A4C14">
        <w:trPr>
          <w:cantSplit/>
          <w:trHeight w:val="20"/>
        </w:trPr>
        <w:tc>
          <w:tcPr>
            <w:tcW w:w="5000" w:type="pct"/>
            <w:vAlign w:val="center"/>
          </w:tcPr>
          <w:p w14:paraId="6458FFCC" w14:textId="3795C542" w:rsidR="00253162" w:rsidRPr="0098262F" w:rsidRDefault="00253162" w:rsidP="003E4C55">
            <w:pPr>
              <w:pStyle w:val="TableText0"/>
            </w:pPr>
            <w:r>
              <w:t>Patient must be aged 18 years or older.</w:t>
            </w:r>
          </w:p>
        </w:tc>
      </w:tr>
      <w:tr w:rsidR="003A4C14" w:rsidRPr="0098262F" w14:paraId="292480CA" w14:textId="77777777" w:rsidTr="003A4C14">
        <w:trPr>
          <w:cantSplit/>
          <w:trHeight w:val="20"/>
        </w:trPr>
        <w:tc>
          <w:tcPr>
            <w:tcW w:w="5000" w:type="pct"/>
            <w:vAlign w:val="center"/>
            <w:hideMark/>
          </w:tcPr>
          <w:p w14:paraId="78E5F63D" w14:textId="29096771" w:rsidR="003A4C14" w:rsidRPr="0098262F" w:rsidRDefault="003A4C14" w:rsidP="003E4C55">
            <w:pPr>
              <w:pStyle w:val="TableText0"/>
            </w:pPr>
            <w:r w:rsidRPr="0098262F">
              <w:rPr>
                <w:b/>
              </w:rPr>
              <w:t xml:space="preserve">Administrative Advice: </w:t>
            </w:r>
            <w:r w:rsidR="00253162" w:rsidRPr="00253162">
              <w:t>Standard management includes physiotherapy and/or oral spasticity agents.</w:t>
            </w:r>
          </w:p>
        </w:tc>
      </w:tr>
    </w:tbl>
    <w:bookmarkEnd w:id="12"/>
    <w:p w14:paraId="45B86289" w14:textId="552A37C3" w:rsidR="006C5371" w:rsidRPr="006C5371" w:rsidRDefault="006C5371" w:rsidP="00F9393E">
      <w:pPr>
        <w:pStyle w:val="3-BodyText"/>
        <w:rPr>
          <w:color w:val="0066FF"/>
        </w:rPr>
      </w:pPr>
      <w:r w:rsidRPr="00F91542">
        <w:rPr>
          <w:rFonts w:cstheme="minorHAnsi"/>
          <w:iCs/>
        </w:rPr>
        <w:t xml:space="preserve">Suggestions and additions proposed by the Secretariat are added in italics and suggested deletions are crossed out with </w:t>
      </w:r>
      <w:r w:rsidR="00AC5580" w:rsidRPr="00F91542">
        <w:rPr>
          <w:rFonts w:cstheme="minorHAnsi"/>
          <w:iCs/>
        </w:rPr>
        <w:t>strikethrough.</w:t>
      </w:r>
      <w:r w:rsidRPr="00B57FD5">
        <w:t xml:space="preserve"> </w:t>
      </w:r>
    </w:p>
    <w:p w14:paraId="73C3405D" w14:textId="31E8A96C" w:rsidR="00B57FD5" w:rsidRPr="00B57FD5" w:rsidRDefault="00B20819" w:rsidP="00F9393E">
      <w:pPr>
        <w:pStyle w:val="3-BodyText"/>
        <w:rPr>
          <w:color w:val="0066FF"/>
        </w:rPr>
      </w:pPr>
      <w:r w:rsidRPr="00B57FD5">
        <w:t>T</w:t>
      </w:r>
      <w:r w:rsidR="00B57FD5" w:rsidRPr="00B57FD5">
        <w:t>he submission</w:t>
      </w:r>
      <w:r w:rsidRPr="00B57FD5">
        <w:t xml:space="preserve"> requested a Special Pricing </w:t>
      </w:r>
      <w:r w:rsidR="00B57FD5" w:rsidRPr="00B57FD5">
        <w:t>Arrangement for Xeomin for this indication</w:t>
      </w:r>
      <w:r w:rsidR="00B57FD5">
        <w:t xml:space="preserve">, consistent with existing listings. </w:t>
      </w:r>
    </w:p>
    <w:p w14:paraId="73691498" w14:textId="77777777" w:rsidR="00EB64E2" w:rsidRPr="00EB64E2" w:rsidRDefault="00963650" w:rsidP="00F9393E">
      <w:pPr>
        <w:pStyle w:val="3-BodyText"/>
        <w:rPr>
          <w:i/>
          <w:iCs/>
          <w:color w:val="000000" w:themeColor="text1"/>
        </w:rPr>
      </w:pPr>
      <w:r w:rsidRPr="009F7FAD">
        <w:rPr>
          <w:color w:val="000000" w:themeColor="text1"/>
        </w:rPr>
        <w:t xml:space="preserve">The TGA approval is </w:t>
      </w:r>
      <w:r w:rsidR="009F7FAD">
        <w:rPr>
          <w:color w:val="000000" w:themeColor="text1"/>
        </w:rPr>
        <w:t xml:space="preserve">for the treatment of spasticity, regardless of the underlying cause. </w:t>
      </w:r>
    </w:p>
    <w:p w14:paraId="6C44E9DE" w14:textId="3FF8E3ED" w:rsidR="009F7FAD" w:rsidRPr="004C55C7" w:rsidRDefault="009F7FAD" w:rsidP="00C009AC">
      <w:pPr>
        <w:pStyle w:val="3-BodyText"/>
        <w:rPr>
          <w:color w:val="000000" w:themeColor="text1"/>
        </w:rPr>
      </w:pPr>
      <w:r w:rsidRPr="004C55C7">
        <w:rPr>
          <w:color w:val="000000" w:themeColor="text1"/>
        </w:rPr>
        <w:t>The restriction</w:t>
      </w:r>
      <w:r w:rsidR="0026287D" w:rsidRPr="004C55C7">
        <w:rPr>
          <w:color w:val="000000" w:themeColor="text1"/>
        </w:rPr>
        <w:t>, based on current restrictions for Botox</w:t>
      </w:r>
      <w:r w:rsidR="00AB3366" w:rsidRPr="00AB3366">
        <w:rPr>
          <w:color w:val="000000" w:themeColor="text1"/>
          <w:lang w:val="en-GB"/>
        </w:rPr>
        <w:t>®</w:t>
      </w:r>
      <w:r w:rsidR="0026287D" w:rsidRPr="004C55C7">
        <w:rPr>
          <w:color w:val="000000" w:themeColor="text1"/>
        </w:rPr>
        <w:t xml:space="preserve"> and Dysport</w:t>
      </w:r>
      <w:r w:rsidR="00AB3366" w:rsidRPr="00AB3366">
        <w:rPr>
          <w:color w:val="000000" w:themeColor="text1"/>
          <w:lang w:val="en-GB"/>
        </w:rPr>
        <w:t>®</w:t>
      </w:r>
      <w:r w:rsidR="0026287D" w:rsidRPr="004C55C7">
        <w:rPr>
          <w:color w:val="000000" w:themeColor="text1"/>
        </w:rPr>
        <w:t>,</w:t>
      </w:r>
      <w:r w:rsidRPr="004C55C7">
        <w:rPr>
          <w:color w:val="000000" w:themeColor="text1"/>
        </w:rPr>
        <w:t xml:space="preserve"> confines use to patients with stroke, spinal cord injury, or traumatic brain injury. This is not </w:t>
      </w:r>
      <w:r w:rsidR="00055127" w:rsidRPr="004C55C7">
        <w:rPr>
          <w:color w:val="000000" w:themeColor="text1"/>
        </w:rPr>
        <w:t>strictly consistent with</w:t>
      </w:r>
      <w:r w:rsidRPr="004C55C7">
        <w:rPr>
          <w:color w:val="000000" w:themeColor="text1"/>
        </w:rPr>
        <w:t xml:space="preserve"> the population in the submitted trials, because the trials included only patients with stroke. It is also not a consequence of the pathophysiology of spasticity</w:t>
      </w:r>
      <w:r w:rsidR="00194A7E" w:rsidRPr="004C55C7">
        <w:rPr>
          <w:color w:val="000000" w:themeColor="text1"/>
        </w:rPr>
        <w:t xml:space="preserve"> or</w:t>
      </w:r>
      <w:r w:rsidRPr="004C55C7">
        <w:rPr>
          <w:color w:val="000000" w:themeColor="text1"/>
        </w:rPr>
        <w:t xml:space="preserve"> the mechanism of action of botulinum toxin. </w:t>
      </w:r>
      <w:r w:rsidR="007779D4" w:rsidRPr="004C55C7">
        <w:rPr>
          <w:color w:val="000000" w:themeColor="text1"/>
        </w:rPr>
        <w:t>If the listing of botulinum toxins</w:t>
      </w:r>
      <w:r w:rsidR="00765CA2" w:rsidRPr="004C55C7">
        <w:rPr>
          <w:color w:val="000000" w:themeColor="text1"/>
        </w:rPr>
        <w:t xml:space="preserve"> can be extended to include acute events, this raises the question of whether the same could be done for chronic conditions (i.e. patients with spasticity due to conditions such as multiple sclerosis, and for adults with cerebral palsy). </w:t>
      </w:r>
      <w:r w:rsidR="00300B82">
        <w:rPr>
          <w:color w:val="000000" w:themeColor="text1"/>
        </w:rPr>
        <w:t xml:space="preserve">The pre-PBAC response stated </w:t>
      </w:r>
      <w:r w:rsidR="004E5766">
        <w:rPr>
          <w:color w:val="000000" w:themeColor="text1"/>
        </w:rPr>
        <w:t>that the submission is for the same indication as the existi</w:t>
      </w:r>
      <w:r w:rsidR="00E10F24">
        <w:rPr>
          <w:color w:val="000000" w:themeColor="text1"/>
        </w:rPr>
        <w:t>ng Botox</w:t>
      </w:r>
      <w:r w:rsidR="00AB3366" w:rsidRPr="00AB3366">
        <w:rPr>
          <w:color w:val="000000" w:themeColor="text1"/>
          <w:lang w:val="en-GB"/>
        </w:rPr>
        <w:t>®</w:t>
      </w:r>
      <w:r w:rsidR="00E10F24">
        <w:rPr>
          <w:color w:val="000000" w:themeColor="text1"/>
        </w:rPr>
        <w:t xml:space="preserve"> and </w:t>
      </w:r>
      <w:r w:rsidR="00E10F24">
        <w:rPr>
          <w:color w:val="000000" w:themeColor="text1"/>
        </w:rPr>
        <w:lastRenderedPageBreak/>
        <w:t>Dysport</w:t>
      </w:r>
      <w:r w:rsidR="00AB3366" w:rsidRPr="00AB3366">
        <w:rPr>
          <w:color w:val="000000" w:themeColor="text1"/>
          <w:lang w:val="en-GB"/>
        </w:rPr>
        <w:t>®</w:t>
      </w:r>
      <w:r w:rsidR="00E10F24">
        <w:rPr>
          <w:color w:val="000000" w:themeColor="text1"/>
        </w:rPr>
        <w:t xml:space="preserve"> listings</w:t>
      </w:r>
      <w:r w:rsidR="00A54477">
        <w:rPr>
          <w:color w:val="000000" w:themeColor="text1"/>
        </w:rPr>
        <w:t xml:space="preserve"> </w:t>
      </w:r>
      <w:r w:rsidR="00372448">
        <w:rPr>
          <w:color w:val="000000" w:themeColor="text1"/>
        </w:rPr>
        <w:t xml:space="preserve">with proposed restriction wording that has already been accepted by the PBAC. </w:t>
      </w:r>
    </w:p>
    <w:p w14:paraId="34A7FD5F" w14:textId="54483639" w:rsidR="00A622A2" w:rsidRPr="009A2D1C" w:rsidRDefault="00A622A2" w:rsidP="00C009AC">
      <w:pPr>
        <w:pStyle w:val="3-BodyText"/>
        <w:rPr>
          <w:color w:val="000000" w:themeColor="text1"/>
        </w:rPr>
      </w:pPr>
      <w:r w:rsidRPr="004C55C7">
        <w:t xml:space="preserve">The submission inconsistently </w:t>
      </w:r>
      <w:r w:rsidR="00875993" w:rsidRPr="004C55C7">
        <w:t>described</w:t>
      </w:r>
      <w:r w:rsidRPr="004C55C7">
        <w:t xml:space="preserve"> the severity of spasticity required for the proposed listing</w:t>
      </w:r>
      <w:r w:rsidR="00E80C2E" w:rsidRPr="004C55C7">
        <w:t xml:space="preserve">, </w:t>
      </w:r>
      <w:r w:rsidRPr="004C55C7">
        <w:t xml:space="preserve">with a Modified Ashworth Scale score of at least 2 in Table 1.1.1 of the submission but of at least 3 in Table 1.4.2. </w:t>
      </w:r>
    </w:p>
    <w:p w14:paraId="3EE2BFD8" w14:textId="742C9EC6" w:rsidR="009A2D1C" w:rsidRPr="004C55C7" w:rsidRDefault="009A2D1C" w:rsidP="009A2D1C">
      <w:pPr>
        <w:pStyle w:val="3-BodyText"/>
        <w:numPr>
          <w:ilvl w:val="0"/>
          <w:numId w:val="0"/>
        </w:numPr>
        <w:ind w:left="720"/>
        <w:rPr>
          <w:color w:val="000000" w:themeColor="text1"/>
        </w:rPr>
      </w:pPr>
      <w:r w:rsidRPr="00C33D30">
        <w:rPr>
          <w:i/>
        </w:rPr>
        <w:t>For more detail on PBAC’s view, see section 7 PBAC outcome.</w:t>
      </w:r>
    </w:p>
    <w:p w14:paraId="7075B85C" w14:textId="62A47B7B" w:rsidR="00B50DB8" w:rsidRPr="004C55C7" w:rsidDel="00195452" w:rsidRDefault="00203181" w:rsidP="004E18E9">
      <w:pPr>
        <w:pStyle w:val="2-SectionHeading"/>
      </w:pPr>
      <w:bookmarkStart w:id="13" w:name="_Toc219899370"/>
      <w:r w:rsidRPr="004C55C7" w:rsidDel="00195452">
        <w:t xml:space="preserve">Population and </w:t>
      </w:r>
      <w:r w:rsidR="008E0D3C" w:rsidRPr="004C55C7" w:rsidDel="00195452">
        <w:t>d</w:t>
      </w:r>
      <w:r w:rsidRPr="004C55C7" w:rsidDel="00195452">
        <w:t>isease</w:t>
      </w:r>
      <w:bookmarkEnd w:id="13"/>
    </w:p>
    <w:p w14:paraId="58917BE3" w14:textId="26225B55" w:rsidR="006C2ACD" w:rsidRPr="004C55C7" w:rsidRDefault="00701A1B" w:rsidP="004E18E9">
      <w:pPr>
        <w:pStyle w:val="3-BodyText"/>
        <w:rPr>
          <w:color w:val="000000" w:themeColor="text1"/>
        </w:rPr>
      </w:pPr>
      <w:r w:rsidRPr="004C55C7">
        <w:rPr>
          <w:color w:val="000000" w:themeColor="text1"/>
        </w:rPr>
        <w:t xml:space="preserve">Spasticity is </w:t>
      </w:r>
      <w:r w:rsidR="003904F7" w:rsidRPr="004C55C7">
        <w:rPr>
          <w:color w:val="000000" w:themeColor="text1"/>
        </w:rPr>
        <w:t xml:space="preserve">increased muscle tone, </w:t>
      </w:r>
      <w:r w:rsidR="006C2ACD" w:rsidRPr="004C55C7">
        <w:rPr>
          <w:color w:val="000000" w:themeColor="text1"/>
        </w:rPr>
        <w:t xml:space="preserve">detected on physical examination as </w:t>
      </w:r>
      <w:r w:rsidR="003904F7" w:rsidRPr="004C55C7">
        <w:rPr>
          <w:color w:val="000000" w:themeColor="text1"/>
        </w:rPr>
        <w:t>resistance to passive muscle stretch</w:t>
      </w:r>
      <w:r w:rsidR="006C2ACD" w:rsidRPr="004C55C7">
        <w:rPr>
          <w:color w:val="000000" w:themeColor="text1"/>
        </w:rPr>
        <w:t xml:space="preserve"> that increases with greater velocity of muscle stretching. It commonly affects mainly the flexor muscles of the upper limb and the extensor muscles of the trunk and lower limb.</w:t>
      </w:r>
    </w:p>
    <w:p w14:paraId="6FEF3765" w14:textId="1F0F08CE" w:rsidR="006C2ACD" w:rsidRPr="004C55C7" w:rsidRDefault="00194A7E" w:rsidP="004E18E9">
      <w:pPr>
        <w:pStyle w:val="3-BodyText"/>
        <w:rPr>
          <w:color w:val="000000" w:themeColor="text1"/>
        </w:rPr>
      </w:pPr>
      <w:r w:rsidRPr="004C55C7">
        <w:rPr>
          <w:color w:val="000000" w:themeColor="text1"/>
        </w:rPr>
        <w:t>Spasticity is due to interruption of descending inhibition of spinal motor neurones. As a result, m</w:t>
      </w:r>
      <w:r w:rsidR="00E646A0" w:rsidRPr="004C55C7">
        <w:rPr>
          <w:color w:val="000000" w:themeColor="text1"/>
        </w:rPr>
        <w:t>any neurological</w:t>
      </w:r>
      <w:r w:rsidR="006C2ACD" w:rsidRPr="004C55C7">
        <w:rPr>
          <w:color w:val="000000" w:themeColor="text1"/>
        </w:rPr>
        <w:t xml:space="preserve"> diseases cause spasticity in adults</w:t>
      </w:r>
      <w:r w:rsidR="00E646A0" w:rsidRPr="004C55C7">
        <w:rPr>
          <w:color w:val="000000" w:themeColor="text1"/>
        </w:rPr>
        <w:t>. T</w:t>
      </w:r>
      <w:r w:rsidR="006C2ACD" w:rsidRPr="004C55C7">
        <w:rPr>
          <w:color w:val="000000" w:themeColor="text1"/>
        </w:rPr>
        <w:t>he</w:t>
      </w:r>
      <w:r w:rsidR="00E646A0" w:rsidRPr="004C55C7">
        <w:rPr>
          <w:color w:val="000000" w:themeColor="text1"/>
        </w:rPr>
        <w:t xml:space="preserve"> </w:t>
      </w:r>
      <w:r w:rsidR="006C2ACD" w:rsidRPr="004C55C7">
        <w:rPr>
          <w:color w:val="000000" w:themeColor="text1"/>
        </w:rPr>
        <w:t>commonest</w:t>
      </w:r>
      <w:r w:rsidR="00E646A0" w:rsidRPr="004C55C7">
        <w:rPr>
          <w:color w:val="000000" w:themeColor="text1"/>
        </w:rPr>
        <w:t xml:space="preserve"> are stroke, </w:t>
      </w:r>
      <w:r w:rsidR="00667E75" w:rsidRPr="004C55C7">
        <w:rPr>
          <w:color w:val="000000" w:themeColor="text1"/>
        </w:rPr>
        <w:t xml:space="preserve">traumatic brain injury, </w:t>
      </w:r>
      <w:r w:rsidR="00E646A0" w:rsidRPr="004C55C7">
        <w:rPr>
          <w:color w:val="000000" w:themeColor="text1"/>
        </w:rPr>
        <w:t>spinal cord injury, multiple sclerosis and cerebral palsy</w:t>
      </w:r>
      <w:r w:rsidR="00667E75" w:rsidRPr="004C55C7">
        <w:rPr>
          <w:color w:val="000000" w:themeColor="text1"/>
        </w:rPr>
        <w:t xml:space="preserve"> (the last two are excluded from the current submission)</w:t>
      </w:r>
      <w:r w:rsidR="00E646A0" w:rsidRPr="004C55C7">
        <w:rPr>
          <w:color w:val="000000" w:themeColor="text1"/>
        </w:rPr>
        <w:t>.</w:t>
      </w:r>
    </w:p>
    <w:p w14:paraId="57FB0E29" w14:textId="0DCCAA31" w:rsidR="006C2ACD" w:rsidRPr="004C55C7" w:rsidRDefault="00E646A0" w:rsidP="004E18E9">
      <w:pPr>
        <w:pStyle w:val="3-BodyText"/>
        <w:rPr>
          <w:color w:val="000000" w:themeColor="text1"/>
        </w:rPr>
      </w:pPr>
      <w:r w:rsidRPr="004C55C7">
        <w:rPr>
          <w:color w:val="000000" w:themeColor="text1"/>
        </w:rPr>
        <w:t>A common and functionally important result of l</w:t>
      </w:r>
      <w:r w:rsidR="006C2ACD" w:rsidRPr="004C55C7">
        <w:rPr>
          <w:color w:val="000000" w:themeColor="text1"/>
        </w:rPr>
        <w:t xml:space="preserve">ower limb spasticity </w:t>
      </w:r>
      <w:r w:rsidRPr="004C55C7">
        <w:rPr>
          <w:color w:val="000000" w:themeColor="text1"/>
        </w:rPr>
        <w:t>is</w:t>
      </w:r>
      <w:r w:rsidR="006C2ACD" w:rsidRPr="004C55C7">
        <w:rPr>
          <w:color w:val="000000" w:themeColor="text1"/>
        </w:rPr>
        <w:t xml:space="preserve"> </w:t>
      </w:r>
      <w:r w:rsidR="003E4F0A" w:rsidRPr="004C55C7">
        <w:rPr>
          <w:color w:val="000000" w:themeColor="text1"/>
        </w:rPr>
        <w:t xml:space="preserve">fixed </w:t>
      </w:r>
      <w:r w:rsidR="006C2ACD" w:rsidRPr="004C55C7">
        <w:rPr>
          <w:color w:val="000000" w:themeColor="text1"/>
        </w:rPr>
        <w:t>plantar flexion of the ankle - "pes equinus"</w:t>
      </w:r>
      <w:r w:rsidR="00667E75" w:rsidRPr="004C55C7">
        <w:rPr>
          <w:color w:val="000000" w:themeColor="text1"/>
        </w:rPr>
        <w:t xml:space="preserve"> -</w:t>
      </w:r>
      <w:r w:rsidR="00F5640D" w:rsidRPr="004C55C7">
        <w:rPr>
          <w:color w:val="000000" w:themeColor="text1"/>
        </w:rPr>
        <w:t xml:space="preserve"> l</w:t>
      </w:r>
      <w:r w:rsidRPr="004C55C7">
        <w:rPr>
          <w:color w:val="000000" w:themeColor="text1"/>
        </w:rPr>
        <w:t xml:space="preserve">imiting mobility and increasing the need for </w:t>
      </w:r>
      <w:r w:rsidR="00667E75" w:rsidRPr="004C55C7">
        <w:rPr>
          <w:color w:val="000000" w:themeColor="text1"/>
        </w:rPr>
        <w:t>assistive devices</w:t>
      </w:r>
      <w:r w:rsidRPr="004C55C7">
        <w:rPr>
          <w:color w:val="000000" w:themeColor="text1"/>
        </w:rPr>
        <w:t xml:space="preserve"> and </w:t>
      </w:r>
      <w:r w:rsidR="00667E75" w:rsidRPr="004C55C7">
        <w:rPr>
          <w:color w:val="000000" w:themeColor="text1"/>
        </w:rPr>
        <w:t xml:space="preserve">personal </w:t>
      </w:r>
      <w:r w:rsidRPr="004C55C7">
        <w:rPr>
          <w:color w:val="000000" w:themeColor="text1"/>
        </w:rPr>
        <w:t xml:space="preserve">assistance. </w:t>
      </w:r>
    </w:p>
    <w:p w14:paraId="418D6AD5" w14:textId="0A063D0C" w:rsidR="004A3CC2" w:rsidRPr="004C55C7" w:rsidRDefault="004A3CC2" w:rsidP="004E18E9">
      <w:pPr>
        <w:pStyle w:val="3-BodyText"/>
        <w:rPr>
          <w:color w:val="000000" w:themeColor="text1"/>
        </w:rPr>
      </w:pPr>
      <w:r w:rsidRPr="004C55C7">
        <w:rPr>
          <w:color w:val="000000" w:themeColor="text1"/>
        </w:rPr>
        <w:t>Botulinum toxin blocks the release of acetylcholine at the neuromuscular junction</w:t>
      </w:r>
      <w:r w:rsidR="00875993" w:rsidRPr="004C55C7">
        <w:rPr>
          <w:color w:val="000000" w:themeColor="text1"/>
        </w:rPr>
        <w:t>,</w:t>
      </w:r>
      <w:r w:rsidRPr="004C55C7">
        <w:rPr>
          <w:color w:val="000000" w:themeColor="text1"/>
        </w:rPr>
        <w:t xml:space="preserve"> </w:t>
      </w:r>
      <w:r w:rsidR="00194A7E" w:rsidRPr="004C55C7">
        <w:rPr>
          <w:color w:val="000000" w:themeColor="text1"/>
        </w:rPr>
        <w:t xml:space="preserve">which </w:t>
      </w:r>
      <w:r w:rsidRPr="004C55C7">
        <w:rPr>
          <w:color w:val="000000" w:themeColor="text1"/>
        </w:rPr>
        <w:t xml:space="preserve">weakens the muscle. It does not </w:t>
      </w:r>
      <w:r w:rsidR="00FC1C6E" w:rsidRPr="004C55C7">
        <w:rPr>
          <w:color w:val="000000" w:themeColor="text1"/>
        </w:rPr>
        <w:t>affect</w:t>
      </w:r>
      <w:r w:rsidRPr="004C55C7">
        <w:rPr>
          <w:color w:val="000000" w:themeColor="text1"/>
        </w:rPr>
        <w:t xml:space="preserve"> the underlying neural processes that cause spasticity. </w:t>
      </w:r>
    </w:p>
    <w:p w14:paraId="1848FA56" w14:textId="6AD9D19A" w:rsidR="00C62F2F" w:rsidRPr="004C55C7" w:rsidRDefault="004E048B" w:rsidP="004E18E9">
      <w:pPr>
        <w:pStyle w:val="3-BodyText"/>
        <w:rPr>
          <w:color w:val="000000" w:themeColor="text1"/>
        </w:rPr>
      </w:pPr>
      <w:r w:rsidRPr="004C55C7">
        <w:rPr>
          <w:color w:val="000000" w:themeColor="text1"/>
        </w:rPr>
        <w:t xml:space="preserve">The submitted treatment </w:t>
      </w:r>
      <w:r w:rsidR="00C62F2F" w:rsidRPr="004C55C7">
        <w:rPr>
          <w:color w:val="000000" w:themeColor="text1"/>
        </w:rPr>
        <w:t>algorithm is that for children and adolescents with pes equinus</w:t>
      </w:r>
      <w:r w:rsidR="00AD632A" w:rsidRPr="004C55C7">
        <w:rPr>
          <w:color w:val="000000" w:themeColor="text1"/>
        </w:rPr>
        <w:t>, which is uncommonly due to stroke or traumatic brain or spinal cord injury.</w:t>
      </w:r>
      <w:r w:rsidR="00C62F2F" w:rsidRPr="004C55C7">
        <w:rPr>
          <w:color w:val="000000" w:themeColor="text1"/>
        </w:rPr>
        <w:t xml:space="preserve"> </w:t>
      </w:r>
      <w:r w:rsidR="00AD632A" w:rsidRPr="004C55C7">
        <w:rPr>
          <w:color w:val="000000" w:themeColor="text1"/>
        </w:rPr>
        <w:t>This algorithm</w:t>
      </w:r>
      <w:r w:rsidR="00C62F2F" w:rsidRPr="004C55C7">
        <w:rPr>
          <w:color w:val="000000" w:themeColor="text1"/>
        </w:rPr>
        <w:t xml:space="preserve"> </w:t>
      </w:r>
      <w:r w:rsidRPr="004C55C7">
        <w:rPr>
          <w:color w:val="000000" w:themeColor="text1"/>
        </w:rPr>
        <w:t xml:space="preserve">proposes that all patients with focal spasticity and MAS score </w:t>
      </w:r>
      <w:r w:rsidRPr="004C55C7">
        <w:rPr>
          <w:rFonts w:ascii="Symbol" w:eastAsia="Symbol" w:hAnsi="Symbol" w:cs="Symbol"/>
          <w:color w:val="000000" w:themeColor="text1"/>
        </w:rPr>
        <w:t>³</w:t>
      </w:r>
      <w:r w:rsidRPr="004C55C7">
        <w:rPr>
          <w:color w:val="000000" w:themeColor="text1"/>
        </w:rPr>
        <w:t xml:space="preserve">2 (not </w:t>
      </w:r>
      <w:r w:rsidR="004A3CC2" w:rsidRPr="004C55C7">
        <w:rPr>
          <w:rFonts w:ascii="Symbol" w:eastAsia="Symbol" w:hAnsi="Symbol" w:cs="Symbol"/>
          <w:color w:val="000000" w:themeColor="text1"/>
        </w:rPr>
        <w:t>³</w:t>
      </w:r>
      <w:r w:rsidRPr="004C55C7">
        <w:rPr>
          <w:color w:val="000000" w:themeColor="text1"/>
        </w:rPr>
        <w:t xml:space="preserve">3 as proposed for listing) would receive botulinum toxin as first-line treatment. This is not consistent with the proposed restriction, which requires failure of standard management. </w:t>
      </w:r>
    </w:p>
    <w:p w14:paraId="7D9D0069" w14:textId="5372A556" w:rsidR="004E048B" w:rsidRPr="004C55C7" w:rsidRDefault="00C62F2F" w:rsidP="004E18E9">
      <w:pPr>
        <w:pStyle w:val="3-BodyText"/>
        <w:rPr>
          <w:color w:val="000000" w:themeColor="text1"/>
        </w:rPr>
      </w:pPr>
      <w:r w:rsidRPr="004C55C7">
        <w:rPr>
          <w:color w:val="000000" w:themeColor="text1"/>
        </w:rPr>
        <w:t xml:space="preserve">It was stated by the submission that the proposed algorithm "reflects [...] current Australian clinical guidelines", but no reference was provided. </w:t>
      </w:r>
      <w:r w:rsidR="00A81535" w:rsidRPr="004C55C7">
        <w:rPr>
          <w:color w:val="000000" w:themeColor="text1"/>
        </w:rPr>
        <w:t xml:space="preserve">Australian </w:t>
      </w:r>
      <w:r w:rsidR="002A53EA" w:rsidRPr="004C55C7">
        <w:rPr>
          <w:color w:val="000000" w:themeColor="text1"/>
        </w:rPr>
        <w:t xml:space="preserve">Stroke Foundation guidelines </w:t>
      </w:r>
      <w:r w:rsidRPr="004C55C7">
        <w:rPr>
          <w:color w:val="000000" w:themeColor="text1"/>
        </w:rPr>
        <w:t>suggest that "Interventions to reduce spasticity should be considered when the level of spasticity interferes with activity or the ability to provide care to the stroke survivor" and that "with lower limb spasticity, Botulinum Toxin A in addition to rehabilitation therapy may be used to reduce spasticity but is unlikely to improve motor function or walking".</w:t>
      </w:r>
      <w:r w:rsidRPr="004C55C7">
        <w:rPr>
          <w:rStyle w:val="FootnoteReference"/>
          <w:color w:val="000000" w:themeColor="text1"/>
        </w:rPr>
        <w:footnoteReference w:id="1"/>
      </w:r>
    </w:p>
    <w:p w14:paraId="405F506D" w14:textId="76123A65" w:rsidR="00374C49" w:rsidRDefault="004A3CC2" w:rsidP="004E18E9">
      <w:pPr>
        <w:pStyle w:val="3-BodyText"/>
        <w:rPr>
          <w:color w:val="000000" w:themeColor="text1"/>
        </w:rPr>
      </w:pPr>
      <w:r w:rsidRPr="004C55C7">
        <w:rPr>
          <w:color w:val="000000" w:themeColor="text1"/>
        </w:rPr>
        <w:t xml:space="preserve">There are seven antigenically distinct botulinum toxins, Types A to G, of which Types A and B are used in medicine. </w:t>
      </w:r>
      <w:r w:rsidR="00A55C8B" w:rsidRPr="004C55C7">
        <w:rPr>
          <w:color w:val="000000" w:themeColor="text1"/>
        </w:rPr>
        <w:t>Xeomin is a preparation of botulinum toxin</w:t>
      </w:r>
      <w:r w:rsidR="00BB7EFE" w:rsidRPr="004C55C7">
        <w:rPr>
          <w:color w:val="000000" w:themeColor="text1"/>
        </w:rPr>
        <w:t xml:space="preserve"> Type A</w:t>
      </w:r>
      <w:r w:rsidR="00A55C8B" w:rsidRPr="004C55C7">
        <w:rPr>
          <w:color w:val="000000" w:themeColor="text1"/>
        </w:rPr>
        <w:t xml:space="preserve">, with </w:t>
      </w:r>
      <w:r w:rsidR="00A55C8B" w:rsidRPr="004C55C7">
        <w:rPr>
          <w:color w:val="000000" w:themeColor="text1"/>
        </w:rPr>
        <w:lastRenderedPageBreak/>
        <w:t>the non-proprietary name incobotulinumtoxin</w:t>
      </w:r>
      <w:r w:rsidR="008637A8" w:rsidRPr="004C55C7">
        <w:rPr>
          <w:color w:val="000000" w:themeColor="text1"/>
        </w:rPr>
        <w:t>A.</w:t>
      </w:r>
      <w:r w:rsidR="002B5487" w:rsidRPr="004C55C7">
        <w:rPr>
          <w:rStyle w:val="FootnoteReference"/>
        </w:rPr>
        <w:footnoteReference w:id="2"/>
      </w:r>
      <w:r w:rsidR="00BB7EFE" w:rsidRPr="004C55C7">
        <w:rPr>
          <w:rStyle w:val="FootnoteReference"/>
          <w:color w:val="000000" w:themeColor="text1"/>
        </w:rPr>
        <w:t xml:space="preserve"> </w:t>
      </w:r>
      <w:r w:rsidRPr="004C55C7">
        <w:rPr>
          <w:color w:val="000000" w:themeColor="text1"/>
        </w:rPr>
        <w:t>Xeomin</w:t>
      </w:r>
      <w:r w:rsidR="00A55C8B" w:rsidRPr="004C55C7">
        <w:rPr>
          <w:color w:val="000000" w:themeColor="text1"/>
        </w:rPr>
        <w:t xml:space="preserve"> contains only the 150 kD toxin, without </w:t>
      </w:r>
      <w:r w:rsidR="00CB5ED2" w:rsidRPr="004C55C7">
        <w:rPr>
          <w:color w:val="000000" w:themeColor="text1"/>
        </w:rPr>
        <w:t>the neurotoxin-associated proteins (also called hemagglutinins and complexing proteins) present in the native botulinum toxin complex and retained</w:t>
      </w:r>
      <w:r w:rsidR="00A55C8B" w:rsidRPr="004C55C7">
        <w:rPr>
          <w:color w:val="000000" w:themeColor="text1"/>
        </w:rPr>
        <w:t xml:space="preserve"> in Botox</w:t>
      </w:r>
      <w:r w:rsidR="00256494" w:rsidRPr="004C55C7">
        <w:rPr>
          <w:color w:val="000000" w:themeColor="text1"/>
        </w:rPr>
        <w:t xml:space="preserve"> (onabotulinumtoxinA)</w:t>
      </w:r>
      <w:r w:rsidR="00A55C8B" w:rsidRPr="004C55C7">
        <w:rPr>
          <w:color w:val="000000" w:themeColor="text1"/>
        </w:rPr>
        <w:t xml:space="preserve"> and Dysport</w:t>
      </w:r>
      <w:r w:rsidR="00BB7EFE" w:rsidRPr="004C55C7">
        <w:rPr>
          <w:color w:val="000000" w:themeColor="text1"/>
        </w:rPr>
        <w:t xml:space="preserve"> (abobotulinumtoxin</w:t>
      </w:r>
      <w:r w:rsidR="005C2765" w:rsidRPr="004C55C7">
        <w:rPr>
          <w:color w:val="000000" w:themeColor="text1"/>
        </w:rPr>
        <w:t>A</w:t>
      </w:r>
      <w:r w:rsidR="003D149D" w:rsidRPr="004C55C7">
        <w:rPr>
          <w:color w:val="000000" w:themeColor="text1"/>
        </w:rPr>
        <w:t>)</w:t>
      </w:r>
      <w:r w:rsidR="00E04CA2" w:rsidRPr="004C55C7">
        <w:rPr>
          <w:color w:val="000000" w:themeColor="text1"/>
        </w:rPr>
        <w:t>.</w:t>
      </w:r>
      <w:r w:rsidR="00A55C8B" w:rsidRPr="004C55C7">
        <w:rPr>
          <w:color w:val="000000" w:themeColor="text1"/>
        </w:rPr>
        <w:t xml:space="preserve"> </w:t>
      </w:r>
      <w:r w:rsidR="003D149D" w:rsidRPr="004C55C7">
        <w:rPr>
          <w:color w:val="000000" w:themeColor="text1"/>
        </w:rPr>
        <w:t xml:space="preserve">The submission </w:t>
      </w:r>
      <w:r w:rsidR="00A55C8B" w:rsidRPr="004C55C7">
        <w:rPr>
          <w:color w:val="000000" w:themeColor="text1"/>
        </w:rPr>
        <w:t xml:space="preserve">suggested that </w:t>
      </w:r>
      <w:r w:rsidR="00E82A79" w:rsidRPr="004C55C7">
        <w:rPr>
          <w:color w:val="000000" w:themeColor="text1"/>
        </w:rPr>
        <w:t>because</w:t>
      </w:r>
      <w:r w:rsidR="00A55C8B" w:rsidRPr="004C55C7">
        <w:rPr>
          <w:color w:val="000000" w:themeColor="text1"/>
        </w:rPr>
        <w:t xml:space="preserve"> Xeomin </w:t>
      </w:r>
      <w:r w:rsidR="00E82A79" w:rsidRPr="004C55C7">
        <w:rPr>
          <w:color w:val="000000" w:themeColor="text1"/>
        </w:rPr>
        <w:t xml:space="preserve">does not contain the neurotoxin-associated proteins it </w:t>
      </w:r>
      <w:r w:rsidR="00A55C8B" w:rsidRPr="004C55C7">
        <w:rPr>
          <w:color w:val="000000" w:themeColor="text1"/>
        </w:rPr>
        <w:t xml:space="preserve">has a lower risk of </w:t>
      </w:r>
      <w:r w:rsidR="00BB7EFE" w:rsidRPr="004C55C7">
        <w:rPr>
          <w:color w:val="000000" w:themeColor="text1"/>
        </w:rPr>
        <w:t>immunogenic responses and secondary failure</w:t>
      </w:r>
      <w:r w:rsidR="009D77D0" w:rsidRPr="004C55C7">
        <w:rPr>
          <w:color w:val="000000" w:themeColor="text1"/>
        </w:rPr>
        <w:t xml:space="preserve"> </w:t>
      </w:r>
      <w:r w:rsidR="00AA775A" w:rsidRPr="004C55C7">
        <w:rPr>
          <w:color w:val="000000" w:themeColor="text1"/>
        </w:rPr>
        <w:t xml:space="preserve">but this is not </w:t>
      </w:r>
      <w:r w:rsidR="00194A7E" w:rsidRPr="004C55C7">
        <w:rPr>
          <w:color w:val="000000" w:themeColor="text1"/>
        </w:rPr>
        <w:t xml:space="preserve">well </w:t>
      </w:r>
      <w:r w:rsidR="00AA775A" w:rsidRPr="004C55C7">
        <w:rPr>
          <w:color w:val="000000" w:themeColor="text1"/>
        </w:rPr>
        <w:t>supported by evidence</w:t>
      </w:r>
      <w:r w:rsidR="0088124C" w:rsidRPr="004C55C7">
        <w:rPr>
          <w:color w:val="000000" w:themeColor="text1"/>
        </w:rPr>
        <w:t>.</w:t>
      </w:r>
      <w:r w:rsidR="00B03622" w:rsidRPr="004C55C7">
        <w:rPr>
          <w:rStyle w:val="FootnoteReference"/>
          <w:color w:val="000000" w:themeColor="text1"/>
        </w:rPr>
        <w:footnoteReference w:id="3"/>
      </w:r>
    </w:p>
    <w:p w14:paraId="27F2F88E" w14:textId="69665C77" w:rsidR="009A2D1C" w:rsidRPr="004C55C7" w:rsidRDefault="009A2D1C" w:rsidP="009A2D1C">
      <w:pPr>
        <w:pStyle w:val="3-BodyText"/>
        <w:numPr>
          <w:ilvl w:val="0"/>
          <w:numId w:val="0"/>
        </w:numPr>
        <w:ind w:left="720"/>
        <w:rPr>
          <w:color w:val="000000" w:themeColor="text1"/>
        </w:rPr>
      </w:pPr>
      <w:r w:rsidRPr="00C33D30">
        <w:rPr>
          <w:i/>
        </w:rPr>
        <w:t>For more detail on PBAC’s view, see section 7 PBAC outcome.</w:t>
      </w:r>
    </w:p>
    <w:p w14:paraId="51E5AE96" w14:textId="136A63B1" w:rsidR="00B50DB8" w:rsidRPr="004C55C7" w:rsidRDefault="00B50DB8" w:rsidP="004E18E9">
      <w:pPr>
        <w:pStyle w:val="2-SectionHeading"/>
      </w:pPr>
      <w:bookmarkStart w:id="14" w:name="_Toc219899371"/>
      <w:r w:rsidRPr="004C55C7">
        <w:t>Comparator</w:t>
      </w:r>
      <w:bookmarkEnd w:id="14"/>
    </w:p>
    <w:p w14:paraId="4CE661EB" w14:textId="68E8D738" w:rsidR="005312B8" w:rsidRPr="004C55C7" w:rsidRDefault="005D6D3D" w:rsidP="00882E3C">
      <w:pPr>
        <w:pStyle w:val="3-BodyText"/>
        <w:rPr>
          <w:color w:val="000000" w:themeColor="text1"/>
        </w:rPr>
      </w:pPr>
      <w:r w:rsidRPr="004C55C7">
        <w:rPr>
          <w:color w:val="000000" w:themeColor="text1"/>
        </w:rPr>
        <w:t xml:space="preserve">Botox (onabotulinumtoxinA) was nominated as the primary comparator and Dysport (abobotulinumtoxinA) as the secondary comparator. </w:t>
      </w:r>
      <w:r w:rsidR="008B6972" w:rsidRPr="004C55C7">
        <w:rPr>
          <w:color w:val="000000" w:themeColor="text1"/>
        </w:rPr>
        <w:t>These comparators were reasonable</w:t>
      </w:r>
      <w:r w:rsidR="00393488" w:rsidRPr="004C55C7">
        <w:rPr>
          <w:color w:val="000000" w:themeColor="text1"/>
        </w:rPr>
        <w:t xml:space="preserve"> because th</w:t>
      </w:r>
      <w:r w:rsidR="008B6972" w:rsidRPr="004C55C7">
        <w:rPr>
          <w:color w:val="000000" w:themeColor="text1"/>
        </w:rPr>
        <w:t>e PBAC has previously advised that Botox, Dysport and Xeomin should be treated as interchangeable on an individual patient basis (Paragraph 6.15, Xeomin PSD, November 2019 PBAC Meeting).</w:t>
      </w:r>
    </w:p>
    <w:p w14:paraId="747A75CC" w14:textId="4A73B040" w:rsidR="00A05472" w:rsidRDefault="00B03622" w:rsidP="00882E3C">
      <w:pPr>
        <w:pStyle w:val="3-BodyText"/>
        <w:rPr>
          <w:color w:val="000000" w:themeColor="text1"/>
        </w:rPr>
      </w:pPr>
      <w:r w:rsidRPr="004C55C7">
        <w:rPr>
          <w:color w:val="000000" w:themeColor="text1"/>
        </w:rPr>
        <w:t xml:space="preserve">OnabotulinumtoxinA and </w:t>
      </w:r>
      <w:r w:rsidR="002E6025" w:rsidRPr="004C55C7">
        <w:rPr>
          <w:color w:val="000000" w:themeColor="text1"/>
        </w:rPr>
        <w:t>abobotulinumtoxinA</w:t>
      </w:r>
      <w:r w:rsidRPr="004C55C7">
        <w:rPr>
          <w:color w:val="000000" w:themeColor="text1"/>
        </w:rPr>
        <w:t xml:space="preserve"> are listed on the PBS for the proposed population. If listed, incobotulinumtoxin</w:t>
      </w:r>
      <w:r w:rsidR="002E6025" w:rsidRPr="004C55C7">
        <w:rPr>
          <w:color w:val="000000" w:themeColor="text1"/>
        </w:rPr>
        <w:t>A</w:t>
      </w:r>
      <w:r w:rsidRPr="004C55C7">
        <w:rPr>
          <w:color w:val="000000" w:themeColor="text1"/>
        </w:rPr>
        <w:t xml:space="preserve"> would be used in place of these therapies if chosen by the prescriber.</w:t>
      </w:r>
    </w:p>
    <w:p w14:paraId="65D2E195" w14:textId="1DE39C72" w:rsidR="009A2D1C" w:rsidRPr="004C55C7" w:rsidRDefault="009A2D1C" w:rsidP="009A2D1C">
      <w:pPr>
        <w:pStyle w:val="3-BodyText"/>
        <w:numPr>
          <w:ilvl w:val="0"/>
          <w:numId w:val="0"/>
        </w:numPr>
        <w:ind w:left="720"/>
        <w:rPr>
          <w:color w:val="000000" w:themeColor="text1"/>
        </w:rPr>
      </w:pPr>
      <w:r w:rsidRPr="00C33D30">
        <w:rPr>
          <w:i/>
        </w:rPr>
        <w:t>For more detail on PBAC’s view, see section 7 PBAC outcome.</w:t>
      </w:r>
    </w:p>
    <w:p w14:paraId="7F9C27C8" w14:textId="27D8845A" w:rsidR="00223D5A" w:rsidRPr="004C55C7" w:rsidRDefault="00223D5A" w:rsidP="00223D5A">
      <w:pPr>
        <w:pStyle w:val="2-SectionHeading"/>
        <w:numPr>
          <w:ilvl w:val="0"/>
          <w:numId w:val="1"/>
        </w:numPr>
      </w:pPr>
      <w:bookmarkStart w:id="15" w:name="_Toc219196427"/>
      <w:bookmarkStart w:id="16" w:name="_Toc219196541"/>
      <w:bookmarkStart w:id="17" w:name="_Toc219899372"/>
      <w:bookmarkStart w:id="18" w:name="_Toc22897640"/>
      <w:bookmarkEnd w:id="15"/>
      <w:bookmarkEnd w:id="16"/>
      <w:r w:rsidRPr="004C55C7">
        <w:t>Consideration of the evidence</w:t>
      </w:r>
      <w:bookmarkEnd w:id="17"/>
    </w:p>
    <w:p w14:paraId="112C76B4" w14:textId="77777777" w:rsidR="001469A6" w:rsidRPr="006E1229" w:rsidRDefault="001469A6" w:rsidP="00513386">
      <w:pPr>
        <w:pStyle w:val="4-SubsectionHeading"/>
      </w:pPr>
      <w:bookmarkStart w:id="19" w:name="_Hlk76375935"/>
      <w:bookmarkStart w:id="20" w:name="_Toc219899373"/>
      <w:r w:rsidRPr="006E1229">
        <w:t>Sponsor hearing</w:t>
      </w:r>
    </w:p>
    <w:p w14:paraId="38370084" w14:textId="376ECFB8" w:rsidR="001469A6" w:rsidRPr="00F91542" w:rsidRDefault="001469A6" w:rsidP="001469A6">
      <w:pPr>
        <w:widowControl w:val="0"/>
        <w:numPr>
          <w:ilvl w:val="1"/>
          <w:numId w:val="1"/>
        </w:numPr>
        <w:spacing w:after="120"/>
        <w:rPr>
          <w:rFonts w:cs="Calibri"/>
          <w:bCs/>
          <w:snapToGrid w:val="0"/>
        </w:rPr>
      </w:pPr>
      <w:r w:rsidRPr="00F91542">
        <w:rPr>
          <w:rFonts w:cs="Calibri"/>
          <w:bCs/>
          <w:snapToGrid w:val="0"/>
        </w:rPr>
        <w:t>There was no hearing for this item</w:t>
      </w:r>
      <w:r w:rsidR="001F235B">
        <w:rPr>
          <w:rFonts w:cs="Calibri"/>
          <w:bCs/>
          <w:snapToGrid w:val="0"/>
        </w:rPr>
        <w:t>.</w:t>
      </w:r>
    </w:p>
    <w:p w14:paraId="0C5FB751" w14:textId="77777777" w:rsidR="001469A6" w:rsidRPr="006E1229" w:rsidRDefault="001469A6" w:rsidP="00513386">
      <w:pPr>
        <w:pStyle w:val="4-SubsectionHeading"/>
      </w:pPr>
      <w:r w:rsidRPr="006E1229">
        <w:t xml:space="preserve">Consumer </w:t>
      </w:r>
      <w:r>
        <w:t>input</w:t>
      </w:r>
      <w:r w:rsidRPr="006E1229">
        <w:t>s</w:t>
      </w:r>
    </w:p>
    <w:p w14:paraId="1BF04349" w14:textId="43CC69C1" w:rsidR="001469A6" w:rsidRPr="00836F75" w:rsidRDefault="001469A6" w:rsidP="001469A6">
      <w:pPr>
        <w:widowControl w:val="0"/>
        <w:numPr>
          <w:ilvl w:val="1"/>
          <w:numId w:val="1"/>
        </w:numPr>
        <w:spacing w:after="120"/>
        <w:rPr>
          <w:rFonts w:asciiTheme="minorHAnsi" w:hAnsiTheme="minorHAnsi"/>
          <w:bCs/>
          <w:snapToGrid w:val="0"/>
        </w:rPr>
      </w:pPr>
      <w:bookmarkStart w:id="21" w:name="_Hlk76382618"/>
      <w:r w:rsidRPr="00836F75">
        <w:rPr>
          <w:rFonts w:asciiTheme="minorHAnsi" w:hAnsiTheme="minorHAnsi"/>
          <w:bCs/>
          <w:snapToGrid w:val="0"/>
        </w:rPr>
        <w:t xml:space="preserve">The PBAC noted that no consumer </w:t>
      </w:r>
      <w:r>
        <w:rPr>
          <w:rFonts w:asciiTheme="minorHAnsi" w:hAnsiTheme="minorHAnsi"/>
          <w:bCs/>
          <w:snapToGrid w:val="0"/>
        </w:rPr>
        <w:t>inputs</w:t>
      </w:r>
      <w:r w:rsidRPr="00836F75">
        <w:rPr>
          <w:rFonts w:asciiTheme="minorHAnsi" w:hAnsiTheme="minorHAnsi"/>
          <w:bCs/>
          <w:snapToGrid w:val="0"/>
        </w:rPr>
        <w:t xml:space="preserve"> were received for this item.</w:t>
      </w:r>
    </w:p>
    <w:bookmarkEnd w:id="19"/>
    <w:bookmarkEnd w:id="21"/>
    <w:p w14:paraId="609C0765" w14:textId="0C518BD0" w:rsidR="00B60939" w:rsidRPr="0098262F" w:rsidRDefault="00B60939" w:rsidP="004C55C7">
      <w:pPr>
        <w:pStyle w:val="4-SubsectionHeading"/>
      </w:pPr>
      <w:r w:rsidRPr="0098262F">
        <w:t>Clinical trials</w:t>
      </w:r>
      <w:bookmarkEnd w:id="18"/>
      <w:bookmarkEnd w:id="20"/>
    </w:p>
    <w:p w14:paraId="6A032078" w14:textId="047895E3" w:rsidR="00094797" w:rsidRPr="00335702" w:rsidRDefault="00094797" w:rsidP="00094797">
      <w:pPr>
        <w:pStyle w:val="3-BodyText"/>
        <w:rPr>
          <w:color w:val="000000" w:themeColor="text1"/>
        </w:rPr>
      </w:pPr>
      <w:r w:rsidRPr="00335702">
        <w:rPr>
          <w:color w:val="000000" w:themeColor="text1"/>
        </w:rPr>
        <w:t xml:space="preserve">The submission stated that it was based on one pivotal trial of Xeomin (Study 3098) and 2 trials of Botox (REFLEX and Trial 512). </w:t>
      </w:r>
    </w:p>
    <w:p w14:paraId="60D5EF2B" w14:textId="75B6D608" w:rsidR="00AD1D7A" w:rsidRPr="00335702" w:rsidRDefault="00AD1D7A" w:rsidP="00094797">
      <w:pPr>
        <w:pStyle w:val="3-BodyText"/>
        <w:rPr>
          <w:color w:val="000000" w:themeColor="text1"/>
        </w:rPr>
      </w:pPr>
      <w:r w:rsidRPr="00335702">
        <w:rPr>
          <w:color w:val="000000" w:themeColor="text1"/>
        </w:rPr>
        <w:lastRenderedPageBreak/>
        <w:t>Two randomised controlled trials of Xeomin for the treatment of lower limb spasticity have been completed, Study 3098 and Study 3002</w:t>
      </w:r>
      <w:r w:rsidR="00106546" w:rsidRPr="00335702">
        <w:rPr>
          <w:color w:val="000000" w:themeColor="text1"/>
        </w:rPr>
        <w:t>. Study 3002 was</w:t>
      </w:r>
      <w:r w:rsidRPr="00335702">
        <w:rPr>
          <w:color w:val="000000" w:themeColor="text1"/>
        </w:rPr>
        <w:t xml:space="preserve"> included only as supporting evidence of safety. </w:t>
      </w:r>
      <w:r w:rsidR="00106546" w:rsidRPr="00335702">
        <w:rPr>
          <w:color w:val="000000" w:themeColor="text1"/>
        </w:rPr>
        <w:t xml:space="preserve">No </w:t>
      </w:r>
      <w:r w:rsidR="004F1AEA" w:rsidRPr="00335702">
        <w:rPr>
          <w:color w:val="000000" w:themeColor="text1"/>
        </w:rPr>
        <w:t>justification</w:t>
      </w:r>
      <w:r w:rsidR="00106546" w:rsidRPr="00335702">
        <w:rPr>
          <w:color w:val="000000" w:themeColor="text1"/>
        </w:rPr>
        <w:t xml:space="preserve"> for not including the efficacy data from 3002 was </w:t>
      </w:r>
      <w:r w:rsidR="00710DAB" w:rsidRPr="00335702">
        <w:rPr>
          <w:color w:val="000000" w:themeColor="text1"/>
        </w:rPr>
        <w:t>included</w:t>
      </w:r>
      <w:r w:rsidR="00106546" w:rsidRPr="00335702">
        <w:rPr>
          <w:color w:val="000000" w:themeColor="text1"/>
        </w:rPr>
        <w:t xml:space="preserve">. </w:t>
      </w:r>
      <w:r w:rsidR="004F1AEA" w:rsidRPr="00335702">
        <w:rPr>
          <w:color w:val="000000" w:themeColor="text1"/>
        </w:rPr>
        <w:t>T</w:t>
      </w:r>
      <w:r w:rsidRPr="00335702">
        <w:rPr>
          <w:color w:val="000000" w:themeColor="text1"/>
        </w:rPr>
        <w:t>he TOWER study</w:t>
      </w:r>
      <w:r w:rsidR="004F1AEA" w:rsidRPr="00335702">
        <w:rPr>
          <w:color w:val="000000" w:themeColor="text1"/>
        </w:rPr>
        <w:t xml:space="preserve"> was</w:t>
      </w:r>
      <w:r w:rsidR="00E63530" w:rsidRPr="00335702">
        <w:rPr>
          <w:color w:val="000000" w:themeColor="text1"/>
        </w:rPr>
        <w:t xml:space="preserve"> an uncontrolled dose-titration study</w:t>
      </w:r>
      <w:r w:rsidR="004F1AEA" w:rsidRPr="00335702">
        <w:rPr>
          <w:color w:val="000000" w:themeColor="text1"/>
        </w:rPr>
        <w:t xml:space="preserve"> of Xeomin in patients with upper or lower limb spasticity, and a post-hoc analysis of patients with lower limb spasticity</w:t>
      </w:r>
      <w:r w:rsidRPr="00335702">
        <w:rPr>
          <w:color w:val="000000" w:themeColor="text1"/>
        </w:rPr>
        <w:t xml:space="preserve"> was included as evidence of safety</w:t>
      </w:r>
      <w:r w:rsidR="007D6922" w:rsidRPr="00335702">
        <w:rPr>
          <w:color w:val="000000" w:themeColor="text1"/>
        </w:rPr>
        <w:t>, although no safety data were reported in the included publication.</w:t>
      </w:r>
    </w:p>
    <w:p w14:paraId="4BC9989E" w14:textId="5FCC8C16" w:rsidR="00AD1D7A" w:rsidRPr="00335702" w:rsidRDefault="00AD1D7A" w:rsidP="002E4F02">
      <w:pPr>
        <w:pStyle w:val="3-BodyText"/>
        <w:rPr>
          <w:color w:val="000000" w:themeColor="text1"/>
        </w:rPr>
      </w:pPr>
      <w:r w:rsidRPr="00335702">
        <w:rPr>
          <w:color w:val="000000" w:themeColor="text1"/>
        </w:rPr>
        <w:t>Comparison with Botox was an indirect treatment comparison with placebo as common comparator</w:t>
      </w:r>
      <w:r w:rsidR="00106546" w:rsidRPr="00335702">
        <w:rPr>
          <w:color w:val="000000" w:themeColor="text1"/>
        </w:rPr>
        <w:t>, using only 3098</w:t>
      </w:r>
      <w:r w:rsidRPr="00335702">
        <w:rPr>
          <w:color w:val="000000" w:themeColor="text1"/>
        </w:rPr>
        <w:t xml:space="preserve">. </w:t>
      </w:r>
    </w:p>
    <w:p w14:paraId="404D7429" w14:textId="0544480E" w:rsidR="0069592B" w:rsidRPr="00335702" w:rsidRDefault="0069592B" w:rsidP="002E4F02">
      <w:pPr>
        <w:pStyle w:val="3-BodyText"/>
        <w:rPr>
          <w:color w:val="000000" w:themeColor="text1"/>
        </w:rPr>
      </w:pPr>
      <w:r w:rsidRPr="00335702">
        <w:rPr>
          <w:color w:val="000000" w:themeColor="text1"/>
        </w:rPr>
        <w:t>Although Dysport (abobotulinumtoxinA) was nominated as a comparator</w:t>
      </w:r>
      <w:r w:rsidR="00561106" w:rsidRPr="00335702">
        <w:rPr>
          <w:color w:val="000000" w:themeColor="text1"/>
        </w:rPr>
        <w:t>,</w:t>
      </w:r>
      <w:r w:rsidRPr="00335702">
        <w:rPr>
          <w:color w:val="000000" w:themeColor="text1"/>
        </w:rPr>
        <w:t xml:space="preserve"> no comparison with Dysport was presented, though there is a randomised, placebo-controlled trial </w:t>
      </w:r>
      <w:r w:rsidR="00194A7E" w:rsidRPr="00335702">
        <w:rPr>
          <w:color w:val="000000" w:themeColor="text1"/>
        </w:rPr>
        <w:t xml:space="preserve">of Dysport </w:t>
      </w:r>
      <w:r w:rsidRPr="00335702">
        <w:rPr>
          <w:color w:val="000000" w:themeColor="text1"/>
        </w:rPr>
        <w:t>in lower-limb spasticity reporting comparable outcomes.</w:t>
      </w:r>
      <w:r w:rsidRPr="00335702">
        <w:rPr>
          <w:rStyle w:val="FootnoteReference"/>
          <w:color w:val="000000" w:themeColor="text1"/>
        </w:rPr>
        <w:footnoteReference w:id="4"/>
      </w:r>
      <w:r w:rsidRPr="00335702">
        <w:rPr>
          <w:color w:val="000000" w:themeColor="text1"/>
        </w:rPr>
        <w:t xml:space="preserve"> </w:t>
      </w:r>
    </w:p>
    <w:p w14:paraId="76AA8F29" w14:textId="26F9BFA9" w:rsidR="00AD1D7A" w:rsidRPr="00335702" w:rsidRDefault="00A73134">
      <w:pPr>
        <w:pStyle w:val="3-BodyText"/>
        <w:rPr>
          <w:rFonts w:ascii="Arial Narrow" w:hAnsi="Arial Narrow"/>
          <w:b/>
          <w:sz w:val="20"/>
          <w:szCs w:val="24"/>
        </w:rPr>
      </w:pPr>
      <w:r w:rsidRPr="00335702">
        <w:t>Details of the trials presented in the submission are provided in</w:t>
      </w:r>
      <w:r w:rsidR="00526E1A" w:rsidRPr="00335702">
        <w:t xml:space="preserve"> </w:t>
      </w:r>
      <w:r w:rsidR="00526E1A" w:rsidRPr="00335702">
        <w:fldChar w:fldCharType="begin"/>
      </w:r>
      <w:r w:rsidR="00526E1A" w:rsidRPr="00335702">
        <w:instrText xml:space="preserve"> REF _Ref219899331 \h </w:instrText>
      </w:r>
      <w:r w:rsidR="00335702" w:rsidRPr="00335702">
        <w:instrText xml:space="preserve"> \* MERGEFORMAT </w:instrText>
      </w:r>
      <w:r w:rsidR="00526E1A" w:rsidRPr="00335702">
        <w:fldChar w:fldCharType="separate"/>
      </w:r>
      <w:r w:rsidR="00761491" w:rsidRPr="00335702">
        <w:t xml:space="preserve">Table </w:t>
      </w:r>
      <w:r w:rsidR="00761491" w:rsidRPr="00335702">
        <w:rPr>
          <w:noProof/>
        </w:rPr>
        <w:t>2</w:t>
      </w:r>
      <w:r w:rsidR="00526E1A" w:rsidRPr="00335702">
        <w:fldChar w:fldCharType="end"/>
      </w:r>
      <w:r w:rsidRPr="00335702">
        <w:t>.</w:t>
      </w:r>
      <w:r w:rsidR="00BC591F" w:rsidRPr="00335702">
        <w:t xml:space="preserve"> </w:t>
      </w:r>
      <w:bookmarkStart w:id="22" w:name="_Ref104803956"/>
    </w:p>
    <w:p w14:paraId="7DE3A286" w14:textId="38302F30" w:rsidR="008E0D3C" w:rsidRDefault="00094797" w:rsidP="00094797">
      <w:pPr>
        <w:pStyle w:val="Caption"/>
      </w:pPr>
      <w:bookmarkStart w:id="23" w:name="_Ref219899331"/>
      <w:bookmarkEnd w:id="22"/>
      <w:r>
        <w:t xml:space="preserve">Table </w:t>
      </w:r>
      <w:fldSimple w:instr=" SEQ Table \* ARABIC ">
        <w:r w:rsidR="00761491">
          <w:rPr>
            <w:noProof/>
          </w:rPr>
          <w:t>2</w:t>
        </w:r>
      </w:fldSimple>
      <w:bookmarkEnd w:id="23"/>
      <w:r w:rsidR="00B130CC">
        <w:t>: Trials and associated reports presented in the submission</w:t>
      </w:r>
    </w:p>
    <w:tbl>
      <w:tblPr>
        <w:tblStyle w:val="TableGrid"/>
        <w:tblW w:w="5000" w:type="pct"/>
        <w:tblLook w:val="04A0" w:firstRow="1" w:lastRow="0" w:firstColumn="1" w:lastColumn="0" w:noHBand="0" w:noVBand="1"/>
        <w:tblCaption w:val="Table 2: Trials and associated reports presented in the submission"/>
      </w:tblPr>
      <w:tblGrid>
        <w:gridCol w:w="1283"/>
        <w:gridCol w:w="4787"/>
        <w:gridCol w:w="2947"/>
      </w:tblGrid>
      <w:tr w:rsidR="00DA0611" w14:paraId="1A182F90" w14:textId="77777777" w:rsidTr="00A26C01">
        <w:tc>
          <w:tcPr>
            <w:tcW w:w="711" w:type="pct"/>
          </w:tcPr>
          <w:p w14:paraId="73F24698" w14:textId="74E13B4E" w:rsidR="00DA0611" w:rsidRPr="00DA0611" w:rsidRDefault="00DA0611" w:rsidP="003E4C55">
            <w:pPr>
              <w:pStyle w:val="TableText0"/>
            </w:pPr>
            <w:r w:rsidRPr="00DA0611">
              <w:t>Trial ID</w:t>
            </w:r>
          </w:p>
        </w:tc>
        <w:tc>
          <w:tcPr>
            <w:tcW w:w="2655" w:type="pct"/>
          </w:tcPr>
          <w:p w14:paraId="308B1ECB" w14:textId="55B915A2" w:rsidR="00DA0611" w:rsidRPr="00DA0611" w:rsidRDefault="00DA0611" w:rsidP="003E4C55">
            <w:pPr>
              <w:pStyle w:val="TableText0"/>
            </w:pPr>
            <w:r w:rsidRPr="00DA0611">
              <w:t>Protocol/Publication Title</w:t>
            </w:r>
          </w:p>
        </w:tc>
        <w:tc>
          <w:tcPr>
            <w:tcW w:w="1634" w:type="pct"/>
          </w:tcPr>
          <w:p w14:paraId="64292909" w14:textId="4D466A4E" w:rsidR="00DA0611" w:rsidRPr="00DA0611" w:rsidRDefault="00DA0611" w:rsidP="003E4C55">
            <w:pPr>
              <w:pStyle w:val="TableText0"/>
            </w:pPr>
            <w:r w:rsidRPr="00DA0611">
              <w:t>Reference</w:t>
            </w:r>
          </w:p>
        </w:tc>
      </w:tr>
      <w:tr w:rsidR="00DA0611" w14:paraId="6BDA9420" w14:textId="77777777" w:rsidTr="00A26C01">
        <w:tc>
          <w:tcPr>
            <w:tcW w:w="5000" w:type="pct"/>
            <w:gridSpan w:val="3"/>
          </w:tcPr>
          <w:p w14:paraId="62DDA39C" w14:textId="4CC15EF8" w:rsidR="00DA0611" w:rsidRPr="00DA0611" w:rsidRDefault="00DA0611" w:rsidP="003E4C55">
            <w:pPr>
              <w:pStyle w:val="TableText0"/>
            </w:pPr>
            <w:r w:rsidRPr="00DA0611">
              <w:t>Xeomin Trials</w:t>
            </w:r>
          </w:p>
        </w:tc>
      </w:tr>
      <w:tr w:rsidR="00DA0611" w14:paraId="417B5C20" w14:textId="77777777" w:rsidTr="00A26C01">
        <w:trPr>
          <w:trHeight w:val="2041"/>
        </w:trPr>
        <w:tc>
          <w:tcPr>
            <w:tcW w:w="711" w:type="pct"/>
            <w:vAlign w:val="center"/>
          </w:tcPr>
          <w:p w14:paraId="0A7AD435" w14:textId="77777777" w:rsidR="00DA0611" w:rsidRDefault="00DA0611" w:rsidP="003E4C55">
            <w:pPr>
              <w:pStyle w:val="TableText0"/>
            </w:pPr>
            <w:r>
              <w:t>3098</w:t>
            </w:r>
          </w:p>
          <w:p w14:paraId="3B718484" w14:textId="252B9B18" w:rsidR="00DA0611" w:rsidRDefault="00DA0611" w:rsidP="003E4C55">
            <w:pPr>
              <w:pStyle w:val="TableText0"/>
            </w:pPr>
            <w:r>
              <w:t>J-PLUS</w:t>
            </w:r>
          </w:p>
        </w:tc>
        <w:tc>
          <w:tcPr>
            <w:tcW w:w="2655" w:type="pct"/>
            <w:vAlign w:val="center"/>
          </w:tcPr>
          <w:p w14:paraId="14E9B725" w14:textId="77777777" w:rsidR="00DA0611" w:rsidRDefault="00DA0611" w:rsidP="003E4C55">
            <w:pPr>
              <w:pStyle w:val="TableText0"/>
            </w:pPr>
            <w:r>
              <w:t>Prospective, double-blind, placebo-controlled, randomized, multi-center study with an open-label lead-in tolerability period and an open-label extension period to investigate the efficacy and safety of NT 201 in the treatment of post-stroke spasticity of the lower limb.</w:t>
            </w:r>
          </w:p>
          <w:p w14:paraId="09BD4F48" w14:textId="77777777" w:rsidR="00DA0611" w:rsidRDefault="00DA0611" w:rsidP="003E4C55">
            <w:pPr>
              <w:pStyle w:val="TableText0"/>
            </w:pPr>
          </w:p>
          <w:p w14:paraId="525F65F1" w14:textId="77777777" w:rsidR="00DA0611" w:rsidRPr="00B130CC" w:rsidRDefault="00DA0611" w:rsidP="003E4C55">
            <w:pPr>
              <w:pStyle w:val="TableText0"/>
            </w:pPr>
            <w:r>
              <w:t xml:space="preserve">Masakado Y, Kagaya H, Kondo K, et al. </w:t>
            </w:r>
            <w:r w:rsidRPr="00B130CC">
              <w:t>Efficacy and Safety of</w:t>
            </w:r>
          </w:p>
          <w:p w14:paraId="30D6B774" w14:textId="77777777" w:rsidR="00DA0611" w:rsidRPr="00B130CC" w:rsidRDefault="00DA0611" w:rsidP="003E4C55">
            <w:pPr>
              <w:pStyle w:val="TableText0"/>
            </w:pPr>
            <w:r w:rsidRPr="00B130CC">
              <w:t>IncobotulinumtoxinA in the</w:t>
            </w:r>
            <w:r>
              <w:t xml:space="preserve"> </w:t>
            </w:r>
            <w:r w:rsidRPr="00B130CC">
              <w:t>Treatment of Lower Limb Spasticity</w:t>
            </w:r>
          </w:p>
          <w:p w14:paraId="0CF57D38" w14:textId="5377B235" w:rsidR="00DA0611" w:rsidRDefault="00DA0611" w:rsidP="003E4C55">
            <w:pPr>
              <w:pStyle w:val="TableText0"/>
            </w:pPr>
            <w:r w:rsidRPr="00B130CC">
              <w:t>in Japanese Subjects</w:t>
            </w:r>
            <w:r>
              <w:t xml:space="preserve">. </w:t>
            </w:r>
          </w:p>
        </w:tc>
        <w:tc>
          <w:tcPr>
            <w:tcW w:w="1634" w:type="pct"/>
            <w:vAlign w:val="center"/>
          </w:tcPr>
          <w:p w14:paraId="69F96E93" w14:textId="77777777" w:rsidR="00DA0611" w:rsidRDefault="00DA0611" w:rsidP="003E4C55">
            <w:pPr>
              <w:pStyle w:val="TableText0"/>
            </w:pPr>
            <w:r>
              <w:t>2020</w:t>
            </w:r>
          </w:p>
          <w:p w14:paraId="04CC9937" w14:textId="77777777" w:rsidR="00DA0611" w:rsidRDefault="00DA0611" w:rsidP="003E4C55">
            <w:pPr>
              <w:pStyle w:val="TableText0"/>
            </w:pPr>
          </w:p>
          <w:p w14:paraId="08356FDE" w14:textId="77777777" w:rsidR="00DA0611" w:rsidRDefault="00DA0611" w:rsidP="003E4C55">
            <w:pPr>
              <w:pStyle w:val="TableText0"/>
            </w:pPr>
          </w:p>
          <w:p w14:paraId="7A64C5D7" w14:textId="77777777" w:rsidR="00DA0611" w:rsidRDefault="00DA0611" w:rsidP="003E4C55">
            <w:pPr>
              <w:pStyle w:val="TableText0"/>
            </w:pPr>
          </w:p>
          <w:p w14:paraId="2A93AB61" w14:textId="77777777" w:rsidR="00DA0611" w:rsidRDefault="00DA0611" w:rsidP="003E4C55">
            <w:pPr>
              <w:pStyle w:val="TableText0"/>
            </w:pPr>
          </w:p>
          <w:p w14:paraId="40D188D6" w14:textId="2113DC6A" w:rsidR="00DA0611" w:rsidRDefault="00DA0611" w:rsidP="003E4C55">
            <w:pPr>
              <w:pStyle w:val="TableText0"/>
            </w:pPr>
            <w:r>
              <w:rPr>
                <w:i/>
              </w:rPr>
              <w:t xml:space="preserve">Front Neurol </w:t>
            </w:r>
            <w:r w:rsidRPr="00B130CC">
              <w:t>2022; 13:832937.</w:t>
            </w:r>
            <w:r>
              <w:rPr>
                <w:i/>
              </w:rPr>
              <w:t xml:space="preserve"> </w:t>
            </w:r>
          </w:p>
        </w:tc>
      </w:tr>
      <w:tr w:rsidR="00DA0611" w14:paraId="1E4E41F5" w14:textId="77777777" w:rsidTr="00A26C01">
        <w:tc>
          <w:tcPr>
            <w:tcW w:w="711" w:type="pct"/>
            <w:vAlign w:val="center"/>
          </w:tcPr>
          <w:p w14:paraId="112F8D52" w14:textId="77777777" w:rsidR="00DA0611" w:rsidRDefault="00DA0611" w:rsidP="003E4C55">
            <w:pPr>
              <w:pStyle w:val="TableText0"/>
            </w:pPr>
            <w:r>
              <w:t>3002</w:t>
            </w:r>
          </w:p>
          <w:p w14:paraId="6FB98D47" w14:textId="684D3810" w:rsidR="00DA0611" w:rsidRDefault="00DA0611" w:rsidP="003E4C55">
            <w:pPr>
              <w:pStyle w:val="TableText0"/>
            </w:pPr>
            <w:r>
              <w:t>NCT01464307</w:t>
            </w:r>
          </w:p>
        </w:tc>
        <w:tc>
          <w:tcPr>
            <w:tcW w:w="2655" w:type="pct"/>
            <w:vAlign w:val="center"/>
          </w:tcPr>
          <w:p w14:paraId="3C6DD368" w14:textId="756C9D45" w:rsidR="00DA0611" w:rsidRDefault="00DA0611" w:rsidP="003E4C55">
            <w:pPr>
              <w:pStyle w:val="TableText0"/>
            </w:pPr>
            <w:r>
              <w:t xml:space="preserve">Prospective, double-blind, placebo-controlled, randomized, multi-center study with an open-label extension period to investigate the efficacy and safety of NT 201 in the treatment of post-stroke spasticity of the lower limb. </w:t>
            </w:r>
          </w:p>
        </w:tc>
        <w:tc>
          <w:tcPr>
            <w:tcW w:w="1634" w:type="pct"/>
            <w:vAlign w:val="center"/>
          </w:tcPr>
          <w:p w14:paraId="5C5404F0" w14:textId="62DA49A3" w:rsidR="00DA0611" w:rsidRDefault="00DA0611" w:rsidP="003E4C55">
            <w:pPr>
              <w:pStyle w:val="TableText0"/>
            </w:pPr>
            <w:r>
              <w:t>2016</w:t>
            </w:r>
          </w:p>
        </w:tc>
      </w:tr>
      <w:tr w:rsidR="00DA0611" w14:paraId="189DFC49" w14:textId="77777777" w:rsidTr="00A26C01">
        <w:tc>
          <w:tcPr>
            <w:tcW w:w="711" w:type="pct"/>
            <w:vAlign w:val="center"/>
          </w:tcPr>
          <w:p w14:paraId="2856A421" w14:textId="77777777" w:rsidR="00DA0611" w:rsidRDefault="00DA0611" w:rsidP="003E4C55">
            <w:pPr>
              <w:pStyle w:val="TableText0"/>
            </w:pPr>
            <w:r w:rsidRPr="0098262F">
              <w:t>T</w:t>
            </w:r>
            <w:r>
              <w:t>OWER</w:t>
            </w:r>
          </w:p>
          <w:p w14:paraId="3B451485" w14:textId="1EE34109" w:rsidR="00DA0611" w:rsidRDefault="00DA0611" w:rsidP="003E4C55">
            <w:pPr>
              <w:pStyle w:val="TableText0"/>
            </w:pPr>
            <w:r>
              <w:t>NCT01603459</w:t>
            </w:r>
          </w:p>
        </w:tc>
        <w:tc>
          <w:tcPr>
            <w:tcW w:w="2655" w:type="pct"/>
            <w:vAlign w:val="center"/>
          </w:tcPr>
          <w:p w14:paraId="6430F4DA" w14:textId="2A25F1BA" w:rsidR="00DA0611" w:rsidRDefault="00DA0611" w:rsidP="003E4C55">
            <w:pPr>
              <w:pStyle w:val="TableText0"/>
            </w:pPr>
            <w:r>
              <w:t xml:space="preserve">Bensmail D, Wissel J, Laffont I, et al. </w:t>
            </w:r>
            <w:r w:rsidRPr="003E6036">
              <w:t>Efficacy of incobotulinumtoxinA for the treatment of adult lower-limb</w:t>
            </w:r>
            <w:r>
              <w:t xml:space="preserve"> </w:t>
            </w:r>
            <w:r w:rsidRPr="003E6036">
              <w:t>post-stroke spasticity, including pes equinovarus</w:t>
            </w:r>
          </w:p>
        </w:tc>
        <w:tc>
          <w:tcPr>
            <w:tcW w:w="1634" w:type="pct"/>
            <w:vAlign w:val="center"/>
          </w:tcPr>
          <w:p w14:paraId="452E346C" w14:textId="3242E718" w:rsidR="00DA0611" w:rsidRDefault="00DA0611" w:rsidP="003E4C55">
            <w:pPr>
              <w:pStyle w:val="TableText0"/>
            </w:pPr>
            <w:r>
              <w:t xml:space="preserve">Ann Phys Med Rehab </w:t>
            </w:r>
            <w:r w:rsidRPr="003E6036">
              <w:rPr>
                <w:iCs/>
              </w:rPr>
              <w:t>2021; 64:101376.</w:t>
            </w:r>
            <w:r>
              <w:t xml:space="preserve"> </w:t>
            </w:r>
          </w:p>
        </w:tc>
      </w:tr>
      <w:tr w:rsidR="00DA0611" w14:paraId="79104830" w14:textId="77777777" w:rsidTr="00A26C01">
        <w:tc>
          <w:tcPr>
            <w:tcW w:w="5000" w:type="pct"/>
            <w:gridSpan w:val="3"/>
            <w:vAlign w:val="center"/>
          </w:tcPr>
          <w:p w14:paraId="1AA64E23" w14:textId="278D02A6" w:rsidR="00DA0611" w:rsidRDefault="00DA0611" w:rsidP="003E4C55">
            <w:pPr>
              <w:pStyle w:val="TableText0"/>
            </w:pPr>
            <w:r w:rsidRPr="00DA0611">
              <w:t>Botox Trials</w:t>
            </w:r>
          </w:p>
        </w:tc>
      </w:tr>
      <w:tr w:rsidR="00DA0611" w14:paraId="3A4B012B" w14:textId="77777777" w:rsidTr="00A26C01">
        <w:trPr>
          <w:trHeight w:val="680"/>
        </w:trPr>
        <w:tc>
          <w:tcPr>
            <w:tcW w:w="711" w:type="pct"/>
          </w:tcPr>
          <w:p w14:paraId="2EF08A34" w14:textId="77777777" w:rsidR="00DA0611" w:rsidRDefault="00457F36" w:rsidP="003E4C55">
            <w:pPr>
              <w:pStyle w:val="TableText0"/>
            </w:pPr>
            <w:r>
              <w:t>REFLEX</w:t>
            </w:r>
          </w:p>
          <w:p w14:paraId="00AE517A" w14:textId="02807ACE" w:rsidR="00457F36" w:rsidRDefault="00457F36" w:rsidP="003E4C55">
            <w:pPr>
              <w:pStyle w:val="TableText0"/>
            </w:pPr>
            <w:r>
              <w:t>NCT01575054</w:t>
            </w:r>
          </w:p>
        </w:tc>
        <w:tc>
          <w:tcPr>
            <w:tcW w:w="2655" w:type="pct"/>
          </w:tcPr>
          <w:p w14:paraId="3A786859" w14:textId="6BED7BB3" w:rsidR="00DA0611" w:rsidRDefault="00457F36" w:rsidP="003E4C55">
            <w:pPr>
              <w:pStyle w:val="TableText0"/>
            </w:pPr>
            <w:r>
              <w:t xml:space="preserve">Wein T, Esquenazi A, Jost WH, Ward AB, Pan G, Dimitrova R. </w:t>
            </w:r>
            <w:r w:rsidRPr="00457F36">
              <w:t xml:space="preserve">OnabotulinumtoxinA for the </w:t>
            </w:r>
            <w:r>
              <w:t>t</w:t>
            </w:r>
            <w:r w:rsidRPr="00457F36">
              <w:t>reatment o</w:t>
            </w:r>
            <w:r>
              <w:t>f p</w:t>
            </w:r>
            <w:r w:rsidRPr="00457F36">
              <w:t xml:space="preserve">oststroke </w:t>
            </w:r>
            <w:r>
              <w:t>d</w:t>
            </w:r>
            <w:r w:rsidRPr="00457F36">
              <w:t xml:space="preserve">istal </w:t>
            </w:r>
            <w:r>
              <w:t>l</w:t>
            </w:r>
            <w:r w:rsidRPr="00457F36">
              <w:t xml:space="preserve">ower </w:t>
            </w:r>
            <w:r>
              <w:t>l</w:t>
            </w:r>
            <w:r w:rsidRPr="00457F36">
              <w:t xml:space="preserve">imb </w:t>
            </w:r>
            <w:r>
              <w:t>s</w:t>
            </w:r>
            <w:r w:rsidRPr="00457F36">
              <w:t xml:space="preserve">pasticity: A </w:t>
            </w:r>
            <w:r>
              <w:t>r</w:t>
            </w:r>
            <w:r w:rsidRPr="00457F36">
              <w:t xml:space="preserve">andomized </w:t>
            </w:r>
            <w:r>
              <w:t>t</w:t>
            </w:r>
            <w:r w:rsidRPr="00457F36">
              <w:t>rial</w:t>
            </w:r>
            <w:r>
              <w:t xml:space="preserve">. </w:t>
            </w:r>
          </w:p>
        </w:tc>
        <w:tc>
          <w:tcPr>
            <w:tcW w:w="1634" w:type="pct"/>
          </w:tcPr>
          <w:p w14:paraId="3847EC8F" w14:textId="3DE8B1A3" w:rsidR="00DA0611" w:rsidRDefault="00457F36" w:rsidP="003E4C55">
            <w:pPr>
              <w:pStyle w:val="TableText0"/>
            </w:pPr>
            <w:r w:rsidRPr="00457F36">
              <w:rPr>
                <w:i/>
                <w:iCs/>
              </w:rPr>
              <w:t>PM&amp;R</w:t>
            </w:r>
            <w:r>
              <w:t xml:space="preserve"> 2018; 10:693-703. </w:t>
            </w:r>
          </w:p>
        </w:tc>
      </w:tr>
      <w:tr w:rsidR="00457F36" w14:paraId="6618AED2" w14:textId="77777777" w:rsidTr="00A26C01">
        <w:tc>
          <w:tcPr>
            <w:tcW w:w="711" w:type="pct"/>
          </w:tcPr>
          <w:p w14:paraId="07941B62" w14:textId="77777777" w:rsidR="00457F36" w:rsidRDefault="00457F36" w:rsidP="003E4C55">
            <w:pPr>
              <w:pStyle w:val="TableText0"/>
            </w:pPr>
            <w:r>
              <w:t>512</w:t>
            </w:r>
          </w:p>
          <w:p w14:paraId="636F9E1A" w14:textId="3D70F563" w:rsidR="00867C72" w:rsidRDefault="00867C72" w:rsidP="003E4C55">
            <w:pPr>
              <w:pStyle w:val="TableText0"/>
            </w:pPr>
            <w:r>
              <w:t>NCT00460655</w:t>
            </w:r>
          </w:p>
        </w:tc>
        <w:tc>
          <w:tcPr>
            <w:tcW w:w="2655" w:type="pct"/>
          </w:tcPr>
          <w:p w14:paraId="4C1136AB" w14:textId="2CCC81F0" w:rsidR="00457F36" w:rsidRDefault="00867C72" w:rsidP="003E4C55">
            <w:pPr>
              <w:pStyle w:val="TableText0"/>
            </w:pPr>
            <w:r>
              <w:t xml:space="preserve">Kaji R, Osaka Y, Suyama K, et al. </w:t>
            </w:r>
            <w:r w:rsidRPr="00867C72">
              <w:t>Botulinum toxin type A in post-stroke lower limb spasticity: a multicenter, double-blind, placebo-controlled trial</w:t>
            </w:r>
            <w:r>
              <w:t>.</w:t>
            </w:r>
          </w:p>
        </w:tc>
        <w:tc>
          <w:tcPr>
            <w:tcW w:w="1634" w:type="pct"/>
          </w:tcPr>
          <w:p w14:paraId="4B6B1530" w14:textId="27030443" w:rsidR="00457F36" w:rsidRDefault="00867C72" w:rsidP="003E4C55">
            <w:pPr>
              <w:pStyle w:val="TableText0"/>
            </w:pPr>
            <w:r w:rsidRPr="00867C72">
              <w:rPr>
                <w:i/>
                <w:iCs/>
              </w:rPr>
              <w:t>J Neurol</w:t>
            </w:r>
            <w:r>
              <w:t xml:space="preserve"> 2010; 257:1330-1337. </w:t>
            </w:r>
          </w:p>
        </w:tc>
      </w:tr>
    </w:tbl>
    <w:p w14:paraId="33A2F6F8" w14:textId="06C5F79E" w:rsidR="00DA0611" w:rsidRPr="00DA0611" w:rsidRDefault="00867C72" w:rsidP="00867C72">
      <w:pPr>
        <w:pStyle w:val="TableFigureFooter"/>
      </w:pPr>
      <w:r>
        <w:t xml:space="preserve">Source: Table 2.2.2, p22 of the submission. </w:t>
      </w:r>
    </w:p>
    <w:p w14:paraId="7AE05AB8" w14:textId="6CA66647" w:rsidR="007A66CC" w:rsidRPr="00E5604B" w:rsidRDefault="008F120A" w:rsidP="00EC5836">
      <w:pPr>
        <w:pStyle w:val="3-BodyText"/>
        <w:rPr>
          <w:color w:val="0066FF"/>
        </w:rPr>
      </w:pPr>
      <w:r w:rsidRPr="0098262F">
        <w:t>The key features of the randomised trials are summarised in</w:t>
      </w:r>
      <w:r w:rsidR="00761491">
        <w:t xml:space="preserve"> </w:t>
      </w:r>
      <w:r w:rsidR="00761491">
        <w:fldChar w:fldCharType="begin"/>
      </w:r>
      <w:r w:rsidR="00761491">
        <w:instrText xml:space="preserve"> REF _Ref219899390 \h </w:instrText>
      </w:r>
      <w:r w:rsidR="00761491">
        <w:fldChar w:fldCharType="separate"/>
      </w:r>
      <w:r w:rsidR="00761491">
        <w:t xml:space="preserve">Table </w:t>
      </w:r>
      <w:r w:rsidR="00761491">
        <w:rPr>
          <w:noProof/>
        </w:rPr>
        <w:t>3</w:t>
      </w:r>
      <w:r w:rsidR="00761491">
        <w:fldChar w:fldCharType="end"/>
      </w:r>
      <w:r w:rsidRPr="0098262F">
        <w:t>.</w:t>
      </w:r>
      <w:r w:rsidR="00242C7D" w:rsidRPr="00E5604B">
        <w:rPr>
          <w:color w:val="000000" w:themeColor="text1"/>
        </w:rPr>
        <w:t xml:space="preserve"> </w:t>
      </w:r>
    </w:p>
    <w:p w14:paraId="52B477B2" w14:textId="4517E1CF" w:rsidR="007F1017" w:rsidRPr="0098262F" w:rsidRDefault="00094797" w:rsidP="00094797">
      <w:pPr>
        <w:pStyle w:val="Caption"/>
        <w:rPr>
          <w:rStyle w:val="CommentReference"/>
          <w:b/>
          <w:szCs w:val="24"/>
        </w:rPr>
      </w:pPr>
      <w:bookmarkStart w:id="24" w:name="_Ref219899390"/>
      <w:r>
        <w:lastRenderedPageBreak/>
        <w:t xml:space="preserve">Table </w:t>
      </w:r>
      <w:fldSimple w:instr=" SEQ Table \* ARABIC ">
        <w:r w:rsidR="00761491">
          <w:rPr>
            <w:noProof/>
          </w:rPr>
          <w:t>3</w:t>
        </w:r>
      </w:fldSimple>
      <w:bookmarkEnd w:id="24"/>
      <w:r w:rsidR="00D6076E" w:rsidRPr="0098262F">
        <w:t xml:space="preserve">: </w:t>
      </w:r>
      <w:r w:rsidR="007F1017" w:rsidRPr="0098262F">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 indirect comparison"/>
      </w:tblPr>
      <w:tblGrid>
        <w:gridCol w:w="563"/>
        <w:gridCol w:w="426"/>
        <w:gridCol w:w="2126"/>
        <w:gridCol w:w="709"/>
        <w:gridCol w:w="2550"/>
        <w:gridCol w:w="1702"/>
        <w:gridCol w:w="941"/>
      </w:tblGrid>
      <w:tr w:rsidR="00EE5781" w:rsidRPr="0098262F" w14:paraId="10B72AE4" w14:textId="77777777" w:rsidTr="00EE5781">
        <w:trPr>
          <w:tblHeader/>
        </w:trPr>
        <w:tc>
          <w:tcPr>
            <w:tcW w:w="312" w:type="pct"/>
            <w:vAlign w:val="center"/>
          </w:tcPr>
          <w:p w14:paraId="7060CCBD" w14:textId="77777777" w:rsidR="007F1017" w:rsidRPr="0098262F" w:rsidRDefault="007F1017" w:rsidP="001E34DF">
            <w:pPr>
              <w:pStyle w:val="In-tableHeading"/>
              <w:rPr>
                <w:lang w:val="en-AU"/>
              </w:rPr>
            </w:pPr>
            <w:r w:rsidRPr="0098262F">
              <w:rPr>
                <w:lang w:val="en-AU"/>
              </w:rPr>
              <w:t>Trial</w:t>
            </w:r>
          </w:p>
        </w:tc>
        <w:tc>
          <w:tcPr>
            <w:tcW w:w="236" w:type="pct"/>
            <w:vAlign w:val="center"/>
          </w:tcPr>
          <w:p w14:paraId="4C9B7023" w14:textId="77777777" w:rsidR="007F1017" w:rsidRPr="0098262F" w:rsidRDefault="007F1017" w:rsidP="00EC5836">
            <w:pPr>
              <w:pStyle w:val="In-tableHeading"/>
              <w:jc w:val="center"/>
              <w:rPr>
                <w:lang w:val="en-AU"/>
              </w:rPr>
            </w:pPr>
            <w:r w:rsidRPr="0098262F">
              <w:rPr>
                <w:lang w:val="en-AU"/>
              </w:rPr>
              <w:t>N</w:t>
            </w:r>
          </w:p>
        </w:tc>
        <w:tc>
          <w:tcPr>
            <w:tcW w:w="1179" w:type="pct"/>
            <w:vAlign w:val="center"/>
          </w:tcPr>
          <w:p w14:paraId="0229C3C3" w14:textId="77777777" w:rsidR="007F1017" w:rsidRPr="0098262F" w:rsidRDefault="007F1017" w:rsidP="00EC5836">
            <w:pPr>
              <w:pStyle w:val="In-tableHeading"/>
              <w:jc w:val="center"/>
              <w:rPr>
                <w:lang w:val="en-AU"/>
              </w:rPr>
            </w:pPr>
            <w:r w:rsidRPr="0098262F">
              <w:rPr>
                <w:lang w:val="en-AU"/>
              </w:rPr>
              <w:t>Design/ duration</w:t>
            </w:r>
          </w:p>
        </w:tc>
        <w:tc>
          <w:tcPr>
            <w:tcW w:w="393" w:type="pct"/>
            <w:vAlign w:val="center"/>
          </w:tcPr>
          <w:p w14:paraId="1747C98A" w14:textId="77777777" w:rsidR="007F1017" w:rsidRPr="0098262F" w:rsidRDefault="007F1017" w:rsidP="00EC5836">
            <w:pPr>
              <w:pStyle w:val="In-tableHeading"/>
              <w:jc w:val="center"/>
              <w:rPr>
                <w:lang w:val="en-AU"/>
              </w:rPr>
            </w:pPr>
            <w:r w:rsidRPr="0098262F">
              <w:rPr>
                <w:lang w:val="en-AU"/>
              </w:rPr>
              <w:t>Risk of bias</w:t>
            </w:r>
          </w:p>
        </w:tc>
        <w:tc>
          <w:tcPr>
            <w:tcW w:w="1414" w:type="pct"/>
            <w:vAlign w:val="center"/>
          </w:tcPr>
          <w:p w14:paraId="380B615E" w14:textId="77777777" w:rsidR="007F1017" w:rsidRPr="0098262F" w:rsidRDefault="007F1017" w:rsidP="00EC5836">
            <w:pPr>
              <w:pStyle w:val="In-tableHeading"/>
              <w:jc w:val="center"/>
              <w:rPr>
                <w:lang w:val="en-AU"/>
              </w:rPr>
            </w:pPr>
            <w:r w:rsidRPr="0098262F">
              <w:rPr>
                <w:lang w:val="en-AU"/>
              </w:rPr>
              <w:t>Patient population</w:t>
            </w:r>
          </w:p>
        </w:tc>
        <w:tc>
          <w:tcPr>
            <w:tcW w:w="944" w:type="pct"/>
            <w:vAlign w:val="center"/>
          </w:tcPr>
          <w:p w14:paraId="27A32067" w14:textId="77777777" w:rsidR="007F1017" w:rsidRPr="0098262F" w:rsidRDefault="007F1017" w:rsidP="00EC5836">
            <w:pPr>
              <w:pStyle w:val="In-tableHeading"/>
              <w:jc w:val="center"/>
              <w:rPr>
                <w:lang w:val="en-AU"/>
              </w:rPr>
            </w:pPr>
            <w:r w:rsidRPr="0098262F">
              <w:rPr>
                <w:lang w:val="en-AU"/>
              </w:rPr>
              <w:t>Outcome(s)</w:t>
            </w:r>
          </w:p>
        </w:tc>
        <w:tc>
          <w:tcPr>
            <w:tcW w:w="522" w:type="pct"/>
            <w:vAlign w:val="center"/>
          </w:tcPr>
          <w:p w14:paraId="381ECD4F" w14:textId="77777777" w:rsidR="007F1017" w:rsidRPr="0098262F" w:rsidRDefault="007F1017" w:rsidP="00EC5836">
            <w:pPr>
              <w:pStyle w:val="In-tableHeading"/>
              <w:jc w:val="center"/>
              <w:rPr>
                <w:lang w:val="en-AU"/>
              </w:rPr>
            </w:pPr>
            <w:r w:rsidRPr="0098262F">
              <w:rPr>
                <w:lang w:val="en-AU"/>
              </w:rPr>
              <w:t>Use in modelled evaluation</w:t>
            </w:r>
          </w:p>
        </w:tc>
      </w:tr>
      <w:tr w:rsidR="007F1017" w:rsidRPr="0098262F" w14:paraId="20387E42" w14:textId="77777777" w:rsidTr="00682BA6">
        <w:tc>
          <w:tcPr>
            <w:tcW w:w="5000" w:type="pct"/>
            <w:gridSpan w:val="7"/>
            <w:vAlign w:val="center"/>
          </w:tcPr>
          <w:p w14:paraId="5DF5227A" w14:textId="26217553" w:rsidR="007F1017" w:rsidRPr="0098262F" w:rsidRDefault="00867C72" w:rsidP="00EC5836">
            <w:pPr>
              <w:pStyle w:val="In-tableHeading"/>
              <w:rPr>
                <w:lang w:val="en-AU"/>
              </w:rPr>
            </w:pPr>
            <w:r>
              <w:rPr>
                <w:lang w:val="en-AU"/>
              </w:rPr>
              <w:t>Xeomin vs Placebo</w:t>
            </w:r>
          </w:p>
        </w:tc>
      </w:tr>
      <w:tr w:rsidR="00EE5781" w:rsidRPr="0098262F" w14:paraId="74F8AA01" w14:textId="77777777" w:rsidTr="00EE5781">
        <w:tc>
          <w:tcPr>
            <w:tcW w:w="312" w:type="pct"/>
            <w:vAlign w:val="center"/>
          </w:tcPr>
          <w:p w14:paraId="32507EF2" w14:textId="41D3F135" w:rsidR="007F1017" w:rsidRPr="0098262F" w:rsidRDefault="00867C72" w:rsidP="003E4C55">
            <w:pPr>
              <w:pStyle w:val="TableText0"/>
            </w:pPr>
            <w:r>
              <w:t>3098</w:t>
            </w:r>
          </w:p>
        </w:tc>
        <w:tc>
          <w:tcPr>
            <w:tcW w:w="236" w:type="pct"/>
            <w:vAlign w:val="center"/>
          </w:tcPr>
          <w:p w14:paraId="5522E301" w14:textId="6064E650" w:rsidR="007F1017" w:rsidRPr="0098262F" w:rsidRDefault="00867C72" w:rsidP="003E4C55">
            <w:pPr>
              <w:pStyle w:val="TableText0"/>
            </w:pPr>
            <w:r>
              <w:t>208</w:t>
            </w:r>
          </w:p>
        </w:tc>
        <w:tc>
          <w:tcPr>
            <w:tcW w:w="1179" w:type="pct"/>
            <w:vAlign w:val="center"/>
          </w:tcPr>
          <w:p w14:paraId="366B7614" w14:textId="2EC2ACD1" w:rsidR="007F1017" w:rsidRPr="0098262F" w:rsidRDefault="007F1017" w:rsidP="003E4C55">
            <w:pPr>
              <w:pStyle w:val="TableText0"/>
            </w:pPr>
            <w:r w:rsidRPr="0098262F">
              <w:t>R, DB</w:t>
            </w:r>
            <w:r w:rsidR="00947B4A">
              <w:t>, MC (all Japan); fixed dose Xeomin 400U across affected muscles;</w:t>
            </w:r>
          </w:p>
          <w:p w14:paraId="539DB980" w14:textId="620C2C7F" w:rsidR="007F1017" w:rsidRPr="0098262F" w:rsidRDefault="00947B4A" w:rsidP="003E4C55">
            <w:pPr>
              <w:pStyle w:val="TableText0"/>
            </w:pPr>
            <w:r>
              <w:t xml:space="preserve">12 wk with OLE up to 40 wk. </w:t>
            </w:r>
          </w:p>
        </w:tc>
        <w:tc>
          <w:tcPr>
            <w:tcW w:w="393" w:type="pct"/>
            <w:vAlign w:val="center"/>
          </w:tcPr>
          <w:p w14:paraId="64E25457" w14:textId="77777777" w:rsidR="007F1017" w:rsidRPr="0098262F" w:rsidRDefault="007F1017" w:rsidP="003E4C55">
            <w:pPr>
              <w:pStyle w:val="TableText0"/>
            </w:pPr>
            <w:r w:rsidRPr="0098262F">
              <w:t>Low</w:t>
            </w:r>
          </w:p>
        </w:tc>
        <w:tc>
          <w:tcPr>
            <w:tcW w:w="1414" w:type="pct"/>
            <w:vAlign w:val="center"/>
          </w:tcPr>
          <w:p w14:paraId="59CA7C93" w14:textId="438C3CCD" w:rsidR="007F1017" w:rsidRPr="0098262F" w:rsidRDefault="00867C72" w:rsidP="003E4C55">
            <w:pPr>
              <w:pStyle w:val="TableText0"/>
            </w:pPr>
            <w:r>
              <w:t xml:space="preserve">Ages 20-80, unilateral pes equinus after stroke </w:t>
            </w:r>
            <w:r w:rsidR="00116AC1">
              <w:rPr>
                <w:rFonts w:ascii="Symbol" w:eastAsia="Symbol" w:hAnsi="Symbol" w:cs="Symbol"/>
              </w:rPr>
              <w:t>³</w:t>
            </w:r>
            <w:r>
              <w:t>6 m previously</w:t>
            </w:r>
            <w:r w:rsidR="00947B4A">
              <w:t xml:space="preserve"> causing gait impairment; MAS </w:t>
            </w:r>
            <w:r w:rsidR="00947B4A">
              <w:rPr>
                <w:rFonts w:ascii="Symbol" w:eastAsia="Symbol" w:hAnsi="Symbol" w:cs="Symbol"/>
              </w:rPr>
              <w:t>³</w:t>
            </w:r>
            <w:r w:rsidR="00947B4A">
              <w:t xml:space="preserve">3 in plantar flexors. </w:t>
            </w:r>
          </w:p>
        </w:tc>
        <w:tc>
          <w:tcPr>
            <w:tcW w:w="944" w:type="pct"/>
            <w:vAlign w:val="center"/>
          </w:tcPr>
          <w:p w14:paraId="4819ED9E" w14:textId="3347D9D6" w:rsidR="007F1017" w:rsidRPr="0098262F" w:rsidRDefault="00947B4A" w:rsidP="003E4C55">
            <w:pPr>
              <w:pStyle w:val="TableText0"/>
            </w:pPr>
            <w:r>
              <w:t>CFB in MAS for plantar flexors to 12 wk calculated as AUC for wks 1,4,6,8,12.</w:t>
            </w:r>
          </w:p>
        </w:tc>
        <w:tc>
          <w:tcPr>
            <w:tcW w:w="522" w:type="pct"/>
            <w:vAlign w:val="center"/>
          </w:tcPr>
          <w:p w14:paraId="25BD948D" w14:textId="40EAEAC5" w:rsidR="007F1017" w:rsidRPr="0098262F" w:rsidRDefault="00947B4A" w:rsidP="003E4C55">
            <w:pPr>
              <w:pStyle w:val="TableText0"/>
            </w:pPr>
            <w:r>
              <w:t>U</w:t>
            </w:r>
            <w:r w:rsidR="007F1017" w:rsidRPr="0098262F">
              <w:t>sed</w:t>
            </w:r>
          </w:p>
        </w:tc>
      </w:tr>
      <w:tr w:rsidR="00EE5781" w:rsidRPr="0098262F" w14:paraId="50239719" w14:textId="77777777" w:rsidTr="00EE5781">
        <w:tc>
          <w:tcPr>
            <w:tcW w:w="312" w:type="pct"/>
            <w:vAlign w:val="center"/>
          </w:tcPr>
          <w:p w14:paraId="029EDED4" w14:textId="2933B144" w:rsidR="007F1017" w:rsidRPr="0098262F" w:rsidRDefault="00867C72" w:rsidP="003E4C55">
            <w:pPr>
              <w:pStyle w:val="TableText0"/>
            </w:pPr>
            <w:r>
              <w:t>3002</w:t>
            </w:r>
          </w:p>
        </w:tc>
        <w:tc>
          <w:tcPr>
            <w:tcW w:w="236" w:type="pct"/>
            <w:vAlign w:val="center"/>
          </w:tcPr>
          <w:p w14:paraId="23D7253D" w14:textId="233671C2" w:rsidR="007F1017" w:rsidRPr="0098262F" w:rsidRDefault="00867C72" w:rsidP="003E4C55">
            <w:pPr>
              <w:pStyle w:val="TableText0"/>
            </w:pPr>
            <w:r>
              <w:t>287</w:t>
            </w:r>
          </w:p>
        </w:tc>
        <w:tc>
          <w:tcPr>
            <w:tcW w:w="1179" w:type="pct"/>
            <w:vAlign w:val="center"/>
          </w:tcPr>
          <w:p w14:paraId="73308FB2" w14:textId="77777777" w:rsidR="00947B4A" w:rsidRPr="0098262F" w:rsidRDefault="007F1017" w:rsidP="003E4C55">
            <w:pPr>
              <w:pStyle w:val="TableText0"/>
            </w:pPr>
            <w:r w:rsidRPr="0098262F">
              <w:t xml:space="preserve">R, </w:t>
            </w:r>
            <w:r w:rsidR="00947B4A">
              <w:t>DB, MC; fixed dose Xeomin 400U across affected muscles;</w:t>
            </w:r>
          </w:p>
          <w:p w14:paraId="4601D4F7" w14:textId="7CE0B6D2" w:rsidR="007F1017" w:rsidRPr="0098262F" w:rsidRDefault="00947B4A" w:rsidP="003E4C55">
            <w:pPr>
              <w:pStyle w:val="TableText0"/>
            </w:pPr>
            <w:r>
              <w:t>12 wk with OLE up to 36 wk.</w:t>
            </w:r>
          </w:p>
        </w:tc>
        <w:tc>
          <w:tcPr>
            <w:tcW w:w="393" w:type="pct"/>
            <w:vAlign w:val="center"/>
          </w:tcPr>
          <w:p w14:paraId="4F53EE9B" w14:textId="39B30FE9" w:rsidR="007F1017" w:rsidRPr="0098262F" w:rsidRDefault="00947B4A" w:rsidP="003E4C55">
            <w:pPr>
              <w:pStyle w:val="TableText0"/>
            </w:pPr>
            <w:r>
              <w:t>Low</w:t>
            </w:r>
          </w:p>
        </w:tc>
        <w:tc>
          <w:tcPr>
            <w:tcW w:w="1414" w:type="pct"/>
            <w:vAlign w:val="center"/>
          </w:tcPr>
          <w:p w14:paraId="61F59935" w14:textId="1C85BA70" w:rsidR="007F1017" w:rsidRPr="0098262F" w:rsidRDefault="00E95303" w:rsidP="003E4C55">
            <w:pPr>
              <w:pStyle w:val="TableText0"/>
            </w:pPr>
            <w:r>
              <w:t xml:space="preserve">Ages 18-80; pes equinovarus due to stroke at least 3 m previously causing gait impairment; AS </w:t>
            </w:r>
            <w:r>
              <w:rPr>
                <w:rFonts w:ascii="Symbol" w:eastAsia="Symbol" w:hAnsi="Symbol" w:cs="Symbol"/>
              </w:rPr>
              <w:t>³</w:t>
            </w:r>
            <w:r>
              <w:t>2 in plantar flexors.</w:t>
            </w:r>
          </w:p>
        </w:tc>
        <w:tc>
          <w:tcPr>
            <w:tcW w:w="944" w:type="pct"/>
            <w:vAlign w:val="center"/>
          </w:tcPr>
          <w:p w14:paraId="26036B7C" w14:textId="7CA1A201" w:rsidR="007F1017" w:rsidRPr="0098262F" w:rsidRDefault="00E95303" w:rsidP="003E4C55">
            <w:pPr>
              <w:pStyle w:val="TableText0"/>
            </w:pPr>
            <w:r>
              <w:t xml:space="preserve">CFB in AS to 4 wk; Investigator's GAE at 12 wk. </w:t>
            </w:r>
          </w:p>
        </w:tc>
        <w:tc>
          <w:tcPr>
            <w:tcW w:w="522" w:type="pct"/>
            <w:vAlign w:val="center"/>
          </w:tcPr>
          <w:p w14:paraId="6C3F36BB" w14:textId="77777777" w:rsidR="007F1017" w:rsidRPr="0098262F" w:rsidRDefault="007F1017" w:rsidP="003E4C55">
            <w:pPr>
              <w:pStyle w:val="TableText0"/>
            </w:pPr>
            <w:r w:rsidRPr="0098262F">
              <w:t>Not used</w:t>
            </w:r>
          </w:p>
        </w:tc>
      </w:tr>
      <w:tr w:rsidR="007F1017" w:rsidRPr="0098262F" w14:paraId="70C4027A" w14:textId="77777777" w:rsidTr="00682BA6">
        <w:tc>
          <w:tcPr>
            <w:tcW w:w="5000" w:type="pct"/>
            <w:gridSpan w:val="7"/>
            <w:vAlign w:val="center"/>
          </w:tcPr>
          <w:p w14:paraId="23BBA55F" w14:textId="73E37336" w:rsidR="007F1017" w:rsidRPr="0098262F" w:rsidRDefault="00E95303" w:rsidP="00EC5836">
            <w:pPr>
              <w:pStyle w:val="In-tableHeading"/>
              <w:rPr>
                <w:lang w:val="en-AU"/>
              </w:rPr>
            </w:pPr>
            <w:r>
              <w:rPr>
                <w:lang w:val="en-AU"/>
              </w:rPr>
              <w:t>Botox vs Placebo</w:t>
            </w:r>
          </w:p>
        </w:tc>
      </w:tr>
      <w:tr w:rsidR="00EE5781" w:rsidRPr="0098262F" w14:paraId="7F4FBB51" w14:textId="77777777" w:rsidTr="00EE5781">
        <w:tc>
          <w:tcPr>
            <w:tcW w:w="312" w:type="pct"/>
            <w:vAlign w:val="center"/>
          </w:tcPr>
          <w:p w14:paraId="2AA001C6" w14:textId="59A866D8" w:rsidR="007F1017" w:rsidRPr="0098262F" w:rsidRDefault="00E95303" w:rsidP="003E4C55">
            <w:pPr>
              <w:pStyle w:val="TableText0"/>
            </w:pPr>
            <w:r>
              <w:t>REFLEX</w:t>
            </w:r>
          </w:p>
        </w:tc>
        <w:tc>
          <w:tcPr>
            <w:tcW w:w="236" w:type="pct"/>
            <w:vAlign w:val="center"/>
          </w:tcPr>
          <w:p w14:paraId="5770E1B8" w14:textId="1D755B0A" w:rsidR="007F1017" w:rsidRPr="0098262F" w:rsidRDefault="00E95303" w:rsidP="003E4C55">
            <w:pPr>
              <w:pStyle w:val="TableText0"/>
            </w:pPr>
            <w:r>
              <w:t>468</w:t>
            </w:r>
          </w:p>
        </w:tc>
        <w:tc>
          <w:tcPr>
            <w:tcW w:w="1179" w:type="pct"/>
            <w:vAlign w:val="center"/>
          </w:tcPr>
          <w:p w14:paraId="2090330D" w14:textId="7DFCBC1C" w:rsidR="007F1017" w:rsidRPr="0098262F" w:rsidRDefault="00E95303" w:rsidP="003E4C55">
            <w:pPr>
              <w:pStyle w:val="TableText0"/>
            </w:pPr>
            <w:r>
              <w:t xml:space="preserve">R, DB, MC; 12 wk with OLE. </w:t>
            </w:r>
          </w:p>
        </w:tc>
        <w:tc>
          <w:tcPr>
            <w:tcW w:w="393" w:type="pct"/>
            <w:vAlign w:val="center"/>
          </w:tcPr>
          <w:p w14:paraId="57034014" w14:textId="1137D797" w:rsidR="007F1017" w:rsidRPr="0098262F" w:rsidRDefault="00E95303" w:rsidP="003E4C55">
            <w:pPr>
              <w:pStyle w:val="TableText0"/>
            </w:pPr>
            <w:r>
              <w:t>Low</w:t>
            </w:r>
          </w:p>
        </w:tc>
        <w:tc>
          <w:tcPr>
            <w:tcW w:w="1414" w:type="pct"/>
            <w:vAlign w:val="center"/>
          </w:tcPr>
          <w:p w14:paraId="32BE2E9C" w14:textId="317525F9" w:rsidR="007F1017" w:rsidRPr="0098262F" w:rsidRDefault="00E95303" w:rsidP="003E4C55">
            <w:pPr>
              <w:pStyle w:val="TableText0"/>
            </w:pPr>
            <w:r>
              <w:t xml:space="preserve">Ages 18-65; MAS </w:t>
            </w:r>
            <w:r>
              <w:rPr>
                <w:rFonts w:ascii="Symbol" w:eastAsia="Symbol" w:hAnsi="Symbol" w:cs="Symbol"/>
              </w:rPr>
              <w:t>³</w:t>
            </w:r>
            <w:r>
              <w:t xml:space="preserve">3 </w:t>
            </w:r>
            <w:r>
              <w:rPr>
                <w:rFonts w:ascii="Symbol" w:eastAsia="Symbol" w:hAnsi="Symbol" w:cs="Symbol"/>
              </w:rPr>
              <w:t>³</w:t>
            </w:r>
            <w:r>
              <w:t xml:space="preserve">3 m after stroke. </w:t>
            </w:r>
          </w:p>
        </w:tc>
        <w:tc>
          <w:tcPr>
            <w:tcW w:w="944" w:type="pct"/>
            <w:vAlign w:val="center"/>
          </w:tcPr>
          <w:p w14:paraId="450EED5D" w14:textId="7B485866" w:rsidR="007F1017" w:rsidRPr="0098262F" w:rsidRDefault="00E95303" w:rsidP="003E4C55">
            <w:pPr>
              <w:pStyle w:val="TableText0"/>
            </w:pPr>
            <w:r>
              <w:t>CFB MAS mean score 4 and</w:t>
            </w:r>
            <w:r w:rsidR="001E63AE">
              <w:t xml:space="preserve"> </w:t>
            </w:r>
            <w:r>
              <w:t>6 wk; Investi</w:t>
            </w:r>
            <w:r w:rsidR="001E63AE">
              <w:t>g</w:t>
            </w:r>
            <w:r>
              <w:t xml:space="preserve">ator's CGI Change. </w:t>
            </w:r>
          </w:p>
        </w:tc>
        <w:tc>
          <w:tcPr>
            <w:tcW w:w="522" w:type="pct"/>
            <w:vAlign w:val="center"/>
          </w:tcPr>
          <w:p w14:paraId="68B4E8B1" w14:textId="5F474400" w:rsidR="007F1017" w:rsidRPr="0098262F" w:rsidRDefault="001E63AE" w:rsidP="003E4C55">
            <w:pPr>
              <w:pStyle w:val="TableText0"/>
            </w:pPr>
            <w:r>
              <w:t>Used</w:t>
            </w:r>
          </w:p>
        </w:tc>
      </w:tr>
      <w:tr w:rsidR="00EE5781" w:rsidRPr="0098262F" w14:paraId="58952FC4" w14:textId="77777777" w:rsidTr="00EE5781">
        <w:tc>
          <w:tcPr>
            <w:tcW w:w="312" w:type="pct"/>
            <w:vAlign w:val="center"/>
          </w:tcPr>
          <w:p w14:paraId="30D21DA5" w14:textId="2859FA5A" w:rsidR="007F1017" w:rsidRPr="0098262F" w:rsidRDefault="00116AC1" w:rsidP="003E4C55">
            <w:pPr>
              <w:pStyle w:val="TableText0"/>
            </w:pPr>
            <w:r>
              <w:t>512</w:t>
            </w:r>
          </w:p>
        </w:tc>
        <w:tc>
          <w:tcPr>
            <w:tcW w:w="236" w:type="pct"/>
            <w:vAlign w:val="center"/>
          </w:tcPr>
          <w:p w14:paraId="07C8094E" w14:textId="4E415A64" w:rsidR="007F1017" w:rsidRPr="0098262F" w:rsidRDefault="00116AC1" w:rsidP="003E4C55">
            <w:pPr>
              <w:pStyle w:val="TableText0"/>
            </w:pPr>
            <w:r>
              <w:t>120</w:t>
            </w:r>
          </w:p>
        </w:tc>
        <w:tc>
          <w:tcPr>
            <w:tcW w:w="1179" w:type="pct"/>
            <w:vAlign w:val="center"/>
          </w:tcPr>
          <w:p w14:paraId="201997F5" w14:textId="15905FA7" w:rsidR="007F1017" w:rsidRPr="0098262F" w:rsidRDefault="00116AC1" w:rsidP="003E4C55">
            <w:pPr>
              <w:pStyle w:val="TableText0"/>
            </w:pPr>
            <w:r>
              <w:t>R</w:t>
            </w:r>
            <w:r w:rsidR="001E63AE">
              <w:t xml:space="preserve"> (method not adequately described)</w:t>
            </w:r>
            <w:r>
              <w:t xml:space="preserve">, DB, MC (all Japan); </w:t>
            </w:r>
            <w:r w:rsidR="001E63AE">
              <w:t xml:space="preserve">300U across affected muscles. </w:t>
            </w:r>
          </w:p>
        </w:tc>
        <w:tc>
          <w:tcPr>
            <w:tcW w:w="393" w:type="pct"/>
            <w:vAlign w:val="center"/>
          </w:tcPr>
          <w:p w14:paraId="10E74256" w14:textId="51B4A030" w:rsidR="007F1017" w:rsidRPr="0098262F" w:rsidRDefault="001E63AE" w:rsidP="003E4C55">
            <w:pPr>
              <w:pStyle w:val="TableText0"/>
            </w:pPr>
            <w:r>
              <w:t>Unclear</w:t>
            </w:r>
          </w:p>
        </w:tc>
        <w:tc>
          <w:tcPr>
            <w:tcW w:w="1414" w:type="pct"/>
            <w:vAlign w:val="center"/>
          </w:tcPr>
          <w:p w14:paraId="12E896CA" w14:textId="4766E223" w:rsidR="007F1017" w:rsidRPr="0098262F" w:rsidRDefault="00116AC1" w:rsidP="003E4C55">
            <w:pPr>
              <w:pStyle w:val="TableText0"/>
            </w:pPr>
            <w:r>
              <w:t xml:space="preserve">Ages 20-80; pes equinus due to stroke </w:t>
            </w:r>
            <w:r>
              <w:rPr>
                <w:rFonts w:ascii="Symbol" w:eastAsia="Symbol" w:hAnsi="Symbol" w:cs="Symbol"/>
              </w:rPr>
              <w:t>³</w:t>
            </w:r>
            <w:r>
              <w:t xml:space="preserve">6 m previously; MAS </w:t>
            </w:r>
            <w:r>
              <w:rPr>
                <w:rFonts w:ascii="Symbol" w:eastAsia="Symbol" w:hAnsi="Symbol" w:cs="Symbol"/>
              </w:rPr>
              <w:t>³</w:t>
            </w:r>
            <w:r>
              <w:t>3 in a</w:t>
            </w:r>
            <w:r w:rsidR="001E63AE">
              <w:t>n</w:t>
            </w:r>
            <w:r>
              <w:t>kle flexors</w:t>
            </w:r>
            <w:r w:rsidR="001E63AE">
              <w:t>.</w:t>
            </w:r>
          </w:p>
        </w:tc>
        <w:tc>
          <w:tcPr>
            <w:tcW w:w="944" w:type="pct"/>
            <w:vAlign w:val="center"/>
          </w:tcPr>
          <w:p w14:paraId="7FED8A09" w14:textId="6D13C66A" w:rsidR="007F1017" w:rsidRPr="0098262F" w:rsidRDefault="001E63AE" w:rsidP="003E4C55">
            <w:pPr>
              <w:pStyle w:val="TableText0"/>
            </w:pPr>
            <w:r>
              <w:t>CFB MAS AUC at 1,2, 4, 6, 8, 12 wk; MAS CFB.</w:t>
            </w:r>
          </w:p>
        </w:tc>
        <w:tc>
          <w:tcPr>
            <w:tcW w:w="522" w:type="pct"/>
            <w:vAlign w:val="center"/>
          </w:tcPr>
          <w:p w14:paraId="56D5867C" w14:textId="7C074F01" w:rsidR="007F1017" w:rsidRPr="0098262F" w:rsidRDefault="001E63AE" w:rsidP="003E4C55">
            <w:pPr>
              <w:pStyle w:val="TableText0"/>
            </w:pPr>
            <w:r>
              <w:t xml:space="preserve">Used </w:t>
            </w:r>
          </w:p>
        </w:tc>
      </w:tr>
    </w:tbl>
    <w:p w14:paraId="63E115BA" w14:textId="784AA316" w:rsidR="00B60939" w:rsidRPr="0098262F" w:rsidRDefault="00045017" w:rsidP="00EC5836">
      <w:pPr>
        <w:pStyle w:val="FooterTableFigure"/>
      </w:pPr>
      <w:r w:rsidRPr="0098262F">
        <w:t xml:space="preserve">Source: </w:t>
      </w:r>
      <w:r w:rsidR="001E63AE">
        <w:t xml:space="preserve">Constructed during the evaluation from CSRs and published reports. </w:t>
      </w:r>
    </w:p>
    <w:p w14:paraId="4033C5B0" w14:textId="4F22831D" w:rsidR="00620C25" w:rsidRDefault="001E63AE" w:rsidP="00EC5836">
      <w:pPr>
        <w:pStyle w:val="FooterTableFigure"/>
      </w:pPr>
      <w:r>
        <w:t xml:space="preserve">AS = Ashworth score; AUC = area under curve; CFB = change from baseline; CGI = clinical global impression; </w:t>
      </w:r>
      <w:r w:rsidR="00620C25" w:rsidRPr="0098262F">
        <w:t xml:space="preserve">DB = double blind; </w:t>
      </w:r>
      <w:r>
        <w:t xml:space="preserve">m = month; MAS = modified Ashworth score; </w:t>
      </w:r>
      <w:r w:rsidR="00620C25" w:rsidRPr="0098262F">
        <w:t>MC = multi-centre; OL = open label; R = randomised</w:t>
      </w:r>
      <w:r>
        <w:t>; wk = week.</w:t>
      </w:r>
    </w:p>
    <w:p w14:paraId="1691E910" w14:textId="77777777" w:rsidR="00242C7D" w:rsidRDefault="00242C7D" w:rsidP="00EC5836">
      <w:pPr>
        <w:pStyle w:val="FooterTableFigure"/>
      </w:pPr>
    </w:p>
    <w:p w14:paraId="22CDBD58" w14:textId="6E7B54FB" w:rsidR="002654B3" w:rsidRPr="00336369" w:rsidRDefault="00242C7D" w:rsidP="00242C7D">
      <w:pPr>
        <w:pStyle w:val="3-BodyText"/>
      </w:pPr>
      <w:r w:rsidRPr="00336369">
        <w:t xml:space="preserve">An important design feature of the </w:t>
      </w:r>
      <w:r w:rsidR="00EC0066" w:rsidRPr="00336369">
        <w:t xml:space="preserve">Xeomin </w:t>
      </w:r>
      <w:r w:rsidRPr="00336369">
        <w:t>trials was that previous botulinum toxin treatment for spasticity was allowed</w:t>
      </w:r>
      <w:r w:rsidR="00194A7E" w:rsidRPr="00336369">
        <w:t>,</w:t>
      </w:r>
      <w:r w:rsidR="002618C8" w:rsidRPr="00336369">
        <w:t xml:space="preserve"> provided </w:t>
      </w:r>
      <w:r w:rsidR="00194A7E" w:rsidRPr="00336369">
        <w:t xml:space="preserve">only that </w:t>
      </w:r>
      <w:r w:rsidR="002618C8" w:rsidRPr="00336369">
        <w:t>the most recent injection was more than</w:t>
      </w:r>
      <w:r w:rsidR="00F124B2" w:rsidRPr="00336369">
        <w:t xml:space="preserve"> 16 weeks</w:t>
      </w:r>
      <w:r w:rsidR="002618C8" w:rsidRPr="00336369">
        <w:t xml:space="preserve"> before</w:t>
      </w:r>
      <w:r w:rsidR="00F124B2" w:rsidRPr="00336369">
        <w:t xml:space="preserve"> enrolment</w:t>
      </w:r>
      <w:r w:rsidR="00753EE5" w:rsidRPr="00336369">
        <w:t>. I</w:t>
      </w:r>
      <w:r w:rsidR="00736E50" w:rsidRPr="00336369">
        <w:t>n</w:t>
      </w:r>
      <w:r w:rsidRPr="00336369">
        <w:t xml:space="preserve"> 3002</w:t>
      </w:r>
      <w:r w:rsidR="00EC0066" w:rsidRPr="00336369">
        <w:t xml:space="preserve"> </w:t>
      </w:r>
      <w:r w:rsidR="002618C8" w:rsidRPr="00336369">
        <w:t>74</w:t>
      </w:r>
      <w:r w:rsidR="00EC0066" w:rsidRPr="00336369">
        <w:t>/289 patients (</w:t>
      </w:r>
      <w:r w:rsidR="002618C8" w:rsidRPr="00336369">
        <w:t>26</w:t>
      </w:r>
      <w:r w:rsidR="00EC0066" w:rsidRPr="00336369">
        <w:t>%) and in</w:t>
      </w:r>
      <w:r w:rsidR="003956A1" w:rsidRPr="00336369">
        <w:t xml:space="preserve"> 3098</w:t>
      </w:r>
      <w:r w:rsidR="00EC0066" w:rsidRPr="00336369">
        <w:t xml:space="preserve"> </w:t>
      </w:r>
      <w:r w:rsidRPr="00336369">
        <w:t>10</w:t>
      </w:r>
      <w:r w:rsidR="002618C8" w:rsidRPr="00336369">
        <w:t>9</w:t>
      </w:r>
      <w:r w:rsidRPr="00336369">
        <w:t>/208 patients (5</w:t>
      </w:r>
      <w:r w:rsidR="002618C8" w:rsidRPr="00336369">
        <w:t>2</w:t>
      </w:r>
      <w:r w:rsidRPr="00336369">
        <w:t>%) had previously received botulinum toxin</w:t>
      </w:r>
      <w:r w:rsidR="002618C8" w:rsidRPr="00336369">
        <w:t xml:space="preserve">, of whom 56/74 (76%) and 103/109 (94%) </w:t>
      </w:r>
      <w:r w:rsidR="00FC1C6E" w:rsidRPr="00336369">
        <w:t xml:space="preserve">respectively </w:t>
      </w:r>
      <w:r w:rsidR="002618C8" w:rsidRPr="00336369">
        <w:t>had been treated</w:t>
      </w:r>
      <w:r w:rsidRPr="00336369">
        <w:t xml:space="preserve"> for lower limb spasticity. </w:t>
      </w:r>
    </w:p>
    <w:p w14:paraId="76352AAC" w14:textId="1F97A709" w:rsidR="00242C7D" w:rsidRPr="00336369" w:rsidRDefault="00F124B2" w:rsidP="00242C7D">
      <w:pPr>
        <w:pStyle w:val="3-BodyText"/>
      </w:pPr>
      <w:r w:rsidRPr="00336369">
        <w:t xml:space="preserve">Most patients </w:t>
      </w:r>
      <w:r w:rsidR="002618C8" w:rsidRPr="00336369">
        <w:t xml:space="preserve">in 3002 </w:t>
      </w:r>
      <w:r w:rsidRPr="00336369">
        <w:t>had received multiple botulinum toxin treatments (median 3.0, range 0, 19</w:t>
      </w:r>
      <w:r w:rsidR="002618C8" w:rsidRPr="00336369">
        <w:t>)</w:t>
      </w:r>
      <w:r w:rsidRPr="00336369">
        <w:t>; this information was not provided for 3098</w:t>
      </w:r>
      <w:r w:rsidR="002618C8" w:rsidRPr="00336369">
        <w:t>. T</w:t>
      </w:r>
      <w:r w:rsidR="002654B3" w:rsidRPr="00336369">
        <w:t>he median (range) time since most recent treatment was 7.5 (4, 166) months in 3002</w:t>
      </w:r>
      <w:r w:rsidR="0027697B" w:rsidRPr="00336369">
        <w:t xml:space="preserve"> and</w:t>
      </w:r>
      <w:r w:rsidR="002654B3" w:rsidRPr="00336369">
        <w:t xml:space="preserve"> 5.0 (4, 65) months </w:t>
      </w:r>
      <w:r w:rsidR="0027697B" w:rsidRPr="00336369">
        <w:t xml:space="preserve">in 3098, </w:t>
      </w:r>
      <w:r w:rsidR="002654B3" w:rsidRPr="00336369">
        <w:t xml:space="preserve">so </w:t>
      </w:r>
      <w:r w:rsidR="002618C8" w:rsidRPr="00336369">
        <w:t xml:space="preserve">it appears that </w:t>
      </w:r>
      <w:r w:rsidR="002654B3" w:rsidRPr="00336369">
        <w:t>treatment for</w:t>
      </w:r>
      <w:r w:rsidR="00FC1C6E" w:rsidRPr="00336369">
        <w:t xml:space="preserve"> most pre-treated</w:t>
      </w:r>
      <w:r w:rsidR="002654B3" w:rsidRPr="00336369">
        <w:t xml:space="preserve"> patients was </w:t>
      </w:r>
      <w:r w:rsidR="002618C8" w:rsidRPr="00336369">
        <w:t xml:space="preserve">ongoing </w:t>
      </w:r>
      <w:r w:rsidR="00FC1C6E" w:rsidRPr="00336369">
        <w:t>at the time of enrolment in the Xeomin trials</w:t>
      </w:r>
      <w:r w:rsidR="002654B3" w:rsidRPr="00336369">
        <w:t>. T</w:t>
      </w:r>
      <w:r w:rsidR="00EC0066" w:rsidRPr="00336369">
        <w:t>his may have resulted i</w:t>
      </w:r>
      <w:r w:rsidR="00C00B82" w:rsidRPr="00336369">
        <w:t>n</w:t>
      </w:r>
      <w:r w:rsidR="002618C8" w:rsidRPr="00336369">
        <w:t xml:space="preserve"> </w:t>
      </w:r>
      <w:r w:rsidR="00EC0066" w:rsidRPr="00336369">
        <w:t xml:space="preserve">patients with a prior good response to botulinum toxin being </w:t>
      </w:r>
      <w:r w:rsidR="00C00B82" w:rsidRPr="00336369">
        <w:t xml:space="preserve">selectively </w:t>
      </w:r>
      <w:r w:rsidR="00EC0066" w:rsidRPr="00336369">
        <w:t>included</w:t>
      </w:r>
      <w:r w:rsidR="00C00B82" w:rsidRPr="00336369">
        <w:t>, especially</w:t>
      </w:r>
      <w:r w:rsidR="00EC0066" w:rsidRPr="00336369">
        <w:t xml:space="preserve"> in 3098</w:t>
      </w:r>
      <w:r w:rsidR="0003454D" w:rsidRPr="00336369">
        <w:t xml:space="preserve">, which could have increased the likelihood of a response to Xeomin. </w:t>
      </w:r>
    </w:p>
    <w:p w14:paraId="6C3659D0" w14:textId="3B9EDD21" w:rsidR="00EC0066" w:rsidRPr="00336369" w:rsidRDefault="00EC0066" w:rsidP="00242C7D">
      <w:pPr>
        <w:pStyle w:val="3-BodyText"/>
      </w:pPr>
      <w:r w:rsidRPr="00336369">
        <w:t xml:space="preserve">Previous treatment with botulinum toxin was </w:t>
      </w:r>
      <w:r w:rsidR="009F09EC" w:rsidRPr="00336369">
        <w:t xml:space="preserve">allowed in REFLEX provided the last injection was more than 20 weeks before enrolment but was </w:t>
      </w:r>
      <w:r w:rsidRPr="00336369">
        <w:t xml:space="preserve">an exclusion criterion in </w:t>
      </w:r>
      <w:r w:rsidR="002618C8" w:rsidRPr="00336369">
        <w:t>512</w:t>
      </w:r>
      <w:r w:rsidRPr="00336369">
        <w:t>.</w:t>
      </w:r>
    </w:p>
    <w:p w14:paraId="466BDE61" w14:textId="053ADB23" w:rsidR="00736E50" w:rsidRPr="00336369" w:rsidRDefault="009A26F1" w:rsidP="00322168">
      <w:pPr>
        <w:pStyle w:val="3-BodyText"/>
      </w:pPr>
      <w:r>
        <w:t>In terms of other baseline characteristics of the patients in the trials, t</w:t>
      </w:r>
      <w:r w:rsidR="00C906B4" w:rsidRPr="00336369">
        <w:t xml:space="preserve">he most obvious difference is that all patients in 3098 and Kaji, 2010 were Japanese, while a large majority of patients in the other trials were white. </w:t>
      </w:r>
      <w:r w:rsidR="00EB6220" w:rsidRPr="00336369">
        <w:t xml:space="preserve">Patients in 3002 had suffered their most recent stroke more recently (mean about 4.5 years) than patients in the other trials (mean 6 to 7 years). </w:t>
      </w:r>
    </w:p>
    <w:p w14:paraId="4A4FE085" w14:textId="1C5613CC" w:rsidR="00B60939" w:rsidRPr="00336369" w:rsidRDefault="00B60939" w:rsidP="004C55C7">
      <w:pPr>
        <w:pStyle w:val="4-SubsectionHeading"/>
        <w:rPr>
          <w:iCs w:val="0"/>
        </w:rPr>
      </w:pPr>
      <w:bookmarkStart w:id="25" w:name="_Toc22897641"/>
      <w:bookmarkStart w:id="26" w:name="_Toc219899374"/>
      <w:r w:rsidRPr="00336369">
        <w:rPr>
          <w:iCs w:val="0"/>
        </w:rPr>
        <w:lastRenderedPageBreak/>
        <w:t>Comparative effectiveness</w:t>
      </w:r>
      <w:bookmarkEnd w:id="25"/>
      <w:bookmarkEnd w:id="26"/>
    </w:p>
    <w:p w14:paraId="0454F0C7" w14:textId="347EEC09" w:rsidR="00CD094F" w:rsidRPr="00336369" w:rsidRDefault="00CD094F" w:rsidP="003A25FD">
      <w:pPr>
        <w:pStyle w:val="3-BodyText"/>
      </w:pPr>
      <w:r w:rsidRPr="00336369">
        <w:rPr>
          <w:color w:val="000000" w:themeColor="text1"/>
        </w:rPr>
        <w:t>Efficacy outcomes in the trials are shown in</w:t>
      </w:r>
      <w:r w:rsidR="00D66898" w:rsidRPr="00936049">
        <w:rPr>
          <w:color w:val="000000" w:themeColor="text1"/>
        </w:rPr>
        <w:t xml:space="preserve"> </w:t>
      </w:r>
      <w:r w:rsidR="00936049" w:rsidRPr="00936049">
        <w:rPr>
          <w:color w:val="000000" w:themeColor="text1"/>
        </w:rPr>
        <w:fldChar w:fldCharType="begin"/>
      </w:r>
      <w:r w:rsidR="00936049" w:rsidRPr="00936049">
        <w:rPr>
          <w:color w:val="000000" w:themeColor="text1"/>
        </w:rPr>
        <w:instrText xml:space="preserve"> REF _Ref222734034 \h  \* MERGEFORMAT </w:instrText>
      </w:r>
      <w:r w:rsidR="00936049" w:rsidRPr="00936049">
        <w:rPr>
          <w:color w:val="000000" w:themeColor="text1"/>
        </w:rPr>
      </w:r>
      <w:r w:rsidR="00936049" w:rsidRPr="00936049">
        <w:rPr>
          <w:color w:val="000000" w:themeColor="text1"/>
        </w:rPr>
        <w:fldChar w:fldCharType="separate"/>
      </w:r>
      <w:r w:rsidR="00936049" w:rsidRPr="00936049">
        <w:t xml:space="preserve">Table </w:t>
      </w:r>
      <w:r w:rsidR="00936049" w:rsidRPr="00936049">
        <w:rPr>
          <w:noProof/>
        </w:rPr>
        <w:t>4</w:t>
      </w:r>
      <w:r w:rsidR="00936049" w:rsidRPr="00936049">
        <w:rPr>
          <w:color w:val="000000" w:themeColor="text1"/>
        </w:rPr>
        <w:fldChar w:fldCharType="end"/>
      </w:r>
      <w:r w:rsidR="00936049">
        <w:rPr>
          <w:color w:val="000000" w:themeColor="text1"/>
        </w:rPr>
        <w:t xml:space="preserve"> and</w:t>
      </w:r>
      <w:r w:rsidR="00094797" w:rsidRPr="00336369">
        <w:rPr>
          <w:color w:val="000000" w:themeColor="text1"/>
        </w:rPr>
        <w:t xml:space="preserve"> </w:t>
      </w:r>
      <w:r w:rsidR="00027E8C" w:rsidRPr="00336369">
        <w:rPr>
          <w:color w:val="000000" w:themeColor="text1"/>
        </w:rPr>
        <w:fldChar w:fldCharType="begin"/>
      </w:r>
      <w:r w:rsidR="00027E8C" w:rsidRPr="00336369">
        <w:rPr>
          <w:color w:val="000000" w:themeColor="text1"/>
        </w:rPr>
        <w:instrText xml:space="preserve"> REF _Ref216083859 \h </w:instrText>
      </w:r>
      <w:r w:rsidR="00336369" w:rsidRPr="00336369">
        <w:rPr>
          <w:color w:val="000000" w:themeColor="text1"/>
        </w:rPr>
        <w:instrText xml:space="preserve"> \* MERGEFORMAT </w:instrText>
      </w:r>
      <w:r w:rsidR="00027E8C" w:rsidRPr="00336369">
        <w:rPr>
          <w:color w:val="000000" w:themeColor="text1"/>
        </w:rPr>
      </w:r>
      <w:r w:rsidR="00027E8C" w:rsidRPr="00336369">
        <w:rPr>
          <w:color w:val="000000" w:themeColor="text1"/>
        </w:rPr>
        <w:fldChar w:fldCharType="separate"/>
      </w:r>
      <w:r w:rsidR="00D66898">
        <w:t xml:space="preserve">Table </w:t>
      </w:r>
      <w:r w:rsidR="00D66898">
        <w:rPr>
          <w:noProof/>
        </w:rPr>
        <w:t>5</w:t>
      </w:r>
      <w:r w:rsidR="00027E8C" w:rsidRPr="00336369">
        <w:rPr>
          <w:color w:val="000000" w:themeColor="text1"/>
        </w:rPr>
        <w:fldChar w:fldCharType="end"/>
      </w:r>
      <w:r w:rsidR="00936049">
        <w:rPr>
          <w:color w:val="000000" w:themeColor="text1"/>
        </w:rPr>
        <w:t>.</w:t>
      </w:r>
    </w:p>
    <w:p w14:paraId="2461D475" w14:textId="2D2349A7" w:rsidR="00623AA4" w:rsidRPr="00336369" w:rsidRDefault="00E5604B" w:rsidP="00E5604B">
      <w:pPr>
        <w:pStyle w:val="3-BodyText"/>
        <w:rPr>
          <w:color w:val="000000" w:themeColor="text1"/>
        </w:rPr>
      </w:pPr>
      <w:r w:rsidRPr="00336369">
        <w:rPr>
          <w:color w:val="000000" w:themeColor="text1"/>
        </w:rPr>
        <w:t xml:space="preserve">Study 3098 reported the Modified Ashworth Score and 3002 the original version. The scales differ only in that the modified scale divided the original scale's point </w:t>
      </w:r>
      <w:r w:rsidR="00B24A6F" w:rsidRPr="00336369">
        <w:rPr>
          <w:color w:val="000000" w:themeColor="text1"/>
        </w:rPr>
        <w:t>1</w:t>
      </w:r>
      <w:r w:rsidRPr="00336369">
        <w:rPr>
          <w:color w:val="000000" w:themeColor="text1"/>
        </w:rPr>
        <w:t xml:space="preserve"> (= </w:t>
      </w:r>
      <w:r w:rsidR="00623AA4" w:rsidRPr="00336369">
        <w:t>Slight increase in tone giving a catch when the limb is moved</w:t>
      </w:r>
      <w:r w:rsidRPr="00336369">
        <w:rPr>
          <w:color w:val="000000" w:themeColor="text1"/>
        </w:rPr>
        <w:t xml:space="preserve">) into </w:t>
      </w:r>
      <w:r w:rsidR="00623AA4" w:rsidRPr="00336369">
        <w:rPr>
          <w:color w:val="000000" w:themeColor="text1"/>
        </w:rPr>
        <w:t>1 and 1+ (1</w:t>
      </w:r>
      <w:r w:rsidRPr="00336369">
        <w:rPr>
          <w:color w:val="000000" w:themeColor="text1"/>
        </w:rPr>
        <w:t xml:space="preserve"> = </w:t>
      </w:r>
      <w:r w:rsidR="00623AA4" w:rsidRPr="00336369">
        <w:t>Slight increase in muscle tone, with a catch and release or minimal resistance at the end of the range of motion;</w:t>
      </w:r>
      <w:r w:rsidRPr="00336369">
        <w:rPr>
          <w:color w:val="000000" w:themeColor="text1"/>
        </w:rPr>
        <w:t xml:space="preserve"> </w:t>
      </w:r>
      <w:r w:rsidR="00623AA4" w:rsidRPr="00336369">
        <w:rPr>
          <w:color w:val="000000" w:themeColor="text1"/>
        </w:rPr>
        <w:t>1+</w:t>
      </w:r>
      <w:r w:rsidRPr="00336369">
        <w:rPr>
          <w:color w:val="000000" w:themeColor="text1"/>
        </w:rPr>
        <w:t xml:space="preserve"> = </w:t>
      </w:r>
      <w:r w:rsidR="00623AA4" w:rsidRPr="00336369">
        <w:t>Slight increase in muscle tone, manifested by a catch, followed by minimal resistance through the remainder - less than half - of the range of motion</w:t>
      </w:r>
      <w:r w:rsidRPr="00336369">
        <w:rPr>
          <w:color w:val="000000" w:themeColor="text1"/>
        </w:rPr>
        <w:t xml:space="preserve">). </w:t>
      </w:r>
      <w:r w:rsidR="00800F87" w:rsidRPr="00336369">
        <w:rPr>
          <w:color w:val="000000" w:themeColor="text1"/>
        </w:rPr>
        <w:t xml:space="preserve">Points 2, 3 and 4 remained the same. </w:t>
      </w:r>
    </w:p>
    <w:p w14:paraId="36BFE180" w14:textId="133D7832" w:rsidR="00E5604B" w:rsidRPr="00336369" w:rsidRDefault="00E5604B" w:rsidP="00E5604B">
      <w:pPr>
        <w:pStyle w:val="3-BodyText"/>
        <w:rPr>
          <w:color w:val="000000" w:themeColor="text1"/>
        </w:rPr>
      </w:pPr>
      <w:r w:rsidRPr="00336369">
        <w:rPr>
          <w:color w:val="000000" w:themeColor="text1"/>
        </w:rPr>
        <w:t>The inclusion criteria for 3002 included an Ashworth Sc</w:t>
      </w:r>
      <w:r w:rsidR="0027697B" w:rsidRPr="00336369">
        <w:rPr>
          <w:color w:val="000000" w:themeColor="text1"/>
        </w:rPr>
        <w:t>ale score</w:t>
      </w:r>
      <w:r w:rsidRPr="00336369">
        <w:rPr>
          <w:color w:val="000000" w:themeColor="text1"/>
        </w:rPr>
        <w:t xml:space="preserve"> of at least 2 in the plantar flexors, and the inclusion criteria for 3098 included a Modified Ashworth Sc</w:t>
      </w:r>
      <w:r w:rsidR="0027697B" w:rsidRPr="00336369">
        <w:rPr>
          <w:color w:val="000000" w:themeColor="text1"/>
        </w:rPr>
        <w:t>ale sco</w:t>
      </w:r>
      <w:r w:rsidR="009223DB" w:rsidRPr="00336369">
        <w:rPr>
          <w:color w:val="000000" w:themeColor="text1"/>
        </w:rPr>
        <w:t>r</w:t>
      </w:r>
      <w:r w:rsidR="0027697B" w:rsidRPr="00336369">
        <w:rPr>
          <w:color w:val="000000" w:themeColor="text1"/>
        </w:rPr>
        <w:t>e</w:t>
      </w:r>
      <w:r w:rsidRPr="00336369">
        <w:rPr>
          <w:color w:val="000000" w:themeColor="text1"/>
        </w:rPr>
        <w:t xml:space="preserve"> of at least 3 in the plantar flexors. </w:t>
      </w:r>
      <w:r w:rsidR="009223DB" w:rsidRPr="00336369">
        <w:rPr>
          <w:color w:val="000000" w:themeColor="text1"/>
        </w:rPr>
        <w:t>I</w:t>
      </w:r>
      <w:r w:rsidR="00800F87" w:rsidRPr="00336369">
        <w:rPr>
          <w:color w:val="000000" w:themeColor="text1"/>
        </w:rPr>
        <w:t xml:space="preserve">n order to provide data </w:t>
      </w:r>
      <w:r w:rsidR="00C00B82" w:rsidRPr="00336369">
        <w:rPr>
          <w:color w:val="000000" w:themeColor="text1"/>
        </w:rPr>
        <w:t>usable in</w:t>
      </w:r>
      <w:r w:rsidR="00800F87" w:rsidRPr="00336369">
        <w:rPr>
          <w:color w:val="000000" w:themeColor="text1"/>
        </w:rPr>
        <w:t xml:space="preserve"> statistical analys</w:t>
      </w:r>
      <w:r w:rsidR="00C00B82" w:rsidRPr="00336369">
        <w:rPr>
          <w:color w:val="000000" w:themeColor="text1"/>
        </w:rPr>
        <w:t>e</w:t>
      </w:r>
      <w:r w:rsidR="00800F87" w:rsidRPr="00336369">
        <w:rPr>
          <w:color w:val="000000" w:themeColor="text1"/>
        </w:rPr>
        <w:t xml:space="preserve">s the Modified Ashworth Scale </w:t>
      </w:r>
      <w:r w:rsidR="005B3750" w:rsidRPr="00336369">
        <w:rPr>
          <w:color w:val="000000" w:themeColor="text1"/>
        </w:rPr>
        <w:t>is made</w:t>
      </w:r>
      <w:r w:rsidR="009223DB" w:rsidRPr="00336369">
        <w:rPr>
          <w:color w:val="000000" w:themeColor="text1"/>
        </w:rPr>
        <w:t xml:space="preserve"> a 6-point scale, with </w:t>
      </w:r>
      <w:r w:rsidR="00800F87" w:rsidRPr="00336369">
        <w:rPr>
          <w:color w:val="000000" w:themeColor="text1"/>
        </w:rPr>
        <w:t xml:space="preserve">scores 1 and 1+ recorded as 1 and 2, </w:t>
      </w:r>
      <w:r w:rsidR="0027697B" w:rsidRPr="00336369">
        <w:rPr>
          <w:color w:val="000000" w:themeColor="text1"/>
        </w:rPr>
        <w:t>so</w:t>
      </w:r>
      <w:r w:rsidR="00800F87" w:rsidRPr="00336369">
        <w:rPr>
          <w:color w:val="000000" w:themeColor="text1"/>
        </w:rPr>
        <w:t xml:space="preserve"> </w:t>
      </w:r>
      <w:r w:rsidR="00FC1C6E" w:rsidRPr="00336369">
        <w:rPr>
          <w:color w:val="000000" w:themeColor="text1"/>
        </w:rPr>
        <w:t xml:space="preserve">MAS = 3 is the same as AS = 2 - ie, </w:t>
      </w:r>
      <w:r w:rsidR="00800F87" w:rsidRPr="00336369">
        <w:rPr>
          <w:color w:val="000000" w:themeColor="text1"/>
        </w:rPr>
        <w:t xml:space="preserve">the inclusion criteria for the studies were the same. </w:t>
      </w:r>
    </w:p>
    <w:p w14:paraId="3FAD928C" w14:textId="115652EE" w:rsidR="00465F45" w:rsidRPr="00336369" w:rsidRDefault="00465F45" w:rsidP="00E5604B">
      <w:pPr>
        <w:pStyle w:val="3-BodyText"/>
        <w:rPr>
          <w:color w:val="000000" w:themeColor="text1"/>
        </w:rPr>
      </w:pPr>
      <w:r w:rsidRPr="00336369">
        <w:rPr>
          <w:color w:val="000000" w:themeColor="text1"/>
        </w:rPr>
        <w:t xml:space="preserve">The PBAC has previously accepted that trials using changes in Ashworth Scale and trials using changes in Modified Ashworth Scale scores can be compared in indirect treatment comparisons (Table 5, Paragraph 6.11, Table 7, Paragraph 6.17, Dysport PSD, July 2020 PBAC Meeting), </w:t>
      </w:r>
      <w:r w:rsidR="00800F87" w:rsidRPr="00336369">
        <w:rPr>
          <w:color w:val="000000" w:themeColor="text1"/>
        </w:rPr>
        <w:t>although</w:t>
      </w:r>
      <w:r w:rsidRPr="00336369">
        <w:rPr>
          <w:color w:val="000000" w:themeColor="text1"/>
        </w:rPr>
        <w:t xml:space="preserve"> in its most recent consideration the committee expressed reservations about this approach (Paragraph 6.17, Xeomin PSD, July 2025 PBAC Meeting).</w:t>
      </w:r>
    </w:p>
    <w:p w14:paraId="7A3AADA9" w14:textId="32000FE8" w:rsidR="00E5604B" w:rsidRPr="00336369" w:rsidRDefault="00E5604B" w:rsidP="00E5604B">
      <w:pPr>
        <w:pStyle w:val="3-BodyText"/>
        <w:rPr>
          <w:color w:val="000000" w:themeColor="text1"/>
        </w:rPr>
      </w:pPr>
      <w:r w:rsidRPr="00336369">
        <w:rPr>
          <w:color w:val="000000" w:themeColor="text1"/>
        </w:rPr>
        <w:t>The Clinical Global Impression is a</w:t>
      </w:r>
      <w:r w:rsidR="00E160EA" w:rsidRPr="00336369">
        <w:rPr>
          <w:color w:val="000000" w:themeColor="text1"/>
        </w:rPr>
        <w:t xml:space="preserve"> 9-point or </w:t>
      </w:r>
      <w:r w:rsidRPr="00336369">
        <w:rPr>
          <w:color w:val="000000" w:themeColor="text1"/>
        </w:rPr>
        <w:t xml:space="preserve">11-point Likert scale with </w:t>
      </w:r>
      <w:r w:rsidR="00E160EA" w:rsidRPr="00336369">
        <w:rPr>
          <w:color w:val="000000" w:themeColor="text1"/>
        </w:rPr>
        <w:t xml:space="preserve">-4 or </w:t>
      </w:r>
      <w:r w:rsidRPr="00336369">
        <w:rPr>
          <w:color w:val="000000" w:themeColor="text1"/>
        </w:rPr>
        <w:t xml:space="preserve">-5 indicating the worst possible condition and </w:t>
      </w:r>
      <w:r w:rsidR="00E160EA" w:rsidRPr="00336369">
        <w:rPr>
          <w:color w:val="000000" w:themeColor="text1"/>
        </w:rPr>
        <w:t xml:space="preserve">+4 or </w:t>
      </w:r>
      <w:r w:rsidRPr="00336369">
        <w:rPr>
          <w:color w:val="000000" w:themeColor="text1"/>
        </w:rPr>
        <w:t>+5 the best possible condition, so positive change from baseline indicate</w:t>
      </w:r>
      <w:r w:rsidR="00C00B82" w:rsidRPr="00336369">
        <w:rPr>
          <w:color w:val="000000" w:themeColor="text1"/>
        </w:rPr>
        <w:t>s</w:t>
      </w:r>
      <w:r w:rsidRPr="00336369">
        <w:rPr>
          <w:color w:val="000000" w:themeColor="text1"/>
        </w:rPr>
        <w:t xml:space="preserve"> improvement.</w:t>
      </w:r>
    </w:p>
    <w:p w14:paraId="27926881" w14:textId="64876396" w:rsidR="00E5604B" w:rsidRPr="00336369" w:rsidRDefault="00E5604B" w:rsidP="00E5604B">
      <w:pPr>
        <w:pStyle w:val="3-BodyText"/>
        <w:rPr>
          <w:color w:val="000000" w:themeColor="text1"/>
        </w:rPr>
      </w:pPr>
      <w:r w:rsidRPr="00336369">
        <w:rPr>
          <w:color w:val="000000" w:themeColor="text1"/>
        </w:rPr>
        <w:t>The Physician Rating Scale for gait rates initial foot contact (toe = 0 to heel = 3), foot contact at mid-stance (toe to toe = -1 to heel to toe = 3) and need for assistive devices (walker and assistance = 0 to none = 3), giving a total score of -1 to 9 with positive change from baseline indicating improvement.</w:t>
      </w:r>
    </w:p>
    <w:p w14:paraId="6471AF54" w14:textId="0546EF12" w:rsidR="00A11C59" w:rsidRPr="00336369" w:rsidRDefault="0004563F" w:rsidP="00EC5836">
      <w:pPr>
        <w:pStyle w:val="3-BodyText"/>
        <w:rPr>
          <w:color w:val="000000" w:themeColor="text1"/>
        </w:rPr>
      </w:pPr>
      <w:r w:rsidRPr="00336369">
        <w:rPr>
          <w:color w:val="000000" w:themeColor="text1"/>
        </w:rPr>
        <w:t xml:space="preserve">The change in Modified Ashworth Score (MAS) </w:t>
      </w:r>
      <w:r w:rsidR="00A11C59" w:rsidRPr="00336369">
        <w:rPr>
          <w:color w:val="000000" w:themeColor="text1"/>
        </w:rPr>
        <w:t xml:space="preserve">in 3098 </w:t>
      </w:r>
      <w:r w:rsidRPr="00336369">
        <w:rPr>
          <w:color w:val="000000" w:themeColor="text1"/>
        </w:rPr>
        <w:t>over time is shown in</w:t>
      </w:r>
      <w:r w:rsidR="00027E8C" w:rsidRPr="00336369">
        <w:rPr>
          <w:color w:val="000000" w:themeColor="text1"/>
        </w:rPr>
        <w:t xml:space="preserve"> </w:t>
      </w:r>
      <w:r w:rsidR="00027E8C" w:rsidRPr="00336369">
        <w:fldChar w:fldCharType="begin"/>
      </w:r>
      <w:r w:rsidR="00027E8C" w:rsidRPr="00336369">
        <w:instrText xml:space="preserve"> REF _Ref216083767 \h  \* MERGEFORMAT </w:instrText>
      </w:r>
      <w:r w:rsidR="00027E8C" w:rsidRPr="00336369">
        <w:fldChar w:fldCharType="separate"/>
      </w:r>
      <w:r w:rsidR="00761491" w:rsidRPr="00336369">
        <w:t>Figure 1</w:t>
      </w:r>
      <w:r w:rsidR="00027E8C" w:rsidRPr="00336369">
        <w:fldChar w:fldCharType="end"/>
      </w:r>
      <w:r w:rsidR="00027E8C" w:rsidRPr="00336369">
        <w:rPr>
          <w:color w:val="000000" w:themeColor="text1"/>
        </w:rPr>
        <w:t xml:space="preserve"> </w:t>
      </w:r>
      <w:r w:rsidR="00C90673" w:rsidRPr="00336369">
        <w:rPr>
          <w:color w:val="000000" w:themeColor="text1"/>
        </w:rPr>
        <w:t>(although the points are equally spaced they correspond to weeks 1, 4, 6, 8 and 12)</w:t>
      </w:r>
      <w:r w:rsidRPr="00336369">
        <w:rPr>
          <w:color w:val="000000" w:themeColor="text1"/>
        </w:rPr>
        <w:t xml:space="preserve">. </w:t>
      </w:r>
      <w:r w:rsidR="00A530CE" w:rsidRPr="00336369">
        <w:rPr>
          <w:color w:val="000000" w:themeColor="text1"/>
        </w:rPr>
        <w:t>The differences versus placebo w</w:t>
      </w:r>
      <w:r w:rsidR="00DD5699" w:rsidRPr="00336369">
        <w:rPr>
          <w:color w:val="000000" w:themeColor="text1"/>
        </w:rPr>
        <w:t>ere</w:t>
      </w:r>
      <w:r w:rsidR="00A530CE" w:rsidRPr="00336369">
        <w:rPr>
          <w:color w:val="000000" w:themeColor="text1"/>
        </w:rPr>
        <w:t xml:space="preserve"> </w:t>
      </w:r>
      <w:r w:rsidR="007B0A84" w:rsidRPr="00336369">
        <w:rPr>
          <w:color w:val="000000" w:themeColor="text1"/>
        </w:rPr>
        <w:t xml:space="preserve">statistically significant at 4, 6, and 8 weeks but </w:t>
      </w:r>
      <w:r w:rsidR="00A530CE" w:rsidRPr="00336369">
        <w:rPr>
          <w:color w:val="000000" w:themeColor="text1"/>
        </w:rPr>
        <w:t>not a</w:t>
      </w:r>
      <w:r w:rsidR="00C90673" w:rsidRPr="00336369">
        <w:rPr>
          <w:color w:val="000000" w:themeColor="text1"/>
        </w:rPr>
        <w:t>t</w:t>
      </w:r>
      <w:r w:rsidR="00A530CE" w:rsidRPr="00336369">
        <w:rPr>
          <w:color w:val="000000" w:themeColor="text1"/>
        </w:rPr>
        <w:t xml:space="preserve"> 1 and 12</w:t>
      </w:r>
      <w:r w:rsidR="00C90673" w:rsidRPr="00336369">
        <w:rPr>
          <w:color w:val="000000" w:themeColor="text1"/>
        </w:rPr>
        <w:t xml:space="preserve"> weeks</w:t>
      </w:r>
      <w:r w:rsidR="00A530CE" w:rsidRPr="00336369">
        <w:rPr>
          <w:color w:val="000000" w:themeColor="text1"/>
        </w:rPr>
        <w:t xml:space="preserve">. </w:t>
      </w:r>
      <w:r w:rsidR="00C90673" w:rsidRPr="00336369">
        <w:rPr>
          <w:color w:val="000000" w:themeColor="text1"/>
        </w:rPr>
        <w:t>T</w:t>
      </w:r>
      <w:r w:rsidR="004B5EB0" w:rsidRPr="00336369">
        <w:rPr>
          <w:color w:val="000000" w:themeColor="text1"/>
        </w:rPr>
        <w:t xml:space="preserve">his figure differs from </w:t>
      </w:r>
      <w:r w:rsidR="00A530CE" w:rsidRPr="00336369">
        <w:rPr>
          <w:color w:val="000000" w:themeColor="text1"/>
        </w:rPr>
        <w:t>Figure 2.5.1 of the submission</w:t>
      </w:r>
      <w:r w:rsidR="004B5EB0" w:rsidRPr="00336369">
        <w:rPr>
          <w:color w:val="000000" w:themeColor="text1"/>
        </w:rPr>
        <w:t>, which</w:t>
      </w:r>
      <w:r w:rsidR="00A530CE" w:rsidRPr="00336369">
        <w:rPr>
          <w:color w:val="000000" w:themeColor="text1"/>
        </w:rPr>
        <w:t xml:space="preserve"> was taken from the published report of this trial and shows least squares mean change and standard errors and omit</w:t>
      </w:r>
      <w:r w:rsidR="004B5EB0" w:rsidRPr="00336369">
        <w:rPr>
          <w:color w:val="000000" w:themeColor="text1"/>
        </w:rPr>
        <w:t>s</w:t>
      </w:r>
      <w:r w:rsidR="00A530CE" w:rsidRPr="00336369">
        <w:rPr>
          <w:color w:val="000000" w:themeColor="text1"/>
        </w:rPr>
        <w:t xml:space="preserve"> data for week 1. </w:t>
      </w:r>
    </w:p>
    <w:p w14:paraId="475FD43F" w14:textId="77777777" w:rsidR="0080500E" w:rsidRDefault="00171ABD" w:rsidP="00DF6AB6">
      <w:pPr>
        <w:pStyle w:val="3-BodyText"/>
        <w:rPr>
          <w:color w:val="000000" w:themeColor="text1"/>
        </w:rPr>
      </w:pPr>
      <w:r w:rsidRPr="00336369">
        <w:rPr>
          <w:color w:val="000000" w:themeColor="text1"/>
        </w:rPr>
        <w:t xml:space="preserve">The largest difference in </w:t>
      </w:r>
      <w:r w:rsidR="00381B2F" w:rsidRPr="00336369">
        <w:rPr>
          <w:color w:val="000000" w:themeColor="text1"/>
        </w:rPr>
        <w:t xml:space="preserve">CGI, PRS and walking speed between Xeomin and placebo was observed at </w:t>
      </w:r>
      <w:r w:rsidRPr="00336369">
        <w:rPr>
          <w:color w:val="000000" w:themeColor="text1"/>
        </w:rPr>
        <w:t>four weeks</w:t>
      </w:r>
      <w:r w:rsidR="00381B2F" w:rsidRPr="00336369">
        <w:rPr>
          <w:color w:val="000000" w:themeColor="text1"/>
        </w:rPr>
        <w:t xml:space="preserve">. </w:t>
      </w:r>
      <w:r w:rsidR="007B0A84" w:rsidRPr="00336369">
        <w:rPr>
          <w:color w:val="000000" w:themeColor="text1"/>
        </w:rPr>
        <w:t>The PBAC has previously advised that outcomes at 4 and 12 weeks would be relevant</w:t>
      </w:r>
      <w:r w:rsidR="00C90673" w:rsidRPr="00336369">
        <w:rPr>
          <w:color w:val="000000" w:themeColor="text1"/>
        </w:rPr>
        <w:t xml:space="preserve"> for assessment of botulinum toxin treatment of spasticity</w:t>
      </w:r>
      <w:r w:rsidR="007B0A84" w:rsidRPr="00336369">
        <w:rPr>
          <w:color w:val="000000" w:themeColor="text1"/>
        </w:rPr>
        <w:t>.</w:t>
      </w:r>
      <w:bookmarkStart w:id="27" w:name="_Ref216083467"/>
    </w:p>
    <w:p w14:paraId="5C217E14" w14:textId="336C9C12" w:rsidR="00143CF6" w:rsidRPr="00143CF6" w:rsidRDefault="0080500E" w:rsidP="00143CF6">
      <w:pPr>
        <w:pStyle w:val="Caption"/>
      </w:pPr>
      <w:r w:rsidRPr="00143CF6">
        <w:t xml:space="preserve">Table </w:t>
      </w:r>
      <w:r w:rsidRPr="00143CF6">
        <w:fldChar w:fldCharType="begin"/>
      </w:r>
      <w:r w:rsidRPr="00143CF6">
        <w:instrText xml:space="preserve"> SEQ Table \* ARABIC </w:instrText>
      </w:r>
      <w:r w:rsidRPr="00143CF6">
        <w:fldChar w:fldCharType="separate"/>
      </w:r>
      <w:r w:rsidRPr="00143CF6">
        <w:t>4</w:t>
      </w:r>
      <w:r w:rsidRPr="00143CF6">
        <w:fldChar w:fldCharType="end"/>
      </w:r>
      <w:r w:rsidRPr="00143CF6">
        <w:t>: Efficacy outcomes in the submitted Xeomin trials</w:t>
      </w:r>
    </w:p>
    <w:bookmarkEnd w:id="27"/>
    <w:tbl>
      <w:tblPr>
        <w:tblStyle w:val="TableGrid"/>
        <w:tblW w:w="5006" w:type="pct"/>
        <w:tblInd w:w="-5" w:type="dxa"/>
        <w:tblLook w:val="04A0" w:firstRow="1" w:lastRow="0" w:firstColumn="1" w:lastColumn="0" w:noHBand="0" w:noVBand="1"/>
        <w:tblCaption w:val="Table 4: Efficacy outcomes in the submitted Xeomin trials"/>
      </w:tblPr>
      <w:tblGrid>
        <w:gridCol w:w="2693"/>
        <w:gridCol w:w="1844"/>
        <w:gridCol w:w="1262"/>
        <w:gridCol w:w="1862"/>
        <w:gridCol w:w="1367"/>
      </w:tblGrid>
      <w:tr w:rsidR="00CD094F" w:rsidRPr="00EE5781" w14:paraId="2C06D2A1" w14:textId="77777777" w:rsidTr="00966D4F">
        <w:trPr>
          <w:cantSplit/>
        </w:trPr>
        <w:tc>
          <w:tcPr>
            <w:tcW w:w="1492" w:type="pct"/>
            <w:tcBorders>
              <w:top w:val="single" w:sz="4" w:space="0" w:color="auto"/>
            </w:tcBorders>
          </w:tcPr>
          <w:p w14:paraId="13AF4331" w14:textId="77777777" w:rsidR="00CD094F" w:rsidRPr="00EE5781" w:rsidRDefault="00CD094F" w:rsidP="00D709BC">
            <w:pPr>
              <w:pStyle w:val="TableText0"/>
              <w:keepNext w:val="0"/>
            </w:pPr>
          </w:p>
        </w:tc>
        <w:tc>
          <w:tcPr>
            <w:tcW w:w="1720" w:type="pct"/>
            <w:gridSpan w:val="2"/>
            <w:tcBorders>
              <w:top w:val="single" w:sz="4" w:space="0" w:color="auto"/>
            </w:tcBorders>
          </w:tcPr>
          <w:p w14:paraId="4161ABF9" w14:textId="15B614B2" w:rsidR="00CD094F" w:rsidRPr="00EE5781" w:rsidRDefault="003A1793" w:rsidP="00D709BC">
            <w:pPr>
              <w:pStyle w:val="TableText0"/>
              <w:keepNext w:val="0"/>
            </w:pPr>
            <w:r w:rsidRPr="00EE5781">
              <w:t>3098</w:t>
            </w:r>
          </w:p>
        </w:tc>
        <w:tc>
          <w:tcPr>
            <w:tcW w:w="1788" w:type="pct"/>
            <w:gridSpan w:val="2"/>
            <w:tcBorders>
              <w:top w:val="single" w:sz="4" w:space="0" w:color="auto"/>
            </w:tcBorders>
          </w:tcPr>
          <w:p w14:paraId="74FD1475" w14:textId="543BE494" w:rsidR="00CD094F" w:rsidRPr="00EE5781" w:rsidRDefault="003A1793" w:rsidP="00D709BC">
            <w:pPr>
              <w:pStyle w:val="TableText0"/>
              <w:keepNext w:val="0"/>
            </w:pPr>
            <w:r w:rsidRPr="00EE5781">
              <w:t>3002</w:t>
            </w:r>
          </w:p>
        </w:tc>
      </w:tr>
      <w:tr w:rsidR="003A1793" w:rsidRPr="00EE5781" w14:paraId="7AA9AE8A" w14:textId="77777777" w:rsidTr="00966D4F">
        <w:trPr>
          <w:cantSplit/>
        </w:trPr>
        <w:tc>
          <w:tcPr>
            <w:tcW w:w="1492" w:type="pct"/>
          </w:tcPr>
          <w:p w14:paraId="70235F42" w14:textId="77777777" w:rsidR="003A1793" w:rsidRPr="00EE5781" w:rsidRDefault="003A1793" w:rsidP="00D709BC">
            <w:pPr>
              <w:pStyle w:val="TableText0"/>
              <w:keepNext w:val="0"/>
            </w:pPr>
          </w:p>
        </w:tc>
        <w:tc>
          <w:tcPr>
            <w:tcW w:w="1021" w:type="pct"/>
          </w:tcPr>
          <w:p w14:paraId="5C18DD02" w14:textId="0DD96748" w:rsidR="003A1793" w:rsidRPr="00EE5781" w:rsidRDefault="002618C8" w:rsidP="00D709BC">
            <w:pPr>
              <w:pStyle w:val="TableText0"/>
              <w:keepNext w:val="0"/>
            </w:pPr>
            <w:r w:rsidRPr="00EE5781">
              <w:t>Xeomin</w:t>
            </w:r>
          </w:p>
          <w:p w14:paraId="180A4F48" w14:textId="547A7EEA" w:rsidR="003A1793" w:rsidRPr="00EE5781" w:rsidRDefault="003A1793" w:rsidP="00D709BC">
            <w:pPr>
              <w:pStyle w:val="TableText0"/>
              <w:keepNext w:val="0"/>
            </w:pPr>
            <w:r w:rsidRPr="00EE5781">
              <w:t>N = 104</w:t>
            </w:r>
          </w:p>
        </w:tc>
        <w:tc>
          <w:tcPr>
            <w:tcW w:w="699" w:type="pct"/>
          </w:tcPr>
          <w:p w14:paraId="5C11772F" w14:textId="77777777" w:rsidR="003A1793" w:rsidRPr="00EE5781" w:rsidRDefault="003A1793" w:rsidP="00D709BC">
            <w:pPr>
              <w:pStyle w:val="TableText0"/>
              <w:keepNext w:val="0"/>
            </w:pPr>
            <w:r w:rsidRPr="00EE5781">
              <w:t>Placebo</w:t>
            </w:r>
          </w:p>
          <w:p w14:paraId="5E902AA3" w14:textId="27B9DAD9" w:rsidR="003A1793" w:rsidRPr="00EE5781" w:rsidRDefault="003A1793" w:rsidP="00D709BC">
            <w:pPr>
              <w:pStyle w:val="TableText0"/>
              <w:keepNext w:val="0"/>
            </w:pPr>
            <w:r w:rsidRPr="00EE5781">
              <w:t>N = 104</w:t>
            </w:r>
          </w:p>
        </w:tc>
        <w:tc>
          <w:tcPr>
            <w:tcW w:w="1031" w:type="pct"/>
          </w:tcPr>
          <w:p w14:paraId="6DAC01E4" w14:textId="5B027CFC" w:rsidR="003A1793" w:rsidRPr="00EE5781" w:rsidRDefault="002618C8" w:rsidP="00D709BC">
            <w:pPr>
              <w:pStyle w:val="TableText0"/>
              <w:keepNext w:val="0"/>
            </w:pPr>
            <w:r w:rsidRPr="00EE5781">
              <w:t>Xeomin</w:t>
            </w:r>
          </w:p>
          <w:p w14:paraId="5BC092DE" w14:textId="6D4484E1" w:rsidR="00BB1C63" w:rsidRPr="00EE5781" w:rsidRDefault="00BB1C63" w:rsidP="00D709BC">
            <w:pPr>
              <w:pStyle w:val="TableText0"/>
              <w:keepNext w:val="0"/>
            </w:pPr>
            <w:r w:rsidRPr="00EE5781">
              <w:t>N = 144</w:t>
            </w:r>
          </w:p>
        </w:tc>
        <w:tc>
          <w:tcPr>
            <w:tcW w:w="757" w:type="pct"/>
          </w:tcPr>
          <w:p w14:paraId="44EF612E" w14:textId="77777777" w:rsidR="003A1793" w:rsidRPr="00EE5781" w:rsidRDefault="003A1793" w:rsidP="00D709BC">
            <w:pPr>
              <w:pStyle w:val="TableText0"/>
              <w:keepNext w:val="0"/>
            </w:pPr>
            <w:r w:rsidRPr="00EE5781">
              <w:t>Placebo</w:t>
            </w:r>
          </w:p>
          <w:p w14:paraId="05CF3ED2" w14:textId="29669D96" w:rsidR="00BB1C63" w:rsidRPr="00EE5781" w:rsidRDefault="00BB1C63" w:rsidP="00D709BC">
            <w:pPr>
              <w:pStyle w:val="TableText0"/>
              <w:keepNext w:val="0"/>
            </w:pPr>
            <w:r w:rsidRPr="00EE5781">
              <w:t>N = 145</w:t>
            </w:r>
          </w:p>
        </w:tc>
      </w:tr>
      <w:tr w:rsidR="00CD094F" w:rsidRPr="00EE5781" w14:paraId="6BD014FB" w14:textId="77777777" w:rsidTr="00966D4F">
        <w:trPr>
          <w:cantSplit/>
        </w:trPr>
        <w:tc>
          <w:tcPr>
            <w:tcW w:w="1492" w:type="pct"/>
          </w:tcPr>
          <w:p w14:paraId="4647D66C" w14:textId="0E3B2EBA" w:rsidR="003A1793" w:rsidRPr="00EE5781" w:rsidRDefault="003A1793" w:rsidP="00D709BC">
            <w:pPr>
              <w:pStyle w:val="TableText0"/>
              <w:keepNext w:val="0"/>
            </w:pPr>
            <w:r w:rsidRPr="00EE5781">
              <w:lastRenderedPageBreak/>
              <w:t>AUC of CFB MAS</w:t>
            </w:r>
            <w:r w:rsidR="0013650E" w:rsidRPr="00EE5781">
              <w:t xml:space="preserve"> at ankle</w:t>
            </w:r>
            <w:r w:rsidRPr="00EE5781">
              <w:t xml:space="preserve">, weeks.points, </w:t>
            </w:r>
          </w:p>
          <w:p w14:paraId="0611F1D0" w14:textId="77777777" w:rsidR="00CD094F" w:rsidRPr="00EE5781" w:rsidRDefault="003A1793" w:rsidP="00D709BC">
            <w:pPr>
              <w:pStyle w:val="TableText0"/>
              <w:keepNext w:val="0"/>
            </w:pPr>
            <w:r w:rsidRPr="00EE5781">
              <w:t>Mean (SD)</w:t>
            </w:r>
          </w:p>
          <w:p w14:paraId="69A47128" w14:textId="77777777" w:rsidR="003A1793" w:rsidRPr="00EE5781" w:rsidRDefault="003A1793" w:rsidP="00D709BC">
            <w:pPr>
              <w:pStyle w:val="TableText0"/>
              <w:keepNext w:val="0"/>
            </w:pPr>
            <w:r w:rsidRPr="00EE5781">
              <w:t>LS Mean (SE)</w:t>
            </w:r>
          </w:p>
          <w:p w14:paraId="5A99E36F" w14:textId="42C0A523" w:rsidR="003A1793" w:rsidRPr="00EE5781" w:rsidRDefault="003A1793" w:rsidP="00D709BC">
            <w:pPr>
              <w:pStyle w:val="TableText0"/>
              <w:keepNext w:val="0"/>
            </w:pPr>
            <w:r w:rsidRPr="00EE5781">
              <w:t>LS Mean Difference vs Placebo (95% CI)</w:t>
            </w:r>
          </w:p>
        </w:tc>
        <w:tc>
          <w:tcPr>
            <w:tcW w:w="1021" w:type="pct"/>
          </w:tcPr>
          <w:p w14:paraId="40FE647B" w14:textId="77777777" w:rsidR="00CD094F" w:rsidRPr="00EE5781" w:rsidRDefault="00CD094F" w:rsidP="00D709BC">
            <w:pPr>
              <w:pStyle w:val="TableText0"/>
              <w:keepNext w:val="0"/>
            </w:pPr>
          </w:p>
          <w:p w14:paraId="0AF2D28F" w14:textId="77777777" w:rsidR="003A1793" w:rsidRPr="00EE5781" w:rsidRDefault="003A1793" w:rsidP="00D709BC">
            <w:pPr>
              <w:pStyle w:val="TableText0"/>
              <w:keepNext w:val="0"/>
            </w:pPr>
          </w:p>
          <w:p w14:paraId="3834BED7" w14:textId="77777777" w:rsidR="003A1793" w:rsidRPr="00EE5781" w:rsidRDefault="003A1793" w:rsidP="00D709BC">
            <w:pPr>
              <w:pStyle w:val="TableText0"/>
              <w:keepNext w:val="0"/>
            </w:pPr>
            <w:r w:rsidRPr="00EE5781">
              <w:t>-7.7 (7.0)</w:t>
            </w:r>
          </w:p>
          <w:p w14:paraId="7F14E70A" w14:textId="77777777" w:rsidR="003A1793" w:rsidRPr="00EE5781" w:rsidRDefault="003A1793" w:rsidP="00D709BC">
            <w:pPr>
              <w:pStyle w:val="TableText0"/>
              <w:keepNext w:val="0"/>
            </w:pPr>
            <w:r w:rsidRPr="00EE5781">
              <w:t>-8.4 (0.7)</w:t>
            </w:r>
          </w:p>
          <w:p w14:paraId="25ACA094" w14:textId="77777777" w:rsidR="003A1793" w:rsidRPr="00EE5781" w:rsidRDefault="003A1793" w:rsidP="00D709BC">
            <w:pPr>
              <w:pStyle w:val="TableText0"/>
              <w:keepNext w:val="0"/>
            </w:pPr>
          </w:p>
          <w:p w14:paraId="5CB70A8A" w14:textId="2AD8E333" w:rsidR="003A1793" w:rsidRPr="00EE5781" w:rsidRDefault="003A1793" w:rsidP="00D709BC">
            <w:pPr>
              <w:pStyle w:val="TableText0"/>
              <w:keepNext w:val="0"/>
            </w:pPr>
            <w:r w:rsidRPr="00EE5781">
              <w:t>-2.6 (-4.4, -0.8)</w:t>
            </w:r>
          </w:p>
        </w:tc>
        <w:tc>
          <w:tcPr>
            <w:tcW w:w="699" w:type="pct"/>
          </w:tcPr>
          <w:p w14:paraId="1B5E9D21" w14:textId="77777777" w:rsidR="00CD094F" w:rsidRPr="00EE5781" w:rsidRDefault="00CD094F" w:rsidP="00D709BC">
            <w:pPr>
              <w:pStyle w:val="TableText0"/>
              <w:keepNext w:val="0"/>
            </w:pPr>
          </w:p>
          <w:p w14:paraId="0860469B" w14:textId="77777777" w:rsidR="003A1793" w:rsidRPr="00EE5781" w:rsidRDefault="003A1793" w:rsidP="00D709BC">
            <w:pPr>
              <w:pStyle w:val="TableText0"/>
              <w:keepNext w:val="0"/>
            </w:pPr>
          </w:p>
          <w:p w14:paraId="24DB0D55" w14:textId="77777777" w:rsidR="003A1793" w:rsidRPr="00EE5781" w:rsidRDefault="003A1793" w:rsidP="00D709BC">
            <w:pPr>
              <w:pStyle w:val="TableText0"/>
              <w:keepNext w:val="0"/>
            </w:pPr>
            <w:r w:rsidRPr="00EE5781">
              <w:t>-4.8 (5.8)</w:t>
            </w:r>
          </w:p>
          <w:p w14:paraId="6A064ED2" w14:textId="77777777" w:rsidR="003A1793" w:rsidRPr="00EE5781" w:rsidRDefault="003A1793" w:rsidP="00D709BC">
            <w:pPr>
              <w:pStyle w:val="TableText0"/>
              <w:keepNext w:val="0"/>
            </w:pPr>
            <w:r w:rsidRPr="00EE5781">
              <w:t>-5.8 (0.7)</w:t>
            </w:r>
          </w:p>
          <w:p w14:paraId="29B80AF1" w14:textId="77777777" w:rsidR="003A1793" w:rsidRPr="00EE5781" w:rsidRDefault="003A1793" w:rsidP="00D709BC">
            <w:pPr>
              <w:pStyle w:val="TableText0"/>
              <w:keepNext w:val="0"/>
            </w:pPr>
          </w:p>
          <w:p w14:paraId="751C3B94" w14:textId="565A8F8B" w:rsidR="003A1793" w:rsidRPr="00EE5781" w:rsidRDefault="003A1793" w:rsidP="00D709BC">
            <w:pPr>
              <w:pStyle w:val="TableText0"/>
              <w:keepNext w:val="0"/>
            </w:pPr>
            <w:r w:rsidRPr="00EE5781">
              <w:t xml:space="preserve">- </w:t>
            </w:r>
          </w:p>
        </w:tc>
        <w:tc>
          <w:tcPr>
            <w:tcW w:w="1031" w:type="pct"/>
          </w:tcPr>
          <w:p w14:paraId="572688BC" w14:textId="079CE9D7" w:rsidR="00CD094F" w:rsidRPr="00EE5781" w:rsidRDefault="006170B9" w:rsidP="00D709BC">
            <w:pPr>
              <w:pStyle w:val="TableText0"/>
              <w:keepNext w:val="0"/>
            </w:pPr>
            <w:r w:rsidRPr="00EE5781">
              <w:t>NR</w:t>
            </w:r>
          </w:p>
        </w:tc>
        <w:tc>
          <w:tcPr>
            <w:tcW w:w="757" w:type="pct"/>
          </w:tcPr>
          <w:p w14:paraId="7C588AC1" w14:textId="4FAB08FF" w:rsidR="00CD094F" w:rsidRPr="00EE5781" w:rsidRDefault="006170B9" w:rsidP="00D709BC">
            <w:pPr>
              <w:pStyle w:val="TableText0"/>
              <w:keepNext w:val="0"/>
            </w:pPr>
            <w:r w:rsidRPr="00EE5781">
              <w:t>NR</w:t>
            </w:r>
          </w:p>
        </w:tc>
      </w:tr>
      <w:tr w:rsidR="00DD3C0F" w:rsidRPr="00EE5781" w14:paraId="760F3A72" w14:textId="77777777" w:rsidTr="00966D4F">
        <w:trPr>
          <w:cantSplit/>
        </w:trPr>
        <w:tc>
          <w:tcPr>
            <w:tcW w:w="1492" w:type="pct"/>
          </w:tcPr>
          <w:p w14:paraId="02C76F1E" w14:textId="5973DD17" w:rsidR="00BB1C63" w:rsidRPr="00EE5781" w:rsidRDefault="0013650E" w:rsidP="00D709BC">
            <w:pPr>
              <w:pStyle w:val="TableText0"/>
              <w:keepNext w:val="0"/>
            </w:pPr>
            <w:r w:rsidRPr="00EE5781">
              <w:t>MAS/</w:t>
            </w:r>
            <w:r w:rsidR="00DD3C0F" w:rsidRPr="00EE5781">
              <w:t xml:space="preserve">AS </w:t>
            </w:r>
            <w:r w:rsidR="00BB1C63" w:rsidRPr="00EE5781">
              <w:t xml:space="preserve">Baseline, </w:t>
            </w:r>
          </w:p>
          <w:p w14:paraId="7E0E3A15" w14:textId="452DA2B2" w:rsidR="00BB1C63" w:rsidRPr="00EE5781" w:rsidRDefault="00BB1C63" w:rsidP="00D709BC">
            <w:pPr>
              <w:pStyle w:val="TableText0"/>
              <w:keepNext w:val="0"/>
            </w:pPr>
            <w:r w:rsidRPr="00EE5781">
              <w:t>Mean (SD)</w:t>
            </w:r>
          </w:p>
        </w:tc>
        <w:tc>
          <w:tcPr>
            <w:tcW w:w="1021" w:type="pct"/>
          </w:tcPr>
          <w:p w14:paraId="02D7367D" w14:textId="04676CAC" w:rsidR="00DD3C0F" w:rsidRPr="00EE5781" w:rsidRDefault="00EF72E6" w:rsidP="00D709BC">
            <w:pPr>
              <w:pStyle w:val="TableText0"/>
              <w:keepNext w:val="0"/>
            </w:pPr>
            <w:r w:rsidRPr="00EE5781">
              <w:t>3.0</w:t>
            </w:r>
            <w:r w:rsidR="00FC1C6E" w:rsidRPr="00EE5781">
              <w:t xml:space="preserve"> (NA)</w:t>
            </w:r>
            <w:r w:rsidRPr="00EE5781">
              <w:rPr>
                <w:vertAlign w:val="superscript"/>
              </w:rPr>
              <w:t>1</w:t>
            </w:r>
          </w:p>
        </w:tc>
        <w:tc>
          <w:tcPr>
            <w:tcW w:w="699" w:type="pct"/>
          </w:tcPr>
          <w:p w14:paraId="1551FA75" w14:textId="34D3FEAC" w:rsidR="00DD3C0F" w:rsidRPr="00EE5781" w:rsidRDefault="00EF72E6" w:rsidP="00D709BC">
            <w:pPr>
              <w:pStyle w:val="TableText0"/>
              <w:keepNext w:val="0"/>
            </w:pPr>
            <w:r w:rsidRPr="00EE5781">
              <w:t>3.0</w:t>
            </w:r>
            <w:r w:rsidR="00FC1C6E" w:rsidRPr="00EE5781">
              <w:t xml:space="preserve"> (NA)</w:t>
            </w:r>
            <w:r w:rsidRPr="00EE5781">
              <w:rPr>
                <w:vertAlign w:val="superscript"/>
              </w:rPr>
              <w:t>1</w:t>
            </w:r>
          </w:p>
        </w:tc>
        <w:tc>
          <w:tcPr>
            <w:tcW w:w="1031" w:type="pct"/>
          </w:tcPr>
          <w:p w14:paraId="050211F5" w14:textId="2E5E108B" w:rsidR="00DD3C0F" w:rsidRPr="00EE5781" w:rsidRDefault="00BB1C63" w:rsidP="00D709BC">
            <w:pPr>
              <w:pStyle w:val="TableText0"/>
              <w:keepNext w:val="0"/>
            </w:pPr>
            <w:r w:rsidRPr="00EE5781">
              <w:t>2.8 (0.7)</w:t>
            </w:r>
          </w:p>
        </w:tc>
        <w:tc>
          <w:tcPr>
            <w:tcW w:w="757" w:type="pct"/>
          </w:tcPr>
          <w:p w14:paraId="3B779801" w14:textId="399C7D1C" w:rsidR="00DD3C0F" w:rsidRPr="00EE5781" w:rsidRDefault="00BB1C63" w:rsidP="00D709BC">
            <w:pPr>
              <w:pStyle w:val="TableText0"/>
              <w:keepNext w:val="0"/>
            </w:pPr>
            <w:r w:rsidRPr="00EE5781">
              <w:t>2.8 (0.7)</w:t>
            </w:r>
          </w:p>
        </w:tc>
      </w:tr>
      <w:tr w:rsidR="00BB1C63" w:rsidRPr="00EE5781" w14:paraId="304C8DCC" w14:textId="77777777" w:rsidTr="00966D4F">
        <w:trPr>
          <w:cantSplit/>
        </w:trPr>
        <w:tc>
          <w:tcPr>
            <w:tcW w:w="1492" w:type="pct"/>
          </w:tcPr>
          <w:p w14:paraId="41CB1E41" w14:textId="02C78C59" w:rsidR="00BB1C63" w:rsidRPr="00EE5781" w:rsidRDefault="0013650E" w:rsidP="00D709BC">
            <w:pPr>
              <w:pStyle w:val="TableText0"/>
              <w:keepNext w:val="0"/>
            </w:pPr>
            <w:r w:rsidRPr="00EE5781">
              <w:t>MAS/</w:t>
            </w:r>
            <w:r w:rsidR="00BB1C63" w:rsidRPr="00EE5781">
              <w:t>AS at 4 weeks,</w:t>
            </w:r>
          </w:p>
          <w:p w14:paraId="140BD137" w14:textId="22772D4A" w:rsidR="00BB1C63" w:rsidRPr="00EE5781" w:rsidRDefault="00BB1C63" w:rsidP="00D709BC">
            <w:pPr>
              <w:pStyle w:val="TableText0"/>
              <w:keepNext w:val="0"/>
            </w:pPr>
            <w:r w:rsidRPr="00EE5781">
              <w:t>Mean (SD)</w:t>
            </w:r>
          </w:p>
        </w:tc>
        <w:tc>
          <w:tcPr>
            <w:tcW w:w="1021" w:type="pct"/>
          </w:tcPr>
          <w:p w14:paraId="709B7BBB" w14:textId="77777777" w:rsidR="00BB1C63" w:rsidRPr="00EE5781" w:rsidRDefault="00BB1C63" w:rsidP="00D709BC">
            <w:pPr>
              <w:pStyle w:val="TableText0"/>
              <w:keepNext w:val="0"/>
            </w:pPr>
          </w:p>
          <w:p w14:paraId="2465E547" w14:textId="012553DF" w:rsidR="0013650E" w:rsidRPr="00EE5781" w:rsidRDefault="0013650E" w:rsidP="00D709BC">
            <w:pPr>
              <w:pStyle w:val="TableText0"/>
              <w:keepNext w:val="0"/>
            </w:pPr>
            <w:r w:rsidRPr="00EE5781">
              <w:t>NR</w:t>
            </w:r>
          </w:p>
        </w:tc>
        <w:tc>
          <w:tcPr>
            <w:tcW w:w="699" w:type="pct"/>
          </w:tcPr>
          <w:p w14:paraId="0E7F4F6D" w14:textId="77777777" w:rsidR="0013650E" w:rsidRPr="00EE5781" w:rsidRDefault="0013650E" w:rsidP="00D709BC">
            <w:pPr>
              <w:pStyle w:val="TableText0"/>
              <w:keepNext w:val="0"/>
            </w:pPr>
          </w:p>
          <w:p w14:paraId="74199467" w14:textId="07CAE9FD" w:rsidR="00BB1C63" w:rsidRPr="00EE5781" w:rsidRDefault="00BB1C63" w:rsidP="00D709BC">
            <w:pPr>
              <w:pStyle w:val="TableText0"/>
              <w:keepNext w:val="0"/>
            </w:pPr>
            <w:r w:rsidRPr="00EE5781">
              <w:t>N</w:t>
            </w:r>
            <w:r w:rsidR="0013650E" w:rsidRPr="00EE5781">
              <w:t>R</w:t>
            </w:r>
          </w:p>
        </w:tc>
        <w:tc>
          <w:tcPr>
            <w:tcW w:w="1031" w:type="pct"/>
          </w:tcPr>
          <w:p w14:paraId="145F3BCA" w14:textId="53BDCEFD" w:rsidR="00BB1C63" w:rsidRPr="00EE5781" w:rsidRDefault="00BB1C63" w:rsidP="00D709BC">
            <w:pPr>
              <w:pStyle w:val="TableText0"/>
              <w:keepNext w:val="0"/>
            </w:pPr>
            <w:r w:rsidRPr="00EE5781">
              <w:t>2.4 (0.9)</w:t>
            </w:r>
          </w:p>
        </w:tc>
        <w:tc>
          <w:tcPr>
            <w:tcW w:w="757" w:type="pct"/>
          </w:tcPr>
          <w:p w14:paraId="24857E57" w14:textId="09CA4115" w:rsidR="00BB1C63" w:rsidRPr="00EE5781" w:rsidRDefault="00BB1C63" w:rsidP="00D709BC">
            <w:pPr>
              <w:pStyle w:val="TableText0"/>
              <w:keepNext w:val="0"/>
            </w:pPr>
            <w:r w:rsidRPr="00EE5781">
              <w:t>2.4 (0.8)</w:t>
            </w:r>
          </w:p>
        </w:tc>
      </w:tr>
      <w:tr w:rsidR="00BB1C63" w:rsidRPr="00EE5781" w14:paraId="0AD773AA" w14:textId="77777777" w:rsidTr="00966D4F">
        <w:trPr>
          <w:cantSplit/>
        </w:trPr>
        <w:tc>
          <w:tcPr>
            <w:tcW w:w="1492" w:type="pct"/>
          </w:tcPr>
          <w:p w14:paraId="244D3B76" w14:textId="291A7983" w:rsidR="00BB1C63" w:rsidRPr="00EE5781" w:rsidRDefault="00D312F3" w:rsidP="00D709BC">
            <w:pPr>
              <w:pStyle w:val="TableText0"/>
              <w:keepNext w:val="0"/>
            </w:pPr>
            <w:r w:rsidRPr="00EE5781">
              <w:t xml:space="preserve">MAS/AS </w:t>
            </w:r>
            <w:r w:rsidR="00BB1C63" w:rsidRPr="00EE5781">
              <w:t>CFB to 4 weeks, LS mean difference vs placebo (95% CI)</w:t>
            </w:r>
          </w:p>
        </w:tc>
        <w:tc>
          <w:tcPr>
            <w:tcW w:w="1021" w:type="pct"/>
          </w:tcPr>
          <w:p w14:paraId="0CA63D83" w14:textId="77777777" w:rsidR="00BB1C63" w:rsidRPr="00EE5781" w:rsidRDefault="00BB1C63" w:rsidP="00D709BC">
            <w:pPr>
              <w:pStyle w:val="TableText0"/>
              <w:keepNext w:val="0"/>
            </w:pPr>
          </w:p>
          <w:p w14:paraId="41EEE101" w14:textId="6F2D0EE8" w:rsidR="0013650E" w:rsidRPr="00EE5781" w:rsidRDefault="0013650E" w:rsidP="00D709BC">
            <w:pPr>
              <w:pStyle w:val="TableText0"/>
              <w:keepNext w:val="0"/>
            </w:pPr>
            <w:r w:rsidRPr="00EE5781">
              <w:t xml:space="preserve">-0.24 </w:t>
            </w:r>
            <w:r w:rsidR="005620C1" w:rsidRPr="00EE5781">
              <w:t>(-0.43, -0.05)</w:t>
            </w:r>
          </w:p>
        </w:tc>
        <w:tc>
          <w:tcPr>
            <w:tcW w:w="699" w:type="pct"/>
          </w:tcPr>
          <w:p w14:paraId="31E492A7" w14:textId="77777777" w:rsidR="00BB1C63" w:rsidRPr="00EE5781" w:rsidRDefault="00BB1C63" w:rsidP="00D709BC">
            <w:pPr>
              <w:pStyle w:val="TableText0"/>
              <w:keepNext w:val="0"/>
            </w:pPr>
          </w:p>
          <w:p w14:paraId="043AB39E" w14:textId="775BF052" w:rsidR="00D6287D" w:rsidRPr="00EE5781" w:rsidRDefault="00D6287D" w:rsidP="00D709BC">
            <w:pPr>
              <w:pStyle w:val="TableText0"/>
              <w:keepNext w:val="0"/>
            </w:pPr>
            <w:r w:rsidRPr="00EE5781">
              <w:t xml:space="preserve">- </w:t>
            </w:r>
          </w:p>
        </w:tc>
        <w:tc>
          <w:tcPr>
            <w:tcW w:w="1031" w:type="pct"/>
          </w:tcPr>
          <w:p w14:paraId="613E1948" w14:textId="77777777" w:rsidR="00BB1C63" w:rsidRPr="00EE5781" w:rsidRDefault="00BB1C63" w:rsidP="00D709BC">
            <w:pPr>
              <w:pStyle w:val="TableText0"/>
              <w:keepNext w:val="0"/>
            </w:pPr>
          </w:p>
          <w:p w14:paraId="5B09561D" w14:textId="0157C937" w:rsidR="00BB1C63" w:rsidRPr="00EE5781" w:rsidRDefault="00BB1C63" w:rsidP="00D709BC">
            <w:pPr>
              <w:pStyle w:val="TableText0"/>
              <w:keepNext w:val="0"/>
            </w:pPr>
            <w:r w:rsidRPr="00EE5781">
              <w:t>0.0 (-0.1, 0.2)</w:t>
            </w:r>
          </w:p>
        </w:tc>
        <w:tc>
          <w:tcPr>
            <w:tcW w:w="757" w:type="pct"/>
          </w:tcPr>
          <w:p w14:paraId="5FB5507D" w14:textId="77777777" w:rsidR="00BB1C63" w:rsidRPr="00EE5781" w:rsidRDefault="00BB1C63" w:rsidP="00D709BC">
            <w:pPr>
              <w:pStyle w:val="TableText0"/>
              <w:keepNext w:val="0"/>
            </w:pPr>
          </w:p>
          <w:p w14:paraId="10398CB3" w14:textId="4BC634FB" w:rsidR="00BB1C63" w:rsidRPr="00EE5781" w:rsidRDefault="00BB1C63" w:rsidP="00D709BC">
            <w:pPr>
              <w:pStyle w:val="TableText0"/>
              <w:keepNext w:val="0"/>
            </w:pPr>
            <w:r w:rsidRPr="00EE5781">
              <w:t xml:space="preserve">- </w:t>
            </w:r>
          </w:p>
        </w:tc>
      </w:tr>
      <w:tr w:rsidR="0068113D" w:rsidRPr="00EE5781" w14:paraId="06F28AFD" w14:textId="77777777" w:rsidTr="00966D4F">
        <w:trPr>
          <w:cantSplit/>
        </w:trPr>
        <w:tc>
          <w:tcPr>
            <w:tcW w:w="1492" w:type="pct"/>
          </w:tcPr>
          <w:p w14:paraId="7E70E369" w14:textId="1666CC7D" w:rsidR="0068113D" w:rsidRPr="00EE5781" w:rsidRDefault="0068113D" w:rsidP="00D709BC">
            <w:pPr>
              <w:pStyle w:val="TableText0"/>
              <w:keepNext w:val="0"/>
            </w:pPr>
            <w:r w:rsidRPr="00EE5781">
              <w:t>MAS/AS at 12 weeks,</w:t>
            </w:r>
            <w:r w:rsidR="00A66951" w:rsidRPr="00EE5781">
              <w:t xml:space="preserve"> </w:t>
            </w:r>
            <w:r w:rsidRPr="00EE5781">
              <w:t>Mean (SD)</w:t>
            </w:r>
          </w:p>
        </w:tc>
        <w:tc>
          <w:tcPr>
            <w:tcW w:w="1021" w:type="pct"/>
          </w:tcPr>
          <w:p w14:paraId="4BD13E96" w14:textId="362016F3" w:rsidR="00A66951" w:rsidRPr="00EE5781" w:rsidRDefault="00A66951" w:rsidP="00D709BC">
            <w:pPr>
              <w:pStyle w:val="TableText0"/>
              <w:keepNext w:val="0"/>
            </w:pPr>
            <w:r w:rsidRPr="00EE5781">
              <w:t>NR</w:t>
            </w:r>
          </w:p>
        </w:tc>
        <w:tc>
          <w:tcPr>
            <w:tcW w:w="699" w:type="pct"/>
          </w:tcPr>
          <w:p w14:paraId="355ADBAE" w14:textId="3F411F6F" w:rsidR="0068113D" w:rsidRPr="00EE5781" w:rsidRDefault="00A66951" w:rsidP="00D709BC">
            <w:pPr>
              <w:pStyle w:val="TableText0"/>
              <w:keepNext w:val="0"/>
            </w:pPr>
            <w:r w:rsidRPr="00EE5781">
              <w:t>NR</w:t>
            </w:r>
          </w:p>
        </w:tc>
        <w:tc>
          <w:tcPr>
            <w:tcW w:w="1031" w:type="pct"/>
          </w:tcPr>
          <w:p w14:paraId="79AA7E38" w14:textId="50142241" w:rsidR="0068113D" w:rsidRPr="00EE5781" w:rsidRDefault="0068113D" w:rsidP="00D709BC">
            <w:pPr>
              <w:pStyle w:val="TableText0"/>
              <w:keepNext w:val="0"/>
            </w:pPr>
            <w:r w:rsidRPr="00EE5781">
              <w:t>2.7 (0.8)</w:t>
            </w:r>
          </w:p>
        </w:tc>
        <w:tc>
          <w:tcPr>
            <w:tcW w:w="757" w:type="pct"/>
          </w:tcPr>
          <w:p w14:paraId="1CB92CA6" w14:textId="09C0165A" w:rsidR="0068113D" w:rsidRPr="00EE5781" w:rsidRDefault="00A66951" w:rsidP="00D709BC">
            <w:pPr>
              <w:pStyle w:val="TableText0"/>
              <w:keepNext w:val="0"/>
            </w:pPr>
            <w:r w:rsidRPr="00EE5781">
              <w:t>2.7 (0.7)</w:t>
            </w:r>
          </w:p>
        </w:tc>
      </w:tr>
      <w:tr w:rsidR="0068113D" w:rsidRPr="00EE5781" w14:paraId="382B08D8" w14:textId="77777777" w:rsidTr="00966D4F">
        <w:trPr>
          <w:cantSplit/>
        </w:trPr>
        <w:tc>
          <w:tcPr>
            <w:tcW w:w="1492" w:type="pct"/>
          </w:tcPr>
          <w:p w14:paraId="3C0D88E4" w14:textId="24F3A9D7" w:rsidR="0068113D" w:rsidRPr="00EE5781" w:rsidRDefault="00D312F3" w:rsidP="00D709BC">
            <w:pPr>
              <w:pStyle w:val="TableText0"/>
              <w:keepNext w:val="0"/>
            </w:pPr>
            <w:r w:rsidRPr="00EE5781">
              <w:t xml:space="preserve">MAS/AS </w:t>
            </w:r>
            <w:r w:rsidR="0068113D" w:rsidRPr="00EE5781">
              <w:t>CFB to 12 weeks, LS mean difference vs placebo (95% CI)</w:t>
            </w:r>
          </w:p>
        </w:tc>
        <w:tc>
          <w:tcPr>
            <w:tcW w:w="1021" w:type="pct"/>
          </w:tcPr>
          <w:p w14:paraId="16E11B76" w14:textId="77777777" w:rsidR="0068113D" w:rsidRPr="00EE5781" w:rsidRDefault="0068113D" w:rsidP="00D709BC">
            <w:pPr>
              <w:pStyle w:val="TableText0"/>
              <w:keepNext w:val="0"/>
            </w:pPr>
          </w:p>
          <w:p w14:paraId="6E4975BB" w14:textId="537530C3" w:rsidR="00A66951" w:rsidRPr="00EE5781" w:rsidRDefault="00A66951" w:rsidP="00D709BC">
            <w:pPr>
              <w:pStyle w:val="TableText0"/>
              <w:keepNext w:val="0"/>
            </w:pPr>
            <w:r w:rsidRPr="00EE5781">
              <w:t>-0.1 (-0.3, 0.04)</w:t>
            </w:r>
          </w:p>
        </w:tc>
        <w:tc>
          <w:tcPr>
            <w:tcW w:w="699" w:type="pct"/>
          </w:tcPr>
          <w:p w14:paraId="15AD6671" w14:textId="77777777" w:rsidR="0068113D" w:rsidRPr="00EE5781" w:rsidRDefault="0068113D" w:rsidP="00D709BC">
            <w:pPr>
              <w:pStyle w:val="TableText0"/>
              <w:keepNext w:val="0"/>
            </w:pPr>
          </w:p>
          <w:p w14:paraId="13367E26" w14:textId="0A3C1D6A" w:rsidR="00A66951" w:rsidRPr="00EE5781" w:rsidRDefault="00A66951" w:rsidP="00D709BC">
            <w:pPr>
              <w:pStyle w:val="TableText0"/>
              <w:keepNext w:val="0"/>
            </w:pPr>
            <w:r w:rsidRPr="00EE5781">
              <w:t xml:space="preserve">- </w:t>
            </w:r>
          </w:p>
        </w:tc>
        <w:tc>
          <w:tcPr>
            <w:tcW w:w="1031" w:type="pct"/>
          </w:tcPr>
          <w:p w14:paraId="3B8C1FB7" w14:textId="77777777" w:rsidR="0068113D" w:rsidRPr="00EE5781" w:rsidRDefault="0068113D" w:rsidP="00D709BC">
            <w:pPr>
              <w:pStyle w:val="TableText0"/>
              <w:keepNext w:val="0"/>
            </w:pPr>
          </w:p>
          <w:p w14:paraId="2C922AFB" w14:textId="1B878293" w:rsidR="00A66951" w:rsidRPr="00EE5781" w:rsidRDefault="00A66951" w:rsidP="00D709BC">
            <w:pPr>
              <w:pStyle w:val="TableText0"/>
              <w:keepNext w:val="0"/>
            </w:pPr>
            <w:r w:rsidRPr="00EE5781">
              <w:t>-0.1 (-0.2, 0.1)</w:t>
            </w:r>
          </w:p>
        </w:tc>
        <w:tc>
          <w:tcPr>
            <w:tcW w:w="757" w:type="pct"/>
          </w:tcPr>
          <w:p w14:paraId="44C44D8A" w14:textId="77777777" w:rsidR="0068113D" w:rsidRPr="00EE5781" w:rsidRDefault="0068113D" w:rsidP="00D709BC">
            <w:pPr>
              <w:pStyle w:val="TableText0"/>
              <w:keepNext w:val="0"/>
            </w:pPr>
          </w:p>
          <w:p w14:paraId="7E87BB58" w14:textId="7AC9EA04" w:rsidR="00A66951" w:rsidRPr="00EE5781" w:rsidRDefault="00A66951" w:rsidP="00D709BC">
            <w:pPr>
              <w:pStyle w:val="TableText0"/>
              <w:keepNext w:val="0"/>
            </w:pPr>
            <w:r w:rsidRPr="00EE5781">
              <w:t>-</w:t>
            </w:r>
          </w:p>
        </w:tc>
      </w:tr>
      <w:tr w:rsidR="0068113D" w:rsidRPr="00EE5781" w14:paraId="5D84D052" w14:textId="77777777" w:rsidTr="00966D4F">
        <w:trPr>
          <w:cantSplit/>
        </w:trPr>
        <w:tc>
          <w:tcPr>
            <w:tcW w:w="1492" w:type="pct"/>
          </w:tcPr>
          <w:p w14:paraId="05922AC4" w14:textId="77777777" w:rsidR="0068113D" w:rsidRPr="00EE5781" w:rsidRDefault="0068113D" w:rsidP="00D709BC">
            <w:pPr>
              <w:pStyle w:val="TableText0"/>
              <w:keepNext w:val="0"/>
            </w:pPr>
            <w:r w:rsidRPr="00EE5781">
              <w:t xml:space="preserve">CFB MAS </w:t>
            </w:r>
            <w:r w:rsidRPr="00EE5781">
              <w:rPr>
                <w:rFonts w:eastAsia="Symbol" w:cs="Symbol"/>
              </w:rPr>
              <w:t>³</w:t>
            </w:r>
            <w:r w:rsidRPr="00EE5781">
              <w:t xml:space="preserve">1, n (%) </w:t>
            </w:r>
          </w:p>
          <w:p w14:paraId="2962677F" w14:textId="77777777" w:rsidR="0068113D" w:rsidRPr="00EE5781" w:rsidRDefault="0068113D" w:rsidP="00D709BC">
            <w:pPr>
              <w:pStyle w:val="TableText0"/>
              <w:keepNext w:val="0"/>
            </w:pPr>
            <w:r w:rsidRPr="00EE5781">
              <w:t>Week 1</w:t>
            </w:r>
          </w:p>
          <w:p w14:paraId="7738FC86" w14:textId="77777777" w:rsidR="0068113D" w:rsidRPr="00EE5781" w:rsidRDefault="0068113D" w:rsidP="00D709BC">
            <w:pPr>
              <w:pStyle w:val="TableText0"/>
              <w:keepNext w:val="0"/>
            </w:pPr>
            <w:r w:rsidRPr="00EE5781">
              <w:t>Week 4</w:t>
            </w:r>
          </w:p>
          <w:p w14:paraId="505D42E3" w14:textId="77777777" w:rsidR="0068113D" w:rsidRPr="00EE5781" w:rsidRDefault="0068113D" w:rsidP="00D709BC">
            <w:pPr>
              <w:pStyle w:val="TableText0"/>
              <w:keepNext w:val="0"/>
            </w:pPr>
            <w:r w:rsidRPr="00EE5781">
              <w:t>Week 6</w:t>
            </w:r>
          </w:p>
          <w:p w14:paraId="56469045" w14:textId="77777777" w:rsidR="0068113D" w:rsidRPr="00EE5781" w:rsidRDefault="0068113D" w:rsidP="00D709BC">
            <w:pPr>
              <w:pStyle w:val="TableText0"/>
              <w:keepNext w:val="0"/>
            </w:pPr>
            <w:r w:rsidRPr="00EE5781">
              <w:t>Week 8</w:t>
            </w:r>
          </w:p>
          <w:p w14:paraId="653B4C35" w14:textId="4D31DB24" w:rsidR="0068113D" w:rsidRPr="00EE5781" w:rsidRDefault="0068113D" w:rsidP="00D709BC">
            <w:pPr>
              <w:pStyle w:val="TableText0"/>
              <w:keepNext w:val="0"/>
            </w:pPr>
            <w:r w:rsidRPr="00EE5781">
              <w:t>Week 12</w:t>
            </w:r>
          </w:p>
        </w:tc>
        <w:tc>
          <w:tcPr>
            <w:tcW w:w="1021" w:type="pct"/>
          </w:tcPr>
          <w:p w14:paraId="75098B5A" w14:textId="77777777" w:rsidR="0068113D" w:rsidRPr="00EE5781" w:rsidRDefault="0068113D" w:rsidP="00D709BC">
            <w:pPr>
              <w:pStyle w:val="TableText0"/>
              <w:keepNext w:val="0"/>
            </w:pPr>
          </w:p>
          <w:p w14:paraId="158A1F92" w14:textId="77777777" w:rsidR="0068113D" w:rsidRPr="00EE5781" w:rsidRDefault="0068113D" w:rsidP="00D709BC">
            <w:pPr>
              <w:pStyle w:val="TableText0"/>
              <w:keepNext w:val="0"/>
            </w:pPr>
            <w:r w:rsidRPr="00EE5781">
              <w:t>44 (42.3%)</w:t>
            </w:r>
          </w:p>
          <w:p w14:paraId="283E444D" w14:textId="44E240F7" w:rsidR="0068113D" w:rsidRPr="00EE5781" w:rsidRDefault="0068113D" w:rsidP="00D709BC">
            <w:pPr>
              <w:pStyle w:val="TableText0"/>
              <w:keepNext w:val="0"/>
            </w:pPr>
            <w:r w:rsidRPr="00EE5781">
              <w:t>58 (55.8%)</w:t>
            </w:r>
          </w:p>
          <w:p w14:paraId="4170E188" w14:textId="0038442E" w:rsidR="0068113D" w:rsidRPr="00EE5781" w:rsidRDefault="0068113D" w:rsidP="00D709BC">
            <w:pPr>
              <w:pStyle w:val="TableText0"/>
              <w:keepNext w:val="0"/>
            </w:pPr>
            <w:r w:rsidRPr="00EE5781">
              <w:t>62 (59.6%)</w:t>
            </w:r>
          </w:p>
          <w:p w14:paraId="4B3DA975" w14:textId="53FC5725" w:rsidR="0068113D" w:rsidRPr="00EE5781" w:rsidRDefault="0068113D" w:rsidP="00D709BC">
            <w:pPr>
              <w:pStyle w:val="TableText0"/>
              <w:keepNext w:val="0"/>
            </w:pPr>
            <w:r w:rsidRPr="00EE5781">
              <w:t>55 (52.9%)</w:t>
            </w:r>
          </w:p>
          <w:p w14:paraId="2EE78763" w14:textId="53472262" w:rsidR="0068113D" w:rsidRPr="00EE5781" w:rsidRDefault="0068113D" w:rsidP="00D709BC">
            <w:pPr>
              <w:pStyle w:val="TableText0"/>
              <w:keepNext w:val="0"/>
            </w:pPr>
            <w:r w:rsidRPr="00EE5781">
              <w:t>37 (35.6%)</w:t>
            </w:r>
          </w:p>
        </w:tc>
        <w:tc>
          <w:tcPr>
            <w:tcW w:w="699" w:type="pct"/>
          </w:tcPr>
          <w:p w14:paraId="5827800A" w14:textId="77777777" w:rsidR="0068113D" w:rsidRPr="00EE5781" w:rsidRDefault="0068113D" w:rsidP="00D709BC">
            <w:pPr>
              <w:pStyle w:val="TableText0"/>
              <w:keepNext w:val="0"/>
            </w:pPr>
          </w:p>
          <w:p w14:paraId="0F278528" w14:textId="77777777" w:rsidR="0068113D" w:rsidRPr="00EE5781" w:rsidRDefault="0068113D" w:rsidP="00D709BC">
            <w:pPr>
              <w:pStyle w:val="TableText0"/>
              <w:keepNext w:val="0"/>
            </w:pPr>
            <w:r w:rsidRPr="00EE5781">
              <w:t>31 (29.8%)</w:t>
            </w:r>
          </w:p>
          <w:p w14:paraId="05B5B2D1" w14:textId="1AE808C5" w:rsidR="0068113D" w:rsidRPr="00EE5781" w:rsidRDefault="0068113D" w:rsidP="00D709BC">
            <w:pPr>
              <w:pStyle w:val="TableText0"/>
              <w:keepNext w:val="0"/>
            </w:pPr>
            <w:r w:rsidRPr="00EE5781">
              <w:t>43 (41.3%)</w:t>
            </w:r>
          </w:p>
          <w:p w14:paraId="6FFF1EB1" w14:textId="3E188081" w:rsidR="0068113D" w:rsidRPr="00EE5781" w:rsidRDefault="0068113D" w:rsidP="00D709BC">
            <w:pPr>
              <w:pStyle w:val="TableText0"/>
              <w:keepNext w:val="0"/>
            </w:pPr>
            <w:r w:rsidRPr="00EE5781">
              <w:t>41 (39.4%)</w:t>
            </w:r>
          </w:p>
          <w:p w14:paraId="7FA9700E" w14:textId="6DD0BC95" w:rsidR="0068113D" w:rsidRPr="00EE5781" w:rsidRDefault="0068113D" w:rsidP="00D709BC">
            <w:pPr>
              <w:pStyle w:val="TableText0"/>
              <w:keepNext w:val="0"/>
            </w:pPr>
            <w:r w:rsidRPr="00EE5781">
              <w:t>35 (33.7%)</w:t>
            </w:r>
          </w:p>
          <w:p w14:paraId="0341BDA8" w14:textId="183F5502" w:rsidR="0068113D" w:rsidRPr="00EE5781" w:rsidRDefault="0068113D" w:rsidP="00D709BC">
            <w:pPr>
              <w:pStyle w:val="TableText0"/>
              <w:keepNext w:val="0"/>
            </w:pPr>
            <w:r w:rsidRPr="00EE5781">
              <w:t>26 (25.0%)</w:t>
            </w:r>
          </w:p>
        </w:tc>
        <w:tc>
          <w:tcPr>
            <w:tcW w:w="1031" w:type="pct"/>
          </w:tcPr>
          <w:p w14:paraId="521036ED" w14:textId="77777777" w:rsidR="0068113D" w:rsidRPr="00EE5781" w:rsidRDefault="0068113D" w:rsidP="00D709BC">
            <w:pPr>
              <w:pStyle w:val="TableText0"/>
              <w:keepNext w:val="0"/>
            </w:pPr>
          </w:p>
          <w:p w14:paraId="023CE5EA" w14:textId="77777777" w:rsidR="0068113D" w:rsidRPr="00EE5781" w:rsidRDefault="0068113D" w:rsidP="00D709BC">
            <w:pPr>
              <w:pStyle w:val="TableText0"/>
              <w:keepNext w:val="0"/>
            </w:pPr>
            <w:r w:rsidRPr="00EE5781">
              <w:t>NR</w:t>
            </w:r>
          </w:p>
          <w:p w14:paraId="175CFEA6" w14:textId="77777777" w:rsidR="0068113D" w:rsidRPr="00EE5781" w:rsidRDefault="0068113D" w:rsidP="00D709BC">
            <w:pPr>
              <w:pStyle w:val="TableText0"/>
              <w:keepNext w:val="0"/>
            </w:pPr>
            <w:r w:rsidRPr="00EE5781">
              <w:t>53 (36.8%)</w:t>
            </w:r>
          </w:p>
          <w:p w14:paraId="57371807" w14:textId="77777777" w:rsidR="0068113D" w:rsidRPr="00EE5781" w:rsidRDefault="0068113D" w:rsidP="00D709BC">
            <w:pPr>
              <w:pStyle w:val="TableText0"/>
              <w:keepNext w:val="0"/>
            </w:pPr>
            <w:r w:rsidRPr="00EE5781">
              <w:t>NR</w:t>
            </w:r>
          </w:p>
          <w:p w14:paraId="1DA1A13A" w14:textId="77777777" w:rsidR="0068113D" w:rsidRPr="00EE5781" w:rsidRDefault="0068113D" w:rsidP="00D709BC">
            <w:pPr>
              <w:pStyle w:val="TableText0"/>
              <w:keepNext w:val="0"/>
            </w:pPr>
            <w:r w:rsidRPr="00EE5781">
              <w:t>55 (38.2%)</w:t>
            </w:r>
          </w:p>
          <w:p w14:paraId="0C157D99" w14:textId="057A50A9" w:rsidR="0068113D" w:rsidRPr="00EE5781" w:rsidRDefault="0068113D" w:rsidP="00D709BC">
            <w:pPr>
              <w:pStyle w:val="TableText0"/>
              <w:keepNext w:val="0"/>
            </w:pPr>
            <w:r w:rsidRPr="00EE5781">
              <w:t>27 (18.8%)</w:t>
            </w:r>
          </w:p>
        </w:tc>
        <w:tc>
          <w:tcPr>
            <w:tcW w:w="757" w:type="pct"/>
          </w:tcPr>
          <w:p w14:paraId="69C9DA5A" w14:textId="77777777" w:rsidR="0068113D" w:rsidRPr="00EE5781" w:rsidRDefault="0068113D" w:rsidP="00D709BC">
            <w:pPr>
              <w:pStyle w:val="TableText0"/>
              <w:keepNext w:val="0"/>
            </w:pPr>
          </w:p>
          <w:p w14:paraId="64FD3C10" w14:textId="77777777" w:rsidR="0068113D" w:rsidRPr="00EE5781" w:rsidRDefault="0068113D" w:rsidP="00D709BC">
            <w:pPr>
              <w:pStyle w:val="TableText0"/>
              <w:keepNext w:val="0"/>
            </w:pPr>
            <w:r w:rsidRPr="00EE5781">
              <w:t>NR</w:t>
            </w:r>
          </w:p>
          <w:p w14:paraId="5893BEA3" w14:textId="77777777" w:rsidR="0068113D" w:rsidRPr="00EE5781" w:rsidRDefault="0068113D" w:rsidP="00D709BC">
            <w:pPr>
              <w:pStyle w:val="TableText0"/>
              <w:keepNext w:val="0"/>
            </w:pPr>
            <w:r w:rsidRPr="00EE5781">
              <w:t>51 (35.2%)</w:t>
            </w:r>
          </w:p>
          <w:p w14:paraId="59A006CF" w14:textId="77777777" w:rsidR="0068113D" w:rsidRPr="00EE5781" w:rsidRDefault="0068113D" w:rsidP="00D709BC">
            <w:pPr>
              <w:pStyle w:val="TableText0"/>
              <w:keepNext w:val="0"/>
            </w:pPr>
            <w:r w:rsidRPr="00EE5781">
              <w:t>NR</w:t>
            </w:r>
          </w:p>
          <w:p w14:paraId="64C2B0F5" w14:textId="77777777" w:rsidR="0068113D" w:rsidRPr="00EE5781" w:rsidRDefault="0068113D" w:rsidP="00D709BC">
            <w:pPr>
              <w:pStyle w:val="TableText0"/>
              <w:keepNext w:val="0"/>
            </w:pPr>
            <w:r w:rsidRPr="00EE5781">
              <w:t>48 (33.1%)</w:t>
            </w:r>
          </w:p>
          <w:p w14:paraId="2F800677" w14:textId="7DAD93F1" w:rsidR="0068113D" w:rsidRPr="00EE5781" w:rsidRDefault="0068113D" w:rsidP="00D709BC">
            <w:pPr>
              <w:pStyle w:val="TableText0"/>
              <w:keepNext w:val="0"/>
            </w:pPr>
            <w:r w:rsidRPr="00EE5781">
              <w:t>24 (16.6%)</w:t>
            </w:r>
          </w:p>
        </w:tc>
      </w:tr>
      <w:tr w:rsidR="0068113D" w:rsidRPr="00EE5781" w14:paraId="14F840C7" w14:textId="77777777" w:rsidTr="00966D4F">
        <w:trPr>
          <w:cantSplit/>
        </w:trPr>
        <w:tc>
          <w:tcPr>
            <w:tcW w:w="1492" w:type="pct"/>
          </w:tcPr>
          <w:p w14:paraId="137E32E4" w14:textId="385BCF08" w:rsidR="0068113D" w:rsidRPr="00EE5781" w:rsidRDefault="0068113D" w:rsidP="00D709BC">
            <w:pPr>
              <w:pStyle w:val="TableText0"/>
              <w:keepNext w:val="0"/>
            </w:pPr>
            <w:r w:rsidRPr="00EE5781">
              <w:t xml:space="preserve">CFB MAS </w:t>
            </w:r>
            <w:r w:rsidRPr="00EE5781">
              <w:rPr>
                <w:rFonts w:eastAsia="Symbol" w:cs="Symbol"/>
              </w:rPr>
              <w:t>³</w:t>
            </w:r>
            <w:r w:rsidRPr="00EE5781">
              <w:t xml:space="preserve">2, n (%) </w:t>
            </w:r>
          </w:p>
          <w:p w14:paraId="6B732320" w14:textId="77777777" w:rsidR="0068113D" w:rsidRPr="00EE5781" w:rsidRDefault="0068113D" w:rsidP="00D709BC">
            <w:pPr>
              <w:pStyle w:val="TableText0"/>
              <w:keepNext w:val="0"/>
            </w:pPr>
            <w:r w:rsidRPr="00EE5781">
              <w:t>Week 1</w:t>
            </w:r>
          </w:p>
          <w:p w14:paraId="3B177BB6" w14:textId="77777777" w:rsidR="0068113D" w:rsidRPr="00EE5781" w:rsidRDefault="0068113D" w:rsidP="00D709BC">
            <w:pPr>
              <w:pStyle w:val="TableText0"/>
              <w:keepNext w:val="0"/>
            </w:pPr>
            <w:r w:rsidRPr="00EE5781">
              <w:t>Week 4</w:t>
            </w:r>
          </w:p>
          <w:p w14:paraId="0EF1BCFA" w14:textId="77777777" w:rsidR="0068113D" w:rsidRPr="00EE5781" w:rsidRDefault="0068113D" w:rsidP="00D709BC">
            <w:pPr>
              <w:pStyle w:val="TableText0"/>
              <w:keepNext w:val="0"/>
            </w:pPr>
            <w:r w:rsidRPr="00EE5781">
              <w:t>Week 6</w:t>
            </w:r>
          </w:p>
          <w:p w14:paraId="6AEB7DB6" w14:textId="77777777" w:rsidR="0068113D" w:rsidRPr="00EE5781" w:rsidRDefault="0068113D" w:rsidP="00D709BC">
            <w:pPr>
              <w:pStyle w:val="TableText0"/>
              <w:keepNext w:val="0"/>
            </w:pPr>
            <w:r w:rsidRPr="00EE5781">
              <w:t>Week 8</w:t>
            </w:r>
          </w:p>
          <w:p w14:paraId="4B38C739" w14:textId="6742A67A" w:rsidR="0068113D" w:rsidRPr="00EE5781" w:rsidRDefault="0068113D" w:rsidP="00D709BC">
            <w:pPr>
              <w:pStyle w:val="TableText0"/>
              <w:keepNext w:val="0"/>
            </w:pPr>
            <w:r w:rsidRPr="00EE5781">
              <w:t>Week 12</w:t>
            </w:r>
          </w:p>
        </w:tc>
        <w:tc>
          <w:tcPr>
            <w:tcW w:w="1021" w:type="pct"/>
          </w:tcPr>
          <w:p w14:paraId="7AB8904E" w14:textId="77777777" w:rsidR="0068113D" w:rsidRPr="00EE5781" w:rsidRDefault="0068113D" w:rsidP="00D709BC">
            <w:pPr>
              <w:pStyle w:val="TableText0"/>
              <w:keepNext w:val="0"/>
            </w:pPr>
          </w:p>
          <w:p w14:paraId="0A4B8879" w14:textId="77777777" w:rsidR="0068113D" w:rsidRPr="00EE5781" w:rsidRDefault="0068113D" w:rsidP="00D709BC">
            <w:pPr>
              <w:pStyle w:val="TableText0"/>
              <w:keepNext w:val="0"/>
            </w:pPr>
            <w:r w:rsidRPr="00EE5781">
              <w:t>6 (5.8%)</w:t>
            </w:r>
          </w:p>
          <w:p w14:paraId="73037CE5" w14:textId="77777777" w:rsidR="0068113D" w:rsidRPr="00EE5781" w:rsidRDefault="0068113D" w:rsidP="00D709BC">
            <w:pPr>
              <w:pStyle w:val="TableText0"/>
              <w:keepNext w:val="0"/>
            </w:pPr>
            <w:r w:rsidRPr="00EE5781">
              <w:t>11 (10.6%)</w:t>
            </w:r>
          </w:p>
          <w:p w14:paraId="522080BD" w14:textId="77777777" w:rsidR="0068113D" w:rsidRPr="00EE5781" w:rsidRDefault="0068113D" w:rsidP="00D709BC">
            <w:pPr>
              <w:pStyle w:val="TableText0"/>
              <w:keepNext w:val="0"/>
            </w:pPr>
            <w:r w:rsidRPr="00EE5781">
              <w:t>14 (13.5%)</w:t>
            </w:r>
          </w:p>
          <w:p w14:paraId="36B20967" w14:textId="77777777" w:rsidR="0068113D" w:rsidRPr="00EE5781" w:rsidRDefault="0068113D" w:rsidP="00D709BC">
            <w:pPr>
              <w:pStyle w:val="TableText0"/>
              <w:keepNext w:val="0"/>
            </w:pPr>
            <w:r w:rsidRPr="00EE5781">
              <w:t>13 (12.5%)</w:t>
            </w:r>
          </w:p>
          <w:p w14:paraId="5C3FA761" w14:textId="6EC64597" w:rsidR="0068113D" w:rsidRPr="00EE5781" w:rsidRDefault="0068113D" w:rsidP="00D709BC">
            <w:pPr>
              <w:pStyle w:val="TableText0"/>
              <w:keepNext w:val="0"/>
            </w:pPr>
            <w:r w:rsidRPr="00EE5781">
              <w:t>3 (2.9%)</w:t>
            </w:r>
          </w:p>
        </w:tc>
        <w:tc>
          <w:tcPr>
            <w:tcW w:w="699" w:type="pct"/>
          </w:tcPr>
          <w:p w14:paraId="145BD408" w14:textId="77777777" w:rsidR="0068113D" w:rsidRPr="00EE5781" w:rsidRDefault="0068113D" w:rsidP="00D709BC">
            <w:pPr>
              <w:pStyle w:val="TableText0"/>
              <w:keepNext w:val="0"/>
            </w:pPr>
          </w:p>
          <w:p w14:paraId="5527189C" w14:textId="77777777" w:rsidR="0068113D" w:rsidRPr="00EE5781" w:rsidRDefault="0068113D" w:rsidP="00D709BC">
            <w:pPr>
              <w:pStyle w:val="TableText0"/>
              <w:keepNext w:val="0"/>
            </w:pPr>
            <w:r w:rsidRPr="00EE5781">
              <w:t>3 (2.9%)</w:t>
            </w:r>
          </w:p>
          <w:p w14:paraId="315D8B83" w14:textId="77777777" w:rsidR="0068113D" w:rsidRPr="00EE5781" w:rsidRDefault="0068113D" w:rsidP="00D709BC">
            <w:pPr>
              <w:pStyle w:val="TableText0"/>
              <w:keepNext w:val="0"/>
            </w:pPr>
            <w:r w:rsidRPr="00EE5781">
              <w:t>3 (2.9%)</w:t>
            </w:r>
          </w:p>
          <w:p w14:paraId="674B9203" w14:textId="77777777" w:rsidR="0068113D" w:rsidRPr="00EE5781" w:rsidRDefault="0068113D" w:rsidP="00D709BC">
            <w:pPr>
              <w:pStyle w:val="TableText0"/>
              <w:keepNext w:val="0"/>
            </w:pPr>
            <w:r w:rsidRPr="00EE5781">
              <w:t>6 (5.8%)</w:t>
            </w:r>
          </w:p>
          <w:p w14:paraId="7655FB4B" w14:textId="77777777" w:rsidR="0068113D" w:rsidRPr="00EE5781" w:rsidRDefault="0068113D" w:rsidP="00D709BC">
            <w:pPr>
              <w:pStyle w:val="TableText0"/>
              <w:keepNext w:val="0"/>
            </w:pPr>
            <w:r w:rsidRPr="00EE5781">
              <w:t>3 (2.9%)</w:t>
            </w:r>
          </w:p>
          <w:p w14:paraId="11050DA2" w14:textId="6002CA80" w:rsidR="0068113D" w:rsidRPr="00EE5781" w:rsidRDefault="0068113D" w:rsidP="00D709BC">
            <w:pPr>
              <w:pStyle w:val="TableText0"/>
              <w:keepNext w:val="0"/>
            </w:pPr>
            <w:r w:rsidRPr="00EE5781">
              <w:t>2 (1.9%)</w:t>
            </w:r>
          </w:p>
        </w:tc>
        <w:tc>
          <w:tcPr>
            <w:tcW w:w="1031" w:type="pct"/>
          </w:tcPr>
          <w:p w14:paraId="2EB541E3" w14:textId="77777777" w:rsidR="0068113D" w:rsidRPr="00EE5781" w:rsidRDefault="0068113D" w:rsidP="00D709BC">
            <w:pPr>
              <w:pStyle w:val="TableText0"/>
              <w:keepNext w:val="0"/>
            </w:pPr>
          </w:p>
          <w:p w14:paraId="44B4F567" w14:textId="77777777" w:rsidR="0068113D" w:rsidRPr="00EE5781" w:rsidRDefault="0068113D" w:rsidP="00D709BC">
            <w:pPr>
              <w:pStyle w:val="TableText0"/>
              <w:keepNext w:val="0"/>
            </w:pPr>
            <w:r w:rsidRPr="00EE5781">
              <w:t>NR</w:t>
            </w:r>
          </w:p>
          <w:p w14:paraId="4B47940A" w14:textId="77777777" w:rsidR="0068113D" w:rsidRPr="00EE5781" w:rsidRDefault="0068113D" w:rsidP="00D709BC">
            <w:pPr>
              <w:pStyle w:val="TableText0"/>
              <w:keepNext w:val="0"/>
            </w:pPr>
            <w:r w:rsidRPr="00EE5781">
              <w:t>9 (6.3%)</w:t>
            </w:r>
          </w:p>
          <w:p w14:paraId="013D2A74" w14:textId="77777777" w:rsidR="0068113D" w:rsidRPr="00EE5781" w:rsidRDefault="0068113D" w:rsidP="00D709BC">
            <w:pPr>
              <w:pStyle w:val="TableText0"/>
              <w:keepNext w:val="0"/>
            </w:pPr>
            <w:r w:rsidRPr="00EE5781">
              <w:t>NR</w:t>
            </w:r>
          </w:p>
          <w:p w14:paraId="158BFEB7" w14:textId="77777777" w:rsidR="0068113D" w:rsidRPr="00EE5781" w:rsidRDefault="0068113D" w:rsidP="00D709BC">
            <w:pPr>
              <w:pStyle w:val="TableText0"/>
              <w:keepNext w:val="0"/>
            </w:pPr>
            <w:r w:rsidRPr="00EE5781">
              <w:t>10 (7.1%)</w:t>
            </w:r>
          </w:p>
          <w:p w14:paraId="09E8A7B8" w14:textId="10BE3947" w:rsidR="0068113D" w:rsidRPr="00EE5781" w:rsidRDefault="0068113D" w:rsidP="00D709BC">
            <w:pPr>
              <w:pStyle w:val="TableText0"/>
              <w:keepNext w:val="0"/>
            </w:pPr>
            <w:r w:rsidRPr="00EE5781">
              <w:t>4 (3.0%)</w:t>
            </w:r>
          </w:p>
        </w:tc>
        <w:tc>
          <w:tcPr>
            <w:tcW w:w="757" w:type="pct"/>
          </w:tcPr>
          <w:p w14:paraId="0821CB44" w14:textId="77777777" w:rsidR="0068113D" w:rsidRPr="00EE5781" w:rsidRDefault="0068113D" w:rsidP="00D709BC">
            <w:pPr>
              <w:pStyle w:val="TableText0"/>
              <w:keepNext w:val="0"/>
            </w:pPr>
          </w:p>
          <w:p w14:paraId="73D5C9A7" w14:textId="77777777" w:rsidR="0068113D" w:rsidRPr="00EE5781" w:rsidRDefault="0068113D" w:rsidP="00D709BC">
            <w:pPr>
              <w:pStyle w:val="TableText0"/>
              <w:keepNext w:val="0"/>
            </w:pPr>
            <w:r w:rsidRPr="00EE5781">
              <w:t>NR</w:t>
            </w:r>
          </w:p>
          <w:p w14:paraId="715A5692" w14:textId="77777777" w:rsidR="0068113D" w:rsidRPr="00EE5781" w:rsidRDefault="0068113D" w:rsidP="00D709BC">
            <w:pPr>
              <w:pStyle w:val="TableText0"/>
              <w:keepNext w:val="0"/>
            </w:pPr>
            <w:r w:rsidRPr="00EE5781">
              <w:t>10 (6.9%)</w:t>
            </w:r>
          </w:p>
          <w:p w14:paraId="36050DEB" w14:textId="77777777" w:rsidR="0068113D" w:rsidRPr="00EE5781" w:rsidRDefault="0068113D" w:rsidP="00D709BC">
            <w:pPr>
              <w:pStyle w:val="TableText0"/>
              <w:keepNext w:val="0"/>
            </w:pPr>
            <w:r w:rsidRPr="00EE5781">
              <w:t>NR</w:t>
            </w:r>
          </w:p>
          <w:p w14:paraId="3BB48681" w14:textId="5E7B29F2" w:rsidR="0068113D" w:rsidRPr="00EE5781" w:rsidRDefault="0068113D" w:rsidP="00D709BC">
            <w:pPr>
              <w:pStyle w:val="TableText0"/>
              <w:keepNext w:val="0"/>
            </w:pPr>
            <w:r w:rsidRPr="00EE5781">
              <w:t>7 (4.9%)</w:t>
            </w:r>
          </w:p>
          <w:p w14:paraId="3D76E33C" w14:textId="2A4FEF0D" w:rsidR="0068113D" w:rsidRPr="00EE5781" w:rsidRDefault="0068113D" w:rsidP="00D709BC">
            <w:pPr>
              <w:pStyle w:val="TableText0"/>
              <w:keepNext w:val="0"/>
            </w:pPr>
            <w:r w:rsidRPr="00EE5781">
              <w:t>6 (4.3%)</w:t>
            </w:r>
          </w:p>
        </w:tc>
      </w:tr>
      <w:tr w:rsidR="0068113D" w:rsidRPr="00EE5781" w14:paraId="51B7A7B3" w14:textId="77777777" w:rsidTr="00966D4F">
        <w:trPr>
          <w:cantSplit/>
        </w:trPr>
        <w:tc>
          <w:tcPr>
            <w:tcW w:w="1492" w:type="pct"/>
          </w:tcPr>
          <w:p w14:paraId="5AE64FD6" w14:textId="5588E124" w:rsidR="0068113D" w:rsidRPr="00EE5781" w:rsidRDefault="0068113D" w:rsidP="00D709BC">
            <w:pPr>
              <w:pStyle w:val="TableText0"/>
              <w:keepNext w:val="0"/>
            </w:pPr>
            <w:r w:rsidRPr="00EE5781">
              <w:t xml:space="preserve">Investigator's GAE </w:t>
            </w:r>
            <w:r w:rsidR="003956A1" w:rsidRPr="00EE5781">
              <w:t>at</w:t>
            </w:r>
            <w:r w:rsidRPr="00EE5781">
              <w:t xml:space="preserve"> 12 weeks, n (%)</w:t>
            </w:r>
          </w:p>
          <w:p w14:paraId="5C0C027A" w14:textId="77777777" w:rsidR="0068113D" w:rsidRPr="00EE5781" w:rsidRDefault="0068113D" w:rsidP="00D709BC">
            <w:pPr>
              <w:pStyle w:val="TableText0"/>
              <w:keepNext w:val="0"/>
            </w:pPr>
            <w:r w:rsidRPr="00EE5781">
              <w:t>Very Good</w:t>
            </w:r>
          </w:p>
          <w:p w14:paraId="5B23C015" w14:textId="77777777" w:rsidR="0068113D" w:rsidRPr="00EE5781" w:rsidRDefault="0068113D" w:rsidP="00D709BC">
            <w:pPr>
              <w:pStyle w:val="TableText0"/>
              <w:keepNext w:val="0"/>
            </w:pPr>
            <w:r w:rsidRPr="00EE5781">
              <w:t>Good</w:t>
            </w:r>
          </w:p>
          <w:p w14:paraId="61DBF40A" w14:textId="77777777" w:rsidR="0068113D" w:rsidRPr="00EE5781" w:rsidRDefault="0068113D" w:rsidP="00D709BC">
            <w:pPr>
              <w:pStyle w:val="TableText0"/>
              <w:keepNext w:val="0"/>
            </w:pPr>
            <w:r w:rsidRPr="00EE5781">
              <w:t>Moderate</w:t>
            </w:r>
          </w:p>
          <w:p w14:paraId="728007A3" w14:textId="05C5B7DF" w:rsidR="0068113D" w:rsidRPr="00EE5781" w:rsidRDefault="0068113D" w:rsidP="00D709BC">
            <w:pPr>
              <w:pStyle w:val="TableText0"/>
              <w:keepNext w:val="0"/>
            </w:pPr>
            <w:r w:rsidRPr="00EE5781">
              <w:t>Poor</w:t>
            </w:r>
          </w:p>
        </w:tc>
        <w:tc>
          <w:tcPr>
            <w:tcW w:w="1021" w:type="pct"/>
          </w:tcPr>
          <w:p w14:paraId="34B1DF2B" w14:textId="5CB4C1B1" w:rsidR="0068113D" w:rsidRPr="00EE5781" w:rsidRDefault="0068113D" w:rsidP="00D709BC">
            <w:pPr>
              <w:pStyle w:val="TableText0"/>
              <w:keepNext w:val="0"/>
            </w:pPr>
            <w:r w:rsidRPr="00EE5781">
              <w:t>NA</w:t>
            </w:r>
          </w:p>
        </w:tc>
        <w:tc>
          <w:tcPr>
            <w:tcW w:w="699" w:type="pct"/>
          </w:tcPr>
          <w:p w14:paraId="26CB3E21" w14:textId="0FDCD3A7" w:rsidR="0068113D" w:rsidRPr="00EE5781" w:rsidRDefault="0068113D" w:rsidP="00D709BC">
            <w:pPr>
              <w:pStyle w:val="TableText0"/>
              <w:keepNext w:val="0"/>
            </w:pPr>
            <w:r w:rsidRPr="00EE5781">
              <w:t>NA</w:t>
            </w:r>
          </w:p>
        </w:tc>
        <w:tc>
          <w:tcPr>
            <w:tcW w:w="1031" w:type="pct"/>
          </w:tcPr>
          <w:p w14:paraId="7C99A271" w14:textId="77777777" w:rsidR="0068113D" w:rsidRPr="00EE5781" w:rsidRDefault="0068113D" w:rsidP="00D709BC">
            <w:pPr>
              <w:pStyle w:val="TableText0"/>
              <w:keepNext w:val="0"/>
            </w:pPr>
          </w:p>
          <w:p w14:paraId="07905E6F" w14:textId="77777777" w:rsidR="0068113D" w:rsidRPr="00EE5781" w:rsidRDefault="0068113D" w:rsidP="00D709BC">
            <w:pPr>
              <w:pStyle w:val="TableText0"/>
              <w:keepNext w:val="0"/>
            </w:pPr>
          </w:p>
          <w:p w14:paraId="71E7DF02" w14:textId="77777777" w:rsidR="0068113D" w:rsidRPr="00EE5781" w:rsidRDefault="0068113D" w:rsidP="00D709BC">
            <w:pPr>
              <w:pStyle w:val="TableText0"/>
              <w:keepNext w:val="0"/>
            </w:pPr>
            <w:r w:rsidRPr="00EE5781">
              <w:t>5 (3.5%)</w:t>
            </w:r>
          </w:p>
          <w:p w14:paraId="58C75133" w14:textId="77777777" w:rsidR="0068113D" w:rsidRPr="00EE5781" w:rsidRDefault="0068113D" w:rsidP="00D709BC">
            <w:pPr>
              <w:pStyle w:val="TableText0"/>
              <w:keepNext w:val="0"/>
            </w:pPr>
            <w:r w:rsidRPr="00EE5781">
              <w:t>41 (28.5%)</w:t>
            </w:r>
          </w:p>
          <w:p w14:paraId="232D8CFE" w14:textId="77777777" w:rsidR="0068113D" w:rsidRPr="00EE5781" w:rsidRDefault="0068113D" w:rsidP="00D709BC">
            <w:pPr>
              <w:pStyle w:val="TableText0"/>
              <w:keepNext w:val="0"/>
            </w:pPr>
            <w:r w:rsidRPr="00EE5781">
              <w:t>32 (22%)</w:t>
            </w:r>
          </w:p>
          <w:p w14:paraId="5E1B32BB" w14:textId="73EF8EEF" w:rsidR="0068113D" w:rsidRPr="00EE5781" w:rsidRDefault="0068113D" w:rsidP="00D709BC">
            <w:pPr>
              <w:pStyle w:val="TableText0"/>
              <w:keepNext w:val="0"/>
            </w:pPr>
            <w:r w:rsidRPr="00EE5781">
              <w:t>66 (46%)</w:t>
            </w:r>
          </w:p>
        </w:tc>
        <w:tc>
          <w:tcPr>
            <w:tcW w:w="757" w:type="pct"/>
          </w:tcPr>
          <w:p w14:paraId="0DB400A0" w14:textId="77777777" w:rsidR="0068113D" w:rsidRPr="00EE5781" w:rsidRDefault="0068113D" w:rsidP="00D709BC">
            <w:pPr>
              <w:pStyle w:val="TableText0"/>
              <w:keepNext w:val="0"/>
            </w:pPr>
          </w:p>
          <w:p w14:paraId="11F4020A" w14:textId="77777777" w:rsidR="0068113D" w:rsidRPr="00EE5781" w:rsidRDefault="0068113D" w:rsidP="00D709BC">
            <w:pPr>
              <w:pStyle w:val="TableText0"/>
              <w:keepNext w:val="0"/>
            </w:pPr>
          </w:p>
          <w:p w14:paraId="18CEEDCF" w14:textId="77777777" w:rsidR="0068113D" w:rsidRPr="00EE5781" w:rsidRDefault="0068113D" w:rsidP="00D709BC">
            <w:pPr>
              <w:pStyle w:val="TableText0"/>
              <w:keepNext w:val="0"/>
            </w:pPr>
            <w:r w:rsidRPr="00EE5781">
              <w:t>7 (5%)</w:t>
            </w:r>
          </w:p>
          <w:p w14:paraId="02242BDA" w14:textId="77777777" w:rsidR="0068113D" w:rsidRPr="00EE5781" w:rsidRDefault="0068113D" w:rsidP="00D709BC">
            <w:pPr>
              <w:pStyle w:val="TableText0"/>
              <w:keepNext w:val="0"/>
            </w:pPr>
            <w:r w:rsidRPr="00EE5781">
              <w:t>33 (23%)</w:t>
            </w:r>
          </w:p>
          <w:p w14:paraId="0352B10F" w14:textId="5C80B729" w:rsidR="0068113D" w:rsidRPr="00EE5781" w:rsidRDefault="0068113D" w:rsidP="00D709BC">
            <w:pPr>
              <w:pStyle w:val="TableText0"/>
              <w:keepNext w:val="0"/>
            </w:pPr>
            <w:r w:rsidRPr="00EE5781">
              <w:t>36 (27%)</w:t>
            </w:r>
          </w:p>
          <w:p w14:paraId="5476195B" w14:textId="3E2CC670" w:rsidR="0068113D" w:rsidRPr="00EE5781" w:rsidRDefault="0068113D" w:rsidP="00D709BC">
            <w:pPr>
              <w:pStyle w:val="TableText0"/>
              <w:keepNext w:val="0"/>
            </w:pPr>
            <w:r w:rsidRPr="00EE5781">
              <w:t>66 (46%)</w:t>
            </w:r>
          </w:p>
        </w:tc>
      </w:tr>
      <w:tr w:rsidR="0068113D" w:rsidRPr="00EE5781" w14:paraId="44A74997" w14:textId="77777777" w:rsidTr="00966D4F">
        <w:trPr>
          <w:cantSplit/>
        </w:trPr>
        <w:tc>
          <w:tcPr>
            <w:tcW w:w="1492" w:type="pct"/>
          </w:tcPr>
          <w:p w14:paraId="22787CE6" w14:textId="57DBED50" w:rsidR="0068113D" w:rsidRPr="00EE5781" w:rsidRDefault="0068113D" w:rsidP="00D709BC">
            <w:pPr>
              <w:pStyle w:val="TableText0"/>
              <w:keepNext w:val="0"/>
            </w:pPr>
            <w:r w:rsidRPr="00EE5781">
              <w:t xml:space="preserve">Investigator's CGI CFB to </w:t>
            </w:r>
            <w:r w:rsidR="007B0A84" w:rsidRPr="00EE5781">
              <w:t xml:space="preserve">4 </w:t>
            </w:r>
            <w:r w:rsidRPr="00EE5781">
              <w:t>wee</w:t>
            </w:r>
            <w:r w:rsidR="007B0A84" w:rsidRPr="00EE5781">
              <w:t>ks</w:t>
            </w:r>
          </w:p>
          <w:p w14:paraId="77D0EFE7" w14:textId="77777777" w:rsidR="0068113D" w:rsidRPr="00EE5781" w:rsidRDefault="0068113D" w:rsidP="00D709BC">
            <w:pPr>
              <w:pStyle w:val="TableText0"/>
              <w:keepNext w:val="0"/>
            </w:pPr>
            <w:r w:rsidRPr="00EE5781">
              <w:t>Mean (SD)</w:t>
            </w:r>
          </w:p>
          <w:p w14:paraId="739B6795" w14:textId="454D331F" w:rsidR="0068113D" w:rsidRPr="00EE5781" w:rsidRDefault="0068113D" w:rsidP="00D709BC">
            <w:pPr>
              <w:pStyle w:val="TableText0"/>
              <w:keepNext w:val="0"/>
            </w:pPr>
            <w:r w:rsidRPr="00EE5781">
              <w:t>LS mean (SE)</w:t>
            </w:r>
          </w:p>
          <w:p w14:paraId="12D9CCD1" w14:textId="0FD8908E" w:rsidR="0068113D" w:rsidRPr="00EE5781" w:rsidRDefault="0068113D" w:rsidP="00D709BC">
            <w:pPr>
              <w:pStyle w:val="TableText0"/>
              <w:keepNext w:val="0"/>
            </w:pPr>
            <w:r w:rsidRPr="00EE5781">
              <w:t>LS mean difference vs placebo (95% CI)</w:t>
            </w:r>
          </w:p>
        </w:tc>
        <w:tc>
          <w:tcPr>
            <w:tcW w:w="1021" w:type="pct"/>
          </w:tcPr>
          <w:p w14:paraId="7FA96F2F" w14:textId="77777777" w:rsidR="0068113D" w:rsidRPr="00EE5781" w:rsidRDefault="0068113D" w:rsidP="00D709BC">
            <w:pPr>
              <w:pStyle w:val="TableText0"/>
              <w:keepNext w:val="0"/>
            </w:pPr>
          </w:p>
          <w:p w14:paraId="0F0AFAD2" w14:textId="77777777" w:rsidR="0068113D" w:rsidRPr="00EE5781" w:rsidRDefault="0068113D" w:rsidP="00D709BC">
            <w:pPr>
              <w:pStyle w:val="TableText0"/>
              <w:keepNext w:val="0"/>
            </w:pPr>
          </w:p>
          <w:p w14:paraId="788DB5A9" w14:textId="45836E28" w:rsidR="0068113D" w:rsidRPr="00EE5781" w:rsidRDefault="0068113D" w:rsidP="00D709BC">
            <w:pPr>
              <w:pStyle w:val="TableText0"/>
              <w:keepNext w:val="0"/>
            </w:pPr>
            <w:r w:rsidRPr="00EE5781">
              <w:t>1.4 (1.9)</w:t>
            </w:r>
          </w:p>
          <w:p w14:paraId="6C9B9679" w14:textId="430A0E44" w:rsidR="0068113D" w:rsidRPr="00EE5781" w:rsidRDefault="0068113D" w:rsidP="00D709BC">
            <w:pPr>
              <w:pStyle w:val="TableText0"/>
              <w:keepNext w:val="0"/>
            </w:pPr>
            <w:r w:rsidRPr="00EE5781">
              <w:t>1.4 (0.2)</w:t>
            </w:r>
          </w:p>
          <w:p w14:paraId="7CD9F42C" w14:textId="77777777" w:rsidR="0068113D" w:rsidRPr="00EE5781" w:rsidRDefault="0068113D" w:rsidP="00D709BC">
            <w:pPr>
              <w:pStyle w:val="TableText0"/>
              <w:keepNext w:val="0"/>
            </w:pPr>
          </w:p>
          <w:p w14:paraId="48931C15" w14:textId="562786A0" w:rsidR="0068113D" w:rsidRPr="00EE5781" w:rsidRDefault="0068113D" w:rsidP="00D709BC">
            <w:pPr>
              <w:pStyle w:val="TableText0"/>
              <w:keepNext w:val="0"/>
            </w:pPr>
            <w:r w:rsidRPr="00EE5781">
              <w:t>0.0 (-0.5, 0.</w:t>
            </w:r>
            <w:r w:rsidR="007B0A84" w:rsidRPr="00EE5781">
              <w:t>4</w:t>
            </w:r>
            <w:r w:rsidRPr="00EE5781">
              <w:t>)</w:t>
            </w:r>
          </w:p>
        </w:tc>
        <w:tc>
          <w:tcPr>
            <w:tcW w:w="699" w:type="pct"/>
          </w:tcPr>
          <w:p w14:paraId="267D7DE1" w14:textId="77777777" w:rsidR="0068113D" w:rsidRPr="00EE5781" w:rsidRDefault="0068113D" w:rsidP="00D709BC">
            <w:pPr>
              <w:pStyle w:val="TableText0"/>
              <w:keepNext w:val="0"/>
            </w:pPr>
          </w:p>
          <w:p w14:paraId="049D7A5D" w14:textId="77777777" w:rsidR="0068113D" w:rsidRPr="00EE5781" w:rsidRDefault="0068113D" w:rsidP="00D709BC">
            <w:pPr>
              <w:pStyle w:val="TableText0"/>
              <w:keepNext w:val="0"/>
            </w:pPr>
          </w:p>
          <w:p w14:paraId="59B16D32" w14:textId="77777777" w:rsidR="0068113D" w:rsidRPr="00EE5781" w:rsidRDefault="0068113D" w:rsidP="00D709BC">
            <w:pPr>
              <w:pStyle w:val="TableText0"/>
              <w:keepNext w:val="0"/>
            </w:pPr>
            <w:r w:rsidRPr="00EE5781">
              <w:t>1.2 (2.0)</w:t>
            </w:r>
          </w:p>
          <w:p w14:paraId="3793CC8E" w14:textId="77777777" w:rsidR="0068113D" w:rsidRPr="00EE5781" w:rsidRDefault="0068113D" w:rsidP="00D709BC">
            <w:pPr>
              <w:pStyle w:val="TableText0"/>
              <w:keepNext w:val="0"/>
            </w:pPr>
            <w:r w:rsidRPr="00EE5781">
              <w:t>1.4 (0.2)</w:t>
            </w:r>
          </w:p>
          <w:p w14:paraId="79DCF514" w14:textId="77777777" w:rsidR="0068113D" w:rsidRPr="00EE5781" w:rsidRDefault="0068113D" w:rsidP="00D709BC">
            <w:pPr>
              <w:pStyle w:val="TableText0"/>
              <w:keepNext w:val="0"/>
            </w:pPr>
          </w:p>
          <w:p w14:paraId="4EA92745" w14:textId="69317842" w:rsidR="0068113D" w:rsidRPr="00EE5781" w:rsidRDefault="0068113D" w:rsidP="00D709BC">
            <w:pPr>
              <w:pStyle w:val="TableText0"/>
              <w:keepNext w:val="0"/>
            </w:pPr>
            <w:r w:rsidRPr="00EE5781">
              <w:t xml:space="preserve">- </w:t>
            </w:r>
          </w:p>
        </w:tc>
        <w:tc>
          <w:tcPr>
            <w:tcW w:w="1031" w:type="pct"/>
          </w:tcPr>
          <w:p w14:paraId="4A547382" w14:textId="1EB91C96" w:rsidR="0068113D" w:rsidRPr="00EE5781" w:rsidRDefault="0068113D" w:rsidP="00D709BC">
            <w:pPr>
              <w:pStyle w:val="TableText0"/>
              <w:keepNext w:val="0"/>
            </w:pPr>
            <w:r w:rsidRPr="00EE5781">
              <w:t>NA</w:t>
            </w:r>
          </w:p>
        </w:tc>
        <w:tc>
          <w:tcPr>
            <w:tcW w:w="757" w:type="pct"/>
          </w:tcPr>
          <w:p w14:paraId="24E01C38" w14:textId="5D202B76" w:rsidR="0068113D" w:rsidRPr="00EE5781" w:rsidRDefault="0068113D" w:rsidP="00D709BC">
            <w:pPr>
              <w:pStyle w:val="TableText0"/>
              <w:keepNext w:val="0"/>
            </w:pPr>
            <w:r w:rsidRPr="00EE5781">
              <w:t>NA</w:t>
            </w:r>
          </w:p>
        </w:tc>
      </w:tr>
      <w:tr w:rsidR="007B0A84" w:rsidRPr="00EE5781" w14:paraId="0DCDB97B" w14:textId="77777777" w:rsidTr="00966D4F">
        <w:trPr>
          <w:cantSplit/>
        </w:trPr>
        <w:tc>
          <w:tcPr>
            <w:tcW w:w="1492" w:type="pct"/>
          </w:tcPr>
          <w:p w14:paraId="01A99C76" w14:textId="19C8AA7D" w:rsidR="007B0A84" w:rsidRPr="00EE5781" w:rsidRDefault="007B0A84" w:rsidP="00D709BC">
            <w:pPr>
              <w:pStyle w:val="TableText0"/>
              <w:keepNext w:val="0"/>
            </w:pPr>
            <w:r w:rsidRPr="00EE5781">
              <w:t xml:space="preserve">Investigator's CGI CFB to 12 weeks </w:t>
            </w:r>
          </w:p>
          <w:p w14:paraId="62E4104A" w14:textId="77777777" w:rsidR="007B0A84" w:rsidRPr="00EE5781" w:rsidRDefault="007B0A84" w:rsidP="00D709BC">
            <w:pPr>
              <w:pStyle w:val="TableText0"/>
              <w:keepNext w:val="0"/>
            </w:pPr>
            <w:r w:rsidRPr="00EE5781">
              <w:t>Mean (SD)</w:t>
            </w:r>
          </w:p>
          <w:p w14:paraId="6251D447" w14:textId="77777777" w:rsidR="007B0A84" w:rsidRPr="00EE5781" w:rsidRDefault="007B0A84" w:rsidP="00D709BC">
            <w:pPr>
              <w:pStyle w:val="TableText0"/>
              <w:keepNext w:val="0"/>
            </w:pPr>
            <w:r w:rsidRPr="00EE5781">
              <w:t>LS mean (SE)</w:t>
            </w:r>
          </w:p>
          <w:p w14:paraId="6588D9EA" w14:textId="78499496" w:rsidR="007B0A84" w:rsidRPr="00EE5781" w:rsidRDefault="007B0A84" w:rsidP="00D709BC">
            <w:pPr>
              <w:pStyle w:val="TableText0"/>
              <w:keepNext w:val="0"/>
            </w:pPr>
            <w:r w:rsidRPr="00EE5781">
              <w:t>LS mean difference vs placebo (95% CI)</w:t>
            </w:r>
          </w:p>
        </w:tc>
        <w:tc>
          <w:tcPr>
            <w:tcW w:w="1021" w:type="pct"/>
          </w:tcPr>
          <w:p w14:paraId="5BD4B0ED" w14:textId="77777777" w:rsidR="007B0A84" w:rsidRPr="00EE5781" w:rsidRDefault="007B0A84" w:rsidP="00D709BC">
            <w:pPr>
              <w:pStyle w:val="TableText0"/>
              <w:keepNext w:val="0"/>
            </w:pPr>
          </w:p>
          <w:p w14:paraId="1BA0E94A" w14:textId="77777777" w:rsidR="007B0A84" w:rsidRPr="00EE5781" w:rsidRDefault="007B0A84" w:rsidP="00D709BC">
            <w:pPr>
              <w:pStyle w:val="TableText0"/>
              <w:keepNext w:val="0"/>
            </w:pPr>
          </w:p>
          <w:p w14:paraId="2F763564" w14:textId="77777777" w:rsidR="007B0A84" w:rsidRPr="00EE5781" w:rsidRDefault="007B0A84" w:rsidP="00D709BC">
            <w:pPr>
              <w:pStyle w:val="TableText0"/>
              <w:keepNext w:val="0"/>
            </w:pPr>
            <w:r w:rsidRPr="00EE5781">
              <w:t>0.8 (1.5)</w:t>
            </w:r>
          </w:p>
          <w:p w14:paraId="6A72E807" w14:textId="77777777" w:rsidR="007B0A84" w:rsidRPr="00EE5781" w:rsidRDefault="007B0A84" w:rsidP="00D709BC">
            <w:pPr>
              <w:pStyle w:val="TableText0"/>
              <w:keepNext w:val="0"/>
            </w:pPr>
            <w:r w:rsidRPr="00EE5781">
              <w:t>0.8 (0.2)</w:t>
            </w:r>
          </w:p>
          <w:p w14:paraId="04A34B0C" w14:textId="77777777" w:rsidR="007B0A84" w:rsidRPr="00EE5781" w:rsidRDefault="007B0A84" w:rsidP="00D709BC">
            <w:pPr>
              <w:pStyle w:val="TableText0"/>
              <w:keepNext w:val="0"/>
            </w:pPr>
          </w:p>
          <w:p w14:paraId="4E1CE0AA" w14:textId="378D201B" w:rsidR="007B0A84" w:rsidRPr="00EE5781" w:rsidRDefault="007B0A84" w:rsidP="00D709BC">
            <w:pPr>
              <w:pStyle w:val="TableText0"/>
              <w:keepNext w:val="0"/>
            </w:pPr>
            <w:r w:rsidRPr="00EE5781">
              <w:t>-0.1 (-0.5, 0.3)</w:t>
            </w:r>
          </w:p>
        </w:tc>
        <w:tc>
          <w:tcPr>
            <w:tcW w:w="699" w:type="pct"/>
          </w:tcPr>
          <w:p w14:paraId="1E119860" w14:textId="77777777" w:rsidR="007B0A84" w:rsidRPr="00EE5781" w:rsidRDefault="007B0A84" w:rsidP="00D709BC">
            <w:pPr>
              <w:pStyle w:val="TableText0"/>
              <w:keepNext w:val="0"/>
            </w:pPr>
          </w:p>
          <w:p w14:paraId="7A37E49F" w14:textId="77777777" w:rsidR="007B0A84" w:rsidRPr="00EE5781" w:rsidRDefault="007B0A84" w:rsidP="00D709BC">
            <w:pPr>
              <w:pStyle w:val="TableText0"/>
              <w:keepNext w:val="0"/>
            </w:pPr>
          </w:p>
          <w:p w14:paraId="4A119942" w14:textId="77777777" w:rsidR="007B0A84" w:rsidRPr="00EE5781" w:rsidRDefault="007B0A84" w:rsidP="00D709BC">
            <w:pPr>
              <w:pStyle w:val="TableText0"/>
              <w:keepNext w:val="0"/>
            </w:pPr>
            <w:r w:rsidRPr="00EE5781">
              <w:t>0.7 (1.7)</w:t>
            </w:r>
          </w:p>
          <w:p w14:paraId="4579AFC4" w14:textId="77777777" w:rsidR="007B0A84" w:rsidRPr="00EE5781" w:rsidRDefault="007B0A84" w:rsidP="00D709BC">
            <w:pPr>
              <w:pStyle w:val="TableText0"/>
              <w:keepNext w:val="0"/>
            </w:pPr>
            <w:r w:rsidRPr="00EE5781">
              <w:t>1.0 (0.2)</w:t>
            </w:r>
          </w:p>
          <w:p w14:paraId="317BD4F6" w14:textId="77777777" w:rsidR="007B0A84" w:rsidRPr="00EE5781" w:rsidRDefault="007B0A84" w:rsidP="00D709BC">
            <w:pPr>
              <w:pStyle w:val="TableText0"/>
              <w:keepNext w:val="0"/>
            </w:pPr>
          </w:p>
          <w:p w14:paraId="44E3C0DC" w14:textId="76A5BD9A" w:rsidR="007B0A84" w:rsidRPr="00EE5781" w:rsidRDefault="007B0A84" w:rsidP="00D709BC">
            <w:pPr>
              <w:pStyle w:val="TableText0"/>
              <w:keepNext w:val="0"/>
            </w:pPr>
            <w:r w:rsidRPr="00EE5781">
              <w:t>-</w:t>
            </w:r>
          </w:p>
        </w:tc>
        <w:tc>
          <w:tcPr>
            <w:tcW w:w="1031" w:type="pct"/>
          </w:tcPr>
          <w:p w14:paraId="706A8F5C" w14:textId="1CD88BD0" w:rsidR="007B0A84" w:rsidRPr="00EE5781" w:rsidRDefault="00BE528F" w:rsidP="00D709BC">
            <w:pPr>
              <w:pStyle w:val="TableText0"/>
              <w:keepNext w:val="0"/>
            </w:pPr>
            <w:r w:rsidRPr="00EE5781">
              <w:t>NA</w:t>
            </w:r>
          </w:p>
        </w:tc>
        <w:tc>
          <w:tcPr>
            <w:tcW w:w="757" w:type="pct"/>
          </w:tcPr>
          <w:p w14:paraId="430ABBA6" w14:textId="3A76CC5E" w:rsidR="007B0A84" w:rsidRPr="00EE5781" w:rsidRDefault="00BE528F" w:rsidP="00D709BC">
            <w:pPr>
              <w:pStyle w:val="TableText0"/>
              <w:keepNext w:val="0"/>
            </w:pPr>
            <w:r w:rsidRPr="00EE5781">
              <w:t>NA</w:t>
            </w:r>
          </w:p>
        </w:tc>
      </w:tr>
      <w:tr w:rsidR="007B0A84" w:rsidRPr="00EE5781" w14:paraId="59730559" w14:textId="77777777" w:rsidTr="00966D4F">
        <w:trPr>
          <w:cantSplit/>
        </w:trPr>
        <w:tc>
          <w:tcPr>
            <w:tcW w:w="1492" w:type="pct"/>
          </w:tcPr>
          <w:p w14:paraId="2E8D7735" w14:textId="4EA92A96" w:rsidR="007B0A84" w:rsidRPr="00EE5781" w:rsidRDefault="007B0A84" w:rsidP="00D709BC">
            <w:pPr>
              <w:pStyle w:val="TableText0"/>
              <w:keepNext w:val="0"/>
            </w:pPr>
            <w:r w:rsidRPr="00EE5781">
              <w:t>Patient's CGI CFB to 4 weeks</w:t>
            </w:r>
          </w:p>
          <w:p w14:paraId="0422F05E" w14:textId="77777777" w:rsidR="007B0A84" w:rsidRPr="00EE5781" w:rsidRDefault="007B0A84" w:rsidP="00D709BC">
            <w:pPr>
              <w:pStyle w:val="TableText0"/>
              <w:keepNext w:val="0"/>
            </w:pPr>
            <w:r w:rsidRPr="00EE5781">
              <w:t>Mean (SD)</w:t>
            </w:r>
          </w:p>
          <w:p w14:paraId="4B6BFDE5" w14:textId="77777777" w:rsidR="007B0A84" w:rsidRPr="00EE5781" w:rsidRDefault="007B0A84" w:rsidP="00D709BC">
            <w:pPr>
              <w:pStyle w:val="TableText0"/>
              <w:keepNext w:val="0"/>
            </w:pPr>
            <w:r w:rsidRPr="00EE5781">
              <w:t>LS mean (SE)</w:t>
            </w:r>
          </w:p>
          <w:p w14:paraId="384D8EB6" w14:textId="08F8196E" w:rsidR="007B0A84" w:rsidRPr="00EE5781" w:rsidRDefault="007B0A84" w:rsidP="00D709BC">
            <w:pPr>
              <w:pStyle w:val="TableText0"/>
              <w:keepNext w:val="0"/>
            </w:pPr>
            <w:r w:rsidRPr="00EE5781">
              <w:t>LS mean difference vs placebo (95% CI)</w:t>
            </w:r>
          </w:p>
        </w:tc>
        <w:tc>
          <w:tcPr>
            <w:tcW w:w="1021" w:type="pct"/>
          </w:tcPr>
          <w:p w14:paraId="068959CD" w14:textId="77777777" w:rsidR="007B0A84" w:rsidRPr="00EE5781" w:rsidRDefault="007B0A84" w:rsidP="00D709BC">
            <w:pPr>
              <w:pStyle w:val="TableText0"/>
              <w:keepNext w:val="0"/>
            </w:pPr>
          </w:p>
          <w:p w14:paraId="3135516B" w14:textId="77777777" w:rsidR="007B0A84" w:rsidRPr="00EE5781" w:rsidRDefault="007B0A84" w:rsidP="00D709BC">
            <w:pPr>
              <w:pStyle w:val="TableText0"/>
              <w:keepNext w:val="0"/>
            </w:pPr>
            <w:r w:rsidRPr="00EE5781">
              <w:t>0.9 (0.21)</w:t>
            </w:r>
          </w:p>
          <w:p w14:paraId="2F023693" w14:textId="77777777" w:rsidR="007B0A84" w:rsidRPr="00EE5781" w:rsidRDefault="007B0A84" w:rsidP="00D709BC">
            <w:pPr>
              <w:pStyle w:val="TableText0"/>
              <w:keepNext w:val="0"/>
            </w:pPr>
            <w:r w:rsidRPr="00EE5781">
              <w:t>0.8 (0.2)</w:t>
            </w:r>
          </w:p>
          <w:p w14:paraId="77AB6BBD" w14:textId="77777777" w:rsidR="007B0A84" w:rsidRPr="00EE5781" w:rsidRDefault="007B0A84" w:rsidP="00D709BC">
            <w:pPr>
              <w:pStyle w:val="TableText0"/>
              <w:keepNext w:val="0"/>
            </w:pPr>
          </w:p>
          <w:p w14:paraId="1268B9EE" w14:textId="1BD000EA" w:rsidR="007B0A84" w:rsidRPr="00EE5781" w:rsidRDefault="007B0A84" w:rsidP="00D709BC">
            <w:pPr>
              <w:pStyle w:val="TableText0"/>
              <w:keepNext w:val="0"/>
            </w:pPr>
            <w:r w:rsidRPr="00EE5781">
              <w:t>0.1 (-0.7, 0.3)</w:t>
            </w:r>
          </w:p>
        </w:tc>
        <w:tc>
          <w:tcPr>
            <w:tcW w:w="699" w:type="pct"/>
          </w:tcPr>
          <w:p w14:paraId="78EFFA12" w14:textId="77777777" w:rsidR="007B0A84" w:rsidRPr="00EE5781" w:rsidRDefault="007B0A84" w:rsidP="00D709BC">
            <w:pPr>
              <w:pStyle w:val="TableText0"/>
              <w:keepNext w:val="0"/>
            </w:pPr>
          </w:p>
          <w:p w14:paraId="4665B5DE" w14:textId="77777777" w:rsidR="007B0A84" w:rsidRPr="00EE5781" w:rsidRDefault="007B0A84" w:rsidP="00D709BC">
            <w:pPr>
              <w:pStyle w:val="TableText0"/>
              <w:keepNext w:val="0"/>
            </w:pPr>
            <w:r w:rsidRPr="00EE5781">
              <w:t>0.7 (2.3)</w:t>
            </w:r>
          </w:p>
          <w:p w14:paraId="2D5B7959" w14:textId="77777777" w:rsidR="007B0A84" w:rsidRPr="00EE5781" w:rsidRDefault="007B0A84" w:rsidP="00D709BC">
            <w:pPr>
              <w:pStyle w:val="TableText0"/>
              <w:keepNext w:val="0"/>
            </w:pPr>
            <w:r w:rsidRPr="00EE5781">
              <w:t>0.8 (0.2)</w:t>
            </w:r>
          </w:p>
          <w:p w14:paraId="3F826153" w14:textId="77777777" w:rsidR="007B0A84" w:rsidRPr="00EE5781" w:rsidRDefault="007B0A84" w:rsidP="00D709BC">
            <w:pPr>
              <w:pStyle w:val="TableText0"/>
              <w:keepNext w:val="0"/>
            </w:pPr>
          </w:p>
          <w:p w14:paraId="56B1A2D2" w14:textId="32D1A8D5" w:rsidR="007B0A84" w:rsidRPr="00EE5781" w:rsidRDefault="007B0A84" w:rsidP="00D709BC">
            <w:pPr>
              <w:pStyle w:val="TableText0"/>
              <w:keepNext w:val="0"/>
            </w:pPr>
            <w:r w:rsidRPr="00EE5781">
              <w:t xml:space="preserve">- </w:t>
            </w:r>
          </w:p>
        </w:tc>
        <w:tc>
          <w:tcPr>
            <w:tcW w:w="1031" w:type="pct"/>
          </w:tcPr>
          <w:p w14:paraId="77C03770" w14:textId="668FC898" w:rsidR="007B0A84" w:rsidRPr="00EE5781" w:rsidRDefault="007B0A84" w:rsidP="00D709BC">
            <w:pPr>
              <w:pStyle w:val="TableText0"/>
              <w:keepNext w:val="0"/>
            </w:pPr>
            <w:r w:rsidRPr="00EE5781">
              <w:t>NA</w:t>
            </w:r>
          </w:p>
        </w:tc>
        <w:tc>
          <w:tcPr>
            <w:tcW w:w="757" w:type="pct"/>
          </w:tcPr>
          <w:p w14:paraId="241BCC22" w14:textId="2AF34243" w:rsidR="007B0A84" w:rsidRPr="00EE5781" w:rsidRDefault="007B0A84" w:rsidP="00D709BC">
            <w:pPr>
              <w:pStyle w:val="TableText0"/>
              <w:keepNext w:val="0"/>
            </w:pPr>
            <w:r w:rsidRPr="00EE5781">
              <w:t>NA</w:t>
            </w:r>
          </w:p>
        </w:tc>
      </w:tr>
      <w:tr w:rsidR="007B0A84" w:rsidRPr="00EE5781" w14:paraId="7B2CAB29" w14:textId="77777777" w:rsidTr="00966D4F">
        <w:trPr>
          <w:cantSplit/>
        </w:trPr>
        <w:tc>
          <w:tcPr>
            <w:tcW w:w="1492" w:type="pct"/>
          </w:tcPr>
          <w:p w14:paraId="62AA576D" w14:textId="0855BBC8" w:rsidR="007B0A84" w:rsidRPr="00EE5781" w:rsidRDefault="007B0A84" w:rsidP="00D709BC">
            <w:pPr>
              <w:pStyle w:val="TableText0"/>
              <w:keepNext w:val="0"/>
            </w:pPr>
            <w:r w:rsidRPr="00EE5781">
              <w:lastRenderedPageBreak/>
              <w:t xml:space="preserve">Patient's CGI CFB to 12 weeks </w:t>
            </w:r>
          </w:p>
          <w:p w14:paraId="3BE8DAD9" w14:textId="77777777" w:rsidR="007B0A84" w:rsidRPr="00EE5781" w:rsidRDefault="007B0A84" w:rsidP="00D709BC">
            <w:pPr>
              <w:pStyle w:val="TableText0"/>
              <w:keepNext w:val="0"/>
            </w:pPr>
            <w:r w:rsidRPr="00EE5781">
              <w:t>Mean (SD)</w:t>
            </w:r>
          </w:p>
          <w:p w14:paraId="6F208009" w14:textId="77777777" w:rsidR="007B0A84" w:rsidRPr="00EE5781" w:rsidRDefault="007B0A84" w:rsidP="00D709BC">
            <w:pPr>
              <w:pStyle w:val="TableText0"/>
              <w:keepNext w:val="0"/>
            </w:pPr>
            <w:r w:rsidRPr="00EE5781">
              <w:t>LS mean (SE)</w:t>
            </w:r>
          </w:p>
          <w:p w14:paraId="4B3E655D" w14:textId="4CDCC4DE" w:rsidR="007B0A84" w:rsidRPr="00EE5781" w:rsidRDefault="007B0A84" w:rsidP="00D709BC">
            <w:pPr>
              <w:pStyle w:val="TableText0"/>
              <w:keepNext w:val="0"/>
            </w:pPr>
            <w:r w:rsidRPr="00EE5781">
              <w:t>LS mean difference vs placebo (95% CI</w:t>
            </w:r>
          </w:p>
        </w:tc>
        <w:tc>
          <w:tcPr>
            <w:tcW w:w="1021" w:type="pct"/>
          </w:tcPr>
          <w:p w14:paraId="293187C5" w14:textId="77777777" w:rsidR="007B0A84" w:rsidRPr="00EE5781" w:rsidRDefault="007B0A84" w:rsidP="00D709BC">
            <w:pPr>
              <w:pStyle w:val="TableText0"/>
              <w:keepNext w:val="0"/>
            </w:pPr>
          </w:p>
          <w:p w14:paraId="1CD5E644" w14:textId="77777777" w:rsidR="007B0A84" w:rsidRPr="00EE5781" w:rsidRDefault="00171ABD" w:rsidP="00D709BC">
            <w:pPr>
              <w:pStyle w:val="TableText0"/>
              <w:keepNext w:val="0"/>
            </w:pPr>
            <w:r w:rsidRPr="00EE5781">
              <w:t>0.5 (1.8)</w:t>
            </w:r>
          </w:p>
          <w:p w14:paraId="31F1745D" w14:textId="77777777" w:rsidR="00171ABD" w:rsidRPr="00EE5781" w:rsidRDefault="00171ABD" w:rsidP="00D709BC">
            <w:pPr>
              <w:pStyle w:val="TableText0"/>
              <w:keepNext w:val="0"/>
            </w:pPr>
            <w:r w:rsidRPr="00EE5781">
              <w:t>0.5 (0.2)</w:t>
            </w:r>
          </w:p>
          <w:p w14:paraId="72022F66" w14:textId="77777777" w:rsidR="00171ABD" w:rsidRPr="00EE5781" w:rsidRDefault="00171ABD" w:rsidP="00D709BC">
            <w:pPr>
              <w:pStyle w:val="TableText0"/>
              <w:keepNext w:val="0"/>
            </w:pPr>
          </w:p>
          <w:p w14:paraId="33C3814B" w14:textId="01E32885" w:rsidR="00171ABD" w:rsidRPr="00EE5781" w:rsidRDefault="00171ABD" w:rsidP="00D709BC">
            <w:pPr>
              <w:pStyle w:val="TableText0"/>
              <w:keepNext w:val="0"/>
            </w:pPr>
            <w:r w:rsidRPr="00EE5781">
              <w:t>-0.2 (-0.7, 0.3)</w:t>
            </w:r>
          </w:p>
        </w:tc>
        <w:tc>
          <w:tcPr>
            <w:tcW w:w="699" w:type="pct"/>
          </w:tcPr>
          <w:p w14:paraId="57A86D15" w14:textId="77777777" w:rsidR="007B0A84" w:rsidRPr="00EE5781" w:rsidRDefault="007B0A84" w:rsidP="00D709BC">
            <w:pPr>
              <w:pStyle w:val="TableText0"/>
              <w:keepNext w:val="0"/>
            </w:pPr>
          </w:p>
          <w:p w14:paraId="5C1A3A64" w14:textId="77777777" w:rsidR="00171ABD" w:rsidRPr="00EE5781" w:rsidRDefault="00171ABD" w:rsidP="00D709BC">
            <w:pPr>
              <w:pStyle w:val="TableText0"/>
              <w:keepNext w:val="0"/>
            </w:pPr>
            <w:r w:rsidRPr="00EE5781">
              <w:t>0.5 (2.1)</w:t>
            </w:r>
          </w:p>
          <w:p w14:paraId="5D413A5A" w14:textId="77777777" w:rsidR="00171ABD" w:rsidRPr="00EE5781" w:rsidRDefault="00171ABD" w:rsidP="00D709BC">
            <w:pPr>
              <w:pStyle w:val="TableText0"/>
              <w:keepNext w:val="0"/>
            </w:pPr>
            <w:r w:rsidRPr="00EE5781">
              <w:t>0.6 (0.2)</w:t>
            </w:r>
          </w:p>
          <w:p w14:paraId="01E3E86E" w14:textId="77777777" w:rsidR="00171ABD" w:rsidRPr="00EE5781" w:rsidRDefault="00171ABD" w:rsidP="00D709BC">
            <w:pPr>
              <w:pStyle w:val="TableText0"/>
              <w:keepNext w:val="0"/>
            </w:pPr>
          </w:p>
          <w:p w14:paraId="6E43F249" w14:textId="1F586F59" w:rsidR="00171ABD" w:rsidRPr="00EE5781" w:rsidRDefault="00171ABD" w:rsidP="00D709BC">
            <w:pPr>
              <w:pStyle w:val="TableText0"/>
              <w:keepNext w:val="0"/>
            </w:pPr>
            <w:r w:rsidRPr="00EE5781">
              <w:t>-</w:t>
            </w:r>
          </w:p>
        </w:tc>
        <w:tc>
          <w:tcPr>
            <w:tcW w:w="1031" w:type="pct"/>
          </w:tcPr>
          <w:p w14:paraId="3FB2C4C5" w14:textId="4534E51D" w:rsidR="007B0A84" w:rsidRPr="00EE5781" w:rsidRDefault="00BE528F" w:rsidP="00D709BC">
            <w:pPr>
              <w:pStyle w:val="TableText0"/>
              <w:keepNext w:val="0"/>
            </w:pPr>
            <w:r w:rsidRPr="00EE5781">
              <w:t>NA</w:t>
            </w:r>
          </w:p>
        </w:tc>
        <w:tc>
          <w:tcPr>
            <w:tcW w:w="757" w:type="pct"/>
          </w:tcPr>
          <w:p w14:paraId="483382C5" w14:textId="3D452134" w:rsidR="007B0A84" w:rsidRPr="00EE5781" w:rsidRDefault="00BE528F" w:rsidP="00D709BC">
            <w:pPr>
              <w:pStyle w:val="TableText0"/>
              <w:keepNext w:val="0"/>
            </w:pPr>
            <w:r w:rsidRPr="00EE5781">
              <w:t>NA</w:t>
            </w:r>
          </w:p>
        </w:tc>
      </w:tr>
      <w:tr w:rsidR="007B0A84" w:rsidRPr="00EE5781" w14:paraId="137E88AE" w14:textId="77777777" w:rsidTr="00966D4F">
        <w:trPr>
          <w:cantSplit/>
        </w:trPr>
        <w:tc>
          <w:tcPr>
            <w:tcW w:w="1492" w:type="pct"/>
          </w:tcPr>
          <w:p w14:paraId="0C7EFCE5" w14:textId="20B62A1C" w:rsidR="007B0A84" w:rsidRPr="00EE5781" w:rsidRDefault="007B0A84" w:rsidP="00D709BC">
            <w:pPr>
              <w:pStyle w:val="TableText0"/>
              <w:keepNext w:val="0"/>
            </w:pPr>
            <w:r w:rsidRPr="00EE5781">
              <w:t>CFB to week 4 PRS Gait score</w:t>
            </w:r>
          </w:p>
          <w:p w14:paraId="40902D6D" w14:textId="77777777" w:rsidR="007B0A84" w:rsidRPr="00EE5781" w:rsidRDefault="007B0A84" w:rsidP="00D709BC">
            <w:pPr>
              <w:pStyle w:val="TableText0"/>
              <w:keepNext w:val="0"/>
            </w:pPr>
            <w:r w:rsidRPr="00EE5781">
              <w:t>Mean (SD)</w:t>
            </w:r>
          </w:p>
          <w:p w14:paraId="580D5B52" w14:textId="77777777" w:rsidR="007B0A84" w:rsidRPr="00EE5781" w:rsidRDefault="007B0A84" w:rsidP="00D709BC">
            <w:pPr>
              <w:pStyle w:val="TableText0"/>
              <w:keepNext w:val="0"/>
            </w:pPr>
            <w:r w:rsidRPr="00EE5781">
              <w:t>LS mean (SE)</w:t>
            </w:r>
          </w:p>
          <w:p w14:paraId="2CA10EBC" w14:textId="11441DFA" w:rsidR="007B0A84" w:rsidRPr="00EE5781" w:rsidRDefault="007B0A84" w:rsidP="00D709BC">
            <w:pPr>
              <w:pStyle w:val="TableText0"/>
              <w:keepNext w:val="0"/>
            </w:pPr>
            <w:r w:rsidRPr="00EE5781">
              <w:t xml:space="preserve">LS mean difference vs placebo (95% CI) </w:t>
            </w:r>
          </w:p>
        </w:tc>
        <w:tc>
          <w:tcPr>
            <w:tcW w:w="1021" w:type="pct"/>
          </w:tcPr>
          <w:p w14:paraId="6D56AF67" w14:textId="77777777" w:rsidR="007B0A84" w:rsidRPr="00EE5781" w:rsidRDefault="007B0A84" w:rsidP="00D709BC">
            <w:pPr>
              <w:pStyle w:val="TableText0"/>
              <w:keepNext w:val="0"/>
            </w:pPr>
          </w:p>
          <w:p w14:paraId="3F0F5A2B" w14:textId="77777777" w:rsidR="007B0A84" w:rsidRPr="00EE5781" w:rsidRDefault="007B0A84" w:rsidP="00D709BC">
            <w:pPr>
              <w:pStyle w:val="TableText0"/>
              <w:keepNext w:val="0"/>
            </w:pPr>
            <w:r w:rsidRPr="00EE5781">
              <w:t>0.6 (1.3)</w:t>
            </w:r>
          </w:p>
          <w:p w14:paraId="602154AB" w14:textId="77777777" w:rsidR="007B0A84" w:rsidRPr="00EE5781" w:rsidRDefault="007B0A84" w:rsidP="00D709BC">
            <w:pPr>
              <w:pStyle w:val="TableText0"/>
              <w:keepNext w:val="0"/>
            </w:pPr>
            <w:r w:rsidRPr="00EE5781">
              <w:t>0.6 (0.2)</w:t>
            </w:r>
          </w:p>
          <w:p w14:paraId="738C4748" w14:textId="77777777" w:rsidR="007B0A84" w:rsidRPr="00EE5781" w:rsidRDefault="007B0A84" w:rsidP="00D709BC">
            <w:pPr>
              <w:pStyle w:val="TableText0"/>
              <w:keepNext w:val="0"/>
            </w:pPr>
          </w:p>
          <w:p w14:paraId="39BF0F40" w14:textId="3F14C8DA" w:rsidR="007B0A84" w:rsidRPr="00EE5781" w:rsidRDefault="007B0A84" w:rsidP="00D709BC">
            <w:pPr>
              <w:pStyle w:val="TableText0"/>
              <w:keepNext w:val="0"/>
            </w:pPr>
            <w:r w:rsidRPr="00EE5781">
              <w:t>0.2 (-0.3, 0.6)</w:t>
            </w:r>
          </w:p>
        </w:tc>
        <w:tc>
          <w:tcPr>
            <w:tcW w:w="699" w:type="pct"/>
          </w:tcPr>
          <w:p w14:paraId="493F95AD" w14:textId="77777777" w:rsidR="007B0A84" w:rsidRPr="00EE5781" w:rsidRDefault="007B0A84" w:rsidP="00D709BC">
            <w:pPr>
              <w:pStyle w:val="TableText0"/>
              <w:keepNext w:val="0"/>
            </w:pPr>
          </w:p>
          <w:p w14:paraId="5A10370D" w14:textId="77777777" w:rsidR="007B0A84" w:rsidRPr="00EE5781" w:rsidRDefault="007B0A84" w:rsidP="00D709BC">
            <w:pPr>
              <w:pStyle w:val="TableText0"/>
              <w:keepNext w:val="0"/>
            </w:pPr>
            <w:r w:rsidRPr="00EE5781">
              <w:t>0.3 (1.4)</w:t>
            </w:r>
          </w:p>
          <w:p w14:paraId="337A2CF5" w14:textId="77777777" w:rsidR="007B0A84" w:rsidRPr="00EE5781" w:rsidRDefault="007B0A84" w:rsidP="00D709BC">
            <w:pPr>
              <w:pStyle w:val="TableText0"/>
              <w:keepNext w:val="0"/>
            </w:pPr>
            <w:r w:rsidRPr="00EE5781">
              <w:t>0.5 (0.2)</w:t>
            </w:r>
          </w:p>
          <w:p w14:paraId="47701DBB" w14:textId="77777777" w:rsidR="007B0A84" w:rsidRPr="00EE5781" w:rsidRDefault="007B0A84" w:rsidP="00D709BC">
            <w:pPr>
              <w:pStyle w:val="TableText0"/>
              <w:keepNext w:val="0"/>
            </w:pPr>
          </w:p>
          <w:p w14:paraId="71B8D2A1" w14:textId="073D203F" w:rsidR="007B0A84" w:rsidRPr="00EE5781" w:rsidRDefault="007B0A84" w:rsidP="00D709BC">
            <w:pPr>
              <w:pStyle w:val="TableText0"/>
              <w:keepNext w:val="0"/>
            </w:pPr>
            <w:r w:rsidRPr="00EE5781">
              <w:t xml:space="preserve">- </w:t>
            </w:r>
          </w:p>
        </w:tc>
        <w:tc>
          <w:tcPr>
            <w:tcW w:w="1031" w:type="pct"/>
          </w:tcPr>
          <w:p w14:paraId="5A755629" w14:textId="66740233" w:rsidR="007B0A84" w:rsidRPr="00EE5781" w:rsidRDefault="007B0A84" w:rsidP="00D709BC">
            <w:pPr>
              <w:pStyle w:val="TableText0"/>
              <w:keepNext w:val="0"/>
            </w:pPr>
            <w:r w:rsidRPr="00EE5781">
              <w:t>NA</w:t>
            </w:r>
          </w:p>
        </w:tc>
        <w:tc>
          <w:tcPr>
            <w:tcW w:w="757" w:type="pct"/>
          </w:tcPr>
          <w:p w14:paraId="62773D7B" w14:textId="158A6961" w:rsidR="007B0A84" w:rsidRPr="00EE5781" w:rsidRDefault="007B0A84" w:rsidP="00D709BC">
            <w:pPr>
              <w:pStyle w:val="TableText0"/>
              <w:keepNext w:val="0"/>
            </w:pPr>
            <w:r w:rsidRPr="00EE5781">
              <w:t>NA</w:t>
            </w:r>
          </w:p>
        </w:tc>
      </w:tr>
      <w:tr w:rsidR="007B0A84" w:rsidRPr="00EE5781" w14:paraId="3E219A71" w14:textId="77777777" w:rsidTr="00966D4F">
        <w:trPr>
          <w:cantSplit/>
        </w:trPr>
        <w:tc>
          <w:tcPr>
            <w:tcW w:w="1492" w:type="pct"/>
          </w:tcPr>
          <w:p w14:paraId="5B29784C" w14:textId="766E8161" w:rsidR="007B0A84" w:rsidRPr="00EE5781" w:rsidRDefault="007B0A84" w:rsidP="00D709BC">
            <w:pPr>
              <w:pStyle w:val="TableText0"/>
              <w:keepNext w:val="0"/>
            </w:pPr>
            <w:r w:rsidRPr="00EE5781">
              <w:t>CFB to week 12 PRS Gait score</w:t>
            </w:r>
          </w:p>
          <w:p w14:paraId="60F8D6B8" w14:textId="77777777" w:rsidR="007B0A84" w:rsidRPr="00EE5781" w:rsidRDefault="007B0A84" w:rsidP="00D709BC">
            <w:pPr>
              <w:pStyle w:val="TableText0"/>
              <w:keepNext w:val="0"/>
            </w:pPr>
            <w:r w:rsidRPr="00EE5781">
              <w:t>Mean (SD)</w:t>
            </w:r>
          </w:p>
          <w:p w14:paraId="45524C40" w14:textId="77777777" w:rsidR="007B0A84" w:rsidRPr="00EE5781" w:rsidRDefault="007B0A84" w:rsidP="00D709BC">
            <w:pPr>
              <w:pStyle w:val="TableText0"/>
              <w:keepNext w:val="0"/>
            </w:pPr>
            <w:r w:rsidRPr="00EE5781">
              <w:t>LS mean (SE)</w:t>
            </w:r>
          </w:p>
          <w:p w14:paraId="4641D7A2" w14:textId="01441350" w:rsidR="007B0A84" w:rsidRPr="00EE5781" w:rsidRDefault="007B0A84" w:rsidP="00D709BC">
            <w:pPr>
              <w:pStyle w:val="TableText0"/>
              <w:keepNext w:val="0"/>
            </w:pPr>
            <w:r w:rsidRPr="00EE5781">
              <w:t>LS mean difference vs placebo (95% CI)</w:t>
            </w:r>
          </w:p>
        </w:tc>
        <w:tc>
          <w:tcPr>
            <w:tcW w:w="1021" w:type="pct"/>
          </w:tcPr>
          <w:p w14:paraId="07DC9AED" w14:textId="77777777" w:rsidR="007B0A84" w:rsidRPr="00EE5781" w:rsidRDefault="007B0A84" w:rsidP="00D709BC">
            <w:pPr>
              <w:pStyle w:val="TableText0"/>
              <w:keepNext w:val="0"/>
            </w:pPr>
          </w:p>
          <w:p w14:paraId="35A45A0B" w14:textId="77777777" w:rsidR="007B0A84" w:rsidRPr="00EE5781" w:rsidRDefault="007B0A84" w:rsidP="00D709BC">
            <w:pPr>
              <w:pStyle w:val="TableText0"/>
              <w:keepNext w:val="0"/>
            </w:pPr>
            <w:r w:rsidRPr="00EE5781">
              <w:t>0.1 (1.5)</w:t>
            </w:r>
          </w:p>
          <w:p w14:paraId="21B683E0" w14:textId="77777777" w:rsidR="007B0A84" w:rsidRPr="00EE5781" w:rsidRDefault="007B0A84" w:rsidP="00D709BC">
            <w:pPr>
              <w:pStyle w:val="TableText0"/>
              <w:keepNext w:val="0"/>
            </w:pPr>
            <w:r w:rsidRPr="00EE5781">
              <w:t>0.1 (0.2)</w:t>
            </w:r>
          </w:p>
          <w:p w14:paraId="509603A5" w14:textId="77777777" w:rsidR="007B0A84" w:rsidRPr="00EE5781" w:rsidRDefault="007B0A84" w:rsidP="00D709BC">
            <w:pPr>
              <w:pStyle w:val="TableText0"/>
              <w:keepNext w:val="0"/>
            </w:pPr>
          </w:p>
          <w:p w14:paraId="66FA38B1" w14:textId="01D8CFA9" w:rsidR="007B0A84" w:rsidRPr="00EE5781" w:rsidRDefault="007B0A84" w:rsidP="00D709BC">
            <w:pPr>
              <w:pStyle w:val="TableText0"/>
              <w:keepNext w:val="0"/>
            </w:pPr>
            <w:r w:rsidRPr="00EE5781">
              <w:t>-0.5 (-1.0,</w:t>
            </w:r>
            <w:r w:rsidR="00D312F3" w:rsidRPr="00EE5781">
              <w:t xml:space="preserve"> </w:t>
            </w:r>
            <w:r w:rsidRPr="00EE5781">
              <w:t>-0.1)</w:t>
            </w:r>
            <w:r w:rsidR="00EF72E6" w:rsidRPr="00EE5781">
              <w:rPr>
                <w:vertAlign w:val="superscript"/>
              </w:rPr>
              <w:t>2</w:t>
            </w:r>
          </w:p>
        </w:tc>
        <w:tc>
          <w:tcPr>
            <w:tcW w:w="699" w:type="pct"/>
          </w:tcPr>
          <w:p w14:paraId="57286455" w14:textId="77777777" w:rsidR="007B0A84" w:rsidRPr="00EE5781" w:rsidRDefault="007B0A84" w:rsidP="00D709BC">
            <w:pPr>
              <w:pStyle w:val="TableText0"/>
              <w:keepNext w:val="0"/>
            </w:pPr>
          </w:p>
          <w:p w14:paraId="6DA720CE" w14:textId="77777777" w:rsidR="007B0A84" w:rsidRPr="00EE5781" w:rsidRDefault="007B0A84" w:rsidP="00D709BC">
            <w:pPr>
              <w:pStyle w:val="TableText0"/>
              <w:keepNext w:val="0"/>
            </w:pPr>
            <w:r w:rsidRPr="00EE5781">
              <w:t>0.4 (1.3)</w:t>
            </w:r>
          </w:p>
          <w:p w14:paraId="56584475" w14:textId="77777777" w:rsidR="007B0A84" w:rsidRPr="00EE5781" w:rsidRDefault="007B0A84" w:rsidP="00D709BC">
            <w:pPr>
              <w:pStyle w:val="TableText0"/>
              <w:keepNext w:val="0"/>
            </w:pPr>
            <w:r w:rsidRPr="00EE5781">
              <w:t>0.6 (0.2)</w:t>
            </w:r>
          </w:p>
          <w:p w14:paraId="27F20500" w14:textId="77777777" w:rsidR="00171ABD" w:rsidRPr="00EE5781" w:rsidRDefault="00171ABD" w:rsidP="00D709BC">
            <w:pPr>
              <w:pStyle w:val="TableText0"/>
              <w:keepNext w:val="0"/>
            </w:pPr>
          </w:p>
          <w:p w14:paraId="285DCC26" w14:textId="0AB69E68" w:rsidR="00171ABD" w:rsidRPr="00EE5781" w:rsidRDefault="00171ABD" w:rsidP="00D709BC">
            <w:pPr>
              <w:pStyle w:val="TableText0"/>
              <w:keepNext w:val="0"/>
            </w:pPr>
            <w:r w:rsidRPr="00EE5781">
              <w:t>-</w:t>
            </w:r>
          </w:p>
        </w:tc>
        <w:tc>
          <w:tcPr>
            <w:tcW w:w="1031" w:type="pct"/>
          </w:tcPr>
          <w:p w14:paraId="316D8C39" w14:textId="42293CB2" w:rsidR="007B0A84" w:rsidRPr="00EE5781" w:rsidRDefault="00BE528F" w:rsidP="00D709BC">
            <w:pPr>
              <w:pStyle w:val="TableText0"/>
              <w:keepNext w:val="0"/>
            </w:pPr>
            <w:r w:rsidRPr="00EE5781">
              <w:t>NA</w:t>
            </w:r>
          </w:p>
        </w:tc>
        <w:tc>
          <w:tcPr>
            <w:tcW w:w="757" w:type="pct"/>
          </w:tcPr>
          <w:p w14:paraId="52A925F2" w14:textId="7FB55D64" w:rsidR="007B0A84" w:rsidRPr="00EE5781" w:rsidRDefault="00BE528F" w:rsidP="00D709BC">
            <w:pPr>
              <w:pStyle w:val="TableText0"/>
              <w:keepNext w:val="0"/>
            </w:pPr>
            <w:r w:rsidRPr="00EE5781">
              <w:t>NA</w:t>
            </w:r>
          </w:p>
        </w:tc>
      </w:tr>
      <w:tr w:rsidR="007B0A84" w:rsidRPr="00EE5781" w14:paraId="0856C782" w14:textId="77777777" w:rsidTr="00966D4F">
        <w:trPr>
          <w:cantSplit/>
        </w:trPr>
        <w:tc>
          <w:tcPr>
            <w:tcW w:w="1492" w:type="pct"/>
          </w:tcPr>
          <w:p w14:paraId="384F66F9" w14:textId="1EA25C6E" w:rsidR="007B0A84" w:rsidRPr="00EE5781" w:rsidRDefault="007B0A84" w:rsidP="00D709BC">
            <w:pPr>
              <w:pStyle w:val="TableText0"/>
              <w:keepNext w:val="0"/>
            </w:pPr>
            <w:r w:rsidRPr="00EE5781">
              <w:t>Time to walk 10m at preferred speed, baseline, seconds</w:t>
            </w:r>
          </w:p>
          <w:p w14:paraId="65680164" w14:textId="55C0BDAE" w:rsidR="007B0A84" w:rsidRPr="00EE5781" w:rsidRDefault="007B0A84" w:rsidP="00D709BC">
            <w:pPr>
              <w:pStyle w:val="TableText0"/>
              <w:keepNext w:val="0"/>
            </w:pPr>
            <w:r w:rsidRPr="00EE5781">
              <w:t>Mean (SD)</w:t>
            </w:r>
          </w:p>
        </w:tc>
        <w:tc>
          <w:tcPr>
            <w:tcW w:w="1021" w:type="pct"/>
          </w:tcPr>
          <w:p w14:paraId="61134FD8" w14:textId="77777777" w:rsidR="007B0A84" w:rsidRPr="00EE5781" w:rsidRDefault="007B0A84" w:rsidP="00D709BC">
            <w:pPr>
              <w:pStyle w:val="TableText0"/>
              <w:keepNext w:val="0"/>
            </w:pPr>
          </w:p>
          <w:p w14:paraId="1C3DBCC5" w14:textId="77777777" w:rsidR="007B0A84" w:rsidRPr="00EE5781" w:rsidRDefault="007B0A84" w:rsidP="00D709BC">
            <w:pPr>
              <w:pStyle w:val="TableText0"/>
              <w:keepNext w:val="0"/>
            </w:pPr>
          </w:p>
          <w:p w14:paraId="620A3557" w14:textId="6B2E402E" w:rsidR="007B0A84" w:rsidRPr="00EE5781" w:rsidRDefault="007B0A84" w:rsidP="00D709BC">
            <w:pPr>
              <w:pStyle w:val="TableText0"/>
              <w:keepNext w:val="0"/>
            </w:pPr>
            <w:r w:rsidRPr="00EE5781">
              <w:t>17.0 (12.0)</w:t>
            </w:r>
          </w:p>
        </w:tc>
        <w:tc>
          <w:tcPr>
            <w:tcW w:w="699" w:type="pct"/>
          </w:tcPr>
          <w:p w14:paraId="6E2BC0B5" w14:textId="77777777" w:rsidR="007B0A84" w:rsidRPr="00EE5781" w:rsidRDefault="007B0A84" w:rsidP="00D709BC">
            <w:pPr>
              <w:pStyle w:val="TableText0"/>
              <w:keepNext w:val="0"/>
            </w:pPr>
          </w:p>
          <w:p w14:paraId="79E5F245" w14:textId="77777777" w:rsidR="007B0A84" w:rsidRPr="00EE5781" w:rsidRDefault="007B0A84" w:rsidP="00D709BC">
            <w:pPr>
              <w:pStyle w:val="TableText0"/>
              <w:keepNext w:val="0"/>
            </w:pPr>
          </w:p>
          <w:p w14:paraId="3CAD268B" w14:textId="3B852299" w:rsidR="007B0A84" w:rsidRPr="00EE5781" w:rsidRDefault="007B0A84" w:rsidP="00D709BC">
            <w:pPr>
              <w:pStyle w:val="TableText0"/>
              <w:keepNext w:val="0"/>
            </w:pPr>
            <w:r w:rsidRPr="00EE5781">
              <w:t>16.5 (14.4)</w:t>
            </w:r>
          </w:p>
        </w:tc>
        <w:tc>
          <w:tcPr>
            <w:tcW w:w="1031" w:type="pct"/>
          </w:tcPr>
          <w:p w14:paraId="59AC7777" w14:textId="2A46FE35" w:rsidR="007B0A84" w:rsidRPr="00EE5781" w:rsidRDefault="00BE528F" w:rsidP="00D709BC">
            <w:pPr>
              <w:pStyle w:val="TableText0"/>
              <w:keepNext w:val="0"/>
            </w:pPr>
            <w:r w:rsidRPr="00EE5781">
              <w:t>NA</w:t>
            </w:r>
          </w:p>
        </w:tc>
        <w:tc>
          <w:tcPr>
            <w:tcW w:w="757" w:type="pct"/>
          </w:tcPr>
          <w:p w14:paraId="486FE952" w14:textId="20970A59" w:rsidR="007B0A84" w:rsidRPr="00EE5781" w:rsidRDefault="00BE528F" w:rsidP="00D709BC">
            <w:pPr>
              <w:pStyle w:val="TableText0"/>
              <w:keepNext w:val="0"/>
            </w:pPr>
            <w:r w:rsidRPr="00EE5781">
              <w:t>NA</w:t>
            </w:r>
          </w:p>
        </w:tc>
      </w:tr>
      <w:tr w:rsidR="007B0A84" w:rsidRPr="00EE5781" w14:paraId="1C98562C" w14:textId="77777777" w:rsidTr="00966D4F">
        <w:trPr>
          <w:cantSplit/>
        </w:trPr>
        <w:tc>
          <w:tcPr>
            <w:tcW w:w="1492" w:type="pct"/>
          </w:tcPr>
          <w:p w14:paraId="24E04FC3" w14:textId="7DDEBFD8" w:rsidR="007B0A84" w:rsidRPr="00EE5781" w:rsidRDefault="007B0A84" w:rsidP="00D709BC">
            <w:pPr>
              <w:pStyle w:val="TableText0"/>
              <w:keepNext w:val="0"/>
            </w:pPr>
            <w:r w:rsidRPr="00EE5781">
              <w:t>Time to walk 10m at preferred speed, CFB to 12 weeks, seconds</w:t>
            </w:r>
          </w:p>
          <w:p w14:paraId="4C60AAEE" w14:textId="77777777" w:rsidR="007B0A84" w:rsidRPr="00EE5781" w:rsidRDefault="007B0A84" w:rsidP="00D709BC">
            <w:pPr>
              <w:pStyle w:val="TableText0"/>
              <w:keepNext w:val="0"/>
            </w:pPr>
            <w:r w:rsidRPr="00EE5781">
              <w:t>Mean (SD)</w:t>
            </w:r>
          </w:p>
          <w:p w14:paraId="338A440E" w14:textId="77777777" w:rsidR="007B0A84" w:rsidRPr="00EE5781" w:rsidRDefault="007B0A84" w:rsidP="00D709BC">
            <w:pPr>
              <w:pStyle w:val="TableText0"/>
              <w:keepNext w:val="0"/>
            </w:pPr>
            <w:r w:rsidRPr="00EE5781">
              <w:t>LS mean (SE)</w:t>
            </w:r>
          </w:p>
          <w:p w14:paraId="7803C10E" w14:textId="5A618D86" w:rsidR="007B0A84" w:rsidRPr="00EE5781" w:rsidRDefault="007B0A84" w:rsidP="00D709BC">
            <w:pPr>
              <w:pStyle w:val="TableText0"/>
              <w:keepNext w:val="0"/>
            </w:pPr>
            <w:r w:rsidRPr="00EE5781">
              <w:t>LS mean difference vs placebo (95% CI)</w:t>
            </w:r>
          </w:p>
        </w:tc>
        <w:tc>
          <w:tcPr>
            <w:tcW w:w="1021" w:type="pct"/>
          </w:tcPr>
          <w:p w14:paraId="5B6F23DF" w14:textId="77777777" w:rsidR="007B0A84" w:rsidRPr="00EE5781" w:rsidRDefault="007B0A84" w:rsidP="00D709BC">
            <w:pPr>
              <w:pStyle w:val="TableText0"/>
              <w:keepNext w:val="0"/>
            </w:pPr>
          </w:p>
          <w:p w14:paraId="51C0104E" w14:textId="77777777" w:rsidR="007B0A84" w:rsidRPr="00EE5781" w:rsidRDefault="007B0A84" w:rsidP="00D709BC">
            <w:pPr>
              <w:pStyle w:val="TableText0"/>
              <w:keepNext w:val="0"/>
            </w:pPr>
          </w:p>
          <w:p w14:paraId="503E688F" w14:textId="77777777" w:rsidR="007B0A84" w:rsidRPr="00EE5781" w:rsidRDefault="007B0A84" w:rsidP="00D709BC">
            <w:pPr>
              <w:pStyle w:val="TableText0"/>
              <w:keepNext w:val="0"/>
            </w:pPr>
          </w:p>
          <w:p w14:paraId="3CBEFE37" w14:textId="77777777" w:rsidR="007B0A84" w:rsidRPr="00EE5781" w:rsidRDefault="007B0A84" w:rsidP="00D709BC">
            <w:pPr>
              <w:pStyle w:val="TableText0"/>
              <w:keepNext w:val="0"/>
            </w:pPr>
            <w:r w:rsidRPr="00EE5781">
              <w:t>-0.46 (6.4)</w:t>
            </w:r>
          </w:p>
          <w:p w14:paraId="062B4D6A" w14:textId="77777777" w:rsidR="007B0A84" w:rsidRPr="00EE5781" w:rsidRDefault="007B0A84" w:rsidP="00D709BC">
            <w:pPr>
              <w:pStyle w:val="TableText0"/>
              <w:keepNext w:val="0"/>
            </w:pPr>
            <w:r w:rsidRPr="00EE5781">
              <w:t>-0.99 (1.0)</w:t>
            </w:r>
          </w:p>
          <w:p w14:paraId="46458F49" w14:textId="77777777" w:rsidR="007B0A84" w:rsidRPr="00EE5781" w:rsidRDefault="007B0A84" w:rsidP="00D709BC">
            <w:pPr>
              <w:pStyle w:val="TableText0"/>
              <w:keepNext w:val="0"/>
            </w:pPr>
          </w:p>
          <w:p w14:paraId="43123C22" w14:textId="7596AAB3" w:rsidR="007B0A84" w:rsidRPr="00EE5781" w:rsidRDefault="007B0A84" w:rsidP="00D709BC">
            <w:pPr>
              <w:pStyle w:val="TableText0"/>
              <w:keepNext w:val="0"/>
            </w:pPr>
            <w:r w:rsidRPr="00EE5781">
              <w:t>-0.46 (-3.0, 2.1)</w:t>
            </w:r>
          </w:p>
        </w:tc>
        <w:tc>
          <w:tcPr>
            <w:tcW w:w="699" w:type="pct"/>
          </w:tcPr>
          <w:p w14:paraId="301F844C" w14:textId="77777777" w:rsidR="007B0A84" w:rsidRPr="00EE5781" w:rsidRDefault="007B0A84" w:rsidP="00D709BC">
            <w:pPr>
              <w:pStyle w:val="TableText0"/>
              <w:keepNext w:val="0"/>
            </w:pPr>
          </w:p>
          <w:p w14:paraId="44232768" w14:textId="77777777" w:rsidR="007B0A84" w:rsidRPr="00EE5781" w:rsidRDefault="007B0A84" w:rsidP="00D709BC">
            <w:pPr>
              <w:pStyle w:val="TableText0"/>
              <w:keepNext w:val="0"/>
            </w:pPr>
          </w:p>
          <w:p w14:paraId="13ABABC8" w14:textId="77777777" w:rsidR="007B0A84" w:rsidRPr="00EE5781" w:rsidRDefault="007B0A84" w:rsidP="00D709BC">
            <w:pPr>
              <w:pStyle w:val="TableText0"/>
              <w:keepNext w:val="0"/>
            </w:pPr>
          </w:p>
          <w:p w14:paraId="15560FAE" w14:textId="77777777" w:rsidR="007B0A84" w:rsidRPr="00EE5781" w:rsidRDefault="007B0A84" w:rsidP="00D709BC">
            <w:pPr>
              <w:pStyle w:val="TableText0"/>
              <w:keepNext w:val="0"/>
            </w:pPr>
            <w:r w:rsidRPr="00EE5781">
              <w:t>-0.03 (7.4)</w:t>
            </w:r>
          </w:p>
          <w:p w14:paraId="21A43724" w14:textId="77777777" w:rsidR="007B0A84" w:rsidRPr="00EE5781" w:rsidRDefault="007B0A84" w:rsidP="00D709BC">
            <w:pPr>
              <w:pStyle w:val="TableText0"/>
              <w:keepNext w:val="0"/>
            </w:pPr>
            <w:r w:rsidRPr="00EE5781">
              <w:t>-0.53 (1.0)</w:t>
            </w:r>
          </w:p>
          <w:p w14:paraId="33E42B02" w14:textId="77777777" w:rsidR="007B0A84" w:rsidRPr="00EE5781" w:rsidRDefault="007B0A84" w:rsidP="00D709BC">
            <w:pPr>
              <w:pStyle w:val="TableText0"/>
              <w:keepNext w:val="0"/>
            </w:pPr>
          </w:p>
          <w:p w14:paraId="2D99BC8B" w14:textId="5352B7C7" w:rsidR="007B0A84" w:rsidRPr="00EE5781" w:rsidRDefault="007B0A84" w:rsidP="00D709BC">
            <w:pPr>
              <w:pStyle w:val="TableText0"/>
              <w:keepNext w:val="0"/>
            </w:pPr>
            <w:r w:rsidRPr="00EE5781">
              <w:t xml:space="preserve">- </w:t>
            </w:r>
          </w:p>
        </w:tc>
        <w:tc>
          <w:tcPr>
            <w:tcW w:w="1031" w:type="pct"/>
          </w:tcPr>
          <w:p w14:paraId="7DE2F250" w14:textId="61BBECAE" w:rsidR="007B0A84" w:rsidRPr="00EE5781" w:rsidRDefault="00BE528F" w:rsidP="00D709BC">
            <w:pPr>
              <w:pStyle w:val="TableText0"/>
              <w:keepNext w:val="0"/>
            </w:pPr>
            <w:r w:rsidRPr="00EE5781">
              <w:t>NA</w:t>
            </w:r>
          </w:p>
        </w:tc>
        <w:tc>
          <w:tcPr>
            <w:tcW w:w="757" w:type="pct"/>
          </w:tcPr>
          <w:p w14:paraId="0676F4C1" w14:textId="4E375D3D" w:rsidR="007B0A84" w:rsidRPr="00EE5781" w:rsidRDefault="00BE528F" w:rsidP="00D709BC">
            <w:pPr>
              <w:pStyle w:val="TableText0"/>
              <w:keepNext w:val="0"/>
            </w:pPr>
            <w:r w:rsidRPr="00EE5781">
              <w:t>NA</w:t>
            </w:r>
          </w:p>
        </w:tc>
      </w:tr>
    </w:tbl>
    <w:p w14:paraId="5F2CA4EF" w14:textId="77777777" w:rsidR="00EF72E6" w:rsidRDefault="00A530CE" w:rsidP="00EF72E6">
      <w:pPr>
        <w:pStyle w:val="TableFigureFooter"/>
      </w:pPr>
      <w:r>
        <w:t>Source: Table</w:t>
      </w:r>
      <w:r w:rsidR="007D7004">
        <w:t>s</w:t>
      </w:r>
      <w:r>
        <w:t xml:space="preserve"> </w:t>
      </w:r>
      <w:r w:rsidR="007D7004">
        <w:t xml:space="preserve">31, 33, </w:t>
      </w:r>
      <w:r>
        <w:t>35</w:t>
      </w:r>
      <w:r w:rsidR="007D7004">
        <w:t>, 36</w:t>
      </w:r>
      <w:r w:rsidR="00E01889">
        <w:t>, 41</w:t>
      </w:r>
      <w:r>
        <w:t>, 3098 CSR</w:t>
      </w:r>
      <w:r w:rsidR="006170B9">
        <w:t>; Tables 15, 24, 27, 3002 CSR</w:t>
      </w:r>
      <w:r w:rsidR="00381B2F">
        <w:t>.</w:t>
      </w:r>
      <w:r w:rsidR="00C90673">
        <w:t xml:space="preserve"> Statistically significant results are in </w:t>
      </w:r>
      <w:r w:rsidR="00C90673" w:rsidRPr="00C90673">
        <w:rPr>
          <w:b/>
          <w:bCs/>
        </w:rPr>
        <w:t>bold</w:t>
      </w:r>
      <w:r w:rsidR="00C90673">
        <w:t>.</w:t>
      </w:r>
    </w:p>
    <w:p w14:paraId="66996516" w14:textId="4534C3D0" w:rsidR="00EF72E6" w:rsidRPr="00EF72E6" w:rsidRDefault="00EF72E6" w:rsidP="00EF72E6">
      <w:pPr>
        <w:pStyle w:val="TableFigureFooter"/>
      </w:pPr>
      <w:r w:rsidRPr="00EF72E6">
        <w:rPr>
          <w:vertAlign w:val="superscript"/>
        </w:rPr>
        <w:t xml:space="preserve">1 </w:t>
      </w:r>
      <w:r>
        <w:t>Baseline MAS was 3</w:t>
      </w:r>
      <w:r w:rsidR="00FC1C6E">
        <w:t xml:space="preserve"> </w:t>
      </w:r>
      <w:r>
        <w:t xml:space="preserve">for all subjects. </w:t>
      </w:r>
    </w:p>
    <w:p w14:paraId="07B03BF2" w14:textId="0BA89BA9" w:rsidR="00D312F3" w:rsidRPr="00D312F3" w:rsidRDefault="00EF72E6" w:rsidP="00D312F3">
      <w:pPr>
        <w:pStyle w:val="TableFigureFooter"/>
      </w:pPr>
      <w:r>
        <w:rPr>
          <w:vertAlign w:val="superscript"/>
        </w:rPr>
        <w:t>2</w:t>
      </w:r>
      <w:r w:rsidR="00D312F3" w:rsidRPr="00D312F3">
        <w:rPr>
          <w:vertAlign w:val="superscript"/>
        </w:rPr>
        <w:t xml:space="preserve"> </w:t>
      </w:r>
      <w:r w:rsidR="00D312F3">
        <w:t>Note that this difference favours placebo.</w:t>
      </w:r>
    </w:p>
    <w:p w14:paraId="4D7C94F3" w14:textId="6459D62E" w:rsidR="006170B9" w:rsidRPr="006170B9" w:rsidRDefault="00A11C59" w:rsidP="006170B9">
      <w:pPr>
        <w:pStyle w:val="TableFigureFooter"/>
      </w:pPr>
      <w:r>
        <w:t>AS = Ashworth Score; AUC = area under the curve; CFB = change from baseline; CGI = clinical global impression</w:t>
      </w:r>
      <w:r w:rsidR="003956A1">
        <w:t xml:space="preserve"> (range -5 = worst possible to 5 = best possible)</w:t>
      </w:r>
      <w:r>
        <w:t xml:space="preserve">; CI = confidence interval; GAE = global assessment of efficacy; </w:t>
      </w:r>
      <w:r w:rsidR="006170B9">
        <w:t>L</w:t>
      </w:r>
      <w:r>
        <w:t>S</w:t>
      </w:r>
      <w:r w:rsidR="006170B9">
        <w:t xml:space="preserve"> = le</w:t>
      </w:r>
      <w:r w:rsidR="003956A1">
        <w:t>a</w:t>
      </w:r>
      <w:r w:rsidR="006170B9">
        <w:t xml:space="preserve">st squares; </w:t>
      </w:r>
      <w:r>
        <w:t>MAS = modified Ashworth score; NA = not applicable; NR = not reported; PRS = physician's rating scale</w:t>
      </w:r>
      <w:r w:rsidR="00381B2F">
        <w:t xml:space="preserve"> for gait (range -1 to 9, higher scores better)</w:t>
      </w:r>
      <w:r>
        <w:t>; SD = standard deviation; SE = standard error.</w:t>
      </w:r>
    </w:p>
    <w:p w14:paraId="1C67A987" w14:textId="6EE14B15" w:rsidR="0004563F" w:rsidRPr="00027E8C" w:rsidRDefault="00094797" w:rsidP="00027E8C">
      <w:pPr>
        <w:pStyle w:val="Caption"/>
        <w:jc w:val="left"/>
        <w:rPr>
          <w:b w:val="0"/>
          <w:bCs w:val="0"/>
        </w:rPr>
      </w:pPr>
      <w:bookmarkStart w:id="28" w:name="_Ref216083767"/>
      <w:r w:rsidRPr="00027E8C">
        <w:rPr>
          <w:rStyle w:val="TableFigureHeadingChar"/>
          <w:b/>
          <w:bCs/>
        </w:rPr>
        <w:t>F</w:t>
      </w:r>
      <w:r w:rsidRPr="00027E8C">
        <w:rPr>
          <w:rStyle w:val="TableHeadingChar"/>
          <w:b/>
          <w:bCs/>
        </w:rPr>
        <w:t xml:space="preserve">igure </w:t>
      </w:r>
      <w:r w:rsidRPr="00027E8C">
        <w:rPr>
          <w:rStyle w:val="TableHeadingChar"/>
          <w:b/>
          <w:bCs/>
        </w:rPr>
        <w:fldChar w:fldCharType="begin"/>
      </w:r>
      <w:r w:rsidRPr="00027E8C">
        <w:rPr>
          <w:rStyle w:val="TableHeadingChar"/>
          <w:b/>
          <w:bCs/>
        </w:rPr>
        <w:instrText xml:space="preserve"> SEQ Figure \* ARABIC </w:instrText>
      </w:r>
      <w:r w:rsidRPr="00027E8C">
        <w:rPr>
          <w:rStyle w:val="TableHeadingChar"/>
          <w:b/>
          <w:bCs/>
        </w:rPr>
        <w:fldChar w:fldCharType="separate"/>
      </w:r>
      <w:r w:rsidR="00761491">
        <w:rPr>
          <w:rStyle w:val="TableHeadingChar"/>
          <w:b/>
          <w:bCs/>
          <w:noProof/>
        </w:rPr>
        <w:t>1</w:t>
      </w:r>
      <w:r w:rsidRPr="00027E8C">
        <w:rPr>
          <w:rStyle w:val="TableHeadingChar"/>
          <w:b/>
          <w:bCs/>
        </w:rPr>
        <w:fldChar w:fldCharType="end"/>
      </w:r>
      <w:bookmarkEnd w:id="28"/>
      <w:r w:rsidR="0004563F" w:rsidRPr="00027E8C">
        <w:rPr>
          <w:rStyle w:val="TableHeadingChar"/>
          <w:b/>
          <w:bCs/>
        </w:rPr>
        <w:t>: Change in MAS over time in Study 3098</w:t>
      </w:r>
      <w:r w:rsidR="00A530CE" w:rsidRPr="00027E8C">
        <w:rPr>
          <w:b w:val="0"/>
          <w:bCs w:val="0"/>
          <w:noProof/>
        </w:rPr>
        <w:drawing>
          <wp:inline distT="0" distB="0" distL="0" distR="0" wp14:anchorId="01AED950" wp14:editId="5FE30286">
            <wp:extent cx="2368392" cy="5737225"/>
            <wp:effectExtent l="0" t="8255" r="5080" b="5080"/>
            <wp:docPr id="1538370698" name="Picture 1" descr="Figure 1: Change in MAS over time in Study 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70698" name="Picture 1" descr="Figure 1: Change in MAS over time in Study 3098"/>
                    <pic:cNvPicPr/>
                  </pic:nvPicPr>
                  <pic:blipFill>
                    <a:blip r:embed="rId11"/>
                    <a:stretch>
                      <a:fillRect/>
                    </a:stretch>
                  </pic:blipFill>
                  <pic:spPr>
                    <a:xfrm rot="16200000">
                      <a:off x="0" y="0"/>
                      <a:ext cx="2372497" cy="5747169"/>
                    </a:xfrm>
                    <a:prstGeom prst="rect">
                      <a:avLst/>
                    </a:prstGeom>
                  </pic:spPr>
                </pic:pic>
              </a:graphicData>
            </a:graphic>
          </wp:inline>
        </w:drawing>
      </w:r>
    </w:p>
    <w:p w14:paraId="62F8D048" w14:textId="5C2D7E13" w:rsidR="00A530CE" w:rsidRDefault="00A530CE" w:rsidP="00A530CE">
      <w:pPr>
        <w:pStyle w:val="TableFigureFooter"/>
      </w:pPr>
      <w:r>
        <w:t xml:space="preserve">Source: 3098 CSR, Figure 4, p144/281. </w:t>
      </w:r>
    </w:p>
    <w:p w14:paraId="7A0BD757" w14:textId="3E1E8E42" w:rsidR="0068113D" w:rsidRPr="00336369" w:rsidRDefault="00A2350C" w:rsidP="00EC5836">
      <w:pPr>
        <w:pStyle w:val="3-BodyText"/>
        <w:rPr>
          <w:color w:val="000000" w:themeColor="text1"/>
        </w:rPr>
      </w:pPr>
      <w:r w:rsidRPr="00336369">
        <w:rPr>
          <w:color w:val="000000" w:themeColor="text1"/>
        </w:rPr>
        <w:t xml:space="preserve">The </w:t>
      </w:r>
      <w:r w:rsidR="00E63530" w:rsidRPr="00336369">
        <w:rPr>
          <w:color w:val="000000" w:themeColor="text1"/>
        </w:rPr>
        <w:t xml:space="preserve">PBAC has previously accepted that a one-point improvement in MAS associated with functional improvement would be a reasonable minimum clinically important difference. </w:t>
      </w:r>
    </w:p>
    <w:p w14:paraId="5A8B126B" w14:textId="77777777" w:rsidR="00D312F3" w:rsidRPr="00336369" w:rsidRDefault="0068113D" w:rsidP="00EC5836">
      <w:pPr>
        <w:pStyle w:val="3-BodyText"/>
        <w:rPr>
          <w:color w:val="000000" w:themeColor="text1"/>
        </w:rPr>
      </w:pPr>
      <w:r w:rsidRPr="00336369">
        <w:rPr>
          <w:color w:val="000000" w:themeColor="text1"/>
        </w:rPr>
        <w:lastRenderedPageBreak/>
        <w:t xml:space="preserve">There was a consistent but modest difference between Xeomin and placebo in the proportions of patients </w:t>
      </w:r>
      <w:r w:rsidR="00A66951" w:rsidRPr="00336369">
        <w:rPr>
          <w:color w:val="000000" w:themeColor="text1"/>
        </w:rPr>
        <w:t xml:space="preserve">in 3098 </w:t>
      </w:r>
      <w:r w:rsidRPr="00336369">
        <w:rPr>
          <w:color w:val="000000" w:themeColor="text1"/>
        </w:rPr>
        <w:t>achieving a 1-point or 2-point change in MAS</w:t>
      </w:r>
      <w:r w:rsidR="00A66951" w:rsidRPr="00336369">
        <w:rPr>
          <w:color w:val="000000" w:themeColor="text1"/>
        </w:rPr>
        <w:t xml:space="preserve">. This difference was statistically significant at weeks 4, 6 and 8, but not at weeks 1 and 12. </w:t>
      </w:r>
    </w:p>
    <w:p w14:paraId="56AE83E0" w14:textId="29BF6852" w:rsidR="003956A1" w:rsidRPr="00336369" w:rsidRDefault="00A66951" w:rsidP="00EC5836">
      <w:pPr>
        <w:pStyle w:val="3-BodyText"/>
        <w:rPr>
          <w:color w:val="000000" w:themeColor="text1"/>
        </w:rPr>
      </w:pPr>
      <w:r w:rsidRPr="00336369">
        <w:rPr>
          <w:color w:val="000000" w:themeColor="text1"/>
        </w:rPr>
        <w:t>I</w:t>
      </w:r>
      <w:r w:rsidR="0068113D" w:rsidRPr="00336369">
        <w:rPr>
          <w:color w:val="000000" w:themeColor="text1"/>
        </w:rPr>
        <w:t>n 3002 there was no difference</w:t>
      </w:r>
      <w:r w:rsidRPr="00336369">
        <w:rPr>
          <w:color w:val="000000" w:themeColor="text1"/>
        </w:rPr>
        <w:t xml:space="preserve"> between Xeomin and placebo</w:t>
      </w:r>
      <w:r w:rsidR="00D312F3" w:rsidRPr="00336369">
        <w:rPr>
          <w:color w:val="000000" w:themeColor="text1"/>
        </w:rPr>
        <w:t xml:space="preserve"> in the proportion of 1-point or 2-point falls in AS</w:t>
      </w:r>
      <w:r w:rsidR="0068113D" w:rsidRPr="00336369">
        <w:rPr>
          <w:color w:val="000000" w:themeColor="text1"/>
        </w:rPr>
        <w:t xml:space="preserve">. </w:t>
      </w:r>
      <w:r w:rsidR="003956A1" w:rsidRPr="00336369">
        <w:rPr>
          <w:color w:val="000000" w:themeColor="text1"/>
        </w:rPr>
        <w:t>In 3002 t</w:t>
      </w:r>
      <w:r w:rsidR="00D312F3" w:rsidRPr="00336369">
        <w:rPr>
          <w:color w:val="000000" w:themeColor="text1"/>
        </w:rPr>
        <w:t>h</w:t>
      </w:r>
      <w:r w:rsidR="003956A1" w:rsidRPr="00336369">
        <w:rPr>
          <w:color w:val="000000" w:themeColor="text1"/>
        </w:rPr>
        <w:t>e placebo response was similar or slightly less than in 3098, but the</w:t>
      </w:r>
      <w:r w:rsidR="00D312F3" w:rsidRPr="00336369">
        <w:rPr>
          <w:color w:val="000000" w:themeColor="text1"/>
        </w:rPr>
        <w:t xml:space="preserve"> rate of success in the Xeomin-treated group </w:t>
      </w:r>
      <w:r w:rsidR="003956A1" w:rsidRPr="00336369">
        <w:rPr>
          <w:color w:val="000000" w:themeColor="text1"/>
        </w:rPr>
        <w:t>was less than in</w:t>
      </w:r>
      <w:r w:rsidR="00D312F3" w:rsidRPr="00336369">
        <w:rPr>
          <w:color w:val="000000" w:themeColor="text1"/>
        </w:rPr>
        <w:t xml:space="preserve"> 3098. </w:t>
      </w:r>
    </w:p>
    <w:p w14:paraId="59DB52B8" w14:textId="380600EB" w:rsidR="00E63530" w:rsidRPr="00336369" w:rsidRDefault="0068113D" w:rsidP="00EC5836">
      <w:pPr>
        <w:pStyle w:val="3-BodyText"/>
        <w:rPr>
          <w:color w:val="000000" w:themeColor="text1"/>
        </w:rPr>
      </w:pPr>
      <w:r w:rsidRPr="00336369">
        <w:rPr>
          <w:color w:val="000000" w:themeColor="text1"/>
        </w:rPr>
        <w:t xml:space="preserve">In neither </w:t>
      </w:r>
      <w:r w:rsidR="003956A1" w:rsidRPr="00336369">
        <w:rPr>
          <w:color w:val="000000" w:themeColor="text1"/>
        </w:rPr>
        <w:t>3002 nor 3098</w:t>
      </w:r>
      <w:r w:rsidRPr="00336369">
        <w:rPr>
          <w:color w:val="000000" w:themeColor="text1"/>
        </w:rPr>
        <w:t xml:space="preserve"> was there any effect </w:t>
      </w:r>
      <w:r w:rsidR="00D312F3" w:rsidRPr="00336369">
        <w:rPr>
          <w:color w:val="000000" w:themeColor="text1"/>
        </w:rPr>
        <w:t xml:space="preserve">of Xeomin </w:t>
      </w:r>
      <w:r w:rsidRPr="00336369">
        <w:rPr>
          <w:color w:val="000000" w:themeColor="text1"/>
        </w:rPr>
        <w:t>on any functional outcome</w:t>
      </w:r>
      <w:r w:rsidR="005B3750" w:rsidRPr="00336369">
        <w:rPr>
          <w:color w:val="000000" w:themeColor="text1"/>
        </w:rPr>
        <w:t xml:space="preserve">, so the effect of Xeomin versus placebo was </w:t>
      </w:r>
      <w:r w:rsidR="00FC1C6E" w:rsidRPr="00336369">
        <w:rPr>
          <w:color w:val="000000" w:themeColor="text1"/>
        </w:rPr>
        <w:t xml:space="preserve">less than </w:t>
      </w:r>
      <w:r w:rsidR="005B3750" w:rsidRPr="00336369">
        <w:rPr>
          <w:color w:val="000000" w:themeColor="text1"/>
        </w:rPr>
        <w:t xml:space="preserve">the minimum clinically important difference in both trials. </w:t>
      </w:r>
    </w:p>
    <w:p w14:paraId="68CAEBA3" w14:textId="03967741" w:rsidR="00860DAF" w:rsidRPr="00336369" w:rsidRDefault="00860DAF" w:rsidP="00EC5836">
      <w:pPr>
        <w:pStyle w:val="3-BodyText"/>
        <w:rPr>
          <w:color w:val="000000" w:themeColor="text1"/>
        </w:rPr>
      </w:pPr>
      <w:r w:rsidRPr="00336369">
        <w:rPr>
          <w:color w:val="000000" w:themeColor="text1"/>
        </w:rPr>
        <w:t xml:space="preserve">In the trial considered by PBAC in July 2025 in relation to the use of Xeomin for equinus deformity due to </w:t>
      </w:r>
      <w:r w:rsidR="00F94ABA" w:rsidRPr="00336369">
        <w:rPr>
          <w:color w:val="000000" w:themeColor="text1"/>
        </w:rPr>
        <w:t>cerebral palsy, the least squares mean change from baseline in Ashworth Scale scores at 8 weeks w</w:t>
      </w:r>
      <w:r w:rsidR="007A439F" w:rsidRPr="00336369">
        <w:rPr>
          <w:color w:val="000000" w:themeColor="text1"/>
        </w:rPr>
        <w:t>as</w:t>
      </w:r>
      <w:r w:rsidR="00F94ABA" w:rsidRPr="00336369">
        <w:rPr>
          <w:color w:val="000000" w:themeColor="text1"/>
        </w:rPr>
        <w:t xml:space="preserve"> </w:t>
      </w:r>
      <w:r w:rsidR="007A439F" w:rsidRPr="00336369">
        <w:rPr>
          <w:color w:val="000000" w:themeColor="text1"/>
        </w:rPr>
        <w:t xml:space="preserve">about -0.7, </w:t>
      </w:r>
      <w:r w:rsidR="00F94ABA" w:rsidRPr="00336369">
        <w:rPr>
          <w:color w:val="000000" w:themeColor="text1"/>
        </w:rPr>
        <w:t>similar to th</w:t>
      </w:r>
      <w:r w:rsidR="007A439F" w:rsidRPr="00336369">
        <w:rPr>
          <w:color w:val="000000" w:themeColor="text1"/>
        </w:rPr>
        <w:t>at</w:t>
      </w:r>
      <w:r w:rsidR="00F94ABA" w:rsidRPr="00336369">
        <w:rPr>
          <w:color w:val="000000" w:themeColor="text1"/>
        </w:rPr>
        <w:t xml:space="preserve"> reported in the</w:t>
      </w:r>
      <w:r w:rsidR="007A439F" w:rsidRPr="00336369">
        <w:rPr>
          <w:color w:val="000000" w:themeColor="text1"/>
        </w:rPr>
        <w:t xml:space="preserve"> trials included in the</w:t>
      </w:r>
      <w:r w:rsidR="00F94ABA" w:rsidRPr="00336369">
        <w:rPr>
          <w:color w:val="000000" w:themeColor="text1"/>
        </w:rPr>
        <w:t xml:space="preserve"> present submission (Table 7, Paragraph 6.20, Xeomin PSD, July 2025 PBAC Meeting). </w:t>
      </w:r>
      <w:r w:rsidR="007A439F" w:rsidRPr="00336369">
        <w:rPr>
          <w:color w:val="000000" w:themeColor="text1"/>
        </w:rPr>
        <w:t xml:space="preserve">However, there was no placebo-treated group in that trial. </w:t>
      </w:r>
    </w:p>
    <w:p w14:paraId="2B64B394" w14:textId="7B177E45" w:rsidR="00273B43" w:rsidRPr="00336369" w:rsidRDefault="00F90065" w:rsidP="00A52694">
      <w:pPr>
        <w:pStyle w:val="3-BodyText"/>
        <w:rPr>
          <w:color w:val="000000" w:themeColor="text1"/>
        </w:rPr>
      </w:pPr>
      <w:r w:rsidRPr="00336369">
        <w:rPr>
          <w:color w:val="000000" w:themeColor="text1"/>
        </w:rPr>
        <w:t xml:space="preserve">In 3098 two subjects negative for neutralising antibodies at baseline were positive at the end-of-study visit . </w:t>
      </w:r>
      <w:r w:rsidR="00A52694" w:rsidRPr="00336369">
        <w:rPr>
          <w:color w:val="000000" w:themeColor="text1"/>
        </w:rPr>
        <w:t>I</w:t>
      </w:r>
      <w:r w:rsidR="002F7BFB" w:rsidRPr="00336369">
        <w:rPr>
          <w:color w:val="000000" w:themeColor="text1"/>
        </w:rPr>
        <w:t>n 3002</w:t>
      </w:r>
      <w:r w:rsidR="00A52694" w:rsidRPr="00336369">
        <w:rPr>
          <w:color w:val="000000" w:themeColor="text1"/>
        </w:rPr>
        <w:t xml:space="preserve"> 8/114 (7.0%) </w:t>
      </w:r>
      <w:r w:rsidR="002F7BFB" w:rsidRPr="00336369">
        <w:rPr>
          <w:color w:val="000000" w:themeColor="text1"/>
        </w:rPr>
        <w:t>patients who had no previous treatment with botulinum toxin</w:t>
      </w:r>
      <w:r w:rsidR="00A52694" w:rsidRPr="00336369">
        <w:rPr>
          <w:color w:val="000000" w:themeColor="text1"/>
        </w:rPr>
        <w:t xml:space="preserve"> developed neutralising antibodies to botulinum toxin during treatment with Xeomin</w:t>
      </w:r>
      <w:r w:rsidR="002F7BFB" w:rsidRPr="00336369">
        <w:rPr>
          <w:color w:val="000000" w:themeColor="text1"/>
        </w:rPr>
        <w:t xml:space="preserve">. </w:t>
      </w:r>
      <w:r w:rsidR="00A52694" w:rsidRPr="00336369">
        <w:rPr>
          <w:color w:val="000000" w:themeColor="text1"/>
        </w:rPr>
        <w:t>There was no evidence of reduced effect of Xeomin in these patients . Th</w:t>
      </w:r>
      <w:r w:rsidRPr="00336369">
        <w:rPr>
          <w:color w:val="000000" w:themeColor="text1"/>
        </w:rPr>
        <w:t>e</w:t>
      </w:r>
      <w:r w:rsidR="00A52694" w:rsidRPr="00336369">
        <w:rPr>
          <w:color w:val="000000" w:themeColor="text1"/>
        </w:rPr>
        <w:t xml:space="preserve"> incidence of</w:t>
      </w:r>
      <w:r w:rsidR="00A52694">
        <w:rPr>
          <w:color w:val="000000" w:themeColor="text1"/>
        </w:rPr>
        <w:t xml:space="preserve"> </w:t>
      </w:r>
      <w:r w:rsidR="00A52694" w:rsidRPr="00336369">
        <w:rPr>
          <w:color w:val="000000" w:themeColor="text1"/>
        </w:rPr>
        <w:t xml:space="preserve">neutralising antibodies </w:t>
      </w:r>
      <w:r w:rsidRPr="00336369">
        <w:rPr>
          <w:color w:val="000000" w:themeColor="text1"/>
        </w:rPr>
        <w:t xml:space="preserve">in 3002 </w:t>
      </w:r>
      <w:r w:rsidR="00A52694" w:rsidRPr="00336369">
        <w:rPr>
          <w:color w:val="000000" w:themeColor="text1"/>
        </w:rPr>
        <w:t xml:space="preserve">was higher than the pooled frequency of 1.8% reported </w:t>
      </w:r>
      <w:r w:rsidR="00D97356" w:rsidRPr="00336369">
        <w:rPr>
          <w:color w:val="000000" w:themeColor="text1"/>
        </w:rPr>
        <w:t xml:space="preserve">from studies of all botulinum toxin preparations </w:t>
      </w:r>
      <w:r w:rsidR="00A52694" w:rsidRPr="00336369">
        <w:rPr>
          <w:color w:val="000000" w:themeColor="text1"/>
        </w:rPr>
        <w:t>in a recent systematic review</w:t>
      </w:r>
      <w:r w:rsidR="00D97356" w:rsidRPr="00336369">
        <w:rPr>
          <w:color w:val="000000" w:themeColor="text1"/>
        </w:rPr>
        <w:t>,</w:t>
      </w:r>
      <w:r w:rsidR="00A52694" w:rsidRPr="00336369">
        <w:rPr>
          <w:rStyle w:val="FootnoteReference"/>
          <w:color w:val="000000" w:themeColor="text1"/>
        </w:rPr>
        <w:footnoteReference w:id="5"/>
      </w:r>
      <w:r w:rsidR="00D97356" w:rsidRPr="00336369">
        <w:rPr>
          <w:color w:val="000000" w:themeColor="text1"/>
        </w:rPr>
        <w:t xml:space="preserve"> an</w:t>
      </w:r>
      <w:r w:rsidR="00273B43" w:rsidRPr="00336369">
        <w:rPr>
          <w:color w:val="000000" w:themeColor="text1"/>
        </w:rPr>
        <w:t xml:space="preserve">d </w:t>
      </w:r>
      <w:r w:rsidR="00C00B82" w:rsidRPr="00336369">
        <w:rPr>
          <w:color w:val="000000" w:themeColor="text1"/>
        </w:rPr>
        <w:t xml:space="preserve">apparently </w:t>
      </w:r>
      <w:r w:rsidR="00D97356" w:rsidRPr="00336369">
        <w:rPr>
          <w:color w:val="000000" w:themeColor="text1"/>
        </w:rPr>
        <w:t xml:space="preserve">at variance with the </w:t>
      </w:r>
      <w:r w:rsidR="00273B43" w:rsidRPr="00336369">
        <w:rPr>
          <w:color w:val="000000" w:themeColor="text1"/>
        </w:rPr>
        <w:t>statement in the submission, based on</w:t>
      </w:r>
      <w:r w:rsidR="00D97356" w:rsidRPr="00336369">
        <w:rPr>
          <w:color w:val="000000" w:themeColor="text1"/>
        </w:rPr>
        <w:t xml:space="preserve"> </w:t>
      </w:r>
      <w:r w:rsidR="00273B43" w:rsidRPr="00336369">
        <w:rPr>
          <w:color w:val="000000" w:themeColor="text1"/>
        </w:rPr>
        <w:t>a systematic review funded by the sponsor (Walter, 2025) that there were no reports of neutralising antibodies in treatment-naive patients treated with Xeomin for spasticity</w:t>
      </w:r>
      <w:r w:rsidRPr="00336369">
        <w:rPr>
          <w:color w:val="000000" w:themeColor="text1"/>
        </w:rPr>
        <w:t xml:space="preserve"> </w:t>
      </w:r>
      <w:r w:rsidR="00273B43" w:rsidRPr="00336369">
        <w:rPr>
          <w:color w:val="000000" w:themeColor="text1"/>
        </w:rPr>
        <w:t xml:space="preserve">. </w:t>
      </w:r>
    </w:p>
    <w:p w14:paraId="496D0118" w14:textId="7FB059E8" w:rsidR="002F7BFB" w:rsidRPr="00336369" w:rsidRDefault="0003454D">
      <w:pPr>
        <w:pStyle w:val="3-BodyText"/>
        <w:rPr>
          <w:color w:val="000000" w:themeColor="text1"/>
        </w:rPr>
      </w:pPr>
      <w:r w:rsidRPr="00336369">
        <w:rPr>
          <w:color w:val="000000" w:themeColor="text1"/>
        </w:rPr>
        <w:t>The frequency of</w:t>
      </w:r>
      <w:r w:rsidR="00D97356" w:rsidRPr="00336369">
        <w:rPr>
          <w:color w:val="000000" w:themeColor="text1"/>
        </w:rPr>
        <w:t xml:space="preserve"> treatment failure caused by neutralising antibodies is difficult to estimate</w:t>
      </w:r>
      <w:r w:rsidRPr="00336369">
        <w:rPr>
          <w:color w:val="000000" w:themeColor="text1"/>
        </w:rPr>
        <w:t xml:space="preserve"> </w:t>
      </w:r>
      <w:r w:rsidR="00273B43" w:rsidRPr="00336369">
        <w:rPr>
          <w:color w:val="000000" w:themeColor="text1"/>
        </w:rPr>
        <w:t>because there is no agreed definition of treatment failure</w:t>
      </w:r>
      <w:r w:rsidR="001B3E1A" w:rsidRPr="00336369">
        <w:rPr>
          <w:color w:val="000000" w:themeColor="text1"/>
        </w:rPr>
        <w:t>,</w:t>
      </w:r>
      <w:r w:rsidRPr="00336369">
        <w:rPr>
          <w:color w:val="000000" w:themeColor="text1"/>
        </w:rPr>
        <w:t xml:space="preserve"> </w:t>
      </w:r>
      <w:r w:rsidR="00273B43" w:rsidRPr="00336369">
        <w:rPr>
          <w:color w:val="000000" w:themeColor="text1"/>
        </w:rPr>
        <w:t>but it appears to be rare.</w:t>
      </w:r>
    </w:p>
    <w:p w14:paraId="62D78B92" w14:textId="3DAB13BE" w:rsidR="00381B2F" w:rsidRDefault="00027E8C" w:rsidP="00027E8C">
      <w:pPr>
        <w:pStyle w:val="Caption"/>
      </w:pPr>
      <w:bookmarkStart w:id="29" w:name="_Ref216083859"/>
      <w:r>
        <w:lastRenderedPageBreak/>
        <w:t xml:space="preserve">Table </w:t>
      </w:r>
      <w:fldSimple w:instr=" SEQ Table \* ARABIC ">
        <w:r w:rsidR="00761491">
          <w:rPr>
            <w:noProof/>
          </w:rPr>
          <w:t>5</w:t>
        </w:r>
      </w:fldSimple>
      <w:bookmarkEnd w:id="29"/>
      <w:r>
        <w:t xml:space="preserve">: </w:t>
      </w:r>
      <w:r w:rsidR="00381B2F" w:rsidRPr="00381B2F">
        <w:t>Efficacy outcomes in the Botox</w:t>
      </w:r>
      <w:r w:rsidR="00BB16F5">
        <w:t xml:space="preserve"> </w:t>
      </w:r>
      <w:r w:rsidR="00381B2F" w:rsidRPr="00381B2F">
        <w:t>trials</w:t>
      </w:r>
    </w:p>
    <w:tbl>
      <w:tblPr>
        <w:tblStyle w:val="TableGrid"/>
        <w:tblW w:w="5000" w:type="pct"/>
        <w:tblLook w:val="04A0" w:firstRow="1" w:lastRow="0" w:firstColumn="1" w:lastColumn="0" w:noHBand="0" w:noVBand="1"/>
        <w:tblCaption w:val="Table 5: Efficacy outcomes in the Botox trials"/>
      </w:tblPr>
      <w:tblGrid>
        <w:gridCol w:w="2160"/>
        <w:gridCol w:w="1618"/>
        <w:gridCol w:w="1455"/>
        <w:gridCol w:w="1746"/>
        <w:gridCol w:w="2038"/>
      </w:tblGrid>
      <w:tr w:rsidR="00CA7B3F" w:rsidRPr="00EE5781" w14:paraId="7B695BA0" w14:textId="7A49539B" w:rsidTr="00EE5781">
        <w:tc>
          <w:tcPr>
            <w:tcW w:w="1198" w:type="pct"/>
          </w:tcPr>
          <w:p w14:paraId="2FDD8211" w14:textId="77777777" w:rsidR="00CA7B3F" w:rsidRPr="00EE5781" w:rsidRDefault="00CA7B3F" w:rsidP="003E4C55">
            <w:pPr>
              <w:pStyle w:val="TableText0"/>
            </w:pPr>
          </w:p>
        </w:tc>
        <w:tc>
          <w:tcPr>
            <w:tcW w:w="1704" w:type="pct"/>
            <w:gridSpan w:val="2"/>
          </w:tcPr>
          <w:p w14:paraId="502AFF1D" w14:textId="3A245DBD" w:rsidR="00CA7B3F" w:rsidRPr="00EE5781" w:rsidRDefault="00CA7B3F" w:rsidP="003E4C55">
            <w:pPr>
              <w:pStyle w:val="TableText0"/>
            </w:pPr>
            <w:r w:rsidRPr="00EE5781">
              <w:t>REFLEX</w:t>
            </w:r>
          </w:p>
        </w:tc>
        <w:tc>
          <w:tcPr>
            <w:tcW w:w="2098" w:type="pct"/>
            <w:gridSpan w:val="2"/>
          </w:tcPr>
          <w:p w14:paraId="6FC88A2A" w14:textId="2214A921" w:rsidR="00CA7B3F" w:rsidRPr="00EE5781" w:rsidRDefault="00CA7B3F" w:rsidP="003E4C55">
            <w:pPr>
              <w:pStyle w:val="TableText0"/>
            </w:pPr>
            <w:r w:rsidRPr="00EE5781">
              <w:t>512</w:t>
            </w:r>
          </w:p>
        </w:tc>
      </w:tr>
      <w:tr w:rsidR="00CA7B3F" w:rsidRPr="00EE5781" w14:paraId="2A190E49" w14:textId="680CCF5F" w:rsidTr="00EE5781">
        <w:tc>
          <w:tcPr>
            <w:tcW w:w="1198" w:type="pct"/>
          </w:tcPr>
          <w:p w14:paraId="13ECF866" w14:textId="77777777" w:rsidR="00CA7B3F" w:rsidRPr="00EE5781" w:rsidRDefault="00CA7B3F" w:rsidP="003E4C55">
            <w:pPr>
              <w:pStyle w:val="TableText0"/>
            </w:pPr>
          </w:p>
        </w:tc>
        <w:tc>
          <w:tcPr>
            <w:tcW w:w="897" w:type="pct"/>
          </w:tcPr>
          <w:p w14:paraId="5FD89CB8" w14:textId="77777777" w:rsidR="00CA7B3F" w:rsidRPr="00EE5781" w:rsidRDefault="00CA7B3F" w:rsidP="003E4C55">
            <w:pPr>
              <w:pStyle w:val="TableText0"/>
            </w:pPr>
            <w:r w:rsidRPr="00EE5781">
              <w:t>Botox</w:t>
            </w:r>
          </w:p>
          <w:p w14:paraId="05020A7E" w14:textId="071D4BA9" w:rsidR="00E143E9" w:rsidRPr="00EE5781" w:rsidRDefault="00E143E9" w:rsidP="003E4C55">
            <w:pPr>
              <w:pStyle w:val="TableText0"/>
            </w:pPr>
            <w:r w:rsidRPr="00EE5781">
              <w:t>N = 233</w:t>
            </w:r>
          </w:p>
        </w:tc>
        <w:tc>
          <w:tcPr>
            <w:tcW w:w="807" w:type="pct"/>
          </w:tcPr>
          <w:p w14:paraId="5161CB4C" w14:textId="3EED6AE1" w:rsidR="00CA7B3F" w:rsidRPr="00EE5781" w:rsidRDefault="00CA7B3F" w:rsidP="003E4C55">
            <w:pPr>
              <w:pStyle w:val="TableText0"/>
            </w:pPr>
            <w:r w:rsidRPr="00EE5781">
              <w:t>Placeb</w:t>
            </w:r>
            <w:r w:rsidR="00474165" w:rsidRPr="00EE5781">
              <w:t>o</w:t>
            </w:r>
          </w:p>
          <w:p w14:paraId="3A594869" w14:textId="69815B9D" w:rsidR="00E143E9" w:rsidRPr="00EE5781" w:rsidRDefault="00E143E9" w:rsidP="003E4C55">
            <w:pPr>
              <w:pStyle w:val="TableText0"/>
            </w:pPr>
            <w:r w:rsidRPr="00EE5781">
              <w:t>N = 235</w:t>
            </w:r>
          </w:p>
        </w:tc>
        <w:tc>
          <w:tcPr>
            <w:tcW w:w="968" w:type="pct"/>
          </w:tcPr>
          <w:p w14:paraId="458592E6" w14:textId="73C49E0A" w:rsidR="00CA7B3F" w:rsidRPr="00EE5781" w:rsidRDefault="00CA7B3F" w:rsidP="003E4C55">
            <w:pPr>
              <w:pStyle w:val="TableText0"/>
            </w:pPr>
            <w:r w:rsidRPr="00EE5781">
              <w:t>Botox</w:t>
            </w:r>
          </w:p>
          <w:p w14:paraId="0E3BA64F" w14:textId="6AB5DDC5" w:rsidR="00CA7B3F" w:rsidRPr="00EE5781" w:rsidRDefault="00CA7B3F" w:rsidP="003E4C55">
            <w:pPr>
              <w:pStyle w:val="TableText0"/>
            </w:pPr>
            <w:r w:rsidRPr="00EE5781">
              <w:t>N = 58</w:t>
            </w:r>
          </w:p>
        </w:tc>
        <w:tc>
          <w:tcPr>
            <w:tcW w:w="1130" w:type="pct"/>
          </w:tcPr>
          <w:p w14:paraId="3590F84E" w14:textId="77777777" w:rsidR="00CA7B3F" w:rsidRPr="00EE5781" w:rsidRDefault="00CA7B3F" w:rsidP="003E4C55">
            <w:pPr>
              <w:pStyle w:val="TableText0"/>
            </w:pPr>
            <w:r w:rsidRPr="00EE5781">
              <w:t>Placebo</w:t>
            </w:r>
          </w:p>
          <w:p w14:paraId="2167E716" w14:textId="63ABDF0B" w:rsidR="00CA7B3F" w:rsidRPr="00EE5781" w:rsidRDefault="00CA7B3F" w:rsidP="003E4C55">
            <w:pPr>
              <w:pStyle w:val="TableText0"/>
            </w:pPr>
            <w:r w:rsidRPr="00EE5781">
              <w:t>N = 62</w:t>
            </w:r>
          </w:p>
        </w:tc>
      </w:tr>
      <w:tr w:rsidR="00CA7B3F" w:rsidRPr="00EE5781" w14:paraId="47DA37CB" w14:textId="168EB463" w:rsidTr="00EE5781">
        <w:tc>
          <w:tcPr>
            <w:tcW w:w="1198" w:type="pct"/>
          </w:tcPr>
          <w:p w14:paraId="37748F83" w14:textId="16703ED6" w:rsidR="00CA7B3F" w:rsidRPr="00EE5781" w:rsidRDefault="00CA7B3F" w:rsidP="003E4C55">
            <w:pPr>
              <w:pStyle w:val="TableText0"/>
            </w:pPr>
            <w:r w:rsidRPr="00EE5781">
              <w:t xml:space="preserve">AUC of CFB MAS, weeks.points, </w:t>
            </w:r>
          </w:p>
          <w:p w14:paraId="0DB27194" w14:textId="77777777" w:rsidR="00CA7B3F" w:rsidRPr="00EE5781" w:rsidRDefault="00CA7B3F" w:rsidP="003E4C55">
            <w:pPr>
              <w:pStyle w:val="TableText0"/>
            </w:pPr>
            <w:r w:rsidRPr="00EE5781">
              <w:t>Mean (SD)</w:t>
            </w:r>
          </w:p>
          <w:p w14:paraId="144C09F0" w14:textId="6C022DC6" w:rsidR="00CA7B3F" w:rsidRPr="00EE5781" w:rsidRDefault="00CA7B3F" w:rsidP="003E4C55">
            <w:pPr>
              <w:pStyle w:val="TableText0"/>
            </w:pPr>
            <w:r w:rsidRPr="00EE5781">
              <w:t xml:space="preserve"> Median (range)</w:t>
            </w:r>
          </w:p>
          <w:p w14:paraId="1E45D173" w14:textId="4A21F8A1" w:rsidR="00CA7B3F" w:rsidRPr="00EE5781" w:rsidRDefault="00CA7B3F" w:rsidP="003E4C55">
            <w:pPr>
              <w:pStyle w:val="TableText0"/>
            </w:pPr>
            <w:r w:rsidRPr="00EE5781">
              <w:t xml:space="preserve"> Mean Difference vs Placebo (95% CI)</w:t>
            </w:r>
          </w:p>
        </w:tc>
        <w:tc>
          <w:tcPr>
            <w:tcW w:w="897" w:type="pct"/>
          </w:tcPr>
          <w:p w14:paraId="04920E01" w14:textId="77777777" w:rsidR="00CA7B3F" w:rsidRPr="00EE5781" w:rsidRDefault="00CA7B3F" w:rsidP="003E4C55">
            <w:pPr>
              <w:pStyle w:val="TableText0"/>
            </w:pPr>
          </w:p>
          <w:p w14:paraId="3486B77A" w14:textId="77777777" w:rsidR="00CA7B3F" w:rsidRPr="00EE5781" w:rsidRDefault="00CA7B3F" w:rsidP="003E4C55">
            <w:pPr>
              <w:pStyle w:val="TableText0"/>
            </w:pPr>
          </w:p>
          <w:p w14:paraId="7780F4D4" w14:textId="5CA906A6" w:rsidR="00CA7B3F" w:rsidRPr="00EE5781" w:rsidRDefault="00927B5F" w:rsidP="003E4C55">
            <w:pPr>
              <w:pStyle w:val="TableText0"/>
            </w:pPr>
            <w:r w:rsidRPr="00EE5781">
              <w:t>NA</w:t>
            </w:r>
          </w:p>
        </w:tc>
        <w:tc>
          <w:tcPr>
            <w:tcW w:w="807" w:type="pct"/>
          </w:tcPr>
          <w:p w14:paraId="171F7E3A" w14:textId="77777777" w:rsidR="00927B5F" w:rsidRPr="00EE5781" w:rsidRDefault="00927B5F" w:rsidP="003E4C55">
            <w:pPr>
              <w:pStyle w:val="TableText0"/>
            </w:pPr>
          </w:p>
          <w:p w14:paraId="0756FBDB" w14:textId="77777777" w:rsidR="00927B5F" w:rsidRPr="00EE5781" w:rsidRDefault="00927B5F" w:rsidP="003E4C55">
            <w:pPr>
              <w:pStyle w:val="TableText0"/>
            </w:pPr>
          </w:p>
          <w:p w14:paraId="63D7E368" w14:textId="2F08B60F" w:rsidR="00CA7B3F" w:rsidRPr="00EE5781" w:rsidRDefault="00927B5F" w:rsidP="003E4C55">
            <w:pPr>
              <w:pStyle w:val="TableText0"/>
            </w:pPr>
            <w:r w:rsidRPr="00EE5781">
              <w:t>NA</w:t>
            </w:r>
          </w:p>
          <w:p w14:paraId="5258A46E" w14:textId="77777777" w:rsidR="00CA7B3F" w:rsidRPr="00EE5781" w:rsidRDefault="00CA7B3F" w:rsidP="003E4C55">
            <w:pPr>
              <w:pStyle w:val="TableText0"/>
            </w:pPr>
          </w:p>
          <w:p w14:paraId="293D50DE" w14:textId="4E525AD2" w:rsidR="00CA7B3F" w:rsidRPr="00EE5781" w:rsidRDefault="00CA7B3F" w:rsidP="003E4C55">
            <w:pPr>
              <w:pStyle w:val="TableText0"/>
            </w:pPr>
          </w:p>
        </w:tc>
        <w:tc>
          <w:tcPr>
            <w:tcW w:w="968" w:type="pct"/>
          </w:tcPr>
          <w:p w14:paraId="45620FEC" w14:textId="77777777" w:rsidR="00CA7B3F" w:rsidRPr="00EE5781" w:rsidRDefault="00CA7B3F" w:rsidP="003E4C55">
            <w:pPr>
              <w:pStyle w:val="TableText0"/>
            </w:pPr>
          </w:p>
          <w:p w14:paraId="352C2C34" w14:textId="77777777" w:rsidR="00CA7B3F" w:rsidRPr="00EE5781" w:rsidRDefault="00CA7B3F" w:rsidP="003E4C55">
            <w:pPr>
              <w:pStyle w:val="TableText0"/>
            </w:pPr>
          </w:p>
          <w:p w14:paraId="7656F881" w14:textId="5E09B330" w:rsidR="00CA7B3F" w:rsidRPr="00EE5781" w:rsidRDefault="00CA7B3F" w:rsidP="003E4C55">
            <w:pPr>
              <w:pStyle w:val="TableText0"/>
            </w:pPr>
            <w:r w:rsidRPr="00EE5781">
              <w:t>-8.5 (6.7)</w:t>
            </w:r>
          </w:p>
          <w:p w14:paraId="01886AD2" w14:textId="77777777" w:rsidR="00CA7B3F" w:rsidRPr="00EE5781" w:rsidRDefault="00CA7B3F" w:rsidP="003E4C55">
            <w:pPr>
              <w:pStyle w:val="TableText0"/>
            </w:pPr>
            <w:r w:rsidRPr="00EE5781">
              <w:t>-9.5 (-22, 0)</w:t>
            </w:r>
          </w:p>
          <w:p w14:paraId="6976BACD" w14:textId="77777777" w:rsidR="00CA7B3F" w:rsidRPr="00EE5781" w:rsidRDefault="00CA7B3F" w:rsidP="003E4C55">
            <w:pPr>
              <w:pStyle w:val="TableText0"/>
            </w:pPr>
          </w:p>
          <w:p w14:paraId="3054250C" w14:textId="0AE93361" w:rsidR="00CA7B3F" w:rsidRPr="00EE5781" w:rsidRDefault="00CA7B3F" w:rsidP="003E4C55">
            <w:pPr>
              <w:pStyle w:val="TableText0"/>
            </w:pPr>
            <w:r w:rsidRPr="00EE5781">
              <w:t>-3.4 (-5.8, -1.0)</w:t>
            </w:r>
          </w:p>
        </w:tc>
        <w:tc>
          <w:tcPr>
            <w:tcW w:w="1130" w:type="pct"/>
          </w:tcPr>
          <w:p w14:paraId="4C8224FE" w14:textId="77777777" w:rsidR="00CA7B3F" w:rsidRPr="00EE5781" w:rsidRDefault="00CA7B3F" w:rsidP="003E4C55">
            <w:pPr>
              <w:pStyle w:val="TableText0"/>
            </w:pPr>
          </w:p>
          <w:p w14:paraId="0EF185FE" w14:textId="77777777" w:rsidR="00CA7B3F" w:rsidRPr="00EE5781" w:rsidRDefault="00CA7B3F" w:rsidP="003E4C55">
            <w:pPr>
              <w:pStyle w:val="TableText0"/>
            </w:pPr>
          </w:p>
          <w:p w14:paraId="62AE2801" w14:textId="77777777" w:rsidR="00CA7B3F" w:rsidRPr="00EE5781" w:rsidRDefault="00CA7B3F" w:rsidP="003E4C55">
            <w:pPr>
              <w:pStyle w:val="TableText0"/>
            </w:pPr>
            <w:r w:rsidRPr="00EE5781">
              <w:t>-5.1 (6.6)</w:t>
            </w:r>
          </w:p>
          <w:p w14:paraId="4E419A2F" w14:textId="77777777" w:rsidR="00CA7B3F" w:rsidRPr="00EE5781" w:rsidRDefault="00CA7B3F" w:rsidP="003E4C55">
            <w:pPr>
              <w:pStyle w:val="TableText0"/>
            </w:pPr>
            <w:r w:rsidRPr="00EE5781">
              <w:t>-2 (-25.5, 0)</w:t>
            </w:r>
          </w:p>
          <w:p w14:paraId="45C4E586" w14:textId="77777777" w:rsidR="00CA7B3F" w:rsidRPr="00EE5781" w:rsidRDefault="00CA7B3F" w:rsidP="003E4C55">
            <w:pPr>
              <w:pStyle w:val="TableText0"/>
            </w:pPr>
          </w:p>
          <w:p w14:paraId="271E1361" w14:textId="2DA62776" w:rsidR="00CA7B3F" w:rsidRPr="00EE5781" w:rsidRDefault="00CA7B3F" w:rsidP="003E4C55">
            <w:pPr>
              <w:pStyle w:val="TableText0"/>
            </w:pPr>
            <w:r w:rsidRPr="00EE5781">
              <w:t>-</w:t>
            </w:r>
          </w:p>
        </w:tc>
      </w:tr>
      <w:tr w:rsidR="00CA7B3F" w:rsidRPr="00EE5781" w14:paraId="09D97E00" w14:textId="6B438D1A" w:rsidTr="00EE5781">
        <w:tc>
          <w:tcPr>
            <w:tcW w:w="1198" w:type="pct"/>
          </w:tcPr>
          <w:p w14:paraId="30890DAF" w14:textId="331B11D8" w:rsidR="00CA7B3F" w:rsidRPr="00EE5781" w:rsidRDefault="00CA7B3F" w:rsidP="003E4C55">
            <w:pPr>
              <w:pStyle w:val="TableText0"/>
            </w:pPr>
            <w:r w:rsidRPr="00EE5781">
              <w:t>MAS at baseline, Mean (SD)</w:t>
            </w:r>
          </w:p>
        </w:tc>
        <w:tc>
          <w:tcPr>
            <w:tcW w:w="897" w:type="pct"/>
          </w:tcPr>
          <w:p w14:paraId="14DECF6A" w14:textId="5C9525E8" w:rsidR="00CA7B3F" w:rsidRPr="00EE5781" w:rsidRDefault="00927B5F" w:rsidP="003E4C55">
            <w:pPr>
              <w:pStyle w:val="TableText0"/>
            </w:pPr>
            <w:r w:rsidRPr="00EE5781">
              <w:t>3.1 (NR)</w:t>
            </w:r>
          </w:p>
        </w:tc>
        <w:tc>
          <w:tcPr>
            <w:tcW w:w="807" w:type="pct"/>
          </w:tcPr>
          <w:p w14:paraId="42C7CB02" w14:textId="63712B55" w:rsidR="00CA7B3F" w:rsidRPr="00EE5781" w:rsidRDefault="00927B5F" w:rsidP="003E4C55">
            <w:pPr>
              <w:pStyle w:val="TableText0"/>
            </w:pPr>
            <w:r w:rsidRPr="00EE5781">
              <w:t>3.1 (NR)</w:t>
            </w:r>
          </w:p>
        </w:tc>
        <w:tc>
          <w:tcPr>
            <w:tcW w:w="968" w:type="pct"/>
          </w:tcPr>
          <w:p w14:paraId="77A1278A" w14:textId="77777777" w:rsidR="00CA7B3F" w:rsidRPr="00EE5781" w:rsidRDefault="00CA7B3F" w:rsidP="003E4C55">
            <w:pPr>
              <w:pStyle w:val="TableText0"/>
            </w:pPr>
          </w:p>
          <w:p w14:paraId="05C3D9BB" w14:textId="4C782B95" w:rsidR="00CA7B3F" w:rsidRPr="00EE5781" w:rsidRDefault="00CA7B3F" w:rsidP="003E4C55">
            <w:pPr>
              <w:pStyle w:val="TableText0"/>
            </w:pPr>
            <w:r w:rsidRPr="00EE5781">
              <w:t>3.3 (0.45)</w:t>
            </w:r>
          </w:p>
        </w:tc>
        <w:tc>
          <w:tcPr>
            <w:tcW w:w="1130" w:type="pct"/>
          </w:tcPr>
          <w:p w14:paraId="0BC684F6" w14:textId="77777777" w:rsidR="00CA7B3F" w:rsidRPr="00EE5781" w:rsidRDefault="00CA7B3F" w:rsidP="003E4C55">
            <w:pPr>
              <w:pStyle w:val="TableText0"/>
            </w:pPr>
          </w:p>
          <w:p w14:paraId="458491C8" w14:textId="7D930227" w:rsidR="00CA7B3F" w:rsidRPr="00EE5781" w:rsidRDefault="00CA7B3F" w:rsidP="003E4C55">
            <w:pPr>
              <w:pStyle w:val="TableText0"/>
            </w:pPr>
            <w:r w:rsidRPr="00EE5781">
              <w:t>3.2 (0.4)</w:t>
            </w:r>
          </w:p>
        </w:tc>
      </w:tr>
      <w:tr w:rsidR="00CA7B3F" w:rsidRPr="00EE5781" w14:paraId="28F15E83" w14:textId="3C021CB5" w:rsidTr="00EE5781">
        <w:tc>
          <w:tcPr>
            <w:tcW w:w="1198" w:type="pct"/>
          </w:tcPr>
          <w:p w14:paraId="199B527F" w14:textId="40B72E30" w:rsidR="00CA7B3F" w:rsidRPr="00EE5781" w:rsidRDefault="00CA7B3F" w:rsidP="003E4C55">
            <w:pPr>
              <w:pStyle w:val="TableText0"/>
            </w:pPr>
            <w:r w:rsidRPr="00EE5781">
              <w:t xml:space="preserve">MAS CFB to 4 weeks, Mean (SD) </w:t>
            </w:r>
          </w:p>
        </w:tc>
        <w:tc>
          <w:tcPr>
            <w:tcW w:w="897" w:type="pct"/>
          </w:tcPr>
          <w:p w14:paraId="76B88D41" w14:textId="2536EFD0" w:rsidR="00CA7B3F" w:rsidRPr="00EE5781" w:rsidRDefault="00927B5F" w:rsidP="003E4C55">
            <w:pPr>
              <w:pStyle w:val="TableText0"/>
            </w:pPr>
            <w:r w:rsidRPr="00EE5781">
              <w:t>-0.8 (0.9)</w:t>
            </w:r>
          </w:p>
        </w:tc>
        <w:tc>
          <w:tcPr>
            <w:tcW w:w="807" w:type="pct"/>
          </w:tcPr>
          <w:p w14:paraId="210FDC85" w14:textId="6D8CFE96" w:rsidR="00CA7B3F" w:rsidRPr="00EE5781" w:rsidRDefault="00927B5F" w:rsidP="003E4C55">
            <w:pPr>
              <w:pStyle w:val="TableText0"/>
            </w:pPr>
            <w:r w:rsidRPr="00EE5781">
              <w:t>-0.6 (0.8)</w:t>
            </w:r>
          </w:p>
        </w:tc>
        <w:tc>
          <w:tcPr>
            <w:tcW w:w="968" w:type="pct"/>
          </w:tcPr>
          <w:p w14:paraId="07AAFDCF" w14:textId="77777777" w:rsidR="00CA7B3F" w:rsidRPr="00EE5781" w:rsidRDefault="00CA7B3F" w:rsidP="003E4C55">
            <w:pPr>
              <w:pStyle w:val="TableText0"/>
            </w:pPr>
          </w:p>
          <w:p w14:paraId="788B8EFD" w14:textId="0DB7B28B" w:rsidR="00CA7B3F" w:rsidRPr="00EE5781" w:rsidRDefault="00CA7B3F" w:rsidP="003E4C55">
            <w:pPr>
              <w:pStyle w:val="TableText0"/>
            </w:pPr>
            <w:r w:rsidRPr="00EE5781">
              <w:t>-0.9 (0.7)</w:t>
            </w:r>
          </w:p>
        </w:tc>
        <w:tc>
          <w:tcPr>
            <w:tcW w:w="1130" w:type="pct"/>
          </w:tcPr>
          <w:p w14:paraId="212339BC" w14:textId="77777777" w:rsidR="00CA7B3F" w:rsidRPr="00EE5781" w:rsidRDefault="00CA7B3F" w:rsidP="003E4C55">
            <w:pPr>
              <w:pStyle w:val="TableText0"/>
            </w:pPr>
          </w:p>
          <w:p w14:paraId="1CF9745A" w14:textId="42CE6B53" w:rsidR="00CA7B3F" w:rsidRPr="00EE5781" w:rsidRDefault="00CA7B3F" w:rsidP="003E4C55">
            <w:pPr>
              <w:pStyle w:val="TableText0"/>
            </w:pPr>
            <w:r w:rsidRPr="00EE5781">
              <w:t>-0.4 (0.7)</w:t>
            </w:r>
          </w:p>
        </w:tc>
      </w:tr>
      <w:tr w:rsidR="00CA7B3F" w:rsidRPr="00EE5781" w14:paraId="65F82596" w14:textId="7829A76E" w:rsidTr="00EE5781">
        <w:tc>
          <w:tcPr>
            <w:tcW w:w="1198" w:type="pct"/>
          </w:tcPr>
          <w:p w14:paraId="7577686B" w14:textId="0DF1567F" w:rsidR="00CA7B3F" w:rsidRPr="00EE5781" w:rsidRDefault="00CA7B3F" w:rsidP="003E4C55">
            <w:pPr>
              <w:pStyle w:val="TableText0"/>
            </w:pPr>
            <w:r w:rsidRPr="00EE5781">
              <w:t>MAS CFB to 12 weeks, Mean (SD)</w:t>
            </w:r>
          </w:p>
        </w:tc>
        <w:tc>
          <w:tcPr>
            <w:tcW w:w="897" w:type="pct"/>
          </w:tcPr>
          <w:p w14:paraId="00EDC517" w14:textId="5688D39F" w:rsidR="00CA7B3F" w:rsidRPr="00EE5781" w:rsidRDefault="00927B5F" w:rsidP="003E4C55">
            <w:pPr>
              <w:pStyle w:val="TableText0"/>
            </w:pPr>
            <w:r w:rsidRPr="00EE5781">
              <w:t>NR</w:t>
            </w:r>
          </w:p>
        </w:tc>
        <w:tc>
          <w:tcPr>
            <w:tcW w:w="807" w:type="pct"/>
          </w:tcPr>
          <w:p w14:paraId="3CAEAC57" w14:textId="4A2017B7" w:rsidR="00CA7B3F" w:rsidRPr="00EE5781" w:rsidRDefault="00927B5F" w:rsidP="003E4C55">
            <w:pPr>
              <w:pStyle w:val="TableText0"/>
            </w:pPr>
            <w:r w:rsidRPr="00EE5781">
              <w:t>NR</w:t>
            </w:r>
          </w:p>
        </w:tc>
        <w:tc>
          <w:tcPr>
            <w:tcW w:w="968" w:type="pct"/>
          </w:tcPr>
          <w:p w14:paraId="09D860EB" w14:textId="77777777" w:rsidR="00CA7B3F" w:rsidRPr="00EE5781" w:rsidRDefault="00CA7B3F" w:rsidP="003E4C55">
            <w:pPr>
              <w:pStyle w:val="TableText0"/>
            </w:pPr>
          </w:p>
          <w:p w14:paraId="14166D29" w14:textId="250CB458" w:rsidR="00CA7B3F" w:rsidRPr="00EE5781" w:rsidRDefault="00CA7B3F" w:rsidP="003E4C55">
            <w:pPr>
              <w:pStyle w:val="TableText0"/>
            </w:pPr>
            <w:r w:rsidRPr="00EE5781">
              <w:t>-0.6 (0.7)</w:t>
            </w:r>
          </w:p>
        </w:tc>
        <w:tc>
          <w:tcPr>
            <w:tcW w:w="1130" w:type="pct"/>
          </w:tcPr>
          <w:p w14:paraId="4986D6E5" w14:textId="77777777" w:rsidR="00CA7B3F" w:rsidRPr="00EE5781" w:rsidRDefault="00CA7B3F" w:rsidP="003E4C55">
            <w:pPr>
              <w:pStyle w:val="TableText0"/>
            </w:pPr>
          </w:p>
          <w:p w14:paraId="3B667DE2" w14:textId="37C71AB8" w:rsidR="00CA7B3F" w:rsidRPr="00EE5781" w:rsidRDefault="00CA7B3F" w:rsidP="003E4C55">
            <w:pPr>
              <w:pStyle w:val="TableText0"/>
            </w:pPr>
            <w:r w:rsidRPr="00EE5781">
              <w:t>-0.4 (0.6)</w:t>
            </w:r>
          </w:p>
        </w:tc>
      </w:tr>
      <w:tr w:rsidR="00F75573" w:rsidRPr="00EE5781" w14:paraId="0ECF8608" w14:textId="77777777" w:rsidTr="00EE5781">
        <w:tc>
          <w:tcPr>
            <w:tcW w:w="1198" w:type="pct"/>
          </w:tcPr>
          <w:p w14:paraId="175E9671" w14:textId="5AB006BC" w:rsidR="00F75573" w:rsidRPr="00EE5781" w:rsidRDefault="00F75573" w:rsidP="003E4C55">
            <w:pPr>
              <w:pStyle w:val="TableText0"/>
            </w:pPr>
            <w:r w:rsidRPr="00EE5781">
              <w:t>Patients with M</w:t>
            </w:r>
            <w:r w:rsidR="00E143E9" w:rsidRPr="00EE5781">
              <w:t>A</w:t>
            </w:r>
            <w:r w:rsidRPr="00EE5781">
              <w:t xml:space="preserve">S CFB </w:t>
            </w:r>
            <w:r w:rsidR="00E143E9" w:rsidRPr="00EE5781">
              <w:rPr>
                <w:rFonts w:eastAsia="Symbol" w:cs="Symbol"/>
              </w:rPr>
              <w:t>³</w:t>
            </w:r>
            <w:r w:rsidR="00E143E9" w:rsidRPr="00EE5781">
              <w:t>1 at 4 weeks, n (%)</w:t>
            </w:r>
          </w:p>
        </w:tc>
        <w:tc>
          <w:tcPr>
            <w:tcW w:w="897" w:type="pct"/>
          </w:tcPr>
          <w:p w14:paraId="22BE380F" w14:textId="67B04DD9" w:rsidR="00F75573" w:rsidRPr="00EE5781" w:rsidRDefault="00E143E9" w:rsidP="003E4C55">
            <w:pPr>
              <w:pStyle w:val="TableText0"/>
            </w:pPr>
            <w:r w:rsidRPr="00EE5781">
              <w:t>121 (52.0%)</w:t>
            </w:r>
          </w:p>
        </w:tc>
        <w:tc>
          <w:tcPr>
            <w:tcW w:w="807" w:type="pct"/>
          </w:tcPr>
          <w:p w14:paraId="76795B1B" w14:textId="66B6A62C" w:rsidR="00F75573" w:rsidRPr="00EE5781" w:rsidRDefault="00E143E9" w:rsidP="003E4C55">
            <w:pPr>
              <w:pStyle w:val="TableText0"/>
            </w:pPr>
            <w:r w:rsidRPr="00EE5781">
              <w:t>91 (38.9%)</w:t>
            </w:r>
          </w:p>
        </w:tc>
        <w:tc>
          <w:tcPr>
            <w:tcW w:w="968" w:type="pct"/>
          </w:tcPr>
          <w:p w14:paraId="28A91BD6" w14:textId="3D758066" w:rsidR="00F75573" w:rsidRPr="00EE5781" w:rsidRDefault="00E143E9" w:rsidP="003E4C55">
            <w:pPr>
              <w:pStyle w:val="TableText0"/>
            </w:pPr>
            <w:r w:rsidRPr="00EE5781">
              <w:t>NR</w:t>
            </w:r>
          </w:p>
        </w:tc>
        <w:tc>
          <w:tcPr>
            <w:tcW w:w="1130" w:type="pct"/>
          </w:tcPr>
          <w:p w14:paraId="7A9DB256" w14:textId="20EA6BBD" w:rsidR="00F75573" w:rsidRPr="00EE5781" w:rsidRDefault="00E143E9" w:rsidP="003E4C55">
            <w:pPr>
              <w:pStyle w:val="TableText0"/>
            </w:pPr>
            <w:r w:rsidRPr="00EE5781">
              <w:t>NR</w:t>
            </w:r>
          </w:p>
        </w:tc>
      </w:tr>
      <w:tr w:rsidR="00F75573" w:rsidRPr="00EE5781" w14:paraId="7103B89E" w14:textId="77777777" w:rsidTr="00EE5781">
        <w:tc>
          <w:tcPr>
            <w:tcW w:w="1198" w:type="pct"/>
          </w:tcPr>
          <w:p w14:paraId="7C382915" w14:textId="4A474C54" w:rsidR="00F75573" w:rsidRPr="00EE5781" w:rsidRDefault="00E143E9" w:rsidP="003E4C55">
            <w:pPr>
              <w:pStyle w:val="TableText0"/>
            </w:pPr>
            <w:r w:rsidRPr="00EE5781">
              <w:t xml:space="preserve">Patients with MAS CFB </w:t>
            </w:r>
            <w:r w:rsidRPr="00EE5781">
              <w:rPr>
                <w:rFonts w:eastAsia="Symbol" w:cs="Symbol"/>
              </w:rPr>
              <w:t>³</w:t>
            </w:r>
            <w:r w:rsidRPr="00EE5781">
              <w:t>1 at 8 weeks, n (%)</w:t>
            </w:r>
          </w:p>
        </w:tc>
        <w:tc>
          <w:tcPr>
            <w:tcW w:w="897" w:type="pct"/>
          </w:tcPr>
          <w:p w14:paraId="118D1660" w14:textId="2E7BA98E" w:rsidR="00F75573" w:rsidRPr="00EE5781" w:rsidRDefault="00E143E9" w:rsidP="003E4C55">
            <w:pPr>
              <w:pStyle w:val="TableText0"/>
            </w:pPr>
            <w:r w:rsidRPr="00EE5781">
              <w:t>114 (48.9%)</w:t>
            </w:r>
          </w:p>
        </w:tc>
        <w:tc>
          <w:tcPr>
            <w:tcW w:w="807" w:type="pct"/>
          </w:tcPr>
          <w:p w14:paraId="6CA00B35" w14:textId="7FC3EE32" w:rsidR="00F75573" w:rsidRPr="00EE5781" w:rsidRDefault="00E143E9" w:rsidP="003E4C55">
            <w:pPr>
              <w:pStyle w:val="TableText0"/>
            </w:pPr>
            <w:r w:rsidRPr="00EE5781">
              <w:t>93 (39.5%)</w:t>
            </w:r>
          </w:p>
        </w:tc>
        <w:tc>
          <w:tcPr>
            <w:tcW w:w="968" w:type="pct"/>
          </w:tcPr>
          <w:p w14:paraId="52DAE225" w14:textId="6F37E0C4" w:rsidR="00F75573" w:rsidRPr="00EE5781" w:rsidRDefault="00E143E9" w:rsidP="003E4C55">
            <w:pPr>
              <w:pStyle w:val="TableText0"/>
            </w:pPr>
            <w:r w:rsidRPr="00EE5781">
              <w:t>NR</w:t>
            </w:r>
          </w:p>
        </w:tc>
        <w:tc>
          <w:tcPr>
            <w:tcW w:w="1130" w:type="pct"/>
          </w:tcPr>
          <w:p w14:paraId="322282E1" w14:textId="4FE14AC1" w:rsidR="00F75573" w:rsidRPr="00EE5781" w:rsidRDefault="00E143E9" w:rsidP="003E4C55">
            <w:pPr>
              <w:pStyle w:val="TableText0"/>
            </w:pPr>
            <w:r w:rsidRPr="00EE5781">
              <w:t>NR</w:t>
            </w:r>
          </w:p>
        </w:tc>
      </w:tr>
      <w:tr w:rsidR="00F75573" w:rsidRPr="00EE5781" w14:paraId="2120C551" w14:textId="77777777" w:rsidTr="00EE5781">
        <w:tc>
          <w:tcPr>
            <w:tcW w:w="1198" w:type="pct"/>
          </w:tcPr>
          <w:p w14:paraId="1F18D13A" w14:textId="48646E27" w:rsidR="00F75573" w:rsidRPr="00EE5781" w:rsidRDefault="00E143E9" w:rsidP="003E4C55">
            <w:pPr>
              <w:pStyle w:val="TableText0"/>
            </w:pPr>
            <w:r w:rsidRPr="00EE5781">
              <w:t xml:space="preserve">Patients with MAS CFB </w:t>
            </w:r>
            <w:r w:rsidRPr="00EE5781">
              <w:rPr>
                <w:rFonts w:eastAsia="Symbol" w:cs="Symbol"/>
              </w:rPr>
              <w:t>³</w:t>
            </w:r>
            <w:r w:rsidRPr="00EE5781">
              <w:t>1 at 12 weeks, n (%)</w:t>
            </w:r>
          </w:p>
        </w:tc>
        <w:tc>
          <w:tcPr>
            <w:tcW w:w="897" w:type="pct"/>
          </w:tcPr>
          <w:p w14:paraId="161F6687" w14:textId="0BC69AC5" w:rsidR="00F75573" w:rsidRPr="00EE5781" w:rsidRDefault="00E143E9" w:rsidP="003E4C55">
            <w:pPr>
              <w:pStyle w:val="TableText0"/>
            </w:pPr>
            <w:r w:rsidRPr="00EE5781">
              <w:t>75 (32.3%)</w:t>
            </w:r>
          </w:p>
        </w:tc>
        <w:tc>
          <w:tcPr>
            <w:tcW w:w="807" w:type="pct"/>
          </w:tcPr>
          <w:p w14:paraId="4DAD1552" w14:textId="10BCBCD0" w:rsidR="00F75573" w:rsidRPr="00EE5781" w:rsidRDefault="00E143E9" w:rsidP="003E4C55">
            <w:pPr>
              <w:pStyle w:val="TableText0"/>
            </w:pPr>
            <w:r w:rsidRPr="00EE5781">
              <w:t>102 (23.0%)</w:t>
            </w:r>
          </w:p>
        </w:tc>
        <w:tc>
          <w:tcPr>
            <w:tcW w:w="968" w:type="pct"/>
          </w:tcPr>
          <w:p w14:paraId="0417C12F" w14:textId="745E8708" w:rsidR="00F75573" w:rsidRPr="00EE5781" w:rsidRDefault="00E143E9" w:rsidP="003E4C55">
            <w:pPr>
              <w:pStyle w:val="TableText0"/>
            </w:pPr>
            <w:r w:rsidRPr="00EE5781">
              <w:t>NR</w:t>
            </w:r>
          </w:p>
        </w:tc>
        <w:tc>
          <w:tcPr>
            <w:tcW w:w="1130" w:type="pct"/>
          </w:tcPr>
          <w:p w14:paraId="1E5AEC1D" w14:textId="6A1EFBD1" w:rsidR="00F75573" w:rsidRPr="00EE5781" w:rsidRDefault="00E143E9" w:rsidP="003E4C55">
            <w:pPr>
              <w:pStyle w:val="TableText0"/>
            </w:pPr>
            <w:r w:rsidRPr="00EE5781">
              <w:t>NR</w:t>
            </w:r>
          </w:p>
        </w:tc>
      </w:tr>
      <w:tr w:rsidR="000F75C4" w:rsidRPr="00EE5781" w14:paraId="556EFF4D" w14:textId="77777777" w:rsidTr="00EE5781">
        <w:tc>
          <w:tcPr>
            <w:tcW w:w="1198" w:type="pct"/>
          </w:tcPr>
          <w:p w14:paraId="5206B24C" w14:textId="1D5A5550" w:rsidR="000F75C4" w:rsidRPr="00EE5781" w:rsidRDefault="000F75C4" w:rsidP="003E4C55">
            <w:pPr>
              <w:pStyle w:val="TableText0"/>
            </w:pPr>
            <w:r w:rsidRPr="00EE5781">
              <w:t xml:space="preserve">Patients with MAS CFB </w:t>
            </w:r>
            <w:r w:rsidRPr="00EE5781">
              <w:rPr>
                <w:rFonts w:eastAsia="Symbol" w:cs="Symbol"/>
              </w:rPr>
              <w:t>³</w:t>
            </w:r>
            <w:r w:rsidRPr="00EE5781">
              <w:t>2 at 4 weeks, n (%)</w:t>
            </w:r>
          </w:p>
        </w:tc>
        <w:tc>
          <w:tcPr>
            <w:tcW w:w="897" w:type="pct"/>
          </w:tcPr>
          <w:p w14:paraId="65F2F6CF" w14:textId="44C17B09" w:rsidR="000F75C4" w:rsidRPr="00EE5781" w:rsidRDefault="000F75C4" w:rsidP="003E4C55">
            <w:pPr>
              <w:pStyle w:val="TableText0"/>
            </w:pPr>
            <w:r w:rsidRPr="00EE5781">
              <w:t>48 (20.7%)</w:t>
            </w:r>
          </w:p>
        </w:tc>
        <w:tc>
          <w:tcPr>
            <w:tcW w:w="807" w:type="pct"/>
          </w:tcPr>
          <w:p w14:paraId="34F33DF0" w14:textId="44F46629" w:rsidR="000F75C4" w:rsidRPr="00EE5781" w:rsidRDefault="000F75C4" w:rsidP="003E4C55">
            <w:pPr>
              <w:pStyle w:val="TableText0"/>
            </w:pPr>
            <w:r w:rsidRPr="00EE5781">
              <w:t>34 (14.5%)</w:t>
            </w:r>
          </w:p>
        </w:tc>
        <w:tc>
          <w:tcPr>
            <w:tcW w:w="968" w:type="pct"/>
          </w:tcPr>
          <w:p w14:paraId="729BF8C0" w14:textId="702637C4" w:rsidR="000F75C4" w:rsidRPr="00EE5781" w:rsidRDefault="000F75C4" w:rsidP="003E4C55">
            <w:pPr>
              <w:pStyle w:val="TableText0"/>
            </w:pPr>
            <w:r w:rsidRPr="00EE5781">
              <w:t>NR</w:t>
            </w:r>
          </w:p>
        </w:tc>
        <w:tc>
          <w:tcPr>
            <w:tcW w:w="1130" w:type="pct"/>
          </w:tcPr>
          <w:p w14:paraId="64A2D269" w14:textId="12288EAB" w:rsidR="000F75C4" w:rsidRPr="00EE5781" w:rsidRDefault="000F75C4" w:rsidP="003E4C55">
            <w:pPr>
              <w:pStyle w:val="TableText0"/>
            </w:pPr>
            <w:r w:rsidRPr="00EE5781">
              <w:t>NR</w:t>
            </w:r>
          </w:p>
        </w:tc>
      </w:tr>
      <w:tr w:rsidR="00CA7B3F" w:rsidRPr="00EE5781" w14:paraId="63D395DB" w14:textId="06E2AB6D" w:rsidTr="00EE5781">
        <w:tc>
          <w:tcPr>
            <w:tcW w:w="1198" w:type="pct"/>
          </w:tcPr>
          <w:p w14:paraId="3C45397B" w14:textId="77777777" w:rsidR="00CA7B3F" w:rsidRPr="00EE5781" w:rsidRDefault="00CA7B3F" w:rsidP="003E4C55">
            <w:pPr>
              <w:pStyle w:val="TableText0"/>
            </w:pPr>
            <w:r w:rsidRPr="00EE5781">
              <w:t>Investigator CGI at baseline</w:t>
            </w:r>
          </w:p>
          <w:p w14:paraId="4EC39BCF" w14:textId="5C442FF6" w:rsidR="00CA7B3F" w:rsidRPr="00EE5781" w:rsidRDefault="00CA7B3F" w:rsidP="003E4C55">
            <w:pPr>
              <w:pStyle w:val="TableText0"/>
            </w:pPr>
            <w:r w:rsidRPr="00EE5781">
              <w:t>Mean (SD)</w:t>
            </w:r>
          </w:p>
        </w:tc>
        <w:tc>
          <w:tcPr>
            <w:tcW w:w="897" w:type="pct"/>
          </w:tcPr>
          <w:p w14:paraId="413D3455" w14:textId="7E8E0C81" w:rsidR="00CA7B3F" w:rsidRPr="00EE5781" w:rsidRDefault="00927B5F" w:rsidP="003E4C55">
            <w:pPr>
              <w:pStyle w:val="TableText0"/>
            </w:pPr>
            <w:r w:rsidRPr="00EE5781">
              <w:t>NR</w:t>
            </w:r>
          </w:p>
        </w:tc>
        <w:tc>
          <w:tcPr>
            <w:tcW w:w="807" w:type="pct"/>
          </w:tcPr>
          <w:p w14:paraId="640D7C70" w14:textId="70BBE2C5" w:rsidR="00CA7B3F" w:rsidRPr="00EE5781" w:rsidRDefault="00927B5F" w:rsidP="003E4C55">
            <w:pPr>
              <w:pStyle w:val="TableText0"/>
            </w:pPr>
            <w:r w:rsidRPr="00EE5781">
              <w:t>NR</w:t>
            </w:r>
          </w:p>
        </w:tc>
        <w:tc>
          <w:tcPr>
            <w:tcW w:w="968" w:type="pct"/>
          </w:tcPr>
          <w:p w14:paraId="66E51024" w14:textId="77777777" w:rsidR="00CA7B3F" w:rsidRPr="00EE5781" w:rsidRDefault="00CA7B3F" w:rsidP="003E4C55">
            <w:pPr>
              <w:pStyle w:val="TableText0"/>
            </w:pPr>
          </w:p>
          <w:p w14:paraId="746BD38A" w14:textId="7CA9320E" w:rsidR="00CA7B3F" w:rsidRPr="00EE5781" w:rsidRDefault="00CA7B3F" w:rsidP="003E4C55">
            <w:pPr>
              <w:pStyle w:val="TableText0"/>
            </w:pPr>
            <w:r w:rsidRPr="00EE5781">
              <w:t>-1.3 (1.7)</w:t>
            </w:r>
          </w:p>
        </w:tc>
        <w:tc>
          <w:tcPr>
            <w:tcW w:w="1130" w:type="pct"/>
          </w:tcPr>
          <w:p w14:paraId="33A4ED29" w14:textId="77777777" w:rsidR="00CA7B3F" w:rsidRPr="00EE5781" w:rsidRDefault="00CA7B3F" w:rsidP="003E4C55">
            <w:pPr>
              <w:pStyle w:val="TableText0"/>
            </w:pPr>
          </w:p>
          <w:p w14:paraId="679F42D3" w14:textId="592B1A81" w:rsidR="00CA7B3F" w:rsidRPr="00EE5781" w:rsidRDefault="00CA7B3F" w:rsidP="003E4C55">
            <w:pPr>
              <w:pStyle w:val="TableText0"/>
            </w:pPr>
            <w:r w:rsidRPr="00EE5781">
              <w:t>-1.3 (1.8)</w:t>
            </w:r>
          </w:p>
        </w:tc>
      </w:tr>
      <w:tr w:rsidR="00CA7B3F" w:rsidRPr="00EE5781" w14:paraId="0A37DF75" w14:textId="188839D2" w:rsidTr="00EE5781">
        <w:tc>
          <w:tcPr>
            <w:tcW w:w="1198" w:type="pct"/>
          </w:tcPr>
          <w:p w14:paraId="4728E067" w14:textId="78479A9F" w:rsidR="00CA7B3F" w:rsidRPr="00EE5781" w:rsidRDefault="00CA7B3F" w:rsidP="003E4C55">
            <w:pPr>
              <w:pStyle w:val="TableText0"/>
            </w:pPr>
            <w:r w:rsidRPr="00EE5781">
              <w:t>Investigator CGI CFB to 4 weeks, Mean (SD)</w:t>
            </w:r>
          </w:p>
        </w:tc>
        <w:tc>
          <w:tcPr>
            <w:tcW w:w="897" w:type="pct"/>
          </w:tcPr>
          <w:p w14:paraId="0635B433" w14:textId="7B86B8C5" w:rsidR="00CA7B3F" w:rsidRPr="00EE5781" w:rsidRDefault="00927B5F" w:rsidP="003E4C55">
            <w:pPr>
              <w:pStyle w:val="TableText0"/>
            </w:pPr>
            <w:r w:rsidRPr="00EE5781">
              <w:t>0.9 (0.95)</w:t>
            </w:r>
          </w:p>
        </w:tc>
        <w:tc>
          <w:tcPr>
            <w:tcW w:w="807" w:type="pct"/>
          </w:tcPr>
          <w:p w14:paraId="554EC7C4" w14:textId="57AF4DB3" w:rsidR="00CA7B3F" w:rsidRPr="00EE5781" w:rsidRDefault="00927B5F" w:rsidP="003E4C55">
            <w:pPr>
              <w:pStyle w:val="TableText0"/>
            </w:pPr>
            <w:r w:rsidRPr="00EE5781">
              <w:t>0.65 (0.9)</w:t>
            </w:r>
          </w:p>
        </w:tc>
        <w:tc>
          <w:tcPr>
            <w:tcW w:w="968" w:type="pct"/>
          </w:tcPr>
          <w:p w14:paraId="3406CA24" w14:textId="77777777" w:rsidR="00CA7B3F" w:rsidRPr="00EE5781" w:rsidRDefault="00CA7B3F" w:rsidP="003E4C55">
            <w:pPr>
              <w:pStyle w:val="TableText0"/>
            </w:pPr>
          </w:p>
          <w:p w14:paraId="4A528FBB" w14:textId="03859F7F" w:rsidR="00CA7B3F" w:rsidRPr="00EE5781" w:rsidRDefault="00CA7B3F" w:rsidP="003E4C55">
            <w:pPr>
              <w:pStyle w:val="TableText0"/>
            </w:pPr>
            <w:r w:rsidRPr="00EE5781">
              <w:t>1.1 (1.2)</w:t>
            </w:r>
          </w:p>
        </w:tc>
        <w:tc>
          <w:tcPr>
            <w:tcW w:w="1130" w:type="pct"/>
          </w:tcPr>
          <w:p w14:paraId="34880457" w14:textId="77777777" w:rsidR="00CA7B3F" w:rsidRPr="00EE5781" w:rsidRDefault="00CA7B3F" w:rsidP="003E4C55">
            <w:pPr>
              <w:pStyle w:val="TableText0"/>
            </w:pPr>
          </w:p>
          <w:p w14:paraId="5C60D77E" w14:textId="611B3F8A" w:rsidR="00CA7B3F" w:rsidRPr="00EE5781" w:rsidRDefault="00CA7B3F" w:rsidP="003E4C55">
            <w:pPr>
              <w:pStyle w:val="TableText0"/>
            </w:pPr>
            <w:r w:rsidRPr="00EE5781">
              <w:t>0.6 (1.1)</w:t>
            </w:r>
          </w:p>
        </w:tc>
      </w:tr>
      <w:tr w:rsidR="00CA7B3F" w:rsidRPr="00EE5781" w14:paraId="23731F6B" w14:textId="64A7509D" w:rsidTr="00EE5781">
        <w:tc>
          <w:tcPr>
            <w:tcW w:w="1198" w:type="pct"/>
          </w:tcPr>
          <w:p w14:paraId="2AB0DF14" w14:textId="6E6DFA5B" w:rsidR="00CA7B3F" w:rsidRPr="00EE5781" w:rsidRDefault="00CA7B3F" w:rsidP="003E4C55">
            <w:pPr>
              <w:pStyle w:val="TableText0"/>
            </w:pPr>
            <w:r w:rsidRPr="00EE5781">
              <w:t>Investigator CGI CFB to 12 weeks, Mean (SD)</w:t>
            </w:r>
          </w:p>
        </w:tc>
        <w:tc>
          <w:tcPr>
            <w:tcW w:w="897" w:type="pct"/>
          </w:tcPr>
          <w:p w14:paraId="5E6ABF85" w14:textId="47D6E893" w:rsidR="00CA7B3F" w:rsidRPr="00EE5781" w:rsidRDefault="00927B5F" w:rsidP="003E4C55">
            <w:pPr>
              <w:pStyle w:val="TableText0"/>
            </w:pPr>
            <w:r w:rsidRPr="00EE5781">
              <w:t>NR</w:t>
            </w:r>
          </w:p>
        </w:tc>
        <w:tc>
          <w:tcPr>
            <w:tcW w:w="807" w:type="pct"/>
          </w:tcPr>
          <w:p w14:paraId="40422AD2" w14:textId="2E4F0C09" w:rsidR="00CA7B3F" w:rsidRPr="00EE5781" w:rsidRDefault="00927B5F" w:rsidP="003E4C55">
            <w:pPr>
              <w:pStyle w:val="TableText0"/>
            </w:pPr>
            <w:r w:rsidRPr="00EE5781">
              <w:t>NR</w:t>
            </w:r>
          </w:p>
        </w:tc>
        <w:tc>
          <w:tcPr>
            <w:tcW w:w="968" w:type="pct"/>
          </w:tcPr>
          <w:p w14:paraId="188B29C7" w14:textId="77777777" w:rsidR="00CA7B3F" w:rsidRPr="00EE5781" w:rsidRDefault="00CA7B3F" w:rsidP="003E4C55">
            <w:pPr>
              <w:pStyle w:val="TableText0"/>
            </w:pPr>
          </w:p>
          <w:p w14:paraId="45717FD3" w14:textId="6DA9397A" w:rsidR="00CA7B3F" w:rsidRPr="00EE5781" w:rsidRDefault="00CA7B3F" w:rsidP="003E4C55">
            <w:pPr>
              <w:pStyle w:val="TableText0"/>
            </w:pPr>
            <w:r w:rsidRPr="00EE5781">
              <w:t>0.8 (1.3)</w:t>
            </w:r>
          </w:p>
        </w:tc>
        <w:tc>
          <w:tcPr>
            <w:tcW w:w="1130" w:type="pct"/>
          </w:tcPr>
          <w:p w14:paraId="297736FC" w14:textId="77777777" w:rsidR="00CA7B3F" w:rsidRPr="00EE5781" w:rsidRDefault="00CA7B3F" w:rsidP="003E4C55">
            <w:pPr>
              <w:pStyle w:val="TableText0"/>
            </w:pPr>
          </w:p>
          <w:p w14:paraId="2E418AB5" w14:textId="51831637" w:rsidR="00CA7B3F" w:rsidRPr="00EE5781" w:rsidRDefault="00CA7B3F" w:rsidP="003E4C55">
            <w:pPr>
              <w:pStyle w:val="TableText0"/>
            </w:pPr>
            <w:r w:rsidRPr="00EE5781">
              <w:t>0.5 (1.3)</w:t>
            </w:r>
          </w:p>
        </w:tc>
      </w:tr>
      <w:tr w:rsidR="00CA7B3F" w:rsidRPr="00EE5781" w14:paraId="60CAFFAC" w14:textId="1F855FD6" w:rsidTr="00EE5781">
        <w:tc>
          <w:tcPr>
            <w:tcW w:w="1198" w:type="pct"/>
          </w:tcPr>
          <w:p w14:paraId="1E7C8213" w14:textId="038B5FA8" w:rsidR="00CA7B3F" w:rsidRPr="00EE5781" w:rsidRDefault="00CA7B3F" w:rsidP="003E4C55">
            <w:pPr>
              <w:pStyle w:val="TableText0"/>
            </w:pPr>
            <w:r w:rsidRPr="00EE5781">
              <w:t>Patient CGI at baseline</w:t>
            </w:r>
          </w:p>
          <w:p w14:paraId="1C844773" w14:textId="2996C974" w:rsidR="00CA7B3F" w:rsidRPr="00EE5781" w:rsidRDefault="00CA7B3F" w:rsidP="003E4C55">
            <w:pPr>
              <w:pStyle w:val="TableText0"/>
            </w:pPr>
            <w:r w:rsidRPr="00EE5781">
              <w:t>Mean (SD)</w:t>
            </w:r>
          </w:p>
        </w:tc>
        <w:tc>
          <w:tcPr>
            <w:tcW w:w="897" w:type="pct"/>
          </w:tcPr>
          <w:p w14:paraId="19B5C63F" w14:textId="32BE64A0" w:rsidR="00CA7B3F" w:rsidRPr="00EE5781" w:rsidRDefault="00927B5F" w:rsidP="003E4C55">
            <w:pPr>
              <w:pStyle w:val="TableText0"/>
            </w:pPr>
            <w:r w:rsidRPr="00EE5781">
              <w:t>NR</w:t>
            </w:r>
          </w:p>
        </w:tc>
        <w:tc>
          <w:tcPr>
            <w:tcW w:w="807" w:type="pct"/>
          </w:tcPr>
          <w:p w14:paraId="6D830C97" w14:textId="724BFF5D" w:rsidR="00CA7B3F" w:rsidRPr="00EE5781" w:rsidRDefault="00927B5F" w:rsidP="003E4C55">
            <w:pPr>
              <w:pStyle w:val="TableText0"/>
            </w:pPr>
            <w:r w:rsidRPr="00EE5781">
              <w:t>NR</w:t>
            </w:r>
          </w:p>
        </w:tc>
        <w:tc>
          <w:tcPr>
            <w:tcW w:w="968" w:type="pct"/>
          </w:tcPr>
          <w:p w14:paraId="5778CBAD" w14:textId="77777777" w:rsidR="00CA7B3F" w:rsidRPr="00EE5781" w:rsidRDefault="00CA7B3F" w:rsidP="003E4C55">
            <w:pPr>
              <w:pStyle w:val="TableText0"/>
            </w:pPr>
          </w:p>
          <w:p w14:paraId="5786F56A" w14:textId="502A9C77" w:rsidR="00CA7B3F" w:rsidRPr="00EE5781" w:rsidRDefault="00CA7B3F" w:rsidP="003E4C55">
            <w:pPr>
              <w:pStyle w:val="TableText0"/>
            </w:pPr>
            <w:r w:rsidRPr="00EE5781">
              <w:t>-1.3 (1.9)</w:t>
            </w:r>
          </w:p>
        </w:tc>
        <w:tc>
          <w:tcPr>
            <w:tcW w:w="1130" w:type="pct"/>
          </w:tcPr>
          <w:p w14:paraId="7A2295AD" w14:textId="77777777" w:rsidR="00CA7B3F" w:rsidRPr="00EE5781" w:rsidRDefault="00CA7B3F" w:rsidP="003E4C55">
            <w:pPr>
              <w:pStyle w:val="TableText0"/>
            </w:pPr>
          </w:p>
          <w:p w14:paraId="6F81C762" w14:textId="1BD50390" w:rsidR="00CA7B3F" w:rsidRPr="00EE5781" w:rsidRDefault="00CA7B3F" w:rsidP="003E4C55">
            <w:pPr>
              <w:pStyle w:val="TableText0"/>
            </w:pPr>
            <w:r w:rsidRPr="00EE5781">
              <w:t>0.9 (2.0)</w:t>
            </w:r>
          </w:p>
        </w:tc>
      </w:tr>
      <w:tr w:rsidR="00CA7B3F" w:rsidRPr="00EE5781" w14:paraId="40B7B067" w14:textId="3A069746" w:rsidTr="00EE5781">
        <w:tc>
          <w:tcPr>
            <w:tcW w:w="1198" w:type="pct"/>
          </w:tcPr>
          <w:p w14:paraId="66BF5A19" w14:textId="5CD82421" w:rsidR="00CA7B3F" w:rsidRPr="00EE5781" w:rsidRDefault="00CA7B3F" w:rsidP="003E4C55">
            <w:pPr>
              <w:pStyle w:val="TableText0"/>
            </w:pPr>
            <w:r w:rsidRPr="00EE5781">
              <w:t>Patient CGI CFB to 4 weeks, Mean (SD)</w:t>
            </w:r>
          </w:p>
        </w:tc>
        <w:tc>
          <w:tcPr>
            <w:tcW w:w="897" w:type="pct"/>
          </w:tcPr>
          <w:p w14:paraId="55F07182" w14:textId="0E217D20" w:rsidR="00CA7B3F" w:rsidRPr="00EE5781" w:rsidRDefault="00927B5F" w:rsidP="003E4C55">
            <w:pPr>
              <w:pStyle w:val="TableText0"/>
            </w:pPr>
            <w:r w:rsidRPr="00EE5781">
              <w:t>NR</w:t>
            </w:r>
          </w:p>
        </w:tc>
        <w:tc>
          <w:tcPr>
            <w:tcW w:w="807" w:type="pct"/>
          </w:tcPr>
          <w:p w14:paraId="043F6ECF" w14:textId="1E4FD9D1" w:rsidR="00CA7B3F" w:rsidRPr="00EE5781" w:rsidRDefault="00927B5F" w:rsidP="003E4C55">
            <w:pPr>
              <w:pStyle w:val="TableText0"/>
            </w:pPr>
            <w:r w:rsidRPr="00EE5781">
              <w:t>NR</w:t>
            </w:r>
          </w:p>
        </w:tc>
        <w:tc>
          <w:tcPr>
            <w:tcW w:w="968" w:type="pct"/>
          </w:tcPr>
          <w:p w14:paraId="2592375C" w14:textId="77777777" w:rsidR="00CA7B3F" w:rsidRPr="00EE5781" w:rsidRDefault="00CA7B3F" w:rsidP="003E4C55">
            <w:pPr>
              <w:pStyle w:val="TableText0"/>
            </w:pPr>
          </w:p>
          <w:p w14:paraId="108AA1DE" w14:textId="75628ADA" w:rsidR="00CA7B3F" w:rsidRPr="00EE5781" w:rsidRDefault="00CA7B3F" w:rsidP="003E4C55">
            <w:pPr>
              <w:pStyle w:val="TableText0"/>
            </w:pPr>
            <w:r w:rsidRPr="00EE5781">
              <w:t>0.8 (1.6)</w:t>
            </w:r>
          </w:p>
        </w:tc>
        <w:tc>
          <w:tcPr>
            <w:tcW w:w="1130" w:type="pct"/>
          </w:tcPr>
          <w:p w14:paraId="6BC56643" w14:textId="77777777" w:rsidR="00CA7B3F" w:rsidRPr="00EE5781" w:rsidRDefault="00CA7B3F" w:rsidP="003E4C55">
            <w:pPr>
              <w:pStyle w:val="TableText0"/>
            </w:pPr>
          </w:p>
          <w:p w14:paraId="31706AA3" w14:textId="0EF0FDB9" w:rsidR="00CA7B3F" w:rsidRPr="00EE5781" w:rsidRDefault="00CA7B3F" w:rsidP="003E4C55">
            <w:pPr>
              <w:pStyle w:val="TableText0"/>
            </w:pPr>
            <w:r w:rsidRPr="00EE5781">
              <w:t>0.4 (1.8)</w:t>
            </w:r>
          </w:p>
        </w:tc>
      </w:tr>
      <w:tr w:rsidR="00CA7B3F" w:rsidRPr="00EE5781" w14:paraId="032FAA03" w14:textId="7F656FC3" w:rsidTr="00EE5781">
        <w:tc>
          <w:tcPr>
            <w:tcW w:w="1198" w:type="pct"/>
          </w:tcPr>
          <w:p w14:paraId="06440C6D" w14:textId="14A10C14" w:rsidR="00CA7B3F" w:rsidRPr="00EE5781" w:rsidRDefault="00CA7B3F" w:rsidP="003E4C55">
            <w:pPr>
              <w:pStyle w:val="TableText0"/>
            </w:pPr>
            <w:r w:rsidRPr="00EE5781">
              <w:t>Patient CGI CFB to 12 weeks, Mean (SD)</w:t>
            </w:r>
          </w:p>
        </w:tc>
        <w:tc>
          <w:tcPr>
            <w:tcW w:w="897" w:type="pct"/>
          </w:tcPr>
          <w:p w14:paraId="7B9D7448" w14:textId="2D19EC6C" w:rsidR="00CA7B3F" w:rsidRPr="00EE5781" w:rsidRDefault="00927B5F" w:rsidP="003E4C55">
            <w:pPr>
              <w:pStyle w:val="TableText0"/>
            </w:pPr>
            <w:r w:rsidRPr="00EE5781">
              <w:t>NR</w:t>
            </w:r>
          </w:p>
        </w:tc>
        <w:tc>
          <w:tcPr>
            <w:tcW w:w="807" w:type="pct"/>
          </w:tcPr>
          <w:p w14:paraId="6282E152" w14:textId="63CA841C" w:rsidR="00CA7B3F" w:rsidRPr="00EE5781" w:rsidRDefault="00927B5F" w:rsidP="003E4C55">
            <w:pPr>
              <w:pStyle w:val="TableText0"/>
            </w:pPr>
            <w:r w:rsidRPr="00EE5781">
              <w:t>NR</w:t>
            </w:r>
          </w:p>
        </w:tc>
        <w:tc>
          <w:tcPr>
            <w:tcW w:w="968" w:type="pct"/>
          </w:tcPr>
          <w:p w14:paraId="565A85D5" w14:textId="77777777" w:rsidR="00CA7B3F" w:rsidRPr="00EE5781" w:rsidRDefault="00CA7B3F" w:rsidP="003E4C55">
            <w:pPr>
              <w:pStyle w:val="TableText0"/>
            </w:pPr>
          </w:p>
          <w:p w14:paraId="520AE7AC" w14:textId="07C0807F" w:rsidR="00CA7B3F" w:rsidRPr="00EE5781" w:rsidRDefault="00CA7B3F" w:rsidP="003E4C55">
            <w:pPr>
              <w:pStyle w:val="TableText0"/>
            </w:pPr>
            <w:r w:rsidRPr="00EE5781">
              <w:t>0.5 (1.5)</w:t>
            </w:r>
          </w:p>
        </w:tc>
        <w:tc>
          <w:tcPr>
            <w:tcW w:w="1130" w:type="pct"/>
          </w:tcPr>
          <w:p w14:paraId="61A71578" w14:textId="77777777" w:rsidR="00CA7B3F" w:rsidRPr="00EE5781" w:rsidRDefault="00CA7B3F" w:rsidP="003E4C55">
            <w:pPr>
              <w:pStyle w:val="TableText0"/>
            </w:pPr>
          </w:p>
          <w:p w14:paraId="07668602" w14:textId="26D74DE4" w:rsidR="00CA7B3F" w:rsidRPr="00EE5781" w:rsidRDefault="00CA7B3F" w:rsidP="003E4C55">
            <w:pPr>
              <w:pStyle w:val="TableText0"/>
            </w:pPr>
            <w:r w:rsidRPr="00EE5781">
              <w:t>0.5 (2.2)</w:t>
            </w:r>
          </w:p>
        </w:tc>
      </w:tr>
      <w:tr w:rsidR="00CA7B3F" w:rsidRPr="00EE5781" w14:paraId="3FBC17CC" w14:textId="75AC539C" w:rsidTr="00EE5781">
        <w:tc>
          <w:tcPr>
            <w:tcW w:w="1198" w:type="pct"/>
          </w:tcPr>
          <w:p w14:paraId="0B950732" w14:textId="06D5E45D" w:rsidR="00CA7B3F" w:rsidRPr="00EE5781" w:rsidRDefault="00CA7B3F" w:rsidP="003E4C55">
            <w:pPr>
              <w:pStyle w:val="TableText0"/>
            </w:pPr>
            <w:r w:rsidRPr="00EE5781">
              <w:t>PRS Gait Score at baseline</w:t>
            </w:r>
          </w:p>
          <w:p w14:paraId="61F73A4E" w14:textId="38D8FBDE" w:rsidR="00CA7B3F" w:rsidRPr="00EE5781" w:rsidRDefault="00CA7B3F" w:rsidP="003E4C55">
            <w:pPr>
              <w:pStyle w:val="TableText0"/>
            </w:pPr>
            <w:r w:rsidRPr="00EE5781">
              <w:t>Mean (SD)</w:t>
            </w:r>
          </w:p>
        </w:tc>
        <w:tc>
          <w:tcPr>
            <w:tcW w:w="897" w:type="pct"/>
          </w:tcPr>
          <w:p w14:paraId="6484A8D6" w14:textId="51EF3F96" w:rsidR="00CA7B3F" w:rsidRPr="00EE5781" w:rsidRDefault="00927B5F" w:rsidP="003E4C55">
            <w:pPr>
              <w:pStyle w:val="TableText0"/>
            </w:pPr>
            <w:r w:rsidRPr="00EE5781">
              <w:t>NR</w:t>
            </w:r>
          </w:p>
        </w:tc>
        <w:tc>
          <w:tcPr>
            <w:tcW w:w="807" w:type="pct"/>
          </w:tcPr>
          <w:p w14:paraId="504E062A" w14:textId="30BC1BC5" w:rsidR="00CA7B3F" w:rsidRPr="00EE5781" w:rsidRDefault="00927B5F" w:rsidP="003E4C55">
            <w:pPr>
              <w:pStyle w:val="TableText0"/>
            </w:pPr>
            <w:r w:rsidRPr="00EE5781">
              <w:t>NR</w:t>
            </w:r>
          </w:p>
        </w:tc>
        <w:tc>
          <w:tcPr>
            <w:tcW w:w="968" w:type="pct"/>
          </w:tcPr>
          <w:p w14:paraId="61B21899" w14:textId="77777777" w:rsidR="00CA7B3F" w:rsidRPr="00EE5781" w:rsidRDefault="00CA7B3F" w:rsidP="003E4C55">
            <w:pPr>
              <w:pStyle w:val="TableText0"/>
            </w:pPr>
          </w:p>
          <w:p w14:paraId="5C4F4CBA" w14:textId="086684E5" w:rsidR="00CA7B3F" w:rsidRPr="00EE5781" w:rsidRDefault="00CA7B3F" w:rsidP="003E4C55">
            <w:pPr>
              <w:pStyle w:val="TableText0"/>
            </w:pPr>
            <w:r w:rsidRPr="00EE5781">
              <w:t>3.1 (2.4)</w:t>
            </w:r>
          </w:p>
        </w:tc>
        <w:tc>
          <w:tcPr>
            <w:tcW w:w="1130" w:type="pct"/>
          </w:tcPr>
          <w:p w14:paraId="1A80F784" w14:textId="77777777" w:rsidR="00CA7B3F" w:rsidRPr="00EE5781" w:rsidRDefault="00CA7B3F" w:rsidP="003E4C55">
            <w:pPr>
              <w:pStyle w:val="TableText0"/>
            </w:pPr>
          </w:p>
          <w:p w14:paraId="693F62BF" w14:textId="60A433CE" w:rsidR="00CA7B3F" w:rsidRPr="00EE5781" w:rsidRDefault="00CA7B3F" w:rsidP="003E4C55">
            <w:pPr>
              <w:pStyle w:val="TableText0"/>
            </w:pPr>
            <w:r w:rsidRPr="00EE5781">
              <w:t>3.2 (2.0)</w:t>
            </w:r>
          </w:p>
        </w:tc>
      </w:tr>
      <w:tr w:rsidR="00CA7B3F" w:rsidRPr="00EE5781" w14:paraId="2C2A3C39" w14:textId="657C0DAD" w:rsidTr="00EE5781">
        <w:tc>
          <w:tcPr>
            <w:tcW w:w="1198" w:type="pct"/>
          </w:tcPr>
          <w:p w14:paraId="2DE9C1DB" w14:textId="1B77F532" w:rsidR="00CA7B3F" w:rsidRPr="00EE5781" w:rsidRDefault="00CA7B3F" w:rsidP="003E4C55">
            <w:pPr>
              <w:pStyle w:val="TableText0"/>
            </w:pPr>
            <w:r w:rsidRPr="00EE5781">
              <w:t>PRS Gait Score CFB to 4 weeks, Mean (SD)</w:t>
            </w:r>
          </w:p>
        </w:tc>
        <w:tc>
          <w:tcPr>
            <w:tcW w:w="897" w:type="pct"/>
          </w:tcPr>
          <w:p w14:paraId="7BBEB2BD" w14:textId="0C01A00B" w:rsidR="00CA7B3F" w:rsidRPr="00EE5781" w:rsidRDefault="00927B5F" w:rsidP="003E4C55">
            <w:pPr>
              <w:pStyle w:val="TableText0"/>
            </w:pPr>
            <w:r w:rsidRPr="00EE5781">
              <w:t>NR</w:t>
            </w:r>
          </w:p>
        </w:tc>
        <w:tc>
          <w:tcPr>
            <w:tcW w:w="807" w:type="pct"/>
          </w:tcPr>
          <w:p w14:paraId="5DDC081A" w14:textId="11BB1F94" w:rsidR="00CA7B3F" w:rsidRPr="00EE5781" w:rsidRDefault="00927B5F" w:rsidP="003E4C55">
            <w:pPr>
              <w:pStyle w:val="TableText0"/>
            </w:pPr>
            <w:r w:rsidRPr="00EE5781">
              <w:t>NR</w:t>
            </w:r>
          </w:p>
        </w:tc>
        <w:tc>
          <w:tcPr>
            <w:tcW w:w="968" w:type="pct"/>
          </w:tcPr>
          <w:p w14:paraId="4D2A7768" w14:textId="77777777" w:rsidR="00CA7B3F" w:rsidRPr="00EE5781" w:rsidRDefault="00CA7B3F" w:rsidP="003E4C55">
            <w:pPr>
              <w:pStyle w:val="TableText0"/>
            </w:pPr>
          </w:p>
          <w:p w14:paraId="5D2FA8A2" w14:textId="7133A3B9" w:rsidR="00CA7B3F" w:rsidRPr="00EE5781" w:rsidRDefault="00CA7B3F" w:rsidP="003E4C55">
            <w:pPr>
              <w:pStyle w:val="TableText0"/>
            </w:pPr>
            <w:r w:rsidRPr="00EE5781">
              <w:t>0.5 (1.2)</w:t>
            </w:r>
          </w:p>
        </w:tc>
        <w:tc>
          <w:tcPr>
            <w:tcW w:w="1130" w:type="pct"/>
          </w:tcPr>
          <w:p w14:paraId="4F1BF60D" w14:textId="77777777" w:rsidR="00CA7B3F" w:rsidRPr="00EE5781" w:rsidRDefault="00CA7B3F" w:rsidP="003E4C55">
            <w:pPr>
              <w:pStyle w:val="TableText0"/>
            </w:pPr>
          </w:p>
          <w:p w14:paraId="08652ADE" w14:textId="7EBB2D8E" w:rsidR="00CA7B3F" w:rsidRPr="00EE5781" w:rsidRDefault="00CA7B3F" w:rsidP="003E4C55">
            <w:pPr>
              <w:pStyle w:val="TableText0"/>
            </w:pPr>
            <w:r w:rsidRPr="00EE5781">
              <w:t>0.6 (1.4)</w:t>
            </w:r>
          </w:p>
        </w:tc>
      </w:tr>
      <w:tr w:rsidR="00CA7B3F" w:rsidRPr="00EE5781" w14:paraId="10200860" w14:textId="32D3BB43" w:rsidTr="00EE5781">
        <w:tc>
          <w:tcPr>
            <w:tcW w:w="1198" w:type="pct"/>
          </w:tcPr>
          <w:p w14:paraId="05F5E35E" w14:textId="6D0AFD0F" w:rsidR="00CA7B3F" w:rsidRPr="00EE5781" w:rsidRDefault="00CA7B3F" w:rsidP="003E4C55">
            <w:pPr>
              <w:pStyle w:val="TableText0"/>
            </w:pPr>
            <w:r w:rsidRPr="00EE5781">
              <w:t>PRS Gait Score CFB to 12 weeks, Mean (SD)</w:t>
            </w:r>
          </w:p>
        </w:tc>
        <w:tc>
          <w:tcPr>
            <w:tcW w:w="897" w:type="pct"/>
          </w:tcPr>
          <w:p w14:paraId="45204E09" w14:textId="59A81128" w:rsidR="00CA7B3F" w:rsidRPr="00EE5781" w:rsidRDefault="00927B5F" w:rsidP="003E4C55">
            <w:pPr>
              <w:pStyle w:val="TableText0"/>
            </w:pPr>
            <w:r w:rsidRPr="00EE5781">
              <w:t>NR</w:t>
            </w:r>
          </w:p>
        </w:tc>
        <w:tc>
          <w:tcPr>
            <w:tcW w:w="807" w:type="pct"/>
          </w:tcPr>
          <w:p w14:paraId="035E94A7" w14:textId="66B69179" w:rsidR="00CA7B3F" w:rsidRPr="00EE5781" w:rsidRDefault="00927B5F" w:rsidP="003E4C55">
            <w:pPr>
              <w:pStyle w:val="TableText0"/>
            </w:pPr>
            <w:r w:rsidRPr="00EE5781">
              <w:t>NR</w:t>
            </w:r>
          </w:p>
        </w:tc>
        <w:tc>
          <w:tcPr>
            <w:tcW w:w="968" w:type="pct"/>
          </w:tcPr>
          <w:p w14:paraId="152344A8" w14:textId="77777777" w:rsidR="00CA7B3F" w:rsidRPr="00EE5781" w:rsidRDefault="00CA7B3F" w:rsidP="003E4C55">
            <w:pPr>
              <w:pStyle w:val="TableText0"/>
            </w:pPr>
          </w:p>
          <w:p w14:paraId="5E7974ED" w14:textId="43CA8C90" w:rsidR="00CA7B3F" w:rsidRPr="00EE5781" w:rsidRDefault="00CA7B3F" w:rsidP="003E4C55">
            <w:pPr>
              <w:pStyle w:val="TableText0"/>
            </w:pPr>
            <w:r w:rsidRPr="00EE5781">
              <w:t>0.6 (1.3)</w:t>
            </w:r>
          </w:p>
        </w:tc>
        <w:tc>
          <w:tcPr>
            <w:tcW w:w="1130" w:type="pct"/>
          </w:tcPr>
          <w:p w14:paraId="4A04AF13" w14:textId="77777777" w:rsidR="00CA7B3F" w:rsidRPr="00EE5781" w:rsidRDefault="00CA7B3F" w:rsidP="003E4C55">
            <w:pPr>
              <w:pStyle w:val="TableText0"/>
            </w:pPr>
          </w:p>
          <w:p w14:paraId="74879304" w14:textId="2BC92FBE" w:rsidR="00CA7B3F" w:rsidRPr="00EE5781" w:rsidRDefault="00CA7B3F" w:rsidP="003E4C55">
            <w:pPr>
              <w:pStyle w:val="TableText0"/>
            </w:pPr>
            <w:r w:rsidRPr="00EE5781">
              <w:t>0.6 (1.6)</w:t>
            </w:r>
          </w:p>
        </w:tc>
      </w:tr>
      <w:tr w:rsidR="00CA7B3F" w:rsidRPr="00EE5781" w14:paraId="775E09E5" w14:textId="1627A1C8" w:rsidTr="00EE5781">
        <w:tc>
          <w:tcPr>
            <w:tcW w:w="1198" w:type="pct"/>
          </w:tcPr>
          <w:p w14:paraId="17A3FC1B" w14:textId="7BDCFD88" w:rsidR="00CA7B3F" w:rsidRPr="00EE5781" w:rsidRDefault="00CA7B3F" w:rsidP="003E4C55">
            <w:pPr>
              <w:pStyle w:val="TableText0"/>
            </w:pPr>
            <w:r w:rsidRPr="00EE5781">
              <w:t>Time to walk 10</w:t>
            </w:r>
            <w:r w:rsidR="00707F00" w:rsidRPr="00EE5781">
              <w:t xml:space="preserve"> </w:t>
            </w:r>
            <w:r w:rsidRPr="00EE5781">
              <w:t>m at baseline, seconds</w:t>
            </w:r>
          </w:p>
          <w:p w14:paraId="6B552BAC" w14:textId="5A46A620" w:rsidR="00CA7B3F" w:rsidRPr="00EE5781" w:rsidRDefault="00CA7B3F" w:rsidP="003E4C55">
            <w:pPr>
              <w:pStyle w:val="TableText0"/>
            </w:pPr>
            <w:r w:rsidRPr="00EE5781">
              <w:t>Mean (SD)</w:t>
            </w:r>
          </w:p>
        </w:tc>
        <w:tc>
          <w:tcPr>
            <w:tcW w:w="897" w:type="pct"/>
          </w:tcPr>
          <w:p w14:paraId="3D7964F0" w14:textId="2F88C3F3" w:rsidR="00CA7B3F" w:rsidRPr="00EE5781" w:rsidRDefault="00927B5F" w:rsidP="003E4C55">
            <w:pPr>
              <w:pStyle w:val="TableText0"/>
            </w:pPr>
            <w:r w:rsidRPr="00EE5781">
              <w:t>NR</w:t>
            </w:r>
          </w:p>
        </w:tc>
        <w:tc>
          <w:tcPr>
            <w:tcW w:w="807" w:type="pct"/>
          </w:tcPr>
          <w:p w14:paraId="752223F9" w14:textId="12D7660A" w:rsidR="00CA7B3F" w:rsidRPr="00EE5781" w:rsidRDefault="00927B5F" w:rsidP="003E4C55">
            <w:pPr>
              <w:pStyle w:val="TableText0"/>
            </w:pPr>
            <w:r w:rsidRPr="00EE5781">
              <w:t>NR</w:t>
            </w:r>
          </w:p>
        </w:tc>
        <w:tc>
          <w:tcPr>
            <w:tcW w:w="968" w:type="pct"/>
          </w:tcPr>
          <w:p w14:paraId="0AEFC4DC" w14:textId="77777777" w:rsidR="00CA7B3F" w:rsidRPr="00EE5781" w:rsidRDefault="00CA7B3F" w:rsidP="003E4C55">
            <w:pPr>
              <w:pStyle w:val="TableText0"/>
            </w:pPr>
          </w:p>
          <w:p w14:paraId="165DD100" w14:textId="77777777" w:rsidR="00CA7B3F" w:rsidRPr="00EE5781" w:rsidRDefault="00CA7B3F" w:rsidP="003E4C55">
            <w:pPr>
              <w:pStyle w:val="TableText0"/>
            </w:pPr>
          </w:p>
          <w:p w14:paraId="39CB1107" w14:textId="2B5FD43C" w:rsidR="00CA7B3F" w:rsidRPr="00EE5781" w:rsidRDefault="00CA7B3F" w:rsidP="003E4C55">
            <w:pPr>
              <w:pStyle w:val="TableText0"/>
            </w:pPr>
            <w:r w:rsidRPr="00EE5781">
              <w:t>61.0 (49.7)</w:t>
            </w:r>
          </w:p>
        </w:tc>
        <w:tc>
          <w:tcPr>
            <w:tcW w:w="1130" w:type="pct"/>
          </w:tcPr>
          <w:p w14:paraId="133B9A62" w14:textId="77777777" w:rsidR="00CA7B3F" w:rsidRPr="00EE5781" w:rsidRDefault="00CA7B3F" w:rsidP="003E4C55">
            <w:pPr>
              <w:pStyle w:val="TableText0"/>
            </w:pPr>
          </w:p>
          <w:p w14:paraId="06FBBD61" w14:textId="77777777" w:rsidR="00CA7B3F" w:rsidRPr="00EE5781" w:rsidRDefault="00CA7B3F" w:rsidP="003E4C55">
            <w:pPr>
              <w:pStyle w:val="TableText0"/>
            </w:pPr>
          </w:p>
          <w:p w14:paraId="3E58FFE7" w14:textId="709E60FD" w:rsidR="00CA7B3F" w:rsidRPr="00EE5781" w:rsidRDefault="00CA7B3F" w:rsidP="003E4C55">
            <w:pPr>
              <w:pStyle w:val="TableText0"/>
            </w:pPr>
            <w:r w:rsidRPr="00EE5781">
              <w:t>52.8 (51.6)</w:t>
            </w:r>
          </w:p>
        </w:tc>
      </w:tr>
      <w:tr w:rsidR="00CA7B3F" w:rsidRPr="00EE5781" w14:paraId="253B8A16" w14:textId="18C3A49B" w:rsidTr="00EE5781">
        <w:tc>
          <w:tcPr>
            <w:tcW w:w="1198" w:type="pct"/>
          </w:tcPr>
          <w:p w14:paraId="6DAE933F" w14:textId="2FEC9296" w:rsidR="00CA7B3F" w:rsidRPr="00EE5781" w:rsidRDefault="00CA7B3F" w:rsidP="003E4C55">
            <w:pPr>
              <w:pStyle w:val="TableText0"/>
            </w:pPr>
            <w:r w:rsidRPr="00EE5781">
              <w:t>Time to walk 10 m, CFB to 4 weeks, Mean (SD)</w:t>
            </w:r>
          </w:p>
        </w:tc>
        <w:tc>
          <w:tcPr>
            <w:tcW w:w="897" w:type="pct"/>
          </w:tcPr>
          <w:p w14:paraId="5D53B7DE" w14:textId="10340689" w:rsidR="00CA7B3F" w:rsidRPr="00EE5781" w:rsidRDefault="00927B5F" w:rsidP="003E4C55">
            <w:pPr>
              <w:pStyle w:val="TableText0"/>
            </w:pPr>
            <w:r w:rsidRPr="00EE5781">
              <w:t>NR</w:t>
            </w:r>
          </w:p>
        </w:tc>
        <w:tc>
          <w:tcPr>
            <w:tcW w:w="807" w:type="pct"/>
          </w:tcPr>
          <w:p w14:paraId="6FC1B3B6" w14:textId="7849890B" w:rsidR="00CA7B3F" w:rsidRPr="00EE5781" w:rsidRDefault="00927B5F" w:rsidP="003E4C55">
            <w:pPr>
              <w:pStyle w:val="TableText0"/>
            </w:pPr>
            <w:r w:rsidRPr="00EE5781">
              <w:t>NR</w:t>
            </w:r>
          </w:p>
        </w:tc>
        <w:tc>
          <w:tcPr>
            <w:tcW w:w="968" w:type="pct"/>
          </w:tcPr>
          <w:p w14:paraId="32D951D2" w14:textId="77777777" w:rsidR="00CA7B3F" w:rsidRPr="00EE5781" w:rsidRDefault="00CA7B3F" w:rsidP="003E4C55">
            <w:pPr>
              <w:pStyle w:val="TableText0"/>
            </w:pPr>
          </w:p>
          <w:p w14:paraId="751834D1" w14:textId="5624C57F" w:rsidR="00CA7B3F" w:rsidRPr="00EE5781" w:rsidRDefault="00CA7B3F" w:rsidP="003E4C55">
            <w:pPr>
              <w:pStyle w:val="TableText0"/>
            </w:pPr>
            <w:r w:rsidRPr="00EE5781">
              <w:t>-6.1 (22.9)</w:t>
            </w:r>
          </w:p>
        </w:tc>
        <w:tc>
          <w:tcPr>
            <w:tcW w:w="1130" w:type="pct"/>
          </w:tcPr>
          <w:p w14:paraId="66C0607A" w14:textId="77777777" w:rsidR="00CA7B3F" w:rsidRPr="00EE5781" w:rsidRDefault="00CA7B3F" w:rsidP="003E4C55">
            <w:pPr>
              <w:pStyle w:val="TableText0"/>
            </w:pPr>
          </w:p>
          <w:p w14:paraId="3CAF1EC0" w14:textId="7D422213" w:rsidR="00CA7B3F" w:rsidRPr="00EE5781" w:rsidRDefault="00CA7B3F" w:rsidP="003E4C55">
            <w:pPr>
              <w:pStyle w:val="TableText0"/>
            </w:pPr>
            <w:r w:rsidRPr="00EE5781">
              <w:t>-7.4 (20.8)</w:t>
            </w:r>
          </w:p>
        </w:tc>
      </w:tr>
      <w:tr w:rsidR="00CA7B3F" w:rsidRPr="00EE5781" w14:paraId="3110875B" w14:textId="0E6B5BC6" w:rsidTr="00EE5781">
        <w:tc>
          <w:tcPr>
            <w:tcW w:w="1198" w:type="pct"/>
          </w:tcPr>
          <w:p w14:paraId="782D3BC4" w14:textId="21C041DC" w:rsidR="00CA7B3F" w:rsidRPr="00EE5781" w:rsidRDefault="00CA7B3F" w:rsidP="003E4C55">
            <w:pPr>
              <w:pStyle w:val="TableText0"/>
            </w:pPr>
            <w:r w:rsidRPr="00EE5781">
              <w:t>Time to walk 10 m, CFB to 12 weeks, Mean (SD)</w:t>
            </w:r>
          </w:p>
        </w:tc>
        <w:tc>
          <w:tcPr>
            <w:tcW w:w="897" w:type="pct"/>
          </w:tcPr>
          <w:p w14:paraId="7A5ABCDE" w14:textId="7FC14C99" w:rsidR="00CA7B3F" w:rsidRPr="00EE5781" w:rsidRDefault="00927B5F" w:rsidP="003E4C55">
            <w:pPr>
              <w:pStyle w:val="TableText0"/>
            </w:pPr>
            <w:r w:rsidRPr="00EE5781">
              <w:t>NR</w:t>
            </w:r>
          </w:p>
        </w:tc>
        <w:tc>
          <w:tcPr>
            <w:tcW w:w="807" w:type="pct"/>
          </w:tcPr>
          <w:p w14:paraId="060C9BCB" w14:textId="054C49ED" w:rsidR="00CA7B3F" w:rsidRPr="00EE5781" w:rsidRDefault="00927B5F" w:rsidP="003E4C55">
            <w:pPr>
              <w:pStyle w:val="TableText0"/>
            </w:pPr>
            <w:r w:rsidRPr="00EE5781">
              <w:t>NR</w:t>
            </w:r>
          </w:p>
        </w:tc>
        <w:tc>
          <w:tcPr>
            <w:tcW w:w="968" w:type="pct"/>
          </w:tcPr>
          <w:p w14:paraId="2F46138D" w14:textId="77777777" w:rsidR="00CA7B3F" w:rsidRPr="00EE5781" w:rsidRDefault="00CA7B3F" w:rsidP="003E4C55">
            <w:pPr>
              <w:pStyle w:val="TableText0"/>
            </w:pPr>
          </w:p>
          <w:p w14:paraId="2CC17A10" w14:textId="7FAC1641" w:rsidR="00CA7B3F" w:rsidRPr="00EE5781" w:rsidRDefault="00CA7B3F" w:rsidP="003E4C55">
            <w:pPr>
              <w:pStyle w:val="TableText0"/>
            </w:pPr>
            <w:r w:rsidRPr="00EE5781">
              <w:t>-10.1 (26.9)</w:t>
            </w:r>
          </w:p>
        </w:tc>
        <w:tc>
          <w:tcPr>
            <w:tcW w:w="1130" w:type="pct"/>
          </w:tcPr>
          <w:p w14:paraId="0622FAC0" w14:textId="77777777" w:rsidR="00CA7B3F" w:rsidRPr="00EE5781" w:rsidRDefault="00CA7B3F" w:rsidP="003E4C55">
            <w:pPr>
              <w:pStyle w:val="TableText0"/>
            </w:pPr>
          </w:p>
          <w:p w14:paraId="15747DF3" w14:textId="58B8CD3A" w:rsidR="00CA7B3F" w:rsidRPr="00EE5781" w:rsidRDefault="00CA7B3F" w:rsidP="003E4C55">
            <w:pPr>
              <w:pStyle w:val="TableText0"/>
            </w:pPr>
            <w:r w:rsidRPr="00EE5781">
              <w:t>-8.5 (24.7)</w:t>
            </w:r>
          </w:p>
        </w:tc>
      </w:tr>
      <w:tr w:rsidR="00F75573" w:rsidRPr="00EE5781" w14:paraId="70F7F659" w14:textId="77777777" w:rsidTr="00EE5781">
        <w:tc>
          <w:tcPr>
            <w:tcW w:w="1198" w:type="pct"/>
          </w:tcPr>
          <w:p w14:paraId="3FDBD4C6" w14:textId="3EBBAD3E" w:rsidR="00F75573" w:rsidRPr="00EE5781" w:rsidRDefault="00F75573" w:rsidP="003E4C55">
            <w:pPr>
              <w:pStyle w:val="TableText0"/>
            </w:pPr>
            <w:r w:rsidRPr="00EE5781">
              <w:t>Goal Attainment Scale, % 0 or better at 8 weeks</w:t>
            </w:r>
          </w:p>
        </w:tc>
        <w:tc>
          <w:tcPr>
            <w:tcW w:w="897" w:type="pct"/>
          </w:tcPr>
          <w:p w14:paraId="6F7E7948" w14:textId="4B812DE3" w:rsidR="00F75573" w:rsidRPr="00EE5781" w:rsidRDefault="00F75573" w:rsidP="003E4C55">
            <w:pPr>
              <w:pStyle w:val="TableText0"/>
            </w:pPr>
            <w:r w:rsidRPr="00EE5781">
              <w:t>32.3%</w:t>
            </w:r>
          </w:p>
        </w:tc>
        <w:tc>
          <w:tcPr>
            <w:tcW w:w="807" w:type="pct"/>
          </w:tcPr>
          <w:p w14:paraId="61FFB8B0" w14:textId="5754F9E8" w:rsidR="00F75573" w:rsidRPr="00EE5781" w:rsidRDefault="00F75573" w:rsidP="003E4C55">
            <w:pPr>
              <w:pStyle w:val="TableText0"/>
            </w:pPr>
            <w:r w:rsidRPr="00EE5781">
              <w:t>30.3%</w:t>
            </w:r>
          </w:p>
        </w:tc>
        <w:tc>
          <w:tcPr>
            <w:tcW w:w="968" w:type="pct"/>
          </w:tcPr>
          <w:p w14:paraId="2A5D299B" w14:textId="63BE499A" w:rsidR="00F75573" w:rsidRPr="00EE5781" w:rsidRDefault="00F75573" w:rsidP="003E4C55">
            <w:pPr>
              <w:pStyle w:val="TableText0"/>
            </w:pPr>
            <w:r w:rsidRPr="00EE5781">
              <w:t>NR</w:t>
            </w:r>
          </w:p>
        </w:tc>
        <w:tc>
          <w:tcPr>
            <w:tcW w:w="1130" w:type="pct"/>
          </w:tcPr>
          <w:p w14:paraId="5311E7D7" w14:textId="11AC43EF" w:rsidR="00F75573" w:rsidRPr="00EE5781" w:rsidRDefault="00F75573" w:rsidP="003E4C55">
            <w:pPr>
              <w:pStyle w:val="TableText0"/>
            </w:pPr>
            <w:r w:rsidRPr="00EE5781">
              <w:t>NR</w:t>
            </w:r>
          </w:p>
        </w:tc>
      </w:tr>
    </w:tbl>
    <w:p w14:paraId="5BC5083A" w14:textId="77777777" w:rsidR="002B6CA9" w:rsidRDefault="00DF7DFA" w:rsidP="00BB16F5">
      <w:pPr>
        <w:pStyle w:val="TableFigureFooter"/>
      </w:pPr>
      <w:r>
        <w:t xml:space="preserve">Source: Constructed during the evaluation from published reports. Statistically significant results vs placebo are in </w:t>
      </w:r>
      <w:r w:rsidRPr="00DF7DFA">
        <w:rPr>
          <w:b/>
          <w:bCs/>
        </w:rPr>
        <w:t>bold</w:t>
      </w:r>
      <w:r>
        <w:t>.</w:t>
      </w:r>
      <w:r w:rsidR="002B6CA9">
        <w:t xml:space="preserve"> </w:t>
      </w:r>
    </w:p>
    <w:p w14:paraId="595265A1" w14:textId="3FA7C614" w:rsidR="00BB16F5" w:rsidRDefault="002B6CA9" w:rsidP="00BB16F5">
      <w:pPr>
        <w:pStyle w:val="TableFigureFooter"/>
      </w:pPr>
      <w:r>
        <w:lastRenderedPageBreak/>
        <w:t>AUC = area under the curve; CFB = change from baseline; CGI = clinical global impression; CI = confidence interval; MAS = modified Ashworth scale; NR = not reported; PRS = physician's rating scale; SD = standard deviation.</w:t>
      </w:r>
    </w:p>
    <w:p w14:paraId="79DA5912" w14:textId="4AE5E92D" w:rsidR="00F75573" w:rsidRPr="00336369" w:rsidRDefault="00F75573" w:rsidP="00CA7B3F">
      <w:pPr>
        <w:pStyle w:val="3-BodyText"/>
        <w:rPr>
          <w:color w:val="000000" w:themeColor="text1"/>
        </w:rPr>
      </w:pPr>
      <w:r w:rsidRPr="00336369">
        <w:rPr>
          <w:color w:val="000000" w:themeColor="text1"/>
        </w:rPr>
        <w:t xml:space="preserve">The Goal Attainment Scale assesses achievement of a patient-defined goal, with 0 = achieved as </w:t>
      </w:r>
      <w:r w:rsidR="00F67BF8" w:rsidRPr="00336369">
        <w:rPr>
          <w:color w:val="000000" w:themeColor="text1"/>
        </w:rPr>
        <w:t>desired</w:t>
      </w:r>
      <w:r w:rsidRPr="00336369">
        <w:rPr>
          <w:color w:val="000000" w:themeColor="text1"/>
        </w:rPr>
        <w:t xml:space="preserve">, -1 a little less than </w:t>
      </w:r>
      <w:r w:rsidR="00F67BF8" w:rsidRPr="00336369">
        <w:rPr>
          <w:color w:val="000000" w:themeColor="text1"/>
        </w:rPr>
        <w:t>desired</w:t>
      </w:r>
      <w:r w:rsidRPr="00336369">
        <w:rPr>
          <w:color w:val="000000" w:themeColor="text1"/>
        </w:rPr>
        <w:t xml:space="preserve">, -2 a lot less than </w:t>
      </w:r>
      <w:r w:rsidR="00F67BF8" w:rsidRPr="00336369">
        <w:rPr>
          <w:color w:val="000000" w:themeColor="text1"/>
        </w:rPr>
        <w:t>desired</w:t>
      </w:r>
      <w:r w:rsidRPr="00336369">
        <w:rPr>
          <w:color w:val="000000" w:themeColor="text1"/>
        </w:rPr>
        <w:t xml:space="preserve">, +1 a little </w:t>
      </w:r>
      <w:r w:rsidR="00E143E9" w:rsidRPr="00336369">
        <w:rPr>
          <w:color w:val="000000" w:themeColor="text1"/>
        </w:rPr>
        <w:t>more</w:t>
      </w:r>
      <w:r w:rsidRPr="00336369">
        <w:rPr>
          <w:color w:val="000000" w:themeColor="text1"/>
        </w:rPr>
        <w:t xml:space="preserve"> than </w:t>
      </w:r>
      <w:r w:rsidR="00F67BF8" w:rsidRPr="00336369">
        <w:rPr>
          <w:color w:val="000000" w:themeColor="text1"/>
        </w:rPr>
        <w:t>desired</w:t>
      </w:r>
      <w:r w:rsidRPr="00336369">
        <w:rPr>
          <w:color w:val="000000" w:themeColor="text1"/>
        </w:rPr>
        <w:t xml:space="preserve"> and +2 a lot </w:t>
      </w:r>
      <w:r w:rsidR="00E143E9" w:rsidRPr="00336369">
        <w:rPr>
          <w:color w:val="000000" w:themeColor="text1"/>
        </w:rPr>
        <w:t>more</w:t>
      </w:r>
      <w:r w:rsidRPr="00336369">
        <w:rPr>
          <w:color w:val="000000" w:themeColor="text1"/>
        </w:rPr>
        <w:t xml:space="preserve"> than </w:t>
      </w:r>
      <w:r w:rsidR="00F67BF8" w:rsidRPr="00336369">
        <w:rPr>
          <w:color w:val="000000" w:themeColor="text1"/>
        </w:rPr>
        <w:t>desired</w:t>
      </w:r>
      <w:r w:rsidRPr="00336369">
        <w:rPr>
          <w:color w:val="000000" w:themeColor="text1"/>
        </w:rPr>
        <w:t xml:space="preserve">. </w:t>
      </w:r>
      <w:r w:rsidR="00F67BF8" w:rsidRPr="00336369">
        <w:rPr>
          <w:color w:val="000000" w:themeColor="text1"/>
        </w:rPr>
        <w:t xml:space="preserve">There was no difference between Xeomin and placebo in the proportion of patients with a Goal Attainment Score of at least 0. </w:t>
      </w:r>
    </w:p>
    <w:p w14:paraId="01A670F7" w14:textId="7BAEBECB" w:rsidR="00F75573" w:rsidRPr="00336369" w:rsidRDefault="00927B5F" w:rsidP="00CA7B3F">
      <w:pPr>
        <w:pStyle w:val="3-BodyText"/>
        <w:rPr>
          <w:color w:val="000000" w:themeColor="text1"/>
        </w:rPr>
      </w:pPr>
      <w:r w:rsidRPr="00336369">
        <w:rPr>
          <w:color w:val="000000" w:themeColor="text1"/>
        </w:rPr>
        <w:t xml:space="preserve">Although numerical values were not reported, REFLEX </w:t>
      </w:r>
      <w:r w:rsidR="00F75573" w:rsidRPr="00336369">
        <w:rPr>
          <w:color w:val="000000" w:themeColor="text1"/>
        </w:rPr>
        <w:t>reported</w:t>
      </w:r>
      <w:r w:rsidRPr="00336369">
        <w:rPr>
          <w:color w:val="000000" w:themeColor="text1"/>
        </w:rPr>
        <w:t xml:space="preserve"> no difference between placebo-treated and Botox treated patients in MAS scores or CGI scores at 12 weeks,</w:t>
      </w:r>
      <w:r w:rsidR="00F75573" w:rsidRPr="00336369">
        <w:rPr>
          <w:color w:val="000000" w:themeColor="text1"/>
        </w:rPr>
        <w:t xml:space="preserve"> or for walking speed at any time. </w:t>
      </w:r>
    </w:p>
    <w:p w14:paraId="5EC92657" w14:textId="2B644CB8" w:rsidR="00CA7B3F" w:rsidRPr="00336369" w:rsidRDefault="00C00B82" w:rsidP="00CA7B3F">
      <w:pPr>
        <w:pStyle w:val="3-BodyText"/>
        <w:rPr>
          <w:color w:val="000000" w:themeColor="text1"/>
        </w:rPr>
      </w:pPr>
      <w:r w:rsidRPr="00336369">
        <w:rPr>
          <w:color w:val="000000" w:themeColor="text1"/>
        </w:rPr>
        <w:t>A</w:t>
      </w:r>
      <w:r w:rsidR="00706BC0" w:rsidRPr="00336369">
        <w:rPr>
          <w:color w:val="000000" w:themeColor="text1"/>
        </w:rPr>
        <w:t xml:space="preserve"> trial of broadly similar design using Dysport (abobotulinumtoxinA) produced similar results.</w:t>
      </w:r>
      <w:r w:rsidRPr="00336369">
        <w:rPr>
          <w:rStyle w:val="FootnoteReference"/>
          <w:color w:val="000000" w:themeColor="text1"/>
        </w:rPr>
        <w:footnoteReference w:id="6"/>
      </w:r>
      <w:r w:rsidR="00706BC0" w:rsidRPr="00336369">
        <w:rPr>
          <w:color w:val="000000" w:themeColor="text1"/>
        </w:rPr>
        <w:t xml:space="preserve"> Patients were randomised to placebo (N = 128) or Dysport 1000 U (N = 125) or 1500 U (N = 128). As in </w:t>
      </w:r>
      <w:r w:rsidR="00707F00" w:rsidRPr="00336369">
        <w:rPr>
          <w:color w:val="000000" w:themeColor="text1"/>
        </w:rPr>
        <w:t xml:space="preserve">the </w:t>
      </w:r>
      <w:r w:rsidR="00706BC0" w:rsidRPr="00336369">
        <w:rPr>
          <w:color w:val="000000" w:themeColor="text1"/>
        </w:rPr>
        <w:t>Botox and Xeomin trials, there were slightly larger falls in MAS with active treatment than with placebo</w:t>
      </w:r>
      <w:r w:rsidR="00707F00" w:rsidRPr="00336369">
        <w:rPr>
          <w:color w:val="000000" w:themeColor="text1"/>
        </w:rPr>
        <w:t>;</w:t>
      </w:r>
      <w:r w:rsidR="00706BC0" w:rsidRPr="00336369">
        <w:rPr>
          <w:color w:val="000000" w:themeColor="text1"/>
        </w:rPr>
        <w:t xml:space="preserve"> these were statistically significant compared to placebo at 4 and 12 weeks for the 1500 U dose</w:t>
      </w:r>
      <w:r w:rsidR="00707F00" w:rsidRPr="00336369">
        <w:rPr>
          <w:color w:val="000000" w:themeColor="text1"/>
        </w:rPr>
        <w:t xml:space="preserve"> but not for the 1000 U dose</w:t>
      </w:r>
      <w:r w:rsidR="00706BC0" w:rsidRPr="00336369">
        <w:rPr>
          <w:color w:val="000000" w:themeColor="text1"/>
        </w:rPr>
        <w:t>. There were no statistically or clinically significant differences</w:t>
      </w:r>
      <w:r w:rsidR="00E33030" w:rsidRPr="00336369">
        <w:rPr>
          <w:color w:val="000000" w:themeColor="text1"/>
        </w:rPr>
        <w:t xml:space="preserve"> between either dose of Dysport and placebo</w:t>
      </w:r>
      <w:r w:rsidR="00706BC0" w:rsidRPr="00336369">
        <w:rPr>
          <w:color w:val="000000" w:themeColor="text1"/>
        </w:rPr>
        <w:t xml:space="preserve"> </w:t>
      </w:r>
      <w:r w:rsidR="00E33030" w:rsidRPr="00336369">
        <w:rPr>
          <w:color w:val="000000" w:themeColor="text1"/>
        </w:rPr>
        <w:t>in Clinical Global Impression, walking speed, or quality of life.</w:t>
      </w:r>
    </w:p>
    <w:p w14:paraId="53FC892C" w14:textId="048C200F" w:rsidR="0088124C" w:rsidRPr="00336369" w:rsidRDefault="004F1AEA" w:rsidP="00CA7B3F">
      <w:pPr>
        <w:pStyle w:val="3-BodyText"/>
        <w:rPr>
          <w:color w:val="000000" w:themeColor="text1"/>
        </w:rPr>
      </w:pPr>
      <w:r w:rsidRPr="00336369">
        <w:rPr>
          <w:color w:val="000000" w:themeColor="text1"/>
        </w:rPr>
        <w:t xml:space="preserve">The open-label extensions of the trials showed consistent improvements in spasticity and in functional outcomes </w:t>
      </w:r>
      <w:r w:rsidR="00F67BF8" w:rsidRPr="00336369">
        <w:rPr>
          <w:color w:val="000000" w:themeColor="text1"/>
        </w:rPr>
        <w:t>much larger than</w:t>
      </w:r>
      <w:r w:rsidRPr="00336369">
        <w:rPr>
          <w:color w:val="000000" w:themeColor="text1"/>
        </w:rPr>
        <w:t xml:space="preserve"> those seen in the double-blind phases. It has been suggested that there may be long-term processes of learning and adaptation </w:t>
      </w:r>
      <w:r w:rsidR="00E0519E" w:rsidRPr="00336369">
        <w:rPr>
          <w:color w:val="000000" w:themeColor="text1"/>
        </w:rPr>
        <w:t>that account for slow improvement in functional outcomes, but th</w:t>
      </w:r>
      <w:r w:rsidR="009C3063" w:rsidRPr="00336369">
        <w:rPr>
          <w:color w:val="000000" w:themeColor="text1"/>
        </w:rPr>
        <w:t>is is an ad hoc suggestion</w:t>
      </w:r>
      <w:r w:rsidR="00E0519E" w:rsidRPr="00336369">
        <w:rPr>
          <w:color w:val="000000" w:themeColor="text1"/>
        </w:rPr>
        <w:t xml:space="preserve"> </w:t>
      </w:r>
      <w:r w:rsidR="009C3063" w:rsidRPr="00336369">
        <w:rPr>
          <w:color w:val="000000" w:themeColor="text1"/>
        </w:rPr>
        <w:t>unsupported by evidence</w:t>
      </w:r>
      <w:r w:rsidR="00E14643" w:rsidRPr="00336369">
        <w:rPr>
          <w:color w:val="000000" w:themeColor="text1"/>
        </w:rPr>
        <w:t xml:space="preserve"> and bias is a more likely explanation</w:t>
      </w:r>
      <w:r w:rsidR="009C3063" w:rsidRPr="00336369">
        <w:rPr>
          <w:color w:val="000000" w:themeColor="text1"/>
        </w:rPr>
        <w:t>.</w:t>
      </w:r>
      <w:r w:rsidRPr="00336369">
        <w:rPr>
          <w:color w:val="000000" w:themeColor="text1"/>
        </w:rPr>
        <w:t xml:space="preserve"> </w:t>
      </w:r>
    </w:p>
    <w:p w14:paraId="1452C351" w14:textId="0D19F1B0" w:rsidR="00B60939" w:rsidRPr="00336369" w:rsidRDefault="00B60939" w:rsidP="004C55C7">
      <w:pPr>
        <w:pStyle w:val="4-SubsectionHeading"/>
        <w:rPr>
          <w:iCs w:val="0"/>
        </w:rPr>
      </w:pPr>
      <w:bookmarkStart w:id="30" w:name="_Toc22897642"/>
      <w:bookmarkStart w:id="31" w:name="_Toc219899375"/>
      <w:r w:rsidRPr="00336369">
        <w:rPr>
          <w:iCs w:val="0"/>
        </w:rPr>
        <w:t>Comparative harms</w:t>
      </w:r>
      <w:bookmarkEnd w:id="30"/>
      <w:bookmarkEnd w:id="31"/>
    </w:p>
    <w:p w14:paraId="2DAF16D1" w14:textId="4A3BAC71" w:rsidR="00B60939" w:rsidRPr="00336369" w:rsidRDefault="005B3750" w:rsidP="00D86231">
      <w:pPr>
        <w:pStyle w:val="3-BodyText"/>
      </w:pPr>
      <w:r w:rsidRPr="00336369">
        <w:rPr>
          <w:color w:val="000000" w:themeColor="text1"/>
        </w:rPr>
        <w:t>Adverse events in the Xeomin trials are shown in</w:t>
      </w:r>
      <w:r w:rsidR="00027E8C" w:rsidRPr="00336369">
        <w:rPr>
          <w:color w:val="000000" w:themeColor="text1"/>
        </w:rPr>
        <w:t xml:space="preserve"> </w:t>
      </w:r>
      <w:r w:rsidR="00027E8C" w:rsidRPr="00336369">
        <w:rPr>
          <w:color w:val="000000" w:themeColor="text1"/>
        </w:rPr>
        <w:fldChar w:fldCharType="begin"/>
      </w:r>
      <w:r w:rsidR="00027E8C" w:rsidRPr="00336369">
        <w:rPr>
          <w:color w:val="000000" w:themeColor="text1"/>
        </w:rPr>
        <w:instrText xml:space="preserve"> REF _Ref216083893 \h </w:instrText>
      </w:r>
      <w:r w:rsidR="00336369" w:rsidRPr="00336369">
        <w:rPr>
          <w:color w:val="000000" w:themeColor="text1"/>
        </w:rPr>
        <w:instrText xml:space="preserve"> \* MERGEFORMAT </w:instrText>
      </w:r>
      <w:r w:rsidR="00027E8C" w:rsidRPr="00336369">
        <w:rPr>
          <w:color w:val="000000" w:themeColor="text1"/>
        </w:rPr>
      </w:r>
      <w:r w:rsidR="00027E8C" w:rsidRPr="00336369">
        <w:rPr>
          <w:color w:val="000000" w:themeColor="text1"/>
        </w:rPr>
        <w:fldChar w:fldCharType="separate"/>
      </w:r>
      <w:r w:rsidR="00761491" w:rsidRPr="00336369">
        <w:t xml:space="preserve">Table </w:t>
      </w:r>
      <w:r w:rsidR="00761491" w:rsidRPr="00336369">
        <w:rPr>
          <w:noProof/>
        </w:rPr>
        <w:t>6</w:t>
      </w:r>
      <w:r w:rsidR="00027E8C" w:rsidRPr="00336369">
        <w:rPr>
          <w:color w:val="000000" w:themeColor="text1"/>
        </w:rPr>
        <w:fldChar w:fldCharType="end"/>
      </w:r>
      <w:r w:rsidR="00027E8C" w:rsidRPr="00336369">
        <w:rPr>
          <w:color w:val="000000" w:themeColor="text1"/>
        </w:rPr>
        <w:t>.</w:t>
      </w:r>
      <w:r w:rsidRPr="00336369">
        <w:rPr>
          <w:color w:val="000000" w:themeColor="text1"/>
        </w:rPr>
        <w:t xml:space="preserve"> </w:t>
      </w:r>
      <w:r w:rsidR="00E150DB" w:rsidRPr="00336369">
        <w:t xml:space="preserve">Adverse events of special interest were </w:t>
      </w:r>
      <w:r w:rsidR="00E14643" w:rsidRPr="00336369">
        <w:t>symptoms suggestive</w:t>
      </w:r>
      <w:r w:rsidR="00E150DB" w:rsidRPr="00336369">
        <w:t xml:space="preserve"> of muscle weakness outside the target area caused by systemic spread of toxin absorbed from the site of injection, which can cause life-threatening or fatal iatrogenic botulism. Adverse events of special interest in the double-blind (one injection) and open-label extension phases (three injections) of 3098 and 3002 are shown. Also shown are adverse events and adverse events of special interest in TOWER, an uncontrolled dose-finding study of patients with either upper limb or lower limb spasticity who received a total of three injections.</w:t>
      </w:r>
      <w:r w:rsidR="00E150DB" w:rsidRPr="00336369">
        <w:rPr>
          <w:rStyle w:val="FootnoteReference"/>
        </w:rPr>
        <w:footnoteReference w:id="7"/>
      </w:r>
      <w:r w:rsidR="00E150DB" w:rsidRPr="00336369">
        <w:t xml:space="preserve"> </w:t>
      </w:r>
    </w:p>
    <w:p w14:paraId="22141DA2" w14:textId="5B513D81" w:rsidR="005B3750" w:rsidRDefault="00027E8C" w:rsidP="00027E8C">
      <w:pPr>
        <w:pStyle w:val="Caption"/>
      </w:pPr>
      <w:bookmarkStart w:id="32" w:name="_Ref216083893"/>
      <w:r>
        <w:lastRenderedPageBreak/>
        <w:t xml:space="preserve">Table </w:t>
      </w:r>
      <w:fldSimple w:instr=" SEQ Table \* ARABIC ">
        <w:r w:rsidR="00761491">
          <w:rPr>
            <w:noProof/>
          </w:rPr>
          <w:t>6</w:t>
        </w:r>
      </w:fldSimple>
      <w:bookmarkEnd w:id="32"/>
      <w:r>
        <w:t xml:space="preserve">: </w:t>
      </w:r>
      <w:r w:rsidR="005B3750">
        <w:t>Adverse events in the submitted trials of Xeomin</w:t>
      </w:r>
    </w:p>
    <w:tbl>
      <w:tblPr>
        <w:tblStyle w:val="TableGrid"/>
        <w:tblW w:w="5000" w:type="pct"/>
        <w:tblLook w:val="04A0" w:firstRow="1" w:lastRow="0" w:firstColumn="1" w:lastColumn="0" w:noHBand="0" w:noVBand="1"/>
        <w:tblCaption w:val="Table 6: Adverse events in the submitted trials of Xeomin"/>
      </w:tblPr>
      <w:tblGrid>
        <w:gridCol w:w="1830"/>
        <w:gridCol w:w="919"/>
        <w:gridCol w:w="916"/>
        <w:gridCol w:w="918"/>
        <w:gridCol w:w="1069"/>
        <w:gridCol w:w="1071"/>
        <w:gridCol w:w="918"/>
        <w:gridCol w:w="1376"/>
      </w:tblGrid>
      <w:tr w:rsidR="00E150DB" w14:paraId="726AF14D" w14:textId="77777777" w:rsidTr="00EE5781">
        <w:tc>
          <w:tcPr>
            <w:tcW w:w="1014" w:type="pct"/>
          </w:tcPr>
          <w:p w14:paraId="4669B261" w14:textId="77777777" w:rsidR="00E150DB" w:rsidRDefault="00E150DB" w:rsidP="003E4C55">
            <w:pPr>
              <w:pStyle w:val="TableText0"/>
            </w:pPr>
          </w:p>
        </w:tc>
        <w:tc>
          <w:tcPr>
            <w:tcW w:w="1526" w:type="pct"/>
            <w:gridSpan w:val="3"/>
          </w:tcPr>
          <w:p w14:paraId="5FED2068" w14:textId="77777777" w:rsidR="00E150DB" w:rsidRPr="00E150DB" w:rsidRDefault="00E150DB" w:rsidP="003E4C55">
            <w:pPr>
              <w:pStyle w:val="TableText0"/>
            </w:pPr>
            <w:r w:rsidRPr="00E150DB">
              <w:t>3098</w:t>
            </w:r>
          </w:p>
        </w:tc>
        <w:tc>
          <w:tcPr>
            <w:tcW w:w="1696" w:type="pct"/>
            <w:gridSpan w:val="3"/>
          </w:tcPr>
          <w:p w14:paraId="27012893" w14:textId="77777777" w:rsidR="00E150DB" w:rsidRPr="00E150DB" w:rsidRDefault="00E150DB" w:rsidP="003E4C55">
            <w:pPr>
              <w:pStyle w:val="TableText0"/>
            </w:pPr>
            <w:r w:rsidRPr="00E150DB">
              <w:t>3002</w:t>
            </w:r>
          </w:p>
        </w:tc>
        <w:tc>
          <w:tcPr>
            <w:tcW w:w="763" w:type="pct"/>
          </w:tcPr>
          <w:p w14:paraId="727E4D5E" w14:textId="77777777" w:rsidR="00E150DB" w:rsidRPr="00E150DB" w:rsidRDefault="00E150DB" w:rsidP="003E4C55">
            <w:pPr>
              <w:pStyle w:val="TableText0"/>
            </w:pPr>
            <w:r w:rsidRPr="00E150DB">
              <w:t>TOWER</w:t>
            </w:r>
          </w:p>
        </w:tc>
      </w:tr>
      <w:tr w:rsidR="00E150DB" w14:paraId="0094046D" w14:textId="77777777" w:rsidTr="00EE5781">
        <w:tc>
          <w:tcPr>
            <w:tcW w:w="1014" w:type="pct"/>
          </w:tcPr>
          <w:p w14:paraId="0BB8153B" w14:textId="77777777" w:rsidR="00E150DB" w:rsidRDefault="00E150DB" w:rsidP="003E4C55">
            <w:pPr>
              <w:pStyle w:val="TableText0"/>
            </w:pPr>
          </w:p>
        </w:tc>
        <w:tc>
          <w:tcPr>
            <w:tcW w:w="1017" w:type="pct"/>
            <w:gridSpan w:val="2"/>
          </w:tcPr>
          <w:p w14:paraId="30132E75" w14:textId="77777777" w:rsidR="00E150DB" w:rsidRPr="00E150DB" w:rsidRDefault="00E150DB" w:rsidP="003E4C55">
            <w:pPr>
              <w:pStyle w:val="TableText0"/>
            </w:pPr>
            <w:r w:rsidRPr="00E150DB">
              <w:t>DB Phase</w:t>
            </w:r>
          </w:p>
        </w:tc>
        <w:tc>
          <w:tcPr>
            <w:tcW w:w="509" w:type="pct"/>
          </w:tcPr>
          <w:p w14:paraId="6AEA16EB" w14:textId="77777777" w:rsidR="00E150DB" w:rsidRPr="00E150DB" w:rsidRDefault="00E150DB" w:rsidP="003E4C55">
            <w:pPr>
              <w:pStyle w:val="TableText0"/>
            </w:pPr>
            <w:r w:rsidRPr="00E150DB">
              <w:t>OLE</w:t>
            </w:r>
          </w:p>
        </w:tc>
        <w:tc>
          <w:tcPr>
            <w:tcW w:w="1187" w:type="pct"/>
            <w:gridSpan w:val="2"/>
          </w:tcPr>
          <w:p w14:paraId="317E1C19" w14:textId="77777777" w:rsidR="00E150DB" w:rsidRPr="00E150DB" w:rsidRDefault="00E150DB" w:rsidP="003E4C55">
            <w:pPr>
              <w:pStyle w:val="TableText0"/>
            </w:pPr>
            <w:r w:rsidRPr="00E150DB">
              <w:t>DB Phase</w:t>
            </w:r>
          </w:p>
        </w:tc>
        <w:tc>
          <w:tcPr>
            <w:tcW w:w="509" w:type="pct"/>
          </w:tcPr>
          <w:p w14:paraId="4E08C61F" w14:textId="77777777" w:rsidR="00E150DB" w:rsidRPr="00E150DB" w:rsidRDefault="00E150DB" w:rsidP="003E4C55">
            <w:pPr>
              <w:pStyle w:val="TableText0"/>
            </w:pPr>
            <w:r w:rsidRPr="00E150DB">
              <w:t>OLE</w:t>
            </w:r>
          </w:p>
        </w:tc>
        <w:tc>
          <w:tcPr>
            <w:tcW w:w="763" w:type="pct"/>
          </w:tcPr>
          <w:p w14:paraId="41A56156" w14:textId="77777777" w:rsidR="00E150DB" w:rsidRPr="00E150DB" w:rsidRDefault="00E150DB" w:rsidP="003E4C55">
            <w:pPr>
              <w:pStyle w:val="TableText0"/>
            </w:pPr>
            <w:r w:rsidRPr="00E150DB">
              <w:t>Open Label</w:t>
            </w:r>
          </w:p>
        </w:tc>
      </w:tr>
      <w:tr w:rsidR="00E150DB" w14:paraId="7ACC3D12" w14:textId="77777777" w:rsidTr="00EE5781">
        <w:tc>
          <w:tcPr>
            <w:tcW w:w="1014" w:type="pct"/>
          </w:tcPr>
          <w:p w14:paraId="497A7774" w14:textId="77777777" w:rsidR="00E150DB" w:rsidRPr="00097C59" w:rsidRDefault="00E150DB" w:rsidP="003E4C55">
            <w:pPr>
              <w:pStyle w:val="TableText0"/>
            </w:pPr>
          </w:p>
        </w:tc>
        <w:tc>
          <w:tcPr>
            <w:tcW w:w="509" w:type="pct"/>
          </w:tcPr>
          <w:p w14:paraId="6E62169B" w14:textId="77777777" w:rsidR="00E150DB" w:rsidRDefault="00E150DB" w:rsidP="003E4C55">
            <w:pPr>
              <w:pStyle w:val="TableText0"/>
            </w:pPr>
            <w:r>
              <w:t>Xeomin</w:t>
            </w:r>
          </w:p>
          <w:p w14:paraId="7A457D46" w14:textId="15AECFAF" w:rsidR="00E150DB" w:rsidRPr="00097C59" w:rsidRDefault="00E150DB" w:rsidP="003E4C55">
            <w:pPr>
              <w:pStyle w:val="TableText0"/>
            </w:pPr>
            <w:r>
              <w:t>N = 104</w:t>
            </w:r>
          </w:p>
        </w:tc>
        <w:tc>
          <w:tcPr>
            <w:tcW w:w="508" w:type="pct"/>
          </w:tcPr>
          <w:p w14:paraId="00300F20" w14:textId="77777777" w:rsidR="00E150DB" w:rsidRDefault="00E150DB" w:rsidP="003E4C55">
            <w:pPr>
              <w:pStyle w:val="TableText0"/>
            </w:pPr>
            <w:r>
              <w:t>Placebo</w:t>
            </w:r>
          </w:p>
          <w:p w14:paraId="56E3CD74" w14:textId="5E97CA12" w:rsidR="00E150DB" w:rsidRPr="00097C59" w:rsidRDefault="00E150DB" w:rsidP="003E4C55">
            <w:pPr>
              <w:pStyle w:val="TableText0"/>
            </w:pPr>
            <w:r>
              <w:t>N = 104</w:t>
            </w:r>
          </w:p>
        </w:tc>
        <w:tc>
          <w:tcPr>
            <w:tcW w:w="509" w:type="pct"/>
          </w:tcPr>
          <w:p w14:paraId="7C4DD20C" w14:textId="77777777" w:rsidR="00E150DB" w:rsidRPr="00097C59" w:rsidRDefault="00E150DB" w:rsidP="003E4C55">
            <w:pPr>
              <w:pStyle w:val="TableText0"/>
            </w:pPr>
            <w:r>
              <w:t>N = 202</w:t>
            </w:r>
          </w:p>
        </w:tc>
        <w:tc>
          <w:tcPr>
            <w:tcW w:w="593" w:type="pct"/>
          </w:tcPr>
          <w:p w14:paraId="6D976501" w14:textId="77777777" w:rsidR="00E150DB" w:rsidRDefault="00E150DB" w:rsidP="003E4C55">
            <w:pPr>
              <w:pStyle w:val="TableText0"/>
            </w:pPr>
            <w:r>
              <w:t>Xeomin</w:t>
            </w:r>
          </w:p>
          <w:p w14:paraId="508020AD" w14:textId="7C554079" w:rsidR="00E150DB" w:rsidRPr="00097C59" w:rsidRDefault="00E150DB" w:rsidP="003E4C55">
            <w:pPr>
              <w:pStyle w:val="TableText0"/>
            </w:pPr>
            <w:r>
              <w:t>N = 144</w:t>
            </w:r>
          </w:p>
        </w:tc>
        <w:tc>
          <w:tcPr>
            <w:tcW w:w="593" w:type="pct"/>
          </w:tcPr>
          <w:p w14:paraId="6F7DA410" w14:textId="2D53E57F" w:rsidR="00E150DB" w:rsidRDefault="00E150DB" w:rsidP="003E4C55">
            <w:pPr>
              <w:pStyle w:val="TableText0"/>
            </w:pPr>
            <w:r>
              <w:t>Placebo</w:t>
            </w:r>
          </w:p>
          <w:p w14:paraId="5E727286" w14:textId="47825EDA" w:rsidR="00E150DB" w:rsidRPr="00097C59" w:rsidRDefault="00E150DB" w:rsidP="003E4C55">
            <w:pPr>
              <w:pStyle w:val="TableText0"/>
            </w:pPr>
            <w:r>
              <w:t>N = 145</w:t>
            </w:r>
          </w:p>
        </w:tc>
        <w:tc>
          <w:tcPr>
            <w:tcW w:w="509" w:type="pct"/>
          </w:tcPr>
          <w:p w14:paraId="67A06B2C" w14:textId="77777777" w:rsidR="00E150DB" w:rsidRPr="00097C59" w:rsidRDefault="00E150DB" w:rsidP="003E4C55">
            <w:pPr>
              <w:pStyle w:val="TableText0"/>
            </w:pPr>
            <w:r>
              <w:t>N = 269</w:t>
            </w:r>
          </w:p>
        </w:tc>
        <w:tc>
          <w:tcPr>
            <w:tcW w:w="763" w:type="pct"/>
          </w:tcPr>
          <w:p w14:paraId="103C77CA" w14:textId="77777777" w:rsidR="00E150DB" w:rsidRPr="008F684E" w:rsidRDefault="00E150DB" w:rsidP="003E4C55">
            <w:pPr>
              <w:pStyle w:val="TableText0"/>
            </w:pPr>
            <w:r w:rsidRPr="008F684E">
              <w:t>N = 155</w:t>
            </w:r>
          </w:p>
        </w:tc>
      </w:tr>
      <w:tr w:rsidR="00E150DB" w14:paraId="4C4C4AC9" w14:textId="77777777" w:rsidTr="00EE5781">
        <w:tc>
          <w:tcPr>
            <w:tcW w:w="1014" w:type="pct"/>
          </w:tcPr>
          <w:p w14:paraId="3E0E1000" w14:textId="2E8220CA" w:rsidR="00E150DB" w:rsidRPr="00E150DB" w:rsidRDefault="00E150DB" w:rsidP="003E4C55">
            <w:pPr>
              <w:pStyle w:val="TableText0"/>
            </w:pPr>
            <w:r>
              <w:t>Patients with any AE, n (%)</w:t>
            </w:r>
          </w:p>
        </w:tc>
        <w:tc>
          <w:tcPr>
            <w:tcW w:w="509" w:type="pct"/>
          </w:tcPr>
          <w:p w14:paraId="3C88B11C" w14:textId="3B08050D" w:rsidR="00E150DB" w:rsidRPr="00E150DB" w:rsidRDefault="00E150DB" w:rsidP="003E4C55">
            <w:pPr>
              <w:pStyle w:val="TableText0"/>
            </w:pPr>
            <w:r>
              <w:t>50 (48.1%)</w:t>
            </w:r>
          </w:p>
        </w:tc>
        <w:tc>
          <w:tcPr>
            <w:tcW w:w="508" w:type="pct"/>
          </w:tcPr>
          <w:p w14:paraId="62FF423B" w14:textId="40E2A39B" w:rsidR="00E150DB" w:rsidRPr="00E150DB" w:rsidRDefault="00E150DB" w:rsidP="003E4C55">
            <w:pPr>
              <w:pStyle w:val="TableText0"/>
            </w:pPr>
            <w:r>
              <w:t>51 (49.0%)</w:t>
            </w:r>
          </w:p>
        </w:tc>
        <w:tc>
          <w:tcPr>
            <w:tcW w:w="509" w:type="pct"/>
          </w:tcPr>
          <w:p w14:paraId="759CC113" w14:textId="23B8D227" w:rsidR="00E150DB" w:rsidRPr="00E150DB" w:rsidRDefault="00E150DB" w:rsidP="003E4C55">
            <w:pPr>
              <w:pStyle w:val="TableText0"/>
            </w:pPr>
            <w:r>
              <w:t>131 (65%)</w:t>
            </w:r>
          </w:p>
        </w:tc>
        <w:tc>
          <w:tcPr>
            <w:tcW w:w="593" w:type="pct"/>
          </w:tcPr>
          <w:p w14:paraId="19A7E878" w14:textId="0A5CE07B" w:rsidR="00E150DB" w:rsidRPr="00E150DB" w:rsidRDefault="0003454D" w:rsidP="003E4C55">
            <w:pPr>
              <w:pStyle w:val="TableText0"/>
            </w:pPr>
            <w:r>
              <w:t>41 (28.5%)</w:t>
            </w:r>
          </w:p>
        </w:tc>
        <w:tc>
          <w:tcPr>
            <w:tcW w:w="593" w:type="pct"/>
          </w:tcPr>
          <w:p w14:paraId="598E1317" w14:textId="6E837B9C" w:rsidR="00E150DB" w:rsidRPr="00E150DB" w:rsidRDefault="0003454D" w:rsidP="003E4C55">
            <w:pPr>
              <w:pStyle w:val="TableText0"/>
            </w:pPr>
            <w:r>
              <w:t>42 (29%)</w:t>
            </w:r>
          </w:p>
        </w:tc>
        <w:tc>
          <w:tcPr>
            <w:tcW w:w="509" w:type="pct"/>
          </w:tcPr>
          <w:p w14:paraId="3A7F4ED8" w14:textId="76538643" w:rsidR="00E150DB" w:rsidRPr="00E150DB" w:rsidRDefault="0003454D" w:rsidP="003E4C55">
            <w:pPr>
              <w:pStyle w:val="TableText0"/>
            </w:pPr>
            <w:r>
              <w:t>121 (45%)</w:t>
            </w:r>
          </w:p>
        </w:tc>
        <w:tc>
          <w:tcPr>
            <w:tcW w:w="763" w:type="pct"/>
          </w:tcPr>
          <w:p w14:paraId="4100871D" w14:textId="674C5EC7" w:rsidR="00E150DB" w:rsidRPr="00E150DB" w:rsidRDefault="0003454D" w:rsidP="003E4C55">
            <w:pPr>
              <w:pStyle w:val="TableText0"/>
            </w:pPr>
            <w:r>
              <w:t>NR</w:t>
            </w:r>
          </w:p>
        </w:tc>
      </w:tr>
      <w:tr w:rsidR="00E150DB" w14:paraId="7B37094E" w14:textId="77777777" w:rsidTr="00EE5781">
        <w:tc>
          <w:tcPr>
            <w:tcW w:w="1014" w:type="pct"/>
          </w:tcPr>
          <w:p w14:paraId="191037FE" w14:textId="0DFCE31C" w:rsidR="00E150DB" w:rsidRPr="00E150DB" w:rsidRDefault="00E150DB" w:rsidP="003E4C55">
            <w:pPr>
              <w:pStyle w:val="TableText0"/>
            </w:pPr>
            <w:r>
              <w:t>Any SAE, n (%)</w:t>
            </w:r>
          </w:p>
        </w:tc>
        <w:tc>
          <w:tcPr>
            <w:tcW w:w="509" w:type="pct"/>
          </w:tcPr>
          <w:p w14:paraId="1E40B8C2" w14:textId="0FDA82E4" w:rsidR="00E150DB" w:rsidRPr="00E150DB" w:rsidRDefault="00E150DB" w:rsidP="003E4C55">
            <w:pPr>
              <w:pStyle w:val="TableText0"/>
            </w:pPr>
            <w:r>
              <w:t>4 (4%)</w:t>
            </w:r>
          </w:p>
        </w:tc>
        <w:tc>
          <w:tcPr>
            <w:tcW w:w="508" w:type="pct"/>
          </w:tcPr>
          <w:p w14:paraId="33FCA7C5" w14:textId="58AA73E9" w:rsidR="00E150DB" w:rsidRPr="00E150DB" w:rsidRDefault="00E150DB" w:rsidP="003E4C55">
            <w:pPr>
              <w:pStyle w:val="TableText0"/>
            </w:pPr>
            <w:r>
              <w:t>1 (1%)</w:t>
            </w:r>
          </w:p>
        </w:tc>
        <w:tc>
          <w:tcPr>
            <w:tcW w:w="509" w:type="pct"/>
          </w:tcPr>
          <w:p w14:paraId="7EBCFA5E" w14:textId="7575F4BD" w:rsidR="00E150DB" w:rsidRPr="00E150DB" w:rsidRDefault="00E150DB" w:rsidP="003E4C55">
            <w:pPr>
              <w:pStyle w:val="TableText0"/>
            </w:pPr>
            <w:r>
              <w:t>12 (6%)</w:t>
            </w:r>
          </w:p>
        </w:tc>
        <w:tc>
          <w:tcPr>
            <w:tcW w:w="593" w:type="pct"/>
          </w:tcPr>
          <w:p w14:paraId="32DDE521" w14:textId="6BE24279" w:rsidR="00E150DB" w:rsidRPr="00E150DB" w:rsidRDefault="0003454D" w:rsidP="003E4C55">
            <w:pPr>
              <w:pStyle w:val="TableText0"/>
            </w:pPr>
            <w:r>
              <w:t>6 (4%)</w:t>
            </w:r>
          </w:p>
        </w:tc>
        <w:tc>
          <w:tcPr>
            <w:tcW w:w="593" w:type="pct"/>
          </w:tcPr>
          <w:p w14:paraId="05ABFBEF" w14:textId="284C7B62" w:rsidR="00E150DB" w:rsidRPr="00E150DB" w:rsidRDefault="0003454D" w:rsidP="003E4C55">
            <w:pPr>
              <w:pStyle w:val="TableText0"/>
            </w:pPr>
            <w:r>
              <w:t>5 (3%)</w:t>
            </w:r>
          </w:p>
        </w:tc>
        <w:tc>
          <w:tcPr>
            <w:tcW w:w="509" w:type="pct"/>
          </w:tcPr>
          <w:p w14:paraId="31ECA43E" w14:textId="1EBEB1CF" w:rsidR="00E150DB" w:rsidRPr="00E150DB" w:rsidRDefault="0003454D" w:rsidP="003E4C55">
            <w:pPr>
              <w:pStyle w:val="TableText0"/>
            </w:pPr>
            <w:r>
              <w:t>22 (8%)</w:t>
            </w:r>
          </w:p>
        </w:tc>
        <w:tc>
          <w:tcPr>
            <w:tcW w:w="763" w:type="pct"/>
          </w:tcPr>
          <w:p w14:paraId="5E659CA3" w14:textId="63D0082E" w:rsidR="00E150DB" w:rsidRPr="00E150DB" w:rsidRDefault="0003454D" w:rsidP="003E4C55">
            <w:pPr>
              <w:pStyle w:val="TableText0"/>
            </w:pPr>
            <w:r>
              <w:t>17 (11%)</w:t>
            </w:r>
          </w:p>
        </w:tc>
      </w:tr>
      <w:tr w:rsidR="00E150DB" w14:paraId="2CA748E1" w14:textId="77777777" w:rsidTr="00EE5781">
        <w:tc>
          <w:tcPr>
            <w:tcW w:w="1014" w:type="pct"/>
          </w:tcPr>
          <w:p w14:paraId="25363FDE" w14:textId="050F2222" w:rsidR="00E150DB" w:rsidRPr="00E150DB" w:rsidRDefault="00E150DB" w:rsidP="003E4C55">
            <w:pPr>
              <w:pStyle w:val="TableText0"/>
            </w:pPr>
            <w:r>
              <w:t>Discontinuation due to AE, n (%)</w:t>
            </w:r>
          </w:p>
        </w:tc>
        <w:tc>
          <w:tcPr>
            <w:tcW w:w="509" w:type="pct"/>
          </w:tcPr>
          <w:p w14:paraId="2D3CE025" w14:textId="7B14EA18" w:rsidR="00E150DB" w:rsidRPr="00E150DB" w:rsidRDefault="00E150DB" w:rsidP="003E4C55">
            <w:pPr>
              <w:pStyle w:val="TableText0"/>
            </w:pPr>
            <w:r>
              <w:t>1 (1%)</w:t>
            </w:r>
          </w:p>
        </w:tc>
        <w:tc>
          <w:tcPr>
            <w:tcW w:w="508" w:type="pct"/>
          </w:tcPr>
          <w:p w14:paraId="136FC3A3" w14:textId="7BF26133" w:rsidR="00E150DB" w:rsidRPr="00E150DB" w:rsidRDefault="00E150DB" w:rsidP="003E4C55">
            <w:pPr>
              <w:pStyle w:val="TableText0"/>
            </w:pPr>
            <w:r>
              <w:t>2 (2%)</w:t>
            </w:r>
          </w:p>
        </w:tc>
        <w:tc>
          <w:tcPr>
            <w:tcW w:w="509" w:type="pct"/>
          </w:tcPr>
          <w:p w14:paraId="41B0EFAC" w14:textId="568F6361" w:rsidR="00E150DB" w:rsidRPr="00E150DB" w:rsidRDefault="00E150DB" w:rsidP="003E4C55">
            <w:pPr>
              <w:pStyle w:val="TableText0"/>
            </w:pPr>
            <w:r>
              <w:t>4 (3%)</w:t>
            </w:r>
          </w:p>
        </w:tc>
        <w:tc>
          <w:tcPr>
            <w:tcW w:w="593" w:type="pct"/>
          </w:tcPr>
          <w:p w14:paraId="3BE780D0" w14:textId="6FFCEFA4" w:rsidR="00E150DB" w:rsidRPr="00E150DB" w:rsidRDefault="0003454D" w:rsidP="003E4C55">
            <w:pPr>
              <w:pStyle w:val="TableText0"/>
            </w:pPr>
            <w:r>
              <w:t>7 (5%)</w:t>
            </w:r>
          </w:p>
        </w:tc>
        <w:tc>
          <w:tcPr>
            <w:tcW w:w="593" w:type="pct"/>
          </w:tcPr>
          <w:p w14:paraId="3B45718C" w14:textId="1CB316E4" w:rsidR="00E150DB" w:rsidRPr="00E150DB" w:rsidRDefault="0003454D" w:rsidP="003E4C55">
            <w:pPr>
              <w:pStyle w:val="TableText0"/>
            </w:pPr>
            <w:r>
              <w:t>2 (1.5%)</w:t>
            </w:r>
          </w:p>
        </w:tc>
        <w:tc>
          <w:tcPr>
            <w:tcW w:w="509" w:type="pct"/>
          </w:tcPr>
          <w:p w14:paraId="7221D45C" w14:textId="09187F1B" w:rsidR="00E150DB" w:rsidRPr="00E150DB" w:rsidRDefault="0003454D" w:rsidP="003E4C55">
            <w:pPr>
              <w:pStyle w:val="TableText0"/>
            </w:pPr>
            <w:r>
              <w:t>14 (5%)</w:t>
            </w:r>
          </w:p>
        </w:tc>
        <w:tc>
          <w:tcPr>
            <w:tcW w:w="763" w:type="pct"/>
          </w:tcPr>
          <w:p w14:paraId="16DCB8B9" w14:textId="0FEC910C" w:rsidR="00E150DB" w:rsidRPr="00E150DB" w:rsidRDefault="0003454D" w:rsidP="003E4C55">
            <w:pPr>
              <w:pStyle w:val="TableText0"/>
            </w:pPr>
            <w:r>
              <w:t>5 (3%)</w:t>
            </w:r>
          </w:p>
        </w:tc>
      </w:tr>
      <w:tr w:rsidR="00E150DB" w14:paraId="03BD3293" w14:textId="77777777" w:rsidTr="00EE5781">
        <w:tc>
          <w:tcPr>
            <w:tcW w:w="1014" w:type="pct"/>
          </w:tcPr>
          <w:p w14:paraId="084FE0B1" w14:textId="77777777" w:rsidR="00E150DB" w:rsidRPr="00E150DB" w:rsidRDefault="00E150DB" w:rsidP="003E4C55">
            <w:pPr>
              <w:pStyle w:val="TableText0"/>
            </w:pPr>
            <w:r w:rsidRPr="00E150DB">
              <w:t>AESI, n (%)</w:t>
            </w:r>
          </w:p>
        </w:tc>
        <w:tc>
          <w:tcPr>
            <w:tcW w:w="509" w:type="pct"/>
          </w:tcPr>
          <w:p w14:paraId="7B6B913B" w14:textId="77777777" w:rsidR="00E150DB" w:rsidRPr="00E150DB" w:rsidRDefault="00E150DB" w:rsidP="003E4C55">
            <w:pPr>
              <w:pStyle w:val="TableText0"/>
            </w:pPr>
            <w:r w:rsidRPr="00E150DB">
              <w:t>5 (5%)</w:t>
            </w:r>
          </w:p>
        </w:tc>
        <w:tc>
          <w:tcPr>
            <w:tcW w:w="508" w:type="pct"/>
          </w:tcPr>
          <w:p w14:paraId="68AF87B5" w14:textId="77777777" w:rsidR="00E150DB" w:rsidRPr="00E150DB" w:rsidRDefault="00E150DB" w:rsidP="003E4C55">
            <w:pPr>
              <w:pStyle w:val="TableText0"/>
            </w:pPr>
            <w:r w:rsidRPr="00E150DB">
              <w:t>4 (4%)</w:t>
            </w:r>
          </w:p>
        </w:tc>
        <w:tc>
          <w:tcPr>
            <w:tcW w:w="509" w:type="pct"/>
          </w:tcPr>
          <w:p w14:paraId="30F60D96" w14:textId="77777777" w:rsidR="00E150DB" w:rsidRPr="00E150DB" w:rsidRDefault="00E150DB" w:rsidP="003E4C55">
            <w:pPr>
              <w:pStyle w:val="TableText0"/>
            </w:pPr>
            <w:r w:rsidRPr="00E150DB">
              <w:t>12 (6%)</w:t>
            </w:r>
          </w:p>
        </w:tc>
        <w:tc>
          <w:tcPr>
            <w:tcW w:w="593" w:type="pct"/>
          </w:tcPr>
          <w:p w14:paraId="6A73FD5F" w14:textId="77777777" w:rsidR="00E150DB" w:rsidRPr="00E150DB" w:rsidRDefault="00E150DB" w:rsidP="003E4C55">
            <w:pPr>
              <w:pStyle w:val="TableText0"/>
            </w:pPr>
            <w:r w:rsidRPr="00E150DB">
              <w:t>6 (4%)</w:t>
            </w:r>
          </w:p>
        </w:tc>
        <w:tc>
          <w:tcPr>
            <w:tcW w:w="593" w:type="pct"/>
          </w:tcPr>
          <w:p w14:paraId="7ECC0318" w14:textId="77777777" w:rsidR="00E150DB" w:rsidRPr="00E150DB" w:rsidRDefault="00E150DB" w:rsidP="003E4C55">
            <w:pPr>
              <w:pStyle w:val="TableText0"/>
            </w:pPr>
            <w:r w:rsidRPr="00E150DB">
              <w:t>3 (2%)</w:t>
            </w:r>
          </w:p>
        </w:tc>
        <w:tc>
          <w:tcPr>
            <w:tcW w:w="509" w:type="pct"/>
          </w:tcPr>
          <w:p w14:paraId="739FAAE6" w14:textId="77777777" w:rsidR="00E150DB" w:rsidRPr="00E150DB" w:rsidRDefault="00E150DB" w:rsidP="003E4C55">
            <w:pPr>
              <w:pStyle w:val="TableText0"/>
            </w:pPr>
            <w:r w:rsidRPr="00E150DB">
              <w:t>11 (4%)</w:t>
            </w:r>
          </w:p>
        </w:tc>
        <w:tc>
          <w:tcPr>
            <w:tcW w:w="763" w:type="pct"/>
          </w:tcPr>
          <w:p w14:paraId="4F6C2B12" w14:textId="77777777" w:rsidR="00E150DB" w:rsidRPr="00E150DB" w:rsidRDefault="00E150DB" w:rsidP="003E4C55">
            <w:pPr>
              <w:pStyle w:val="TableText0"/>
            </w:pPr>
            <w:r w:rsidRPr="00E150DB">
              <w:t>19 (12.3%)</w:t>
            </w:r>
          </w:p>
        </w:tc>
      </w:tr>
    </w:tbl>
    <w:p w14:paraId="0C49ED80" w14:textId="46C06107" w:rsidR="00E150DB" w:rsidRDefault="00E150DB" w:rsidP="00E150DB">
      <w:pPr>
        <w:pStyle w:val="TableFigureFooter"/>
      </w:pPr>
      <w:r>
        <w:t>Source: Table 65, p194, Table 66, p195, 3098 CSR; Table 52, p143, Table 53, p145, 3002 CSR; Wissel, 2017, Table 2.</w:t>
      </w:r>
    </w:p>
    <w:p w14:paraId="0B28EE8B" w14:textId="77777777" w:rsidR="00E150DB" w:rsidRDefault="00E150DB" w:rsidP="00E150DB">
      <w:pPr>
        <w:pStyle w:val="TableFigureFooter"/>
      </w:pPr>
      <w:r>
        <w:t>AESI = adverse event of special interest.</w:t>
      </w:r>
    </w:p>
    <w:p w14:paraId="119DEB69" w14:textId="5D5723FB" w:rsidR="00251281" w:rsidRDefault="008E5ADD" w:rsidP="001634DE">
      <w:pPr>
        <w:pStyle w:val="3-BodyText"/>
      </w:pPr>
      <w:r>
        <w:t>Adverse events consistent with effects of Xeomin beyond the target muscles were re</w:t>
      </w:r>
      <w:r w:rsidR="005113DB">
        <w:t xml:space="preserve">latively common, </w:t>
      </w:r>
      <w:r>
        <w:t xml:space="preserve">but </w:t>
      </w:r>
      <w:r w:rsidR="005113DB">
        <w:t xml:space="preserve">none were serious, and </w:t>
      </w:r>
      <w:r>
        <w:t xml:space="preserve">causation </w:t>
      </w:r>
      <w:r w:rsidR="001B4202">
        <w:t>in any individual case is uncertain</w:t>
      </w:r>
      <w:r>
        <w:t xml:space="preserve">. </w:t>
      </w:r>
    </w:p>
    <w:p w14:paraId="1941EFD2" w14:textId="35F45AF7" w:rsidR="001B4202" w:rsidRDefault="001B4202" w:rsidP="001B4202">
      <w:pPr>
        <w:pStyle w:val="3-BodyText"/>
      </w:pPr>
      <w:r>
        <w:t xml:space="preserve">Adverse events </w:t>
      </w:r>
      <w:r w:rsidR="00E14643">
        <w:t xml:space="preserve">as </w:t>
      </w:r>
      <w:r w:rsidR="00491E33">
        <w:t xml:space="preserve">reported </w:t>
      </w:r>
      <w:r>
        <w:t xml:space="preserve">in the Botox trials </w:t>
      </w:r>
      <w:r w:rsidR="0027193A">
        <w:t xml:space="preserve">used for the indirect treatment comparison </w:t>
      </w:r>
      <w:r w:rsidR="00026EFE">
        <w:t xml:space="preserve">and in the Dysport trial (Gracies, 2017) </w:t>
      </w:r>
      <w:r>
        <w:t xml:space="preserve">are shown in </w:t>
      </w:r>
      <w:r w:rsidR="00027E8C">
        <w:fldChar w:fldCharType="begin"/>
      </w:r>
      <w:r w:rsidR="00027E8C">
        <w:instrText xml:space="preserve"> REF _Ref216083928 \h </w:instrText>
      </w:r>
      <w:r w:rsidR="00027E8C">
        <w:fldChar w:fldCharType="separate"/>
      </w:r>
      <w:r w:rsidR="00761491">
        <w:t xml:space="preserve">Table </w:t>
      </w:r>
      <w:r w:rsidR="00761491">
        <w:rPr>
          <w:noProof/>
        </w:rPr>
        <w:t>7</w:t>
      </w:r>
      <w:r w:rsidR="00027E8C">
        <w:fldChar w:fldCharType="end"/>
      </w:r>
      <w:r w:rsidR="00027E8C">
        <w:t>.</w:t>
      </w:r>
    </w:p>
    <w:p w14:paraId="6FEDC6D7" w14:textId="3A6F0E6A" w:rsidR="001B4202" w:rsidRDefault="00027E8C" w:rsidP="00027E8C">
      <w:pPr>
        <w:pStyle w:val="Caption"/>
      </w:pPr>
      <w:bookmarkStart w:id="33" w:name="_Ref216083928"/>
      <w:r>
        <w:t xml:space="preserve">Table </w:t>
      </w:r>
      <w:fldSimple w:instr=" SEQ Table \* ARABIC ">
        <w:r w:rsidR="00761491">
          <w:rPr>
            <w:noProof/>
          </w:rPr>
          <w:t>7</w:t>
        </w:r>
      </w:fldSimple>
      <w:bookmarkEnd w:id="33"/>
      <w:r>
        <w:t xml:space="preserve">: </w:t>
      </w:r>
      <w:r w:rsidR="001B4202">
        <w:t>Adverse events in the trials of Botox</w:t>
      </w:r>
    </w:p>
    <w:tbl>
      <w:tblPr>
        <w:tblStyle w:val="TableGrid"/>
        <w:tblW w:w="5000" w:type="pct"/>
        <w:tblLook w:val="04A0" w:firstRow="1" w:lastRow="0" w:firstColumn="1" w:lastColumn="0" w:noHBand="0" w:noVBand="1"/>
        <w:tblCaption w:val="Table 7: Adverse events in the trials of Botox"/>
      </w:tblPr>
      <w:tblGrid>
        <w:gridCol w:w="1525"/>
        <w:gridCol w:w="1223"/>
        <w:gridCol w:w="1225"/>
        <w:gridCol w:w="1069"/>
        <w:gridCol w:w="1071"/>
        <w:gridCol w:w="968"/>
        <w:gridCol w:w="968"/>
        <w:gridCol w:w="968"/>
      </w:tblGrid>
      <w:tr w:rsidR="00131427" w14:paraId="104A50B0" w14:textId="11F13AD3" w:rsidTr="00EE5781">
        <w:tc>
          <w:tcPr>
            <w:tcW w:w="845" w:type="pct"/>
          </w:tcPr>
          <w:p w14:paraId="782A60BB" w14:textId="77777777" w:rsidR="00131427" w:rsidRDefault="00131427" w:rsidP="001B4202">
            <w:pPr>
              <w:pStyle w:val="TableFigureHeading"/>
            </w:pPr>
          </w:p>
        </w:tc>
        <w:tc>
          <w:tcPr>
            <w:tcW w:w="2544" w:type="pct"/>
            <w:gridSpan w:val="4"/>
          </w:tcPr>
          <w:p w14:paraId="52B1F67F" w14:textId="4906159D" w:rsidR="00131427" w:rsidRDefault="00131427" w:rsidP="00131427">
            <w:pPr>
              <w:pStyle w:val="TableFigureHeading"/>
              <w:jc w:val="center"/>
            </w:pPr>
            <w:r>
              <w:t>Botox Trials</w:t>
            </w:r>
          </w:p>
        </w:tc>
        <w:tc>
          <w:tcPr>
            <w:tcW w:w="1611" w:type="pct"/>
            <w:gridSpan w:val="3"/>
          </w:tcPr>
          <w:p w14:paraId="6E6A7DD3" w14:textId="7FD2A4F4" w:rsidR="00131427" w:rsidRDefault="00131427" w:rsidP="00131427">
            <w:pPr>
              <w:pStyle w:val="TableFigureHeading"/>
              <w:jc w:val="center"/>
            </w:pPr>
            <w:r>
              <w:t>Dysport Trial</w:t>
            </w:r>
          </w:p>
        </w:tc>
      </w:tr>
      <w:tr w:rsidR="00026EFE" w14:paraId="30089798" w14:textId="066A0B4E" w:rsidTr="00EE5781">
        <w:tc>
          <w:tcPr>
            <w:tcW w:w="845" w:type="pct"/>
          </w:tcPr>
          <w:p w14:paraId="46D6B262" w14:textId="77777777" w:rsidR="00026EFE" w:rsidRDefault="00026EFE" w:rsidP="001B4202">
            <w:pPr>
              <w:pStyle w:val="TableFigureHeading"/>
            </w:pPr>
          </w:p>
        </w:tc>
        <w:tc>
          <w:tcPr>
            <w:tcW w:w="1357" w:type="pct"/>
            <w:gridSpan w:val="2"/>
          </w:tcPr>
          <w:p w14:paraId="768A7D93" w14:textId="21A9613D" w:rsidR="00026EFE" w:rsidRDefault="00026EFE" w:rsidP="001B4202">
            <w:pPr>
              <w:pStyle w:val="TableFigureHeading"/>
            </w:pPr>
            <w:r>
              <w:t>REFLEX</w:t>
            </w:r>
          </w:p>
        </w:tc>
        <w:tc>
          <w:tcPr>
            <w:tcW w:w="1187" w:type="pct"/>
            <w:gridSpan w:val="2"/>
          </w:tcPr>
          <w:p w14:paraId="3EBE928A" w14:textId="66B111E6" w:rsidR="00026EFE" w:rsidRDefault="00026EFE" w:rsidP="001B4202">
            <w:pPr>
              <w:pStyle w:val="TableFigureHeading"/>
            </w:pPr>
            <w:r>
              <w:t>512</w:t>
            </w:r>
          </w:p>
        </w:tc>
        <w:tc>
          <w:tcPr>
            <w:tcW w:w="1611" w:type="pct"/>
            <w:gridSpan w:val="3"/>
          </w:tcPr>
          <w:p w14:paraId="2D40685C" w14:textId="0D1346A1" w:rsidR="00026EFE" w:rsidRDefault="00131427" w:rsidP="001B4202">
            <w:pPr>
              <w:pStyle w:val="TableFigureHeading"/>
            </w:pPr>
            <w:r>
              <w:t>Gracies, 2017</w:t>
            </w:r>
          </w:p>
        </w:tc>
      </w:tr>
      <w:tr w:rsidR="00131427" w14:paraId="12FE2EE9" w14:textId="1AF04DAB" w:rsidTr="00EE5781">
        <w:tc>
          <w:tcPr>
            <w:tcW w:w="845" w:type="pct"/>
          </w:tcPr>
          <w:p w14:paraId="54AC656E" w14:textId="77777777" w:rsidR="00131427" w:rsidRPr="001B4202" w:rsidRDefault="00131427" w:rsidP="001B4202">
            <w:pPr>
              <w:pStyle w:val="TableFigureHeading"/>
              <w:rPr>
                <w:b w:val="0"/>
                <w:bCs w:val="0"/>
              </w:rPr>
            </w:pPr>
          </w:p>
        </w:tc>
        <w:tc>
          <w:tcPr>
            <w:tcW w:w="678" w:type="pct"/>
          </w:tcPr>
          <w:p w14:paraId="4D7712D7" w14:textId="77777777" w:rsidR="00131427" w:rsidRDefault="00131427" w:rsidP="001B4202">
            <w:pPr>
              <w:pStyle w:val="TableFigureHeading"/>
              <w:rPr>
                <w:b w:val="0"/>
                <w:bCs w:val="0"/>
              </w:rPr>
            </w:pPr>
            <w:r>
              <w:rPr>
                <w:b w:val="0"/>
                <w:bCs w:val="0"/>
              </w:rPr>
              <w:t>Botox</w:t>
            </w:r>
          </w:p>
          <w:p w14:paraId="74BC042D" w14:textId="4B21F5C5" w:rsidR="00131427" w:rsidRPr="001B4202" w:rsidRDefault="00131427" w:rsidP="001B4202">
            <w:pPr>
              <w:pStyle w:val="TableFigureHeading"/>
              <w:rPr>
                <w:b w:val="0"/>
                <w:bCs w:val="0"/>
              </w:rPr>
            </w:pPr>
            <w:r>
              <w:rPr>
                <w:b w:val="0"/>
                <w:bCs w:val="0"/>
              </w:rPr>
              <w:t>N = 233</w:t>
            </w:r>
          </w:p>
        </w:tc>
        <w:tc>
          <w:tcPr>
            <w:tcW w:w="678" w:type="pct"/>
          </w:tcPr>
          <w:p w14:paraId="284CCB8D" w14:textId="77777777" w:rsidR="00131427" w:rsidRDefault="00131427" w:rsidP="001B4202">
            <w:pPr>
              <w:pStyle w:val="TableFigureHeading"/>
              <w:rPr>
                <w:b w:val="0"/>
                <w:bCs w:val="0"/>
              </w:rPr>
            </w:pPr>
            <w:r w:rsidRPr="001B4202">
              <w:rPr>
                <w:b w:val="0"/>
                <w:bCs w:val="0"/>
              </w:rPr>
              <w:t>Placebo</w:t>
            </w:r>
          </w:p>
          <w:p w14:paraId="6BF91CAB" w14:textId="7C66A5F0" w:rsidR="00131427" w:rsidRPr="001B4202" w:rsidRDefault="00131427" w:rsidP="001B4202">
            <w:pPr>
              <w:pStyle w:val="TableFigureHeading"/>
              <w:rPr>
                <w:b w:val="0"/>
                <w:bCs w:val="0"/>
              </w:rPr>
            </w:pPr>
            <w:r>
              <w:rPr>
                <w:b w:val="0"/>
                <w:bCs w:val="0"/>
              </w:rPr>
              <w:t>N = 235</w:t>
            </w:r>
          </w:p>
        </w:tc>
        <w:tc>
          <w:tcPr>
            <w:tcW w:w="593" w:type="pct"/>
          </w:tcPr>
          <w:p w14:paraId="16558113" w14:textId="2D71A53E" w:rsidR="00131427" w:rsidRDefault="00131427" w:rsidP="001B4202">
            <w:pPr>
              <w:pStyle w:val="TableFigureHeading"/>
              <w:rPr>
                <w:b w:val="0"/>
                <w:bCs w:val="0"/>
              </w:rPr>
            </w:pPr>
            <w:r>
              <w:rPr>
                <w:b w:val="0"/>
                <w:bCs w:val="0"/>
              </w:rPr>
              <w:t>Botox</w:t>
            </w:r>
          </w:p>
          <w:p w14:paraId="4ECDC2BB" w14:textId="374E68CA" w:rsidR="00131427" w:rsidRPr="001B4202" w:rsidRDefault="00131427" w:rsidP="001B4202">
            <w:pPr>
              <w:pStyle w:val="TableFigureHeading"/>
              <w:rPr>
                <w:b w:val="0"/>
                <w:bCs w:val="0"/>
              </w:rPr>
            </w:pPr>
            <w:r>
              <w:rPr>
                <w:b w:val="0"/>
                <w:bCs w:val="0"/>
              </w:rPr>
              <w:t>N = 58</w:t>
            </w:r>
          </w:p>
        </w:tc>
        <w:tc>
          <w:tcPr>
            <w:tcW w:w="593" w:type="pct"/>
          </w:tcPr>
          <w:p w14:paraId="46EF8B1A" w14:textId="77777777" w:rsidR="00131427" w:rsidRDefault="00131427" w:rsidP="001B4202">
            <w:pPr>
              <w:pStyle w:val="TableFigureHeading"/>
              <w:rPr>
                <w:b w:val="0"/>
                <w:bCs w:val="0"/>
              </w:rPr>
            </w:pPr>
            <w:r w:rsidRPr="001B4202">
              <w:rPr>
                <w:b w:val="0"/>
                <w:bCs w:val="0"/>
              </w:rPr>
              <w:t>Placebo</w:t>
            </w:r>
          </w:p>
          <w:p w14:paraId="46B46E74" w14:textId="5D483CB9" w:rsidR="00131427" w:rsidRPr="001B4202" w:rsidRDefault="00131427" w:rsidP="001B4202">
            <w:pPr>
              <w:pStyle w:val="TableFigureHeading"/>
              <w:rPr>
                <w:b w:val="0"/>
                <w:bCs w:val="0"/>
              </w:rPr>
            </w:pPr>
            <w:r>
              <w:rPr>
                <w:b w:val="0"/>
                <w:bCs w:val="0"/>
              </w:rPr>
              <w:t>N = 62</w:t>
            </w:r>
          </w:p>
        </w:tc>
        <w:tc>
          <w:tcPr>
            <w:tcW w:w="537" w:type="pct"/>
          </w:tcPr>
          <w:p w14:paraId="36D687D5" w14:textId="77777777" w:rsidR="00131427" w:rsidRDefault="00131427" w:rsidP="001B4202">
            <w:pPr>
              <w:pStyle w:val="TableFigureHeading"/>
              <w:rPr>
                <w:b w:val="0"/>
                <w:bCs w:val="0"/>
              </w:rPr>
            </w:pPr>
            <w:r>
              <w:rPr>
                <w:b w:val="0"/>
                <w:bCs w:val="0"/>
              </w:rPr>
              <w:t>Dysport 1000 U</w:t>
            </w:r>
          </w:p>
          <w:p w14:paraId="337C743C" w14:textId="0EA8A9A2" w:rsidR="00131427" w:rsidRPr="001B4202" w:rsidRDefault="00131427" w:rsidP="001B4202">
            <w:pPr>
              <w:pStyle w:val="TableFigureHeading"/>
              <w:rPr>
                <w:b w:val="0"/>
                <w:bCs w:val="0"/>
              </w:rPr>
            </w:pPr>
            <w:r>
              <w:rPr>
                <w:b w:val="0"/>
                <w:bCs w:val="0"/>
              </w:rPr>
              <w:t>N = 127</w:t>
            </w:r>
          </w:p>
        </w:tc>
        <w:tc>
          <w:tcPr>
            <w:tcW w:w="537" w:type="pct"/>
          </w:tcPr>
          <w:p w14:paraId="499EB053" w14:textId="77777777" w:rsidR="00131427" w:rsidRDefault="00131427" w:rsidP="001B4202">
            <w:pPr>
              <w:pStyle w:val="TableFigureHeading"/>
              <w:rPr>
                <w:b w:val="0"/>
                <w:bCs w:val="0"/>
              </w:rPr>
            </w:pPr>
            <w:r>
              <w:rPr>
                <w:b w:val="0"/>
                <w:bCs w:val="0"/>
              </w:rPr>
              <w:t>Dysport 1500 U</w:t>
            </w:r>
          </w:p>
          <w:p w14:paraId="4883FEC8" w14:textId="29F25DFB" w:rsidR="00131427" w:rsidRPr="001B4202" w:rsidRDefault="00131427" w:rsidP="001B4202">
            <w:pPr>
              <w:pStyle w:val="TableFigureHeading"/>
              <w:rPr>
                <w:b w:val="0"/>
                <w:bCs w:val="0"/>
              </w:rPr>
            </w:pPr>
            <w:r>
              <w:rPr>
                <w:b w:val="0"/>
                <w:bCs w:val="0"/>
              </w:rPr>
              <w:t>N = 128</w:t>
            </w:r>
          </w:p>
        </w:tc>
        <w:tc>
          <w:tcPr>
            <w:tcW w:w="537" w:type="pct"/>
          </w:tcPr>
          <w:p w14:paraId="54549F6E" w14:textId="77777777" w:rsidR="00131427" w:rsidRDefault="00131427" w:rsidP="001B4202">
            <w:pPr>
              <w:pStyle w:val="TableFigureHeading"/>
              <w:rPr>
                <w:b w:val="0"/>
                <w:bCs w:val="0"/>
              </w:rPr>
            </w:pPr>
            <w:r>
              <w:rPr>
                <w:b w:val="0"/>
                <w:bCs w:val="0"/>
              </w:rPr>
              <w:t>Placebo</w:t>
            </w:r>
          </w:p>
          <w:p w14:paraId="0FE04E19" w14:textId="1F581455" w:rsidR="00131427" w:rsidRPr="001B4202" w:rsidRDefault="00131427" w:rsidP="001B4202">
            <w:pPr>
              <w:pStyle w:val="TableFigureHeading"/>
              <w:rPr>
                <w:b w:val="0"/>
                <w:bCs w:val="0"/>
              </w:rPr>
            </w:pPr>
            <w:r>
              <w:rPr>
                <w:b w:val="0"/>
                <w:bCs w:val="0"/>
              </w:rPr>
              <w:t>N = 130</w:t>
            </w:r>
          </w:p>
        </w:tc>
      </w:tr>
      <w:tr w:rsidR="00131427" w14:paraId="429C7D51" w14:textId="2B20D8AB" w:rsidTr="00EE5781">
        <w:tc>
          <w:tcPr>
            <w:tcW w:w="845" w:type="pct"/>
          </w:tcPr>
          <w:p w14:paraId="3C5A6129" w14:textId="0714C817" w:rsidR="00131427" w:rsidRPr="001B4202" w:rsidRDefault="00131427" w:rsidP="001B4202">
            <w:pPr>
              <w:pStyle w:val="TableFigureHeading"/>
              <w:rPr>
                <w:b w:val="0"/>
                <w:bCs w:val="0"/>
              </w:rPr>
            </w:pPr>
            <w:r>
              <w:rPr>
                <w:b w:val="0"/>
                <w:bCs w:val="0"/>
              </w:rPr>
              <w:t>Patients with any AE, n (%)</w:t>
            </w:r>
          </w:p>
        </w:tc>
        <w:tc>
          <w:tcPr>
            <w:tcW w:w="678" w:type="pct"/>
          </w:tcPr>
          <w:p w14:paraId="724E246E" w14:textId="4496BC75" w:rsidR="00131427" w:rsidRPr="001B4202" w:rsidRDefault="00131427" w:rsidP="001B4202">
            <w:pPr>
              <w:pStyle w:val="TableFigureHeading"/>
              <w:rPr>
                <w:b w:val="0"/>
                <w:bCs w:val="0"/>
              </w:rPr>
            </w:pPr>
            <w:r>
              <w:rPr>
                <w:b w:val="0"/>
                <w:bCs w:val="0"/>
              </w:rPr>
              <w:t>95 (41.1%)</w:t>
            </w:r>
          </w:p>
        </w:tc>
        <w:tc>
          <w:tcPr>
            <w:tcW w:w="678" w:type="pct"/>
          </w:tcPr>
          <w:p w14:paraId="3AD87531" w14:textId="1D6E3F8E" w:rsidR="00131427" w:rsidRPr="001B4202" w:rsidRDefault="00131427" w:rsidP="001B4202">
            <w:pPr>
              <w:pStyle w:val="TableFigureHeading"/>
              <w:rPr>
                <w:b w:val="0"/>
                <w:bCs w:val="0"/>
              </w:rPr>
            </w:pPr>
            <w:r>
              <w:rPr>
                <w:b w:val="0"/>
                <w:bCs w:val="0"/>
              </w:rPr>
              <w:t>80 (34.3%)</w:t>
            </w:r>
          </w:p>
        </w:tc>
        <w:tc>
          <w:tcPr>
            <w:tcW w:w="593" w:type="pct"/>
          </w:tcPr>
          <w:p w14:paraId="1D149B90" w14:textId="34DF5CB1" w:rsidR="00131427" w:rsidRPr="001B4202" w:rsidRDefault="00131427" w:rsidP="001B4202">
            <w:pPr>
              <w:pStyle w:val="TableFigureHeading"/>
              <w:rPr>
                <w:b w:val="0"/>
                <w:bCs w:val="0"/>
              </w:rPr>
            </w:pPr>
            <w:r>
              <w:rPr>
                <w:b w:val="0"/>
                <w:bCs w:val="0"/>
              </w:rPr>
              <w:t>26 (45%)</w:t>
            </w:r>
          </w:p>
        </w:tc>
        <w:tc>
          <w:tcPr>
            <w:tcW w:w="593" w:type="pct"/>
          </w:tcPr>
          <w:p w14:paraId="3AA0B715" w14:textId="7E10B5B7" w:rsidR="00131427" w:rsidRPr="001B4202" w:rsidRDefault="00131427" w:rsidP="001B4202">
            <w:pPr>
              <w:pStyle w:val="TableFigureHeading"/>
              <w:rPr>
                <w:b w:val="0"/>
                <w:bCs w:val="0"/>
              </w:rPr>
            </w:pPr>
            <w:r>
              <w:rPr>
                <w:b w:val="0"/>
                <w:bCs w:val="0"/>
              </w:rPr>
              <w:t>27 (44%)</w:t>
            </w:r>
          </w:p>
        </w:tc>
        <w:tc>
          <w:tcPr>
            <w:tcW w:w="537" w:type="pct"/>
          </w:tcPr>
          <w:p w14:paraId="1CDFED23" w14:textId="500A9C74" w:rsidR="00131427" w:rsidRDefault="00131427" w:rsidP="001B4202">
            <w:pPr>
              <w:pStyle w:val="TableFigureHeading"/>
              <w:rPr>
                <w:b w:val="0"/>
                <w:bCs w:val="0"/>
              </w:rPr>
            </w:pPr>
            <w:r>
              <w:rPr>
                <w:b w:val="0"/>
                <w:bCs w:val="0"/>
              </w:rPr>
              <w:t>55 (43.3%)</w:t>
            </w:r>
          </w:p>
        </w:tc>
        <w:tc>
          <w:tcPr>
            <w:tcW w:w="537" w:type="pct"/>
          </w:tcPr>
          <w:p w14:paraId="55990678" w14:textId="38DA080F" w:rsidR="00131427" w:rsidRDefault="00131427" w:rsidP="001B4202">
            <w:pPr>
              <w:pStyle w:val="TableFigureHeading"/>
              <w:rPr>
                <w:b w:val="0"/>
                <w:bCs w:val="0"/>
              </w:rPr>
            </w:pPr>
            <w:r>
              <w:rPr>
                <w:b w:val="0"/>
                <w:bCs w:val="0"/>
              </w:rPr>
              <w:t>52 (40.6%)</w:t>
            </w:r>
          </w:p>
        </w:tc>
        <w:tc>
          <w:tcPr>
            <w:tcW w:w="537" w:type="pct"/>
          </w:tcPr>
          <w:p w14:paraId="2624EBD1" w14:textId="17D97194" w:rsidR="00131427" w:rsidRDefault="00131427" w:rsidP="001B4202">
            <w:pPr>
              <w:pStyle w:val="TableFigureHeading"/>
              <w:rPr>
                <w:b w:val="0"/>
                <w:bCs w:val="0"/>
              </w:rPr>
            </w:pPr>
            <w:r>
              <w:rPr>
                <w:b w:val="0"/>
                <w:bCs w:val="0"/>
              </w:rPr>
              <w:t>41 (31.5%)</w:t>
            </w:r>
          </w:p>
        </w:tc>
      </w:tr>
      <w:tr w:rsidR="00131427" w14:paraId="560BE3B4" w14:textId="717786A4" w:rsidTr="00EE5781">
        <w:tc>
          <w:tcPr>
            <w:tcW w:w="845" w:type="pct"/>
          </w:tcPr>
          <w:p w14:paraId="08805A5B" w14:textId="3767DC31" w:rsidR="00131427" w:rsidRPr="001B4202" w:rsidRDefault="00131427" w:rsidP="001B4202">
            <w:pPr>
              <w:pStyle w:val="TableFigureHeading"/>
              <w:rPr>
                <w:b w:val="0"/>
                <w:bCs w:val="0"/>
              </w:rPr>
            </w:pPr>
            <w:r>
              <w:rPr>
                <w:b w:val="0"/>
                <w:bCs w:val="0"/>
              </w:rPr>
              <w:t>Patients with any serious AE, n (%)</w:t>
            </w:r>
          </w:p>
        </w:tc>
        <w:tc>
          <w:tcPr>
            <w:tcW w:w="678" w:type="pct"/>
          </w:tcPr>
          <w:p w14:paraId="3F1704F0" w14:textId="02FB1AA5" w:rsidR="00131427" w:rsidRPr="001B4202" w:rsidRDefault="00131427" w:rsidP="001B4202">
            <w:pPr>
              <w:pStyle w:val="TableFigureHeading"/>
              <w:rPr>
                <w:b w:val="0"/>
                <w:bCs w:val="0"/>
              </w:rPr>
            </w:pPr>
            <w:r>
              <w:rPr>
                <w:b w:val="0"/>
                <w:bCs w:val="0"/>
              </w:rPr>
              <w:t>NR</w:t>
            </w:r>
          </w:p>
        </w:tc>
        <w:tc>
          <w:tcPr>
            <w:tcW w:w="678" w:type="pct"/>
          </w:tcPr>
          <w:p w14:paraId="712547A5" w14:textId="2314F661" w:rsidR="00131427" w:rsidRPr="001B4202" w:rsidRDefault="00131427" w:rsidP="001B4202">
            <w:pPr>
              <w:pStyle w:val="TableFigureHeading"/>
              <w:rPr>
                <w:b w:val="0"/>
                <w:bCs w:val="0"/>
              </w:rPr>
            </w:pPr>
            <w:r>
              <w:rPr>
                <w:b w:val="0"/>
                <w:bCs w:val="0"/>
              </w:rPr>
              <w:t>NR</w:t>
            </w:r>
          </w:p>
        </w:tc>
        <w:tc>
          <w:tcPr>
            <w:tcW w:w="593" w:type="pct"/>
          </w:tcPr>
          <w:p w14:paraId="3E3A8AB0" w14:textId="5DE54E9F" w:rsidR="00131427" w:rsidRPr="001B4202" w:rsidRDefault="00131427" w:rsidP="001B4202">
            <w:pPr>
              <w:pStyle w:val="TableFigureHeading"/>
              <w:rPr>
                <w:b w:val="0"/>
                <w:bCs w:val="0"/>
              </w:rPr>
            </w:pPr>
            <w:r>
              <w:rPr>
                <w:b w:val="0"/>
                <w:bCs w:val="0"/>
              </w:rPr>
              <w:t>5 (9%)</w:t>
            </w:r>
          </w:p>
        </w:tc>
        <w:tc>
          <w:tcPr>
            <w:tcW w:w="593" w:type="pct"/>
          </w:tcPr>
          <w:p w14:paraId="66E7649E" w14:textId="6AAD24AA" w:rsidR="00131427" w:rsidRPr="001B4202" w:rsidRDefault="00131427" w:rsidP="001B4202">
            <w:pPr>
              <w:pStyle w:val="TableFigureHeading"/>
              <w:rPr>
                <w:b w:val="0"/>
                <w:bCs w:val="0"/>
              </w:rPr>
            </w:pPr>
            <w:r>
              <w:rPr>
                <w:b w:val="0"/>
                <w:bCs w:val="0"/>
              </w:rPr>
              <w:t>1 (2%)</w:t>
            </w:r>
          </w:p>
        </w:tc>
        <w:tc>
          <w:tcPr>
            <w:tcW w:w="537" w:type="pct"/>
          </w:tcPr>
          <w:p w14:paraId="5DD25873" w14:textId="75486DFE" w:rsidR="00131427" w:rsidRDefault="00131427" w:rsidP="001B4202">
            <w:pPr>
              <w:pStyle w:val="TableFigureHeading"/>
              <w:rPr>
                <w:b w:val="0"/>
                <w:bCs w:val="0"/>
              </w:rPr>
            </w:pPr>
            <w:r>
              <w:rPr>
                <w:b w:val="0"/>
                <w:bCs w:val="0"/>
              </w:rPr>
              <w:t>5 (4%)</w:t>
            </w:r>
          </w:p>
        </w:tc>
        <w:tc>
          <w:tcPr>
            <w:tcW w:w="537" w:type="pct"/>
          </w:tcPr>
          <w:p w14:paraId="69982DAF" w14:textId="38F6FEF3" w:rsidR="00131427" w:rsidRDefault="00131427" w:rsidP="001B4202">
            <w:pPr>
              <w:pStyle w:val="TableFigureHeading"/>
              <w:rPr>
                <w:b w:val="0"/>
                <w:bCs w:val="0"/>
              </w:rPr>
            </w:pPr>
            <w:r>
              <w:rPr>
                <w:b w:val="0"/>
                <w:bCs w:val="0"/>
              </w:rPr>
              <w:t>5 (4%)</w:t>
            </w:r>
          </w:p>
        </w:tc>
        <w:tc>
          <w:tcPr>
            <w:tcW w:w="537" w:type="pct"/>
          </w:tcPr>
          <w:p w14:paraId="117539FE" w14:textId="361E2B08" w:rsidR="00131427" w:rsidRDefault="00131427" w:rsidP="001B4202">
            <w:pPr>
              <w:pStyle w:val="TableFigureHeading"/>
              <w:rPr>
                <w:b w:val="0"/>
                <w:bCs w:val="0"/>
              </w:rPr>
            </w:pPr>
            <w:r>
              <w:rPr>
                <w:b w:val="0"/>
                <w:bCs w:val="0"/>
              </w:rPr>
              <w:t>7 (5.4%)</w:t>
            </w:r>
          </w:p>
        </w:tc>
      </w:tr>
      <w:tr w:rsidR="00131427" w14:paraId="2DF28800" w14:textId="77777777" w:rsidTr="00EE5781">
        <w:tc>
          <w:tcPr>
            <w:tcW w:w="845" w:type="pct"/>
          </w:tcPr>
          <w:p w14:paraId="3B2A4B25" w14:textId="2DC11A35" w:rsidR="00131427" w:rsidRDefault="00131427" w:rsidP="001B4202">
            <w:pPr>
              <w:pStyle w:val="TableFigureHeading"/>
              <w:rPr>
                <w:b w:val="0"/>
                <w:bCs w:val="0"/>
              </w:rPr>
            </w:pPr>
            <w:r>
              <w:rPr>
                <w:b w:val="0"/>
                <w:bCs w:val="0"/>
              </w:rPr>
              <w:t>AESI, n (%)</w:t>
            </w:r>
          </w:p>
        </w:tc>
        <w:tc>
          <w:tcPr>
            <w:tcW w:w="678" w:type="pct"/>
          </w:tcPr>
          <w:p w14:paraId="6091960B" w14:textId="5FD7B7C6" w:rsidR="00131427" w:rsidRDefault="00131427" w:rsidP="001B4202">
            <w:pPr>
              <w:pStyle w:val="TableFigureHeading"/>
              <w:rPr>
                <w:b w:val="0"/>
                <w:bCs w:val="0"/>
              </w:rPr>
            </w:pPr>
            <w:r>
              <w:rPr>
                <w:b w:val="0"/>
                <w:bCs w:val="0"/>
              </w:rPr>
              <w:t>NR</w:t>
            </w:r>
          </w:p>
        </w:tc>
        <w:tc>
          <w:tcPr>
            <w:tcW w:w="678" w:type="pct"/>
          </w:tcPr>
          <w:p w14:paraId="4C360866" w14:textId="57527A87" w:rsidR="00131427" w:rsidRDefault="00131427" w:rsidP="001B4202">
            <w:pPr>
              <w:pStyle w:val="TableFigureHeading"/>
              <w:rPr>
                <w:b w:val="0"/>
                <w:bCs w:val="0"/>
              </w:rPr>
            </w:pPr>
            <w:r>
              <w:rPr>
                <w:b w:val="0"/>
                <w:bCs w:val="0"/>
              </w:rPr>
              <w:t>NR</w:t>
            </w:r>
          </w:p>
        </w:tc>
        <w:tc>
          <w:tcPr>
            <w:tcW w:w="593" w:type="pct"/>
          </w:tcPr>
          <w:p w14:paraId="4FED1A2E" w14:textId="0AED42AE" w:rsidR="00131427" w:rsidRDefault="00131427" w:rsidP="001B4202">
            <w:pPr>
              <w:pStyle w:val="TableFigureHeading"/>
              <w:rPr>
                <w:b w:val="0"/>
                <w:bCs w:val="0"/>
              </w:rPr>
            </w:pPr>
            <w:r>
              <w:rPr>
                <w:b w:val="0"/>
                <w:bCs w:val="0"/>
              </w:rPr>
              <w:t>NR</w:t>
            </w:r>
          </w:p>
        </w:tc>
        <w:tc>
          <w:tcPr>
            <w:tcW w:w="593" w:type="pct"/>
          </w:tcPr>
          <w:p w14:paraId="56122A7B" w14:textId="3702A1D5" w:rsidR="00131427" w:rsidRDefault="00131427" w:rsidP="001B4202">
            <w:pPr>
              <w:pStyle w:val="TableFigureHeading"/>
              <w:rPr>
                <w:b w:val="0"/>
                <w:bCs w:val="0"/>
              </w:rPr>
            </w:pPr>
            <w:r>
              <w:rPr>
                <w:b w:val="0"/>
                <w:bCs w:val="0"/>
              </w:rPr>
              <w:t>NR</w:t>
            </w:r>
          </w:p>
        </w:tc>
        <w:tc>
          <w:tcPr>
            <w:tcW w:w="537" w:type="pct"/>
          </w:tcPr>
          <w:p w14:paraId="11F48D5F" w14:textId="30CEAD10" w:rsidR="00131427" w:rsidRDefault="00131427" w:rsidP="001B4202">
            <w:pPr>
              <w:pStyle w:val="TableFigureHeading"/>
              <w:rPr>
                <w:b w:val="0"/>
                <w:bCs w:val="0"/>
              </w:rPr>
            </w:pPr>
            <w:r>
              <w:rPr>
                <w:b w:val="0"/>
                <w:bCs w:val="0"/>
              </w:rPr>
              <w:t>6 (5%)</w:t>
            </w:r>
          </w:p>
        </w:tc>
        <w:tc>
          <w:tcPr>
            <w:tcW w:w="537" w:type="pct"/>
          </w:tcPr>
          <w:p w14:paraId="6DE0436F" w14:textId="3E9A37C0" w:rsidR="00131427" w:rsidRDefault="00131427" w:rsidP="001B4202">
            <w:pPr>
              <w:pStyle w:val="TableFigureHeading"/>
              <w:rPr>
                <w:b w:val="0"/>
                <w:bCs w:val="0"/>
              </w:rPr>
            </w:pPr>
            <w:r>
              <w:rPr>
                <w:b w:val="0"/>
                <w:bCs w:val="0"/>
              </w:rPr>
              <w:t>13 (10%)</w:t>
            </w:r>
          </w:p>
        </w:tc>
        <w:tc>
          <w:tcPr>
            <w:tcW w:w="537" w:type="pct"/>
          </w:tcPr>
          <w:p w14:paraId="4F87F5EE" w14:textId="08C3C035" w:rsidR="00131427" w:rsidRDefault="00131427" w:rsidP="001B4202">
            <w:pPr>
              <w:pStyle w:val="TableFigureHeading"/>
              <w:rPr>
                <w:b w:val="0"/>
                <w:bCs w:val="0"/>
              </w:rPr>
            </w:pPr>
            <w:r>
              <w:rPr>
                <w:b w:val="0"/>
                <w:bCs w:val="0"/>
              </w:rPr>
              <w:t>7 (5.4%)</w:t>
            </w:r>
          </w:p>
        </w:tc>
      </w:tr>
    </w:tbl>
    <w:p w14:paraId="4B5032EB" w14:textId="36AFFDF2" w:rsidR="002B6CA9" w:rsidRDefault="00491E33" w:rsidP="002B6CA9">
      <w:pPr>
        <w:pStyle w:val="TableFigureFooter"/>
      </w:pPr>
      <w:r>
        <w:t xml:space="preserve">Source: </w:t>
      </w:r>
      <w:r w:rsidR="002B6CA9">
        <w:t>Wein et al, 2018, Table 4; Kaji et al, 2010, Table 4</w:t>
      </w:r>
      <w:r w:rsidR="00131427">
        <w:t>; Gracies, 2017, Table 3.</w:t>
      </w:r>
    </w:p>
    <w:p w14:paraId="54ACF675" w14:textId="65FE3A87" w:rsidR="001B4202" w:rsidRPr="001B4202" w:rsidRDefault="002B6CA9" w:rsidP="002B6CA9">
      <w:pPr>
        <w:pStyle w:val="TableFigureFooter"/>
      </w:pPr>
      <w:r>
        <w:t xml:space="preserve">AE = adverse event; </w:t>
      </w:r>
      <w:r w:rsidR="005113DB">
        <w:t xml:space="preserve">AESI = adverse event of special interest; </w:t>
      </w:r>
      <w:r>
        <w:t>NR = not reported.</w:t>
      </w:r>
    </w:p>
    <w:p w14:paraId="10AE3973" w14:textId="38FBA637" w:rsidR="00A951AF" w:rsidRDefault="00A951AF" w:rsidP="004C55C7">
      <w:pPr>
        <w:pStyle w:val="4-SubsectionHeading"/>
      </w:pPr>
      <w:bookmarkStart w:id="34" w:name="_Toc219899376"/>
      <w:r>
        <w:t>Indirect Treatment Comparisons</w:t>
      </w:r>
      <w:bookmarkEnd w:id="34"/>
    </w:p>
    <w:p w14:paraId="746E7A71" w14:textId="205D69B0" w:rsidR="00A951AF" w:rsidRDefault="00A951AF" w:rsidP="00A951AF">
      <w:pPr>
        <w:pStyle w:val="5-SubsectionSubheading"/>
        <w:rPr>
          <w:lang w:eastAsia="en-US"/>
        </w:rPr>
      </w:pPr>
      <w:bookmarkStart w:id="35" w:name="_Toc219899377"/>
      <w:r>
        <w:rPr>
          <w:lang w:eastAsia="en-US"/>
        </w:rPr>
        <w:t>Efficacy</w:t>
      </w:r>
      <w:bookmarkEnd w:id="35"/>
    </w:p>
    <w:p w14:paraId="21F087F8" w14:textId="2ABE27D8" w:rsidR="00527EEC" w:rsidRDefault="00A951AF" w:rsidP="00A951AF">
      <w:pPr>
        <w:pStyle w:val="3-BodyText"/>
        <w:rPr>
          <w:lang w:eastAsia="en-US"/>
        </w:rPr>
      </w:pPr>
      <w:r>
        <w:rPr>
          <w:lang w:eastAsia="en-US"/>
        </w:rPr>
        <w:t xml:space="preserve">The nominated non-inferiority margin of Xeomin versus Botox </w:t>
      </w:r>
      <w:r w:rsidR="00767C52">
        <w:rPr>
          <w:lang w:eastAsia="en-US"/>
        </w:rPr>
        <w:t xml:space="preserve">for MAS </w:t>
      </w:r>
      <w:r>
        <w:rPr>
          <w:lang w:eastAsia="en-US"/>
        </w:rPr>
        <w:t xml:space="preserve">was 0.5 points at week 4. </w:t>
      </w:r>
      <w:r w:rsidR="00527EEC">
        <w:rPr>
          <w:lang w:eastAsia="en-US"/>
        </w:rPr>
        <w:t>T</w:t>
      </w:r>
      <w:r>
        <w:rPr>
          <w:lang w:eastAsia="en-US"/>
        </w:rPr>
        <w:t xml:space="preserve">he differences in MAS scores versus placebo at this time point were </w:t>
      </w:r>
      <w:r w:rsidR="00527EEC">
        <w:rPr>
          <w:lang w:eastAsia="en-US"/>
        </w:rPr>
        <w:t xml:space="preserve">-0.27 in both Xeomin and Botox trials, so this non-inferiority margin was too large. </w:t>
      </w:r>
      <w:r w:rsidR="00767C52">
        <w:rPr>
          <w:lang w:eastAsia="en-US"/>
        </w:rPr>
        <w:t xml:space="preserve">No non-inferiority margin for the proportion of responders was nominated. </w:t>
      </w:r>
    </w:p>
    <w:p w14:paraId="0069993B" w14:textId="7AEFB7B5" w:rsidR="00A951AF" w:rsidRDefault="00767C52" w:rsidP="00A951AF">
      <w:pPr>
        <w:pStyle w:val="3-BodyText"/>
        <w:rPr>
          <w:lang w:eastAsia="en-US"/>
        </w:rPr>
      </w:pPr>
      <w:r>
        <w:rPr>
          <w:lang w:eastAsia="en-US"/>
        </w:rPr>
        <w:t>All</w:t>
      </w:r>
      <w:r w:rsidR="00527EEC">
        <w:rPr>
          <w:lang w:eastAsia="en-US"/>
        </w:rPr>
        <w:t xml:space="preserve"> submitted indirect treatment comparison</w:t>
      </w:r>
      <w:r>
        <w:rPr>
          <w:lang w:eastAsia="en-US"/>
        </w:rPr>
        <w:t>s</w:t>
      </w:r>
      <w:r w:rsidR="00527EEC">
        <w:rPr>
          <w:lang w:eastAsia="en-US"/>
        </w:rPr>
        <w:t xml:space="preserve"> inappropriately excluded the data from 3002. </w:t>
      </w:r>
    </w:p>
    <w:p w14:paraId="35ED54E5" w14:textId="5BA0C6C2" w:rsidR="0081541C" w:rsidRDefault="0081541C" w:rsidP="00A951AF">
      <w:pPr>
        <w:pStyle w:val="3-BodyText"/>
        <w:rPr>
          <w:lang w:eastAsia="en-US"/>
        </w:rPr>
      </w:pPr>
      <w:r>
        <w:rPr>
          <w:lang w:eastAsia="en-US"/>
        </w:rPr>
        <w:t xml:space="preserve">The indirect mean difference (95% CI) </w:t>
      </w:r>
      <w:r w:rsidR="00767C52">
        <w:rPr>
          <w:lang w:eastAsia="en-US"/>
        </w:rPr>
        <w:t xml:space="preserve">in MAS at 4 weeks </w:t>
      </w:r>
      <w:r>
        <w:rPr>
          <w:lang w:eastAsia="en-US"/>
        </w:rPr>
        <w:t xml:space="preserve">for Xeomin versus Botox was -0.002 (-0.23, 0.23). The lower bound of the 95% CI for the difference was within the nominated non-inferiority margin, but this was uninformative because the non-inferiority margin was </w:t>
      </w:r>
      <w:r w:rsidR="00673A81">
        <w:rPr>
          <w:lang w:eastAsia="en-US"/>
        </w:rPr>
        <w:t xml:space="preserve">much </w:t>
      </w:r>
      <w:r>
        <w:rPr>
          <w:lang w:eastAsia="en-US"/>
        </w:rPr>
        <w:t xml:space="preserve">larger than the effect size versus placebo. </w:t>
      </w:r>
    </w:p>
    <w:p w14:paraId="7CFF52D0" w14:textId="7F468E55" w:rsidR="00673A81" w:rsidRDefault="00767C52" w:rsidP="00A951AF">
      <w:pPr>
        <w:pStyle w:val="3-BodyText"/>
        <w:rPr>
          <w:lang w:eastAsia="en-US"/>
        </w:rPr>
      </w:pPr>
      <w:r>
        <w:rPr>
          <w:lang w:eastAsia="en-US"/>
        </w:rPr>
        <w:t>The i</w:t>
      </w:r>
      <w:r w:rsidR="00673A81">
        <w:rPr>
          <w:lang w:eastAsia="en-US"/>
        </w:rPr>
        <w:t xml:space="preserve">ndirect comparison of treatment responders (defined as </w:t>
      </w:r>
      <w:r w:rsidR="00673A81">
        <w:rPr>
          <w:rFonts w:ascii="Symbol" w:eastAsia="Symbol" w:hAnsi="Symbol" w:cs="Symbol"/>
          <w:lang w:eastAsia="en-US"/>
        </w:rPr>
        <w:t>³</w:t>
      </w:r>
      <w:r w:rsidR="00673A81">
        <w:rPr>
          <w:lang w:eastAsia="en-US"/>
        </w:rPr>
        <w:t xml:space="preserve">1 point reduction in MAS) at 4 weeks reported only relative risk. The relative risk (95% CI) for Xeomin versus placebo using only the data from 3098 was 1.35 (1.01, 1.80) </w:t>
      </w:r>
      <w:r>
        <w:rPr>
          <w:lang w:eastAsia="en-US"/>
        </w:rPr>
        <w:t xml:space="preserve">so inclusion of data </w:t>
      </w:r>
      <w:r>
        <w:rPr>
          <w:lang w:eastAsia="en-US"/>
        </w:rPr>
        <w:lastRenderedPageBreak/>
        <w:t xml:space="preserve">from 3002 may have resulted in the pooled relative risk </w:t>
      </w:r>
      <w:r w:rsidR="00E14643">
        <w:rPr>
          <w:lang w:eastAsia="en-US"/>
        </w:rPr>
        <w:t xml:space="preserve">of response with Xeomin </w:t>
      </w:r>
      <w:r>
        <w:rPr>
          <w:lang w:eastAsia="en-US"/>
        </w:rPr>
        <w:t>not being statistically significant. The relative risk (95% CI)</w:t>
      </w:r>
      <w:r w:rsidR="00673A81">
        <w:rPr>
          <w:lang w:eastAsia="en-US"/>
        </w:rPr>
        <w:t xml:space="preserve"> for Botox versus placebo was 1.48 (1.23, 1.77</w:t>
      </w:r>
      <w:r>
        <w:rPr>
          <w:lang w:eastAsia="en-US"/>
        </w:rPr>
        <w:t xml:space="preserve">), and the indirect relative risk of Botox versus Xeomin was 1.10 (0.78, 1.54), but this result also would have been different if the data from 3002 had been included. </w:t>
      </w:r>
    </w:p>
    <w:p w14:paraId="06CC7C7F" w14:textId="0F1ED8DE" w:rsidR="00767C52" w:rsidRDefault="00767C52" w:rsidP="00767C52">
      <w:pPr>
        <w:pStyle w:val="5-SubsectionSubheading"/>
        <w:rPr>
          <w:lang w:eastAsia="en-US"/>
        </w:rPr>
      </w:pPr>
      <w:bookmarkStart w:id="36" w:name="_Toc219899378"/>
      <w:r w:rsidRPr="00DE2931">
        <w:rPr>
          <w:i/>
          <w:spacing w:val="5"/>
          <w:kern w:val="28"/>
          <w:sz w:val="28"/>
          <w:szCs w:val="36"/>
          <w:lang w:eastAsia="en-US"/>
        </w:rPr>
        <w:t>Safety</w:t>
      </w:r>
      <w:bookmarkEnd w:id="36"/>
    </w:p>
    <w:p w14:paraId="1DF04302" w14:textId="25F783EE" w:rsidR="00767C52" w:rsidRDefault="00767C52" w:rsidP="00A951AF">
      <w:pPr>
        <w:pStyle w:val="3-BodyText"/>
        <w:rPr>
          <w:lang w:eastAsia="en-US"/>
        </w:rPr>
      </w:pPr>
      <w:r>
        <w:rPr>
          <w:lang w:eastAsia="en-US"/>
        </w:rPr>
        <w:t>The indirect treatment comparison of safety was confined to total adverse events and serious adverse events</w:t>
      </w:r>
      <w:r w:rsidR="002B6CA9">
        <w:rPr>
          <w:lang w:eastAsia="en-US"/>
        </w:rPr>
        <w:t xml:space="preserve"> in 3098 and 512 only</w:t>
      </w:r>
      <w:r>
        <w:rPr>
          <w:lang w:eastAsia="en-US"/>
        </w:rPr>
        <w:t xml:space="preserve">. </w:t>
      </w:r>
      <w:r w:rsidR="00BA2928">
        <w:rPr>
          <w:lang w:eastAsia="en-US"/>
        </w:rPr>
        <w:t>Th</w:t>
      </w:r>
      <w:r w:rsidR="001B3E1A">
        <w:rPr>
          <w:lang w:eastAsia="en-US"/>
        </w:rPr>
        <w:t>ere was</w:t>
      </w:r>
      <w:r w:rsidR="00BA2928">
        <w:rPr>
          <w:lang w:eastAsia="en-US"/>
        </w:rPr>
        <w:t xml:space="preserve"> no difference between Xeomin and Botox. </w:t>
      </w:r>
    </w:p>
    <w:p w14:paraId="276F5D20" w14:textId="77777777" w:rsidR="00027E8C" w:rsidRPr="0098262F" w:rsidRDefault="00027E8C" w:rsidP="004C55C7">
      <w:pPr>
        <w:pStyle w:val="4-SubsectionHeading"/>
      </w:pPr>
      <w:bookmarkStart w:id="37" w:name="_Toc22897643"/>
      <w:bookmarkStart w:id="38" w:name="_Toc219899379"/>
      <w:r w:rsidRPr="0098262F">
        <w:t>Benefits/harms</w:t>
      </w:r>
      <w:bookmarkEnd w:id="37"/>
      <w:bookmarkEnd w:id="38"/>
    </w:p>
    <w:p w14:paraId="009D23B4" w14:textId="1387D1E1" w:rsidR="00027E8C" w:rsidRPr="00A951AF" w:rsidRDefault="00027E8C" w:rsidP="00027E8C">
      <w:pPr>
        <w:pStyle w:val="3-BodyText"/>
      </w:pPr>
      <w:r w:rsidRPr="0098262F">
        <w:t xml:space="preserve">A benefits and harms table is not presented as the submission made a claim of non-inferiority. </w:t>
      </w:r>
    </w:p>
    <w:p w14:paraId="7A1772B6" w14:textId="23BB3145" w:rsidR="00B60939" w:rsidRPr="0098262F" w:rsidRDefault="00B60939" w:rsidP="004C55C7">
      <w:pPr>
        <w:pStyle w:val="4-SubsectionHeading"/>
      </w:pPr>
      <w:bookmarkStart w:id="39" w:name="_Toc22897644"/>
      <w:bookmarkStart w:id="40" w:name="_Toc219899380"/>
      <w:r w:rsidRPr="0098262F">
        <w:t>Clinical claim</w:t>
      </w:r>
      <w:bookmarkEnd w:id="39"/>
      <w:bookmarkEnd w:id="40"/>
    </w:p>
    <w:p w14:paraId="54D3A82D" w14:textId="6E351A95" w:rsidR="005F7588" w:rsidRPr="005229A8" w:rsidRDefault="005F7588" w:rsidP="00E9094A">
      <w:pPr>
        <w:pStyle w:val="3-BodyText"/>
        <w:rPr>
          <w:rFonts w:eastAsia="Calibri"/>
        </w:rPr>
      </w:pPr>
      <w:r w:rsidRPr="005229A8">
        <w:rPr>
          <w:rFonts w:eastAsia="Calibri"/>
        </w:rPr>
        <w:t xml:space="preserve">The submission described </w:t>
      </w:r>
      <w:r w:rsidR="00BE528F" w:rsidRPr="005229A8">
        <w:rPr>
          <w:rFonts w:eastAsia="Calibri"/>
        </w:rPr>
        <w:t>Xeomin</w:t>
      </w:r>
      <w:r w:rsidRPr="005229A8">
        <w:rPr>
          <w:rFonts w:eastAsia="Calibri"/>
        </w:rPr>
        <w:t xml:space="preserve"> as non-inferior in terms of effectiveness compared to </w:t>
      </w:r>
      <w:r w:rsidR="00BE528F" w:rsidRPr="005229A8">
        <w:rPr>
          <w:rFonts w:eastAsia="Calibri"/>
        </w:rPr>
        <w:t>Botox</w:t>
      </w:r>
      <w:r w:rsidRPr="005229A8">
        <w:rPr>
          <w:rFonts w:eastAsia="Calibri"/>
        </w:rPr>
        <w:t xml:space="preserve">. </w:t>
      </w:r>
      <w:r w:rsidR="000F317B">
        <w:rPr>
          <w:rFonts w:eastAsia="Calibri"/>
        </w:rPr>
        <w:t>The evaluation considered t</w:t>
      </w:r>
      <w:r w:rsidR="000919B0" w:rsidRPr="005229A8">
        <w:rPr>
          <w:rFonts w:eastAsia="Calibri"/>
        </w:rPr>
        <w:t>his</w:t>
      </w:r>
      <w:r w:rsidRPr="005229A8">
        <w:rPr>
          <w:rFonts w:eastAsia="Calibri"/>
        </w:rPr>
        <w:t xml:space="preserve"> claim was </w:t>
      </w:r>
      <w:r w:rsidR="00BE528F" w:rsidRPr="005229A8">
        <w:rPr>
          <w:rFonts w:eastAsia="Calibri"/>
        </w:rPr>
        <w:t xml:space="preserve">not </w:t>
      </w:r>
      <w:r w:rsidR="007C70FF" w:rsidRPr="005229A8">
        <w:rPr>
          <w:rFonts w:eastAsia="Calibri"/>
        </w:rPr>
        <w:t xml:space="preserve">adequately supported </w:t>
      </w:r>
      <w:r w:rsidR="00BE528F" w:rsidRPr="005229A8">
        <w:rPr>
          <w:rFonts w:eastAsia="Calibri"/>
        </w:rPr>
        <w:t xml:space="preserve">because of two randomised </w:t>
      </w:r>
      <w:r w:rsidR="000919B0" w:rsidRPr="005229A8">
        <w:rPr>
          <w:rFonts w:eastAsia="Calibri"/>
        </w:rPr>
        <w:t>placebo-</w:t>
      </w:r>
      <w:r w:rsidR="00BE528F" w:rsidRPr="005229A8">
        <w:rPr>
          <w:rFonts w:eastAsia="Calibri"/>
        </w:rPr>
        <w:t>controlled trials</w:t>
      </w:r>
      <w:r w:rsidR="001B4202" w:rsidRPr="005229A8">
        <w:rPr>
          <w:rFonts w:eastAsia="Calibri"/>
        </w:rPr>
        <w:t xml:space="preserve"> submitte</w:t>
      </w:r>
      <w:r w:rsidR="0003454D" w:rsidRPr="005229A8">
        <w:rPr>
          <w:rFonts w:eastAsia="Calibri"/>
        </w:rPr>
        <w:t>d</w:t>
      </w:r>
      <w:r w:rsidR="003112F3" w:rsidRPr="005229A8">
        <w:rPr>
          <w:rFonts w:eastAsia="Calibri"/>
        </w:rPr>
        <w:t>,</w:t>
      </w:r>
      <w:r w:rsidR="00BE528F" w:rsidRPr="005229A8">
        <w:rPr>
          <w:rFonts w:eastAsia="Calibri"/>
        </w:rPr>
        <w:t xml:space="preserve"> the larger found no difference between Xeomin and placebo</w:t>
      </w:r>
      <w:r w:rsidR="0003454D" w:rsidRPr="005229A8">
        <w:rPr>
          <w:rFonts w:eastAsia="Calibri"/>
        </w:rPr>
        <w:t>, and this trial was omitted from the indirect treatment comparison.</w:t>
      </w:r>
      <w:r w:rsidR="00BE528F" w:rsidRPr="005229A8">
        <w:rPr>
          <w:rFonts w:eastAsia="Calibri"/>
        </w:rPr>
        <w:t xml:space="preserve"> </w:t>
      </w:r>
      <w:r w:rsidR="000919B0" w:rsidRPr="005229A8">
        <w:rPr>
          <w:rFonts w:eastAsia="Calibri"/>
        </w:rPr>
        <w:t>Xeomin was not superior to placebo in either trial in functional outcomes</w:t>
      </w:r>
      <w:r w:rsidR="00E14643" w:rsidRPr="005229A8">
        <w:rPr>
          <w:rFonts w:eastAsia="Calibri"/>
        </w:rPr>
        <w:t>, which PBAC has previously determined to be essential for clinical significance</w:t>
      </w:r>
      <w:r w:rsidR="000919B0" w:rsidRPr="005229A8">
        <w:rPr>
          <w:rFonts w:eastAsia="Calibri"/>
        </w:rPr>
        <w:t>.</w:t>
      </w:r>
    </w:p>
    <w:p w14:paraId="53BBBA41" w14:textId="04413E5C" w:rsidR="00C75763" w:rsidRDefault="00B975DD" w:rsidP="00E9094A">
      <w:pPr>
        <w:pStyle w:val="3-BodyText"/>
        <w:rPr>
          <w:rFonts w:eastAsia="Calibri"/>
        </w:rPr>
      </w:pPr>
      <w:r>
        <w:rPr>
          <w:rFonts w:eastAsia="Calibri"/>
        </w:rPr>
        <w:t>Whilst recognising</w:t>
      </w:r>
      <w:r w:rsidR="00044895">
        <w:rPr>
          <w:rFonts w:eastAsia="Calibri"/>
        </w:rPr>
        <w:t xml:space="preserve"> the uncertainties associated with the comparison, </w:t>
      </w:r>
      <w:r w:rsidR="003C40F0">
        <w:rPr>
          <w:rFonts w:eastAsia="Calibri"/>
        </w:rPr>
        <w:t xml:space="preserve">the PBAC considered that overall, </w:t>
      </w:r>
      <w:r w:rsidR="0005012C">
        <w:rPr>
          <w:rFonts w:eastAsia="Calibri"/>
        </w:rPr>
        <w:t xml:space="preserve">the claim of non-inferior comparative effectiveness was reasonable. </w:t>
      </w:r>
      <w:r w:rsidR="00C75763">
        <w:rPr>
          <w:rFonts w:eastAsia="Calibri"/>
        </w:rPr>
        <w:t>The PBAC recalled</w:t>
      </w:r>
      <w:r w:rsidR="0005012C">
        <w:rPr>
          <w:rFonts w:eastAsia="Calibri"/>
        </w:rPr>
        <w:t xml:space="preserve"> it previously considered Xeomin and Botox would likely have similar effects</w:t>
      </w:r>
      <w:r w:rsidR="00C75763" w:rsidRPr="00C75763">
        <w:rPr>
          <w:rFonts w:eastAsia="Calibri"/>
        </w:rPr>
        <w:t xml:space="preserve"> as they are analogues of each other (paragraph 6.17, Xeomin PSD, July 2014 PBAC meeting).</w:t>
      </w:r>
    </w:p>
    <w:p w14:paraId="7F613CD1" w14:textId="3EE7BAC2" w:rsidR="005F7588" w:rsidRPr="000821A2" w:rsidRDefault="005F7588" w:rsidP="00E9094A">
      <w:pPr>
        <w:pStyle w:val="3-BodyText"/>
        <w:rPr>
          <w:rFonts w:eastAsia="Calibri"/>
        </w:rPr>
      </w:pPr>
      <w:r w:rsidRPr="000821A2">
        <w:rPr>
          <w:rFonts w:eastAsia="Calibri"/>
        </w:rPr>
        <w:t>The submission described</w:t>
      </w:r>
      <w:r w:rsidR="001239D4" w:rsidRPr="000821A2">
        <w:rPr>
          <w:rFonts w:eastAsia="Calibri"/>
        </w:rPr>
        <w:t xml:space="preserve"> Xeomin as</w:t>
      </w:r>
      <w:r w:rsidRPr="000821A2">
        <w:rPr>
          <w:rFonts w:eastAsia="Calibri"/>
        </w:rPr>
        <w:t xml:space="preserve"> non-inferior in term</w:t>
      </w:r>
      <w:r w:rsidR="00156F8F" w:rsidRPr="000821A2">
        <w:rPr>
          <w:rFonts w:eastAsia="Calibri"/>
        </w:rPr>
        <w:t>s</w:t>
      </w:r>
      <w:r w:rsidRPr="000821A2">
        <w:rPr>
          <w:rFonts w:eastAsia="Calibri"/>
        </w:rPr>
        <w:t xml:space="preserve"> of safety compared to </w:t>
      </w:r>
      <w:r w:rsidR="001239D4" w:rsidRPr="000821A2">
        <w:rPr>
          <w:rFonts w:eastAsia="Calibri"/>
        </w:rPr>
        <w:t>Botox</w:t>
      </w:r>
      <w:r w:rsidRPr="000821A2">
        <w:rPr>
          <w:rFonts w:eastAsia="Calibri"/>
        </w:rPr>
        <w:t xml:space="preserve">. </w:t>
      </w:r>
      <w:r w:rsidR="00CB6D9D">
        <w:rPr>
          <w:rFonts w:eastAsia="Calibri"/>
        </w:rPr>
        <w:t>The PBAC considered that t</w:t>
      </w:r>
      <w:r w:rsidRPr="000821A2">
        <w:rPr>
          <w:rFonts w:eastAsia="Calibri"/>
        </w:rPr>
        <w:t xml:space="preserve">his claim was </w:t>
      </w:r>
      <w:r w:rsidR="00BE1745">
        <w:rPr>
          <w:rFonts w:eastAsia="Calibri"/>
        </w:rPr>
        <w:t>reasonable</w:t>
      </w:r>
      <w:r w:rsidR="007C70FF" w:rsidRPr="000821A2">
        <w:rPr>
          <w:rFonts w:eastAsia="Calibri"/>
        </w:rPr>
        <w:t>.</w:t>
      </w:r>
    </w:p>
    <w:p w14:paraId="74A1172E" w14:textId="128C170E" w:rsidR="00B60939" w:rsidRPr="005229A8" w:rsidRDefault="00B60939" w:rsidP="004C55C7">
      <w:pPr>
        <w:pStyle w:val="4-SubsectionHeading"/>
        <w:rPr>
          <w:iCs w:val="0"/>
        </w:rPr>
      </w:pPr>
      <w:bookmarkStart w:id="41" w:name="_Toc22897645"/>
      <w:bookmarkStart w:id="42" w:name="_Toc219899381"/>
      <w:r w:rsidRPr="005229A8">
        <w:rPr>
          <w:iCs w:val="0"/>
        </w:rPr>
        <w:t>Economic analysis</w:t>
      </w:r>
      <w:bookmarkEnd w:id="41"/>
      <w:bookmarkEnd w:id="42"/>
      <w:r w:rsidR="00491B3A" w:rsidRPr="005229A8">
        <w:rPr>
          <w:iCs w:val="0"/>
        </w:rPr>
        <w:t xml:space="preserve"> </w:t>
      </w:r>
    </w:p>
    <w:p w14:paraId="42D89011" w14:textId="03591159" w:rsidR="00115241" w:rsidRPr="005229A8" w:rsidRDefault="00115241" w:rsidP="00641FB3">
      <w:pPr>
        <w:pStyle w:val="3-BodyText"/>
        <w:rPr>
          <w:b/>
          <w:bCs/>
          <w:color w:val="0066FF"/>
        </w:rPr>
      </w:pPr>
      <w:r w:rsidRPr="005229A8">
        <w:t xml:space="preserve">The submission presented a cost minimisation approach for the economic evaluation. The key components and assumptions used in the approach are shown in </w:t>
      </w:r>
      <w:r w:rsidR="00027E8C" w:rsidRPr="005229A8">
        <w:fldChar w:fldCharType="begin"/>
      </w:r>
      <w:r w:rsidR="00027E8C" w:rsidRPr="005229A8">
        <w:instrText xml:space="preserve"> REF _Ref216084011 \h </w:instrText>
      </w:r>
      <w:r w:rsidR="005229A8" w:rsidRPr="005229A8">
        <w:instrText xml:space="preserve"> \* MERGEFORMAT </w:instrText>
      </w:r>
      <w:r w:rsidR="00027E8C" w:rsidRPr="005229A8">
        <w:fldChar w:fldCharType="separate"/>
      </w:r>
      <w:r w:rsidR="00761491" w:rsidRPr="005229A8">
        <w:t xml:space="preserve">Table </w:t>
      </w:r>
      <w:r w:rsidR="00761491" w:rsidRPr="005229A8">
        <w:rPr>
          <w:noProof/>
        </w:rPr>
        <w:t>8</w:t>
      </w:r>
      <w:r w:rsidR="00027E8C" w:rsidRPr="005229A8">
        <w:fldChar w:fldCharType="end"/>
      </w:r>
      <w:r w:rsidR="005229A8">
        <w:t>.</w:t>
      </w:r>
    </w:p>
    <w:p w14:paraId="7A44735E" w14:textId="5C2798E6" w:rsidR="00115241" w:rsidRPr="0098262F" w:rsidRDefault="00027E8C" w:rsidP="00027E8C">
      <w:pPr>
        <w:pStyle w:val="Caption"/>
        <w:rPr>
          <w:rStyle w:val="CommentReference"/>
          <w:b/>
          <w:szCs w:val="24"/>
        </w:rPr>
      </w:pPr>
      <w:bookmarkStart w:id="43" w:name="_Ref216084011"/>
      <w:r>
        <w:t xml:space="preserve">Table </w:t>
      </w:r>
      <w:fldSimple w:instr=" SEQ Table \* ARABIC ">
        <w:r w:rsidR="00761491">
          <w:rPr>
            <w:noProof/>
          </w:rPr>
          <w:t>8</w:t>
        </w:r>
      </w:fldSimple>
      <w:bookmarkEnd w:id="43"/>
      <w:r>
        <w:t xml:space="preserve">: </w:t>
      </w:r>
      <w:r w:rsidR="00115241" w:rsidRPr="0098262F">
        <w:rPr>
          <w:rStyle w:val="CommentReference"/>
          <w:b/>
          <w:szCs w:val="24"/>
        </w:rPr>
        <w:t>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components and assumptions of the cost-minimisation approach"/>
      </w:tblPr>
      <w:tblGrid>
        <w:gridCol w:w="2667"/>
        <w:gridCol w:w="6350"/>
      </w:tblGrid>
      <w:tr w:rsidR="00115241" w:rsidRPr="0098262F" w14:paraId="6DCF390E" w14:textId="77777777" w:rsidTr="00EE5781">
        <w:tc>
          <w:tcPr>
            <w:tcW w:w="1479" w:type="pct"/>
            <w:vAlign w:val="center"/>
          </w:tcPr>
          <w:p w14:paraId="2F0AE538" w14:textId="77777777" w:rsidR="00115241" w:rsidRPr="0098262F" w:rsidRDefault="00115241">
            <w:pPr>
              <w:pStyle w:val="In-tableHeading"/>
              <w:rPr>
                <w:lang w:val="en-AU"/>
              </w:rPr>
            </w:pPr>
            <w:r w:rsidRPr="0098262F">
              <w:rPr>
                <w:lang w:val="en-AU"/>
              </w:rPr>
              <w:t>Component</w:t>
            </w:r>
          </w:p>
        </w:tc>
        <w:tc>
          <w:tcPr>
            <w:tcW w:w="3521" w:type="pct"/>
            <w:vAlign w:val="center"/>
          </w:tcPr>
          <w:p w14:paraId="500869CA" w14:textId="77777777" w:rsidR="00115241" w:rsidRPr="0098262F" w:rsidRDefault="00115241">
            <w:pPr>
              <w:pStyle w:val="In-tableHeading"/>
              <w:rPr>
                <w:lang w:val="en-AU"/>
              </w:rPr>
            </w:pPr>
            <w:r w:rsidRPr="0098262F">
              <w:rPr>
                <w:lang w:val="en-AU"/>
              </w:rPr>
              <w:t>Claim or assumption</w:t>
            </w:r>
          </w:p>
        </w:tc>
      </w:tr>
      <w:tr w:rsidR="00115241" w:rsidRPr="0098262F" w14:paraId="64194A5F" w14:textId="77777777" w:rsidTr="00EE5781">
        <w:tc>
          <w:tcPr>
            <w:tcW w:w="1479" w:type="pct"/>
            <w:vAlign w:val="center"/>
          </w:tcPr>
          <w:p w14:paraId="41CCC3A6" w14:textId="77777777" w:rsidR="00115241" w:rsidRPr="0098262F" w:rsidRDefault="00115241" w:rsidP="003E4C55">
            <w:pPr>
              <w:pStyle w:val="TableText0"/>
            </w:pPr>
            <w:r w:rsidRPr="0098262F">
              <w:t>Therapeutic claim: effectiveness</w:t>
            </w:r>
          </w:p>
        </w:tc>
        <w:tc>
          <w:tcPr>
            <w:tcW w:w="3521" w:type="pct"/>
            <w:vAlign w:val="center"/>
          </w:tcPr>
          <w:p w14:paraId="677A90FE" w14:textId="4E6C3EB5" w:rsidR="00115241" w:rsidRPr="0098262F" w:rsidRDefault="00115241" w:rsidP="003E4C55">
            <w:pPr>
              <w:pStyle w:val="TableText0"/>
            </w:pPr>
            <w:r w:rsidRPr="0098262F">
              <w:t>Based on evidence presented in Section 2, effectiveness is assumed to be non-inferior</w:t>
            </w:r>
            <w:r>
              <w:t>.</w:t>
            </w:r>
          </w:p>
        </w:tc>
      </w:tr>
      <w:tr w:rsidR="00115241" w:rsidRPr="0098262F" w14:paraId="0DA9022C" w14:textId="77777777" w:rsidTr="00EE5781">
        <w:tc>
          <w:tcPr>
            <w:tcW w:w="1479" w:type="pct"/>
            <w:vAlign w:val="center"/>
          </w:tcPr>
          <w:p w14:paraId="39470025" w14:textId="77777777" w:rsidR="00115241" w:rsidRPr="0098262F" w:rsidRDefault="00115241" w:rsidP="003E4C55">
            <w:pPr>
              <w:pStyle w:val="TableText0"/>
            </w:pPr>
            <w:r w:rsidRPr="0098262F">
              <w:t>Therapeutic claim: safety</w:t>
            </w:r>
          </w:p>
        </w:tc>
        <w:tc>
          <w:tcPr>
            <w:tcW w:w="3521" w:type="pct"/>
            <w:vAlign w:val="center"/>
          </w:tcPr>
          <w:p w14:paraId="73DD58EA" w14:textId="6C18C863" w:rsidR="00115241" w:rsidRPr="0098262F" w:rsidRDefault="00115241" w:rsidP="003E4C55">
            <w:pPr>
              <w:pStyle w:val="TableText0"/>
            </w:pPr>
            <w:r w:rsidRPr="0098262F">
              <w:t>Based on evidence presented in Section 2, safety is assumed to be non-inferior</w:t>
            </w:r>
            <w:r>
              <w:t>.</w:t>
            </w:r>
          </w:p>
        </w:tc>
      </w:tr>
      <w:tr w:rsidR="00115241" w:rsidRPr="0098262F" w14:paraId="016F907D" w14:textId="77777777" w:rsidTr="00EE5781">
        <w:tc>
          <w:tcPr>
            <w:tcW w:w="1479" w:type="pct"/>
            <w:vAlign w:val="center"/>
          </w:tcPr>
          <w:p w14:paraId="27C4FA86" w14:textId="77777777" w:rsidR="00115241" w:rsidRPr="0098262F" w:rsidRDefault="00115241" w:rsidP="003E4C55">
            <w:pPr>
              <w:pStyle w:val="TableText0"/>
            </w:pPr>
            <w:r w:rsidRPr="0098262F">
              <w:t>Evidence base</w:t>
            </w:r>
          </w:p>
        </w:tc>
        <w:tc>
          <w:tcPr>
            <w:tcW w:w="3521" w:type="pct"/>
            <w:vAlign w:val="center"/>
          </w:tcPr>
          <w:p w14:paraId="4ACBA46C" w14:textId="77777777" w:rsidR="00115241" w:rsidRPr="0098262F" w:rsidRDefault="00115241" w:rsidP="003E4C55">
            <w:pPr>
              <w:pStyle w:val="TableText0"/>
            </w:pPr>
            <w:r w:rsidRPr="0098262F">
              <w:t>{Direct comparison of proposed medicine and main comparator/indirect comparison of proposed medicine and main comparator}</w:t>
            </w:r>
          </w:p>
        </w:tc>
      </w:tr>
      <w:tr w:rsidR="00115241" w:rsidRPr="0098262F" w14:paraId="40A68E69" w14:textId="77777777" w:rsidTr="00EE5781">
        <w:tc>
          <w:tcPr>
            <w:tcW w:w="1479" w:type="pct"/>
            <w:vAlign w:val="center"/>
          </w:tcPr>
          <w:p w14:paraId="3006C94D" w14:textId="77777777" w:rsidR="00115241" w:rsidRPr="0098262F" w:rsidRDefault="00115241" w:rsidP="003E4C55">
            <w:pPr>
              <w:pStyle w:val="TableText0"/>
            </w:pPr>
            <w:r w:rsidRPr="0098262F">
              <w:t>Equi-effective doses</w:t>
            </w:r>
          </w:p>
        </w:tc>
        <w:tc>
          <w:tcPr>
            <w:tcW w:w="3521" w:type="pct"/>
            <w:vAlign w:val="center"/>
          </w:tcPr>
          <w:p w14:paraId="0F656A2A" w14:textId="08A282F1" w:rsidR="00115241" w:rsidRPr="0098262F" w:rsidRDefault="00BC3892" w:rsidP="003E4C55">
            <w:pPr>
              <w:pStyle w:val="TableText0"/>
            </w:pPr>
            <w:r>
              <w:t>IncobotulinumtoxinA</w:t>
            </w:r>
            <w:r w:rsidR="00115241">
              <w:t xml:space="preserve"> A 400units = botulinum toxin A 400units</w:t>
            </w:r>
          </w:p>
        </w:tc>
      </w:tr>
      <w:tr w:rsidR="00115241" w:rsidRPr="0098262F" w14:paraId="32DD3C37" w14:textId="77777777" w:rsidTr="00EE5781">
        <w:tc>
          <w:tcPr>
            <w:tcW w:w="1479" w:type="pct"/>
            <w:vAlign w:val="center"/>
          </w:tcPr>
          <w:p w14:paraId="50B2165E" w14:textId="77777777" w:rsidR="00115241" w:rsidRPr="0098262F" w:rsidRDefault="00115241" w:rsidP="003E4C55">
            <w:pPr>
              <w:pStyle w:val="TableText0"/>
            </w:pPr>
            <w:r w:rsidRPr="0098262F">
              <w:t>Direct medicine costs</w:t>
            </w:r>
          </w:p>
        </w:tc>
        <w:tc>
          <w:tcPr>
            <w:tcW w:w="3521" w:type="pct"/>
            <w:vAlign w:val="center"/>
          </w:tcPr>
          <w:p w14:paraId="5B10E991" w14:textId="594F66B5" w:rsidR="00115241" w:rsidRPr="0098262F" w:rsidRDefault="00115241" w:rsidP="003E4C55">
            <w:pPr>
              <w:pStyle w:val="TableText0"/>
            </w:pPr>
            <w:r>
              <w:t>C</w:t>
            </w:r>
            <w:r w:rsidRPr="0098262F">
              <w:t xml:space="preserve">osts of proposed medicine and comparator are equivalent, </w:t>
            </w:r>
            <w:r>
              <w:t>$1098.88 for the maximum dosage per patient per treatment cycle</w:t>
            </w:r>
          </w:p>
        </w:tc>
      </w:tr>
      <w:tr w:rsidR="00115241" w:rsidRPr="0098262F" w14:paraId="37F5C28E" w14:textId="77777777" w:rsidTr="00EE5781">
        <w:tc>
          <w:tcPr>
            <w:tcW w:w="1479" w:type="pct"/>
            <w:vAlign w:val="center"/>
          </w:tcPr>
          <w:p w14:paraId="6C5BC9F8" w14:textId="77777777" w:rsidR="00115241" w:rsidRPr="0098262F" w:rsidRDefault="00115241" w:rsidP="003E4C55">
            <w:pPr>
              <w:pStyle w:val="TableText0"/>
            </w:pPr>
            <w:r w:rsidRPr="0098262F">
              <w:t>Other costs or cost offsets</w:t>
            </w:r>
          </w:p>
        </w:tc>
        <w:tc>
          <w:tcPr>
            <w:tcW w:w="3521" w:type="pct"/>
            <w:vAlign w:val="center"/>
          </w:tcPr>
          <w:p w14:paraId="18600D95" w14:textId="0704D939" w:rsidR="00115241" w:rsidRPr="0098262F" w:rsidRDefault="00115241" w:rsidP="003E4C55">
            <w:pPr>
              <w:pStyle w:val="TableText0"/>
            </w:pPr>
            <w:r>
              <w:t>None</w:t>
            </w:r>
          </w:p>
        </w:tc>
      </w:tr>
    </w:tbl>
    <w:p w14:paraId="6A35889E" w14:textId="21413069" w:rsidR="00115241" w:rsidRPr="0098262F" w:rsidRDefault="00115241" w:rsidP="00115241">
      <w:pPr>
        <w:pStyle w:val="FooterTableFigure"/>
        <w:rPr>
          <w:sz w:val="20"/>
        </w:rPr>
      </w:pPr>
      <w:r w:rsidRPr="0098262F">
        <w:t>Source: Table</w:t>
      </w:r>
      <w:r>
        <w:t xml:space="preserve"> 3.1.1</w:t>
      </w:r>
      <w:r w:rsidRPr="0098262F">
        <w:t>, p</w:t>
      </w:r>
      <w:r>
        <w:t>74</w:t>
      </w:r>
      <w:r w:rsidRPr="0098262F">
        <w:t xml:space="preserve"> of the submission.</w:t>
      </w:r>
    </w:p>
    <w:p w14:paraId="14251643" w14:textId="250D472B" w:rsidR="00115241" w:rsidRPr="002C7D82" w:rsidRDefault="002C7D82" w:rsidP="002C7D82">
      <w:pPr>
        <w:pStyle w:val="3-BodyText"/>
      </w:pPr>
      <w:r w:rsidRPr="002C7D82">
        <w:lastRenderedPageBreak/>
        <w:t>The submission stated that the PBA</w:t>
      </w:r>
      <w:r>
        <w:t>C</w:t>
      </w:r>
      <w:r w:rsidRPr="002C7D82">
        <w:t xml:space="preserve"> has previously considered that equi</w:t>
      </w:r>
      <w:r>
        <w:t>-</w:t>
      </w:r>
      <w:r w:rsidRPr="002C7D82">
        <w:t>effec</w:t>
      </w:r>
      <w:r>
        <w:t>t</w:t>
      </w:r>
      <w:r w:rsidRPr="002C7D82">
        <w:t>ive doses should b</w:t>
      </w:r>
      <w:r>
        <w:t>e</w:t>
      </w:r>
      <w:r w:rsidRPr="002C7D82">
        <w:t xml:space="preserve"> based on the maximum dispensed quantities</w:t>
      </w:r>
      <w:r>
        <w:t xml:space="preserve"> (</w:t>
      </w:r>
      <w:r w:rsidR="001B3E1A">
        <w:t>Paragraph</w:t>
      </w:r>
      <w:r>
        <w:t xml:space="preserve"> 7.3</w:t>
      </w:r>
      <w:r w:rsidR="001B3E1A">
        <w:t>,</w:t>
      </w:r>
      <w:r>
        <w:t xml:space="preserve"> Dysport PSD, July 2019) and therefore the equi-effective doses of incobotulinumtoxinA </w:t>
      </w:r>
      <w:r w:rsidR="00D872F9">
        <w:t xml:space="preserve">(Xeomin) </w:t>
      </w:r>
      <w:r>
        <w:t xml:space="preserve">and </w:t>
      </w:r>
      <w:r w:rsidR="00D872F9">
        <w:t>ona</w:t>
      </w:r>
      <w:r>
        <w:t xml:space="preserve">botulinumtoxinA </w:t>
      </w:r>
      <w:r w:rsidR="00D872F9">
        <w:t xml:space="preserve">(Botox) </w:t>
      </w:r>
      <w:r>
        <w:t>would be 400</w:t>
      </w:r>
      <w:r w:rsidR="001B3E1A">
        <w:t xml:space="preserve"> U</w:t>
      </w:r>
      <w:r>
        <w:t xml:space="preserve"> = 400</w:t>
      </w:r>
      <w:r w:rsidR="001B3E1A">
        <w:t xml:space="preserve"> U</w:t>
      </w:r>
      <w:r>
        <w:t xml:space="preserve">. This was consistent with the previously approved dose relativities for the products. </w:t>
      </w:r>
    </w:p>
    <w:p w14:paraId="3432429B" w14:textId="42A70DBF" w:rsidR="00D912AB" w:rsidRPr="0098262F" w:rsidRDefault="002C7D82" w:rsidP="002C7D82">
      <w:pPr>
        <w:pStyle w:val="3-BodyText"/>
      </w:pPr>
      <w:r>
        <w:t>Appropriately no</w:t>
      </w:r>
      <w:r w:rsidRPr="002C7D82">
        <w:t xml:space="preserve"> additional cost</w:t>
      </w:r>
      <w:r>
        <w:t>s</w:t>
      </w:r>
      <w:r w:rsidRPr="002C7D82">
        <w:t xml:space="preserve"> were</w:t>
      </w:r>
      <w:r>
        <w:t xml:space="preserve"> included in the analysis. The results of the CMA are shown in </w:t>
      </w:r>
      <w:r w:rsidR="00027E8C">
        <w:fldChar w:fldCharType="begin"/>
      </w:r>
      <w:r w:rsidR="00027E8C">
        <w:instrText xml:space="preserve"> REF _Ref216084037 \h </w:instrText>
      </w:r>
      <w:r w:rsidR="00027E8C">
        <w:fldChar w:fldCharType="separate"/>
      </w:r>
      <w:r w:rsidR="00761491">
        <w:t xml:space="preserve">Table </w:t>
      </w:r>
      <w:r w:rsidR="00761491">
        <w:rPr>
          <w:noProof/>
        </w:rPr>
        <w:t>9</w:t>
      </w:r>
      <w:r w:rsidR="00027E8C">
        <w:fldChar w:fldCharType="end"/>
      </w:r>
      <w:r w:rsidR="00E32B2F">
        <w:t>.</w:t>
      </w:r>
    </w:p>
    <w:p w14:paraId="1B52D923" w14:textId="7A3183A2" w:rsidR="002C7D82" w:rsidRDefault="00027E8C" w:rsidP="00027E8C">
      <w:pPr>
        <w:pStyle w:val="Caption"/>
      </w:pPr>
      <w:bookmarkStart w:id="44" w:name="_Ref216084037"/>
      <w:r>
        <w:t xml:space="preserve">Table </w:t>
      </w:r>
      <w:fldSimple w:instr=" SEQ Table \* ARABIC ">
        <w:r w:rsidR="00761491">
          <w:rPr>
            <w:noProof/>
          </w:rPr>
          <w:t>9</w:t>
        </w:r>
      </w:fldSimple>
      <w:bookmarkEnd w:id="44"/>
      <w:r>
        <w:t xml:space="preserve">: </w:t>
      </w:r>
      <w:r w:rsidR="002C7D82">
        <w:t>Results of the cost minimisation approach</w:t>
      </w:r>
    </w:p>
    <w:tbl>
      <w:tblPr>
        <w:tblStyle w:val="TableGrid"/>
        <w:tblW w:w="5000" w:type="pct"/>
        <w:tblLook w:val="04A0" w:firstRow="1" w:lastRow="0" w:firstColumn="1" w:lastColumn="0" w:noHBand="0" w:noVBand="1"/>
        <w:tblCaption w:val="Table 9: Results of the cost minimisation approach"/>
      </w:tblPr>
      <w:tblGrid>
        <w:gridCol w:w="1968"/>
        <w:gridCol w:w="774"/>
        <w:gridCol w:w="1102"/>
        <w:gridCol w:w="1069"/>
        <w:gridCol w:w="1042"/>
        <w:gridCol w:w="1026"/>
        <w:gridCol w:w="1042"/>
        <w:gridCol w:w="994"/>
      </w:tblGrid>
      <w:tr w:rsidR="002C7D82" w:rsidRPr="00294AD1" w14:paraId="01CD3CA6" w14:textId="77777777" w:rsidTr="00EE5781">
        <w:tc>
          <w:tcPr>
            <w:tcW w:w="1091" w:type="pct"/>
          </w:tcPr>
          <w:p w14:paraId="5460DBCC" w14:textId="77777777" w:rsidR="002C7D82" w:rsidRPr="00294AD1" w:rsidRDefault="002C7D82" w:rsidP="003E4C55">
            <w:pPr>
              <w:pStyle w:val="TableText0"/>
            </w:pPr>
            <w:r w:rsidRPr="00294AD1">
              <w:t>Molecule</w:t>
            </w:r>
          </w:p>
        </w:tc>
        <w:tc>
          <w:tcPr>
            <w:tcW w:w="429" w:type="pct"/>
          </w:tcPr>
          <w:p w14:paraId="22DCF0E9" w14:textId="77777777" w:rsidR="002C7D82" w:rsidRPr="00294AD1" w:rsidRDefault="002C7D82" w:rsidP="003E4C55">
            <w:pPr>
              <w:pStyle w:val="TableText0"/>
            </w:pPr>
            <w:r w:rsidRPr="00294AD1">
              <w:t>Brand</w:t>
            </w:r>
          </w:p>
        </w:tc>
        <w:tc>
          <w:tcPr>
            <w:tcW w:w="611" w:type="pct"/>
          </w:tcPr>
          <w:p w14:paraId="1112DF48" w14:textId="77777777" w:rsidR="002C7D82" w:rsidRPr="00294AD1" w:rsidRDefault="002C7D82" w:rsidP="003E4C55">
            <w:pPr>
              <w:pStyle w:val="TableText0"/>
            </w:pPr>
            <w:r w:rsidRPr="00294AD1">
              <w:t>Maximum Dose Dispensed</w:t>
            </w:r>
          </w:p>
        </w:tc>
        <w:tc>
          <w:tcPr>
            <w:tcW w:w="593" w:type="pct"/>
          </w:tcPr>
          <w:p w14:paraId="1C0C8F52" w14:textId="77777777" w:rsidR="002C7D82" w:rsidRPr="00294AD1" w:rsidRDefault="002C7D82" w:rsidP="003E4C55">
            <w:pPr>
              <w:pStyle w:val="TableText0"/>
            </w:pPr>
            <w:r w:rsidRPr="00294AD1">
              <w:t>Maximum qty per pack</w:t>
            </w:r>
          </w:p>
        </w:tc>
        <w:tc>
          <w:tcPr>
            <w:tcW w:w="578" w:type="pct"/>
          </w:tcPr>
          <w:p w14:paraId="28E2FF2D" w14:textId="77777777" w:rsidR="002C7D82" w:rsidRPr="00294AD1" w:rsidRDefault="002C7D82" w:rsidP="003E4C55">
            <w:pPr>
              <w:pStyle w:val="TableText0"/>
            </w:pPr>
            <w:r w:rsidRPr="00294AD1">
              <w:t>Packs per treatment cycle</w:t>
            </w:r>
          </w:p>
        </w:tc>
        <w:tc>
          <w:tcPr>
            <w:tcW w:w="569" w:type="pct"/>
          </w:tcPr>
          <w:p w14:paraId="276438A4" w14:textId="77777777" w:rsidR="002C7D82" w:rsidRPr="00294AD1" w:rsidRDefault="002C7D82" w:rsidP="003E4C55">
            <w:pPr>
              <w:pStyle w:val="TableText0"/>
            </w:pPr>
            <w:r w:rsidRPr="00294AD1">
              <w:t>DPMQ</w:t>
            </w:r>
          </w:p>
        </w:tc>
        <w:tc>
          <w:tcPr>
            <w:tcW w:w="578" w:type="pct"/>
          </w:tcPr>
          <w:p w14:paraId="4ADDB682" w14:textId="77777777" w:rsidR="002C7D82" w:rsidRPr="00294AD1" w:rsidRDefault="002C7D82" w:rsidP="003E4C55">
            <w:pPr>
              <w:pStyle w:val="TableText0"/>
            </w:pPr>
            <w:r w:rsidRPr="00294AD1">
              <w:t>Cost per treatment cycle</w:t>
            </w:r>
          </w:p>
        </w:tc>
        <w:tc>
          <w:tcPr>
            <w:tcW w:w="552" w:type="pct"/>
          </w:tcPr>
          <w:p w14:paraId="36AF6548" w14:textId="77777777" w:rsidR="002C7D82" w:rsidRPr="00294AD1" w:rsidRDefault="002C7D82" w:rsidP="003E4C55">
            <w:pPr>
              <w:pStyle w:val="TableText0"/>
            </w:pPr>
            <w:r w:rsidRPr="00294AD1">
              <w:t>Difference</w:t>
            </w:r>
          </w:p>
        </w:tc>
      </w:tr>
      <w:tr w:rsidR="002C7D82" w:rsidRPr="00294AD1" w14:paraId="3AE51619" w14:textId="77777777" w:rsidTr="00EE5781">
        <w:tc>
          <w:tcPr>
            <w:tcW w:w="1091" w:type="pct"/>
          </w:tcPr>
          <w:p w14:paraId="399C5657" w14:textId="77777777" w:rsidR="002C7D82" w:rsidRPr="00294AD1" w:rsidRDefault="002C7D82" w:rsidP="003E4C55">
            <w:pPr>
              <w:pStyle w:val="TableText0"/>
            </w:pPr>
            <w:r w:rsidRPr="00294AD1">
              <w:t>IncobotulinumtoxinA</w:t>
            </w:r>
          </w:p>
        </w:tc>
        <w:tc>
          <w:tcPr>
            <w:tcW w:w="429" w:type="pct"/>
          </w:tcPr>
          <w:p w14:paraId="3DA91DA0" w14:textId="77777777" w:rsidR="002C7D82" w:rsidRPr="00294AD1" w:rsidRDefault="002C7D82" w:rsidP="003E4C55">
            <w:pPr>
              <w:pStyle w:val="TableText0"/>
            </w:pPr>
            <w:r w:rsidRPr="00294AD1">
              <w:t>Xeomin</w:t>
            </w:r>
          </w:p>
        </w:tc>
        <w:tc>
          <w:tcPr>
            <w:tcW w:w="611" w:type="pct"/>
          </w:tcPr>
          <w:p w14:paraId="1BE261B0" w14:textId="77777777" w:rsidR="002C7D82" w:rsidRPr="00294AD1" w:rsidRDefault="002C7D82" w:rsidP="003E4C55">
            <w:pPr>
              <w:pStyle w:val="TableText0"/>
            </w:pPr>
            <w:r w:rsidRPr="00294AD1">
              <w:t>400</w:t>
            </w:r>
          </w:p>
        </w:tc>
        <w:tc>
          <w:tcPr>
            <w:tcW w:w="593" w:type="pct"/>
          </w:tcPr>
          <w:p w14:paraId="56CA5941" w14:textId="77777777" w:rsidR="002C7D82" w:rsidRPr="00294AD1" w:rsidRDefault="002C7D82" w:rsidP="003E4C55">
            <w:pPr>
              <w:pStyle w:val="TableText0"/>
            </w:pPr>
            <w:r w:rsidRPr="00294AD1">
              <w:t>400</w:t>
            </w:r>
          </w:p>
        </w:tc>
        <w:tc>
          <w:tcPr>
            <w:tcW w:w="578" w:type="pct"/>
          </w:tcPr>
          <w:p w14:paraId="2BCEF4EC" w14:textId="77777777" w:rsidR="002C7D82" w:rsidRPr="00294AD1" w:rsidRDefault="002C7D82" w:rsidP="003E4C55">
            <w:pPr>
              <w:pStyle w:val="TableText0"/>
            </w:pPr>
            <w:r w:rsidRPr="00294AD1">
              <w:t>1</w:t>
            </w:r>
          </w:p>
        </w:tc>
        <w:tc>
          <w:tcPr>
            <w:tcW w:w="569" w:type="pct"/>
          </w:tcPr>
          <w:p w14:paraId="3D96C133" w14:textId="77777777" w:rsidR="002C7D82" w:rsidRPr="00294AD1" w:rsidRDefault="002C7D82" w:rsidP="003E4C55">
            <w:pPr>
              <w:pStyle w:val="TableText0"/>
            </w:pPr>
            <w:r w:rsidRPr="00294AD1">
              <w:t>$1,098.88</w:t>
            </w:r>
          </w:p>
        </w:tc>
        <w:tc>
          <w:tcPr>
            <w:tcW w:w="578" w:type="pct"/>
          </w:tcPr>
          <w:p w14:paraId="5B7E9598" w14:textId="77777777" w:rsidR="002C7D82" w:rsidRPr="00294AD1" w:rsidRDefault="002C7D82" w:rsidP="003E4C55">
            <w:pPr>
              <w:pStyle w:val="TableText0"/>
            </w:pPr>
            <w:r w:rsidRPr="00294AD1">
              <w:t>$1,098.88</w:t>
            </w:r>
          </w:p>
        </w:tc>
        <w:tc>
          <w:tcPr>
            <w:tcW w:w="552" w:type="pct"/>
          </w:tcPr>
          <w:p w14:paraId="223DE0C8" w14:textId="77777777" w:rsidR="002C7D82" w:rsidRPr="00294AD1" w:rsidRDefault="002C7D82" w:rsidP="003E4C55">
            <w:pPr>
              <w:pStyle w:val="TableText0"/>
            </w:pPr>
            <w:r w:rsidRPr="00294AD1">
              <w:t>$0.00</w:t>
            </w:r>
          </w:p>
        </w:tc>
      </w:tr>
      <w:tr w:rsidR="002C7D82" w:rsidRPr="00294AD1" w14:paraId="2DF51634" w14:textId="77777777" w:rsidTr="00EE5781">
        <w:tc>
          <w:tcPr>
            <w:tcW w:w="1091" w:type="pct"/>
          </w:tcPr>
          <w:p w14:paraId="018D94D4" w14:textId="77777777" w:rsidR="002C7D82" w:rsidRPr="00294AD1" w:rsidRDefault="002C7D82" w:rsidP="003E4C55">
            <w:pPr>
              <w:pStyle w:val="TableText0"/>
            </w:pPr>
            <w:r w:rsidRPr="00294AD1">
              <w:t>Botulinum toxin type A</w:t>
            </w:r>
          </w:p>
        </w:tc>
        <w:tc>
          <w:tcPr>
            <w:tcW w:w="429" w:type="pct"/>
          </w:tcPr>
          <w:p w14:paraId="2F933107" w14:textId="77777777" w:rsidR="002C7D82" w:rsidRPr="00294AD1" w:rsidRDefault="002C7D82" w:rsidP="003E4C55">
            <w:pPr>
              <w:pStyle w:val="TableText0"/>
            </w:pPr>
            <w:r w:rsidRPr="00294AD1">
              <w:t>Botox</w:t>
            </w:r>
          </w:p>
        </w:tc>
        <w:tc>
          <w:tcPr>
            <w:tcW w:w="611" w:type="pct"/>
          </w:tcPr>
          <w:p w14:paraId="3CCCB33C" w14:textId="77777777" w:rsidR="002C7D82" w:rsidRPr="00294AD1" w:rsidRDefault="002C7D82" w:rsidP="003E4C55">
            <w:pPr>
              <w:pStyle w:val="TableText0"/>
            </w:pPr>
            <w:r w:rsidRPr="00294AD1">
              <w:t>400</w:t>
            </w:r>
          </w:p>
        </w:tc>
        <w:tc>
          <w:tcPr>
            <w:tcW w:w="593" w:type="pct"/>
          </w:tcPr>
          <w:p w14:paraId="1404D409" w14:textId="77777777" w:rsidR="002C7D82" w:rsidRPr="00294AD1" w:rsidRDefault="002C7D82" w:rsidP="003E4C55">
            <w:pPr>
              <w:pStyle w:val="TableText0"/>
            </w:pPr>
            <w:r w:rsidRPr="00294AD1">
              <w:t>400</w:t>
            </w:r>
          </w:p>
        </w:tc>
        <w:tc>
          <w:tcPr>
            <w:tcW w:w="578" w:type="pct"/>
          </w:tcPr>
          <w:p w14:paraId="1847273A" w14:textId="77777777" w:rsidR="002C7D82" w:rsidRPr="00294AD1" w:rsidRDefault="002C7D82" w:rsidP="003E4C55">
            <w:pPr>
              <w:pStyle w:val="TableText0"/>
            </w:pPr>
            <w:r w:rsidRPr="00294AD1">
              <w:t>1</w:t>
            </w:r>
          </w:p>
        </w:tc>
        <w:tc>
          <w:tcPr>
            <w:tcW w:w="569" w:type="pct"/>
          </w:tcPr>
          <w:p w14:paraId="7CB89A42" w14:textId="77777777" w:rsidR="002C7D82" w:rsidRPr="00294AD1" w:rsidRDefault="002C7D82" w:rsidP="003E4C55">
            <w:pPr>
              <w:pStyle w:val="TableText0"/>
            </w:pPr>
            <w:r w:rsidRPr="00294AD1">
              <w:t>$1,098.88</w:t>
            </w:r>
          </w:p>
        </w:tc>
        <w:tc>
          <w:tcPr>
            <w:tcW w:w="578" w:type="pct"/>
          </w:tcPr>
          <w:p w14:paraId="5102CD09" w14:textId="77777777" w:rsidR="002C7D82" w:rsidRPr="00294AD1" w:rsidRDefault="002C7D82" w:rsidP="003E4C55">
            <w:pPr>
              <w:pStyle w:val="TableText0"/>
            </w:pPr>
            <w:r w:rsidRPr="00294AD1">
              <w:t>$1,098.88</w:t>
            </w:r>
          </w:p>
        </w:tc>
        <w:tc>
          <w:tcPr>
            <w:tcW w:w="552" w:type="pct"/>
          </w:tcPr>
          <w:p w14:paraId="7380C43C" w14:textId="77777777" w:rsidR="002C7D82" w:rsidRPr="00294AD1" w:rsidRDefault="002C7D82" w:rsidP="003E4C55">
            <w:pPr>
              <w:pStyle w:val="TableText0"/>
            </w:pPr>
          </w:p>
        </w:tc>
      </w:tr>
    </w:tbl>
    <w:p w14:paraId="2E618BA7" w14:textId="70497EA6" w:rsidR="002C7D82" w:rsidRPr="00294AD1" w:rsidRDefault="002C7D82" w:rsidP="002C7D82">
      <w:pPr>
        <w:pStyle w:val="TableFigureFooter"/>
      </w:pPr>
      <w:r w:rsidRPr="00294AD1">
        <w:t>Source: Table 3.1.1, p 75 of the submission.</w:t>
      </w:r>
    </w:p>
    <w:p w14:paraId="61877131" w14:textId="3E921D8D" w:rsidR="005501D4" w:rsidRPr="00294AD1" w:rsidRDefault="007443C1" w:rsidP="00322168">
      <w:pPr>
        <w:pStyle w:val="3-BodyText"/>
      </w:pPr>
      <w:r w:rsidRPr="00294AD1">
        <w:t xml:space="preserve">The published price (DPMQ) of </w:t>
      </w:r>
      <w:r w:rsidR="00454562" w:rsidRPr="00294AD1">
        <w:t>(</w:t>
      </w:r>
      <w:r w:rsidRPr="00294AD1">
        <w:t>Dysport</w:t>
      </w:r>
      <w:r w:rsidR="00454562" w:rsidRPr="00294AD1">
        <w:t>)</w:t>
      </w:r>
      <w:r w:rsidRPr="00294AD1">
        <w:t xml:space="preserve"> for a treatment cycle of 1500 units </w:t>
      </w:r>
      <w:r w:rsidR="005A377B" w:rsidRPr="00294AD1">
        <w:t>for</w:t>
      </w:r>
      <w:r w:rsidRPr="00294AD1">
        <w:t xml:space="preserve"> the lower limb spasticity indication is $1190.83. The </w:t>
      </w:r>
      <w:r w:rsidR="00AF7628" w:rsidRPr="00294AD1">
        <w:t>equi</w:t>
      </w:r>
      <w:r w:rsidR="00454562" w:rsidRPr="00294AD1">
        <w:t>-</w:t>
      </w:r>
      <w:r w:rsidR="00AF7628" w:rsidRPr="00294AD1">
        <w:t>effective</w:t>
      </w:r>
      <w:r w:rsidRPr="00294AD1">
        <w:t xml:space="preserve"> doses of Dysport and Botox for the lower limb indication were considered by the PBAC to be 3.75U Dysport = 1U Botox.</w:t>
      </w:r>
      <w:r w:rsidR="00125C4E" w:rsidRPr="00294AD1">
        <w:t xml:space="preserve"> </w:t>
      </w:r>
      <w:r w:rsidRPr="00294AD1">
        <w:t>(Paragraph 7.3, Dysport PSD, July 2019)</w:t>
      </w:r>
      <w:r w:rsidR="00B85C4B" w:rsidRPr="00294AD1">
        <w:t>.</w:t>
      </w:r>
    </w:p>
    <w:p w14:paraId="472842D7" w14:textId="763980D7" w:rsidR="00C25D9C" w:rsidRPr="00294AD1" w:rsidRDefault="00C25D9C" w:rsidP="004C55C7">
      <w:pPr>
        <w:pStyle w:val="4-SubsectionHeading"/>
      </w:pPr>
      <w:bookmarkStart w:id="45" w:name="_Toc22897646"/>
      <w:bookmarkStart w:id="46" w:name="_Toc219899382"/>
      <w:r w:rsidRPr="00294AD1">
        <w:t>Drug cost/patien</w:t>
      </w:r>
      <w:r w:rsidR="0095363D" w:rsidRPr="00294AD1">
        <w:t>t/treatment cycle</w:t>
      </w:r>
      <w:bookmarkEnd w:id="45"/>
      <w:bookmarkEnd w:id="46"/>
    </w:p>
    <w:p w14:paraId="3DBFE151" w14:textId="575F2236" w:rsidR="00494207" w:rsidRPr="00294AD1" w:rsidRDefault="0095363D" w:rsidP="002B05A1">
      <w:pPr>
        <w:pStyle w:val="3-BodyText"/>
        <w:rPr>
          <w:color w:val="0066FF"/>
        </w:rPr>
      </w:pPr>
      <w:bookmarkStart w:id="47" w:name="_Hlk107307804"/>
      <w:r w:rsidRPr="00294AD1">
        <w:t xml:space="preserve">The drug cost per patient per treatment cycle for the maximum dosage was $1098.88. </w:t>
      </w:r>
    </w:p>
    <w:p w14:paraId="268768EF" w14:textId="3626F292" w:rsidR="00B60939" w:rsidRPr="0098262F" w:rsidRDefault="00B60939" w:rsidP="004C55C7">
      <w:pPr>
        <w:pStyle w:val="4-SubsectionHeading"/>
      </w:pPr>
      <w:bookmarkStart w:id="48" w:name="_Toc22897647"/>
      <w:bookmarkStart w:id="49" w:name="_Toc219899383"/>
      <w:bookmarkEnd w:id="47"/>
      <w:r w:rsidRPr="0098262F">
        <w:t>Estimated PBS usage &amp; financial implications</w:t>
      </w:r>
      <w:bookmarkEnd w:id="48"/>
      <w:bookmarkEnd w:id="49"/>
    </w:p>
    <w:p w14:paraId="247545B9" w14:textId="450A6D74" w:rsidR="006D1AFF" w:rsidRPr="006D1AFF" w:rsidRDefault="00C25D9C" w:rsidP="002B05A1">
      <w:pPr>
        <w:pStyle w:val="3-BodyText"/>
        <w:rPr>
          <w:color w:val="0066FF"/>
        </w:rPr>
      </w:pPr>
      <w:r w:rsidRPr="0098262F">
        <w:t xml:space="preserve">This submission </w:t>
      </w:r>
      <w:r w:rsidR="00B201A4" w:rsidRPr="0098262F">
        <w:t>w</w:t>
      </w:r>
      <w:r w:rsidR="009D6C7F">
        <w:t xml:space="preserve">as </w:t>
      </w:r>
      <w:r w:rsidRPr="00027E8C">
        <w:t>not</w:t>
      </w:r>
      <w:r w:rsidRPr="0098262F">
        <w:t xml:space="preserve"> considered by DUSC</w:t>
      </w:r>
      <w:r w:rsidRPr="0098262F">
        <w:rPr>
          <w:color w:val="0070C0"/>
        </w:rPr>
        <w:t>.</w:t>
      </w:r>
      <w:r w:rsidR="00BC591F" w:rsidRPr="0098262F">
        <w:rPr>
          <w:color w:val="0070C0"/>
        </w:rPr>
        <w:t xml:space="preserve"> </w:t>
      </w:r>
    </w:p>
    <w:p w14:paraId="4106C400" w14:textId="23FA1186" w:rsidR="006D1AFF" w:rsidRPr="00A767B9" w:rsidRDefault="006D1AFF" w:rsidP="00A767B9">
      <w:pPr>
        <w:pStyle w:val="3-BodyText"/>
        <w:rPr>
          <w:color w:val="0066FF"/>
        </w:rPr>
      </w:pPr>
      <w:r>
        <w:t xml:space="preserve">The submission presented a market share approach to estimate the utilisation and cost of listing </w:t>
      </w:r>
      <w:r w:rsidR="00D872F9">
        <w:t xml:space="preserve">Xeomin </w:t>
      </w:r>
      <w:r>
        <w:t xml:space="preserve">for the treatment of low limb spasticity in adults following an acute event. </w:t>
      </w:r>
      <w:r w:rsidRPr="006D1AFF">
        <w:t>The key inputs and assumptions used in the</w:t>
      </w:r>
      <w:r>
        <w:t xml:space="preserve"> analysis are shown in </w:t>
      </w:r>
      <w:r w:rsidR="00027E8C">
        <w:fldChar w:fldCharType="begin"/>
      </w:r>
      <w:r w:rsidR="00027E8C">
        <w:instrText xml:space="preserve"> REF _Ref104805262 \h </w:instrText>
      </w:r>
      <w:r w:rsidR="00027E8C">
        <w:fldChar w:fldCharType="separate"/>
      </w:r>
      <w:r w:rsidR="00761491" w:rsidRPr="0098262F">
        <w:t xml:space="preserve">Table </w:t>
      </w:r>
      <w:r w:rsidR="00761491">
        <w:rPr>
          <w:noProof/>
        </w:rPr>
        <w:t>10</w:t>
      </w:r>
      <w:r w:rsidR="00027E8C">
        <w:fldChar w:fldCharType="end"/>
      </w:r>
      <w:r w:rsidR="00027E8C">
        <w:t>.</w:t>
      </w:r>
    </w:p>
    <w:p w14:paraId="3393BCE7" w14:textId="15BE4E13" w:rsidR="00E42F73" w:rsidRPr="0098262F" w:rsidRDefault="00E16AD8" w:rsidP="00E16AD8">
      <w:pPr>
        <w:pStyle w:val="Caption"/>
        <w:rPr>
          <w:rStyle w:val="CommentReference"/>
          <w:b/>
          <w:szCs w:val="24"/>
        </w:rPr>
      </w:pPr>
      <w:bookmarkStart w:id="50" w:name="_Ref104805262"/>
      <w:r w:rsidRPr="0098262F">
        <w:lastRenderedPageBreak/>
        <w:t xml:space="preserve">Table </w:t>
      </w:r>
      <w:fldSimple w:instr=" SEQ Table \* ARABIC ">
        <w:r w:rsidR="00761491">
          <w:rPr>
            <w:noProof/>
          </w:rPr>
          <w:t>10</w:t>
        </w:r>
      </w:fldSimple>
      <w:bookmarkEnd w:id="50"/>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inputs for financial estimates"/>
      </w:tblPr>
      <w:tblGrid>
        <w:gridCol w:w="1211"/>
        <w:gridCol w:w="5098"/>
        <w:gridCol w:w="2708"/>
      </w:tblGrid>
      <w:tr w:rsidR="00E42F73" w:rsidRPr="0098262F" w14:paraId="7AFD013A" w14:textId="77777777" w:rsidTr="00EE5781">
        <w:trPr>
          <w:tblHeader/>
        </w:trPr>
        <w:tc>
          <w:tcPr>
            <w:tcW w:w="950" w:type="pct"/>
            <w:vAlign w:val="center"/>
          </w:tcPr>
          <w:p w14:paraId="45C2C4CE" w14:textId="370E9AAB" w:rsidR="00E42F73" w:rsidRPr="0098262F" w:rsidRDefault="004658B5" w:rsidP="007925DF">
            <w:pPr>
              <w:pStyle w:val="In-tableHeading"/>
              <w:rPr>
                <w:lang w:val="en-AU"/>
              </w:rPr>
            </w:pPr>
            <w:r w:rsidRPr="0098262F">
              <w:rPr>
                <w:lang w:val="en-AU"/>
              </w:rPr>
              <w:t>Parameter</w:t>
            </w:r>
          </w:p>
        </w:tc>
        <w:tc>
          <w:tcPr>
            <w:tcW w:w="2270" w:type="pct"/>
            <w:vAlign w:val="center"/>
          </w:tcPr>
          <w:p w14:paraId="5C04F956" w14:textId="559E8DB1" w:rsidR="00E42F73" w:rsidRPr="0098262F" w:rsidRDefault="004658B5" w:rsidP="007925DF">
            <w:pPr>
              <w:pStyle w:val="In-tableHeading"/>
              <w:rPr>
                <w:lang w:val="en-AU"/>
              </w:rPr>
            </w:pPr>
            <w:r w:rsidRPr="0098262F">
              <w:rPr>
                <w:lang w:val="en-AU"/>
              </w:rPr>
              <w:t>Value applied and source</w:t>
            </w:r>
          </w:p>
        </w:tc>
        <w:tc>
          <w:tcPr>
            <w:tcW w:w="1780" w:type="pct"/>
            <w:vAlign w:val="center"/>
          </w:tcPr>
          <w:p w14:paraId="45DE44AA" w14:textId="4713F72E" w:rsidR="00E42F73" w:rsidRPr="0098262F" w:rsidRDefault="004658B5" w:rsidP="007925DF">
            <w:pPr>
              <w:pStyle w:val="In-tableHeading"/>
              <w:rPr>
                <w:lang w:val="en-AU"/>
              </w:rPr>
            </w:pPr>
            <w:r w:rsidRPr="0098262F">
              <w:rPr>
                <w:lang w:val="en-AU"/>
              </w:rPr>
              <w:t>Comment</w:t>
            </w:r>
          </w:p>
        </w:tc>
      </w:tr>
      <w:tr w:rsidR="00E42F73" w:rsidRPr="0098262F" w14:paraId="4BEF206D" w14:textId="77777777" w:rsidTr="00EE5781">
        <w:tc>
          <w:tcPr>
            <w:tcW w:w="950" w:type="pct"/>
            <w:vAlign w:val="center"/>
          </w:tcPr>
          <w:p w14:paraId="5724F53F" w14:textId="52DD12B1" w:rsidR="00E42F73" w:rsidRPr="0098262F" w:rsidRDefault="00A767B9" w:rsidP="003E4C55">
            <w:pPr>
              <w:pStyle w:val="TableText0"/>
            </w:pPr>
            <w:r>
              <w:t>PBS Services for Botox and Dysport</w:t>
            </w:r>
          </w:p>
        </w:tc>
        <w:tc>
          <w:tcPr>
            <w:tcW w:w="2270" w:type="pct"/>
            <w:vAlign w:val="center"/>
          </w:tcPr>
          <w:p w14:paraId="34DD81E0" w14:textId="577FCA78" w:rsidR="00A767B9" w:rsidRDefault="00A767B9" w:rsidP="003E4C55">
            <w:pPr>
              <w:pStyle w:val="TableText0"/>
            </w:pPr>
          </w:p>
          <w:p w14:paraId="385FE843" w14:textId="64C000F6" w:rsidR="00A767B9" w:rsidRDefault="00A767B9" w:rsidP="003E4C55">
            <w:pPr>
              <w:pStyle w:val="TableText0"/>
            </w:pPr>
            <w:hyperlink r:id="rId12" w:history="1">
              <w:r w:rsidRPr="00296E36">
                <w:rPr>
                  <w:color w:val="0000FF" w:themeColor="hyperlink"/>
                  <w:u w:val="single"/>
                </w:rPr>
                <w:t>http://medicarestatistics.humanservices.gov.au/statistics/pbs_item.jsp</w:t>
              </w:r>
            </w:hyperlink>
          </w:p>
          <w:p w14:paraId="2974F923" w14:textId="0673A2BD" w:rsidR="00A767B9" w:rsidRPr="0098262F" w:rsidRDefault="00A767B9" w:rsidP="003E4C55">
            <w:pPr>
              <w:pStyle w:val="TableText0"/>
            </w:pPr>
            <w:r>
              <w:t xml:space="preserve">Item codes for all botulinum toxin items for </w:t>
            </w:r>
            <w:r w:rsidRPr="00A767B9">
              <w:t>the treatment of moderate to severe lower limb spasticity in adults following an acute event.</w:t>
            </w:r>
          </w:p>
        </w:tc>
        <w:tc>
          <w:tcPr>
            <w:tcW w:w="1780" w:type="pct"/>
            <w:vAlign w:val="center"/>
          </w:tcPr>
          <w:p w14:paraId="078672CF" w14:textId="780C2EFD" w:rsidR="00E42F73" w:rsidRPr="0098262F" w:rsidRDefault="00E42F73" w:rsidP="003E4C55">
            <w:pPr>
              <w:pStyle w:val="TableText0"/>
            </w:pPr>
          </w:p>
        </w:tc>
      </w:tr>
      <w:tr w:rsidR="00A05C32" w:rsidRPr="0098262F" w14:paraId="273D05F4" w14:textId="77777777" w:rsidTr="00EE5781">
        <w:tc>
          <w:tcPr>
            <w:tcW w:w="950" w:type="pct"/>
            <w:vAlign w:val="center"/>
          </w:tcPr>
          <w:p w14:paraId="0152C8AA" w14:textId="4E0F84D6" w:rsidR="00A05C32" w:rsidRPr="0098262F" w:rsidRDefault="00A767B9" w:rsidP="003E4C55">
            <w:pPr>
              <w:pStyle w:val="TableText0"/>
            </w:pPr>
            <w:r>
              <w:t>Annual growth rate of botulinum toxin market</w:t>
            </w:r>
          </w:p>
        </w:tc>
        <w:tc>
          <w:tcPr>
            <w:tcW w:w="2270" w:type="pct"/>
            <w:vAlign w:val="center"/>
          </w:tcPr>
          <w:p w14:paraId="759AB68F" w14:textId="3D582104" w:rsidR="00A05C32" w:rsidRDefault="00A767B9" w:rsidP="003E4C55">
            <w:pPr>
              <w:pStyle w:val="TableText0"/>
            </w:pPr>
            <w:hyperlink r:id="rId13" w:history="1">
              <w:r w:rsidRPr="00296E36">
                <w:rPr>
                  <w:color w:val="0000FF" w:themeColor="hyperlink"/>
                  <w:u w:val="single"/>
                </w:rPr>
                <w:t>http://medicarestatistics.humanservices.gov.au/statistics/pbs_item.jsp</w:t>
              </w:r>
            </w:hyperlink>
          </w:p>
          <w:p w14:paraId="6CB6BACA" w14:textId="77777777" w:rsidR="00A767B9" w:rsidRDefault="00A767B9" w:rsidP="003E4C55">
            <w:pPr>
              <w:pStyle w:val="TableText0"/>
            </w:pPr>
          </w:p>
          <w:p w14:paraId="5FE8DC6D" w14:textId="1F2C383F" w:rsidR="00A767B9" w:rsidRPr="0098262F" w:rsidRDefault="00A767B9" w:rsidP="003E4C55">
            <w:pPr>
              <w:pStyle w:val="TableText0"/>
            </w:pPr>
            <w:r>
              <w:t>20.7%</w:t>
            </w:r>
          </w:p>
        </w:tc>
        <w:tc>
          <w:tcPr>
            <w:tcW w:w="1780" w:type="pct"/>
            <w:vAlign w:val="center"/>
          </w:tcPr>
          <w:p w14:paraId="035D240F" w14:textId="158FEAF6" w:rsidR="00A05C32" w:rsidRPr="003E4C55" w:rsidRDefault="00B57FD5" w:rsidP="003E4C55">
            <w:pPr>
              <w:pStyle w:val="TableText0"/>
            </w:pPr>
            <w:r w:rsidRPr="003E4C55">
              <w:t xml:space="preserve"> Reasonable</w:t>
            </w:r>
          </w:p>
        </w:tc>
      </w:tr>
      <w:tr w:rsidR="00E42F73" w:rsidRPr="0098262F" w14:paraId="72C9FBDD" w14:textId="77777777" w:rsidTr="00EE5781">
        <w:tc>
          <w:tcPr>
            <w:tcW w:w="950" w:type="pct"/>
            <w:vAlign w:val="center"/>
          </w:tcPr>
          <w:p w14:paraId="2FBBDC67" w14:textId="165A493A" w:rsidR="00E42F73" w:rsidRPr="0098262F" w:rsidRDefault="00A767B9" w:rsidP="003E4C55">
            <w:pPr>
              <w:pStyle w:val="TableText0"/>
            </w:pPr>
            <w:r>
              <w:t>Rate of displacement by Xeomin</w:t>
            </w:r>
          </w:p>
        </w:tc>
        <w:tc>
          <w:tcPr>
            <w:tcW w:w="2270" w:type="pct"/>
            <w:vAlign w:val="center"/>
          </w:tcPr>
          <w:p w14:paraId="345C03B8" w14:textId="43AD823D" w:rsidR="008C1B85" w:rsidRDefault="00A767B9" w:rsidP="003E4C55">
            <w:pPr>
              <w:pStyle w:val="TableText0"/>
            </w:pPr>
            <w:r>
              <w:t>Sponsor assumption</w:t>
            </w:r>
          </w:p>
          <w:tbl>
            <w:tblPr>
              <w:tblStyle w:val="TableGrid"/>
              <w:tblW w:w="0" w:type="auto"/>
              <w:tblLook w:val="04A0" w:firstRow="1" w:lastRow="0" w:firstColumn="1" w:lastColumn="0" w:noHBand="0" w:noVBand="1"/>
            </w:tblPr>
            <w:tblGrid>
              <w:gridCol w:w="2014"/>
              <w:gridCol w:w="2014"/>
            </w:tblGrid>
            <w:tr w:rsidR="008C1B85" w14:paraId="46C0A08E" w14:textId="77777777" w:rsidTr="00EE5781">
              <w:tc>
                <w:tcPr>
                  <w:tcW w:w="2014" w:type="dxa"/>
                </w:tcPr>
                <w:p w14:paraId="1572E034" w14:textId="2465C036" w:rsidR="008C1B85" w:rsidRDefault="008C1B85" w:rsidP="003E4C55">
                  <w:pPr>
                    <w:pStyle w:val="TableText0"/>
                  </w:pPr>
                  <w:r>
                    <w:t>year</w:t>
                  </w:r>
                </w:p>
              </w:tc>
              <w:tc>
                <w:tcPr>
                  <w:tcW w:w="2014" w:type="dxa"/>
                </w:tcPr>
                <w:p w14:paraId="730FF897" w14:textId="4427BDEA" w:rsidR="008C1B85" w:rsidRDefault="008C1B85" w:rsidP="003E4C55">
                  <w:pPr>
                    <w:pStyle w:val="TableText0"/>
                  </w:pPr>
                  <w:r>
                    <w:t>proportion</w:t>
                  </w:r>
                </w:p>
              </w:tc>
            </w:tr>
            <w:tr w:rsidR="008C1B85" w14:paraId="35FFB454" w14:textId="77777777" w:rsidTr="00EE5781">
              <w:tc>
                <w:tcPr>
                  <w:tcW w:w="2014" w:type="dxa"/>
                </w:tcPr>
                <w:p w14:paraId="4B1B2B7B" w14:textId="6A140E50" w:rsidR="008C1B85" w:rsidRDefault="008C1B85" w:rsidP="003E4C55">
                  <w:pPr>
                    <w:pStyle w:val="TableText0"/>
                  </w:pPr>
                  <w:r>
                    <w:t>2026</w:t>
                  </w:r>
                </w:p>
              </w:tc>
              <w:tc>
                <w:tcPr>
                  <w:tcW w:w="2014" w:type="dxa"/>
                </w:tcPr>
                <w:p w14:paraId="6C5FE5CC" w14:textId="6088D576" w:rsidR="008C1B85" w:rsidRDefault="001A3F09" w:rsidP="003E4C55">
                  <w:pPr>
                    <w:pStyle w:val="TableText0"/>
                  </w:pPr>
                  <w:r w:rsidRPr="001A3F09">
                    <w:rPr>
                      <w:sz w:val="2"/>
                      <w:highlight w:val="black"/>
                    </w:rPr>
                    <w:t xml:space="preserve">redacted content </w:t>
                  </w:r>
                  <w:r w:rsidR="008C1B85">
                    <w:t>%</w:t>
                  </w:r>
                </w:p>
              </w:tc>
            </w:tr>
            <w:tr w:rsidR="008C1B85" w14:paraId="4A5A4D80" w14:textId="77777777" w:rsidTr="00EE5781">
              <w:tc>
                <w:tcPr>
                  <w:tcW w:w="2014" w:type="dxa"/>
                </w:tcPr>
                <w:p w14:paraId="2DB5BFAD" w14:textId="61809E38" w:rsidR="008C1B85" w:rsidRDefault="008C1B85" w:rsidP="003E4C55">
                  <w:pPr>
                    <w:pStyle w:val="TableText0"/>
                  </w:pPr>
                  <w:r>
                    <w:t>2027</w:t>
                  </w:r>
                </w:p>
              </w:tc>
              <w:tc>
                <w:tcPr>
                  <w:tcW w:w="2014" w:type="dxa"/>
                </w:tcPr>
                <w:p w14:paraId="30871C6D" w14:textId="3D8383DC" w:rsidR="008C1B85" w:rsidRDefault="001A3F09" w:rsidP="003E4C55">
                  <w:pPr>
                    <w:pStyle w:val="TableText0"/>
                  </w:pPr>
                  <w:r w:rsidRPr="001A3F09">
                    <w:rPr>
                      <w:sz w:val="2"/>
                      <w:highlight w:val="black"/>
                    </w:rPr>
                    <w:t xml:space="preserve">redacted content </w:t>
                  </w:r>
                  <w:r w:rsidR="008C1B85">
                    <w:t>%</w:t>
                  </w:r>
                </w:p>
              </w:tc>
            </w:tr>
            <w:tr w:rsidR="008C1B85" w14:paraId="193E3F13" w14:textId="77777777" w:rsidTr="00EE5781">
              <w:tc>
                <w:tcPr>
                  <w:tcW w:w="2014" w:type="dxa"/>
                </w:tcPr>
                <w:p w14:paraId="055C016B" w14:textId="49BEBCC7" w:rsidR="008C1B85" w:rsidRDefault="008C1B85" w:rsidP="003E4C55">
                  <w:pPr>
                    <w:pStyle w:val="TableText0"/>
                  </w:pPr>
                  <w:r>
                    <w:t>2028</w:t>
                  </w:r>
                </w:p>
              </w:tc>
              <w:tc>
                <w:tcPr>
                  <w:tcW w:w="2014" w:type="dxa"/>
                </w:tcPr>
                <w:p w14:paraId="35AF1826" w14:textId="68BC9349" w:rsidR="008C1B85" w:rsidRDefault="001A3F09" w:rsidP="003E4C55">
                  <w:pPr>
                    <w:pStyle w:val="TableText0"/>
                  </w:pPr>
                  <w:r w:rsidRPr="001A3F09">
                    <w:rPr>
                      <w:sz w:val="2"/>
                      <w:highlight w:val="black"/>
                    </w:rPr>
                    <w:t xml:space="preserve">redacted content </w:t>
                  </w:r>
                  <w:r w:rsidR="008C1B85">
                    <w:t>%</w:t>
                  </w:r>
                </w:p>
              </w:tc>
            </w:tr>
            <w:tr w:rsidR="008C1B85" w14:paraId="2D0D5975" w14:textId="77777777" w:rsidTr="00EE5781">
              <w:tc>
                <w:tcPr>
                  <w:tcW w:w="2014" w:type="dxa"/>
                </w:tcPr>
                <w:p w14:paraId="04068A82" w14:textId="2CDB55A6" w:rsidR="008C1B85" w:rsidRDefault="008C1B85" w:rsidP="003E4C55">
                  <w:pPr>
                    <w:pStyle w:val="TableText0"/>
                  </w:pPr>
                  <w:r>
                    <w:t>2029</w:t>
                  </w:r>
                </w:p>
              </w:tc>
              <w:tc>
                <w:tcPr>
                  <w:tcW w:w="2014" w:type="dxa"/>
                </w:tcPr>
                <w:p w14:paraId="09FC3F19" w14:textId="1FF4BE32" w:rsidR="008C1B85" w:rsidRDefault="001A3F09" w:rsidP="003E4C55">
                  <w:pPr>
                    <w:pStyle w:val="TableText0"/>
                  </w:pPr>
                  <w:r w:rsidRPr="001A3F09">
                    <w:rPr>
                      <w:sz w:val="2"/>
                      <w:highlight w:val="black"/>
                    </w:rPr>
                    <w:t xml:space="preserve">redacted content </w:t>
                  </w:r>
                  <w:r w:rsidR="008C1B85">
                    <w:t>%</w:t>
                  </w:r>
                </w:p>
              </w:tc>
            </w:tr>
            <w:tr w:rsidR="008C1B85" w14:paraId="06A4EA04" w14:textId="77777777" w:rsidTr="00EE5781">
              <w:tc>
                <w:tcPr>
                  <w:tcW w:w="2014" w:type="dxa"/>
                </w:tcPr>
                <w:p w14:paraId="742D99E5" w14:textId="27E6E6AE" w:rsidR="008C1B85" w:rsidRDefault="008C1B85" w:rsidP="003E4C55">
                  <w:pPr>
                    <w:pStyle w:val="TableText0"/>
                  </w:pPr>
                  <w:r>
                    <w:t>2030</w:t>
                  </w:r>
                </w:p>
              </w:tc>
              <w:tc>
                <w:tcPr>
                  <w:tcW w:w="2014" w:type="dxa"/>
                </w:tcPr>
                <w:p w14:paraId="1475CF78" w14:textId="7B3E9417" w:rsidR="008C1B85" w:rsidRDefault="001A3F09" w:rsidP="003E4C55">
                  <w:pPr>
                    <w:pStyle w:val="TableText0"/>
                  </w:pPr>
                  <w:r w:rsidRPr="001A3F09">
                    <w:rPr>
                      <w:sz w:val="2"/>
                      <w:highlight w:val="black"/>
                    </w:rPr>
                    <w:t xml:space="preserve">redacted content </w:t>
                  </w:r>
                  <w:r w:rsidR="008C1B85">
                    <w:t>%</w:t>
                  </w:r>
                </w:p>
              </w:tc>
            </w:tr>
            <w:tr w:rsidR="008C1B85" w14:paraId="5272EB85" w14:textId="77777777" w:rsidTr="00EE5781">
              <w:tc>
                <w:tcPr>
                  <w:tcW w:w="2014" w:type="dxa"/>
                </w:tcPr>
                <w:p w14:paraId="7FB25080" w14:textId="622CA243" w:rsidR="008C1B85" w:rsidRDefault="008C1B85" w:rsidP="003E4C55">
                  <w:pPr>
                    <w:pStyle w:val="TableText0"/>
                  </w:pPr>
                  <w:r>
                    <w:t>2031</w:t>
                  </w:r>
                </w:p>
              </w:tc>
              <w:tc>
                <w:tcPr>
                  <w:tcW w:w="2014" w:type="dxa"/>
                </w:tcPr>
                <w:p w14:paraId="76C72F6A" w14:textId="43CCE4F0" w:rsidR="008C1B85" w:rsidRDefault="001A3F09" w:rsidP="003E4C55">
                  <w:pPr>
                    <w:pStyle w:val="TableText0"/>
                  </w:pPr>
                  <w:r w:rsidRPr="001A3F09">
                    <w:rPr>
                      <w:sz w:val="2"/>
                      <w:highlight w:val="black"/>
                    </w:rPr>
                    <w:t xml:space="preserve">redacted content </w:t>
                  </w:r>
                  <w:r w:rsidR="008C1B85">
                    <w:t>%</w:t>
                  </w:r>
                </w:p>
              </w:tc>
            </w:tr>
          </w:tbl>
          <w:p w14:paraId="550316FC" w14:textId="22ADA3BF" w:rsidR="008C1B85" w:rsidRPr="0098262F" w:rsidRDefault="008C1B85" w:rsidP="003E4C55">
            <w:pPr>
              <w:pStyle w:val="TableText0"/>
            </w:pPr>
          </w:p>
        </w:tc>
        <w:tc>
          <w:tcPr>
            <w:tcW w:w="1780" w:type="pct"/>
            <w:vAlign w:val="center"/>
          </w:tcPr>
          <w:p w14:paraId="7295AAE5" w14:textId="0B3F3524" w:rsidR="00E42F73" w:rsidRPr="003E4C55" w:rsidRDefault="008C1B85" w:rsidP="003E4C55">
            <w:pPr>
              <w:pStyle w:val="TableText0"/>
            </w:pPr>
            <w:r w:rsidRPr="003E4C55">
              <w:t>Could not be independently verified.</w:t>
            </w:r>
          </w:p>
        </w:tc>
      </w:tr>
      <w:tr w:rsidR="00A05C32" w:rsidRPr="0098262F" w14:paraId="512A8938" w14:textId="77777777" w:rsidTr="00EE5781">
        <w:tc>
          <w:tcPr>
            <w:tcW w:w="950" w:type="pct"/>
            <w:vAlign w:val="center"/>
          </w:tcPr>
          <w:p w14:paraId="1F4C70A3" w14:textId="5BA49BED" w:rsidR="00A05C32" w:rsidRPr="0098262F" w:rsidRDefault="00A767B9" w:rsidP="003E4C55">
            <w:pPr>
              <w:pStyle w:val="TableText0"/>
            </w:pPr>
            <w:r>
              <w:t xml:space="preserve">Dose equivalence </w:t>
            </w:r>
          </w:p>
        </w:tc>
        <w:tc>
          <w:tcPr>
            <w:tcW w:w="2270" w:type="pct"/>
            <w:vAlign w:val="center"/>
          </w:tcPr>
          <w:p w14:paraId="5D1E830C" w14:textId="77777777" w:rsidR="00A767B9" w:rsidRDefault="00A767B9" w:rsidP="003E4C55">
            <w:pPr>
              <w:pStyle w:val="TableText0"/>
            </w:pPr>
            <w:r>
              <w:t>Xeomin and Botox are equivalent on a unit per patient basis; The PBAC listed Dysport against Botox at a 3.75:1 ratio.</w:t>
            </w:r>
          </w:p>
          <w:p w14:paraId="5289CDB1" w14:textId="6BF16E40" w:rsidR="00A05C32" w:rsidRPr="0098262F" w:rsidRDefault="00A767B9" w:rsidP="003E4C55">
            <w:pPr>
              <w:pStyle w:val="TableText0"/>
            </w:pPr>
            <w:r>
              <w:t>https://www.pbs.gov.au/industry/listing/elements/pbac-meetings/psd/2019-07/files/clostridium-botulinum-toxin-psd-july-2019.pdf</w:t>
            </w:r>
          </w:p>
        </w:tc>
        <w:tc>
          <w:tcPr>
            <w:tcW w:w="1780" w:type="pct"/>
            <w:vAlign w:val="center"/>
          </w:tcPr>
          <w:p w14:paraId="0BA4ED26" w14:textId="28036F95" w:rsidR="00A05C32" w:rsidRPr="003E4C55" w:rsidRDefault="00A767B9" w:rsidP="003E4C55">
            <w:pPr>
              <w:pStyle w:val="TableText0"/>
            </w:pPr>
            <w:r w:rsidRPr="003E4C55">
              <w:t>As per previous PBAC considerations</w:t>
            </w:r>
          </w:p>
        </w:tc>
      </w:tr>
      <w:tr w:rsidR="00D244B6" w:rsidRPr="0098262F" w14:paraId="18F4FF1F" w14:textId="77777777" w:rsidTr="00EE5781">
        <w:tc>
          <w:tcPr>
            <w:tcW w:w="950" w:type="pct"/>
            <w:vAlign w:val="center"/>
          </w:tcPr>
          <w:p w14:paraId="09A388E2" w14:textId="29F3D658" w:rsidR="00D244B6" w:rsidRPr="0098262F" w:rsidRDefault="00A767B9" w:rsidP="003E4C55">
            <w:pPr>
              <w:pStyle w:val="TableText0"/>
            </w:pPr>
            <w:r>
              <w:t>Drug prices</w:t>
            </w:r>
            <w:r w:rsidR="00571646">
              <w:t xml:space="preserve"> (DPMQ)</w:t>
            </w:r>
          </w:p>
        </w:tc>
        <w:tc>
          <w:tcPr>
            <w:tcW w:w="2270" w:type="pct"/>
            <w:vAlign w:val="center"/>
          </w:tcPr>
          <w:p w14:paraId="0046332F" w14:textId="5F17B2E5" w:rsidR="00D244B6" w:rsidRDefault="00B20819" w:rsidP="003E4C55">
            <w:pPr>
              <w:pStyle w:val="TableText0"/>
            </w:pPr>
            <w:r>
              <w:t>Xeomin:</w:t>
            </w:r>
            <w:r w:rsidR="00F5277C">
              <w:t xml:space="preserve"> </w:t>
            </w:r>
            <w:r w:rsidRPr="004E6B9C">
              <w:t>Effective price</w:t>
            </w:r>
            <w:r w:rsidR="00571646" w:rsidRPr="004E6B9C">
              <w:t>:</w:t>
            </w:r>
            <w:r w:rsidR="00F5277C">
              <w:t xml:space="preserve"> </w:t>
            </w:r>
            <w:r w:rsidRPr="004E6B9C">
              <w:t>$1098.88</w:t>
            </w:r>
          </w:p>
          <w:p w14:paraId="7ECD1511" w14:textId="71E7E1F4" w:rsidR="0009798C" w:rsidRDefault="0009798C" w:rsidP="003E4C55">
            <w:pPr>
              <w:pStyle w:val="TableText0"/>
            </w:pPr>
            <w:r>
              <w:t>Botox</w:t>
            </w:r>
            <w:r w:rsidR="00F14B5A">
              <w:t xml:space="preserve"> (PBS Code 11751L)</w:t>
            </w:r>
            <w:r>
              <w:t>:</w:t>
            </w:r>
            <w:r w:rsidR="00F5277C">
              <w:t xml:space="preserve"> </w:t>
            </w:r>
            <w:r w:rsidR="00571646">
              <w:t>$1098.88</w:t>
            </w:r>
          </w:p>
          <w:p w14:paraId="48F7BEA0" w14:textId="2203B4CE" w:rsidR="0009798C" w:rsidRDefault="0009798C" w:rsidP="003E4C55">
            <w:pPr>
              <w:pStyle w:val="TableText0"/>
            </w:pPr>
            <w:r>
              <w:t>Dysport 300</w:t>
            </w:r>
            <w:r w:rsidR="00F14B5A">
              <w:t xml:space="preserve"> units (PBS Code 11831Q)</w:t>
            </w:r>
            <w:r>
              <w:t xml:space="preserve">: </w:t>
            </w:r>
            <w:r w:rsidR="00571646">
              <w:t>$1190.83</w:t>
            </w:r>
          </w:p>
          <w:p w14:paraId="61C6F202" w14:textId="159C8A05" w:rsidR="0009798C" w:rsidRPr="0098262F" w:rsidRDefault="0009798C" w:rsidP="003E4C55">
            <w:pPr>
              <w:pStyle w:val="TableText0"/>
            </w:pPr>
            <w:r>
              <w:t>Dysport 500</w:t>
            </w:r>
            <w:r w:rsidR="00F14B5A">
              <w:t xml:space="preserve"> units (PBS Code 11857C):</w:t>
            </w:r>
            <w:r w:rsidR="00571646">
              <w:t xml:space="preserve"> $1270.98</w:t>
            </w:r>
          </w:p>
        </w:tc>
        <w:tc>
          <w:tcPr>
            <w:tcW w:w="1780" w:type="pct"/>
            <w:vAlign w:val="center"/>
          </w:tcPr>
          <w:p w14:paraId="283F2180" w14:textId="2A645DA0" w:rsidR="00D244B6" w:rsidRPr="003E4C55" w:rsidRDefault="00571646" w:rsidP="003E4C55">
            <w:pPr>
              <w:pStyle w:val="TableText0"/>
            </w:pPr>
            <w:r w:rsidRPr="003E4C55">
              <w:t xml:space="preserve"> Correct as of Nov 19 </w:t>
            </w:r>
            <w:r w:rsidR="00411B3C" w:rsidRPr="003E4C55">
              <w:t>2025</w:t>
            </w:r>
          </w:p>
        </w:tc>
      </w:tr>
      <w:tr w:rsidR="0009798C" w:rsidRPr="0098262F" w14:paraId="55FE42E4" w14:textId="77777777" w:rsidTr="00EE5781">
        <w:tc>
          <w:tcPr>
            <w:tcW w:w="950" w:type="pct"/>
            <w:vAlign w:val="center"/>
          </w:tcPr>
          <w:p w14:paraId="5B68B15E" w14:textId="50688680" w:rsidR="0009798C" w:rsidRDefault="00571646" w:rsidP="003E4C55">
            <w:pPr>
              <w:pStyle w:val="TableText0"/>
            </w:pPr>
            <w:r>
              <w:t>Average p</w:t>
            </w:r>
            <w:r w:rsidR="0009798C">
              <w:t>atient copayments</w:t>
            </w:r>
          </w:p>
        </w:tc>
        <w:tc>
          <w:tcPr>
            <w:tcW w:w="2270" w:type="pct"/>
            <w:vAlign w:val="center"/>
          </w:tcPr>
          <w:p w14:paraId="4B740109" w14:textId="77777777" w:rsidR="0009798C" w:rsidRDefault="00F14B5A" w:rsidP="003E4C55">
            <w:pPr>
              <w:pStyle w:val="TableText0"/>
            </w:pPr>
            <w:r>
              <w:t>PBS: $21.67</w:t>
            </w:r>
          </w:p>
          <w:p w14:paraId="5A695AE2" w14:textId="3AF20AD2" w:rsidR="00F14B5A" w:rsidRDefault="00F14B5A" w:rsidP="003E4C55">
            <w:pPr>
              <w:pStyle w:val="TableText0"/>
            </w:pPr>
            <w:r>
              <w:t xml:space="preserve">RPBS: </w:t>
            </w:r>
            <w:r w:rsidR="00571646">
              <w:t>$6.25</w:t>
            </w:r>
          </w:p>
        </w:tc>
        <w:tc>
          <w:tcPr>
            <w:tcW w:w="1780" w:type="pct"/>
            <w:vAlign w:val="center"/>
          </w:tcPr>
          <w:p w14:paraId="16D073FC" w14:textId="6A08F7AF" w:rsidR="0009798C" w:rsidRPr="003E4C55" w:rsidRDefault="00571646" w:rsidP="003E4C55">
            <w:pPr>
              <w:pStyle w:val="TableText0"/>
            </w:pPr>
            <w:r w:rsidRPr="003E4C55">
              <w:t>Calculated from PBS service volumes for the requested indication from 2024 data.</w:t>
            </w:r>
          </w:p>
        </w:tc>
      </w:tr>
      <w:tr w:rsidR="00871752" w:rsidRPr="0098262F" w14:paraId="3EC704FD" w14:textId="77777777" w:rsidTr="00EE5781">
        <w:tc>
          <w:tcPr>
            <w:tcW w:w="950" w:type="pct"/>
            <w:vAlign w:val="center"/>
          </w:tcPr>
          <w:p w14:paraId="0BADB9AF" w14:textId="51B7960F" w:rsidR="00871752" w:rsidRDefault="00871752" w:rsidP="003E4C55">
            <w:pPr>
              <w:pStyle w:val="TableText0"/>
            </w:pPr>
            <w:r>
              <w:t xml:space="preserve">MBS item, injection fee. </w:t>
            </w:r>
          </w:p>
        </w:tc>
        <w:tc>
          <w:tcPr>
            <w:tcW w:w="2270" w:type="pct"/>
            <w:vAlign w:val="center"/>
          </w:tcPr>
          <w:p w14:paraId="22B922CD" w14:textId="0A12301F" w:rsidR="00871752" w:rsidRDefault="00871752" w:rsidP="003E4C55">
            <w:pPr>
              <w:pStyle w:val="TableText0"/>
            </w:pPr>
            <w:r w:rsidRPr="00AE3336">
              <w:t xml:space="preserve">MBS item </w:t>
            </w:r>
            <w:r w:rsidRPr="00A84E2A">
              <w:t>18365</w:t>
            </w:r>
            <w:r>
              <w:t xml:space="preserve">, </w:t>
            </w:r>
            <w:r w:rsidRPr="00871752">
              <w:t>treatment of moderate to severe spasticity of the lower limb following an acute event in adults</w:t>
            </w:r>
            <w:r>
              <w:t>, $145.65</w:t>
            </w:r>
          </w:p>
        </w:tc>
        <w:tc>
          <w:tcPr>
            <w:tcW w:w="1780" w:type="pct"/>
            <w:vAlign w:val="center"/>
          </w:tcPr>
          <w:p w14:paraId="3378DD1A" w14:textId="4DCB6883" w:rsidR="00871752" w:rsidRPr="003E4C55" w:rsidRDefault="00871752" w:rsidP="003E4C55">
            <w:pPr>
              <w:pStyle w:val="TableText0"/>
            </w:pPr>
            <w:r w:rsidRPr="003E4C55">
              <w:t xml:space="preserve">Assumes that Xeomin will replace Dysport with a reduction in injections – may be reasonable </w:t>
            </w:r>
          </w:p>
        </w:tc>
      </w:tr>
    </w:tbl>
    <w:p w14:paraId="220DA9D9" w14:textId="336BD424" w:rsidR="007925DF" w:rsidRPr="00571646" w:rsidRDefault="00E42F73" w:rsidP="00571646">
      <w:pPr>
        <w:pStyle w:val="FooterTableFigure"/>
      </w:pPr>
      <w:r w:rsidRPr="0098262F">
        <w:t>Source: Table</w:t>
      </w:r>
      <w:r w:rsidR="00B57FD5">
        <w:t>s 4.2.2, 4.2.4</w:t>
      </w:r>
      <w:r w:rsidR="00871752">
        <w:t>, 4.6.2</w:t>
      </w:r>
      <w:r w:rsidR="00B57FD5">
        <w:t xml:space="preserve"> and accompanying text, pp77-79</w:t>
      </w:r>
      <w:r w:rsidR="00871752">
        <w:t>, p84</w:t>
      </w:r>
      <w:r w:rsidR="00B57FD5">
        <w:t xml:space="preserve"> of the submission. </w:t>
      </w:r>
    </w:p>
    <w:p w14:paraId="79D5CEF9" w14:textId="569E6A82" w:rsidR="00433FD5" w:rsidRPr="004E6B9C" w:rsidRDefault="00433FD5" w:rsidP="00B505C8">
      <w:pPr>
        <w:pStyle w:val="3-BodyText"/>
      </w:pPr>
      <w:r w:rsidRPr="00A3662F">
        <w:t xml:space="preserve">The annual growth rate of the market for botulinum toxin for this indication was appropriately calculated from the PBS Services data for the period 2021-2024, but was substantially higher than that presented in the </w:t>
      </w:r>
      <w:r w:rsidRPr="004E6B9C">
        <w:t>July 2025 submission for upper limb spasticity and equinus deformity due to cerebral palsy, which was 4.1%.</w:t>
      </w:r>
    </w:p>
    <w:p w14:paraId="26FB6670" w14:textId="11666043" w:rsidR="00B505C8" w:rsidRPr="0098262F" w:rsidRDefault="00871752" w:rsidP="00B505C8">
      <w:pPr>
        <w:pStyle w:val="3-BodyText"/>
        <w:rPr>
          <w:color w:val="0066FF"/>
        </w:rPr>
      </w:pPr>
      <w:r>
        <w:t xml:space="preserve">The total estimated financial impact of listing </w:t>
      </w:r>
      <w:r w:rsidR="00D872F9">
        <w:t>Xeomin</w:t>
      </w:r>
      <w:r>
        <w:t xml:space="preserve"> is shown in </w:t>
      </w:r>
      <w:r w:rsidR="00027E8C">
        <w:fldChar w:fldCharType="begin"/>
      </w:r>
      <w:r w:rsidR="00027E8C">
        <w:instrText xml:space="preserve"> REF _Ref104805295 \h </w:instrText>
      </w:r>
      <w:r w:rsidR="00027E8C">
        <w:fldChar w:fldCharType="separate"/>
      </w:r>
      <w:r w:rsidR="00761491" w:rsidRPr="0098262F">
        <w:t xml:space="preserve">Table </w:t>
      </w:r>
      <w:r w:rsidR="00761491">
        <w:rPr>
          <w:noProof/>
        </w:rPr>
        <w:t>11</w:t>
      </w:r>
      <w:r w:rsidR="00027E8C">
        <w:fldChar w:fldCharType="end"/>
      </w:r>
      <w:r w:rsidR="00027E8C">
        <w:t xml:space="preserve"> </w:t>
      </w:r>
      <w:r>
        <w:t>(using the effective price).</w:t>
      </w:r>
    </w:p>
    <w:p w14:paraId="38EC053C" w14:textId="12DB75E1" w:rsidR="00C25D9C" w:rsidRPr="0098262F" w:rsidRDefault="00E16AD8" w:rsidP="00E16AD8">
      <w:pPr>
        <w:pStyle w:val="Caption"/>
      </w:pPr>
      <w:bookmarkStart w:id="51" w:name="_Ref104805295"/>
      <w:r w:rsidRPr="0098262F">
        <w:lastRenderedPageBreak/>
        <w:t xml:space="preserve">Table </w:t>
      </w:r>
      <w:fldSimple w:instr=" SEQ Table \* ARABIC ">
        <w:r w:rsidR="00761491">
          <w:rPr>
            <w:noProof/>
          </w:rPr>
          <w:t>11</w:t>
        </w:r>
      </w:fldSimple>
      <w:bookmarkEnd w:id="51"/>
      <w:r w:rsidRPr="0098262F">
        <w:t>:</w:t>
      </w:r>
      <w:r w:rsidR="002A2F50"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Estimated use and financial implications"/>
      </w:tblPr>
      <w:tblGrid>
        <w:gridCol w:w="2405"/>
        <w:gridCol w:w="1102"/>
        <w:gridCol w:w="1102"/>
        <w:gridCol w:w="1102"/>
        <w:gridCol w:w="1102"/>
        <w:gridCol w:w="1102"/>
        <w:gridCol w:w="1102"/>
      </w:tblGrid>
      <w:tr w:rsidR="00385A9D" w:rsidRPr="0098262F" w14:paraId="43A2A3A1" w14:textId="77777777" w:rsidTr="00EE5781">
        <w:trPr>
          <w:tblHeader/>
        </w:trPr>
        <w:tc>
          <w:tcPr>
            <w:tcW w:w="1334" w:type="pct"/>
            <w:vAlign w:val="center"/>
          </w:tcPr>
          <w:p w14:paraId="0A4E41E1" w14:textId="77777777" w:rsidR="00385A9D" w:rsidRPr="0098262F" w:rsidRDefault="00385A9D" w:rsidP="00606FBA">
            <w:pPr>
              <w:pStyle w:val="In-tableHeading"/>
              <w:jc w:val="center"/>
              <w:rPr>
                <w:lang w:val="en-AU"/>
              </w:rPr>
            </w:pPr>
          </w:p>
        </w:tc>
        <w:tc>
          <w:tcPr>
            <w:tcW w:w="611" w:type="pct"/>
            <w:vAlign w:val="center"/>
          </w:tcPr>
          <w:p w14:paraId="77420B6F" w14:textId="77777777" w:rsidR="00385A9D" w:rsidRPr="0098262F" w:rsidRDefault="00385A9D" w:rsidP="00606FBA">
            <w:pPr>
              <w:pStyle w:val="In-tableHeading"/>
              <w:jc w:val="center"/>
              <w:rPr>
                <w:lang w:val="en-AU"/>
              </w:rPr>
            </w:pPr>
            <w:r w:rsidRPr="0098262F">
              <w:rPr>
                <w:lang w:val="en-AU"/>
              </w:rPr>
              <w:t>Year 1</w:t>
            </w:r>
          </w:p>
        </w:tc>
        <w:tc>
          <w:tcPr>
            <w:tcW w:w="611" w:type="pct"/>
            <w:vAlign w:val="center"/>
          </w:tcPr>
          <w:p w14:paraId="3BBD9218" w14:textId="77777777" w:rsidR="00385A9D" w:rsidRPr="0098262F" w:rsidRDefault="00385A9D" w:rsidP="00606FBA">
            <w:pPr>
              <w:pStyle w:val="In-tableHeading"/>
              <w:jc w:val="center"/>
              <w:rPr>
                <w:lang w:val="en-AU"/>
              </w:rPr>
            </w:pPr>
            <w:r w:rsidRPr="0098262F">
              <w:rPr>
                <w:lang w:val="en-AU"/>
              </w:rPr>
              <w:t>Year 2</w:t>
            </w:r>
          </w:p>
        </w:tc>
        <w:tc>
          <w:tcPr>
            <w:tcW w:w="611" w:type="pct"/>
            <w:vAlign w:val="center"/>
          </w:tcPr>
          <w:p w14:paraId="729A646E" w14:textId="77777777" w:rsidR="00385A9D" w:rsidRPr="0098262F" w:rsidRDefault="00385A9D" w:rsidP="00606FBA">
            <w:pPr>
              <w:pStyle w:val="In-tableHeading"/>
              <w:jc w:val="center"/>
              <w:rPr>
                <w:lang w:val="en-AU"/>
              </w:rPr>
            </w:pPr>
            <w:r w:rsidRPr="0098262F">
              <w:rPr>
                <w:lang w:val="en-AU"/>
              </w:rPr>
              <w:t>Year 3</w:t>
            </w:r>
          </w:p>
        </w:tc>
        <w:tc>
          <w:tcPr>
            <w:tcW w:w="611" w:type="pct"/>
            <w:vAlign w:val="center"/>
          </w:tcPr>
          <w:p w14:paraId="280BB544" w14:textId="77777777" w:rsidR="00385A9D" w:rsidRPr="0098262F" w:rsidRDefault="00385A9D" w:rsidP="00606FBA">
            <w:pPr>
              <w:pStyle w:val="In-tableHeading"/>
              <w:jc w:val="center"/>
              <w:rPr>
                <w:lang w:val="en-AU"/>
              </w:rPr>
            </w:pPr>
            <w:r w:rsidRPr="0098262F">
              <w:rPr>
                <w:lang w:val="en-AU"/>
              </w:rPr>
              <w:t>Year 4</w:t>
            </w:r>
          </w:p>
        </w:tc>
        <w:tc>
          <w:tcPr>
            <w:tcW w:w="611" w:type="pct"/>
            <w:vAlign w:val="center"/>
          </w:tcPr>
          <w:p w14:paraId="6435BB5B" w14:textId="77777777" w:rsidR="00385A9D" w:rsidRPr="0098262F" w:rsidRDefault="00385A9D" w:rsidP="00606FBA">
            <w:pPr>
              <w:pStyle w:val="In-tableHeading"/>
              <w:jc w:val="center"/>
              <w:rPr>
                <w:lang w:val="en-AU"/>
              </w:rPr>
            </w:pPr>
            <w:r w:rsidRPr="0098262F">
              <w:rPr>
                <w:lang w:val="en-AU"/>
              </w:rPr>
              <w:t>Year 5</w:t>
            </w:r>
          </w:p>
        </w:tc>
        <w:tc>
          <w:tcPr>
            <w:tcW w:w="611" w:type="pct"/>
          </w:tcPr>
          <w:p w14:paraId="7C618119" w14:textId="77777777" w:rsidR="00385A9D" w:rsidRPr="0098262F" w:rsidRDefault="00385A9D" w:rsidP="00606FBA">
            <w:pPr>
              <w:pStyle w:val="In-tableHeading"/>
              <w:jc w:val="center"/>
              <w:rPr>
                <w:lang w:val="en-AU"/>
              </w:rPr>
            </w:pPr>
            <w:r w:rsidRPr="0098262F">
              <w:rPr>
                <w:lang w:val="en-AU"/>
              </w:rPr>
              <w:t>Year 6</w:t>
            </w:r>
          </w:p>
        </w:tc>
      </w:tr>
      <w:tr w:rsidR="00385A9D" w:rsidRPr="0098262F" w14:paraId="3C519059" w14:textId="77777777" w:rsidTr="00EE5781">
        <w:tc>
          <w:tcPr>
            <w:tcW w:w="5000" w:type="pct"/>
            <w:gridSpan w:val="7"/>
            <w:vAlign w:val="center"/>
          </w:tcPr>
          <w:p w14:paraId="516C2197" w14:textId="77777777" w:rsidR="00385A9D" w:rsidRPr="0098262F" w:rsidRDefault="00385A9D" w:rsidP="00606FBA">
            <w:pPr>
              <w:pStyle w:val="In-tableHeading"/>
              <w:rPr>
                <w:bCs/>
                <w:color w:val="000000"/>
                <w:lang w:val="en-AU"/>
              </w:rPr>
            </w:pPr>
            <w:r w:rsidRPr="0098262F">
              <w:rPr>
                <w:bCs/>
                <w:color w:val="000000"/>
                <w:lang w:val="en-AU"/>
              </w:rPr>
              <w:t>Estimated extent of use</w:t>
            </w:r>
          </w:p>
        </w:tc>
      </w:tr>
      <w:tr w:rsidR="00D748EF" w:rsidRPr="0098262F" w14:paraId="1CEE4D09" w14:textId="77777777" w:rsidTr="00EE5781">
        <w:tc>
          <w:tcPr>
            <w:tcW w:w="1334" w:type="pct"/>
            <w:vAlign w:val="center"/>
          </w:tcPr>
          <w:p w14:paraId="229A1EDF" w14:textId="6DDA47A7" w:rsidR="00D748EF" w:rsidRPr="0098262F" w:rsidRDefault="00D748EF" w:rsidP="003E4C55">
            <w:pPr>
              <w:pStyle w:val="TableText0"/>
              <w:rPr>
                <w:rFonts w:ascii="Times" w:hAnsi="Times"/>
              </w:rPr>
            </w:pPr>
            <w:r w:rsidRPr="0098262F">
              <w:t>Number of scripts dispensed</w:t>
            </w:r>
          </w:p>
        </w:tc>
        <w:tc>
          <w:tcPr>
            <w:tcW w:w="611" w:type="pct"/>
          </w:tcPr>
          <w:p w14:paraId="0D9F25C2" w14:textId="5813E2ED" w:rsidR="00D748EF" w:rsidRPr="00450486" w:rsidRDefault="001A3F09" w:rsidP="003E4C55">
            <w:pPr>
              <w:pStyle w:val="TableText0"/>
              <w:rPr>
                <w:highlight w:val="lightGray"/>
              </w:rPr>
            </w:pPr>
            <w:r w:rsidRPr="001A3F09">
              <w:rPr>
                <w:sz w:val="2"/>
                <w:highlight w:val="black"/>
              </w:rPr>
              <w:t xml:space="preserve">redacted content </w:t>
            </w:r>
            <w:r w:rsidR="00836143" w:rsidRPr="00450486">
              <w:rPr>
                <w:vertAlign w:val="superscript"/>
              </w:rPr>
              <w:t>1</w:t>
            </w:r>
            <w:r w:rsidRPr="001A3F09">
              <w:t xml:space="preserve"> </w:t>
            </w:r>
          </w:p>
        </w:tc>
        <w:tc>
          <w:tcPr>
            <w:tcW w:w="611" w:type="pct"/>
          </w:tcPr>
          <w:p w14:paraId="2D7847AA" w14:textId="2187B000" w:rsidR="00D748EF" w:rsidRPr="00450486" w:rsidRDefault="001A3F09" w:rsidP="003E4C55">
            <w:pPr>
              <w:pStyle w:val="TableText0"/>
              <w:rPr>
                <w:highlight w:val="lightGray"/>
              </w:rPr>
            </w:pPr>
            <w:r w:rsidRPr="001A3F09">
              <w:rPr>
                <w:sz w:val="2"/>
                <w:highlight w:val="black"/>
              </w:rPr>
              <w:t xml:space="preserve">redacted content </w:t>
            </w:r>
            <w:r w:rsidR="00836143" w:rsidRPr="00450486">
              <w:rPr>
                <w:vertAlign w:val="superscript"/>
              </w:rPr>
              <w:t>1</w:t>
            </w:r>
            <w:r w:rsidRPr="001A3F09">
              <w:t xml:space="preserve"> </w:t>
            </w:r>
          </w:p>
        </w:tc>
        <w:tc>
          <w:tcPr>
            <w:tcW w:w="611" w:type="pct"/>
          </w:tcPr>
          <w:p w14:paraId="7A620378" w14:textId="2705B499" w:rsidR="00D748EF" w:rsidRPr="00450486" w:rsidRDefault="001A3F09" w:rsidP="003E4C55">
            <w:pPr>
              <w:pStyle w:val="TableText0"/>
              <w:rPr>
                <w:highlight w:val="lightGray"/>
              </w:rPr>
            </w:pPr>
            <w:r w:rsidRPr="001A3F09">
              <w:rPr>
                <w:sz w:val="2"/>
                <w:highlight w:val="black"/>
              </w:rPr>
              <w:t xml:space="preserve">redacted content </w:t>
            </w:r>
            <w:r w:rsidR="00836143" w:rsidRPr="00450486">
              <w:rPr>
                <w:vertAlign w:val="superscript"/>
              </w:rPr>
              <w:t>2</w:t>
            </w:r>
            <w:r w:rsidRPr="001A3F09">
              <w:t xml:space="preserve"> </w:t>
            </w:r>
          </w:p>
        </w:tc>
        <w:tc>
          <w:tcPr>
            <w:tcW w:w="611" w:type="pct"/>
          </w:tcPr>
          <w:p w14:paraId="1D2C1413" w14:textId="6B01EB8B" w:rsidR="00D748EF" w:rsidRPr="00450486" w:rsidRDefault="001A3F09" w:rsidP="003E4C55">
            <w:pPr>
              <w:pStyle w:val="TableText0"/>
              <w:rPr>
                <w:highlight w:val="lightGray"/>
              </w:rPr>
            </w:pPr>
            <w:r w:rsidRPr="001A3F09">
              <w:rPr>
                <w:sz w:val="2"/>
                <w:highlight w:val="black"/>
              </w:rPr>
              <w:t xml:space="preserve">redacted content </w:t>
            </w:r>
            <w:r w:rsidR="00836143" w:rsidRPr="00450486">
              <w:rPr>
                <w:vertAlign w:val="superscript"/>
              </w:rPr>
              <w:t>2</w:t>
            </w:r>
            <w:r w:rsidRPr="001A3F09">
              <w:t xml:space="preserve"> </w:t>
            </w:r>
          </w:p>
        </w:tc>
        <w:tc>
          <w:tcPr>
            <w:tcW w:w="611" w:type="pct"/>
          </w:tcPr>
          <w:p w14:paraId="3F0ACB95" w14:textId="3DF04289" w:rsidR="00D748EF" w:rsidRPr="00450486" w:rsidRDefault="001A3F09" w:rsidP="003E4C55">
            <w:pPr>
              <w:pStyle w:val="TableText0"/>
              <w:rPr>
                <w:highlight w:val="lightGray"/>
              </w:rPr>
            </w:pPr>
            <w:r w:rsidRPr="001A3F09">
              <w:rPr>
                <w:sz w:val="2"/>
                <w:highlight w:val="black"/>
              </w:rPr>
              <w:t xml:space="preserve">redacted content </w:t>
            </w:r>
            <w:r w:rsidR="00836143" w:rsidRPr="00450486">
              <w:rPr>
                <w:vertAlign w:val="superscript"/>
              </w:rPr>
              <w:t>2</w:t>
            </w:r>
            <w:r w:rsidRPr="001A3F09">
              <w:t xml:space="preserve"> </w:t>
            </w:r>
          </w:p>
        </w:tc>
        <w:tc>
          <w:tcPr>
            <w:tcW w:w="611" w:type="pct"/>
          </w:tcPr>
          <w:p w14:paraId="1C30F331" w14:textId="2B785C4D" w:rsidR="00D748EF" w:rsidRPr="00450486" w:rsidRDefault="001A3F09" w:rsidP="003E4C55">
            <w:pPr>
              <w:pStyle w:val="TableText0"/>
              <w:rPr>
                <w:highlight w:val="lightGray"/>
              </w:rPr>
            </w:pPr>
            <w:r w:rsidRPr="001A3F09">
              <w:rPr>
                <w:sz w:val="2"/>
                <w:highlight w:val="black"/>
              </w:rPr>
              <w:t xml:space="preserve">redacted content </w:t>
            </w:r>
            <w:r w:rsidR="00836143" w:rsidRPr="00450486">
              <w:rPr>
                <w:vertAlign w:val="superscript"/>
              </w:rPr>
              <w:t>2</w:t>
            </w:r>
            <w:r w:rsidRPr="001A3F09">
              <w:t xml:space="preserve"> </w:t>
            </w:r>
          </w:p>
        </w:tc>
      </w:tr>
      <w:tr w:rsidR="00D748EF" w:rsidRPr="0098262F" w14:paraId="1E699D47" w14:textId="77777777" w:rsidTr="00EE5781">
        <w:tc>
          <w:tcPr>
            <w:tcW w:w="5000" w:type="pct"/>
            <w:gridSpan w:val="7"/>
            <w:vAlign w:val="center"/>
          </w:tcPr>
          <w:p w14:paraId="7D0E0884" w14:textId="2958E5F3" w:rsidR="00D748EF" w:rsidRPr="0098262F" w:rsidRDefault="00D748EF" w:rsidP="00D748EF">
            <w:pPr>
              <w:pStyle w:val="In-tableHeading"/>
              <w:rPr>
                <w:lang w:val="en-AU"/>
              </w:rPr>
            </w:pPr>
            <w:r w:rsidRPr="0098262F">
              <w:rPr>
                <w:lang w:val="en-AU"/>
              </w:rPr>
              <w:t xml:space="preserve">Estimated financial implications of </w:t>
            </w:r>
            <w:r w:rsidR="00D872F9">
              <w:rPr>
                <w:lang w:val="en-AU"/>
              </w:rPr>
              <w:t>Xeomin</w:t>
            </w:r>
          </w:p>
        </w:tc>
      </w:tr>
      <w:tr w:rsidR="00871752" w:rsidRPr="0098262F" w14:paraId="4B4ACF1A" w14:textId="77777777" w:rsidTr="00EE5781">
        <w:tc>
          <w:tcPr>
            <w:tcW w:w="1334" w:type="pct"/>
            <w:vAlign w:val="center"/>
          </w:tcPr>
          <w:p w14:paraId="467993BD" w14:textId="618A57F1" w:rsidR="00871752" w:rsidRPr="0098262F" w:rsidRDefault="00871752" w:rsidP="003E4C55">
            <w:pPr>
              <w:pStyle w:val="TableText0"/>
            </w:pPr>
            <w:r w:rsidRPr="0098262F">
              <w:t>Cost to PBS/RPBS less copayments</w:t>
            </w:r>
          </w:p>
        </w:tc>
        <w:tc>
          <w:tcPr>
            <w:tcW w:w="611" w:type="pct"/>
          </w:tcPr>
          <w:p w14:paraId="4125A2B6" w14:textId="31FE1D8E" w:rsidR="00871752" w:rsidRPr="00450486" w:rsidRDefault="00BE423E" w:rsidP="003E4C55">
            <w:pPr>
              <w:pStyle w:val="TableText0"/>
              <w:rPr>
                <w:vertAlign w:val="superscript"/>
              </w:rPr>
            </w:pPr>
            <w:r w:rsidRPr="00BE423E">
              <w:t>$</w:t>
            </w:r>
            <w:r w:rsidR="001A3F09" w:rsidRPr="001A3F09">
              <w:rPr>
                <w:sz w:val="2"/>
                <w:highlight w:val="black"/>
              </w:rPr>
              <w:t xml:space="preserve">redacted content </w:t>
            </w:r>
            <w:r w:rsidR="00450486" w:rsidRPr="00450486">
              <w:rPr>
                <w:vertAlign w:val="superscript"/>
              </w:rPr>
              <w:t>3</w:t>
            </w:r>
          </w:p>
        </w:tc>
        <w:tc>
          <w:tcPr>
            <w:tcW w:w="611" w:type="pct"/>
          </w:tcPr>
          <w:p w14:paraId="5BDFECEB" w14:textId="06A485C8"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450486" w:rsidRPr="00450486">
              <w:rPr>
                <w:vertAlign w:val="superscript"/>
              </w:rPr>
              <w:t>3</w:t>
            </w:r>
          </w:p>
        </w:tc>
        <w:tc>
          <w:tcPr>
            <w:tcW w:w="611" w:type="pct"/>
          </w:tcPr>
          <w:p w14:paraId="3890D42E" w14:textId="37FC0D13"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450486" w:rsidRPr="00450486">
              <w:rPr>
                <w:vertAlign w:val="superscript"/>
              </w:rPr>
              <w:t>3</w:t>
            </w:r>
          </w:p>
        </w:tc>
        <w:tc>
          <w:tcPr>
            <w:tcW w:w="611" w:type="pct"/>
          </w:tcPr>
          <w:p w14:paraId="2728B643" w14:textId="020D2698"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450486" w:rsidRPr="00450486">
              <w:rPr>
                <w:vertAlign w:val="superscript"/>
              </w:rPr>
              <w:t>3</w:t>
            </w:r>
          </w:p>
        </w:tc>
        <w:tc>
          <w:tcPr>
            <w:tcW w:w="611" w:type="pct"/>
          </w:tcPr>
          <w:p w14:paraId="5FE5021A" w14:textId="68E34B2D"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450486" w:rsidRPr="00450486">
              <w:rPr>
                <w:vertAlign w:val="superscript"/>
              </w:rPr>
              <w:t>3</w:t>
            </w:r>
          </w:p>
        </w:tc>
        <w:tc>
          <w:tcPr>
            <w:tcW w:w="611" w:type="pct"/>
          </w:tcPr>
          <w:p w14:paraId="6F8E9082" w14:textId="7D81F9F4"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450486" w:rsidRPr="00450486">
              <w:rPr>
                <w:vertAlign w:val="superscript"/>
              </w:rPr>
              <w:t>3</w:t>
            </w:r>
          </w:p>
        </w:tc>
      </w:tr>
      <w:tr w:rsidR="00871752" w:rsidRPr="0098262F" w14:paraId="344AC0E2" w14:textId="77777777" w:rsidTr="00EE5781">
        <w:tc>
          <w:tcPr>
            <w:tcW w:w="5000" w:type="pct"/>
            <w:gridSpan w:val="7"/>
            <w:vAlign w:val="center"/>
          </w:tcPr>
          <w:p w14:paraId="0FF7E64D" w14:textId="39483345" w:rsidR="00871752" w:rsidRPr="00721805" w:rsidRDefault="00871752" w:rsidP="003E4C55">
            <w:pPr>
              <w:pStyle w:val="TableText0"/>
            </w:pPr>
            <w:r w:rsidRPr="00721805">
              <w:t>Estimated financial implications for Botox and Dysport</w:t>
            </w:r>
          </w:p>
        </w:tc>
      </w:tr>
      <w:tr w:rsidR="00433FD5" w:rsidRPr="0098262F" w14:paraId="7EBBD178" w14:textId="77777777" w:rsidTr="00EE5781">
        <w:tc>
          <w:tcPr>
            <w:tcW w:w="1334" w:type="pct"/>
            <w:vAlign w:val="center"/>
          </w:tcPr>
          <w:p w14:paraId="5D7A4596" w14:textId="1B32F05C" w:rsidR="00433FD5" w:rsidRDefault="00721805" w:rsidP="003E4C55">
            <w:pPr>
              <w:pStyle w:val="TableText0"/>
            </w:pPr>
            <w:r>
              <w:t>Botox, 11751L</w:t>
            </w:r>
          </w:p>
        </w:tc>
        <w:tc>
          <w:tcPr>
            <w:tcW w:w="611" w:type="pct"/>
          </w:tcPr>
          <w:p w14:paraId="36CC6EFF" w14:textId="1ADDEA58" w:rsidR="00433FD5" w:rsidRPr="00450486" w:rsidRDefault="00BE423E" w:rsidP="003E4C55">
            <w:pPr>
              <w:pStyle w:val="TableText0"/>
              <w:rPr>
                <w:vertAlign w:val="superscript"/>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5BCB0EDE" w14:textId="511EC21A"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18063983" w14:textId="0F55094D" w:rsidR="00433FD5" w:rsidRPr="00450486" w:rsidRDefault="00BE423E" w:rsidP="003E4C55">
            <w:pPr>
              <w:pStyle w:val="TableText0"/>
              <w:rPr>
                <w:vertAlign w:val="superscript"/>
              </w:rPr>
            </w:pPr>
            <w:r w:rsidRPr="00BE423E">
              <w:t>-</w:t>
            </w:r>
            <w:r w:rsidR="001A3F09" w:rsidRPr="001A3F09">
              <w:rPr>
                <w:sz w:val="2"/>
                <w:highlight w:val="black"/>
              </w:rPr>
              <w:t xml:space="preserve">redacted content </w:t>
            </w:r>
            <w:r w:rsidR="001908F7" w:rsidRPr="00450486">
              <w:rPr>
                <w:vertAlign w:val="superscript"/>
              </w:rPr>
              <w:t>2</w:t>
            </w:r>
          </w:p>
        </w:tc>
        <w:tc>
          <w:tcPr>
            <w:tcW w:w="611" w:type="pct"/>
          </w:tcPr>
          <w:p w14:paraId="41D9086B" w14:textId="148B85A4"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908F7" w:rsidRPr="00450486">
              <w:rPr>
                <w:vertAlign w:val="superscript"/>
              </w:rPr>
              <w:t>2</w:t>
            </w:r>
          </w:p>
        </w:tc>
        <w:tc>
          <w:tcPr>
            <w:tcW w:w="611" w:type="pct"/>
          </w:tcPr>
          <w:p w14:paraId="3E24C2B1" w14:textId="60A902AF"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908F7" w:rsidRPr="00450486">
              <w:rPr>
                <w:vertAlign w:val="superscript"/>
              </w:rPr>
              <w:t>2</w:t>
            </w:r>
          </w:p>
        </w:tc>
        <w:tc>
          <w:tcPr>
            <w:tcW w:w="611" w:type="pct"/>
          </w:tcPr>
          <w:p w14:paraId="234DE7A1" w14:textId="704CD628"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908F7" w:rsidRPr="00450486">
              <w:rPr>
                <w:vertAlign w:val="superscript"/>
              </w:rPr>
              <w:t>2</w:t>
            </w:r>
          </w:p>
        </w:tc>
      </w:tr>
      <w:tr w:rsidR="00433FD5" w:rsidRPr="0098262F" w14:paraId="62C0E3FB" w14:textId="77777777" w:rsidTr="00EE5781">
        <w:tc>
          <w:tcPr>
            <w:tcW w:w="1334" w:type="pct"/>
            <w:vAlign w:val="center"/>
          </w:tcPr>
          <w:p w14:paraId="2B097AD7" w14:textId="1237CA2F" w:rsidR="00433FD5" w:rsidRDefault="00721805" w:rsidP="003E4C55">
            <w:pPr>
              <w:pStyle w:val="TableText0"/>
            </w:pPr>
            <w:r>
              <w:t>Dysport, 11831Q</w:t>
            </w:r>
          </w:p>
        </w:tc>
        <w:tc>
          <w:tcPr>
            <w:tcW w:w="611" w:type="pct"/>
          </w:tcPr>
          <w:p w14:paraId="25BA418E" w14:textId="5251D2D6"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7571A7F2" w14:textId="6058E75F"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2444D412" w14:textId="1FA3D0C9"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7F887241" w14:textId="4EE87E36"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30941EE6" w14:textId="2958B1F2"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3D723DFD" w14:textId="429D0DF4"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r>
      <w:tr w:rsidR="00433FD5" w:rsidRPr="0098262F" w14:paraId="7F5F07D1" w14:textId="77777777" w:rsidTr="00EE5781">
        <w:tc>
          <w:tcPr>
            <w:tcW w:w="1334" w:type="pct"/>
            <w:vAlign w:val="center"/>
          </w:tcPr>
          <w:p w14:paraId="00744BE4" w14:textId="34A67C3D" w:rsidR="00433FD5" w:rsidRDefault="00721805" w:rsidP="003E4C55">
            <w:pPr>
              <w:pStyle w:val="TableText0"/>
            </w:pPr>
            <w:r>
              <w:t>Dysport, 11857C</w:t>
            </w:r>
          </w:p>
        </w:tc>
        <w:tc>
          <w:tcPr>
            <w:tcW w:w="611" w:type="pct"/>
          </w:tcPr>
          <w:p w14:paraId="08902CBE" w14:textId="46A840FB"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1E11305F" w14:textId="6DBA3814"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14796619" w14:textId="38E958B1"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104E840C" w14:textId="6BAEE731"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2F2C699C" w14:textId="784EBDEC"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55DC4C11" w14:textId="443F531C" w:rsidR="00433FD5"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r>
      <w:tr w:rsidR="00871752" w:rsidRPr="0098262F" w14:paraId="0CE077D9" w14:textId="77777777" w:rsidTr="00EE5781">
        <w:tc>
          <w:tcPr>
            <w:tcW w:w="1334" w:type="pct"/>
            <w:vAlign w:val="center"/>
          </w:tcPr>
          <w:p w14:paraId="40F6A2C5" w14:textId="55EF16A6" w:rsidR="00871752" w:rsidRPr="0098262F" w:rsidRDefault="00871752" w:rsidP="003E4C55">
            <w:pPr>
              <w:pStyle w:val="TableText0"/>
            </w:pPr>
            <w:r>
              <w:t>Total change in scripts</w:t>
            </w:r>
          </w:p>
        </w:tc>
        <w:tc>
          <w:tcPr>
            <w:tcW w:w="611" w:type="pct"/>
          </w:tcPr>
          <w:p w14:paraId="50CF2446" w14:textId="3A4DD40A"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35AF80ED" w14:textId="786185AE"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680673" w:rsidRPr="00450486">
              <w:rPr>
                <w:vertAlign w:val="superscript"/>
              </w:rPr>
              <w:t>1</w:t>
            </w:r>
          </w:p>
        </w:tc>
        <w:tc>
          <w:tcPr>
            <w:tcW w:w="611" w:type="pct"/>
          </w:tcPr>
          <w:p w14:paraId="28F1C25D" w14:textId="010EA8D9"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908F7" w:rsidRPr="00450486">
              <w:rPr>
                <w:vertAlign w:val="superscript"/>
              </w:rPr>
              <w:t>2</w:t>
            </w:r>
          </w:p>
        </w:tc>
        <w:tc>
          <w:tcPr>
            <w:tcW w:w="611" w:type="pct"/>
          </w:tcPr>
          <w:p w14:paraId="5DBA4173" w14:textId="30C17877"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908F7" w:rsidRPr="00450486">
              <w:rPr>
                <w:vertAlign w:val="superscript"/>
              </w:rPr>
              <w:t>2</w:t>
            </w:r>
          </w:p>
        </w:tc>
        <w:tc>
          <w:tcPr>
            <w:tcW w:w="611" w:type="pct"/>
          </w:tcPr>
          <w:p w14:paraId="4D6DC68C" w14:textId="291CFA3C"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908F7" w:rsidRPr="00450486">
              <w:rPr>
                <w:vertAlign w:val="superscript"/>
              </w:rPr>
              <w:t>2</w:t>
            </w:r>
          </w:p>
        </w:tc>
        <w:tc>
          <w:tcPr>
            <w:tcW w:w="611" w:type="pct"/>
          </w:tcPr>
          <w:p w14:paraId="0766C6AC" w14:textId="5E97BEC2"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908F7" w:rsidRPr="00450486">
              <w:rPr>
                <w:vertAlign w:val="superscript"/>
              </w:rPr>
              <w:t>2</w:t>
            </w:r>
          </w:p>
        </w:tc>
      </w:tr>
      <w:tr w:rsidR="00871752" w:rsidRPr="0098262F" w14:paraId="07D84CC3" w14:textId="77777777" w:rsidTr="00EE5781">
        <w:tc>
          <w:tcPr>
            <w:tcW w:w="1334" w:type="pct"/>
            <w:vAlign w:val="center"/>
          </w:tcPr>
          <w:p w14:paraId="5D69705C" w14:textId="09A2787F" w:rsidR="00871752" w:rsidRPr="0098262F" w:rsidRDefault="00871752" w:rsidP="003E4C55">
            <w:pPr>
              <w:pStyle w:val="TableText0"/>
            </w:pPr>
            <w:r w:rsidRPr="0098262F">
              <w:t>Cost to PBS/RPBS less copayments</w:t>
            </w:r>
          </w:p>
        </w:tc>
        <w:tc>
          <w:tcPr>
            <w:tcW w:w="611" w:type="pct"/>
          </w:tcPr>
          <w:p w14:paraId="31086BFD" w14:textId="41587881"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2B239856" w14:textId="60EC1964"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0F97E367" w14:textId="29A26A6D"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50FB96D2" w14:textId="7611C308"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5ED5DD2A" w14:textId="58922778"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4D927D28" w14:textId="161DF59B"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r>
      <w:tr w:rsidR="00871752" w:rsidRPr="0098262F" w14:paraId="4FA07BD8" w14:textId="77777777" w:rsidTr="00EE5781">
        <w:tc>
          <w:tcPr>
            <w:tcW w:w="5000" w:type="pct"/>
            <w:gridSpan w:val="7"/>
            <w:vAlign w:val="center"/>
          </w:tcPr>
          <w:p w14:paraId="1A627EA0" w14:textId="5624381B" w:rsidR="00871752" w:rsidRPr="0098262F" w:rsidRDefault="00871752" w:rsidP="00871752">
            <w:pPr>
              <w:pStyle w:val="In-tableHeading"/>
              <w:rPr>
                <w:lang w:val="en-AU"/>
              </w:rPr>
            </w:pPr>
            <w:r w:rsidRPr="0098262F">
              <w:rPr>
                <w:lang w:val="en-AU"/>
              </w:rPr>
              <w:t>Net financial implications</w:t>
            </w:r>
            <w:r w:rsidRPr="0098262F">
              <w:rPr>
                <w:color w:val="4BACC6" w:themeColor="accent5"/>
                <w:lang w:val="en-AU"/>
              </w:rPr>
              <w:t xml:space="preserve"> </w:t>
            </w:r>
          </w:p>
        </w:tc>
      </w:tr>
      <w:tr w:rsidR="00871752" w:rsidRPr="0098262F" w14:paraId="3F33D4C6" w14:textId="77777777" w:rsidTr="00EE5781">
        <w:tc>
          <w:tcPr>
            <w:tcW w:w="1334" w:type="pct"/>
            <w:vAlign w:val="center"/>
          </w:tcPr>
          <w:p w14:paraId="5ABBDE64" w14:textId="77777777" w:rsidR="00871752" w:rsidRPr="0098262F" w:rsidRDefault="00871752" w:rsidP="003E4C55">
            <w:pPr>
              <w:pStyle w:val="TableText0"/>
            </w:pPr>
            <w:r w:rsidRPr="0098262F">
              <w:t>Net cost to PBS/RPBS</w:t>
            </w:r>
          </w:p>
        </w:tc>
        <w:tc>
          <w:tcPr>
            <w:tcW w:w="611" w:type="pct"/>
          </w:tcPr>
          <w:p w14:paraId="744F82C2" w14:textId="1716754B"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295843EA" w14:textId="00389AFD"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3A32302A" w14:textId="59717759"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326E9207" w14:textId="1FDE02BE"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56E4D70E" w14:textId="030CEFA8"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241B1CFD" w14:textId="57A6ABF4"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r>
      <w:tr w:rsidR="00871752" w:rsidRPr="0098262F" w14:paraId="571B64F4" w14:textId="77777777" w:rsidTr="00EE5781">
        <w:tc>
          <w:tcPr>
            <w:tcW w:w="1334" w:type="pct"/>
            <w:vAlign w:val="center"/>
          </w:tcPr>
          <w:p w14:paraId="427698FB" w14:textId="38CAA877" w:rsidR="00871752" w:rsidRPr="0098262F" w:rsidRDefault="00871752" w:rsidP="003E4C55">
            <w:pPr>
              <w:pStyle w:val="TableText0"/>
              <w:rPr>
                <w:rFonts w:ascii="Times" w:hAnsi="Times"/>
              </w:rPr>
            </w:pPr>
            <w:r w:rsidRPr="0098262F">
              <w:t>Net cost to MBS</w:t>
            </w:r>
          </w:p>
        </w:tc>
        <w:tc>
          <w:tcPr>
            <w:tcW w:w="611" w:type="pct"/>
          </w:tcPr>
          <w:p w14:paraId="5AD7A1FC" w14:textId="482E7FB9"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1D6E215B" w14:textId="3E532E02"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25026D9D" w14:textId="0C5C9DA7"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6933D36F" w14:textId="4B44FA1E"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04433A65" w14:textId="1187EC15"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2223EBD7" w14:textId="7C085273"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r>
      <w:tr w:rsidR="00871752" w:rsidRPr="0098262F" w14:paraId="123830C0" w14:textId="77777777" w:rsidTr="00EE5781">
        <w:tc>
          <w:tcPr>
            <w:tcW w:w="1334" w:type="pct"/>
            <w:vAlign w:val="center"/>
          </w:tcPr>
          <w:p w14:paraId="50FCDA47" w14:textId="1ACFAB6D" w:rsidR="00871752" w:rsidRPr="0098262F" w:rsidRDefault="00871752" w:rsidP="003E4C55">
            <w:pPr>
              <w:pStyle w:val="TableText0"/>
            </w:pPr>
            <w:r w:rsidRPr="0098262F">
              <w:t>Net cost to PBS/RPBS/MBS</w:t>
            </w:r>
          </w:p>
        </w:tc>
        <w:tc>
          <w:tcPr>
            <w:tcW w:w="611" w:type="pct"/>
          </w:tcPr>
          <w:p w14:paraId="0F4EB661" w14:textId="26FF6023"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59B75FE2" w14:textId="658AF514"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6AE6473A" w14:textId="6A4B3E34"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1F476C04" w14:textId="4BF2F362"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12079751" w14:textId="54A5475B"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c>
          <w:tcPr>
            <w:tcW w:w="611" w:type="pct"/>
          </w:tcPr>
          <w:p w14:paraId="4844CB4D" w14:textId="552CC252" w:rsidR="00871752" w:rsidRPr="00450486" w:rsidRDefault="00BE423E" w:rsidP="003E4C55">
            <w:pPr>
              <w:pStyle w:val="TableText0"/>
              <w:rPr>
                <w:highlight w:val="lightGray"/>
              </w:rPr>
            </w:pPr>
            <w:r w:rsidRPr="00BE423E">
              <w:t>-$</w:t>
            </w:r>
            <w:r w:rsidR="001A3F09" w:rsidRPr="001A3F09">
              <w:rPr>
                <w:sz w:val="2"/>
                <w:highlight w:val="black"/>
              </w:rPr>
              <w:t xml:space="preserve">redacted content </w:t>
            </w:r>
            <w:r w:rsidR="001A3F09">
              <w:rPr>
                <w:vertAlign w:val="superscript"/>
              </w:rPr>
              <w:t>4</w:t>
            </w:r>
          </w:p>
        </w:tc>
      </w:tr>
    </w:tbl>
    <w:p w14:paraId="47796932" w14:textId="77777777" w:rsidR="00FF2442" w:rsidRDefault="00620C25" w:rsidP="00FF2442">
      <w:pPr>
        <w:pStyle w:val="FooterTableFigure"/>
      </w:pPr>
      <w:r w:rsidRPr="0098262F">
        <w:t>Source: Table</w:t>
      </w:r>
      <w:r w:rsidR="00871752">
        <w:t xml:space="preserve">s 4.3.3, 4.3.5, 4.4.1, 4.4.2, 4.6.3, 4.6.4 </w:t>
      </w:r>
      <w:r w:rsidRPr="0098262F">
        <w:t>pp</w:t>
      </w:r>
      <w:r w:rsidR="00871752">
        <w:t xml:space="preserve"> 81-85 </w:t>
      </w:r>
      <w:r w:rsidRPr="0098262F">
        <w:t>of the submission.</w:t>
      </w:r>
      <w:r w:rsidR="00FF2442">
        <w:t xml:space="preserve"> </w:t>
      </w:r>
    </w:p>
    <w:p w14:paraId="128B9032" w14:textId="1F6D844E" w:rsidR="00FF2442" w:rsidRPr="00FF2442" w:rsidRDefault="00FF2442" w:rsidP="00FF2442">
      <w:pPr>
        <w:pStyle w:val="FooterTableFigure"/>
        <w:rPr>
          <w:i/>
          <w:iCs/>
        </w:rPr>
      </w:pPr>
      <w:r w:rsidRPr="00FF2442">
        <w:rPr>
          <w:i/>
          <w:iCs/>
        </w:rPr>
        <w:t xml:space="preserve">The redacted values correspond to the following ranges: </w:t>
      </w:r>
    </w:p>
    <w:p w14:paraId="1983E162" w14:textId="77777777" w:rsidR="00836143" w:rsidRPr="00836143" w:rsidRDefault="00FF2442" w:rsidP="00836143">
      <w:pPr>
        <w:pStyle w:val="FooterTableFigure"/>
        <w:rPr>
          <w:i/>
          <w:iCs/>
        </w:rPr>
      </w:pPr>
      <w:r w:rsidRPr="00F06EC3">
        <w:rPr>
          <w:i/>
          <w:iCs/>
          <w:vertAlign w:val="superscript"/>
        </w:rPr>
        <w:t>1</w:t>
      </w:r>
      <w:r>
        <w:rPr>
          <w:i/>
          <w:iCs/>
        </w:rPr>
        <w:t xml:space="preserve"> </w:t>
      </w:r>
      <w:r w:rsidR="00836143" w:rsidRPr="00836143">
        <w:rPr>
          <w:i/>
          <w:iCs/>
        </w:rPr>
        <w:t>&lt; 500</w:t>
      </w:r>
    </w:p>
    <w:p w14:paraId="081B44BB" w14:textId="77777777" w:rsidR="00450486" w:rsidRDefault="00836143" w:rsidP="00836143">
      <w:pPr>
        <w:pStyle w:val="FooterTableFigure"/>
        <w:rPr>
          <w:i/>
          <w:iCs/>
        </w:rPr>
      </w:pPr>
      <w:r w:rsidRPr="00F06EC3">
        <w:rPr>
          <w:i/>
          <w:iCs/>
          <w:vertAlign w:val="superscript"/>
        </w:rPr>
        <w:t>2</w:t>
      </w:r>
      <w:r>
        <w:rPr>
          <w:i/>
          <w:iCs/>
        </w:rPr>
        <w:t xml:space="preserve"> </w:t>
      </w:r>
      <w:r w:rsidRPr="00836143">
        <w:rPr>
          <w:i/>
          <w:iCs/>
        </w:rPr>
        <w:t>500 to &lt; 5,000</w:t>
      </w:r>
      <w:r w:rsidR="00450486">
        <w:rPr>
          <w:i/>
          <w:iCs/>
        </w:rPr>
        <w:t xml:space="preserve"> </w:t>
      </w:r>
    </w:p>
    <w:p w14:paraId="484CF5B6" w14:textId="538D3FDA" w:rsidR="00620C25" w:rsidRDefault="00450486" w:rsidP="00836143">
      <w:pPr>
        <w:pStyle w:val="FooterTableFigure"/>
        <w:rPr>
          <w:i/>
          <w:iCs/>
        </w:rPr>
      </w:pPr>
      <w:r w:rsidRPr="00843270">
        <w:rPr>
          <w:i/>
          <w:iCs/>
          <w:vertAlign w:val="superscript"/>
        </w:rPr>
        <w:t>3</w:t>
      </w:r>
      <w:r>
        <w:rPr>
          <w:i/>
          <w:iCs/>
        </w:rPr>
        <w:t xml:space="preserve"> </w:t>
      </w:r>
      <w:r w:rsidRPr="00450486">
        <w:rPr>
          <w:i/>
          <w:iCs/>
        </w:rPr>
        <w:t>$0 to &lt; $10 million</w:t>
      </w:r>
    </w:p>
    <w:p w14:paraId="5D833F4D" w14:textId="11971A97" w:rsidR="00014863" w:rsidRPr="00014863" w:rsidRDefault="00014863" w:rsidP="00836143">
      <w:pPr>
        <w:pStyle w:val="FooterTableFigure"/>
        <w:rPr>
          <w:rStyle w:val="CommentReference"/>
          <w:i/>
          <w:iCs/>
        </w:rPr>
      </w:pPr>
      <w:r>
        <w:rPr>
          <w:i/>
          <w:iCs/>
          <w:vertAlign w:val="superscript"/>
        </w:rPr>
        <w:t>4</w:t>
      </w:r>
      <w:r>
        <w:rPr>
          <w:i/>
          <w:iCs/>
        </w:rPr>
        <w:t xml:space="preserve"> net cost saving </w:t>
      </w:r>
    </w:p>
    <w:p w14:paraId="75586731" w14:textId="0FE6247D" w:rsidR="000902D9" w:rsidRPr="005229A8" w:rsidRDefault="000902D9" w:rsidP="00D244B6">
      <w:pPr>
        <w:pStyle w:val="3-BodyText"/>
      </w:pPr>
      <w:r w:rsidRPr="005229A8">
        <w:t xml:space="preserve">The total cost to the PBS/RPBS of listing </w:t>
      </w:r>
      <w:r w:rsidR="00D872F9" w:rsidRPr="005229A8">
        <w:t>Xeomin</w:t>
      </w:r>
      <w:r w:rsidRPr="005229A8">
        <w:t xml:space="preserve"> was estimated </w:t>
      </w:r>
      <w:r w:rsidR="00A05C32" w:rsidRPr="005229A8">
        <w:t>to be</w:t>
      </w:r>
      <w:r w:rsidRPr="005229A8">
        <w:t xml:space="preserve"> </w:t>
      </w:r>
      <w:r w:rsidR="003C0225" w:rsidRPr="003C0225">
        <w:t>$0 to &lt; $10 million</w:t>
      </w:r>
      <w:r w:rsidR="003C0225">
        <w:t xml:space="preserve"> </w:t>
      </w:r>
      <w:r w:rsidRPr="005229A8">
        <w:t xml:space="preserve">in Year 6, and a </w:t>
      </w:r>
      <w:r w:rsidR="00F35387" w:rsidRPr="005229A8">
        <w:t xml:space="preserve">net </w:t>
      </w:r>
      <w:r w:rsidR="00411B3C" w:rsidRPr="005229A8">
        <w:t>save</w:t>
      </w:r>
      <w:r w:rsidRPr="005229A8">
        <w:t xml:space="preserve"> of </w:t>
      </w:r>
      <w:r w:rsidR="00F35387" w:rsidRPr="005229A8">
        <w:t>-</w:t>
      </w:r>
      <w:r w:rsidRPr="005229A8">
        <w:t>$</w:t>
      </w:r>
      <w:r w:rsidR="003C0225" w:rsidRPr="003C0225">
        <w:t>0 to &lt; $10 million</w:t>
      </w:r>
      <w:r w:rsidR="003C0225">
        <w:t xml:space="preserve"> </w:t>
      </w:r>
      <w:r w:rsidRPr="005229A8">
        <w:t>in the first 6 years of listing</w:t>
      </w:r>
      <w:r w:rsidRPr="005229A8">
        <w:rPr>
          <w:color w:val="3366FF"/>
        </w:rPr>
        <w:t xml:space="preserve">. </w:t>
      </w:r>
    </w:p>
    <w:p w14:paraId="1B691C63" w14:textId="5076C8AE" w:rsidR="006A016F" w:rsidRPr="005229A8" w:rsidRDefault="00F35387" w:rsidP="00F35387">
      <w:pPr>
        <w:pStyle w:val="3-BodyText"/>
        <w:rPr>
          <w:color w:val="0066FF"/>
        </w:rPr>
      </w:pPr>
      <w:r w:rsidRPr="005229A8">
        <w:t xml:space="preserve">The submission presented a sensitivity analysis varying the rate of Xeomin displacing other botulinum toxin products by +/- </w:t>
      </w:r>
      <w:r w:rsidR="001A3F09" w:rsidRPr="001A3F09">
        <w:rPr>
          <w:sz w:val="2"/>
          <w:highlight w:val="black"/>
        </w:rPr>
        <w:t xml:space="preserve">redacted content </w:t>
      </w:r>
      <w:r w:rsidRPr="005229A8">
        <w:t>%. The estimates of financial impact remained cost saving for the PBS under both scenarios.</w:t>
      </w:r>
    </w:p>
    <w:p w14:paraId="2238DEE9" w14:textId="3E6A228B" w:rsidR="00576972" w:rsidRPr="005229A8" w:rsidRDefault="00576972" w:rsidP="004C55C7">
      <w:pPr>
        <w:pStyle w:val="4-SubsectionHeading"/>
        <w:rPr>
          <w:iCs w:val="0"/>
        </w:rPr>
      </w:pPr>
      <w:bookmarkStart w:id="52" w:name="_Toc22897648"/>
      <w:bookmarkStart w:id="53" w:name="_Toc219899384"/>
      <w:r w:rsidRPr="005229A8">
        <w:rPr>
          <w:iCs w:val="0"/>
        </w:rPr>
        <w:t>Quality Use of Medicines</w:t>
      </w:r>
      <w:bookmarkEnd w:id="52"/>
      <w:bookmarkEnd w:id="53"/>
    </w:p>
    <w:p w14:paraId="0EC31EEC" w14:textId="7D54487F" w:rsidR="004E163C" w:rsidRPr="005229A8" w:rsidRDefault="00F35387" w:rsidP="00606FBA">
      <w:pPr>
        <w:pStyle w:val="3-BodyText"/>
        <w:rPr>
          <w:color w:val="0066FF"/>
        </w:rPr>
      </w:pPr>
      <w:r w:rsidRPr="005229A8">
        <w:t xml:space="preserve">The submission presented a brief list of activities planned to support quality use of medicines with respect to use of </w:t>
      </w:r>
      <w:r w:rsidR="00D872F9" w:rsidRPr="005229A8">
        <w:t>Xeomin</w:t>
      </w:r>
      <w:r w:rsidRPr="005229A8">
        <w:t xml:space="preserve"> </w:t>
      </w:r>
      <w:r w:rsidR="001053D6" w:rsidRPr="005229A8">
        <w:t>in all</w:t>
      </w:r>
      <w:r w:rsidR="004B0147" w:rsidRPr="005229A8">
        <w:t xml:space="preserve"> i</w:t>
      </w:r>
      <w:r w:rsidRPr="005229A8">
        <w:t>ndication</w:t>
      </w:r>
      <w:r w:rsidR="001053D6" w:rsidRPr="005229A8">
        <w:t>s including the new indication</w:t>
      </w:r>
      <w:r w:rsidRPr="005229A8">
        <w:t>.</w:t>
      </w:r>
      <w:r w:rsidR="004E163C" w:rsidRPr="005229A8">
        <w:t xml:space="preserve"> These were:</w:t>
      </w:r>
    </w:p>
    <w:p w14:paraId="0A7C509E" w14:textId="77777777" w:rsidR="00485F8F" w:rsidRPr="005229A8" w:rsidRDefault="00485F8F" w:rsidP="00485F8F">
      <w:pPr>
        <w:pStyle w:val="3-BodyText"/>
        <w:numPr>
          <w:ilvl w:val="0"/>
          <w:numId w:val="29"/>
        </w:numPr>
      </w:pPr>
      <w:r w:rsidRPr="005229A8">
        <w:t>Organising and conducting regular workshops with experienced injectors.</w:t>
      </w:r>
    </w:p>
    <w:p w14:paraId="5E2D66FB" w14:textId="77777777" w:rsidR="00485F8F" w:rsidRPr="005229A8" w:rsidRDefault="00485F8F" w:rsidP="001336FA">
      <w:pPr>
        <w:pStyle w:val="3-BodyText"/>
        <w:numPr>
          <w:ilvl w:val="0"/>
          <w:numId w:val="29"/>
        </w:numPr>
        <w:spacing w:before="0"/>
      </w:pPr>
      <w:r w:rsidRPr="005229A8">
        <w:t>Promoting the use of guidance injection techniques using Ultrasound and loan portable ultrasound devices for physicians to familiarise themselves with the technique.</w:t>
      </w:r>
    </w:p>
    <w:p w14:paraId="38BD0AEF" w14:textId="7F19E2A0" w:rsidR="00576972" w:rsidRPr="005229A8" w:rsidRDefault="00485F8F" w:rsidP="001336FA">
      <w:pPr>
        <w:pStyle w:val="3-BodyText"/>
        <w:numPr>
          <w:ilvl w:val="0"/>
          <w:numId w:val="29"/>
        </w:numPr>
        <w:spacing w:before="0"/>
      </w:pPr>
      <w:r w:rsidRPr="005229A8">
        <w:t>Provision of the www.saliva.com website, providing information and resources for the treatment of sialorrhea using Xeomin.</w:t>
      </w:r>
      <w:r w:rsidR="00F35387" w:rsidRPr="005229A8">
        <w:t xml:space="preserve"> </w:t>
      </w:r>
    </w:p>
    <w:p w14:paraId="05117F42" w14:textId="77777777" w:rsidR="001A3F09" w:rsidRDefault="001A3F09">
      <w:pPr>
        <w:jc w:val="left"/>
        <w:rPr>
          <w:rFonts w:asciiTheme="minorHAnsi" w:hAnsiTheme="minorHAnsi"/>
          <w:i/>
        </w:rPr>
      </w:pPr>
      <w:bookmarkStart w:id="54" w:name="_Toc219899387"/>
    </w:p>
    <w:p w14:paraId="11946CCC" w14:textId="72E63879" w:rsidR="00B02356" w:rsidRDefault="009A2D1C">
      <w:pPr>
        <w:jc w:val="left"/>
        <w:rPr>
          <w:rFonts w:asciiTheme="minorHAnsi" w:hAnsiTheme="minorHAnsi"/>
          <w:b/>
          <w:snapToGrid w:val="0"/>
          <w:sz w:val="32"/>
          <w:szCs w:val="32"/>
        </w:rPr>
      </w:pPr>
      <w:r w:rsidRPr="00C33D30">
        <w:rPr>
          <w:rFonts w:asciiTheme="minorHAnsi" w:hAnsiTheme="minorHAnsi"/>
          <w:i/>
        </w:rPr>
        <w:t>For more detail on PBAC’s view, see section 7 PBAC outcome.</w:t>
      </w:r>
      <w:r w:rsidR="00B02356">
        <w:br w:type="page"/>
      </w:r>
    </w:p>
    <w:p w14:paraId="3292CF06" w14:textId="77777777" w:rsidR="004A449A" w:rsidRPr="0090150D" w:rsidRDefault="004A449A" w:rsidP="004A449A">
      <w:pPr>
        <w:pStyle w:val="2-SectionHeading"/>
        <w:numPr>
          <w:ilvl w:val="0"/>
          <w:numId w:val="1"/>
        </w:numPr>
      </w:pPr>
      <w:bookmarkStart w:id="55" w:name="_Hlk76381249"/>
      <w:r w:rsidRPr="0090150D">
        <w:lastRenderedPageBreak/>
        <w:t>PBAC Outcome</w:t>
      </w:r>
    </w:p>
    <w:p w14:paraId="7CAB1F62" w14:textId="0CBBB5E0" w:rsidR="00C476F3" w:rsidRPr="00B16796" w:rsidRDefault="00C476F3" w:rsidP="004A449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recommended the Authority required (STREAMLINED) listing of incob</w:t>
      </w:r>
      <w:r w:rsidR="004E49D8">
        <w:rPr>
          <w:rFonts w:asciiTheme="minorHAnsi" w:hAnsiTheme="minorHAnsi"/>
          <w:snapToGrid w:val="0"/>
          <w:lang w:val="en-GB"/>
        </w:rPr>
        <w:t xml:space="preserve">otulinumtoxinA (Xeomin®), on the basis that it should be available only under special arrangements under Section 100 (Botulinum Toxin Program), for the treatment </w:t>
      </w:r>
      <w:r w:rsidR="004E49D8" w:rsidRPr="0098262F">
        <w:t xml:space="preserve">of </w:t>
      </w:r>
      <w:r w:rsidR="004E49D8">
        <w:t>moderate to severe spasticity of the lower limb in adults following stroke, traumatic brain injury, or spinal cord injury</w:t>
      </w:r>
      <w:r w:rsidR="004702DB">
        <w:t>. The PBAC’s recommendation for listing was based on, among other matters, its assessment that Xeomin would be cost-effective if it cost no more than the lowest cost alternative therapy – botulinum toxin type A</w:t>
      </w:r>
      <w:r w:rsidR="0077149B">
        <w:t xml:space="preserve"> (Botox®) or clostridium botulinum type A toxin-haemagglutinin complex (Dysport®).</w:t>
      </w:r>
    </w:p>
    <w:p w14:paraId="3168FA44" w14:textId="62E1BA0B" w:rsidR="008E2F5F" w:rsidRPr="00BE4043" w:rsidRDefault="00535671" w:rsidP="00986305">
      <w:pPr>
        <w:pStyle w:val="3-BodyText"/>
      </w:pPr>
      <w:r w:rsidRPr="008F2A50">
        <w:rPr>
          <w:snapToGrid w:val="0"/>
        </w:rPr>
        <w:t xml:space="preserve">The PBAC noted that </w:t>
      </w:r>
      <w:r w:rsidR="00A17A70" w:rsidRPr="008F2A50">
        <w:t>a</w:t>
      </w:r>
      <w:r w:rsidR="00D235BF" w:rsidRPr="008F2A50">
        <w:t xml:space="preserve"> submission to the MSAC </w:t>
      </w:r>
      <w:r w:rsidR="00C65A8E" w:rsidRPr="008F2A50">
        <w:t>has been m</w:t>
      </w:r>
      <w:r w:rsidR="008F2A50" w:rsidRPr="008F2A50">
        <w:t>ade</w:t>
      </w:r>
      <w:r w:rsidR="00D235BF" w:rsidRPr="008F2A50">
        <w:t xml:space="preserve"> to amend existing MBS item code 1836</w:t>
      </w:r>
      <w:r w:rsidR="00C65A8E" w:rsidRPr="008F2A50">
        <w:t>0</w:t>
      </w:r>
      <w:r w:rsidR="00D235BF" w:rsidRPr="008F2A50">
        <w:t xml:space="preserve"> to include incobotulinumtoxinA</w:t>
      </w:r>
      <w:r w:rsidR="00A17A70" w:rsidRPr="008F2A50">
        <w:t xml:space="preserve"> for the lower limb indication</w:t>
      </w:r>
      <w:r w:rsidR="008F2A50" w:rsidRPr="008F2A50">
        <w:t xml:space="preserve">. The </w:t>
      </w:r>
      <w:r w:rsidR="008F2A50" w:rsidRPr="00BE4043">
        <w:t>PBAC</w:t>
      </w:r>
      <w:r w:rsidR="00FF11F4" w:rsidRPr="00BE4043">
        <w:t xml:space="preserve"> c</w:t>
      </w:r>
      <w:r w:rsidRPr="00BE4043">
        <w:rPr>
          <w:snapToGrid w:val="0"/>
        </w:rPr>
        <w:t>onsidered that changes to the PBS and MBS listing would have to be implemented on the same date.</w:t>
      </w:r>
    </w:p>
    <w:p w14:paraId="3573FA06" w14:textId="3CF34959" w:rsidR="002F178C" w:rsidRPr="00BE4043" w:rsidRDefault="002F178C" w:rsidP="002F178C">
      <w:pPr>
        <w:widowControl w:val="0"/>
        <w:numPr>
          <w:ilvl w:val="1"/>
          <w:numId w:val="1"/>
        </w:numPr>
        <w:spacing w:after="120"/>
        <w:rPr>
          <w:rFonts w:asciiTheme="minorHAnsi" w:hAnsiTheme="minorHAnsi"/>
          <w:snapToGrid w:val="0"/>
          <w:lang w:val="en-GB"/>
        </w:rPr>
      </w:pPr>
      <w:r w:rsidRPr="00BE4043">
        <w:rPr>
          <w:rFonts w:asciiTheme="minorHAnsi" w:hAnsiTheme="minorHAnsi"/>
          <w:snapToGrid w:val="0"/>
        </w:rPr>
        <w:t>The PBAC advised that the Xeomin</w:t>
      </w:r>
      <w:r w:rsidR="004B5038">
        <w:rPr>
          <w:rFonts w:asciiTheme="minorHAnsi" w:hAnsiTheme="minorHAnsi"/>
          <w:snapToGrid w:val="0"/>
          <w:lang w:val="en-GB"/>
        </w:rPr>
        <w:t>®</w:t>
      </w:r>
      <w:r w:rsidRPr="00BE4043">
        <w:rPr>
          <w:rFonts w:asciiTheme="minorHAnsi" w:hAnsiTheme="minorHAnsi"/>
          <w:snapToGrid w:val="0"/>
        </w:rPr>
        <w:t xml:space="preserve"> restriction should be consistent with the current Botox</w:t>
      </w:r>
      <w:r w:rsidR="00001762">
        <w:rPr>
          <w:rFonts w:asciiTheme="minorHAnsi" w:hAnsiTheme="minorHAnsi"/>
          <w:snapToGrid w:val="0"/>
          <w:lang w:val="en-GB"/>
        </w:rPr>
        <w:t>®</w:t>
      </w:r>
      <w:r w:rsidRPr="00BE4043">
        <w:rPr>
          <w:rFonts w:asciiTheme="minorHAnsi" w:hAnsiTheme="minorHAnsi"/>
          <w:snapToGrid w:val="0"/>
        </w:rPr>
        <w:t xml:space="preserve"> and Dysport</w:t>
      </w:r>
      <w:r w:rsidR="00001762">
        <w:rPr>
          <w:rFonts w:asciiTheme="minorHAnsi" w:hAnsiTheme="minorHAnsi"/>
          <w:snapToGrid w:val="0"/>
          <w:lang w:val="en-GB"/>
        </w:rPr>
        <w:t>®</w:t>
      </w:r>
      <w:r w:rsidRPr="00BE4043">
        <w:rPr>
          <w:rFonts w:asciiTheme="minorHAnsi" w:hAnsiTheme="minorHAnsi"/>
          <w:snapToGrid w:val="0"/>
        </w:rPr>
        <w:t xml:space="preserve"> restrictions for lower limb spasticity</w:t>
      </w:r>
      <w:r w:rsidR="008D7C8F">
        <w:rPr>
          <w:rFonts w:asciiTheme="minorHAnsi" w:hAnsiTheme="minorHAnsi"/>
          <w:snapToGrid w:val="0"/>
        </w:rPr>
        <w:t xml:space="preserve"> following an acute event</w:t>
      </w:r>
      <w:r w:rsidRPr="00BE4043">
        <w:rPr>
          <w:rFonts w:asciiTheme="minorHAnsi" w:hAnsiTheme="minorHAnsi"/>
          <w:snapToGrid w:val="0"/>
        </w:rPr>
        <w:t xml:space="preserve">. </w:t>
      </w:r>
    </w:p>
    <w:p w14:paraId="4B752B70" w14:textId="5984E047" w:rsidR="00EC7E56" w:rsidRPr="00BE4043" w:rsidRDefault="00B16796" w:rsidP="00440374">
      <w:pPr>
        <w:widowControl w:val="0"/>
        <w:numPr>
          <w:ilvl w:val="1"/>
          <w:numId w:val="1"/>
        </w:numPr>
        <w:spacing w:after="120"/>
        <w:rPr>
          <w:rFonts w:asciiTheme="minorHAnsi" w:hAnsiTheme="minorHAnsi"/>
          <w:snapToGrid w:val="0"/>
          <w:lang w:val="en-GB"/>
        </w:rPr>
      </w:pPr>
      <w:r w:rsidRPr="00BE4043">
        <w:rPr>
          <w:rFonts w:asciiTheme="minorHAnsi" w:hAnsiTheme="minorHAnsi"/>
          <w:snapToGrid w:val="0"/>
        </w:rPr>
        <w:t xml:space="preserve">The PBAC considered that the nominated </w:t>
      </w:r>
      <w:r w:rsidR="00A20A5B" w:rsidRPr="00BE4043">
        <w:rPr>
          <w:rFonts w:asciiTheme="minorHAnsi" w:hAnsiTheme="minorHAnsi"/>
          <w:snapToGrid w:val="0"/>
        </w:rPr>
        <w:t>comparator of Botox</w:t>
      </w:r>
      <w:r w:rsidR="002D3E09">
        <w:rPr>
          <w:rFonts w:asciiTheme="minorHAnsi" w:hAnsiTheme="minorHAnsi"/>
          <w:snapToGrid w:val="0"/>
          <w:lang w:val="en-GB"/>
        </w:rPr>
        <w:t>®</w:t>
      </w:r>
      <w:r w:rsidR="00A20A5B" w:rsidRPr="00BE4043">
        <w:rPr>
          <w:rFonts w:asciiTheme="minorHAnsi" w:hAnsiTheme="minorHAnsi"/>
          <w:snapToGrid w:val="0"/>
        </w:rPr>
        <w:t xml:space="preserve"> was appropriate. The PBAC considered that Dysport</w:t>
      </w:r>
      <w:r w:rsidR="002D3E09">
        <w:rPr>
          <w:rFonts w:asciiTheme="minorHAnsi" w:hAnsiTheme="minorHAnsi"/>
          <w:snapToGrid w:val="0"/>
          <w:lang w:val="en-GB"/>
        </w:rPr>
        <w:t>®</w:t>
      </w:r>
      <w:r w:rsidR="00A20A5B" w:rsidRPr="00BE4043">
        <w:rPr>
          <w:rFonts w:asciiTheme="minorHAnsi" w:hAnsiTheme="minorHAnsi"/>
          <w:snapToGrid w:val="0"/>
        </w:rPr>
        <w:t xml:space="preserve"> was also an alternative therapy. </w:t>
      </w:r>
      <w:r w:rsidR="00440374" w:rsidRPr="00BE4043">
        <w:rPr>
          <w:rFonts w:asciiTheme="minorHAnsi" w:hAnsiTheme="minorHAnsi"/>
          <w:snapToGrid w:val="0"/>
        </w:rPr>
        <w:t xml:space="preserve">The PBAC recalled it had previously advised </w:t>
      </w:r>
      <w:r w:rsidR="00EC7E56" w:rsidRPr="00BE4043">
        <w:t>that Botox</w:t>
      </w:r>
      <w:r w:rsidR="002D3E09">
        <w:rPr>
          <w:rFonts w:asciiTheme="minorHAnsi" w:hAnsiTheme="minorHAnsi"/>
          <w:snapToGrid w:val="0"/>
          <w:lang w:val="en-GB"/>
        </w:rPr>
        <w:t>®</w:t>
      </w:r>
      <w:r w:rsidR="00EC7E56" w:rsidRPr="00BE4043">
        <w:t>, Dysport</w:t>
      </w:r>
      <w:r w:rsidR="002D3E09">
        <w:rPr>
          <w:rFonts w:asciiTheme="minorHAnsi" w:hAnsiTheme="minorHAnsi"/>
          <w:snapToGrid w:val="0"/>
          <w:lang w:val="en-GB"/>
        </w:rPr>
        <w:t>®</w:t>
      </w:r>
      <w:r w:rsidR="00EC7E56" w:rsidRPr="00BE4043">
        <w:t xml:space="preserve"> and Xeomin</w:t>
      </w:r>
      <w:r w:rsidR="002D3E09">
        <w:rPr>
          <w:rFonts w:asciiTheme="minorHAnsi" w:hAnsiTheme="minorHAnsi"/>
          <w:snapToGrid w:val="0"/>
          <w:lang w:val="en-GB"/>
        </w:rPr>
        <w:t>®</w:t>
      </w:r>
      <w:r w:rsidR="00EC7E56" w:rsidRPr="00BE4043">
        <w:t xml:space="preserve"> should be treated as interchangeable on an individual patient basis (Paragraph 6.15, Xeomin PSD, November 2019 PBAC Meeting).</w:t>
      </w:r>
    </w:p>
    <w:p w14:paraId="110C0D87" w14:textId="1D6CCA4F" w:rsidR="00DD7A79" w:rsidRPr="00335702" w:rsidRDefault="00A20A5B" w:rsidP="00FF0685">
      <w:pPr>
        <w:widowControl w:val="0"/>
        <w:numPr>
          <w:ilvl w:val="1"/>
          <w:numId w:val="1"/>
        </w:numPr>
        <w:spacing w:after="120"/>
      </w:pPr>
      <w:r w:rsidRPr="00BE4043">
        <w:t xml:space="preserve">The PBAC noted </w:t>
      </w:r>
      <w:r w:rsidR="00D10044" w:rsidRPr="00BE4043">
        <w:t>there were no direct</w:t>
      </w:r>
      <w:r w:rsidR="00D10044">
        <w:t xml:space="preserve"> head-to-head trials comparing Xeomin</w:t>
      </w:r>
      <w:r w:rsidR="002D3E09">
        <w:rPr>
          <w:rFonts w:asciiTheme="minorHAnsi" w:hAnsiTheme="minorHAnsi"/>
          <w:snapToGrid w:val="0"/>
          <w:lang w:val="en-GB"/>
        </w:rPr>
        <w:t>®</w:t>
      </w:r>
      <w:r w:rsidR="00D10044">
        <w:t xml:space="preserve"> and Botox</w:t>
      </w:r>
      <w:r w:rsidR="002D3E09">
        <w:rPr>
          <w:rFonts w:asciiTheme="minorHAnsi" w:hAnsiTheme="minorHAnsi"/>
          <w:snapToGrid w:val="0"/>
          <w:lang w:val="en-GB"/>
        </w:rPr>
        <w:t>®</w:t>
      </w:r>
      <w:r w:rsidR="00D10044">
        <w:t xml:space="preserve"> </w:t>
      </w:r>
      <w:r w:rsidR="00695201">
        <w:t xml:space="preserve">for lower limb spasticity and that the submission was based on </w:t>
      </w:r>
      <w:r w:rsidR="00FF35F0">
        <w:t>an indirect treatment comparison with placebo a</w:t>
      </w:r>
      <w:r w:rsidR="00FF0685">
        <w:t xml:space="preserve">s the common comparator, using </w:t>
      </w:r>
      <w:r w:rsidR="00DD7A79" w:rsidRPr="00335702">
        <w:t>one pivotal trial of Xeomin</w:t>
      </w:r>
      <w:r w:rsidR="002D3E09">
        <w:rPr>
          <w:rFonts w:asciiTheme="minorHAnsi" w:hAnsiTheme="minorHAnsi"/>
          <w:snapToGrid w:val="0"/>
          <w:lang w:val="en-GB"/>
        </w:rPr>
        <w:t>®</w:t>
      </w:r>
      <w:r w:rsidR="00DD7A79" w:rsidRPr="00335702">
        <w:t xml:space="preserve"> (Study 3098) and 2 trials of Botox</w:t>
      </w:r>
      <w:r w:rsidR="002D3E09">
        <w:rPr>
          <w:rFonts w:asciiTheme="minorHAnsi" w:hAnsiTheme="minorHAnsi"/>
          <w:snapToGrid w:val="0"/>
          <w:lang w:val="en-GB"/>
        </w:rPr>
        <w:t>®</w:t>
      </w:r>
      <w:r w:rsidR="00DD7A79" w:rsidRPr="00335702">
        <w:t xml:space="preserve"> (REFLEX and Trial 512). </w:t>
      </w:r>
      <w:r w:rsidR="00FF0685">
        <w:t xml:space="preserve">The PBAC also noted that </w:t>
      </w:r>
      <w:r w:rsidR="00D46E26">
        <w:t>another randomised controlled trial of Xeomin</w:t>
      </w:r>
      <w:r w:rsidR="002D3E09">
        <w:rPr>
          <w:rFonts w:asciiTheme="minorHAnsi" w:hAnsiTheme="minorHAnsi"/>
          <w:snapToGrid w:val="0"/>
          <w:lang w:val="en-GB"/>
        </w:rPr>
        <w:t>®</w:t>
      </w:r>
      <w:r w:rsidR="00D46E26">
        <w:t xml:space="preserve"> for the treatment of lower limb spasticity has been completed</w:t>
      </w:r>
      <w:r w:rsidR="00DC0A1A">
        <w:t xml:space="preserve"> (Study </w:t>
      </w:r>
      <w:r w:rsidR="003F5D85">
        <w:t xml:space="preserve">3002) </w:t>
      </w:r>
      <w:r w:rsidR="00DC0A1A">
        <w:t xml:space="preserve">but the efficacy data </w:t>
      </w:r>
      <w:r w:rsidR="003F5D85">
        <w:t>was not included.</w:t>
      </w:r>
      <w:r w:rsidR="00B13681">
        <w:t xml:space="preserve"> </w:t>
      </w:r>
      <w:r w:rsidR="00BF1217">
        <w:t xml:space="preserve">The pre-PBAC response argued </w:t>
      </w:r>
      <w:r w:rsidR="00AF75B8">
        <w:t xml:space="preserve">that Study 3002 was excluded for methodological reasons. </w:t>
      </w:r>
    </w:p>
    <w:p w14:paraId="06BB235F" w14:textId="77573C19" w:rsidR="003923AE" w:rsidRPr="003923AE" w:rsidRDefault="0016674A" w:rsidP="003B4BE2">
      <w:pPr>
        <w:pStyle w:val="3-BodyText"/>
        <w:rPr>
          <w:color w:val="000000" w:themeColor="text1"/>
        </w:rPr>
      </w:pPr>
      <w:r>
        <w:t xml:space="preserve">The PBAC recalled it had previously </w:t>
      </w:r>
      <w:r w:rsidRPr="00E0653C">
        <w:rPr>
          <w:color w:val="000000" w:themeColor="text1"/>
        </w:rPr>
        <w:t xml:space="preserve">accepted that a one-point improvement in </w:t>
      </w:r>
      <w:r w:rsidR="00607B0B">
        <w:rPr>
          <w:color w:val="000000" w:themeColor="text1"/>
        </w:rPr>
        <w:t>Modified Ashworth Score (</w:t>
      </w:r>
      <w:r w:rsidRPr="00E0653C">
        <w:rPr>
          <w:color w:val="000000" w:themeColor="text1"/>
        </w:rPr>
        <w:t>MAS</w:t>
      </w:r>
      <w:r w:rsidR="00607B0B">
        <w:rPr>
          <w:color w:val="000000" w:themeColor="text1"/>
        </w:rPr>
        <w:t>)</w:t>
      </w:r>
      <w:r w:rsidRPr="00E0653C">
        <w:rPr>
          <w:color w:val="000000" w:themeColor="text1"/>
        </w:rPr>
        <w:t xml:space="preserve"> associated with functional improvement would be a reasonable minimum clinically important difference.</w:t>
      </w:r>
      <w:r w:rsidR="00607B0B">
        <w:rPr>
          <w:color w:val="000000" w:themeColor="text1"/>
        </w:rPr>
        <w:t xml:space="preserve"> </w:t>
      </w:r>
      <w:r w:rsidR="00B24BBE">
        <w:t>The PBAC noted there</w:t>
      </w:r>
      <w:r w:rsidR="0075649F" w:rsidRPr="00336369">
        <w:t xml:space="preserve"> was a consistent but modest difference between Xeomin</w:t>
      </w:r>
      <w:r w:rsidR="002D3E09">
        <w:rPr>
          <w:snapToGrid w:val="0"/>
          <w:lang w:val="en-GB"/>
        </w:rPr>
        <w:t>®</w:t>
      </w:r>
      <w:r w:rsidR="0075649F" w:rsidRPr="00336369">
        <w:t xml:space="preserve"> and placebo in the proportions of patients in 3098 achieving a 1-point or 2-point change in </w:t>
      </w:r>
      <w:r w:rsidR="000E0B02">
        <w:t>Modified Ashworth Score (MAS)</w:t>
      </w:r>
      <w:r w:rsidR="00504806">
        <w:t xml:space="preserve">, which </w:t>
      </w:r>
      <w:r w:rsidR="0075649F" w:rsidRPr="00336369">
        <w:t>was statistically significant at weeks 4, 6 and 8</w:t>
      </w:r>
      <w:r w:rsidR="00504806">
        <w:t xml:space="preserve">. </w:t>
      </w:r>
    </w:p>
    <w:p w14:paraId="3C43D340" w14:textId="2B22D41F" w:rsidR="00DD7A79" w:rsidRPr="005263BA" w:rsidRDefault="003D1CF1" w:rsidP="003B4BE2">
      <w:pPr>
        <w:pStyle w:val="3-BodyText"/>
        <w:rPr>
          <w:color w:val="000000" w:themeColor="text1"/>
        </w:rPr>
      </w:pPr>
      <w:r w:rsidRPr="003B4BE2">
        <w:rPr>
          <w:color w:val="000000" w:themeColor="text1"/>
        </w:rPr>
        <w:t>The PBA</w:t>
      </w:r>
      <w:r w:rsidR="003923AE">
        <w:rPr>
          <w:color w:val="000000" w:themeColor="text1"/>
        </w:rPr>
        <w:t>C</w:t>
      </w:r>
      <w:r w:rsidR="003B4BE2">
        <w:rPr>
          <w:color w:val="000000" w:themeColor="text1"/>
        </w:rPr>
        <w:t xml:space="preserve"> </w:t>
      </w:r>
      <w:r w:rsidRPr="003B4BE2">
        <w:rPr>
          <w:color w:val="000000" w:themeColor="text1"/>
        </w:rPr>
        <w:t xml:space="preserve">noted </w:t>
      </w:r>
      <w:r w:rsidR="009D49FC">
        <w:rPr>
          <w:color w:val="000000" w:themeColor="text1"/>
        </w:rPr>
        <w:t xml:space="preserve">that in </w:t>
      </w:r>
      <w:r w:rsidR="00D221BE" w:rsidRPr="003B4BE2">
        <w:rPr>
          <w:color w:val="000000" w:themeColor="text1"/>
        </w:rPr>
        <w:t>3098</w:t>
      </w:r>
      <w:r w:rsidR="009D49FC">
        <w:rPr>
          <w:color w:val="000000" w:themeColor="text1"/>
        </w:rPr>
        <w:t>,</w:t>
      </w:r>
      <w:r w:rsidR="00D221BE" w:rsidRPr="003B4BE2">
        <w:rPr>
          <w:color w:val="000000" w:themeColor="text1"/>
        </w:rPr>
        <w:t xml:space="preserve"> there </w:t>
      </w:r>
      <w:r w:rsidR="00FE0CA6">
        <w:rPr>
          <w:color w:val="000000" w:themeColor="text1"/>
        </w:rPr>
        <w:t xml:space="preserve">was no </w:t>
      </w:r>
      <w:r w:rsidR="00D221BE" w:rsidRPr="003B4BE2">
        <w:rPr>
          <w:color w:val="000000" w:themeColor="text1"/>
        </w:rPr>
        <w:t>effect of Xeomin</w:t>
      </w:r>
      <w:r w:rsidR="002D3E09">
        <w:rPr>
          <w:snapToGrid w:val="0"/>
          <w:lang w:val="en-GB"/>
        </w:rPr>
        <w:t>®</w:t>
      </w:r>
      <w:r w:rsidR="00D221BE" w:rsidRPr="003B4BE2">
        <w:rPr>
          <w:color w:val="000000" w:themeColor="text1"/>
        </w:rPr>
        <w:t xml:space="preserve"> on any functional outcome, so the effect of Xeomin</w:t>
      </w:r>
      <w:r w:rsidR="002D3E09">
        <w:rPr>
          <w:snapToGrid w:val="0"/>
          <w:lang w:val="en-GB"/>
        </w:rPr>
        <w:t>®</w:t>
      </w:r>
      <w:r w:rsidR="00D221BE" w:rsidRPr="003B4BE2">
        <w:rPr>
          <w:color w:val="000000" w:themeColor="text1"/>
        </w:rPr>
        <w:t xml:space="preserve"> versus placebo was less than the minimum clinically important difference</w:t>
      </w:r>
      <w:r w:rsidR="001855F4">
        <w:rPr>
          <w:color w:val="000000" w:themeColor="text1"/>
        </w:rPr>
        <w:t xml:space="preserve">. </w:t>
      </w:r>
      <w:r w:rsidR="00D221BE" w:rsidRPr="003B4BE2">
        <w:rPr>
          <w:color w:val="000000" w:themeColor="text1"/>
        </w:rPr>
        <w:t>The pre-PBAC response acknowledged this</w:t>
      </w:r>
      <w:r w:rsidR="00AC5FC9">
        <w:rPr>
          <w:color w:val="000000" w:themeColor="text1"/>
        </w:rPr>
        <w:t xml:space="preserve"> limitation</w:t>
      </w:r>
      <w:r w:rsidR="00D221BE" w:rsidRPr="003B4BE2">
        <w:rPr>
          <w:color w:val="000000" w:themeColor="text1"/>
        </w:rPr>
        <w:t xml:space="preserve"> but stated </w:t>
      </w:r>
      <w:r w:rsidR="0058476A">
        <w:rPr>
          <w:color w:val="000000" w:themeColor="text1"/>
        </w:rPr>
        <w:t xml:space="preserve">that it also </w:t>
      </w:r>
      <w:r w:rsidR="00D221BE" w:rsidRPr="003B4BE2">
        <w:rPr>
          <w:color w:val="000000" w:themeColor="text1"/>
        </w:rPr>
        <w:t>applies to Botox</w:t>
      </w:r>
      <w:r w:rsidR="002D3E09">
        <w:rPr>
          <w:snapToGrid w:val="0"/>
          <w:lang w:val="en-GB"/>
        </w:rPr>
        <w:t>®</w:t>
      </w:r>
      <w:r w:rsidR="00D221BE" w:rsidRPr="003B4BE2">
        <w:rPr>
          <w:color w:val="000000" w:themeColor="text1"/>
        </w:rPr>
        <w:t xml:space="preserve"> and Dysport</w:t>
      </w:r>
      <w:r w:rsidR="002D3E09">
        <w:rPr>
          <w:snapToGrid w:val="0"/>
          <w:lang w:val="en-GB"/>
        </w:rPr>
        <w:t>®</w:t>
      </w:r>
      <w:r w:rsidR="00D221BE" w:rsidRPr="003B4BE2">
        <w:rPr>
          <w:color w:val="000000" w:themeColor="text1"/>
        </w:rPr>
        <w:t xml:space="preserve">. </w:t>
      </w:r>
      <w:r w:rsidR="005E771F" w:rsidRPr="003B4BE2">
        <w:rPr>
          <w:color w:val="000000" w:themeColor="text1"/>
        </w:rPr>
        <w:t xml:space="preserve">The pre-PBAC identified (as did the evaluation) that </w:t>
      </w:r>
      <w:r w:rsidR="00D221BE" w:rsidRPr="003B4BE2">
        <w:rPr>
          <w:color w:val="000000" w:themeColor="text1"/>
          <w:lang w:val="en"/>
        </w:rPr>
        <w:t xml:space="preserve">REFLEX reported no difference between Botox and placebo in </w:t>
      </w:r>
      <w:r w:rsidR="00C207C2" w:rsidRPr="003B4BE2">
        <w:rPr>
          <w:color w:val="000000" w:themeColor="text1"/>
          <w:lang w:val="en"/>
        </w:rPr>
        <w:t>Clinical Global Impression (</w:t>
      </w:r>
      <w:r w:rsidR="00D221BE" w:rsidRPr="003B4BE2">
        <w:rPr>
          <w:color w:val="000000" w:themeColor="text1"/>
          <w:lang w:val="en"/>
        </w:rPr>
        <w:t>CGI</w:t>
      </w:r>
      <w:r w:rsidR="00C207C2" w:rsidRPr="003B4BE2">
        <w:rPr>
          <w:color w:val="000000" w:themeColor="text1"/>
          <w:lang w:val="en"/>
        </w:rPr>
        <w:t>)</w:t>
      </w:r>
      <w:r w:rsidR="00D221BE" w:rsidRPr="003B4BE2">
        <w:rPr>
          <w:color w:val="000000" w:themeColor="text1"/>
          <w:lang w:val="en"/>
        </w:rPr>
        <w:t xml:space="preserve"> scores at 12 weeks or for walking speed at any time. </w:t>
      </w:r>
      <w:r w:rsidR="00DF5C47" w:rsidRPr="003B4BE2">
        <w:rPr>
          <w:color w:val="000000" w:themeColor="text1"/>
        </w:rPr>
        <w:lastRenderedPageBreak/>
        <w:t>A trial of broadly similar design using Dysport</w:t>
      </w:r>
      <w:r w:rsidR="002D3E09">
        <w:rPr>
          <w:snapToGrid w:val="0"/>
          <w:lang w:val="en-GB"/>
        </w:rPr>
        <w:t>®</w:t>
      </w:r>
      <w:r w:rsidR="00DF5C47" w:rsidRPr="003B4BE2">
        <w:rPr>
          <w:color w:val="000000" w:themeColor="text1"/>
        </w:rPr>
        <w:t xml:space="preserve"> produced similar results.</w:t>
      </w:r>
      <w:r w:rsidR="00F1562D" w:rsidRPr="003B4BE2">
        <w:rPr>
          <w:color w:val="000000" w:themeColor="text1"/>
        </w:rPr>
        <w:t xml:space="preserve"> The </w:t>
      </w:r>
      <w:r w:rsidR="00D142F9" w:rsidRPr="003B4BE2">
        <w:rPr>
          <w:rFonts w:cstheme="minorHAnsi"/>
        </w:rPr>
        <w:t xml:space="preserve">PBAC </w:t>
      </w:r>
      <w:r w:rsidR="00F1562D" w:rsidRPr="003B4BE2">
        <w:rPr>
          <w:rFonts w:cstheme="minorHAnsi"/>
        </w:rPr>
        <w:t>recalled it</w:t>
      </w:r>
      <w:r w:rsidR="00F27B1B" w:rsidRPr="003B4BE2">
        <w:rPr>
          <w:rFonts w:cstheme="minorHAnsi"/>
        </w:rPr>
        <w:t>s</w:t>
      </w:r>
      <w:r w:rsidR="00F1562D" w:rsidRPr="003B4BE2">
        <w:rPr>
          <w:rFonts w:cstheme="minorHAnsi"/>
        </w:rPr>
        <w:t xml:space="preserve"> </w:t>
      </w:r>
      <w:r w:rsidR="00F27B1B" w:rsidRPr="003B4BE2">
        <w:rPr>
          <w:rFonts w:cstheme="minorHAnsi"/>
        </w:rPr>
        <w:t xml:space="preserve">previous </w:t>
      </w:r>
      <w:r w:rsidR="00F27B1B" w:rsidRPr="005263BA">
        <w:rPr>
          <w:rFonts w:cstheme="minorHAnsi"/>
        </w:rPr>
        <w:t>recommendations for</w:t>
      </w:r>
      <w:r w:rsidR="00D142F9" w:rsidRPr="005263BA">
        <w:rPr>
          <w:rFonts w:cstheme="minorHAnsi"/>
        </w:rPr>
        <w:t xml:space="preserve"> both Botox</w:t>
      </w:r>
      <w:r w:rsidR="002D3E09">
        <w:rPr>
          <w:snapToGrid w:val="0"/>
          <w:lang w:val="en-GB"/>
        </w:rPr>
        <w:t>®</w:t>
      </w:r>
      <w:r w:rsidR="002D3E09" w:rsidRPr="005263BA">
        <w:rPr>
          <w:rFonts w:cstheme="minorHAnsi"/>
        </w:rPr>
        <w:t xml:space="preserve"> </w:t>
      </w:r>
      <w:r w:rsidR="00D142F9" w:rsidRPr="005263BA">
        <w:rPr>
          <w:rFonts w:cstheme="minorHAnsi"/>
        </w:rPr>
        <w:t>(March 2019) and Dysport</w:t>
      </w:r>
      <w:r w:rsidR="002D3E09">
        <w:rPr>
          <w:snapToGrid w:val="0"/>
          <w:lang w:val="en-GB"/>
        </w:rPr>
        <w:t>®</w:t>
      </w:r>
      <w:r w:rsidR="00D142F9" w:rsidRPr="005263BA">
        <w:rPr>
          <w:rFonts w:cstheme="minorHAnsi"/>
        </w:rPr>
        <w:t xml:space="preserve"> (July 2019) for lower limb spasticity despite these limitations.</w:t>
      </w:r>
    </w:p>
    <w:p w14:paraId="6F6B58CA" w14:textId="79B433A9" w:rsidR="00376355" w:rsidRPr="005263BA" w:rsidRDefault="005263BA" w:rsidP="0006056E">
      <w:pPr>
        <w:pStyle w:val="3-BodyText"/>
        <w:widowControl w:val="0"/>
        <w:numPr>
          <w:ilvl w:val="1"/>
          <w:numId w:val="1"/>
        </w:numPr>
        <w:spacing w:after="120"/>
      </w:pPr>
      <w:r w:rsidRPr="005263BA">
        <w:rPr>
          <w:lang w:eastAsia="en-US"/>
        </w:rPr>
        <w:t xml:space="preserve">With respect to the indirect </w:t>
      </w:r>
      <w:r w:rsidR="00BB367E">
        <w:rPr>
          <w:lang w:eastAsia="en-US"/>
        </w:rPr>
        <w:t xml:space="preserve">treatment </w:t>
      </w:r>
      <w:r w:rsidRPr="005263BA">
        <w:rPr>
          <w:lang w:eastAsia="en-US"/>
        </w:rPr>
        <w:t>comparison, t</w:t>
      </w:r>
      <w:r w:rsidR="00376355" w:rsidRPr="005263BA">
        <w:rPr>
          <w:lang w:eastAsia="en-US"/>
        </w:rPr>
        <w:t>he indirect mean difference (95% CI) in MAS at 4 weeks for Xeomin versus Botox</w:t>
      </w:r>
      <w:r w:rsidR="002D3E09">
        <w:rPr>
          <w:snapToGrid w:val="0"/>
          <w:lang w:val="en-GB"/>
        </w:rPr>
        <w:t>®</w:t>
      </w:r>
      <w:r w:rsidR="00376355" w:rsidRPr="005263BA">
        <w:rPr>
          <w:lang w:eastAsia="en-US"/>
        </w:rPr>
        <w:t xml:space="preserve"> was -0.002 (-0.23, 0.23). The lower bound of the 95% CI for the difference was within the nominated non-inferiority margin</w:t>
      </w:r>
      <w:r w:rsidR="00F02608">
        <w:rPr>
          <w:lang w:eastAsia="en-US"/>
        </w:rPr>
        <w:t xml:space="preserve"> (0.5)</w:t>
      </w:r>
      <w:r w:rsidR="004B2F4F">
        <w:rPr>
          <w:lang w:eastAsia="en-US"/>
        </w:rPr>
        <w:t>,</w:t>
      </w:r>
      <w:r w:rsidRPr="005263BA">
        <w:rPr>
          <w:lang w:eastAsia="en-US"/>
        </w:rPr>
        <w:t xml:space="preserve"> though the PBAC noted that the evaluation considered this margin to be too large</w:t>
      </w:r>
      <w:r w:rsidR="00D3312A">
        <w:rPr>
          <w:lang w:eastAsia="en-US"/>
        </w:rPr>
        <w:t xml:space="preserve"> as the differences in MAS scores versus placebo at this time point were -0.27 in the Xeomin and Botox trials.</w:t>
      </w:r>
    </w:p>
    <w:p w14:paraId="22F5FB98" w14:textId="10F41428" w:rsidR="007C2DA6" w:rsidRDefault="0014757A" w:rsidP="004171F4">
      <w:pPr>
        <w:pStyle w:val="3-BodyText"/>
        <w:widowControl w:val="0"/>
        <w:numPr>
          <w:ilvl w:val="1"/>
          <w:numId w:val="1"/>
        </w:numPr>
        <w:spacing w:after="120"/>
      </w:pPr>
      <w:r>
        <w:t>T</w:t>
      </w:r>
      <w:r w:rsidRPr="0014757A">
        <w:t>he PBAC acknowledged the limitations of th</w:t>
      </w:r>
      <w:r w:rsidR="00845EBA">
        <w:t>e</w:t>
      </w:r>
      <w:r w:rsidRPr="0014757A">
        <w:t xml:space="preserve"> compar</w:t>
      </w:r>
      <w:r w:rsidR="008A445D">
        <w:t xml:space="preserve">ison but considered that </w:t>
      </w:r>
      <w:r w:rsidRPr="0014757A">
        <w:t>overall, the claim of non-inferior effectiveness and safety to Botox</w:t>
      </w:r>
      <w:r w:rsidR="002D3E09">
        <w:rPr>
          <w:snapToGrid w:val="0"/>
          <w:lang w:val="en-GB"/>
        </w:rPr>
        <w:t>®</w:t>
      </w:r>
      <w:r w:rsidRPr="0014757A">
        <w:t xml:space="preserve"> was </w:t>
      </w:r>
      <w:r w:rsidR="006E49B5">
        <w:t xml:space="preserve">likely </w:t>
      </w:r>
      <w:r w:rsidRPr="0014757A">
        <w:t>reasonable. The PBAC noted that in its previous consideration of Dysport</w:t>
      </w:r>
      <w:r w:rsidR="002D3E09">
        <w:rPr>
          <w:snapToGrid w:val="0"/>
          <w:lang w:val="en-GB"/>
        </w:rPr>
        <w:t>®</w:t>
      </w:r>
      <w:r w:rsidRPr="0014757A">
        <w:t xml:space="preserve"> for the treatment of moderate to severe focal spasticity of the upper limb in patients with cerebral palsy, it considered Dysport</w:t>
      </w:r>
      <w:r w:rsidR="002D3E09">
        <w:rPr>
          <w:snapToGrid w:val="0"/>
          <w:lang w:val="en-GB"/>
        </w:rPr>
        <w:t>®</w:t>
      </w:r>
      <w:r w:rsidRPr="0014757A">
        <w:t xml:space="preserve"> was likely non-inferior to Botox</w:t>
      </w:r>
      <w:r w:rsidR="002D3E09">
        <w:rPr>
          <w:snapToGrid w:val="0"/>
          <w:lang w:val="en-GB"/>
        </w:rPr>
        <w:t>®</w:t>
      </w:r>
      <w:r w:rsidRPr="0014757A">
        <w:t xml:space="preserve"> in terms of efficacy and safety while acknowledging there were limitations with the comparisons such as heterogeneity (paragraph 7.7, Dysport PSD, July 2020 PBAC meeting). In addition, the PBAC recalled that when it recommended listing Xeomin</w:t>
      </w:r>
      <w:r w:rsidR="002D3E09">
        <w:rPr>
          <w:snapToGrid w:val="0"/>
          <w:lang w:val="en-GB"/>
        </w:rPr>
        <w:t>®</w:t>
      </w:r>
      <w:r w:rsidRPr="0014757A">
        <w:t xml:space="preserve"> for post-stroke upper limb spasticity on the basis of a cost-minimisation approach with Botox, it considered that both agents would likely have similar clinical effects as they are analogues of each other (paragraph 6.17, Xeomin PSD, July 2014 PBAC meeting). </w:t>
      </w:r>
    </w:p>
    <w:p w14:paraId="58C3840F" w14:textId="2BD251AC" w:rsidR="00D94E3C" w:rsidRPr="005C0E06" w:rsidRDefault="0006211A" w:rsidP="00BA5FDA">
      <w:pPr>
        <w:widowControl w:val="0"/>
        <w:numPr>
          <w:ilvl w:val="1"/>
          <w:numId w:val="1"/>
        </w:numPr>
        <w:spacing w:after="120"/>
      </w:pPr>
      <w:r w:rsidRPr="007C2DA6">
        <w:rPr>
          <w:rFonts w:asciiTheme="minorHAnsi" w:hAnsiTheme="minorHAnsi"/>
          <w:snapToGrid w:val="0"/>
        </w:rPr>
        <w:t>The PBAC noted that the submission presented a cost-minimisation approach between Xeomin</w:t>
      </w:r>
      <w:r w:rsidR="002D3E09">
        <w:rPr>
          <w:rFonts w:asciiTheme="minorHAnsi" w:hAnsiTheme="minorHAnsi"/>
          <w:snapToGrid w:val="0"/>
          <w:lang w:val="en-GB"/>
        </w:rPr>
        <w:t>®</w:t>
      </w:r>
      <w:r w:rsidRPr="007C2DA6">
        <w:rPr>
          <w:rFonts w:asciiTheme="minorHAnsi" w:hAnsiTheme="minorHAnsi"/>
          <w:snapToGrid w:val="0"/>
        </w:rPr>
        <w:t xml:space="preserve"> and Botox</w:t>
      </w:r>
      <w:r w:rsidR="002D3E09">
        <w:rPr>
          <w:rFonts w:asciiTheme="minorHAnsi" w:hAnsiTheme="minorHAnsi"/>
          <w:snapToGrid w:val="0"/>
          <w:lang w:val="en-GB"/>
        </w:rPr>
        <w:t>®</w:t>
      </w:r>
      <w:r w:rsidR="00E45F0C" w:rsidRPr="007C2DA6">
        <w:rPr>
          <w:rFonts w:asciiTheme="minorHAnsi" w:hAnsiTheme="minorHAnsi"/>
          <w:snapToGrid w:val="0"/>
        </w:rPr>
        <w:t>. The PBAC advised that Xeomin</w:t>
      </w:r>
      <w:r w:rsidR="002D3E09">
        <w:rPr>
          <w:rFonts w:asciiTheme="minorHAnsi" w:hAnsiTheme="minorHAnsi"/>
          <w:snapToGrid w:val="0"/>
          <w:lang w:val="en-GB"/>
        </w:rPr>
        <w:t>®</w:t>
      </w:r>
      <w:r w:rsidR="00E45F0C" w:rsidRPr="007C2DA6">
        <w:rPr>
          <w:rFonts w:asciiTheme="minorHAnsi" w:hAnsiTheme="minorHAnsi"/>
          <w:snapToGrid w:val="0"/>
        </w:rPr>
        <w:t xml:space="preserve"> should be listed on a cost-minimisation basis against the least costly alternative therapy (Botox</w:t>
      </w:r>
      <w:r w:rsidR="002D3E09">
        <w:rPr>
          <w:rFonts w:asciiTheme="minorHAnsi" w:hAnsiTheme="minorHAnsi"/>
          <w:snapToGrid w:val="0"/>
          <w:lang w:val="en-GB"/>
        </w:rPr>
        <w:t>®</w:t>
      </w:r>
      <w:r w:rsidR="00E45F0C" w:rsidRPr="007C2DA6">
        <w:rPr>
          <w:rFonts w:asciiTheme="minorHAnsi" w:hAnsiTheme="minorHAnsi"/>
          <w:snapToGrid w:val="0"/>
        </w:rPr>
        <w:t xml:space="preserve"> or Dysport</w:t>
      </w:r>
      <w:r w:rsidR="002D3E09">
        <w:rPr>
          <w:rFonts w:asciiTheme="minorHAnsi" w:hAnsiTheme="minorHAnsi"/>
          <w:snapToGrid w:val="0"/>
          <w:lang w:val="en-GB"/>
        </w:rPr>
        <w:t>®</w:t>
      </w:r>
      <w:r w:rsidR="00E45F0C" w:rsidRPr="007C2DA6">
        <w:rPr>
          <w:rFonts w:asciiTheme="minorHAnsi" w:hAnsiTheme="minorHAnsi"/>
          <w:snapToGrid w:val="0"/>
        </w:rPr>
        <w:t>).</w:t>
      </w:r>
      <w:r w:rsidR="009D150F" w:rsidRPr="009D150F">
        <w:t xml:space="preserve"> </w:t>
      </w:r>
      <w:r w:rsidR="00447F27">
        <w:t>The PBAC recalled it ha</w:t>
      </w:r>
      <w:r w:rsidR="007C2DA6">
        <w:t>d</w:t>
      </w:r>
      <w:r w:rsidR="00447F27">
        <w:t xml:space="preserve"> previously considered that</w:t>
      </w:r>
      <w:r w:rsidR="00447F27" w:rsidRPr="002C7D82">
        <w:t xml:space="preserve"> equi</w:t>
      </w:r>
      <w:r w:rsidR="00447F27">
        <w:t>-</w:t>
      </w:r>
      <w:r w:rsidR="00447F27" w:rsidRPr="002C7D82">
        <w:t>effec</w:t>
      </w:r>
      <w:r w:rsidR="00447F27">
        <w:t>t</w:t>
      </w:r>
      <w:r w:rsidR="00447F27" w:rsidRPr="002C7D82">
        <w:t>ive doses should b</w:t>
      </w:r>
      <w:r w:rsidR="00447F27">
        <w:t>e</w:t>
      </w:r>
      <w:r w:rsidR="00447F27" w:rsidRPr="002C7D82">
        <w:t xml:space="preserve"> based on the maximum dispensed quantities</w:t>
      </w:r>
      <w:r w:rsidR="00447F27">
        <w:t xml:space="preserve"> (Paragraph 7.3, Dysport PSD, July 2019)</w:t>
      </w:r>
      <w:r w:rsidR="00026402">
        <w:t>.</w:t>
      </w:r>
      <w:r w:rsidR="00447F27">
        <w:t xml:space="preserve"> </w:t>
      </w:r>
      <w:r w:rsidR="00026402">
        <w:t xml:space="preserve">The PBAC also recalled it had considered the </w:t>
      </w:r>
      <w:r w:rsidR="00026402" w:rsidRPr="005229A8">
        <w:t>equi-effective doses of Dysport and Botox for the lower limb indication to be 3.75U Dysport = 1U Botox.</w:t>
      </w:r>
      <w:r w:rsidR="00026402">
        <w:t xml:space="preserve"> </w:t>
      </w:r>
      <w:r w:rsidR="00026402" w:rsidRPr="005229A8">
        <w:t>(Paragraph 7.3, Dysport PSD, July 2019).</w:t>
      </w:r>
      <w:r w:rsidR="00403CC6">
        <w:t xml:space="preserve"> The PBAC therefore </w:t>
      </w:r>
      <w:r w:rsidR="005B0726">
        <w:t xml:space="preserve">advised </w:t>
      </w:r>
      <w:r w:rsidR="00447F27">
        <w:t xml:space="preserve">the equi-effective doses </w:t>
      </w:r>
      <w:r w:rsidR="00403CC6">
        <w:t xml:space="preserve">to be </w:t>
      </w:r>
      <w:r w:rsidR="007C2DA6" w:rsidRPr="009619E4">
        <w:t xml:space="preserve">Xeomin 1 U = Botox 1 U = Dysport </w:t>
      </w:r>
      <w:r w:rsidR="007C2DA6">
        <w:t>3</w:t>
      </w:r>
      <w:r w:rsidR="007C2DA6" w:rsidRPr="009619E4">
        <w:t>.</w:t>
      </w:r>
      <w:r w:rsidR="007C2DA6">
        <w:t>75</w:t>
      </w:r>
      <w:r w:rsidR="007C2DA6" w:rsidRPr="009619E4">
        <w:t xml:space="preserve"> U.</w:t>
      </w:r>
    </w:p>
    <w:p w14:paraId="65FE1E21" w14:textId="4B5A3441" w:rsidR="00A061EB" w:rsidRDefault="00231FC3" w:rsidP="006E0275">
      <w:pPr>
        <w:widowControl w:val="0"/>
        <w:numPr>
          <w:ilvl w:val="1"/>
          <w:numId w:val="1"/>
        </w:numPr>
        <w:spacing w:after="120"/>
      </w:pPr>
      <w:r w:rsidRPr="00231FC3">
        <w:t>The PBAC noted that the submission presented a market share approach to estimate the utilisation and cost of listing Xeomin for the treatment of low limb spasticity in adults following an acute event. The analysis included the substitution of Botox and Dysport. The PBAC also noted that the submission claimed that the price of Dysport is slightly higher than the expected price for Botox and Xeomin and, therefore, any displacement of Dysport by Xeomin will generate savings for the PBS. The PBAC considered this was reasonable</w:t>
      </w:r>
      <w:r w:rsidRPr="00231FC3">
        <w:rPr>
          <w:i/>
          <w:iCs/>
        </w:rPr>
        <w:t>. </w:t>
      </w:r>
    </w:p>
    <w:p w14:paraId="3A63AA1C" w14:textId="3C071036" w:rsidR="004A449A" w:rsidRPr="00C000D0" w:rsidRDefault="004A449A" w:rsidP="00B93E51">
      <w:pPr>
        <w:widowControl w:val="0"/>
        <w:numPr>
          <w:ilvl w:val="1"/>
          <w:numId w:val="1"/>
        </w:numPr>
        <w:spacing w:after="120"/>
        <w:rPr>
          <w:rFonts w:asciiTheme="minorHAnsi" w:hAnsiTheme="minorHAnsi"/>
          <w:b/>
          <w:bCs/>
          <w:lang w:val="en-GB"/>
        </w:rPr>
      </w:pPr>
      <w:r w:rsidRPr="00C000D0">
        <w:rPr>
          <w:rFonts w:asciiTheme="minorHAnsi" w:hAnsiTheme="minorHAnsi" w:cstheme="minorHAnsi"/>
          <w:lang w:val="en-GB"/>
        </w:rPr>
        <w:t>The PBAC noted that its recommendation was on a cost-minimisation basis and advised that, because</w:t>
      </w:r>
      <w:r w:rsidR="00FF442E" w:rsidRPr="00C000D0">
        <w:rPr>
          <w:rFonts w:asciiTheme="minorHAnsi" w:hAnsiTheme="minorHAnsi" w:cstheme="minorHAnsi"/>
          <w:lang w:val="en-GB"/>
        </w:rPr>
        <w:t xml:space="preserve"> Xeomin</w:t>
      </w:r>
      <w:r w:rsidR="002D3E09">
        <w:rPr>
          <w:rFonts w:asciiTheme="minorHAnsi" w:hAnsiTheme="minorHAnsi"/>
          <w:snapToGrid w:val="0"/>
          <w:lang w:val="en-GB"/>
        </w:rPr>
        <w:t>®</w:t>
      </w:r>
      <w:r w:rsidRPr="00C000D0">
        <w:rPr>
          <w:rFonts w:asciiTheme="minorHAnsi" w:hAnsiTheme="minorHAnsi" w:cstheme="minorHAnsi"/>
          <w:lang w:val="en-GB"/>
        </w:rPr>
        <w:t xml:space="preserve"> is not expected to provide a substantial</w:t>
      </w:r>
      <w:r w:rsidRPr="00C000D0">
        <w:rPr>
          <w:rFonts w:asciiTheme="minorHAnsi" w:hAnsiTheme="minorHAnsi"/>
          <w:bCs/>
          <w:lang w:val="en-GB"/>
        </w:rPr>
        <w:t xml:space="preserve"> and clinically relevant improvement in efficacy, or reduction of toxicity, over</w:t>
      </w:r>
      <w:r w:rsidR="00FF442E" w:rsidRPr="00C000D0">
        <w:rPr>
          <w:rFonts w:asciiTheme="minorHAnsi" w:hAnsiTheme="minorHAnsi"/>
          <w:bCs/>
          <w:lang w:val="en-GB"/>
        </w:rPr>
        <w:t xml:space="preserve"> Botox</w:t>
      </w:r>
      <w:r w:rsidR="002D3E09">
        <w:rPr>
          <w:rFonts w:asciiTheme="minorHAnsi" w:hAnsiTheme="minorHAnsi"/>
          <w:snapToGrid w:val="0"/>
          <w:lang w:val="en-GB"/>
        </w:rPr>
        <w:t>®</w:t>
      </w:r>
      <w:r w:rsidR="00FF442E" w:rsidRPr="00C000D0">
        <w:rPr>
          <w:rFonts w:asciiTheme="minorHAnsi" w:hAnsiTheme="minorHAnsi"/>
          <w:bCs/>
          <w:lang w:val="en-GB"/>
        </w:rPr>
        <w:t xml:space="preserve"> and Dysport</w:t>
      </w:r>
      <w:r w:rsidR="002D3E09">
        <w:rPr>
          <w:rFonts w:asciiTheme="minorHAnsi" w:hAnsiTheme="minorHAnsi"/>
          <w:snapToGrid w:val="0"/>
          <w:lang w:val="en-GB"/>
        </w:rPr>
        <w:t>®</w:t>
      </w:r>
      <w:r w:rsidRPr="00C000D0">
        <w:rPr>
          <w:rFonts w:asciiTheme="minorHAnsi" w:hAnsiTheme="minorHAnsi"/>
          <w:bCs/>
          <w:lang w:val="en-GB"/>
        </w:rPr>
        <w:t xml:space="preserve">, or not expected to address a high and urgent unmet clinical need given the presence of an alternative therapy, the criteria prescribed by the </w:t>
      </w:r>
      <w:r w:rsidRPr="00C000D0">
        <w:rPr>
          <w:rFonts w:asciiTheme="minorHAnsi" w:hAnsiTheme="minorHAnsi"/>
          <w:bCs/>
          <w:i/>
          <w:lang w:val="en-GB"/>
        </w:rPr>
        <w:t xml:space="preserve">National Health </w:t>
      </w:r>
      <w:r w:rsidRPr="00C000D0">
        <w:rPr>
          <w:rFonts w:asciiTheme="minorHAnsi" w:hAnsiTheme="minorHAnsi"/>
          <w:bCs/>
          <w:i/>
          <w:lang w:val="en-GB"/>
        </w:rPr>
        <w:lastRenderedPageBreak/>
        <w:t>(Pharmaceuticals and Vaccines – Cost Recovery) Regulations 2022</w:t>
      </w:r>
      <w:r w:rsidRPr="00C000D0">
        <w:rPr>
          <w:rFonts w:asciiTheme="minorHAnsi" w:hAnsiTheme="minorHAnsi"/>
          <w:bCs/>
          <w:lang w:val="en-GB"/>
        </w:rPr>
        <w:t xml:space="preserve"> for Pricing Pathway A were not met.</w:t>
      </w:r>
    </w:p>
    <w:p w14:paraId="5B5BB748" w14:textId="4E3FCDEA" w:rsidR="004A449A" w:rsidRPr="004C515E" w:rsidRDefault="004A449A" w:rsidP="004A449A">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FF442E">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w:t>
      </w:r>
    </w:p>
    <w:p w14:paraId="68931A46" w14:textId="77777777" w:rsidR="004A449A" w:rsidRPr="00525B39" w:rsidRDefault="004A449A" w:rsidP="004A449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E63D674" w14:textId="7147A477" w:rsidR="004A449A" w:rsidRPr="00525B39" w:rsidRDefault="004A449A" w:rsidP="004A449A">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0FA10EA4" w14:textId="77777777" w:rsidR="00D510FD" w:rsidRDefault="00D510FD" w:rsidP="00440EF4">
      <w:pPr>
        <w:contextualSpacing/>
      </w:pPr>
    </w:p>
    <w:bookmarkEnd w:id="55"/>
    <w:p w14:paraId="6C1AACDA" w14:textId="77777777" w:rsidR="004A449A" w:rsidRPr="00907671" w:rsidRDefault="004A449A" w:rsidP="004A449A">
      <w:pPr>
        <w:pStyle w:val="2-SectionHeading"/>
        <w:numPr>
          <w:ilvl w:val="0"/>
          <w:numId w:val="1"/>
        </w:numPr>
      </w:pPr>
      <w:r w:rsidRPr="00907671">
        <w:t>Recommended listing</w:t>
      </w:r>
    </w:p>
    <w:p w14:paraId="537829E9" w14:textId="72DB16EA" w:rsidR="004A449A" w:rsidRPr="0022217D" w:rsidRDefault="00171535" w:rsidP="0022217D">
      <w:pPr>
        <w:widowControl w:val="0"/>
        <w:numPr>
          <w:ilvl w:val="1"/>
          <w:numId w:val="1"/>
        </w:numPr>
        <w:spacing w:after="120"/>
        <w:contextualSpacing/>
        <w:rPr>
          <w:rFonts w:asciiTheme="minorHAnsi" w:hAnsiTheme="minorHAnsi"/>
          <w:b/>
          <w:bCs/>
          <w:snapToGrid w:val="0"/>
        </w:rPr>
      </w:pPr>
      <w:r>
        <w:rPr>
          <w:rFonts w:asciiTheme="minorHAnsi" w:hAnsiTheme="minorHAnsi"/>
          <w:snapToGrid w:val="0"/>
        </w:rPr>
        <w:t xml:space="preserve">Add new </w:t>
      </w:r>
      <w:r w:rsidR="00861EEC">
        <w:rPr>
          <w:rFonts w:asciiTheme="minorHAnsi" w:hAnsiTheme="minorHAnsi"/>
          <w:snapToGrid w:val="0"/>
        </w:rPr>
        <w:t>PBS item code</w:t>
      </w:r>
      <w:r w:rsidR="00D501A5">
        <w:rPr>
          <w:rFonts w:asciiTheme="minorHAnsi" w:hAnsiTheme="minorHAnsi"/>
          <w:snapToGrid w:val="0"/>
        </w:rPr>
        <w:t xml:space="preserve"> </w:t>
      </w:r>
      <w:r w:rsidR="00CD0455">
        <w:rPr>
          <w:rFonts w:asciiTheme="minorHAnsi" w:hAnsiTheme="minorHAnsi"/>
          <w:snapToGrid w:val="0"/>
        </w:rPr>
        <w:t xml:space="preserve">for </w:t>
      </w:r>
      <w:r w:rsidR="00861EEC">
        <w:rPr>
          <w:rFonts w:asciiTheme="minorHAnsi" w:hAnsiTheme="minorHAnsi"/>
          <w:snapToGrid w:val="0"/>
        </w:rPr>
        <w:t xml:space="preserve">the indication </w:t>
      </w:r>
      <w:r w:rsidR="00A278A2" w:rsidRPr="00A278A2">
        <w:rPr>
          <w:rFonts w:asciiTheme="minorHAnsi" w:hAnsiTheme="minorHAnsi" w:cstheme="minorHAnsi"/>
          <w:snapToGrid w:val="0"/>
        </w:rPr>
        <w:t xml:space="preserve">22543 </w:t>
      </w:r>
      <w:r w:rsidR="00A278A2" w:rsidRPr="00A278A2">
        <w:rPr>
          <w:rFonts w:asciiTheme="minorHAnsi" w:hAnsiTheme="minorHAnsi" w:cstheme="minorHAnsi"/>
          <w:color w:val="000000"/>
        </w:rPr>
        <w:t>Moderate to severe spasticity of the lower limb following an acute event</w:t>
      </w:r>
      <w:r w:rsidR="00F5277C">
        <w:rPr>
          <w:rFonts w:asciiTheme="minorHAnsi" w:hAnsiTheme="minorHAnsi" w:cstheme="minorHAnsi"/>
          <w:snapToGrid w:val="0"/>
        </w:rPr>
        <w:t xml:space="preserve"> </w:t>
      </w:r>
      <w:r w:rsidR="00A278A2" w:rsidRPr="00A278A2">
        <w:rPr>
          <w:rFonts w:asciiTheme="minorHAnsi" w:hAnsiTheme="minorHAnsi" w:cstheme="minorHAnsi"/>
          <w:snapToGrid w:val="0"/>
        </w:rPr>
        <w:t>as follows</w:t>
      </w:r>
      <w:r w:rsidR="00A278A2">
        <w:rPr>
          <w:rFonts w:asciiTheme="minorHAnsi" w:hAnsiTheme="minorHAnsi"/>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488"/>
        <w:gridCol w:w="784"/>
        <w:gridCol w:w="2665"/>
        <w:gridCol w:w="812"/>
        <w:gridCol w:w="812"/>
        <w:gridCol w:w="812"/>
        <w:gridCol w:w="812"/>
        <w:gridCol w:w="1832"/>
      </w:tblGrid>
      <w:tr w:rsidR="0022217D" w:rsidRPr="00D85808" w14:paraId="1876F75A" w14:textId="77777777" w:rsidTr="001A3F09">
        <w:trPr>
          <w:cantSplit/>
          <w:trHeight w:val="20"/>
        </w:trPr>
        <w:tc>
          <w:tcPr>
            <w:tcW w:w="2184" w:type="pct"/>
            <w:gridSpan w:val="3"/>
            <w:vAlign w:val="center"/>
          </w:tcPr>
          <w:p w14:paraId="3D9B0F88" w14:textId="77777777" w:rsidR="0022217D" w:rsidRPr="00D85808" w:rsidRDefault="0022217D" w:rsidP="004171F4">
            <w:pPr>
              <w:keepLines/>
              <w:jc w:val="left"/>
              <w:rPr>
                <w:rFonts w:ascii="Arial Narrow" w:eastAsia="Calibri" w:hAnsi="Arial Narrow"/>
                <w:b/>
                <w:bCs/>
                <w:sz w:val="20"/>
                <w:szCs w:val="20"/>
                <w:lang w:eastAsia="en-US"/>
              </w:rPr>
            </w:pPr>
            <w:r w:rsidRPr="00D85808">
              <w:rPr>
                <w:rFonts w:ascii="Arial Narrow" w:eastAsia="Calibri" w:hAnsi="Arial Narrow"/>
                <w:b/>
                <w:bCs/>
                <w:sz w:val="20"/>
                <w:szCs w:val="20"/>
                <w:lang w:eastAsia="en-US"/>
              </w:rPr>
              <w:t>MEDICINAL PRODUCT</w:t>
            </w:r>
          </w:p>
          <w:p w14:paraId="00AF9D51" w14:textId="77777777" w:rsidR="0022217D" w:rsidRPr="00D85808" w:rsidRDefault="0022217D" w:rsidP="004171F4">
            <w:pPr>
              <w:keepLines/>
              <w:jc w:val="left"/>
              <w:rPr>
                <w:rFonts w:ascii="Arial Narrow" w:eastAsia="Calibri" w:hAnsi="Arial Narrow"/>
                <w:b/>
                <w:sz w:val="20"/>
                <w:szCs w:val="20"/>
                <w:lang w:eastAsia="en-US"/>
              </w:rPr>
            </w:pPr>
            <w:r w:rsidRPr="00D85808">
              <w:rPr>
                <w:rFonts w:ascii="Arial Narrow" w:eastAsia="Calibri" w:hAnsi="Arial Narrow"/>
                <w:b/>
                <w:bCs/>
                <w:sz w:val="20"/>
                <w:szCs w:val="20"/>
                <w:lang w:eastAsia="en-US"/>
              </w:rPr>
              <w:t>medicinal product pack</w:t>
            </w:r>
          </w:p>
        </w:tc>
        <w:tc>
          <w:tcPr>
            <w:tcW w:w="450" w:type="pct"/>
            <w:vAlign w:val="center"/>
          </w:tcPr>
          <w:p w14:paraId="6C32D5C9" w14:textId="77777777" w:rsidR="0022217D" w:rsidRPr="00D85808" w:rsidRDefault="0022217D" w:rsidP="004171F4">
            <w:pPr>
              <w:keepLines/>
              <w:jc w:val="center"/>
              <w:rPr>
                <w:rFonts w:ascii="Arial Narrow" w:eastAsia="Calibri" w:hAnsi="Arial Narrow"/>
                <w:b/>
                <w:sz w:val="20"/>
                <w:szCs w:val="20"/>
                <w:lang w:eastAsia="en-US"/>
              </w:rPr>
            </w:pPr>
            <w:r w:rsidRPr="00D85808">
              <w:rPr>
                <w:rFonts w:ascii="Arial Narrow" w:eastAsia="Calibri" w:hAnsi="Arial Narrow"/>
                <w:b/>
                <w:sz w:val="20"/>
                <w:szCs w:val="20"/>
                <w:lang w:eastAsia="en-US"/>
              </w:rPr>
              <w:t>PBS item code</w:t>
            </w:r>
          </w:p>
        </w:tc>
        <w:tc>
          <w:tcPr>
            <w:tcW w:w="450" w:type="pct"/>
            <w:vAlign w:val="center"/>
          </w:tcPr>
          <w:p w14:paraId="7540640C" w14:textId="77777777" w:rsidR="0022217D" w:rsidRPr="00D85808" w:rsidRDefault="0022217D" w:rsidP="004171F4">
            <w:pPr>
              <w:keepLines/>
              <w:jc w:val="center"/>
              <w:rPr>
                <w:rFonts w:ascii="Arial Narrow" w:eastAsia="Calibri" w:hAnsi="Arial Narrow"/>
                <w:b/>
                <w:sz w:val="20"/>
                <w:szCs w:val="20"/>
                <w:lang w:eastAsia="en-US"/>
              </w:rPr>
            </w:pPr>
            <w:r w:rsidRPr="00D85808">
              <w:rPr>
                <w:rFonts w:ascii="Arial Narrow" w:eastAsia="Calibri" w:hAnsi="Arial Narrow"/>
                <w:b/>
                <w:sz w:val="20"/>
                <w:szCs w:val="20"/>
                <w:lang w:eastAsia="en-US"/>
              </w:rPr>
              <w:t>Max. qty packs</w:t>
            </w:r>
          </w:p>
        </w:tc>
        <w:tc>
          <w:tcPr>
            <w:tcW w:w="450" w:type="pct"/>
            <w:vAlign w:val="center"/>
          </w:tcPr>
          <w:p w14:paraId="424B189F" w14:textId="77777777" w:rsidR="0022217D" w:rsidRPr="00D85808" w:rsidRDefault="0022217D" w:rsidP="004171F4">
            <w:pPr>
              <w:keepLines/>
              <w:jc w:val="center"/>
              <w:rPr>
                <w:rFonts w:ascii="Arial Narrow" w:eastAsia="Calibri" w:hAnsi="Arial Narrow"/>
                <w:b/>
                <w:sz w:val="20"/>
                <w:szCs w:val="20"/>
                <w:lang w:eastAsia="en-US"/>
              </w:rPr>
            </w:pPr>
            <w:r w:rsidRPr="00D85808">
              <w:rPr>
                <w:rFonts w:ascii="Arial Narrow" w:eastAsia="Calibri" w:hAnsi="Arial Narrow"/>
                <w:b/>
                <w:sz w:val="20"/>
                <w:szCs w:val="20"/>
                <w:lang w:eastAsia="en-US"/>
              </w:rPr>
              <w:t>Max. qty units</w:t>
            </w:r>
          </w:p>
        </w:tc>
        <w:tc>
          <w:tcPr>
            <w:tcW w:w="450" w:type="pct"/>
            <w:vAlign w:val="center"/>
          </w:tcPr>
          <w:p w14:paraId="55FC53C4" w14:textId="77777777" w:rsidR="0022217D" w:rsidRPr="00D85808" w:rsidRDefault="0022217D" w:rsidP="004171F4">
            <w:pPr>
              <w:keepLines/>
              <w:jc w:val="center"/>
              <w:rPr>
                <w:rFonts w:ascii="Arial Narrow" w:eastAsia="Calibri" w:hAnsi="Arial Narrow"/>
                <w:b/>
                <w:sz w:val="20"/>
                <w:szCs w:val="20"/>
                <w:lang w:eastAsia="en-US"/>
              </w:rPr>
            </w:pPr>
            <w:r w:rsidRPr="00D85808">
              <w:rPr>
                <w:rFonts w:ascii="Arial Narrow" w:eastAsia="Calibri" w:hAnsi="Arial Narrow"/>
                <w:b/>
                <w:sz w:val="20"/>
                <w:szCs w:val="20"/>
                <w:lang w:eastAsia="en-US"/>
              </w:rPr>
              <w:t>№.of</w:t>
            </w:r>
          </w:p>
          <w:p w14:paraId="4C267565" w14:textId="77777777" w:rsidR="0022217D" w:rsidRPr="00D85808" w:rsidRDefault="0022217D" w:rsidP="004171F4">
            <w:pPr>
              <w:keepLines/>
              <w:jc w:val="center"/>
              <w:rPr>
                <w:rFonts w:ascii="Arial Narrow" w:eastAsia="Calibri" w:hAnsi="Arial Narrow"/>
                <w:b/>
                <w:sz w:val="20"/>
                <w:szCs w:val="20"/>
                <w:lang w:eastAsia="en-US"/>
              </w:rPr>
            </w:pPr>
            <w:r w:rsidRPr="00D85808">
              <w:rPr>
                <w:rFonts w:ascii="Arial Narrow" w:eastAsia="Calibri" w:hAnsi="Arial Narrow"/>
                <w:b/>
                <w:sz w:val="20"/>
                <w:szCs w:val="20"/>
                <w:lang w:eastAsia="en-US"/>
              </w:rPr>
              <w:t>Rpts</w:t>
            </w:r>
          </w:p>
        </w:tc>
        <w:tc>
          <w:tcPr>
            <w:tcW w:w="1015" w:type="pct"/>
            <w:vAlign w:val="center"/>
          </w:tcPr>
          <w:p w14:paraId="7A7292CF" w14:textId="77777777" w:rsidR="0022217D" w:rsidRPr="00D85808" w:rsidRDefault="0022217D" w:rsidP="004171F4">
            <w:pPr>
              <w:keepLines/>
              <w:jc w:val="left"/>
              <w:rPr>
                <w:rFonts w:ascii="Arial Narrow" w:eastAsia="Calibri" w:hAnsi="Arial Narrow"/>
                <w:b/>
                <w:sz w:val="20"/>
                <w:szCs w:val="20"/>
                <w:lang w:val="fr-FR" w:eastAsia="en-US"/>
              </w:rPr>
            </w:pPr>
            <w:r w:rsidRPr="00D85808">
              <w:rPr>
                <w:rFonts w:ascii="Arial Narrow" w:eastAsia="Calibri" w:hAnsi="Arial Narrow"/>
                <w:b/>
                <w:sz w:val="20"/>
                <w:szCs w:val="20"/>
                <w:lang w:eastAsia="en-US"/>
              </w:rPr>
              <w:t>Available brands</w:t>
            </w:r>
          </w:p>
        </w:tc>
      </w:tr>
      <w:tr w:rsidR="0022217D" w:rsidRPr="00D85808" w14:paraId="2C42A896" w14:textId="77777777" w:rsidTr="00EE5781">
        <w:trPr>
          <w:cantSplit/>
          <w:trHeight w:val="20"/>
        </w:trPr>
        <w:tc>
          <w:tcPr>
            <w:tcW w:w="5000" w:type="pct"/>
            <w:gridSpan w:val="8"/>
            <w:vAlign w:val="center"/>
          </w:tcPr>
          <w:p w14:paraId="26FBFDC1" w14:textId="77777777" w:rsidR="0022217D" w:rsidRPr="00D85808" w:rsidRDefault="0022217D" w:rsidP="004171F4">
            <w:pPr>
              <w:keepLines/>
              <w:jc w:val="left"/>
              <w:rPr>
                <w:rFonts w:ascii="Arial Narrow" w:eastAsia="Calibri" w:hAnsi="Arial Narrow"/>
                <w:sz w:val="20"/>
                <w:szCs w:val="20"/>
                <w:lang w:eastAsia="en-US"/>
              </w:rPr>
            </w:pPr>
            <w:r w:rsidRPr="00D85808">
              <w:rPr>
                <w:rFonts w:ascii="Arial Narrow" w:eastAsia="Calibri" w:hAnsi="Arial Narrow"/>
                <w:sz w:val="20"/>
                <w:szCs w:val="20"/>
                <w:lang w:eastAsia="en-US"/>
              </w:rPr>
              <w:t>INCOBOTULINUMTOXINA</w:t>
            </w:r>
          </w:p>
        </w:tc>
      </w:tr>
      <w:tr w:rsidR="0022217D" w:rsidRPr="00D85808" w14:paraId="6213EEBB" w14:textId="77777777" w:rsidTr="001A3F09">
        <w:trPr>
          <w:cantSplit/>
          <w:trHeight w:val="20"/>
        </w:trPr>
        <w:tc>
          <w:tcPr>
            <w:tcW w:w="2184" w:type="pct"/>
            <w:gridSpan w:val="3"/>
            <w:vAlign w:val="center"/>
          </w:tcPr>
          <w:p w14:paraId="144A434F" w14:textId="1713626A" w:rsidR="0022217D" w:rsidRPr="00D85808" w:rsidRDefault="0022217D" w:rsidP="004171F4">
            <w:pPr>
              <w:keepLines/>
              <w:jc w:val="left"/>
              <w:rPr>
                <w:rFonts w:ascii="Arial Narrow" w:eastAsia="Calibri" w:hAnsi="Arial Narrow"/>
                <w:sz w:val="20"/>
                <w:szCs w:val="20"/>
                <w:lang w:eastAsia="en-US"/>
              </w:rPr>
            </w:pPr>
            <w:r w:rsidRPr="00D85808">
              <w:rPr>
                <w:rFonts w:ascii="Arial Narrow" w:eastAsia="Calibri" w:hAnsi="Arial Narrow"/>
                <w:sz w:val="20"/>
                <w:szCs w:val="20"/>
                <w:lang w:eastAsia="en-US"/>
              </w:rPr>
              <w:t xml:space="preserve">incobotulinumtoxinA 100 units injection, 1 vial </w:t>
            </w:r>
          </w:p>
        </w:tc>
        <w:tc>
          <w:tcPr>
            <w:tcW w:w="450" w:type="pct"/>
            <w:vAlign w:val="center"/>
          </w:tcPr>
          <w:p w14:paraId="0004E5C0" w14:textId="77777777" w:rsidR="0022217D" w:rsidRPr="00D85808" w:rsidRDefault="0022217D" w:rsidP="004171F4">
            <w:pPr>
              <w:keepLines/>
              <w:jc w:val="center"/>
              <w:rPr>
                <w:rFonts w:ascii="Arial Narrow" w:eastAsia="Calibri" w:hAnsi="Arial Narrow"/>
                <w:sz w:val="20"/>
                <w:szCs w:val="20"/>
                <w:lang w:eastAsia="en-US"/>
              </w:rPr>
            </w:pPr>
            <w:r w:rsidRPr="00D85808">
              <w:rPr>
                <w:rFonts w:ascii="Arial Narrow" w:eastAsia="Calibri" w:hAnsi="Arial Narrow"/>
                <w:sz w:val="20"/>
                <w:szCs w:val="20"/>
                <w:lang w:eastAsia="en-US"/>
              </w:rPr>
              <w:t>NEW</w:t>
            </w:r>
          </w:p>
        </w:tc>
        <w:tc>
          <w:tcPr>
            <w:tcW w:w="450" w:type="pct"/>
            <w:vAlign w:val="center"/>
          </w:tcPr>
          <w:p w14:paraId="56EEA521" w14:textId="77777777" w:rsidR="0022217D" w:rsidRPr="00D85808" w:rsidRDefault="0022217D" w:rsidP="004171F4">
            <w:pPr>
              <w:keepLines/>
              <w:jc w:val="center"/>
              <w:rPr>
                <w:rFonts w:ascii="Arial Narrow" w:eastAsia="Calibri" w:hAnsi="Arial Narrow"/>
                <w:sz w:val="20"/>
                <w:szCs w:val="20"/>
                <w:lang w:eastAsia="en-US"/>
              </w:rPr>
            </w:pPr>
            <w:r w:rsidRPr="00D85808">
              <w:rPr>
                <w:rFonts w:ascii="Arial Narrow" w:eastAsia="Calibri" w:hAnsi="Arial Narrow"/>
                <w:sz w:val="20"/>
                <w:szCs w:val="20"/>
                <w:lang w:eastAsia="en-US"/>
              </w:rPr>
              <w:t>4</w:t>
            </w:r>
          </w:p>
        </w:tc>
        <w:tc>
          <w:tcPr>
            <w:tcW w:w="450" w:type="pct"/>
            <w:vAlign w:val="center"/>
          </w:tcPr>
          <w:p w14:paraId="1C41CD8A" w14:textId="77777777" w:rsidR="0022217D" w:rsidRPr="00D85808" w:rsidRDefault="0022217D" w:rsidP="004171F4">
            <w:pPr>
              <w:keepLines/>
              <w:jc w:val="center"/>
              <w:rPr>
                <w:rFonts w:ascii="Arial Narrow" w:eastAsia="Calibri" w:hAnsi="Arial Narrow"/>
                <w:sz w:val="20"/>
                <w:szCs w:val="20"/>
                <w:lang w:eastAsia="en-US"/>
              </w:rPr>
            </w:pPr>
            <w:r w:rsidRPr="00D85808">
              <w:rPr>
                <w:rFonts w:ascii="Arial Narrow" w:eastAsia="Calibri" w:hAnsi="Arial Narrow"/>
                <w:sz w:val="20"/>
                <w:szCs w:val="20"/>
                <w:lang w:eastAsia="en-US"/>
              </w:rPr>
              <w:t>4</w:t>
            </w:r>
          </w:p>
        </w:tc>
        <w:tc>
          <w:tcPr>
            <w:tcW w:w="450" w:type="pct"/>
            <w:vAlign w:val="center"/>
          </w:tcPr>
          <w:p w14:paraId="2376F3B6" w14:textId="77777777" w:rsidR="0022217D" w:rsidRPr="00D85808" w:rsidRDefault="0022217D" w:rsidP="004171F4">
            <w:pPr>
              <w:keepLines/>
              <w:jc w:val="center"/>
              <w:rPr>
                <w:rFonts w:ascii="Arial Narrow" w:eastAsia="Calibri" w:hAnsi="Arial Narrow"/>
                <w:sz w:val="20"/>
                <w:szCs w:val="20"/>
                <w:lang w:eastAsia="en-US"/>
              </w:rPr>
            </w:pPr>
            <w:r w:rsidRPr="00D85808">
              <w:rPr>
                <w:rFonts w:ascii="Arial Narrow" w:eastAsia="Calibri" w:hAnsi="Arial Narrow"/>
                <w:sz w:val="20"/>
                <w:szCs w:val="20"/>
                <w:lang w:eastAsia="en-US"/>
              </w:rPr>
              <w:t>0</w:t>
            </w:r>
          </w:p>
        </w:tc>
        <w:tc>
          <w:tcPr>
            <w:tcW w:w="1015" w:type="pct"/>
            <w:vAlign w:val="center"/>
          </w:tcPr>
          <w:p w14:paraId="25705906" w14:textId="13F46699" w:rsidR="0022217D" w:rsidRPr="00D85808" w:rsidRDefault="0022217D" w:rsidP="004171F4">
            <w:pPr>
              <w:keepLines/>
              <w:jc w:val="left"/>
              <w:rPr>
                <w:rFonts w:ascii="Arial Narrow" w:eastAsia="Calibri" w:hAnsi="Arial Narrow"/>
                <w:sz w:val="20"/>
                <w:szCs w:val="20"/>
                <w:lang w:eastAsia="en-US"/>
              </w:rPr>
            </w:pPr>
            <w:r>
              <w:rPr>
                <w:rFonts w:ascii="Arial Narrow" w:eastAsia="Calibri" w:hAnsi="Arial Narrow"/>
                <w:sz w:val="20"/>
                <w:szCs w:val="20"/>
                <w:lang w:eastAsia="en-US"/>
              </w:rPr>
              <w:t>X</w:t>
            </w:r>
            <w:r w:rsidRPr="00D85808">
              <w:rPr>
                <w:rFonts w:ascii="Arial Narrow" w:eastAsia="Calibri" w:hAnsi="Arial Narrow"/>
                <w:sz w:val="20"/>
                <w:szCs w:val="20"/>
                <w:lang w:eastAsia="en-US"/>
              </w:rPr>
              <w:t>eomin</w:t>
            </w:r>
            <w:r w:rsidR="008A002C">
              <w:rPr>
                <w:snapToGrid w:val="0"/>
                <w:lang w:val="en-GB"/>
              </w:rPr>
              <w:t>®</w:t>
            </w:r>
          </w:p>
        </w:tc>
      </w:tr>
      <w:tr w:rsidR="0022217D" w:rsidRPr="00D85808" w14:paraId="544B60AB" w14:textId="77777777" w:rsidTr="00EE5781">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1BA5493" w14:textId="77777777" w:rsidR="0022217D" w:rsidRPr="00D85808" w:rsidRDefault="0022217D" w:rsidP="004171F4">
            <w:pPr>
              <w:jc w:val="left"/>
              <w:rPr>
                <w:rFonts w:ascii="Arial Narrow" w:eastAsia="Calibri" w:hAnsi="Arial Narrow"/>
                <w:sz w:val="20"/>
                <w:szCs w:val="20"/>
                <w:lang w:eastAsia="en-US"/>
              </w:rPr>
            </w:pPr>
          </w:p>
        </w:tc>
      </w:tr>
      <w:tr w:rsidR="0022217D" w:rsidRPr="00D85808" w14:paraId="13484643" w14:textId="77777777" w:rsidTr="00EE5781">
        <w:tblPrEx>
          <w:tblCellMar>
            <w:top w:w="15" w:type="dxa"/>
            <w:bottom w:w="15" w:type="dxa"/>
          </w:tblCellMar>
          <w:tblLook w:val="04A0" w:firstRow="1" w:lastRow="0" w:firstColumn="1" w:lastColumn="0" w:noHBand="0" w:noVBand="1"/>
        </w:tblPrEx>
        <w:trPr>
          <w:trHeight w:val="20"/>
        </w:trPr>
        <w:tc>
          <w:tcPr>
            <w:tcW w:w="705" w:type="pct"/>
            <w:gridSpan w:val="2"/>
            <w:vMerge w:val="restart"/>
            <w:tcBorders>
              <w:top w:val="single" w:sz="4" w:space="0" w:color="auto"/>
              <w:left w:val="single" w:sz="4" w:space="0" w:color="auto"/>
              <w:right w:val="single" w:sz="4" w:space="0" w:color="auto"/>
            </w:tcBorders>
          </w:tcPr>
          <w:p w14:paraId="73A98971" w14:textId="3F50CD7B" w:rsidR="0022217D" w:rsidRPr="00D85808" w:rsidRDefault="0022217D" w:rsidP="004171F4">
            <w:pPr>
              <w:jc w:val="center"/>
              <w:rPr>
                <w:rFonts w:ascii="Arial Narrow" w:eastAsia="Calibri" w:hAnsi="Arial Narrow"/>
                <w:b/>
                <w:sz w:val="20"/>
                <w:szCs w:val="20"/>
                <w:lang w:eastAsia="en-US"/>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A0A96CE" w14:textId="77777777" w:rsidR="0022217D" w:rsidRPr="00D85808" w:rsidRDefault="0022217D" w:rsidP="004171F4">
            <w:pPr>
              <w:keepLines/>
              <w:jc w:val="left"/>
              <w:rPr>
                <w:rFonts w:ascii="Arial Narrow" w:eastAsia="Calibri" w:hAnsi="Arial Narrow"/>
                <w:sz w:val="20"/>
                <w:szCs w:val="20"/>
                <w:lang w:eastAsia="en-US"/>
              </w:rPr>
            </w:pPr>
            <w:r w:rsidRPr="00D85808">
              <w:rPr>
                <w:rFonts w:ascii="Arial Narrow" w:eastAsia="Calibri" w:hAnsi="Arial Narrow"/>
                <w:b/>
                <w:sz w:val="20"/>
                <w:szCs w:val="20"/>
                <w:lang w:eastAsia="en-US"/>
              </w:rPr>
              <w:t>Category / Program:</w:t>
            </w:r>
            <w:r w:rsidRPr="00D85808">
              <w:rPr>
                <w:rFonts w:ascii="Arial Narrow" w:eastAsia="Calibri" w:hAnsi="Arial Narrow"/>
                <w:color w:val="FF0000"/>
                <w:sz w:val="20"/>
                <w:szCs w:val="20"/>
                <w:lang w:eastAsia="en-US"/>
              </w:rPr>
              <w:t xml:space="preserve"> </w:t>
            </w:r>
            <w:r w:rsidRPr="00D85808">
              <w:rPr>
                <w:rFonts w:ascii="Arial Narrow" w:eastAsia="Calibri" w:hAnsi="Arial Narrow"/>
                <w:sz w:val="20"/>
                <w:szCs w:val="20"/>
                <w:lang w:eastAsia="en-US"/>
              </w:rPr>
              <w:fldChar w:fldCharType="begin">
                <w:ffData>
                  <w:name w:val=""/>
                  <w:enabled/>
                  <w:calcOnExit w:val="0"/>
                  <w:checkBox>
                    <w:sizeAuto/>
                    <w:default w:val="1"/>
                  </w:checkBox>
                </w:ffData>
              </w:fldChar>
            </w:r>
            <w:r w:rsidRPr="00D85808">
              <w:rPr>
                <w:rFonts w:ascii="Arial Narrow" w:eastAsia="Calibri" w:hAnsi="Arial Narrow"/>
                <w:sz w:val="20"/>
                <w:szCs w:val="20"/>
                <w:lang w:eastAsia="en-US"/>
              </w:rPr>
              <w:instrText xml:space="preserve"> FORMCHECKBOX </w:instrText>
            </w:r>
            <w:r w:rsidRPr="00D85808">
              <w:rPr>
                <w:rFonts w:ascii="Arial Narrow" w:eastAsia="Calibri" w:hAnsi="Arial Narrow"/>
                <w:sz w:val="20"/>
                <w:szCs w:val="20"/>
                <w:lang w:eastAsia="en-US"/>
              </w:rPr>
            </w:r>
            <w:r w:rsidRPr="00D85808">
              <w:rPr>
                <w:rFonts w:ascii="Arial Narrow" w:eastAsia="Calibri" w:hAnsi="Arial Narrow"/>
                <w:sz w:val="20"/>
                <w:szCs w:val="20"/>
                <w:lang w:eastAsia="en-US"/>
              </w:rPr>
              <w:fldChar w:fldCharType="separate"/>
            </w:r>
            <w:r w:rsidRPr="00D85808">
              <w:rPr>
                <w:rFonts w:ascii="Arial Narrow" w:eastAsia="Calibri" w:hAnsi="Arial Narrow"/>
                <w:sz w:val="20"/>
                <w:szCs w:val="20"/>
                <w:lang w:eastAsia="en-US"/>
              </w:rPr>
              <w:fldChar w:fldCharType="end"/>
            </w:r>
            <w:r w:rsidRPr="00D85808">
              <w:rPr>
                <w:rFonts w:ascii="Arial Narrow" w:eastAsia="Calibri" w:hAnsi="Arial Narrow"/>
                <w:sz w:val="20"/>
                <w:szCs w:val="20"/>
                <w:lang w:eastAsia="en-US"/>
              </w:rPr>
              <w:t xml:space="preserve"> Section 100 – Botulinum Toxin Program (Code MF)</w:t>
            </w:r>
          </w:p>
        </w:tc>
      </w:tr>
      <w:tr w:rsidR="0022217D" w:rsidRPr="00D85808" w14:paraId="7BE59F27" w14:textId="77777777" w:rsidTr="00EE5781">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56BC419E" w14:textId="77777777" w:rsidR="0022217D" w:rsidRPr="00D85808" w:rsidRDefault="0022217D" w:rsidP="004171F4">
            <w:pPr>
              <w:rPr>
                <w:rFonts w:ascii="Arial Narrow" w:eastAsia="Calibri" w:hAnsi="Arial Narrow"/>
                <w:sz w:val="20"/>
                <w:szCs w:val="20"/>
                <w:lang w:eastAsia="en-US"/>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F2E3CF8" w14:textId="77777777" w:rsidR="0022217D" w:rsidRPr="00D85808" w:rsidRDefault="0022217D" w:rsidP="004171F4">
            <w:pPr>
              <w:keepLines/>
              <w:rPr>
                <w:rFonts w:ascii="Arial Narrow" w:eastAsia="Calibri" w:hAnsi="Arial Narrow"/>
                <w:b/>
                <w:sz w:val="20"/>
                <w:szCs w:val="20"/>
                <w:lang w:eastAsia="en-US"/>
              </w:rPr>
            </w:pPr>
            <w:r w:rsidRPr="00D85808">
              <w:rPr>
                <w:rFonts w:ascii="Arial Narrow" w:eastAsia="Calibri" w:hAnsi="Arial Narrow"/>
                <w:b/>
                <w:sz w:val="20"/>
                <w:szCs w:val="20"/>
                <w:lang w:eastAsia="en-US"/>
              </w:rPr>
              <w:t xml:space="preserve">Prescriber type: </w:t>
            </w:r>
            <w:r w:rsidRPr="00D85808">
              <w:rPr>
                <w:rFonts w:ascii="Arial Narrow" w:eastAsia="Calibri" w:hAnsi="Arial Narrow"/>
                <w:sz w:val="20"/>
                <w:szCs w:val="20"/>
                <w:lang w:eastAsia="en-US"/>
              </w:rPr>
              <w:fldChar w:fldCharType="begin">
                <w:ffData>
                  <w:name w:val=""/>
                  <w:enabled/>
                  <w:calcOnExit w:val="0"/>
                  <w:checkBox>
                    <w:sizeAuto/>
                    <w:default w:val="1"/>
                  </w:checkBox>
                </w:ffData>
              </w:fldChar>
            </w:r>
            <w:r w:rsidRPr="00D85808">
              <w:rPr>
                <w:rFonts w:ascii="Arial Narrow" w:eastAsia="Calibri" w:hAnsi="Arial Narrow"/>
                <w:sz w:val="20"/>
                <w:szCs w:val="20"/>
                <w:lang w:eastAsia="en-US"/>
              </w:rPr>
              <w:instrText xml:space="preserve"> FORMCHECKBOX </w:instrText>
            </w:r>
            <w:r w:rsidRPr="00D85808">
              <w:rPr>
                <w:rFonts w:ascii="Arial Narrow" w:eastAsia="Calibri" w:hAnsi="Arial Narrow"/>
                <w:sz w:val="20"/>
                <w:szCs w:val="20"/>
                <w:lang w:eastAsia="en-US"/>
              </w:rPr>
            </w:r>
            <w:r w:rsidRPr="00D85808">
              <w:rPr>
                <w:rFonts w:ascii="Arial Narrow" w:eastAsia="Calibri" w:hAnsi="Arial Narrow"/>
                <w:sz w:val="20"/>
                <w:szCs w:val="20"/>
                <w:lang w:eastAsia="en-US"/>
              </w:rPr>
              <w:fldChar w:fldCharType="separate"/>
            </w:r>
            <w:r w:rsidRPr="00D85808">
              <w:rPr>
                <w:rFonts w:ascii="Arial Narrow" w:eastAsia="Calibri" w:hAnsi="Arial Narrow"/>
                <w:sz w:val="20"/>
                <w:szCs w:val="20"/>
                <w:lang w:eastAsia="en-US"/>
              </w:rPr>
              <w:fldChar w:fldCharType="end"/>
            </w:r>
            <w:r w:rsidRPr="00D85808">
              <w:rPr>
                <w:rFonts w:ascii="Arial Narrow" w:eastAsia="Calibri" w:hAnsi="Arial Narrow"/>
                <w:sz w:val="20"/>
                <w:szCs w:val="20"/>
                <w:lang w:eastAsia="en-US"/>
              </w:rPr>
              <w:t>Medical Practitioners</w:t>
            </w:r>
          </w:p>
        </w:tc>
      </w:tr>
      <w:tr w:rsidR="0022217D" w:rsidRPr="00D85808" w14:paraId="7F0CEF22" w14:textId="77777777" w:rsidTr="00EE5781">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331789B0" w14:textId="77777777" w:rsidR="0022217D" w:rsidRPr="00D85808" w:rsidRDefault="0022217D" w:rsidP="004171F4">
            <w:pPr>
              <w:rPr>
                <w:rFonts w:ascii="Arial Narrow" w:eastAsia="Calibri" w:hAnsi="Arial Narrow"/>
                <w:sz w:val="20"/>
                <w:szCs w:val="20"/>
                <w:lang w:eastAsia="en-US"/>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909FBC8" w14:textId="77777777" w:rsidR="0022217D" w:rsidRPr="00D85808" w:rsidRDefault="0022217D" w:rsidP="004171F4">
            <w:pPr>
              <w:keepLines/>
              <w:jc w:val="left"/>
              <w:rPr>
                <w:rFonts w:ascii="Arial Narrow" w:eastAsia="Calibri" w:hAnsi="Arial Narrow"/>
                <w:b/>
                <w:sz w:val="20"/>
                <w:szCs w:val="20"/>
                <w:lang w:eastAsia="en-US"/>
              </w:rPr>
            </w:pPr>
            <w:r w:rsidRPr="00D85808">
              <w:rPr>
                <w:rFonts w:ascii="Arial Narrow" w:eastAsia="Calibri" w:hAnsi="Arial Narrow"/>
                <w:b/>
                <w:sz w:val="20"/>
                <w:szCs w:val="20"/>
                <w:lang w:eastAsia="en-US"/>
              </w:rPr>
              <w:t xml:space="preserve">Restriction type: </w:t>
            </w:r>
            <w:r w:rsidRPr="00D85808">
              <w:rPr>
                <w:rFonts w:ascii="Arial Narrow" w:eastAsia="Calibri" w:hAnsi="Arial Narrow"/>
                <w:sz w:val="20"/>
                <w:szCs w:val="20"/>
                <w:lang w:eastAsia="en-US"/>
              </w:rPr>
              <w:fldChar w:fldCharType="begin">
                <w:ffData>
                  <w:name w:val=""/>
                  <w:enabled/>
                  <w:calcOnExit w:val="0"/>
                  <w:checkBox>
                    <w:sizeAuto/>
                    <w:default w:val="1"/>
                  </w:checkBox>
                </w:ffData>
              </w:fldChar>
            </w:r>
            <w:r w:rsidRPr="00D85808">
              <w:rPr>
                <w:rFonts w:ascii="Arial Narrow" w:eastAsia="Calibri" w:hAnsi="Arial Narrow"/>
                <w:sz w:val="20"/>
                <w:szCs w:val="20"/>
                <w:lang w:eastAsia="en-US"/>
              </w:rPr>
              <w:instrText xml:space="preserve"> FORMCHECKBOX </w:instrText>
            </w:r>
            <w:r w:rsidRPr="00D85808">
              <w:rPr>
                <w:rFonts w:ascii="Arial Narrow" w:eastAsia="Calibri" w:hAnsi="Arial Narrow"/>
                <w:sz w:val="20"/>
                <w:szCs w:val="20"/>
                <w:lang w:eastAsia="en-US"/>
              </w:rPr>
            </w:r>
            <w:r w:rsidRPr="00D85808">
              <w:rPr>
                <w:rFonts w:ascii="Arial Narrow" w:eastAsia="Calibri" w:hAnsi="Arial Narrow"/>
                <w:sz w:val="20"/>
                <w:szCs w:val="20"/>
                <w:lang w:eastAsia="en-US"/>
              </w:rPr>
              <w:fldChar w:fldCharType="separate"/>
            </w:r>
            <w:r w:rsidRPr="00D85808">
              <w:rPr>
                <w:rFonts w:ascii="Arial Narrow" w:eastAsia="Calibri" w:hAnsi="Arial Narrow"/>
                <w:sz w:val="20"/>
                <w:szCs w:val="20"/>
                <w:lang w:eastAsia="en-US"/>
              </w:rPr>
              <w:fldChar w:fldCharType="end"/>
            </w:r>
            <w:r w:rsidRPr="00D85808">
              <w:rPr>
                <w:rFonts w:ascii="Arial Narrow" w:eastAsia="Calibri" w:hAnsi="Arial Narrow"/>
                <w:sz w:val="20"/>
                <w:szCs w:val="20"/>
                <w:lang w:eastAsia="en-US"/>
              </w:rPr>
              <w:t xml:space="preserve">Authority Required (Streamlined) [new/existing code] </w:t>
            </w:r>
          </w:p>
        </w:tc>
      </w:tr>
      <w:tr w:rsidR="0022217D" w:rsidRPr="00D85808" w14:paraId="063FE3B6" w14:textId="77777777" w:rsidTr="00EE5781">
        <w:tblPrEx>
          <w:tblCellMar>
            <w:top w:w="15" w:type="dxa"/>
            <w:bottom w:w="15" w:type="dxa"/>
          </w:tblCellMar>
          <w:tblLook w:val="04A0" w:firstRow="1" w:lastRow="0" w:firstColumn="1" w:lastColumn="0" w:noHBand="0" w:noVBand="1"/>
        </w:tblPrEx>
        <w:trPr>
          <w:trHeight w:val="20"/>
        </w:trPr>
        <w:tc>
          <w:tcPr>
            <w:tcW w:w="271" w:type="pct"/>
            <w:vMerge w:val="restart"/>
            <w:tcBorders>
              <w:left w:val="single" w:sz="4" w:space="0" w:color="auto"/>
              <w:right w:val="single" w:sz="4" w:space="0" w:color="auto"/>
            </w:tcBorders>
            <w:textDirection w:val="btLr"/>
            <w:vAlign w:val="center"/>
          </w:tcPr>
          <w:p w14:paraId="2E3EF67F" w14:textId="19E7B430" w:rsidR="0022217D" w:rsidRPr="00D85808" w:rsidRDefault="0022217D" w:rsidP="004171F4">
            <w:pPr>
              <w:jc w:val="center"/>
              <w:rPr>
                <w:rFonts w:ascii="Arial Narrow" w:eastAsia="Calibri" w:hAnsi="Arial Narrow"/>
                <w:color w:val="000000"/>
                <w:sz w:val="20"/>
                <w:szCs w:val="20"/>
                <w:lang w:eastAsia="en-US"/>
              </w:rPr>
            </w:pPr>
          </w:p>
        </w:tc>
        <w:tc>
          <w:tcPr>
            <w:tcW w:w="435" w:type="pct"/>
            <w:vAlign w:val="center"/>
          </w:tcPr>
          <w:p w14:paraId="40832574" w14:textId="1A2909CD"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02409947" w14:textId="77777777" w:rsidR="0022217D" w:rsidRPr="00D85808" w:rsidRDefault="0022217D" w:rsidP="004171F4">
            <w:pPr>
              <w:jc w:val="left"/>
              <w:rPr>
                <w:rFonts w:ascii="Arial Narrow" w:hAnsi="Arial Narrow" w:cs="Times New Roman"/>
                <w:bCs/>
                <w:color w:val="000000"/>
                <w:sz w:val="20"/>
                <w:szCs w:val="20"/>
              </w:rPr>
            </w:pPr>
            <w:r w:rsidRPr="00D85808">
              <w:rPr>
                <w:rFonts w:ascii="Arial Narrow" w:hAnsi="Arial Narrow" w:cs="Times New Roman"/>
                <w:b/>
                <w:bCs/>
                <w:color w:val="000000"/>
                <w:sz w:val="20"/>
                <w:szCs w:val="20"/>
              </w:rPr>
              <w:t xml:space="preserve">Administrative Advice: </w:t>
            </w:r>
          </w:p>
          <w:p w14:paraId="0344ECDF" w14:textId="77777777" w:rsidR="0022217D" w:rsidRPr="00D85808" w:rsidRDefault="0022217D" w:rsidP="004171F4">
            <w:pPr>
              <w:jc w:val="left"/>
              <w:rPr>
                <w:rFonts w:ascii="Arial Narrow" w:hAnsi="Arial Narrow" w:cs="Times New Roman"/>
                <w:color w:val="000000"/>
                <w:sz w:val="20"/>
                <w:szCs w:val="20"/>
              </w:rPr>
            </w:pPr>
            <w:r w:rsidRPr="00C022C8">
              <w:rPr>
                <w:rFonts w:ascii="Arial Narrow" w:hAnsi="Arial Narrow" w:cs="Times New Roman"/>
                <w:color w:val="000000"/>
                <w:sz w:val="20"/>
                <w:szCs w:val="20"/>
              </w:rPr>
              <w:t xml:space="preserve">The units used to express the potency of botulinum toxin preparations currently available for PBS subsidy are not equivalent. </w:t>
            </w:r>
          </w:p>
        </w:tc>
      </w:tr>
      <w:tr w:rsidR="0022217D" w:rsidRPr="00D85808" w14:paraId="243E96B7" w14:textId="77777777" w:rsidTr="00EE5781">
        <w:tblPrEx>
          <w:tblCellMar>
            <w:top w:w="15" w:type="dxa"/>
            <w:bottom w:w="15" w:type="dxa"/>
          </w:tblCellMar>
          <w:tblLook w:val="04A0" w:firstRow="1" w:lastRow="0" w:firstColumn="1" w:lastColumn="0" w:noHBand="0" w:noVBand="1"/>
        </w:tblPrEx>
        <w:trPr>
          <w:trHeight w:val="20"/>
        </w:trPr>
        <w:tc>
          <w:tcPr>
            <w:tcW w:w="271" w:type="pct"/>
            <w:vMerge/>
            <w:tcBorders>
              <w:left w:val="single" w:sz="4" w:space="0" w:color="auto"/>
              <w:right w:val="single" w:sz="4" w:space="0" w:color="auto"/>
            </w:tcBorders>
          </w:tcPr>
          <w:p w14:paraId="5C0F662C" w14:textId="77777777" w:rsidR="0022217D" w:rsidRPr="00D85808" w:rsidRDefault="0022217D" w:rsidP="004171F4">
            <w:pPr>
              <w:rPr>
                <w:rFonts w:ascii="Arial Narrow" w:eastAsia="Calibri" w:hAnsi="Arial Narrow"/>
                <w:color w:val="000000"/>
                <w:sz w:val="20"/>
                <w:szCs w:val="20"/>
                <w:lang w:eastAsia="en-US"/>
              </w:rPr>
            </w:pPr>
          </w:p>
        </w:tc>
        <w:tc>
          <w:tcPr>
            <w:tcW w:w="435" w:type="pct"/>
            <w:vAlign w:val="center"/>
          </w:tcPr>
          <w:p w14:paraId="55CF8CE0" w14:textId="7F0419BB"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165C46C4" w14:textId="77777777" w:rsidR="0022217D" w:rsidRPr="00D85808" w:rsidRDefault="0022217D" w:rsidP="004171F4">
            <w:pPr>
              <w:jc w:val="left"/>
              <w:rPr>
                <w:rFonts w:ascii="Arial Narrow" w:hAnsi="Arial Narrow" w:cs="Times New Roman"/>
                <w:b/>
                <w:bCs/>
                <w:color w:val="000000"/>
                <w:sz w:val="20"/>
                <w:szCs w:val="20"/>
              </w:rPr>
            </w:pPr>
            <w:r w:rsidRPr="00D85808">
              <w:rPr>
                <w:rFonts w:ascii="Arial Narrow" w:hAnsi="Arial Narrow" w:cs="Times New Roman"/>
                <w:b/>
                <w:bCs/>
                <w:color w:val="000000"/>
                <w:sz w:val="20"/>
                <w:szCs w:val="20"/>
              </w:rPr>
              <w:t>Caution:</w:t>
            </w:r>
          </w:p>
          <w:p w14:paraId="6D139B6D" w14:textId="77777777" w:rsidR="0022217D" w:rsidRPr="00D85808" w:rsidRDefault="0022217D" w:rsidP="004171F4">
            <w:pPr>
              <w:jc w:val="left"/>
              <w:rPr>
                <w:rFonts w:ascii="Arial Narrow" w:hAnsi="Arial Narrow" w:cs="Times New Roman"/>
                <w:b/>
                <w:bCs/>
                <w:color w:val="000000"/>
                <w:sz w:val="20"/>
                <w:szCs w:val="20"/>
              </w:rPr>
            </w:pPr>
            <w:r w:rsidRPr="00C022C8">
              <w:rPr>
                <w:rFonts w:ascii="Arial Narrow" w:hAnsi="Arial Narrow" w:cs="Times New Roman"/>
                <w:color w:val="000000"/>
                <w:sz w:val="20"/>
                <w:szCs w:val="20"/>
              </w:rPr>
              <w:t>Contraindications to treatment include known sensitivity to botulinum toxin.</w:t>
            </w:r>
          </w:p>
        </w:tc>
      </w:tr>
      <w:tr w:rsidR="0022217D" w:rsidRPr="00D85808" w14:paraId="583EC7BF" w14:textId="77777777" w:rsidTr="00EE5781">
        <w:tblPrEx>
          <w:tblCellMar>
            <w:top w:w="15" w:type="dxa"/>
            <w:bottom w:w="15" w:type="dxa"/>
          </w:tblCellMar>
          <w:tblLook w:val="04A0" w:firstRow="1" w:lastRow="0" w:firstColumn="1" w:lastColumn="0" w:noHBand="0" w:noVBand="1"/>
        </w:tblPrEx>
        <w:trPr>
          <w:trHeight w:val="20"/>
        </w:trPr>
        <w:tc>
          <w:tcPr>
            <w:tcW w:w="271" w:type="pct"/>
            <w:vMerge/>
            <w:tcBorders>
              <w:left w:val="single" w:sz="4" w:space="0" w:color="auto"/>
              <w:bottom w:val="single" w:sz="4" w:space="0" w:color="auto"/>
              <w:right w:val="single" w:sz="4" w:space="0" w:color="auto"/>
            </w:tcBorders>
          </w:tcPr>
          <w:p w14:paraId="1028B689" w14:textId="77777777" w:rsidR="0022217D" w:rsidRPr="00D85808" w:rsidRDefault="0022217D" w:rsidP="004171F4">
            <w:pPr>
              <w:rPr>
                <w:rFonts w:ascii="Arial Narrow" w:eastAsia="Calibri" w:hAnsi="Arial Narrow"/>
                <w:color w:val="000000"/>
                <w:sz w:val="20"/>
                <w:szCs w:val="20"/>
                <w:lang w:eastAsia="en-US"/>
              </w:rPr>
            </w:pPr>
          </w:p>
        </w:tc>
        <w:tc>
          <w:tcPr>
            <w:tcW w:w="435" w:type="pct"/>
            <w:vAlign w:val="center"/>
          </w:tcPr>
          <w:p w14:paraId="04EF6743" w14:textId="5B5C252D"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6F591F5F" w14:textId="77777777" w:rsidR="0022217D" w:rsidRPr="00D85808" w:rsidRDefault="0022217D" w:rsidP="004171F4">
            <w:pPr>
              <w:jc w:val="left"/>
              <w:rPr>
                <w:rFonts w:ascii="Arial Narrow" w:hAnsi="Arial Narrow" w:cs="Times New Roman"/>
                <w:b/>
                <w:bCs/>
                <w:color w:val="000000"/>
                <w:sz w:val="20"/>
                <w:szCs w:val="20"/>
              </w:rPr>
            </w:pPr>
            <w:r w:rsidRPr="00D85808">
              <w:rPr>
                <w:rFonts w:ascii="Arial Narrow" w:hAnsi="Arial Narrow" w:cs="Times New Roman"/>
                <w:b/>
                <w:bCs/>
                <w:color w:val="000000"/>
                <w:sz w:val="20"/>
                <w:szCs w:val="20"/>
              </w:rPr>
              <w:t>Administrative Advice:</w:t>
            </w:r>
          </w:p>
          <w:p w14:paraId="49157BE4" w14:textId="77777777" w:rsidR="0022217D" w:rsidRPr="00C022C8" w:rsidRDefault="0022217D" w:rsidP="004171F4">
            <w:pPr>
              <w:jc w:val="left"/>
              <w:rPr>
                <w:rFonts w:ascii="Arial Narrow" w:hAnsi="Arial Narrow" w:cs="Times New Roman"/>
                <w:color w:val="000000"/>
                <w:sz w:val="20"/>
                <w:szCs w:val="20"/>
              </w:rPr>
            </w:pPr>
            <w:r w:rsidRPr="00C022C8">
              <w:rPr>
                <w:rFonts w:ascii="Arial Narrow" w:hAnsi="Arial Narrow" w:cs="Times New Roman"/>
                <w:color w:val="000000"/>
                <w:sz w:val="20"/>
                <w:szCs w:val="20"/>
              </w:rPr>
              <w:t xml:space="preserve">Special Pricing Arrangements apply. </w:t>
            </w:r>
          </w:p>
        </w:tc>
      </w:tr>
      <w:tr w:rsidR="0022217D" w:rsidRPr="00D85808" w14:paraId="19994C5C" w14:textId="77777777" w:rsidTr="0029585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B81D621" w14:textId="36AA5800" w:rsidR="0022217D" w:rsidRPr="00D85808" w:rsidRDefault="0022217D" w:rsidP="004171F4">
            <w:pPr>
              <w:keepLines/>
              <w:jc w:val="center"/>
              <w:rPr>
                <w:rFonts w:ascii="Arial Narrow" w:hAnsi="Arial Narrow" w:cs="Times New Roman"/>
                <w:color w:val="000000"/>
                <w:sz w:val="20"/>
                <w:szCs w:val="20"/>
              </w:rPr>
            </w:pPr>
          </w:p>
        </w:tc>
        <w:tc>
          <w:tcPr>
            <w:tcW w:w="4295" w:type="pct"/>
            <w:gridSpan w:val="6"/>
            <w:vAlign w:val="center"/>
            <w:hideMark/>
          </w:tcPr>
          <w:p w14:paraId="3F00B7D5" w14:textId="77777777" w:rsidR="0022217D" w:rsidRPr="00D85808" w:rsidRDefault="0022217D" w:rsidP="004171F4">
            <w:pPr>
              <w:keepLines/>
              <w:jc w:val="left"/>
              <w:rPr>
                <w:rFonts w:ascii="Arial Narrow" w:hAnsi="Arial Narrow" w:cs="Times New Roman"/>
                <w:color w:val="000000"/>
                <w:sz w:val="20"/>
                <w:szCs w:val="20"/>
              </w:rPr>
            </w:pPr>
            <w:r w:rsidRPr="00D85808">
              <w:rPr>
                <w:rFonts w:ascii="Arial Narrow" w:hAnsi="Arial Narrow" w:cs="Times New Roman"/>
                <w:b/>
                <w:bCs/>
                <w:color w:val="000000"/>
                <w:sz w:val="20"/>
                <w:szCs w:val="20"/>
              </w:rPr>
              <w:t>Indication:</w:t>
            </w:r>
            <w:r w:rsidRPr="00D85808">
              <w:rPr>
                <w:rFonts w:ascii="Arial Narrow" w:hAnsi="Arial Narrow" w:cs="Times New Roman"/>
                <w:color w:val="000000"/>
                <w:sz w:val="20"/>
                <w:szCs w:val="20"/>
              </w:rPr>
              <w:t xml:space="preserve"> Moderate to severe spasticity of the lower limb following an acute event</w:t>
            </w:r>
          </w:p>
        </w:tc>
      </w:tr>
      <w:tr w:rsidR="0022217D" w:rsidRPr="00D85808" w14:paraId="34C9FD8B" w14:textId="77777777" w:rsidTr="0029585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9132111" w14:textId="1C880B9D"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5DE85321" w14:textId="77777777" w:rsidR="0022217D" w:rsidRPr="00D85808" w:rsidRDefault="0022217D" w:rsidP="004171F4">
            <w:pPr>
              <w:jc w:val="left"/>
              <w:rPr>
                <w:rFonts w:ascii="Arial Narrow" w:hAnsi="Arial Narrow" w:cs="Times New Roman"/>
                <w:sz w:val="20"/>
                <w:szCs w:val="20"/>
              </w:rPr>
            </w:pPr>
            <w:r w:rsidRPr="00D85808">
              <w:rPr>
                <w:rFonts w:ascii="Arial Narrow" w:hAnsi="Arial Narrow" w:cs="Times New Roman"/>
                <w:b/>
                <w:bCs/>
                <w:color w:val="333333"/>
                <w:sz w:val="20"/>
                <w:szCs w:val="20"/>
              </w:rPr>
              <w:t xml:space="preserve">Clinical criteria: </w:t>
            </w:r>
          </w:p>
        </w:tc>
      </w:tr>
      <w:tr w:rsidR="0022217D" w:rsidRPr="00D85808" w14:paraId="103166BD" w14:textId="77777777" w:rsidTr="0029585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4108E32" w14:textId="0BF817D4"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4A2BDFB1"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The condition must be moderate to severe spasticity of the lower limb/s following stroke or other acute neurological event, defined as a Modified Ashworth Scale rating of 3 or more,</w:t>
            </w:r>
          </w:p>
        </w:tc>
      </w:tr>
      <w:tr w:rsidR="0022217D" w:rsidRPr="00D85808" w14:paraId="41935509" w14:textId="77777777" w:rsidTr="0029585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23F278B" w14:textId="77777777"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5BDCD2E4" w14:textId="77777777" w:rsidR="0022217D" w:rsidRPr="00D85808" w:rsidRDefault="0022217D" w:rsidP="004171F4">
            <w:pPr>
              <w:jc w:val="left"/>
              <w:rPr>
                <w:rFonts w:ascii="Arial Narrow" w:hAnsi="Arial Narrow" w:cs="Times New Roman"/>
                <w:color w:val="333333"/>
                <w:sz w:val="20"/>
                <w:szCs w:val="20"/>
              </w:rPr>
            </w:pPr>
            <w:r w:rsidRPr="00D85808">
              <w:rPr>
                <w:rFonts w:ascii="Arial Narrow" w:hAnsi="Arial Narrow" w:cs="Times New Roman"/>
                <w:b/>
                <w:bCs/>
                <w:color w:val="333333"/>
                <w:sz w:val="20"/>
                <w:szCs w:val="20"/>
              </w:rPr>
              <w:t>AND</w:t>
            </w:r>
          </w:p>
        </w:tc>
      </w:tr>
      <w:tr w:rsidR="0022217D" w:rsidRPr="00D85808" w14:paraId="26CAFE2D"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C321CCD" w14:textId="24CA7FD6"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3987B8D8" w14:textId="77777777" w:rsidR="0022217D" w:rsidRPr="00D85808" w:rsidRDefault="0022217D" w:rsidP="004171F4">
            <w:pPr>
              <w:jc w:val="left"/>
              <w:rPr>
                <w:rFonts w:ascii="Arial Narrow" w:hAnsi="Arial Narrow" w:cs="Times New Roman"/>
                <w:color w:val="333333"/>
                <w:sz w:val="20"/>
                <w:szCs w:val="20"/>
              </w:rPr>
            </w:pPr>
            <w:r w:rsidRPr="00D85808">
              <w:rPr>
                <w:rFonts w:ascii="Arial Narrow" w:hAnsi="Arial Narrow" w:cs="Times New Roman"/>
                <w:b/>
                <w:bCs/>
                <w:color w:val="333333"/>
                <w:sz w:val="20"/>
                <w:szCs w:val="20"/>
              </w:rPr>
              <w:t>Clinical criteria:</w:t>
            </w:r>
          </w:p>
        </w:tc>
      </w:tr>
      <w:tr w:rsidR="0022217D" w:rsidRPr="00D85808" w14:paraId="43DB7413"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485D7AB" w14:textId="0796F3C3"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2DAF945D"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 xml:space="preserve">The treatment must only be used as second line therapy when standard management has failed; OR </w:t>
            </w:r>
          </w:p>
        </w:tc>
      </w:tr>
      <w:tr w:rsidR="0022217D" w:rsidRPr="00D85808" w14:paraId="06552A96"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500D0E5" w14:textId="45122A19"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1B5AD2C9"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The treatment must only be used as an adjunct to physical therapy</w:t>
            </w:r>
          </w:p>
        </w:tc>
      </w:tr>
      <w:tr w:rsidR="0022217D" w:rsidRPr="00D85808" w14:paraId="50D1E833"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C4F6D80" w14:textId="77777777"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5E287308" w14:textId="77777777" w:rsidR="0022217D" w:rsidRPr="00D85808" w:rsidRDefault="0022217D" w:rsidP="004171F4">
            <w:pPr>
              <w:jc w:val="left"/>
              <w:rPr>
                <w:rFonts w:ascii="Arial Narrow" w:hAnsi="Arial Narrow" w:cs="Times New Roman"/>
                <w:color w:val="333333"/>
                <w:sz w:val="20"/>
                <w:szCs w:val="20"/>
              </w:rPr>
            </w:pPr>
            <w:r w:rsidRPr="00D85808">
              <w:rPr>
                <w:rFonts w:ascii="Arial Narrow" w:hAnsi="Arial Narrow" w:cs="Times New Roman"/>
                <w:b/>
                <w:bCs/>
                <w:color w:val="333333"/>
                <w:sz w:val="20"/>
                <w:szCs w:val="20"/>
              </w:rPr>
              <w:t>AND</w:t>
            </w:r>
          </w:p>
        </w:tc>
      </w:tr>
      <w:tr w:rsidR="0022217D" w:rsidRPr="00D85808" w14:paraId="56821DAF"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FC5D4C1" w14:textId="64E5EC01"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037FBCFE" w14:textId="77777777" w:rsidR="0022217D" w:rsidRPr="00D85808" w:rsidRDefault="0022217D" w:rsidP="004171F4">
            <w:pPr>
              <w:jc w:val="left"/>
              <w:rPr>
                <w:rFonts w:ascii="Arial Narrow" w:hAnsi="Arial Narrow" w:cs="Times New Roman"/>
                <w:color w:val="333333"/>
                <w:sz w:val="20"/>
                <w:szCs w:val="20"/>
              </w:rPr>
            </w:pPr>
            <w:r w:rsidRPr="00D85808">
              <w:rPr>
                <w:rFonts w:ascii="Arial Narrow" w:hAnsi="Arial Narrow" w:cs="Times New Roman"/>
                <w:b/>
                <w:bCs/>
                <w:color w:val="333333"/>
                <w:sz w:val="20"/>
                <w:szCs w:val="20"/>
              </w:rPr>
              <w:t>Clinical criteria:</w:t>
            </w:r>
          </w:p>
        </w:tc>
      </w:tr>
      <w:tr w:rsidR="0022217D" w:rsidRPr="00D85808" w14:paraId="03B7D012"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8B9B25E" w14:textId="639BC3EB"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66FC9A49" w14:textId="77777777" w:rsidR="0022217D" w:rsidRPr="00D85808" w:rsidRDefault="0022217D" w:rsidP="004171F4">
            <w:pPr>
              <w:jc w:val="left"/>
              <w:rPr>
                <w:rFonts w:ascii="Arial Narrow" w:hAnsi="Arial Narrow" w:cs="Times New Roman"/>
                <w:color w:val="333333"/>
                <w:sz w:val="20"/>
                <w:szCs w:val="20"/>
              </w:rPr>
            </w:pPr>
            <w:r w:rsidRPr="00D85808">
              <w:rPr>
                <w:rFonts w:ascii="Arial Narrow" w:hAnsi="Arial Narrow" w:cs="Times New Roman"/>
                <w:color w:val="000000"/>
                <w:sz w:val="20"/>
                <w:szCs w:val="20"/>
              </w:rPr>
              <w:t xml:space="preserve">The treatment must not continue if the patient does not respond (defined as not having had a decrease in spasticity rating of at least 1, using the Modified Ashworth Scale, in at least one joint) after two treatment periods (with any botulinum toxin type A) </w:t>
            </w:r>
          </w:p>
        </w:tc>
      </w:tr>
      <w:tr w:rsidR="0022217D" w:rsidRPr="00D85808" w14:paraId="67262EB9"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DB5E515" w14:textId="77777777"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0622265B"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b/>
                <w:bCs/>
                <w:color w:val="333333"/>
                <w:sz w:val="20"/>
                <w:szCs w:val="20"/>
              </w:rPr>
              <w:t>AND</w:t>
            </w:r>
          </w:p>
        </w:tc>
      </w:tr>
      <w:tr w:rsidR="0022217D" w:rsidRPr="00D85808" w14:paraId="6FEC95D9"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EDB5BDA" w14:textId="69B7FB3D"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005FA293"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b/>
                <w:bCs/>
                <w:color w:val="333333"/>
                <w:sz w:val="20"/>
                <w:szCs w:val="20"/>
              </w:rPr>
              <w:t>Clinical criteria:</w:t>
            </w:r>
          </w:p>
        </w:tc>
      </w:tr>
      <w:tr w:rsidR="0022217D" w:rsidRPr="00D85808" w14:paraId="4899C5AC" w14:textId="77777777" w:rsidTr="00295858">
        <w:tblPrEx>
          <w:tblCellMar>
            <w:top w:w="15" w:type="dxa"/>
            <w:bottom w:w="15" w:type="dxa"/>
          </w:tblCellMar>
          <w:tblLook w:val="04A0" w:firstRow="1" w:lastRow="0" w:firstColumn="1" w:lastColumn="0" w:noHBand="0" w:noVBand="1"/>
        </w:tblPrEx>
        <w:trPr>
          <w:cantSplit/>
          <w:trHeight w:val="35"/>
        </w:trPr>
        <w:tc>
          <w:tcPr>
            <w:tcW w:w="705" w:type="pct"/>
            <w:gridSpan w:val="2"/>
            <w:vAlign w:val="center"/>
          </w:tcPr>
          <w:p w14:paraId="623DABBB" w14:textId="522E5071"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72F1FD92"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 xml:space="preserve">Patient must not have established severe contracture in the limb to be treated, </w:t>
            </w:r>
          </w:p>
        </w:tc>
      </w:tr>
      <w:tr w:rsidR="0022217D" w:rsidRPr="00D85808" w14:paraId="13A6563A"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E41263C" w14:textId="77777777"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3464A1F7"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b/>
                <w:bCs/>
                <w:color w:val="333333"/>
                <w:sz w:val="20"/>
                <w:szCs w:val="20"/>
              </w:rPr>
              <w:t>AND</w:t>
            </w:r>
          </w:p>
        </w:tc>
      </w:tr>
      <w:tr w:rsidR="0022217D" w:rsidRPr="00D85808" w14:paraId="6E3AE4C4"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F46AC36" w14:textId="55D0CD80"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054975DA"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b/>
                <w:bCs/>
                <w:color w:val="333333"/>
                <w:sz w:val="20"/>
                <w:szCs w:val="20"/>
              </w:rPr>
              <w:t>Clinical criteria:</w:t>
            </w:r>
          </w:p>
        </w:tc>
      </w:tr>
      <w:tr w:rsidR="0022217D" w:rsidRPr="00D85808" w14:paraId="4721077D"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467125C" w14:textId="46688828"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613847A2"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 xml:space="preserve">The treatment must not exceed a maximum of 4 treatment periods (with any botulinum toxin type A) per lower limb in the first year of treatment, and 2 treatment periods with any botulinum toxin type A) per lower limb each year thereafter. </w:t>
            </w:r>
          </w:p>
        </w:tc>
      </w:tr>
      <w:tr w:rsidR="0022217D" w:rsidRPr="00D85808" w14:paraId="486F5949"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92926FE" w14:textId="333C4C82" w:rsidR="0022217D" w:rsidRPr="00D85808" w:rsidRDefault="0022217D" w:rsidP="004171F4">
            <w:pPr>
              <w:keepNext/>
              <w:jc w:val="center"/>
              <w:rPr>
                <w:rFonts w:ascii="Arial Narrow" w:hAnsi="Arial Narrow" w:cs="Times New Roman"/>
                <w:color w:val="000000"/>
                <w:sz w:val="20"/>
                <w:szCs w:val="20"/>
              </w:rPr>
            </w:pPr>
          </w:p>
        </w:tc>
        <w:tc>
          <w:tcPr>
            <w:tcW w:w="4295" w:type="pct"/>
            <w:gridSpan w:val="6"/>
            <w:vAlign w:val="center"/>
            <w:hideMark/>
          </w:tcPr>
          <w:p w14:paraId="1AC9BD49" w14:textId="77777777" w:rsidR="0022217D" w:rsidRPr="00D85808" w:rsidRDefault="0022217D" w:rsidP="004171F4">
            <w:pPr>
              <w:keepNext/>
              <w:jc w:val="left"/>
              <w:rPr>
                <w:rFonts w:ascii="Arial Narrow" w:hAnsi="Arial Narrow" w:cs="Times New Roman"/>
                <w:color w:val="333333"/>
                <w:sz w:val="20"/>
                <w:szCs w:val="20"/>
              </w:rPr>
            </w:pPr>
            <w:r w:rsidRPr="00D85808">
              <w:rPr>
                <w:rFonts w:ascii="Arial Narrow" w:hAnsi="Arial Narrow" w:cs="Times New Roman"/>
                <w:b/>
                <w:bCs/>
                <w:color w:val="333333"/>
                <w:sz w:val="20"/>
                <w:szCs w:val="20"/>
              </w:rPr>
              <w:t>Treatment criteria:</w:t>
            </w:r>
          </w:p>
        </w:tc>
      </w:tr>
      <w:tr w:rsidR="0022217D" w:rsidRPr="00D85808" w14:paraId="3B9155E9"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2C10F19" w14:textId="2B4FF93C" w:rsidR="0022217D" w:rsidRPr="00D85808" w:rsidRDefault="0022217D" w:rsidP="004171F4">
            <w:pPr>
              <w:jc w:val="center"/>
              <w:rPr>
                <w:rFonts w:ascii="Arial Narrow" w:hAnsi="Arial Narrow" w:cs="Times New Roman"/>
                <w:color w:val="333333"/>
                <w:sz w:val="20"/>
                <w:szCs w:val="20"/>
              </w:rPr>
            </w:pPr>
          </w:p>
        </w:tc>
        <w:tc>
          <w:tcPr>
            <w:tcW w:w="4295" w:type="pct"/>
            <w:gridSpan w:val="6"/>
            <w:vAlign w:val="center"/>
            <w:hideMark/>
          </w:tcPr>
          <w:p w14:paraId="736D1A28" w14:textId="77777777" w:rsidR="0022217D" w:rsidRPr="00D85808" w:rsidRDefault="0022217D" w:rsidP="004171F4">
            <w:pPr>
              <w:autoSpaceDE w:val="0"/>
              <w:autoSpaceDN w:val="0"/>
              <w:adjustRightInd w:val="0"/>
              <w:jc w:val="left"/>
              <w:rPr>
                <w:rFonts w:ascii="Arial Narrow" w:eastAsia="Calibri" w:hAnsi="Arial Narrow" w:cs="Arial Narrow"/>
                <w:iCs/>
                <w:color w:val="000000"/>
                <w:sz w:val="20"/>
                <w:szCs w:val="20"/>
                <w:lang w:eastAsia="en-US"/>
              </w:rPr>
            </w:pPr>
            <w:r w:rsidRPr="00D85808">
              <w:rPr>
                <w:rFonts w:ascii="Arial Narrow" w:eastAsia="Calibri" w:hAnsi="Arial Narrow" w:cs="Arial Narrow"/>
                <w:iCs/>
                <w:color w:val="000000"/>
                <w:sz w:val="20"/>
                <w:szCs w:val="20"/>
                <w:lang w:eastAsia="en-US"/>
              </w:rPr>
              <w:t xml:space="preserve">Must be treated by a neurologist; OR </w:t>
            </w:r>
          </w:p>
        </w:tc>
      </w:tr>
      <w:tr w:rsidR="0022217D" w:rsidRPr="00D85808" w14:paraId="2C999093"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1999C57" w14:textId="36193CC1" w:rsidR="0022217D" w:rsidRPr="00D85808" w:rsidRDefault="0022217D" w:rsidP="004171F4">
            <w:pPr>
              <w:jc w:val="center"/>
              <w:rPr>
                <w:rFonts w:ascii="Arial Narrow" w:hAnsi="Arial Narrow" w:cs="Times New Roman"/>
                <w:color w:val="333333"/>
                <w:sz w:val="20"/>
                <w:szCs w:val="20"/>
              </w:rPr>
            </w:pPr>
          </w:p>
        </w:tc>
        <w:tc>
          <w:tcPr>
            <w:tcW w:w="4295" w:type="pct"/>
            <w:gridSpan w:val="6"/>
            <w:vAlign w:val="center"/>
          </w:tcPr>
          <w:p w14:paraId="0D0FA780" w14:textId="77777777" w:rsidR="0022217D" w:rsidRPr="00D85808" w:rsidRDefault="0022217D" w:rsidP="004171F4">
            <w:pPr>
              <w:autoSpaceDE w:val="0"/>
              <w:autoSpaceDN w:val="0"/>
              <w:adjustRightInd w:val="0"/>
              <w:jc w:val="left"/>
              <w:rPr>
                <w:rFonts w:ascii="Arial Narrow" w:eastAsia="Calibri" w:hAnsi="Arial Narrow" w:cs="Arial Narrow"/>
                <w:sz w:val="20"/>
                <w:szCs w:val="20"/>
                <w:lang w:eastAsia="en-US"/>
              </w:rPr>
            </w:pPr>
            <w:r w:rsidRPr="00D85808">
              <w:rPr>
                <w:rFonts w:ascii="Arial Narrow" w:eastAsia="Calibri" w:hAnsi="Arial Narrow" w:cs="Arial Narrow"/>
                <w:sz w:val="20"/>
                <w:szCs w:val="20"/>
                <w:lang w:eastAsia="en-US"/>
              </w:rPr>
              <w:t xml:space="preserve">Must be treated by an orthopaedic surgeon; OR </w:t>
            </w:r>
          </w:p>
        </w:tc>
      </w:tr>
      <w:tr w:rsidR="0022217D" w:rsidRPr="00D85808" w14:paraId="33AD5638"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A4C1E4A" w14:textId="013C764F"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7532A9E9"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 xml:space="preserve">Must be treated by a rehabilitation specialist; OR </w:t>
            </w:r>
          </w:p>
        </w:tc>
      </w:tr>
      <w:tr w:rsidR="0022217D" w:rsidRPr="00D85808" w14:paraId="5322F413"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BD15E84" w14:textId="07935F0A"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4A239BF5"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 xml:space="preserve">Must be treated by a plastic surgeon; OR </w:t>
            </w:r>
          </w:p>
        </w:tc>
      </w:tr>
      <w:tr w:rsidR="0022217D" w:rsidRPr="00D85808" w14:paraId="4E40F1A4"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EFA5038" w14:textId="3BB1A7CD"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63E473F2" w14:textId="77777777" w:rsidR="0022217D" w:rsidRPr="00D85808" w:rsidRDefault="0022217D" w:rsidP="004171F4">
            <w:pPr>
              <w:jc w:val="left"/>
              <w:rPr>
                <w:rFonts w:ascii="Arial Narrow" w:hAnsi="Arial Narrow" w:cs="Times New Roman"/>
                <w:color w:val="000000"/>
                <w:sz w:val="20"/>
                <w:szCs w:val="20"/>
              </w:rPr>
            </w:pPr>
            <w:r w:rsidRPr="00D85808">
              <w:rPr>
                <w:rFonts w:ascii="Arial Narrow" w:hAnsi="Arial Narrow" w:cs="Times New Roman"/>
                <w:color w:val="000000"/>
                <w:sz w:val="20"/>
                <w:szCs w:val="20"/>
              </w:rPr>
              <w:t>Must be treated by a geriatrician</w:t>
            </w:r>
          </w:p>
        </w:tc>
      </w:tr>
      <w:tr w:rsidR="0022217D" w:rsidRPr="00D85808" w14:paraId="5E815E3E"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C82FB8B" w14:textId="297F260C"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37F8CA9B" w14:textId="77777777" w:rsidR="0022217D" w:rsidRPr="00D85808" w:rsidRDefault="0022217D" w:rsidP="004171F4">
            <w:pPr>
              <w:jc w:val="left"/>
              <w:rPr>
                <w:rFonts w:ascii="Arial Narrow" w:hAnsi="Arial Narrow" w:cs="Times New Roman"/>
                <w:color w:val="333333"/>
                <w:sz w:val="20"/>
                <w:szCs w:val="20"/>
              </w:rPr>
            </w:pPr>
            <w:r w:rsidRPr="00D85808">
              <w:rPr>
                <w:rFonts w:ascii="Arial Narrow" w:hAnsi="Arial Narrow" w:cs="Times New Roman"/>
                <w:b/>
                <w:bCs/>
                <w:color w:val="333333"/>
                <w:sz w:val="20"/>
                <w:szCs w:val="20"/>
              </w:rPr>
              <w:t>Population criteria:</w:t>
            </w:r>
          </w:p>
        </w:tc>
      </w:tr>
      <w:tr w:rsidR="0022217D" w:rsidRPr="00D85808" w14:paraId="603C49A8" w14:textId="77777777" w:rsidTr="0029585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4096ABC" w14:textId="0DE36FEE"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18506B97" w14:textId="628C2EB2" w:rsidR="0022217D" w:rsidRPr="0077051D" w:rsidRDefault="0022217D" w:rsidP="004171F4">
            <w:pPr>
              <w:jc w:val="left"/>
              <w:rPr>
                <w:rFonts w:ascii="Arial Narrow" w:hAnsi="Arial Narrow" w:cs="Times New Roman"/>
                <w:color w:val="333333"/>
                <w:sz w:val="20"/>
                <w:szCs w:val="20"/>
              </w:rPr>
            </w:pPr>
            <w:r w:rsidRPr="00D85808">
              <w:rPr>
                <w:rFonts w:ascii="Arial Narrow" w:hAnsi="Arial Narrow" w:cs="Times New Roman"/>
                <w:color w:val="000000"/>
                <w:sz w:val="20"/>
                <w:szCs w:val="20"/>
              </w:rPr>
              <w:t>Patient must be</w:t>
            </w:r>
            <w:r w:rsidRPr="0068433A">
              <w:rPr>
                <w:rFonts w:ascii="Arial Narrow" w:hAnsi="Arial Narrow" w:cs="Times New Roman"/>
                <w:color w:val="000000"/>
                <w:sz w:val="20"/>
                <w:szCs w:val="20"/>
              </w:rPr>
              <w:t xml:space="preserve"> </w:t>
            </w:r>
            <w:r w:rsidRPr="0077051D">
              <w:rPr>
                <w:rFonts w:ascii="Arial Narrow" w:hAnsi="Arial Narrow" w:cs="Times New Roman"/>
                <w:color w:val="000000"/>
                <w:sz w:val="20"/>
                <w:szCs w:val="20"/>
              </w:rPr>
              <w:t xml:space="preserve">at least 18 years of age. </w:t>
            </w:r>
          </w:p>
        </w:tc>
      </w:tr>
      <w:tr w:rsidR="0022217D" w:rsidRPr="00D85808" w14:paraId="2E7C1E0E" w14:textId="77777777" w:rsidTr="0029585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3E2AF04" w14:textId="6949C192"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hideMark/>
          </w:tcPr>
          <w:p w14:paraId="2A60DF08" w14:textId="77777777" w:rsidR="0022217D" w:rsidRPr="00D85808" w:rsidRDefault="0022217D" w:rsidP="004171F4">
            <w:pPr>
              <w:jc w:val="left"/>
              <w:rPr>
                <w:rFonts w:ascii="Arial Narrow" w:hAnsi="Arial Narrow" w:cs="Times New Roman"/>
                <w:bCs/>
                <w:color w:val="000000"/>
                <w:sz w:val="20"/>
                <w:szCs w:val="20"/>
              </w:rPr>
            </w:pPr>
            <w:r w:rsidRPr="00D85808">
              <w:rPr>
                <w:rFonts w:ascii="Arial Narrow" w:hAnsi="Arial Narrow" w:cs="Times New Roman"/>
                <w:b/>
                <w:bCs/>
                <w:color w:val="000000"/>
                <w:sz w:val="20"/>
                <w:szCs w:val="20"/>
              </w:rPr>
              <w:t xml:space="preserve">Administrative Advice: </w:t>
            </w:r>
          </w:p>
          <w:p w14:paraId="615900AF" w14:textId="765BD077" w:rsidR="0022217D" w:rsidRPr="00D85808" w:rsidRDefault="0022217D" w:rsidP="004171F4">
            <w:pPr>
              <w:jc w:val="left"/>
              <w:rPr>
                <w:rFonts w:ascii="Arial Narrow" w:hAnsi="Arial Narrow" w:cs="Times New Roman"/>
                <w:color w:val="333333"/>
                <w:sz w:val="20"/>
                <w:szCs w:val="20"/>
              </w:rPr>
            </w:pPr>
            <w:r w:rsidRPr="00D85808">
              <w:rPr>
                <w:rFonts w:ascii="Arial Narrow" w:hAnsi="Arial Narrow" w:cs="Times New Roman"/>
                <w:bCs/>
                <w:color w:val="000000"/>
                <w:sz w:val="20"/>
                <w:szCs w:val="20"/>
              </w:rPr>
              <w:t>Standard management includes physiotherapy and/or oral spasticity agents.</w:t>
            </w:r>
          </w:p>
        </w:tc>
      </w:tr>
      <w:tr w:rsidR="0022217D" w:rsidRPr="00D85808" w14:paraId="3EE744A2" w14:textId="77777777" w:rsidTr="00EE5781">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A99C8D0" w14:textId="4D93DC26" w:rsidR="0022217D" w:rsidRPr="00D85808" w:rsidRDefault="0022217D" w:rsidP="004171F4">
            <w:pPr>
              <w:jc w:val="center"/>
              <w:rPr>
                <w:rFonts w:ascii="Arial Narrow" w:hAnsi="Arial Narrow" w:cs="Times New Roman"/>
                <w:color w:val="000000"/>
                <w:sz w:val="20"/>
                <w:szCs w:val="20"/>
              </w:rPr>
            </w:pPr>
          </w:p>
        </w:tc>
        <w:tc>
          <w:tcPr>
            <w:tcW w:w="4295" w:type="pct"/>
            <w:gridSpan w:val="6"/>
            <w:vAlign w:val="center"/>
          </w:tcPr>
          <w:p w14:paraId="28B9C994" w14:textId="77777777" w:rsidR="0022217D" w:rsidRPr="00D85808" w:rsidRDefault="0022217D" w:rsidP="004171F4">
            <w:pPr>
              <w:jc w:val="left"/>
              <w:rPr>
                <w:rFonts w:ascii="Arial Narrow" w:hAnsi="Arial Narrow" w:cs="Times New Roman"/>
                <w:bCs/>
                <w:color w:val="000000"/>
                <w:sz w:val="20"/>
                <w:szCs w:val="20"/>
              </w:rPr>
            </w:pPr>
            <w:r w:rsidRPr="00D85808">
              <w:rPr>
                <w:rFonts w:ascii="Arial Narrow" w:hAnsi="Arial Narrow" w:cs="Times New Roman"/>
                <w:b/>
                <w:bCs/>
                <w:color w:val="000000"/>
                <w:sz w:val="20"/>
                <w:szCs w:val="20"/>
              </w:rPr>
              <w:t xml:space="preserve">Administrative Advice: </w:t>
            </w:r>
          </w:p>
          <w:p w14:paraId="7A76E976" w14:textId="77777777" w:rsidR="0022217D" w:rsidRPr="0077051D" w:rsidRDefault="0022217D" w:rsidP="004171F4">
            <w:pPr>
              <w:jc w:val="left"/>
              <w:rPr>
                <w:rFonts w:ascii="Arial Narrow" w:hAnsi="Arial Narrow" w:cs="Times New Roman"/>
                <w:color w:val="000000"/>
                <w:sz w:val="20"/>
                <w:szCs w:val="20"/>
              </w:rPr>
            </w:pPr>
            <w:r w:rsidRPr="0077051D">
              <w:rPr>
                <w:rFonts w:ascii="Arial Narrow" w:hAnsi="Arial Narrow" w:cs="Times New Roman"/>
                <w:color w:val="000000"/>
                <w:sz w:val="20"/>
                <w:szCs w:val="20"/>
              </w:rPr>
              <w:t>An acute event may be clinical external event that leads to upper motor neuron lesions resulting in spasticity for example stroke, traumatic brain injury, spinal cord injury, infection or hypoxia.</w:t>
            </w:r>
          </w:p>
        </w:tc>
      </w:tr>
    </w:tbl>
    <w:p w14:paraId="4908D9C4" w14:textId="6E5E4C21" w:rsidR="00174CF9" w:rsidRDefault="0022217D" w:rsidP="004C515E">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54"/>
    </w:p>
    <w:p w14:paraId="73A300DF" w14:textId="42E102E8" w:rsidR="00174CF9" w:rsidRPr="00061CBE" w:rsidRDefault="00174CF9" w:rsidP="00174CF9">
      <w:pPr>
        <w:pStyle w:val="2-SectionHeading"/>
        <w:numPr>
          <w:ilvl w:val="0"/>
          <w:numId w:val="0"/>
        </w:numPr>
        <w:ind w:left="720" w:hanging="720"/>
        <w:rPr>
          <w:lang w:val="en-GB"/>
        </w:rPr>
      </w:pPr>
      <w:r>
        <w:t>9</w:t>
      </w:r>
      <w:r w:rsidRPr="00061CBE">
        <w:tab/>
        <w:t>Context for Decision</w:t>
      </w:r>
    </w:p>
    <w:p w14:paraId="4F655E40" w14:textId="77777777" w:rsidR="00174CF9" w:rsidRPr="00061CBE" w:rsidRDefault="00174CF9" w:rsidP="00174CF9">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DDA52C" w14:textId="2B78F35E" w:rsidR="00174CF9" w:rsidRPr="00061CBE" w:rsidRDefault="00174CF9" w:rsidP="00174CF9">
      <w:pPr>
        <w:pStyle w:val="2-SectionHeading"/>
        <w:numPr>
          <w:ilvl w:val="0"/>
          <w:numId w:val="0"/>
        </w:numPr>
        <w:ind w:left="720" w:hanging="720"/>
      </w:pPr>
      <w:r>
        <w:t>10</w:t>
      </w:r>
      <w:r w:rsidRPr="00061CBE">
        <w:tab/>
        <w:t>Sponsor’s Comment</w:t>
      </w:r>
    </w:p>
    <w:p w14:paraId="333AEC87" w14:textId="77777777" w:rsidR="00174CF9" w:rsidRDefault="00174CF9" w:rsidP="00174CF9">
      <w:pPr>
        <w:ind w:firstLine="720"/>
        <w:rPr>
          <w:bCs/>
        </w:rPr>
      </w:pPr>
      <w:r w:rsidRPr="00061CBE">
        <w:rPr>
          <w:bCs/>
        </w:rPr>
        <w:t>The sponsor had no comment.</w:t>
      </w:r>
    </w:p>
    <w:p w14:paraId="3808DB13" w14:textId="77777777" w:rsidR="00174CF9" w:rsidRPr="004C515E" w:rsidRDefault="00174CF9" w:rsidP="004C515E">
      <w:pPr>
        <w:spacing w:before="120"/>
        <w:rPr>
          <w:rFonts w:asciiTheme="minorHAnsi" w:hAnsiTheme="minorHAnsi"/>
          <w:b/>
          <w:i/>
          <w:iCs/>
          <w:snapToGrid w:val="0"/>
          <w:lang w:val="en-GB"/>
        </w:rPr>
      </w:pPr>
    </w:p>
    <w:sectPr w:rsidR="00174CF9" w:rsidRPr="004C515E"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EE1" w14:textId="77777777" w:rsidR="000152AF" w:rsidRDefault="000152AF" w:rsidP="00124A51">
      <w:r>
        <w:separator/>
      </w:r>
    </w:p>
    <w:p w14:paraId="13E03A82" w14:textId="77777777" w:rsidR="000152AF" w:rsidRDefault="000152AF"/>
  </w:endnote>
  <w:endnote w:type="continuationSeparator" w:id="0">
    <w:p w14:paraId="2A552428" w14:textId="77777777" w:rsidR="000152AF" w:rsidRDefault="000152AF" w:rsidP="00124A51">
      <w:r>
        <w:continuationSeparator/>
      </w:r>
    </w:p>
    <w:p w14:paraId="1F58E33B" w14:textId="77777777" w:rsidR="000152AF" w:rsidRDefault="00015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D7" w14:textId="4FB605CE" w:rsidR="00D843F2" w:rsidRDefault="000869CC">
    <w:pPr>
      <w:pStyle w:val="Footer"/>
    </w:pPr>
    <w:r>
      <w:rPr>
        <w:noProof/>
      </w:rPr>
      <mc:AlternateContent>
        <mc:Choice Requires="wps">
          <w:drawing>
            <wp:anchor distT="0" distB="0" distL="0" distR="0" simplePos="0" relativeHeight="251663365" behindDoc="0" locked="0" layoutInCell="1" allowOverlap="1" wp14:anchorId="15097F6A" wp14:editId="667A1BEC">
              <wp:simplePos x="635" y="635"/>
              <wp:positionH relativeFrom="page">
                <wp:align>center</wp:align>
              </wp:positionH>
              <wp:positionV relativeFrom="page">
                <wp:align>bottom</wp:align>
              </wp:positionV>
              <wp:extent cx="622300" cy="376555"/>
              <wp:effectExtent l="0" t="0" r="6350" b="0"/>
              <wp:wrapNone/>
              <wp:docPr id="2227080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5AB3AF" w14:textId="04AC2834"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97F6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A5AB3AF" w14:textId="04AC2834"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73FBFD0" w:rsidR="00D843F2" w:rsidRDefault="000869CC" w:rsidP="00753B29">
    <w:pPr>
      <w:pStyle w:val="Footer"/>
      <w:jc w:val="center"/>
    </w:pPr>
    <w:r>
      <w:rPr>
        <w:noProof/>
      </w:rPr>
      <mc:AlternateContent>
        <mc:Choice Requires="wps">
          <w:drawing>
            <wp:anchor distT="0" distB="0" distL="0" distR="0" simplePos="0" relativeHeight="251664389" behindDoc="0" locked="0" layoutInCell="1" allowOverlap="1" wp14:anchorId="13AE8015" wp14:editId="5E2F04C5">
              <wp:simplePos x="635" y="635"/>
              <wp:positionH relativeFrom="page">
                <wp:align>center</wp:align>
              </wp:positionH>
              <wp:positionV relativeFrom="page">
                <wp:align>bottom</wp:align>
              </wp:positionV>
              <wp:extent cx="622300" cy="376555"/>
              <wp:effectExtent l="0" t="0" r="6350" b="0"/>
              <wp:wrapNone/>
              <wp:docPr id="7092943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9C4633" w14:textId="6D3DBDAF"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E8015"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39C4633" w14:textId="6D3DBDAF"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v:textbox>
              <w10:wrap anchorx="page" anchory="page"/>
            </v:shape>
          </w:pict>
        </mc:Fallback>
      </mc:AlternateContent>
    </w:r>
  </w:p>
  <w:p w14:paraId="37484CD3" w14:textId="433CFE50"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4E7" w14:textId="1BA4FFF4" w:rsidR="00D843F2" w:rsidRDefault="000869CC">
    <w:pPr>
      <w:pStyle w:val="Footer"/>
    </w:pPr>
    <w:r>
      <w:rPr>
        <w:noProof/>
      </w:rPr>
      <mc:AlternateContent>
        <mc:Choice Requires="wps">
          <w:drawing>
            <wp:anchor distT="0" distB="0" distL="0" distR="0" simplePos="0" relativeHeight="251662341" behindDoc="0" locked="0" layoutInCell="1" allowOverlap="1" wp14:anchorId="23FBF967" wp14:editId="783982CD">
              <wp:simplePos x="635" y="635"/>
              <wp:positionH relativeFrom="page">
                <wp:align>center</wp:align>
              </wp:positionH>
              <wp:positionV relativeFrom="page">
                <wp:align>bottom</wp:align>
              </wp:positionV>
              <wp:extent cx="622300" cy="376555"/>
              <wp:effectExtent l="0" t="0" r="6350" b="0"/>
              <wp:wrapNone/>
              <wp:docPr id="11883960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BD16C0" w14:textId="611EA0A9"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BF96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0BD16C0" w14:textId="611EA0A9"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D72A" w14:textId="77777777" w:rsidR="000152AF" w:rsidRDefault="000152AF" w:rsidP="00124A51">
      <w:r>
        <w:separator/>
      </w:r>
    </w:p>
    <w:p w14:paraId="1EBB4F89" w14:textId="77777777" w:rsidR="000152AF" w:rsidRDefault="000152AF"/>
  </w:footnote>
  <w:footnote w:type="continuationSeparator" w:id="0">
    <w:p w14:paraId="417C8AFB" w14:textId="77777777" w:rsidR="000152AF" w:rsidRDefault="000152AF" w:rsidP="00124A51">
      <w:r>
        <w:continuationSeparator/>
      </w:r>
    </w:p>
    <w:p w14:paraId="61EC8DDB" w14:textId="77777777" w:rsidR="000152AF" w:rsidRDefault="000152AF"/>
  </w:footnote>
  <w:footnote w:id="1">
    <w:p w14:paraId="2B95AB25" w14:textId="425C4FA2" w:rsidR="00C62F2F" w:rsidRDefault="00C62F2F">
      <w:pPr>
        <w:pStyle w:val="FootnoteText"/>
      </w:pPr>
      <w:r>
        <w:rPr>
          <w:rStyle w:val="FootnoteReference"/>
        </w:rPr>
        <w:footnoteRef/>
      </w:r>
      <w:r>
        <w:t xml:space="preserve"> </w:t>
      </w:r>
      <w:r w:rsidRPr="00C62F2F">
        <w:t>https://informme.org.au/guidelines/living-clinical-guidelines-for-stroke-management</w:t>
      </w:r>
      <w:r>
        <w:t xml:space="preserve"> accessed 29 November 2025. </w:t>
      </w:r>
    </w:p>
  </w:footnote>
  <w:footnote w:id="2">
    <w:p w14:paraId="7656CDDC" w14:textId="4B27427F" w:rsidR="002B5487" w:rsidRDefault="002B5487" w:rsidP="002B5487">
      <w:pPr>
        <w:pStyle w:val="FootnoteText"/>
      </w:pPr>
      <w:r>
        <w:rPr>
          <w:rStyle w:val="FootnoteReference"/>
        </w:rPr>
        <w:footnoteRef/>
      </w:r>
      <w:r>
        <w:t xml:space="preserve"> Nomenclature of botulinum toxin preparations is confused. IncobotulinumtoxinA, onabotulinumtoxinA and abobotulinumtoxinA are US Adopted Names</w:t>
      </w:r>
      <w:r w:rsidR="008637A8">
        <w:t>, unique</w:t>
      </w:r>
      <w:r>
        <w:t xml:space="preserve"> to Xeomin, Botox and Dysport respectively. Outside the US the usual non-proprietary name, applied to all preparations, is Botulinum Toxin Type A. Botox and Dysport are listed on the ARTG </w:t>
      </w:r>
      <w:r w:rsidRPr="00EF4E7C">
        <w:rPr>
          <w:i/>
          <w:iCs/>
        </w:rPr>
        <w:t>only</w:t>
      </w:r>
      <w:r>
        <w:t xml:space="preserve"> under Botulinum Toxin Type A and searches for onabotulinumtoxinA and abobotulinumtoxinA produce no results. Xeomin, however, is listed </w:t>
      </w:r>
      <w:r w:rsidRPr="00EF4E7C">
        <w:rPr>
          <w:i/>
          <w:iCs/>
        </w:rPr>
        <w:t>only</w:t>
      </w:r>
      <w:r>
        <w:t xml:space="preserve"> under incobotulinumtoxinA and a search for Botulinum Toxin Type A does not produce the ARTG entry for Xeomin. Previous PBAC Public Summary Documents have used the trade names, and this practice will be generally used in the Commentary.</w:t>
      </w:r>
    </w:p>
  </w:footnote>
  <w:footnote w:id="3">
    <w:p w14:paraId="472AEAB5" w14:textId="0175C454" w:rsidR="00B03622" w:rsidRDefault="00B03622">
      <w:pPr>
        <w:pStyle w:val="FootnoteText"/>
      </w:pPr>
      <w:r>
        <w:rPr>
          <w:rStyle w:val="FootnoteReference"/>
        </w:rPr>
        <w:footnoteRef/>
      </w:r>
      <w:r>
        <w:t xml:space="preserve"> Carruthers JD. </w:t>
      </w:r>
      <w:r w:rsidRPr="004E7C74">
        <w:t>Overview of botulinum toxin for cosmetic indications</w:t>
      </w:r>
      <w:r>
        <w:t>, Immunogenicity. In: UpToDate, Connor RF (ed) Wolters Kluwer, Accessed 12 January 2026.</w:t>
      </w:r>
    </w:p>
  </w:footnote>
  <w:footnote w:id="4">
    <w:p w14:paraId="34F56704" w14:textId="15763676" w:rsidR="0069592B" w:rsidRPr="0069592B" w:rsidRDefault="0069592B" w:rsidP="0069592B">
      <w:pPr>
        <w:pStyle w:val="FootnoteText"/>
      </w:pPr>
      <w:r>
        <w:rPr>
          <w:rStyle w:val="FootnoteReference"/>
        </w:rPr>
        <w:footnoteRef/>
      </w:r>
      <w:r>
        <w:t xml:space="preserve"> Gracies JM, Esquenazi A, Brashear A, et al. </w:t>
      </w:r>
      <w:r w:rsidRPr="0069592B">
        <w:t>Efficacy and safety of abobotulinumtoxinA in spastic lower limb</w:t>
      </w:r>
      <w:r w:rsidR="00E33030">
        <w:t>:</w:t>
      </w:r>
      <w:r w:rsidRPr="0069592B">
        <w:br/>
        <w:t>Randomized trial and extension.</w:t>
      </w:r>
      <w:r>
        <w:t xml:space="preserve"> </w:t>
      </w:r>
      <w:r w:rsidRPr="0069592B">
        <w:rPr>
          <w:i/>
          <w:iCs/>
        </w:rPr>
        <w:t>Neurology</w:t>
      </w:r>
      <w:r>
        <w:t xml:space="preserve"> 2017; 898:2245-2253. </w:t>
      </w:r>
    </w:p>
    <w:p w14:paraId="1939A082" w14:textId="457DC8B6" w:rsidR="0069592B" w:rsidRDefault="0069592B">
      <w:pPr>
        <w:pStyle w:val="FootnoteText"/>
      </w:pPr>
    </w:p>
  </w:footnote>
  <w:footnote w:id="5">
    <w:p w14:paraId="5D452CD9" w14:textId="77777777" w:rsidR="00A52694" w:rsidRDefault="00A52694" w:rsidP="00A52694">
      <w:pPr>
        <w:pStyle w:val="FootnoteText"/>
      </w:pPr>
      <w:r>
        <w:rPr>
          <w:rStyle w:val="FootnoteReference"/>
        </w:rPr>
        <w:footnoteRef/>
      </w:r>
      <w:r>
        <w:t xml:space="preserve"> </w:t>
      </w:r>
      <w:r w:rsidRPr="005D6D3D">
        <w:t>Rahman</w:t>
      </w:r>
      <w:r>
        <w:t xml:space="preserve"> E</w:t>
      </w:r>
      <w:r w:rsidRPr="005D6D3D">
        <w:t>, Alhitmi</w:t>
      </w:r>
      <w:r>
        <w:t xml:space="preserve"> HK</w:t>
      </w:r>
      <w:r w:rsidRPr="005D6D3D">
        <w:t>, Mosahebi</w:t>
      </w:r>
      <w:r>
        <w:t xml:space="preserve"> A.</w:t>
      </w:r>
      <w:r w:rsidRPr="005D6D3D">
        <w:t xml:space="preserve"> Immunogenicity to Botulinum Toxin Type A: A </w:t>
      </w:r>
      <w:r>
        <w:t>s</w:t>
      </w:r>
      <w:r w:rsidRPr="005D6D3D">
        <w:t xml:space="preserve">ystematic </w:t>
      </w:r>
      <w:r>
        <w:t>r</w:t>
      </w:r>
      <w:r w:rsidRPr="005D6D3D">
        <w:t xml:space="preserve">eview </w:t>
      </w:r>
      <w:r>
        <w:t>w</w:t>
      </w:r>
      <w:r w:rsidRPr="005D6D3D">
        <w:t xml:space="preserve">ith </w:t>
      </w:r>
      <w:r>
        <w:t>m</w:t>
      </w:r>
      <w:r w:rsidRPr="005D6D3D">
        <w:t>eta-</w:t>
      </w:r>
      <w:r>
        <w:t>a</w:t>
      </w:r>
      <w:r w:rsidRPr="005D6D3D">
        <w:t xml:space="preserve">nalysis </w:t>
      </w:r>
      <w:r>
        <w:t>a</w:t>
      </w:r>
      <w:r w:rsidRPr="005D6D3D">
        <w:t xml:space="preserve">cross </w:t>
      </w:r>
      <w:r>
        <w:t>t</w:t>
      </w:r>
      <w:r w:rsidRPr="005D6D3D">
        <w:t xml:space="preserve">herapeutic </w:t>
      </w:r>
      <w:r>
        <w:t>i</w:t>
      </w:r>
      <w:r w:rsidRPr="005D6D3D">
        <w:t>ndications</w:t>
      </w:r>
      <w:r>
        <w:t>.</w:t>
      </w:r>
      <w:r w:rsidRPr="005D6D3D">
        <w:t xml:space="preserve"> </w:t>
      </w:r>
      <w:r w:rsidRPr="005D6D3D">
        <w:rPr>
          <w:i/>
          <w:iCs/>
        </w:rPr>
        <w:t>Aesthetic Surg J</w:t>
      </w:r>
      <w:r>
        <w:rPr>
          <w:i/>
          <w:iCs/>
        </w:rPr>
        <w:t xml:space="preserve"> 2022; </w:t>
      </w:r>
      <w:r w:rsidRPr="005D6D3D">
        <w:t>42</w:t>
      </w:r>
      <w:r>
        <w:t>:</w:t>
      </w:r>
      <w:r w:rsidRPr="005D6D3D">
        <w:t>106–120</w:t>
      </w:r>
      <w:r>
        <w:t xml:space="preserve">. </w:t>
      </w:r>
    </w:p>
    <w:p w14:paraId="770415F4" w14:textId="41D665D6" w:rsidR="00A52694" w:rsidRDefault="00A52694">
      <w:pPr>
        <w:pStyle w:val="FootnoteText"/>
      </w:pPr>
    </w:p>
  </w:footnote>
  <w:footnote w:id="6">
    <w:p w14:paraId="61825918" w14:textId="1CF6DD44" w:rsidR="00C00B82" w:rsidRDefault="00C00B82">
      <w:pPr>
        <w:pStyle w:val="FootnoteText"/>
      </w:pPr>
      <w:r>
        <w:rPr>
          <w:rStyle w:val="FootnoteReference"/>
        </w:rPr>
        <w:footnoteRef/>
      </w:r>
      <w:r>
        <w:t xml:space="preserve"> Gracies JM, Esquenazi A, Brashear A, et al. </w:t>
      </w:r>
      <w:r w:rsidRPr="00C00B82">
        <w:t>Efficacy and safety of abobotulinumtoxinA</w:t>
      </w:r>
      <w:r>
        <w:t xml:space="preserve"> </w:t>
      </w:r>
      <w:r w:rsidRPr="00C00B82">
        <w:t>in spastic lower limb</w:t>
      </w:r>
      <w:r>
        <w:t xml:space="preserve">. </w:t>
      </w:r>
      <w:r w:rsidRPr="00C00B82">
        <w:rPr>
          <w:i/>
          <w:iCs/>
        </w:rPr>
        <w:t>Neurology</w:t>
      </w:r>
      <w:r>
        <w:t xml:space="preserve"> 2017; 89:2245-2253. </w:t>
      </w:r>
    </w:p>
  </w:footnote>
  <w:footnote w:id="7">
    <w:p w14:paraId="2A895322" w14:textId="77777777" w:rsidR="00E150DB" w:rsidRPr="00F51C90" w:rsidRDefault="00E150DB" w:rsidP="00E150DB">
      <w:pPr>
        <w:pStyle w:val="FootnoteText"/>
      </w:pPr>
      <w:r>
        <w:rPr>
          <w:rStyle w:val="FootnoteReference"/>
        </w:rPr>
        <w:footnoteRef/>
      </w:r>
      <w:r>
        <w:t xml:space="preserve"> Wissel J, Bensmail D, Ferreira JJ, et al. </w:t>
      </w:r>
      <w:r w:rsidRPr="00F51C90">
        <w:t>Safety and efficacy of incobotulinumtoxinA doses up to 800 U in limb spasticity</w:t>
      </w:r>
      <w:r>
        <w:t>: t</w:t>
      </w:r>
      <w:r w:rsidRPr="00F51C90">
        <w:t>he TOWER study</w:t>
      </w:r>
      <w:r>
        <w:t xml:space="preserve">. </w:t>
      </w:r>
      <w:r w:rsidRPr="00F51C90">
        <w:rPr>
          <w:i/>
          <w:iCs/>
        </w:rPr>
        <w:t>Neurology</w:t>
      </w:r>
      <w:r>
        <w:t xml:space="preserve"> 2017; 88:1321-1328. </w:t>
      </w:r>
    </w:p>
    <w:p w14:paraId="7147184A" w14:textId="77777777" w:rsidR="00E150DB" w:rsidRDefault="00E150DB" w:rsidP="00E150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F1A5" w14:textId="39B5067E" w:rsidR="00D843F2" w:rsidRDefault="000869CC">
    <w:pPr>
      <w:pStyle w:val="Header"/>
    </w:pPr>
    <w:r>
      <w:rPr>
        <w:noProof/>
      </w:rPr>
      <mc:AlternateContent>
        <mc:Choice Requires="wps">
          <w:drawing>
            <wp:anchor distT="0" distB="0" distL="0" distR="0" simplePos="0" relativeHeight="251660293" behindDoc="0" locked="0" layoutInCell="1" allowOverlap="1" wp14:anchorId="70C6D5FB" wp14:editId="62203125">
              <wp:simplePos x="635" y="635"/>
              <wp:positionH relativeFrom="page">
                <wp:align>center</wp:align>
              </wp:positionH>
              <wp:positionV relativeFrom="page">
                <wp:align>top</wp:align>
              </wp:positionV>
              <wp:extent cx="622300" cy="376555"/>
              <wp:effectExtent l="0" t="0" r="6350" b="4445"/>
              <wp:wrapNone/>
              <wp:docPr id="10955471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8D82CA" w14:textId="78DF5E8A"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6D5F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D8D82CA" w14:textId="78DF5E8A"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650C3CE" w:rsidR="00D843F2" w:rsidRPr="00195452" w:rsidRDefault="000869CC"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6CA58A13" wp14:editId="22E2DB88">
              <wp:simplePos x="635" y="635"/>
              <wp:positionH relativeFrom="page">
                <wp:align>center</wp:align>
              </wp:positionH>
              <wp:positionV relativeFrom="page">
                <wp:align>top</wp:align>
              </wp:positionV>
              <wp:extent cx="622300" cy="376555"/>
              <wp:effectExtent l="0" t="0" r="6350" b="4445"/>
              <wp:wrapNone/>
              <wp:docPr id="6608395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60551C" w14:textId="27ADEC0A"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58A1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160551C" w14:textId="27ADEC0A"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v:textbox>
              <w10:wrap anchorx="page" anchory="page"/>
            </v:shape>
          </w:pict>
        </mc:Fallback>
      </mc:AlternateContent>
    </w:r>
    <w:r w:rsidR="007F31EB">
      <w:rPr>
        <w:rFonts w:asciiTheme="minorHAnsi" w:hAnsiTheme="minorHAnsi"/>
        <w:color w:val="808080"/>
      </w:rPr>
      <w:t>Public Summary Document</w:t>
    </w:r>
    <w:r w:rsidR="00C520B1">
      <w:rPr>
        <w:rFonts w:asciiTheme="minorHAnsi" w:hAnsiTheme="minorHAnsi"/>
        <w:color w:val="808080"/>
      </w:rPr>
      <w:t xml:space="preserve"> – </w:t>
    </w:r>
    <w:r w:rsidR="00D843F2">
      <w:rPr>
        <w:rFonts w:asciiTheme="minorHAnsi" w:hAnsiTheme="minorHAnsi"/>
        <w:color w:val="808080"/>
      </w:rPr>
      <w:t>M</w:t>
    </w:r>
    <w:r w:rsidR="00F14B5A">
      <w:rPr>
        <w:rFonts w:asciiTheme="minorHAnsi" w:hAnsiTheme="minorHAnsi"/>
        <w:color w:val="808080"/>
      </w:rPr>
      <w:t>arch</w:t>
    </w:r>
    <w:r w:rsidR="00D843F2">
      <w:rPr>
        <w:rFonts w:asciiTheme="minorHAnsi" w:hAnsiTheme="minorHAnsi"/>
        <w:color w:val="808080"/>
      </w:rPr>
      <w:t xml:space="preserve"> 202</w:t>
    </w:r>
    <w:r w:rsidR="00F14B5A">
      <w:rPr>
        <w:rFonts w:asciiTheme="minorHAnsi" w:hAnsiTheme="minorHAnsi"/>
        <w:color w:val="808080"/>
      </w:rPr>
      <w:t>6</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BE60" w14:textId="2004DB3E" w:rsidR="00D843F2" w:rsidRDefault="000869CC">
    <w:pPr>
      <w:pStyle w:val="Header"/>
    </w:pPr>
    <w:r>
      <w:rPr>
        <w:noProof/>
      </w:rPr>
      <mc:AlternateContent>
        <mc:Choice Requires="wps">
          <w:drawing>
            <wp:anchor distT="0" distB="0" distL="0" distR="0" simplePos="0" relativeHeight="251659269" behindDoc="0" locked="0" layoutInCell="1" allowOverlap="1" wp14:anchorId="755B93E4" wp14:editId="1FA70343">
              <wp:simplePos x="635" y="635"/>
              <wp:positionH relativeFrom="page">
                <wp:align>center</wp:align>
              </wp:positionH>
              <wp:positionV relativeFrom="page">
                <wp:align>top</wp:align>
              </wp:positionV>
              <wp:extent cx="622300" cy="376555"/>
              <wp:effectExtent l="0" t="0" r="6350" b="4445"/>
              <wp:wrapNone/>
              <wp:docPr id="16862294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1D4FF6" w14:textId="0D918F00"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B93E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61D4FF6" w14:textId="0D918F00" w:rsidR="000869CC" w:rsidRPr="000869CC" w:rsidRDefault="000869CC" w:rsidP="000869CC">
                    <w:pPr>
                      <w:rPr>
                        <w:rFonts w:ascii="Aptos" w:eastAsia="Aptos" w:hAnsi="Aptos" w:cs="Aptos"/>
                        <w:noProof/>
                        <w:color w:val="FF0000"/>
                      </w:rPr>
                    </w:pPr>
                    <w:r w:rsidRPr="000869C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81AC0"/>
    <w:multiLevelType w:val="hybridMultilevel"/>
    <w:tmpl w:val="D61A666E"/>
    <w:lvl w:ilvl="0" w:tplc="EADEF1DC">
      <w:start w:val="1"/>
      <w:numFmt w:val="lowerLetter"/>
      <w:lvlText w:val="%1."/>
      <w:lvlJc w:val="left"/>
      <w:pPr>
        <w:ind w:left="720" w:hanging="360"/>
      </w:pPr>
      <w:rPr>
        <w:rFonts w:asciiTheme="minorHAnsi" w:hAnsiTheme="minorHAnsi" w:cstheme="minorHAnsi"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7D940F5"/>
    <w:multiLevelType w:val="hybridMultilevel"/>
    <w:tmpl w:val="7CBEFFBC"/>
    <w:lvl w:ilvl="0" w:tplc="33324CBC">
      <w:start w:val="3"/>
      <w:numFmt w:val="decimal"/>
      <w:lvlText w:val="%1."/>
      <w:lvlJc w:val="left"/>
      <w:pPr>
        <w:ind w:left="360" w:hanging="360"/>
      </w:pPr>
      <w:rPr>
        <w:rFonts w:asciiTheme="minorHAnsi" w:hAnsiTheme="minorHAnsi" w:cstheme="minorHAnsi" w:hint="default"/>
        <w:b w:val="0"/>
        <w:bCs w:val="0"/>
        <w:i w:val="0"/>
        <w:iCs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451DC"/>
    <w:multiLevelType w:val="hybridMultilevel"/>
    <w:tmpl w:val="47F29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0234F12"/>
    <w:multiLevelType w:val="hybridMultilevel"/>
    <w:tmpl w:val="55BC6656"/>
    <w:lvl w:ilvl="0" w:tplc="74683AEC">
      <w:start w:val="1"/>
      <w:numFmt w:val="bullet"/>
      <w:lvlText w:val="•"/>
      <w:lvlJc w:val="left"/>
      <w:pPr>
        <w:tabs>
          <w:tab w:val="num" w:pos="720"/>
        </w:tabs>
        <w:ind w:left="720" w:hanging="360"/>
      </w:pPr>
      <w:rPr>
        <w:rFonts w:ascii="Arial" w:hAnsi="Arial" w:hint="default"/>
      </w:rPr>
    </w:lvl>
    <w:lvl w:ilvl="1" w:tplc="F8D6B136" w:tentative="1">
      <w:start w:val="1"/>
      <w:numFmt w:val="bullet"/>
      <w:lvlText w:val="•"/>
      <w:lvlJc w:val="left"/>
      <w:pPr>
        <w:tabs>
          <w:tab w:val="num" w:pos="1440"/>
        </w:tabs>
        <w:ind w:left="1440" w:hanging="360"/>
      </w:pPr>
      <w:rPr>
        <w:rFonts w:ascii="Arial" w:hAnsi="Arial" w:hint="default"/>
      </w:rPr>
    </w:lvl>
    <w:lvl w:ilvl="2" w:tplc="E24E4E0A" w:tentative="1">
      <w:start w:val="1"/>
      <w:numFmt w:val="bullet"/>
      <w:lvlText w:val="•"/>
      <w:lvlJc w:val="left"/>
      <w:pPr>
        <w:tabs>
          <w:tab w:val="num" w:pos="2160"/>
        </w:tabs>
        <w:ind w:left="2160" w:hanging="360"/>
      </w:pPr>
      <w:rPr>
        <w:rFonts w:ascii="Arial" w:hAnsi="Arial" w:hint="default"/>
      </w:rPr>
    </w:lvl>
    <w:lvl w:ilvl="3" w:tplc="247068C2" w:tentative="1">
      <w:start w:val="1"/>
      <w:numFmt w:val="bullet"/>
      <w:lvlText w:val="•"/>
      <w:lvlJc w:val="left"/>
      <w:pPr>
        <w:tabs>
          <w:tab w:val="num" w:pos="2880"/>
        </w:tabs>
        <w:ind w:left="2880" w:hanging="360"/>
      </w:pPr>
      <w:rPr>
        <w:rFonts w:ascii="Arial" w:hAnsi="Arial" w:hint="default"/>
      </w:rPr>
    </w:lvl>
    <w:lvl w:ilvl="4" w:tplc="3D346D9E" w:tentative="1">
      <w:start w:val="1"/>
      <w:numFmt w:val="bullet"/>
      <w:lvlText w:val="•"/>
      <w:lvlJc w:val="left"/>
      <w:pPr>
        <w:tabs>
          <w:tab w:val="num" w:pos="3600"/>
        </w:tabs>
        <w:ind w:left="3600" w:hanging="360"/>
      </w:pPr>
      <w:rPr>
        <w:rFonts w:ascii="Arial" w:hAnsi="Arial" w:hint="default"/>
      </w:rPr>
    </w:lvl>
    <w:lvl w:ilvl="5" w:tplc="9F809984" w:tentative="1">
      <w:start w:val="1"/>
      <w:numFmt w:val="bullet"/>
      <w:lvlText w:val="•"/>
      <w:lvlJc w:val="left"/>
      <w:pPr>
        <w:tabs>
          <w:tab w:val="num" w:pos="4320"/>
        </w:tabs>
        <w:ind w:left="4320" w:hanging="360"/>
      </w:pPr>
      <w:rPr>
        <w:rFonts w:ascii="Arial" w:hAnsi="Arial" w:hint="default"/>
      </w:rPr>
    </w:lvl>
    <w:lvl w:ilvl="6" w:tplc="0D20F492" w:tentative="1">
      <w:start w:val="1"/>
      <w:numFmt w:val="bullet"/>
      <w:lvlText w:val="•"/>
      <w:lvlJc w:val="left"/>
      <w:pPr>
        <w:tabs>
          <w:tab w:val="num" w:pos="5040"/>
        </w:tabs>
        <w:ind w:left="5040" w:hanging="360"/>
      </w:pPr>
      <w:rPr>
        <w:rFonts w:ascii="Arial" w:hAnsi="Arial" w:hint="default"/>
      </w:rPr>
    </w:lvl>
    <w:lvl w:ilvl="7" w:tplc="25602332" w:tentative="1">
      <w:start w:val="1"/>
      <w:numFmt w:val="bullet"/>
      <w:lvlText w:val="•"/>
      <w:lvlJc w:val="left"/>
      <w:pPr>
        <w:tabs>
          <w:tab w:val="num" w:pos="5760"/>
        </w:tabs>
        <w:ind w:left="5760" w:hanging="360"/>
      </w:pPr>
      <w:rPr>
        <w:rFonts w:ascii="Arial" w:hAnsi="Arial" w:hint="default"/>
      </w:rPr>
    </w:lvl>
    <w:lvl w:ilvl="8" w:tplc="8EAAA9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1D80079E"/>
    <w:lvl w:ilvl="0" w:tplc="B4245DAC">
      <w:start w:val="1"/>
      <w:numFmt w:val="decimal"/>
      <w:lvlText w:val="%1."/>
      <w:lvlJc w:val="left"/>
      <w:pPr>
        <w:ind w:left="644" w:hanging="360"/>
      </w:pPr>
      <w:rPr>
        <w:rFonts w:asciiTheme="minorHAnsi" w:hAnsiTheme="minorHAnsi" w:cstheme="minorHAnsi" w:hint="default"/>
        <w:b w:val="0"/>
        <w:bCs w:val="0"/>
        <w:i w:val="0"/>
        <w:iCs w:val="0"/>
        <w:color w:val="auto"/>
        <w:sz w:val="24"/>
        <w:szCs w:val="24"/>
      </w:r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90070"/>
    <w:multiLevelType w:val="hybridMultilevel"/>
    <w:tmpl w:val="E612D4AA"/>
    <w:lvl w:ilvl="0" w:tplc="0560894A">
      <w:start w:val="1"/>
      <w:numFmt w:val="bullet"/>
      <w:lvlText w:val="•"/>
      <w:lvlJc w:val="left"/>
      <w:pPr>
        <w:tabs>
          <w:tab w:val="num" w:pos="720"/>
        </w:tabs>
        <w:ind w:left="720" w:hanging="360"/>
      </w:pPr>
      <w:rPr>
        <w:rFonts w:ascii="Arial" w:hAnsi="Arial" w:hint="default"/>
      </w:rPr>
    </w:lvl>
    <w:lvl w:ilvl="1" w:tplc="54FA7926" w:tentative="1">
      <w:start w:val="1"/>
      <w:numFmt w:val="bullet"/>
      <w:lvlText w:val="•"/>
      <w:lvlJc w:val="left"/>
      <w:pPr>
        <w:tabs>
          <w:tab w:val="num" w:pos="1440"/>
        </w:tabs>
        <w:ind w:left="1440" w:hanging="360"/>
      </w:pPr>
      <w:rPr>
        <w:rFonts w:ascii="Arial" w:hAnsi="Arial" w:hint="default"/>
      </w:rPr>
    </w:lvl>
    <w:lvl w:ilvl="2" w:tplc="49B281C2" w:tentative="1">
      <w:start w:val="1"/>
      <w:numFmt w:val="bullet"/>
      <w:lvlText w:val="•"/>
      <w:lvlJc w:val="left"/>
      <w:pPr>
        <w:tabs>
          <w:tab w:val="num" w:pos="2160"/>
        </w:tabs>
        <w:ind w:left="2160" w:hanging="360"/>
      </w:pPr>
      <w:rPr>
        <w:rFonts w:ascii="Arial" w:hAnsi="Arial" w:hint="default"/>
      </w:rPr>
    </w:lvl>
    <w:lvl w:ilvl="3" w:tplc="7F346DA8" w:tentative="1">
      <w:start w:val="1"/>
      <w:numFmt w:val="bullet"/>
      <w:lvlText w:val="•"/>
      <w:lvlJc w:val="left"/>
      <w:pPr>
        <w:tabs>
          <w:tab w:val="num" w:pos="2880"/>
        </w:tabs>
        <w:ind w:left="2880" w:hanging="360"/>
      </w:pPr>
      <w:rPr>
        <w:rFonts w:ascii="Arial" w:hAnsi="Arial" w:hint="default"/>
      </w:rPr>
    </w:lvl>
    <w:lvl w:ilvl="4" w:tplc="32CAC9CE" w:tentative="1">
      <w:start w:val="1"/>
      <w:numFmt w:val="bullet"/>
      <w:lvlText w:val="•"/>
      <w:lvlJc w:val="left"/>
      <w:pPr>
        <w:tabs>
          <w:tab w:val="num" w:pos="3600"/>
        </w:tabs>
        <w:ind w:left="3600" w:hanging="360"/>
      </w:pPr>
      <w:rPr>
        <w:rFonts w:ascii="Arial" w:hAnsi="Arial" w:hint="default"/>
      </w:rPr>
    </w:lvl>
    <w:lvl w:ilvl="5" w:tplc="5BB8365E" w:tentative="1">
      <w:start w:val="1"/>
      <w:numFmt w:val="bullet"/>
      <w:lvlText w:val="•"/>
      <w:lvlJc w:val="left"/>
      <w:pPr>
        <w:tabs>
          <w:tab w:val="num" w:pos="4320"/>
        </w:tabs>
        <w:ind w:left="4320" w:hanging="360"/>
      </w:pPr>
      <w:rPr>
        <w:rFonts w:ascii="Arial" w:hAnsi="Arial" w:hint="default"/>
      </w:rPr>
    </w:lvl>
    <w:lvl w:ilvl="6" w:tplc="0F52118A" w:tentative="1">
      <w:start w:val="1"/>
      <w:numFmt w:val="bullet"/>
      <w:lvlText w:val="•"/>
      <w:lvlJc w:val="left"/>
      <w:pPr>
        <w:tabs>
          <w:tab w:val="num" w:pos="5040"/>
        </w:tabs>
        <w:ind w:left="5040" w:hanging="360"/>
      </w:pPr>
      <w:rPr>
        <w:rFonts w:ascii="Arial" w:hAnsi="Arial" w:hint="default"/>
      </w:rPr>
    </w:lvl>
    <w:lvl w:ilvl="7" w:tplc="46FA6D54" w:tentative="1">
      <w:start w:val="1"/>
      <w:numFmt w:val="bullet"/>
      <w:lvlText w:val="•"/>
      <w:lvlJc w:val="left"/>
      <w:pPr>
        <w:tabs>
          <w:tab w:val="num" w:pos="5760"/>
        </w:tabs>
        <w:ind w:left="5760" w:hanging="360"/>
      </w:pPr>
      <w:rPr>
        <w:rFonts w:ascii="Arial" w:hAnsi="Arial" w:hint="default"/>
      </w:rPr>
    </w:lvl>
    <w:lvl w:ilvl="8" w:tplc="B344E6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8755E"/>
    <w:multiLevelType w:val="hybridMultilevel"/>
    <w:tmpl w:val="F6ACE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E2FAC"/>
    <w:multiLevelType w:val="hybridMultilevel"/>
    <w:tmpl w:val="1D80079E"/>
    <w:lvl w:ilvl="0" w:tplc="FFFFFFFF">
      <w:start w:val="1"/>
      <w:numFmt w:val="decimal"/>
      <w:lvlText w:val="%1."/>
      <w:lvlJc w:val="left"/>
      <w:pPr>
        <w:ind w:left="360" w:hanging="360"/>
      </w:pPr>
      <w:rPr>
        <w:rFonts w:asciiTheme="minorHAnsi" w:hAnsiTheme="minorHAnsi" w:cstheme="minorHAnsi" w:hint="default"/>
        <w:b w:val="0"/>
        <w:bCs w:val="0"/>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A12625C"/>
    <w:multiLevelType w:val="hybridMultilevel"/>
    <w:tmpl w:val="5222733E"/>
    <w:lvl w:ilvl="0" w:tplc="9E98AF40">
      <w:start w:val="1"/>
      <w:numFmt w:val="bullet"/>
      <w:lvlText w:val=""/>
      <w:lvlJc w:val="left"/>
      <w:pPr>
        <w:ind w:left="720" w:hanging="360"/>
      </w:pPr>
      <w:rPr>
        <w:rFonts w:ascii="Symbol" w:hAnsi="Symbol" w:hint="default"/>
        <w:color w:val="8DB3E2" w:themeColor="text2" w:themeTint="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4C1710"/>
    <w:multiLevelType w:val="hybridMultilevel"/>
    <w:tmpl w:val="D2049540"/>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351655"/>
    <w:multiLevelType w:val="hybridMultilevel"/>
    <w:tmpl w:val="FAF2CFC4"/>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2977F3"/>
    <w:multiLevelType w:val="hybridMultilevel"/>
    <w:tmpl w:val="F5740C9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4D033C"/>
    <w:multiLevelType w:val="multilevel"/>
    <w:tmpl w:val="3D1CD6C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EC272B"/>
    <w:multiLevelType w:val="hybridMultilevel"/>
    <w:tmpl w:val="F3EA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40"/>
  </w:num>
  <w:num w:numId="2" w16cid:durableId="917793048">
    <w:abstractNumId w:val="24"/>
  </w:num>
  <w:num w:numId="3" w16cid:durableId="324548822">
    <w:abstractNumId w:val="25"/>
  </w:num>
  <w:num w:numId="4" w16cid:durableId="320543630">
    <w:abstractNumId w:val="19"/>
  </w:num>
  <w:num w:numId="5" w16cid:durableId="263461728">
    <w:abstractNumId w:val="0"/>
  </w:num>
  <w:num w:numId="6" w16cid:durableId="193736528">
    <w:abstractNumId w:val="40"/>
  </w:num>
  <w:num w:numId="7" w16cid:durableId="318273948">
    <w:abstractNumId w:val="37"/>
  </w:num>
  <w:num w:numId="8" w16cid:durableId="9892165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577810">
    <w:abstractNumId w:val="12"/>
  </w:num>
  <w:num w:numId="10" w16cid:durableId="1156729720">
    <w:abstractNumId w:val="21"/>
  </w:num>
  <w:num w:numId="11" w16cid:durableId="704645582">
    <w:abstractNumId w:val="28"/>
  </w:num>
  <w:num w:numId="12" w16cid:durableId="1863592879">
    <w:abstractNumId w:val="10"/>
  </w:num>
  <w:num w:numId="13" w16cid:durableId="139346788">
    <w:abstractNumId w:val="41"/>
  </w:num>
  <w:num w:numId="14" w16cid:durableId="813834356">
    <w:abstractNumId w:val="33"/>
  </w:num>
  <w:num w:numId="15" w16cid:durableId="1718821935">
    <w:abstractNumId w:val="27"/>
  </w:num>
  <w:num w:numId="16" w16cid:durableId="1533883230">
    <w:abstractNumId w:val="23"/>
  </w:num>
  <w:num w:numId="17" w16cid:durableId="220360847">
    <w:abstractNumId w:val="35"/>
  </w:num>
  <w:num w:numId="18" w16cid:durableId="1195146128">
    <w:abstractNumId w:val="8"/>
  </w:num>
  <w:num w:numId="19" w16cid:durableId="22941560">
    <w:abstractNumId w:val="3"/>
  </w:num>
  <w:num w:numId="20" w16cid:durableId="1499031120">
    <w:abstractNumId w:val="8"/>
  </w:num>
  <w:num w:numId="21" w16cid:durableId="268196418">
    <w:abstractNumId w:val="18"/>
  </w:num>
  <w:num w:numId="22" w16cid:durableId="1438059578">
    <w:abstractNumId w:val="40"/>
  </w:num>
  <w:num w:numId="23" w16cid:durableId="1048839230">
    <w:abstractNumId w:val="40"/>
  </w:num>
  <w:num w:numId="24" w16cid:durableId="2077362522">
    <w:abstractNumId w:val="34"/>
  </w:num>
  <w:num w:numId="25" w16cid:durableId="142360765">
    <w:abstractNumId w:val="29"/>
  </w:num>
  <w:num w:numId="26" w16cid:durableId="706414841">
    <w:abstractNumId w:val="39"/>
  </w:num>
  <w:num w:numId="27" w16cid:durableId="1694109783">
    <w:abstractNumId w:val="11"/>
  </w:num>
  <w:num w:numId="28" w16cid:durableId="1779645457">
    <w:abstractNumId w:val="40"/>
  </w:num>
  <w:num w:numId="29" w16cid:durableId="1987003597">
    <w:abstractNumId w:val="20"/>
  </w:num>
  <w:num w:numId="30" w16cid:durableId="1021971401">
    <w:abstractNumId w:val="14"/>
  </w:num>
  <w:num w:numId="31" w16cid:durableId="995568292">
    <w:abstractNumId w:val="2"/>
  </w:num>
  <w:num w:numId="32" w16cid:durableId="479537097">
    <w:abstractNumId w:val="22"/>
  </w:num>
  <w:num w:numId="33" w16cid:durableId="396707217">
    <w:abstractNumId w:val="4"/>
  </w:num>
  <w:num w:numId="34" w16cid:durableId="141392481">
    <w:abstractNumId w:val="26"/>
  </w:num>
  <w:num w:numId="35" w16cid:durableId="126240624">
    <w:abstractNumId w:val="36"/>
  </w:num>
  <w:num w:numId="36" w16cid:durableId="1573005167">
    <w:abstractNumId w:val="30"/>
  </w:num>
  <w:num w:numId="37" w16cid:durableId="1660116426">
    <w:abstractNumId w:val="5"/>
  </w:num>
  <w:num w:numId="38" w16cid:durableId="408699874">
    <w:abstractNumId w:val="31"/>
  </w:num>
  <w:num w:numId="39" w16cid:durableId="1569418770">
    <w:abstractNumId w:val="6"/>
  </w:num>
  <w:num w:numId="40" w16cid:durableId="705176722">
    <w:abstractNumId w:val="1"/>
  </w:num>
  <w:num w:numId="41" w16cid:durableId="1926569401">
    <w:abstractNumId w:val="15"/>
  </w:num>
  <w:num w:numId="42" w16cid:durableId="1979457665">
    <w:abstractNumId w:val="16"/>
  </w:num>
  <w:num w:numId="43" w16cid:durableId="2038313566">
    <w:abstractNumId w:val="13"/>
  </w:num>
  <w:num w:numId="44" w16cid:durableId="12974431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997201">
    <w:abstractNumId w:val="38"/>
  </w:num>
  <w:num w:numId="46" w16cid:durableId="1870483264">
    <w:abstractNumId w:val="7"/>
  </w:num>
  <w:num w:numId="47" w16cid:durableId="2090499248">
    <w:abstractNumId w:val="17"/>
  </w:num>
  <w:num w:numId="48" w16cid:durableId="5342776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762"/>
    <w:rsid w:val="0000195A"/>
    <w:rsid w:val="000020EB"/>
    <w:rsid w:val="0000286C"/>
    <w:rsid w:val="00003499"/>
    <w:rsid w:val="00003909"/>
    <w:rsid w:val="000039B7"/>
    <w:rsid w:val="00005376"/>
    <w:rsid w:val="000056B9"/>
    <w:rsid w:val="0000639A"/>
    <w:rsid w:val="00006B6E"/>
    <w:rsid w:val="00011862"/>
    <w:rsid w:val="00011A5B"/>
    <w:rsid w:val="00013247"/>
    <w:rsid w:val="00014863"/>
    <w:rsid w:val="000152AF"/>
    <w:rsid w:val="00015886"/>
    <w:rsid w:val="000162EF"/>
    <w:rsid w:val="000207C9"/>
    <w:rsid w:val="00020D30"/>
    <w:rsid w:val="0002225F"/>
    <w:rsid w:val="00023755"/>
    <w:rsid w:val="00023763"/>
    <w:rsid w:val="00023AB4"/>
    <w:rsid w:val="00024173"/>
    <w:rsid w:val="00024EB5"/>
    <w:rsid w:val="00025868"/>
    <w:rsid w:val="00026402"/>
    <w:rsid w:val="00026A46"/>
    <w:rsid w:val="00026EFE"/>
    <w:rsid w:val="000274B8"/>
    <w:rsid w:val="00027E8C"/>
    <w:rsid w:val="00030FD2"/>
    <w:rsid w:val="0003279D"/>
    <w:rsid w:val="00033672"/>
    <w:rsid w:val="00033863"/>
    <w:rsid w:val="000339F6"/>
    <w:rsid w:val="0003454D"/>
    <w:rsid w:val="0003496E"/>
    <w:rsid w:val="00035DC0"/>
    <w:rsid w:val="00036237"/>
    <w:rsid w:val="000366EA"/>
    <w:rsid w:val="00036829"/>
    <w:rsid w:val="00040826"/>
    <w:rsid w:val="00040895"/>
    <w:rsid w:val="000410A0"/>
    <w:rsid w:val="00041D92"/>
    <w:rsid w:val="00041FF2"/>
    <w:rsid w:val="00042200"/>
    <w:rsid w:val="0004315D"/>
    <w:rsid w:val="000435D4"/>
    <w:rsid w:val="000435EE"/>
    <w:rsid w:val="00043C37"/>
    <w:rsid w:val="00044895"/>
    <w:rsid w:val="00044F51"/>
    <w:rsid w:val="00045017"/>
    <w:rsid w:val="000452FD"/>
    <w:rsid w:val="0004563F"/>
    <w:rsid w:val="00045A2B"/>
    <w:rsid w:val="000468BD"/>
    <w:rsid w:val="0004698F"/>
    <w:rsid w:val="00046A64"/>
    <w:rsid w:val="00046D64"/>
    <w:rsid w:val="0005012C"/>
    <w:rsid w:val="000508C2"/>
    <w:rsid w:val="00050B1E"/>
    <w:rsid w:val="00052FCD"/>
    <w:rsid w:val="00053604"/>
    <w:rsid w:val="000539D0"/>
    <w:rsid w:val="00054621"/>
    <w:rsid w:val="000546D7"/>
    <w:rsid w:val="00054A8D"/>
    <w:rsid w:val="00054F3A"/>
    <w:rsid w:val="00055127"/>
    <w:rsid w:val="00056ECF"/>
    <w:rsid w:val="00057C1A"/>
    <w:rsid w:val="000604DF"/>
    <w:rsid w:val="0006056E"/>
    <w:rsid w:val="00061E14"/>
    <w:rsid w:val="0006211A"/>
    <w:rsid w:val="00062324"/>
    <w:rsid w:val="000653B5"/>
    <w:rsid w:val="00066360"/>
    <w:rsid w:val="00066AF8"/>
    <w:rsid w:val="00067953"/>
    <w:rsid w:val="00071248"/>
    <w:rsid w:val="000714C1"/>
    <w:rsid w:val="00071689"/>
    <w:rsid w:val="000720B9"/>
    <w:rsid w:val="000737F7"/>
    <w:rsid w:val="0007672F"/>
    <w:rsid w:val="00076B54"/>
    <w:rsid w:val="000774F0"/>
    <w:rsid w:val="00080026"/>
    <w:rsid w:val="00080909"/>
    <w:rsid w:val="00080AC8"/>
    <w:rsid w:val="000812CA"/>
    <w:rsid w:val="00081C2E"/>
    <w:rsid w:val="00081E63"/>
    <w:rsid w:val="000821A2"/>
    <w:rsid w:val="0008258D"/>
    <w:rsid w:val="00083559"/>
    <w:rsid w:val="00083E99"/>
    <w:rsid w:val="00084FA8"/>
    <w:rsid w:val="000856C5"/>
    <w:rsid w:val="00085C31"/>
    <w:rsid w:val="000869CC"/>
    <w:rsid w:val="000902D9"/>
    <w:rsid w:val="00090C7E"/>
    <w:rsid w:val="00090F27"/>
    <w:rsid w:val="000911AC"/>
    <w:rsid w:val="000919B0"/>
    <w:rsid w:val="00092600"/>
    <w:rsid w:val="0009262B"/>
    <w:rsid w:val="00092BEB"/>
    <w:rsid w:val="00093310"/>
    <w:rsid w:val="000942F1"/>
    <w:rsid w:val="0009445C"/>
    <w:rsid w:val="00094797"/>
    <w:rsid w:val="00095200"/>
    <w:rsid w:val="00095F0B"/>
    <w:rsid w:val="00095FE5"/>
    <w:rsid w:val="00096284"/>
    <w:rsid w:val="000968B9"/>
    <w:rsid w:val="00096C36"/>
    <w:rsid w:val="0009798C"/>
    <w:rsid w:val="00097C59"/>
    <w:rsid w:val="00097EB3"/>
    <w:rsid w:val="000A1BC0"/>
    <w:rsid w:val="000A2F9E"/>
    <w:rsid w:val="000A3E47"/>
    <w:rsid w:val="000A522B"/>
    <w:rsid w:val="000A5C66"/>
    <w:rsid w:val="000A6039"/>
    <w:rsid w:val="000A7453"/>
    <w:rsid w:val="000A7BAF"/>
    <w:rsid w:val="000A7D08"/>
    <w:rsid w:val="000B0121"/>
    <w:rsid w:val="000B05D2"/>
    <w:rsid w:val="000B0670"/>
    <w:rsid w:val="000B0E75"/>
    <w:rsid w:val="000B2097"/>
    <w:rsid w:val="000B27AC"/>
    <w:rsid w:val="000B2DCB"/>
    <w:rsid w:val="000B5141"/>
    <w:rsid w:val="000B558F"/>
    <w:rsid w:val="000B5CE0"/>
    <w:rsid w:val="000B6CAC"/>
    <w:rsid w:val="000B7612"/>
    <w:rsid w:val="000B78AE"/>
    <w:rsid w:val="000B7D31"/>
    <w:rsid w:val="000C1DB8"/>
    <w:rsid w:val="000C27A6"/>
    <w:rsid w:val="000C39C5"/>
    <w:rsid w:val="000C3DF9"/>
    <w:rsid w:val="000C3EE8"/>
    <w:rsid w:val="000C4CF2"/>
    <w:rsid w:val="000C5B40"/>
    <w:rsid w:val="000C613E"/>
    <w:rsid w:val="000C633F"/>
    <w:rsid w:val="000C6387"/>
    <w:rsid w:val="000C6713"/>
    <w:rsid w:val="000D1BFC"/>
    <w:rsid w:val="000D1D5D"/>
    <w:rsid w:val="000D281A"/>
    <w:rsid w:val="000D2848"/>
    <w:rsid w:val="000D29BE"/>
    <w:rsid w:val="000D326A"/>
    <w:rsid w:val="000D4F04"/>
    <w:rsid w:val="000D51FB"/>
    <w:rsid w:val="000D6654"/>
    <w:rsid w:val="000D6D28"/>
    <w:rsid w:val="000D75BD"/>
    <w:rsid w:val="000E0640"/>
    <w:rsid w:val="000E0B02"/>
    <w:rsid w:val="000E135D"/>
    <w:rsid w:val="000E177C"/>
    <w:rsid w:val="000E24FF"/>
    <w:rsid w:val="000E3262"/>
    <w:rsid w:val="000E5C08"/>
    <w:rsid w:val="000E6EDD"/>
    <w:rsid w:val="000E7EFA"/>
    <w:rsid w:val="000F00BA"/>
    <w:rsid w:val="000F033C"/>
    <w:rsid w:val="000F04ED"/>
    <w:rsid w:val="000F0DA9"/>
    <w:rsid w:val="000F11DD"/>
    <w:rsid w:val="000F316A"/>
    <w:rsid w:val="000F317B"/>
    <w:rsid w:val="000F3C74"/>
    <w:rsid w:val="000F4209"/>
    <w:rsid w:val="000F4BB8"/>
    <w:rsid w:val="000F4FA9"/>
    <w:rsid w:val="000F53FB"/>
    <w:rsid w:val="000F5492"/>
    <w:rsid w:val="000F6287"/>
    <w:rsid w:val="000F6F53"/>
    <w:rsid w:val="000F7127"/>
    <w:rsid w:val="000F75C4"/>
    <w:rsid w:val="000F7657"/>
    <w:rsid w:val="000F76F2"/>
    <w:rsid w:val="000F7B54"/>
    <w:rsid w:val="001000B3"/>
    <w:rsid w:val="00100ECA"/>
    <w:rsid w:val="00100F8A"/>
    <w:rsid w:val="0010197B"/>
    <w:rsid w:val="00102DBB"/>
    <w:rsid w:val="00103D60"/>
    <w:rsid w:val="00104362"/>
    <w:rsid w:val="0010452E"/>
    <w:rsid w:val="00104995"/>
    <w:rsid w:val="001053D6"/>
    <w:rsid w:val="00105AE2"/>
    <w:rsid w:val="001060C6"/>
    <w:rsid w:val="00106546"/>
    <w:rsid w:val="00106B80"/>
    <w:rsid w:val="001079AD"/>
    <w:rsid w:val="0011032E"/>
    <w:rsid w:val="0011348B"/>
    <w:rsid w:val="00113831"/>
    <w:rsid w:val="00115241"/>
    <w:rsid w:val="00115363"/>
    <w:rsid w:val="00115982"/>
    <w:rsid w:val="0011613C"/>
    <w:rsid w:val="00116AC1"/>
    <w:rsid w:val="00116C53"/>
    <w:rsid w:val="001206B7"/>
    <w:rsid w:val="0012074D"/>
    <w:rsid w:val="001211AB"/>
    <w:rsid w:val="00121243"/>
    <w:rsid w:val="00121799"/>
    <w:rsid w:val="001222FC"/>
    <w:rsid w:val="00123754"/>
    <w:rsid w:val="00123902"/>
    <w:rsid w:val="001239D4"/>
    <w:rsid w:val="00124884"/>
    <w:rsid w:val="00124A51"/>
    <w:rsid w:val="00125C4E"/>
    <w:rsid w:val="00126621"/>
    <w:rsid w:val="00126B1D"/>
    <w:rsid w:val="0012738C"/>
    <w:rsid w:val="00127D34"/>
    <w:rsid w:val="001301E9"/>
    <w:rsid w:val="00131427"/>
    <w:rsid w:val="00131D82"/>
    <w:rsid w:val="00132B22"/>
    <w:rsid w:val="001336FA"/>
    <w:rsid w:val="00133885"/>
    <w:rsid w:val="00133D36"/>
    <w:rsid w:val="001360C0"/>
    <w:rsid w:val="0013650E"/>
    <w:rsid w:val="00136B34"/>
    <w:rsid w:val="001373BE"/>
    <w:rsid w:val="0013754A"/>
    <w:rsid w:val="00137645"/>
    <w:rsid w:val="0013764C"/>
    <w:rsid w:val="0014015A"/>
    <w:rsid w:val="00140E99"/>
    <w:rsid w:val="00141421"/>
    <w:rsid w:val="00142301"/>
    <w:rsid w:val="00142B0B"/>
    <w:rsid w:val="00142C5D"/>
    <w:rsid w:val="001437DF"/>
    <w:rsid w:val="00143CF6"/>
    <w:rsid w:val="00143F67"/>
    <w:rsid w:val="00145234"/>
    <w:rsid w:val="00145540"/>
    <w:rsid w:val="001456B0"/>
    <w:rsid w:val="001465DF"/>
    <w:rsid w:val="001469A6"/>
    <w:rsid w:val="0014757A"/>
    <w:rsid w:val="00151DB7"/>
    <w:rsid w:val="001523BF"/>
    <w:rsid w:val="001547AB"/>
    <w:rsid w:val="00154D6A"/>
    <w:rsid w:val="00156F8F"/>
    <w:rsid w:val="00157130"/>
    <w:rsid w:val="001576B1"/>
    <w:rsid w:val="0016047B"/>
    <w:rsid w:val="00160510"/>
    <w:rsid w:val="00160A4C"/>
    <w:rsid w:val="001613A9"/>
    <w:rsid w:val="001618E5"/>
    <w:rsid w:val="00162913"/>
    <w:rsid w:val="001634DE"/>
    <w:rsid w:val="00163EFF"/>
    <w:rsid w:val="00163F66"/>
    <w:rsid w:val="001644FC"/>
    <w:rsid w:val="0016478E"/>
    <w:rsid w:val="00165EC4"/>
    <w:rsid w:val="00166115"/>
    <w:rsid w:val="001661FB"/>
    <w:rsid w:val="0016674A"/>
    <w:rsid w:val="001671A0"/>
    <w:rsid w:val="0016767F"/>
    <w:rsid w:val="00167808"/>
    <w:rsid w:val="00171535"/>
    <w:rsid w:val="0017199E"/>
    <w:rsid w:val="00171A30"/>
    <w:rsid w:val="00171ABD"/>
    <w:rsid w:val="00173565"/>
    <w:rsid w:val="00173B07"/>
    <w:rsid w:val="00174CF9"/>
    <w:rsid w:val="001751FA"/>
    <w:rsid w:val="001760B0"/>
    <w:rsid w:val="00176BA4"/>
    <w:rsid w:val="00176E94"/>
    <w:rsid w:val="00177933"/>
    <w:rsid w:val="001818EC"/>
    <w:rsid w:val="00181C10"/>
    <w:rsid w:val="00181D9C"/>
    <w:rsid w:val="00182427"/>
    <w:rsid w:val="001837FF"/>
    <w:rsid w:val="00184B0E"/>
    <w:rsid w:val="001855F4"/>
    <w:rsid w:val="001862A2"/>
    <w:rsid w:val="00186850"/>
    <w:rsid w:val="00186E23"/>
    <w:rsid w:val="00186E24"/>
    <w:rsid w:val="0018752F"/>
    <w:rsid w:val="00190689"/>
    <w:rsid w:val="001908F7"/>
    <w:rsid w:val="00192FD2"/>
    <w:rsid w:val="00193258"/>
    <w:rsid w:val="00193838"/>
    <w:rsid w:val="00194062"/>
    <w:rsid w:val="00194A7E"/>
    <w:rsid w:val="00194AD8"/>
    <w:rsid w:val="00195222"/>
    <w:rsid w:val="00195452"/>
    <w:rsid w:val="001975D8"/>
    <w:rsid w:val="001A178E"/>
    <w:rsid w:val="001A2688"/>
    <w:rsid w:val="001A3F09"/>
    <w:rsid w:val="001A43FA"/>
    <w:rsid w:val="001A47C5"/>
    <w:rsid w:val="001A59FB"/>
    <w:rsid w:val="001A5C88"/>
    <w:rsid w:val="001A5E9E"/>
    <w:rsid w:val="001A6354"/>
    <w:rsid w:val="001A6366"/>
    <w:rsid w:val="001A7664"/>
    <w:rsid w:val="001A7AE8"/>
    <w:rsid w:val="001B14F5"/>
    <w:rsid w:val="001B204E"/>
    <w:rsid w:val="001B2372"/>
    <w:rsid w:val="001B3443"/>
    <w:rsid w:val="001B3E1A"/>
    <w:rsid w:val="001B4202"/>
    <w:rsid w:val="001B4D20"/>
    <w:rsid w:val="001B509E"/>
    <w:rsid w:val="001B7F84"/>
    <w:rsid w:val="001C01D2"/>
    <w:rsid w:val="001C1D28"/>
    <w:rsid w:val="001C257A"/>
    <w:rsid w:val="001C2786"/>
    <w:rsid w:val="001C2A9B"/>
    <w:rsid w:val="001C3DD6"/>
    <w:rsid w:val="001C3E37"/>
    <w:rsid w:val="001C4299"/>
    <w:rsid w:val="001C4874"/>
    <w:rsid w:val="001C4A67"/>
    <w:rsid w:val="001C5F94"/>
    <w:rsid w:val="001C63A6"/>
    <w:rsid w:val="001C6E66"/>
    <w:rsid w:val="001C6F5F"/>
    <w:rsid w:val="001D1100"/>
    <w:rsid w:val="001D1391"/>
    <w:rsid w:val="001D238B"/>
    <w:rsid w:val="001D25D7"/>
    <w:rsid w:val="001D2FDC"/>
    <w:rsid w:val="001D405D"/>
    <w:rsid w:val="001D4C4F"/>
    <w:rsid w:val="001D50B2"/>
    <w:rsid w:val="001D5602"/>
    <w:rsid w:val="001D5B22"/>
    <w:rsid w:val="001D688A"/>
    <w:rsid w:val="001D71F4"/>
    <w:rsid w:val="001D7645"/>
    <w:rsid w:val="001E13F9"/>
    <w:rsid w:val="001E1E86"/>
    <w:rsid w:val="001E238E"/>
    <w:rsid w:val="001E2483"/>
    <w:rsid w:val="001E24B4"/>
    <w:rsid w:val="001E2B1E"/>
    <w:rsid w:val="001E2CFF"/>
    <w:rsid w:val="001E2F24"/>
    <w:rsid w:val="001E30D4"/>
    <w:rsid w:val="001E3403"/>
    <w:rsid w:val="001E34DF"/>
    <w:rsid w:val="001E52EB"/>
    <w:rsid w:val="001E6120"/>
    <w:rsid w:val="001E61D2"/>
    <w:rsid w:val="001E63AE"/>
    <w:rsid w:val="001E740C"/>
    <w:rsid w:val="001E7670"/>
    <w:rsid w:val="001E7F3B"/>
    <w:rsid w:val="001F1235"/>
    <w:rsid w:val="001F1BD6"/>
    <w:rsid w:val="001F1CB3"/>
    <w:rsid w:val="001F235B"/>
    <w:rsid w:val="001F362B"/>
    <w:rsid w:val="001F38B5"/>
    <w:rsid w:val="001F4081"/>
    <w:rsid w:val="001F6024"/>
    <w:rsid w:val="001F636F"/>
    <w:rsid w:val="001F6971"/>
    <w:rsid w:val="001F7361"/>
    <w:rsid w:val="00200C61"/>
    <w:rsid w:val="002011B0"/>
    <w:rsid w:val="00201483"/>
    <w:rsid w:val="00202F2A"/>
    <w:rsid w:val="00203181"/>
    <w:rsid w:val="00203783"/>
    <w:rsid w:val="0020385F"/>
    <w:rsid w:val="00203ABC"/>
    <w:rsid w:val="00203CC1"/>
    <w:rsid w:val="002054F9"/>
    <w:rsid w:val="002068A0"/>
    <w:rsid w:val="00206BDF"/>
    <w:rsid w:val="00207021"/>
    <w:rsid w:val="0020732F"/>
    <w:rsid w:val="00207D00"/>
    <w:rsid w:val="00207D03"/>
    <w:rsid w:val="00210386"/>
    <w:rsid w:val="00210415"/>
    <w:rsid w:val="002105C1"/>
    <w:rsid w:val="002109A7"/>
    <w:rsid w:val="002116FD"/>
    <w:rsid w:val="00211904"/>
    <w:rsid w:val="00212D76"/>
    <w:rsid w:val="0021347F"/>
    <w:rsid w:val="002135A0"/>
    <w:rsid w:val="00213ED8"/>
    <w:rsid w:val="00213EF5"/>
    <w:rsid w:val="00214565"/>
    <w:rsid w:val="00214F6C"/>
    <w:rsid w:val="00215A1E"/>
    <w:rsid w:val="00215C2D"/>
    <w:rsid w:val="00216A4E"/>
    <w:rsid w:val="00216BF5"/>
    <w:rsid w:val="00217EFC"/>
    <w:rsid w:val="0022015E"/>
    <w:rsid w:val="00220282"/>
    <w:rsid w:val="002203DD"/>
    <w:rsid w:val="0022217D"/>
    <w:rsid w:val="00223B49"/>
    <w:rsid w:val="00223D5A"/>
    <w:rsid w:val="002244EF"/>
    <w:rsid w:val="00224DD4"/>
    <w:rsid w:val="002278A0"/>
    <w:rsid w:val="00227D6C"/>
    <w:rsid w:val="002309CC"/>
    <w:rsid w:val="00231635"/>
    <w:rsid w:val="00231653"/>
    <w:rsid w:val="00231AB6"/>
    <w:rsid w:val="00231BA9"/>
    <w:rsid w:val="00231FC3"/>
    <w:rsid w:val="0023209F"/>
    <w:rsid w:val="0023241E"/>
    <w:rsid w:val="00233BF7"/>
    <w:rsid w:val="00233C01"/>
    <w:rsid w:val="0023413C"/>
    <w:rsid w:val="002346F0"/>
    <w:rsid w:val="0023629D"/>
    <w:rsid w:val="002368B1"/>
    <w:rsid w:val="00237255"/>
    <w:rsid w:val="002376B6"/>
    <w:rsid w:val="002378A2"/>
    <w:rsid w:val="00237DDF"/>
    <w:rsid w:val="00240011"/>
    <w:rsid w:val="002406B2"/>
    <w:rsid w:val="002407E6"/>
    <w:rsid w:val="002424AF"/>
    <w:rsid w:val="00242C7D"/>
    <w:rsid w:val="002439DC"/>
    <w:rsid w:val="002441D2"/>
    <w:rsid w:val="00244DC8"/>
    <w:rsid w:val="002458BA"/>
    <w:rsid w:val="00245CE9"/>
    <w:rsid w:val="0024636C"/>
    <w:rsid w:val="00247925"/>
    <w:rsid w:val="00251006"/>
    <w:rsid w:val="00251281"/>
    <w:rsid w:val="0025180C"/>
    <w:rsid w:val="00251913"/>
    <w:rsid w:val="002524D5"/>
    <w:rsid w:val="00252BFC"/>
    <w:rsid w:val="00253162"/>
    <w:rsid w:val="00253B1D"/>
    <w:rsid w:val="00254DCF"/>
    <w:rsid w:val="0025534B"/>
    <w:rsid w:val="00255A19"/>
    <w:rsid w:val="00255BB7"/>
    <w:rsid w:val="00256494"/>
    <w:rsid w:val="00257541"/>
    <w:rsid w:val="00257A39"/>
    <w:rsid w:val="00257AC4"/>
    <w:rsid w:val="00257AD9"/>
    <w:rsid w:val="00257BBE"/>
    <w:rsid w:val="00260165"/>
    <w:rsid w:val="002618C8"/>
    <w:rsid w:val="00261EEF"/>
    <w:rsid w:val="0026287D"/>
    <w:rsid w:val="00262A1A"/>
    <w:rsid w:val="00262A87"/>
    <w:rsid w:val="00263027"/>
    <w:rsid w:val="00264D26"/>
    <w:rsid w:val="002654B3"/>
    <w:rsid w:val="00265A3F"/>
    <w:rsid w:val="00267642"/>
    <w:rsid w:val="00267AEA"/>
    <w:rsid w:val="002700E6"/>
    <w:rsid w:val="0027193A"/>
    <w:rsid w:val="00272454"/>
    <w:rsid w:val="0027294B"/>
    <w:rsid w:val="002734B0"/>
    <w:rsid w:val="00273B43"/>
    <w:rsid w:val="00273EB4"/>
    <w:rsid w:val="00274682"/>
    <w:rsid w:val="002749E1"/>
    <w:rsid w:val="00275158"/>
    <w:rsid w:val="00275C5A"/>
    <w:rsid w:val="0027611B"/>
    <w:rsid w:val="0027697B"/>
    <w:rsid w:val="00277051"/>
    <w:rsid w:val="00277D84"/>
    <w:rsid w:val="002801C9"/>
    <w:rsid w:val="002806CE"/>
    <w:rsid w:val="00281014"/>
    <w:rsid w:val="002813C9"/>
    <w:rsid w:val="00281401"/>
    <w:rsid w:val="0028599F"/>
    <w:rsid w:val="00285BCE"/>
    <w:rsid w:val="0028665D"/>
    <w:rsid w:val="002867B3"/>
    <w:rsid w:val="00286C22"/>
    <w:rsid w:val="00287C6A"/>
    <w:rsid w:val="00290BA8"/>
    <w:rsid w:val="002911F9"/>
    <w:rsid w:val="002919FB"/>
    <w:rsid w:val="002931C5"/>
    <w:rsid w:val="00293F21"/>
    <w:rsid w:val="0029476E"/>
    <w:rsid w:val="00294AD1"/>
    <w:rsid w:val="002953B7"/>
    <w:rsid w:val="002955BF"/>
    <w:rsid w:val="00295858"/>
    <w:rsid w:val="00297309"/>
    <w:rsid w:val="002A14AB"/>
    <w:rsid w:val="002A2ADE"/>
    <w:rsid w:val="002A2D14"/>
    <w:rsid w:val="002A2F50"/>
    <w:rsid w:val="002A3682"/>
    <w:rsid w:val="002A4330"/>
    <w:rsid w:val="002A53EA"/>
    <w:rsid w:val="002A72C4"/>
    <w:rsid w:val="002A7943"/>
    <w:rsid w:val="002B05A1"/>
    <w:rsid w:val="002B09A4"/>
    <w:rsid w:val="002B1A8F"/>
    <w:rsid w:val="002B1C1F"/>
    <w:rsid w:val="002B432F"/>
    <w:rsid w:val="002B4E41"/>
    <w:rsid w:val="002B5487"/>
    <w:rsid w:val="002B62B3"/>
    <w:rsid w:val="002B6754"/>
    <w:rsid w:val="002B6CA9"/>
    <w:rsid w:val="002B6CCE"/>
    <w:rsid w:val="002B7F3A"/>
    <w:rsid w:val="002C0DC7"/>
    <w:rsid w:val="002C1D93"/>
    <w:rsid w:val="002C2008"/>
    <w:rsid w:val="002C2510"/>
    <w:rsid w:val="002C2775"/>
    <w:rsid w:val="002C27C1"/>
    <w:rsid w:val="002C36E3"/>
    <w:rsid w:val="002C5099"/>
    <w:rsid w:val="002C52CC"/>
    <w:rsid w:val="002C5774"/>
    <w:rsid w:val="002C5889"/>
    <w:rsid w:val="002C6D9D"/>
    <w:rsid w:val="002C71C4"/>
    <w:rsid w:val="002C71CE"/>
    <w:rsid w:val="002C76BB"/>
    <w:rsid w:val="002C7D82"/>
    <w:rsid w:val="002D08F8"/>
    <w:rsid w:val="002D2EAD"/>
    <w:rsid w:val="002D3E09"/>
    <w:rsid w:val="002D577C"/>
    <w:rsid w:val="002D7832"/>
    <w:rsid w:val="002E1071"/>
    <w:rsid w:val="002E11FE"/>
    <w:rsid w:val="002E15B9"/>
    <w:rsid w:val="002E2158"/>
    <w:rsid w:val="002E366B"/>
    <w:rsid w:val="002E448F"/>
    <w:rsid w:val="002E494D"/>
    <w:rsid w:val="002E4F02"/>
    <w:rsid w:val="002E556C"/>
    <w:rsid w:val="002E6025"/>
    <w:rsid w:val="002E63E5"/>
    <w:rsid w:val="002E6544"/>
    <w:rsid w:val="002E7722"/>
    <w:rsid w:val="002F07BA"/>
    <w:rsid w:val="002F0DA9"/>
    <w:rsid w:val="002F1014"/>
    <w:rsid w:val="002F178C"/>
    <w:rsid w:val="002F1E3B"/>
    <w:rsid w:val="002F2485"/>
    <w:rsid w:val="002F643C"/>
    <w:rsid w:val="002F71C0"/>
    <w:rsid w:val="002F74F1"/>
    <w:rsid w:val="002F799D"/>
    <w:rsid w:val="002F7B34"/>
    <w:rsid w:val="002F7BFB"/>
    <w:rsid w:val="00300B82"/>
    <w:rsid w:val="00301017"/>
    <w:rsid w:val="0030155F"/>
    <w:rsid w:val="003024B7"/>
    <w:rsid w:val="00302811"/>
    <w:rsid w:val="00304A06"/>
    <w:rsid w:val="0030587B"/>
    <w:rsid w:val="00305A11"/>
    <w:rsid w:val="0030600C"/>
    <w:rsid w:val="00306D98"/>
    <w:rsid w:val="0030786C"/>
    <w:rsid w:val="0031031A"/>
    <w:rsid w:val="00310981"/>
    <w:rsid w:val="003111B0"/>
    <w:rsid w:val="003112F3"/>
    <w:rsid w:val="00311D9B"/>
    <w:rsid w:val="003124D9"/>
    <w:rsid w:val="00312594"/>
    <w:rsid w:val="0031282E"/>
    <w:rsid w:val="00313CC3"/>
    <w:rsid w:val="00315498"/>
    <w:rsid w:val="00316474"/>
    <w:rsid w:val="00322107"/>
    <w:rsid w:val="00322168"/>
    <w:rsid w:val="0032231E"/>
    <w:rsid w:val="00322355"/>
    <w:rsid w:val="00322846"/>
    <w:rsid w:val="003229B2"/>
    <w:rsid w:val="00325497"/>
    <w:rsid w:val="00325672"/>
    <w:rsid w:val="003264C7"/>
    <w:rsid w:val="00326DA7"/>
    <w:rsid w:val="003270E4"/>
    <w:rsid w:val="00330D82"/>
    <w:rsid w:val="00330DAA"/>
    <w:rsid w:val="00330F5C"/>
    <w:rsid w:val="003322C4"/>
    <w:rsid w:val="00335702"/>
    <w:rsid w:val="00336369"/>
    <w:rsid w:val="003366C9"/>
    <w:rsid w:val="00337140"/>
    <w:rsid w:val="003371B0"/>
    <w:rsid w:val="00340746"/>
    <w:rsid w:val="00340DF1"/>
    <w:rsid w:val="00342616"/>
    <w:rsid w:val="0034715B"/>
    <w:rsid w:val="0034718B"/>
    <w:rsid w:val="00347231"/>
    <w:rsid w:val="003477EA"/>
    <w:rsid w:val="00350EF1"/>
    <w:rsid w:val="003517F9"/>
    <w:rsid w:val="00351B6A"/>
    <w:rsid w:val="00351BA9"/>
    <w:rsid w:val="00352240"/>
    <w:rsid w:val="003530C2"/>
    <w:rsid w:val="0035403D"/>
    <w:rsid w:val="00354F64"/>
    <w:rsid w:val="0035560E"/>
    <w:rsid w:val="0035620E"/>
    <w:rsid w:val="00356EBB"/>
    <w:rsid w:val="00356FCF"/>
    <w:rsid w:val="0035747C"/>
    <w:rsid w:val="003575BE"/>
    <w:rsid w:val="00357671"/>
    <w:rsid w:val="00357971"/>
    <w:rsid w:val="00360345"/>
    <w:rsid w:val="00361A05"/>
    <w:rsid w:val="00362265"/>
    <w:rsid w:val="003624C4"/>
    <w:rsid w:val="00363B00"/>
    <w:rsid w:val="0036475A"/>
    <w:rsid w:val="00364862"/>
    <w:rsid w:val="003654AC"/>
    <w:rsid w:val="0036721F"/>
    <w:rsid w:val="003701DB"/>
    <w:rsid w:val="003704E1"/>
    <w:rsid w:val="003710CF"/>
    <w:rsid w:val="003713AC"/>
    <w:rsid w:val="00372448"/>
    <w:rsid w:val="0037358A"/>
    <w:rsid w:val="00374C49"/>
    <w:rsid w:val="003750F6"/>
    <w:rsid w:val="003760FC"/>
    <w:rsid w:val="0037617C"/>
    <w:rsid w:val="00376355"/>
    <w:rsid w:val="00377DA9"/>
    <w:rsid w:val="003813B5"/>
    <w:rsid w:val="00381B2F"/>
    <w:rsid w:val="0038257D"/>
    <w:rsid w:val="0038365C"/>
    <w:rsid w:val="0038369B"/>
    <w:rsid w:val="00383B78"/>
    <w:rsid w:val="00385A9D"/>
    <w:rsid w:val="00385D7C"/>
    <w:rsid w:val="00387121"/>
    <w:rsid w:val="003902B1"/>
    <w:rsid w:val="003904F7"/>
    <w:rsid w:val="00390DA8"/>
    <w:rsid w:val="0039179C"/>
    <w:rsid w:val="00391BD0"/>
    <w:rsid w:val="003923AE"/>
    <w:rsid w:val="003928AA"/>
    <w:rsid w:val="00392CD3"/>
    <w:rsid w:val="00393488"/>
    <w:rsid w:val="00393D49"/>
    <w:rsid w:val="00395094"/>
    <w:rsid w:val="003956A1"/>
    <w:rsid w:val="0039629F"/>
    <w:rsid w:val="00396896"/>
    <w:rsid w:val="00396FD0"/>
    <w:rsid w:val="003974B6"/>
    <w:rsid w:val="00397946"/>
    <w:rsid w:val="003A0920"/>
    <w:rsid w:val="003A1793"/>
    <w:rsid w:val="003A1A7A"/>
    <w:rsid w:val="003A2392"/>
    <w:rsid w:val="003A25FD"/>
    <w:rsid w:val="003A2831"/>
    <w:rsid w:val="003A3CB6"/>
    <w:rsid w:val="003A3ED1"/>
    <w:rsid w:val="003A446B"/>
    <w:rsid w:val="003A44DB"/>
    <w:rsid w:val="003A4648"/>
    <w:rsid w:val="003A4C14"/>
    <w:rsid w:val="003A50FB"/>
    <w:rsid w:val="003A61E0"/>
    <w:rsid w:val="003B1229"/>
    <w:rsid w:val="003B2562"/>
    <w:rsid w:val="003B25AC"/>
    <w:rsid w:val="003B281C"/>
    <w:rsid w:val="003B3971"/>
    <w:rsid w:val="003B39E3"/>
    <w:rsid w:val="003B4BE2"/>
    <w:rsid w:val="003B55D1"/>
    <w:rsid w:val="003B58E9"/>
    <w:rsid w:val="003B5B61"/>
    <w:rsid w:val="003B630E"/>
    <w:rsid w:val="003B69D0"/>
    <w:rsid w:val="003B6DB7"/>
    <w:rsid w:val="003C0225"/>
    <w:rsid w:val="003C1654"/>
    <w:rsid w:val="003C3DC3"/>
    <w:rsid w:val="003C40F0"/>
    <w:rsid w:val="003C5542"/>
    <w:rsid w:val="003C7C15"/>
    <w:rsid w:val="003C7D19"/>
    <w:rsid w:val="003C7D2F"/>
    <w:rsid w:val="003C7F54"/>
    <w:rsid w:val="003D0C5A"/>
    <w:rsid w:val="003D149D"/>
    <w:rsid w:val="003D1828"/>
    <w:rsid w:val="003D1CF1"/>
    <w:rsid w:val="003D1DE4"/>
    <w:rsid w:val="003D1E9A"/>
    <w:rsid w:val="003D2266"/>
    <w:rsid w:val="003D2422"/>
    <w:rsid w:val="003D39A1"/>
    <w:rsid w:val="003D3ED9"/>
    <w:rsid w:val="003D3FBF"/>
    <w:rsid w:val="003D4A30"/>
    <w:rsid w:val="003D50AA"/>
    <w:rsid w:val="003D6023"/>
    <w:rsid w:val="003D7452"/>
    <w:rsid w:val="003D79BB"/>
    <w:rsid w:val="003D7C98"/>
    <w:rsid w:val="003D7D9D"/>
    <w:rsid w:val="003E0543"/>
    <w:rsid w:val="003E0A99"/>
    <w:rsid w:val="003E4C55"/>
    <w:rsid w:val="003E4C5E"/>
    <w:rsid w:val="003E4F0A"/>
    <w:rsid w:val="003E5603"/>
    <w:rsid w:val="003E5C9F"/>
    <w:rsid w:val="003E6036"/>
    <w:rsid w:val="003E7431"/>
    <w:rsid w:val="003E749E"/>
    <w:rsid w:val="003F22C5"/>
    <w:rsid w:val="003F3A69"/>
    <w:rsid w:val="003F4156"/>
    <w:rsid w:val="003F47FA"/>
    <w:rsid w:val="003F4C08"/>
    <w:rsid w:val="003F5ADF"/>
    <w:rsid w:val="003F5D85"/>
    <w:rsid w:val="003F62F2"/>
    <w:rsid w:val="003F6DC0"/>
    <w:rsid w:val="003F7F75"/>
    <w:rsid w:val="00400B29"/>
    <w:rsid w:val="00400F0A"/>
    <w:rsid w:val="00401847"/>
    <w:rsid w:val="00402812"/>
    <w:rsid w:val="00403CC6"/>
    <w:rsid w:val="00404EE1"/>
    <w:rsid w:val="0040504B"/>
    <w:rsid w:val="004059F4"/>
    <w:rsid w:val="00405AC7"/>
    <w:rsid w:val="00406378"/>
    <w:rsid w:val="004068DD"/>
    <w:rsid w:val="00406A4B"/>
    <w:rsid w:val="00406D2B"/>
    <w:rsid w:val="00407540"/>
    <w:rsid w:val="00407FE5"/>
    <w:rsid w:val="004101B0"/>
    <w:rsid w:val="00410326"/>
    <w:rsid w:val="00410708"/>
    <w:rsid w:val="00410EC7"/>
    <w:rsid w:val="00411AB2"/>
    <w:rsid w:val="00411B39"/>
    <w:rsid w:val="00411B3C"/>
    <w:rsid w:val="0041208D"/>
    <w:rsid w:val="004122D8"/>
    <w:rsid w:val="0041267B"/>
    <w:rsid w:val="004127A7"/>
    <w:rsid w:val="0041317C"/>
    <w:rsid w:val="004136AA"/>
    <w:rsid w:val="00413A1E"/>
    <w:rsid w:val="00414476"/>
    <w:rsid w:val="004147A5"/>
    <w:rsid w:val="00414C2E"/>
    <w:rsid w:val="004151CF"/>
    <w:rsid w:val="00415520"/>
    <w:rsid w:val="00416002"/>
    <w:rsid w:val="00416364"/>
    <w:rsid w:val="00416E2E"/>
    <w:rsid w:val="004171F4"/>
    <w:rsid w:val="0042047F"/>
    <w:rsid w:val="00420AA6"/>
    <w:rsid w:val="00420B9F"/>
    <w:rsid w:val="004211B2"/>
    <w:rsid w:val="0042192C"/>
    <w:rsid w:val="00422260"/>
    <w:rsid w:val="0042413F"/>
    <w:rsid w:val="00424438"/>
    <w:rsid w:val="00425562"/>
    <w:rsid w:val="00425E77"/>
    <w:rsid w:val="004319C2"/>
    <w:rsid w:val="004319F8"/>
    <w:rsid w:val="00431E55"/>
    <w:rsid w:val="00431FDA"/>
    <w:rsid w:val="004321F6"/>
    <w:rsid w:val="00433044"/>
    <w:rsid w:val="004331E4"/>
    <w:rsid w:val="00433764"/>
    <w:rsid w:val="00433FD5"/>
    <w:rsid w:val="00434088"/>
    <w:rsid w:val="004375B9"/>
    <w:rsid w:val="00440182"/>
    <w:rsid w:val="00440374"/>
    <w:rsid w:val="00440641"/>
    <w:rsid w:val="00440EF4"/>
    <w:rsid w:val="00441594"/>
    <w:rsid w:val="00441D44"/>
    <w:rsid w:val="004428D0"/>
    <w:rsid w:val="00442D58"/>
    <w:rsid w:val="00444185"/>
    <w:rsid w:val="004443A7"/>
    <w:rsid w:val="0044442C"/>
    <w:rsid w:val="00445535"/>
    <w:rsid w:val="00445553"/>
    <w:rsid w:val="00445941"/>
    <w:rsid w:val="004464EB"/>
    <w:rsid w:val="00447D26"/>
    <w:rsid w:val="00447DFC"/>
    <w:rsid w:val="00447F27"/>
    <w:rsid w:val="00450486"/>
    <w:rsid w:val="00452020"/>
    <w:rsid w:val="00454562"/>
    <w:rsid w:val="00455D45"/>
    <w:rsid w:val="00456691"/>
    <w:rsid w:val="004577B6"/>
    <w:rsid w:val="00457B3A"/>
    <w:rsid w:val="00457C4A"/>
    <w:rsid w:val="00457F36"/>
    <w:rsid w:val="00462E75"/>
    <w:rsid w:val="00464595"/>
    <w:rsid w:val="004653B1"/>
    <w:rsid w:val="004658B5"/>
    <w:rsid w:val="00465F45"/>
    <w:rsid w:val="004663FF"/>
    <w:rsid w:val="00466C53"/>
    <w:rsid w:val="004670A2"/>
    <w:rsid w:val="00467928"/>
    <w:rsid w:val="00467EB2"/>
    <w:rsid w:val="004702DB"/>
    <w:rsid w:val="00471EA5"/>
    <w:rsid w:val="00472801"/>
    <w:rsid w:val="00472A79"/>
    <w:rsid w:val="004733EF"/>
    <w:rsid w:val="00473F19"/>
    <w:rsid w:val="00474165"/>
    <w:rsid w:val="00475E22"/>
    <w:rsid w:val="0048088E"/>
    <w:rsid w:val="00480C89"/>
    <w:rsid w:val="00480F2B"/>
    <w:rsid w:val="00482720"/>
    <w:rsid w:val="004827A8"/>
    <w:rsid w:val="0048310D"/>
    <w:rsid w:val="004835E7"/>
    <w:rsid w:val="0048450C"/>
    <w:rsid w:val="004859E1"/>
    <w:rsid w:val="00485F8F"/>
    <w:rsid w:val="004867E2"/>
    <w:rsid w:val="004879C1"/>
    <w:rsid w:val="00490B17"/>
    <w:rsid w:val="00491B3A"/>
    <w:rsid w:val="00491E33"/>
    <w:rsid w:val="00492CFD"/>
    <w:rsid w:val="00493D93"/>
    <w:rsid w:val="00494207"/>
    <w:rsid w:val="00494A06"/>
    <w:rsid w:val="00494DD5"/>
    <w:rsid w:val="0049597D"/>
    <w:rsid w:val="004961E1"/>
    <w:rsid w:val="004962D2"/>
    <w:rsid w:val="004964A5"/>
    <w:rsid w:val="0049765B"/>
    <w:rsid w:val="004A06F0"/>
    <w:rsid w:val="004A0DA1"/>
    <w:rsid w:val="004A13D6"/>
    <w:rsid w:val="004A3CC2"/>
    <w:rsid w:val="004A449A"/>
    <w:rsid w:val="004A46AD"/>
    <w:rsid w:val="004A4A30"/>
    <w:rsid w:val="004A52E9"/>
    <w:rsid w:val="004A6040"/>
    <w:rsid w:val="004A6597"/>
    <w:rsid w:val="004A6F6C"/>
    <w:rsid w:val="004A7848"/>
    <w:rsid w:val="004A793B"/>
    <w:rsid w:val="004B0147"/>
    <w:rsid w:val="004B1943"/>
    <w:rsid w:val="004B1CB4"/>
    <w:rsid w:val="004B1CCC"/>
    <w:rsid w:val="004B29CB"/>
    <w:rsid w:val="004B2F18"/>
    <w:rsid w:val="004B2F4F"/>
    <w:rsid w:val="004B3DDB"/>
    <w:rsid w:val="004B44FD"/>
    <w:rsid w:val="004B5038"/>
    <w:rsid w:val="004B579C"/>
    <w:rsid w:val="004B5CFC"/>
    <w:rsid w:val="004B5EB0"/>
    <w:rsid w:val="004B6B40"/>
    <w:rsid w:val="004B6DFC"/>
    <w:rsid w:val="004B6F79"/>
    <w:rsid w:val="004B774D"/>
    <w:rsid w:val="004B7AD4"/>
    <w:rsid w:val="004C0B57"/>
    <w:rsid w:val="004C1E15"/>
    <w:rsid w:val="004C2AC2"/>
    <w:rsid w:val="004C3287"/>
    <w:rsid w:val="004C3B02"/>
    <w:rsid w:val="004C464F"/>
    <w:rsid w:val="004C4AED"/>
    <w:rsid w:val="004C515E"/>
    <w:rsid w:val="004C55C7"/>
    <w:rsid w:val="004C6B35"/>
    <w:rsid w:val="004C7018"/>
    <w:rsid w:val="004C7E75"/>
    <w:rsid w:val="004D1137"/>
    <w:rsid w:val="004D1F8E"/>
    <w:rsid w:val="004D2C2D"/>
    <w:rsid w:val="004D323F"/>
    <w:rsid w:val="004D55F4"/>
    <w:rsid w:val="004D5997"/>
    <w:rsid w:val="004D69B5"/>
    <w:rsid w:val="004D69F4"/>
    <w:rsid w:val="004D7227"/>
    <w:rsid w:val="004D75D6"/>
    <w:rsid w:val="004D7B5E"/>
    <w:rsid w:val="004E0113"/>
    <w:rsid w:val="004E048B"/>
    <w:rsid w:val="004E0E7F"/>
    <w:rsid w:val="004E0EB8"/>
    <w:rsid w:val="004E163C"/>
    <w:rsid w:val="004E18E9"/>
    <w:rsid w:val="004E1DE5"/>
    <w:rsid w:val="004E2ADC"/>
    <w:rsid w:val="004E43B2"/>
    <w:rsid w:val="004E49D8"/>
    <w:rsid w:val="004E4B98"/>
    <w:rsid w:val="004E5766"/>
    <w:rsid w:val="004E6B9C"/>
    <w:rsid w:val="004F0E70"/>
    <w:rsid w:val="004F0E8A"/>
    <w:rsid w:val="004F195F"/>
    <w:rsid w:val="004F1AEA"/>
    <w:rsid w:val="004F1D02"/>
    <w:rsid w:val="004F1DE4"/>
    <w:rsid w:val="004F1E17"/>
    <w:rsid w:val="004F2679"/>
    <w:rsid w:val="004F2F21"/>
    <w:rsid w:val="004F3BDF"/>
    <w:rsid w:val="004F3DE5"/>
    <w:rsid w:val="004F4E36"/>
    <w:rsid w:val="004F6144"/>
    <w:rsid w:val="004F64D0"/>
    <w:rsid w:val="004F6913"/>
    <w:rsid w:val="004F785A"/>
    <w:rsid w:val="004F7865"/>
    <w:rsid w:val="005010D2"/>
    <w:rsid w:val="00501539"/>
    <w:rsid w:val="0050174E"/>
    <w:rsid w:val="00501854"/>
    <w:rsid w:val="0050219B"/>
    <w:rsid w:val="0050230D"/>
    <w:rsid w:val="0050309A"/>
    <w:rsid w:val="00503F17"/>
    <w:rsid w:val="00503F3A"/>
    <w:rsid w:val="00504806"/>
    <w:rsid w:val="00504BCF"/>
    <w:rsid w:val="00505F62"/>
    <w:rsid w:val="00505FB1"/>
    <w:rsid w:val="00506928"/>
    <w:rsid w:val="005077EF"/>
    <w:rsid w:val="00510FF3"/>
    <w:rsid w:val="005113DB"/>
    <w:rsid w:val="00511AD5"/>
    <w:rsid w:val="00511DC7"/>
    <w:rsid w:val="005131C7"/>
    <w:rsid w:val="00513386"/>
    <w:rsid w:val="005142C5"/>
    <w:rsid w:val="0051501B"/>
    <w:rsid w:val="00515047"/>
    <w:rsid w:val="005152B5"/>
    <w:rsid w:val="00515347"/>
    <w:rsid w:val="00515886"/>
    <w:rsid w:val="0051644C"/>
    <w:rsid w:val="00517119"/>
    <w:rsid w:val="00517369"/>
    <w:rsid w:val="0051788A"/>
    <w:rsid w:val="00517C62"/>
    <w:rsid w:val="00517FFE"/>
    <w:rsid w:val="00520DA3"/>
    <w:rsid w:val="00520FF0"/>
    <w:rsid w:val="0052123C"/>
    <w:rsid w:val="00521319"/>
    <w:rsid w:val="0052205B"/>
    <w:rsid w:val="0052221A"/>
    <w:rsid w:val="005229A8"/>
    <w:rsid w:val="00522BC8"/>
    <w:rsid w:val="0052388E"/>
    <w:rsid w:val="00523C28"/>
    <w:rsid w:val="00523F62"/>
    <w:rsid w:val="00524434"/>
    <w:rsid w:val="00525529"/>
    <w:rsid w:val="00526129"/>
    <w:rsid w:val="005263BA"/>
    <w:rsid w:val="00526E1A"/>
    <w:rsid w:val="00526E58"/>
    <w:rsid w:val="00527EEC"/>
    <w:rsid w:val="005312B8"/>
    <w:rsid w:val="0053176B"/>
    <w:rsid w:val="005341B3"/>
    <w:rsid w:val="00534449"/>
    <w:rsid w:val="00535671"/>
    <w:rsid w:val="00536F42"/>
    <w:rsid w:val="00537182"/>
    <w:rsid w:val="00541EDD"/>
    <w:rsid w:val="00542743"/>
    <w:rsid w:val="00542C2D"/>
    <w:rsid w:val="00543184"/>
    <w:rsid w:val="00543484"/>
    <w:rsid w:val="005461D7"/>
    <w:rsid w:val="00546F0E"/>
    <w:rsid w:val="005478BD"/>
    <w:rsid w:val="005479E3"/>
    <w:rsid w:val="00547EC7"/>
    <w:rsid w:val="005501D4"/>
    <w:rsid w:val="005502BE"/>
    <w:rsid w:val="0055043F"/>
    <w:rsid w:val="00550579"/>
    <w:rsid w:val="00550F1F"/>
    <w:rsid w:val="00551985"/>
    <w:rsid w:val="00551B94"/>
    <w:rsid w:val="00551C01"/>
    <w:rsid w:val="005522C5"/>
    <w:rsid w:val="00552BD3"/>
    <w:rsid w:val="005532A0"/>
    <w:rsid w:val="00553BE4"/>
    <w:rsid w:val="00553F4C"/>
    <w:rsid w:val="00555109"/>
    <w:rsid w:val="00555E5E"/>
    <w:rsid w:val="00556B35"/>
    <w:rsid w:val="0055741A"/>
    <w:rsid w:val="00560497"/>
    <w:rsid w:val="00561106"/>
    <w:rsid w:val="005611B7"/>
    <w:rsid w:val="005618D4"/>
    <w:rsid w:val="00561BFB"/>
    <w:rsid w:val="005620C1"/>
    <w:rsid w:val="00564453"/>
    <w:rsid w:val="00564867"/>
    <w:rsid w:val="00564FF4"/>
    <w:rsid w:val="005657EE"/>
    <w:rsid w:val="00565C79"/>
    <w:rsid w:val="00565DF0"/>
    <w:rsid w:val="0056696F"/>
    <w:rsid w:val="005678D4"/>
    <w:rsid w:val="00567F4A"/>
    <w:rsid w:val="005700F7"/>
    <w:rsid w:val="005706D3"/>
    <w:rsid w:val="00571646"/>
    <w:rsid w:val="00572269"/>
    <w:rsid w:val="0057244A"/>
    <w:rsid w:val="00572AAB"/>
    <w:rsid w:val="00572F26"/>
    <w:rsid w:val="00573762"/>
    <w:rsid w:val="00573BB2"/>
    <w:rsid w:val="005745F9"/>
    <w:rsid w:val="005750C5"/>
    <w:rsid w:val="005752DE"/>
    <w:rsid w:val="00575D60"/>
    <w:rsid w:val="00575D8D"/>
    <w:rsid w:val="0057602C"/>
    <w:rsid w:val="005766FF"/>
    <w:rsid w:val="00576972"/>
    <w:rsid w:val="00577248"/>
    <w:rsid w:val="0058134E"/>
    <w:rsid w:val="00581370"/>
    <w:rsid w:val="00583699"/>
    <w:rsid w:val="00583C85"/>
    <w:rsid w:val="0058476A"/>
    <w:rsid w:val="00584CC4"/>
    <w:rsid w:val="0058580B"/>
    <w:rsid w:val="00585CDD"/>
    <w:rsid w:val="00586E11"/>
    <w:rsid w:val="00587058"/>
    <w:rsid w:val="005917EE"/>
    <w:rsid w:val="00591957"/>
    <w:rsid w:val="005923A7"/>
    <w:rsid w:val="005962C3"/>
    <w:rsid w:val="005965BE"/>
    <w:rsid w:val="00597BF9"/>
    <w:rsid w:val="005A0C11"/>
    <w:rsid w:val="005A1BA1"/>
    <w:rsid w:val="005A309A"/>
    <w:rsid w:val="005A373D"/>
    <w:rsid w:val="005A377B"/>
    <w:rsid w:val="005A6CB2"/>
    <w:rsid w:val="005B0726"/>
    <w:rsid w:val="005B0B58"/>
    <w:rsid w:val="005B17E3"/>
    <w:rsid w:val="005B1AE0"/>
    <w:rsid w:val="005B3750"/>
    <w:rsid w:val="005B4819"/>
    <w:rsid w:val="005B4E53"/>
    <w:rsid w:val="005B5857"/>
    <w:rsid w:val="005B70AF"/>
    <w:rsid w:val="005B7179"/>
    <w:rsid w:val="005B7909"/>
    <w:rsid w:val="005C0A01"/>
    <w:rsid w:val="005C0A79"/>
    <w:rsid w:val="005C0C52"/>
    <w:rsid w:val="005C0E06"/>
    <w:rsid w:val="005C19C4"/>
    <w:rsid w:val="005C1B83"/>
    <w:rsid w:val="005C1F8D"/>
    <w:rsid w:val="005C25FF"/>
    <w:rsid w:val="005C2765"/>
    <w:rsid w:val="005C2D55"/>
    <w:rsid w:val="005C346B"/>
    <w:rsid w:val="005C34D2"/>
    <w:rsid w:val="005C3DF7"/>
    <w:rsid w:val="005C4C1E"/>
    <w:rsid w:val="005C4EBB"/>
    <w:rsid w:val="005C5289"/>
    <w:rsid w:val="005C5ABC"/>
    <w:rsid w:val="005C604B"/>
    <w:rsid w:val="005C67F8"/>
    <w:rsid w:val="005D044D"/>
    <w:rsid w:val="005D0ABD"/>
    <w:rsid w:val="005D1516"/>
    <w:rsid w:val="005D18AD"/>
    <w:rsid w:val="005D26B4"/>
    <w:rsid w:val="005D3293"/>
    <w:rsid w:val="005D37BC"/>
    <w:rsid w:val="005D6D3D"/>
    <w:rsid w:val="005E1995"/>
    <w:rsid w:val="005E520E"/>
    <w:rsid w:val="005E5D71"/>
    <w:rsid w:val="005E6CBC"/>
    <w:rsid w:val="005E72FF"/>
    <w:rsid w:val="005E73C0"/>
    <w:rsid w:val="005E771F"/>
    <w:rsid w:val="005F07ED"/>
    <w:rsid w:val="005F1F99"/>
    <w:rsid w:val="005F2706"/>
    <w:rsid w:val="005F2798"/>
    <w:rsid w:val="005F3D81"/>
    <w:rsid w:val="005F3F94"/>
    <w:rsid w:val="005F4C86"/>
    <w:rsid w:val="005F6A8F"/>
    <w:rsid w:val="005F6BB7"/>
    <w:rsid w:val="005F725A"/>
    <w:rsid w:val="005F7588"/>
    <w:rsid w:val="00600973"/>
    <w:rsid w:val="006024CD"/>
    <w:rsid w:val="006028D3"/>
    <w:rsid w:val="00603DB9"/>
    <w:rsid w:val="00605FD3"/>
    <w:rsid w:val="00606FBA"/>
    <w:rsid w:val="00607669"/>
    <w:rsid w:val="006076F4"/>
    <w:rsid w:val="00607AFD"/>
    <w:rsid w:val="00607B0B"/>
    <w:rsid w:val="006115E1"/>
    <w:rsid w:val="00611B12"/>
    <w:rsid w:val="00611E07"/>
    <w:rsid w:val="00612F97"/>
    <w:rsid w:val="0061308A"/>
    <w:rsid w:val="0061345D"/>
    <w:rsid w:val="00613778"/>
    <w:rsid w:val="00613D8E"/>
    <w:rsid w:val="0061450E"/>
    <w:rsid w:val="0061549B"/>
    <w:rsid w:val="0061677C"/>
    <w:rsid w:val="00616802"/>
    <w:rsid w:val="006170B9"/>
    <w:rsid w:val="00617E12"/>
    <w:rsid w:val="00620C25"/>
    <w:rsid w:val="00620DD0"/>
    <w:rsid w:val="00621477"/>
    <w:rsid w:val="0062160B"/>
    <w:rsid w:val="00621ADA"/>
    <w:rsid w:val="00623AA4"/>
    <w:rsid w:val="00623F7B"/>
    <w:rsid w:val="00624BD4"/>
    <w:rsid w:val="00625143"/>
    <w:rsid w:val="00625BF9"/>
    <w:rsid w:val="0062787C"/>
    <w:rsid w:val="00630806"/>
    <w:rsid w:val="0063081C"/>
    <w:rsid w:val="0063158F"/>
    <w:rsid w:val="00631D6B"/>
    <w:rsid w:val="00632060"/>
    <w:rsid w:val="00632183"/>
    <w:rsid w:val="006330A1"/>
    <w:rsid w:val="0063479F"/>
    <w:rsid w:val="006352C8"/>
    <w:rsid w:val="006353F0"/>
    <w:rsid w:val="006357B5"/>
    <w:rsid w:val="006364A1"/>
    <w:rsid w:val="0063678E"/>
    <w:rsid w:val="00637BFD"/>
    <w:rsid w:val="00637C5C"/>
    <w:rsid w:val="00641C4E"/>
    <w:rsid w:val="00641FB3"/>
    <w:rsid w:val="00643BA3"/>
    <w:rsid w:val="0064434C"/>
    <w:rsid w:val="006443DB"/>
    <w:rsid w:val="00646922"/>
    <w:rsid w:val="006471CC"/>
    <w:rsid w:val="006472FE"/>
    <w:rsid w:val="006473E8"/>
    <w:rsid w:val="00647A29"/>
    <w:rsid w:val="0065055F"/>
    <w:rsid w:val="0065079F"/>
    <w:rsid w:val="00650915"/>
    <w:rsid w:val="00652A28"/>
    <w:rsid w:val="0065379F"/>
    <w:rsid w:val="00654A47"/>
    <w:rsid w:val="00655800"/>
    <w:rsid w:val="00656188"/>
    <w:rsid w:val="0065715A"/>
    <w:rsid w:val="0065780E"/>
    <w:rsid w:val="006605BB"/>
    <w:rsid w:val="006610F1"/>
    <w:rsid w:val="00661C6B"/>
    <w:rsid w:val="00662D3E"/>
    <w:rsid w:val="00663600"/>
    <w:rsid w:val="00663BF2"/>
    <w:rsid w:val="00664C7E"/>
    <w:rsid w:val="00665158"/>
    <w:rsid w:val="00666749"/>
    <w:rsid w:val="00667BE3"/>
    <w:rsid w:val="00667E75"/>
    <w:rsid w:val="006701C3"/>
    <w:rsid w:val="00670397"/>
    <w:rsid w:val="00671004"/>
    <w:rsid w:val="006715FD"/>
    <w:rsid w:val="00672646"/>
    <w:rsid w:val="00673A81"/>
    <w:rsid w:val="00674E42"/>
    <w:rsid w:val="00676563"/>
    <w:rsid w:val="00676B5A"/>
    <w:rsid w:val="006779EB"/>
    <w:rsid w:val="00680028"/>
    <w:rsid w:val="00680673"/>
    <w:rsid w:val="00680AA5"/>
    <w:rsid w:val="0068113D"/>
    <w:rsid w:val="006813F8"/>
    <w:rsid w:val="006814B0"/>
    <w:rsid w:val="00682112"/>
    <w:rsid w:val="00682A97"/>
    <w:rsid w:val="00682BA6"/>
    <w:rsid w:val="0068433A"/>
    <w:rsid w:val="0068584E"/>
    <w:rsid w:val="006867C0"/>
    <w:rsid w:val="00686957"/>
    <w:rsid w:val="006872BA"/>
    <w:rsid w:val="006900A7"/>
    <w:rsid w:val="006903ED"/>
    <w:rsid w:val="00690795"/>
    <w:rsid w:val="00691648"/>
    <w:rsid w:val="006917D7"/>
    <w:rsid w:val="0069266A"/>
    <w:rsid w:val="00692B14"/>
    <w:rsid w:val="006937AC"/>
    <w:rsid w:val="00693E65"/>
    <w:rsid w:val="0069434C"/>
    <w:rsid w:val="00694F44"/>
    <w:rsid w:val="0069506B"/>
    <w:rsid w:val="00695201"/>
    <w:rsid w:val="0069592B"/>
    <w:rsid w:val="00696EF9"/>
    <w:rsid w:val="00696F51"/>
    <w:rsid w:val="006979A5"/>
    <w:rsid w:val="00697A83"/>
    <w:rsid w:val="006A0140"/>
    <w:rsid w:val="006A016F"/>
    <w:rsid w:val="006A052D"/>
    <w:rsid w:val="006A0DF7"/>
    <w:rsid w:val="006A3936"/>
    <w:rsid w:val="006A4321"/>
    <w:rsid w:val="006A43D9"/>
    <w:rsid w:val="006A5B50"/>
    <w:rsid w:val="006A6648"/>
    <w:rsid w:val="006A6B99"/>
    <w:rsid w:val="006A7397"/>
    <w:rsid w:val="006A7E5F"/>
    <w:rsid w:val="006B09DF"/>
    <w:rsid w:val="006B261B"/>
    <w:rsid w:val="006B2C90"/>
    <w:rsid w:val="006B35E6"/>
    <w:rsid w:val="006B3F32"/>
    <w:rsid w:val="006B465A"/>
    <w:rsid w:val="006B5FE7"/>
    <w:rsid w:val="006B6DD0"/>
    <w:rsid w:val="006C0285"/>
    <w:rsid w:val="006C0399"/>
    <w:rsid w:val="006C05E3"/>
    <w:rsid w:val="006C10E9"/>
    <w:rsid w:val="006C233E"/>
    <w:rsid w:val="006C2A8E"/>
    <w:rsid w:val="006C2ACD"/>
    <w:rsid w:val="006C3255"/>
    <w:rsid w:val="006C3F26"/>
    <w:rsid w:val="006C4088"/>
    <w:rsid w:val="006C40BC"/>
    <w:rsid w:val="006C5371"/>
    <w:rsid w:val="006C7F8F"/>
    <w:rsid w:val="006D0D17"/>
    <w:rsid w:val="006D1AFF"/>
    <w:rsid w:val="006D3C7D"/>
    <w:rsid w:val="006D4659"/>
    <w:rsid w:val="006D5D5F"/>
    <w:rsid w:val="006D68FB"/>
    <w:rsid w:val="006D7509"/>
    <w:rsid w:val="006E0275"/>
    <w:rsid w:val="006E092B"/>
    <w:rsid w:val="006E0C65"/>
    <w:rsid w:val="006E1441"/>
    <w:rsid w:val="006E1BDF"/>
    <w:rsid w:val="006E2058"/>
    <w:rsid w:val="006E2868"/>
    <w:rsid w:val="006E49B5"/>
    <w:rsid w:val="006E66E0"/>
    <w:rsid w:val="006E6F3F"/>
    <w:rsid w:val="006F12D5"/>
    <w:rsid w:val="006F306C"/>
    <w:rsid w:val="006F4270"/>
    <w:rsid w:val="006F63A5"/>
    <w:rsid w:val="006F78EC"/>
    <w:rsid w:val="0070142B"/>
    <w:rsid w:val="00701A1B"/>
    <w:rsid w:val="0070276E"/>
    <w:rsid w:val="0070280F"/>
    <w:rsid w:val="00702F8F"/>
    <w:rsid w:val="007039C8"/>
    <w:rsid w:val="007046D6"/>
    <w:rsid w:val="00706050"/>
    <w:rsid w:val="007064A6"/>
    <w:rsid w:val="00706BC0"/>
    <w:rsid w:val="007077DC"/>
    <w:rsid w:val="007079FC"/>
    <w:rsid w:val="00707E08"/>
    <w:rsid w:val="00707F00"/>
    <w:rsid w:val="00710360"/>
    <w:rsid w:val="00710DAB"/>
    <w:rsid w:val="00711A36"/>
    <w:rsid w:val="007125D3"/>
    <w:rsid w:val="0071380E"/>
    <w:rsid w:val="00713AFA"/>
    <w:rsid w:val="00714814"/>
    <w:rsid w:val="00714C26"/>
    <w:rsid w:val="00715013"/>
    <w:rsid w:val="0071529C"/>
    <w:rsid w:val="00716890"/>
    <w:rsid w:val="00717045"/>
    <w:rsid w:val="007170DA"/>
    <w:rsid w:val="007172AD"/>
    <w:rsid w:val="00717546"/>
    <w:rsid w:val="00717809"/>
    <w:rsid w:val="00720801"/>
    <w:rsid w:val="00720951"/>
    <w:rsid w:val="00721805"/>
    <w:rsid w:val="00722B1B"/>
    <w:rsid w:val="0072416F"/>
    <w:rsid w:val="00727C94"/>
    <w:rsid w:val="007316DD"/>
    <w:rsid w:val="00731B0A"/>
    <w:rsid w:val="00731EAE"/>
    <w:rsid w:val="00731F6E"/>
    <w:rsid w:val="00733073"/>
    <w:rsid w:val="00735033"/>
    <w:rsid w:val="00735328"/>
    <w:rsid w:val="0073685B"/>
    <w:rsid w:val="00736E50"/>
    <w:rsid w:val="00737FFE"/>
    <w:rsid w:val="00741174"/>
    <w:rsid w:val="00741E77"/>
    <w:rsid w:val="0074321A"/>
    <w:rsid w:val="00743769"/>
    <w:rsid w:val="007443C1"/>
    <w:rsid w:val="00744615"/>
    <w:rsid w:val="007449BF"/>
    <w:rsid w:val="00745F66"/>
    <w:rsid w:val="007463FE"/>
    <w:rsid w:val="007466C0"/>
    <w:rsid w:val="00746BC0"/>
    <w:rsid w:val="00750376"/>
    <w:rsid w:val="007510B4"/>
    <w:rsid w:val="00751D34"/>
    <w:rsid w:val="00752142"/>
    <w:rsid w:val="007523F9"/>
    <w:rsid w:val="0075357E"/>
    <w:rsid w:val="0075373C"/>
    <w:rsid w:val="00753B29"/>
    <w:rsid w:val="00753EE5"/>
    <w:rsid w:val="0075519D"/>
    <w:rsid w:val="0075649F"/>
    <w:rsid w:val="007573E8"/>
    <w:rsid w:val="00757FF8"/>
    <w:rsid w:val="00760C4E"/>
    <w:rsid w:val="00760F9E"/>
    <w:rsid w:val="00761491"/>
    <w:rsid w:val="007616E6"/>
    <w:rsid w:val="00761FCA"/>
    <w:rsid w:val="007627BE"/>
    <w:rsid w:val="00762A2A"/>
    <w:rsid w:val="00764306"/>
    <w:rsid w:val="0076439C"/>
    <w:rsid w:val="00764F03"/>
    <w:rsid w:val="00765B1A"/>
    <w:rsid w:val="00765CA2"/>
    <w:rsid w:val="00765DC1"/>
    <w:rsid w:val="007677FB"/>
    <w:rsid w:val="00767C52"/>
    <w:rsid w:val="00767E04"/>
    <w:rsid w:val="0077051D"/>
    <w:rsid w:val="0077095D"/>
    <w:rsid w:val="00770FA0"/>
    <w:rsid w:val="0077149B"/>
    <w:rsid w:val="00774DC4"/>
    <w:rsid w:val="00775F6F"/>
    <w:rsid w:val="00776A29"/>
    <w:rsid w:val="00777335"/>
    <w:rsid w:val="007779D4"/>
    <w:rsid w:val="00777DEE"/>
    <w:rsid w:val="00780D77"/>
    <w:rsid w:val="00781D57"/>
    <w:rsid w:val="007821EB"/>
    <w:rsid w:val="0078286C"/>
    <w:rsid w:val="007843F2"/>
    <w:rsid w:val="007846FA"/>
    <w:rsid w:val="00785A9F"/>
    <w:rsid w:val="00786FBC"/>
    <w:rsid w:val="00787578"/>
    <w:rsid w:val="00787C2A"/>
    <w:rsid w:val="00787CC0"/>
    <w:rsid w:val="00790233"/>
    <w:rsid w:val="007907C6"/>
    <w:rsid w:val="00790D90"/>
    <w:rsid w:val="00790E54"/>
    <w:rsid w:val="007925DF"/>
    <w:rsid w:val="0079283B"/>
    <w:rsid w:val="0079441F"/>
    <w:rsid w:val="00794C13"/>
    <w:rsid w:val="00795F74"/>
    <w:rsid w:val="007A03BC"/>
    <w:rsid w:val="007A08AA"/>
    <w:rsid w:val="007A0A12"/>
    <w:rsid w:val="007A0C47"/>
    <w:rsid w:val="007A132D"/>
    <w:rsid w:val="007A1345"/>
    <w:rsid w:val="007A2DDB"/>
    <w:rsid w:val="007A2E83"/>
    <w:rsid w:val="007A439F"/>
    <w:rsid w:val="007A46DD"/>
    <w:rsid w:val="007A4802"/>
    <w:rsid w:val="007A4FDE"/>
    <w:rsid w:val="007A6535"/>
    <w:rsid w:val="007A66CC"/>
    <w:rsid w:val="007A6D23"/>
    <w:rsid w:val="007A6F2E"/>
    <w:rsid w:val="007A70BA"/>
    <w:rsid w:val="007B0078"/>
    <w:rsid w:val="007B08E6"/>
    <w:rsid w:val="007B0A84"/>
    <w:rsid w:val="007B0D68"/>
    <w:rsid w:val="007B11A5"/>
    <w:rsid w:val="007B250C"/>
    <w:rsid w:val="007B251D"/>
    <w:rsid w:val="007B2860"/>
    <w:rsid w:val="007B34F6"/>
    <w:rsid w:val="007B3533"/>
    <w:rsid w:val="007B3D63"/>
    <w:rsid w:val="007B4967"/>
    <w:rsid w:val="007B4A7E"/>
    <w:rsid w:val="007B4F58"/>
    <w:rsid w:val="007B528D"/>
    <w:rsid w:val="007B63CA"/>
    <w:rsid w:val="007B6DA1"/>
    <w:rsid w:val="007B71B9"/>
    <w:rsid w:val="007B77D1"/>
    <w:rsid w:val="007C07C7"/>
    <w:rsid w:val="007C1CD9"/>
    <w:rsid w:val="007C2DA6"/>
    <w:rsid w:val="007C32EF"/>
    <w:rsid w:val="007C33BA"/>
    <w:rsid w:val="007C361D"/>
    <w:rsid w:val="007C4094"/>
    <w:rsid w:val="007C4662"/>
    <w:rsid w:val="007C4B84"/>
    <w:rsid w:val="007C70FF"/>
    <w:rsid w:val="007C7C25"/>
    <w:rsid w:val="007D004F"/>
    <w:rsid w:val="007D035F"/>
    <w:rsid w:val="007D06B2"/>
    <w:rsid w:val="007D0B38"/>
    <w:rsid w:val="007D1B61"/>
    <w:rsid w:val="007D3019"/>
    <w:rsid w:val="007D4E0A"/>
    <w:rsid w:val="007D5440"/>
    <w:rsid w:val="007D649B"/>
    <w:rsid w:val="007D6922"/>
    <w:rsid w:val="007D69EB"/>
    <w:rsid w:val="007D7004"/>
    <w:rsid w:val="007E128F"/>
    <w:rsid w:val="007E3A3C"/>
    <w:rsid w:val="007F026D"/>
    <w:rsid w:val="007F03BD"/>
    <w:rsid w:val="007F1017"/>
    <w:rsid w:val="007F1153"/>
    <w:rsid w:val="007F1353"/>
    <w:rsid w:val="007F1F82"/>
    <w:rsid w:val="007F31EB"/>
    <w:rsid w:val="007F3B7B"/>
    <w:rsid w:val="007F3F9C"/>
    <w:rsid w:val="007F49B6"/>
    <w:rsid w:val="007F4A3F"/>
    <w:rsid w:val="007F4A61"/>
    <w:rsid w:val="007F4F6B"/>
    <w:rsid w:val="007F5205"/>
    <w:rsid w:val="007F5255"/>
    <w:rsid w:val="007F56CC"/>
    <w:rsid w:val="007F61C2"/>
    <w:rsid w:val="007F6427"/>
    <w:rsid w:val="007F7776"/>
    <w:rsid w:val="007F7D9A"/>
    <w:rsid w:val="00800F87"/>
    <w:rsid w:val="008017EA"/>
    <w:rsid w:val="00802128"/>
    <w:rsid w:val="00803C7A"/>
    <w:rsid w:val="008045D8"/>
    <w:rsid w:val="0080500E"/>
    <w:rsid w:val="00805142"/>
    <w:rsid w:val="0080566B"/>
    <w:rsid w:val="00805FCE"/>
    <w:rsid w:val="00806362"/>
    <w:rsid w:val="0080798D"/>
    <w:rsid w:val="00807A8B"/>
    <w:rsid w:val="00811383"/>
    <w:rsid w:val="00811544"/>
    <w:rsid w:val="00812149"/>
    <w:rsid w:val="0081238C"/>
    <w:rsid w:val="00812CAC"/>
    <w:rsid w:val="00813C80"/>
    <w:rsid w:val="0081541C"/>
    <w:rsid w:val="0081634F"/>
    <w:rsid w:val="00816361"/>
    <w:rsid w:val="008166EF"/>
    <w:rsid w:val="00816FEF"/>
    <w:rsid w:val="00820A8C"/>
    <w:rsid w:val="00820DA3"/>
    <w:rsid w:val="00820F45"/>
    <w:rsid w:val="00821296"/>
    <w:rsid w:val="0082149F"/>
    <w:rsid w:val="008215FB"/>
    <w:rsid w:val="00821F23"/>
    <w:rsid w:val="008220CC"/>
    <w:rsid w:val="00823174"/>
    <w:rsid w:val="00825751"/>
    <w:rsid w:val="008264EB"/>
    <w:rsid w:val="008268CE"/>
    <w:rsid w:val="00826950"/>
    <w:rsid w:val="00827C23"/>
    <w:rsid w:val="00827D92"/>
    <w:rsid w:val="00827FEA"/>
    <w:rsid w:val="00833B05"/>
    <w:rsid w:val="00836143"/>
    <w:rsid w:val="008362B4"/>
    <w:rsid w:val="00840CA2"/>
    <w:rsid w:val="008418FD"/>
    <w:rsid w:val="00843270"/>
    <w:rsid w:val="0084374F"/>
    <w:rsid w:val="00843A83"/>
    <w:rsid w:val="0084489B"/>
    <w:rsid w:val="00844943"/>
    <w:rsid w:val="00844A22"/>
    <w:rsid w:val="00845273"/>
    <w:rsid w:val="00845B7E"/>
    <w:rsid w:val="00845EBA"/>
    <w:rsid w:val="008463A4"/>
    <w:rsid w:val="008465D8"/>
    <w:rsid w:val="00846B65"/>
    <w:rsid w:val="00847703"/>
    <w:rsid w:val="00847DF5"/>
    <w:rsid w:val="008502BF"/>
    <w:rsid w:val="00851462"/>
    <w:rsid w:val="0085192B"/>
    <w:rsid w:val="008520E1"/>
    <w:rsid w:val="00852377"/>
    <w:rsid w:val="00852AA6"/>
    <w:rsid w:val="0085309D"/>
    <w:rsid w:val="00853BB0"/>
    <w:rsid w:val="00854273"/>
    <w:rsid w:val="00854333"/>
    <w:rsid w:val="00855285"/>
    <w:rsid w:val="00856897"/>
    <w:rsid w:val="00856E9A"/>
    <w:rsid w:val="0085714E"/>
    <w:rsid w:val="0086075D"/>
    <w:rsid w:val="00860DAF"/>
    <w:rsid w:val="00861EEC"/>
    <w:rsid w:val="00862502"/>
    <w:rsid w:val="00862CC1"/>
    <w:rsid w:val="00863730"/>
    <w:rsid w:val="008637A8"/>
    <w:rsid w:val="008642A7"/>
    <w:rsid w:val="00865501"/>
    <w:rsid w:val="008660D4"/>
    <w:rsid w:val="00867C72"/>
    <w:rsid w:val="0087069F"/>
    <w:rsid w:val="00871752"/>
    <w:rsid w:val="00871FA9"/>
    <w:rsid w:val="008723FB"/>
    <w:rsid w:val="008725ED"/>
    <w:rsid w:val="008728E9"/>
    <w:rsid w:val="008740E6"/>
    <w:rsid w:val="00875993"/>
    <w:rsid w:val="00876023"/>
    <w:rsid w:val="0087769B"/>
    <w:rsid w:val="0088124C"/>
    <w:rsid w:val="00882874"/>
    <w:rsid w:val="00882E3C"/>
    <w:rsid w:val="0088308A"/>
    <w:rsid w:val="00883787"/>
    <w:rsid w:val="00883A0B"/>
    <w:rsid w:val="00883CC9"/>
    <w:rsid w:val="0088480B"/>
    <w:rsid w:val="008855E4"/>
    <w:rsid w:val="0088630A"/>
    <w:rsid w:val="00886CD2"/>
    <w:rsid w:val="00890000"/>
    <w:rsid w:val="00891E29"/>
    <w:rsid w:val="00891E6F"/>
    <w:rsid w:val="0089275D"/>
    <w:rsid w:val="00892A36"/>
    <w:rsid w:val="00893239"/>
    <w:rsid w:val="0089420E"/>
    <w:rsid w:val="00894489"/>
    <w:rsid w:val="00894CD6"/>
    <w:rsid w:val="0089577A"/>
    <w:rsid w:val="008963A5"/>
    <w:rsid w:val="00896D5D"/>
    <w:rsid w:val="008978FD"/>
    <w:rsid w:val="00897916"/>
    <w:rsid w:val="008A002C"/>
    <w:rsid w:val="008A005A"/>
    <w:rsid w:val="008A0A10"/>
    <w:rsid w:val="008A18F2"/>
    <w:rsid w:val="008A3158"/>
    <w:rsid w:val="008A3363"/>
    <w:rsid w:val="008A3371"/>
    <w:rsid w:val="008A3C3E"/>
    <w:rsid w:val="008A3DE5"/>
    <w:rsid w:val="008A445D"/>
    <w:rsid w:val="008A45A7"/>
    <w:rsid w:val="008A6F34"/>
    <w:rsid w:val="008A7186"/>
    <w:rsid w:val="008A79DE"/>
    <w:rsid w:val="008B04A8"/>
    <w:rsid w:val="008B1757"/>
    <w:rsid w:val="008B1C33"/>
    <w:rsid w:val="008B38D9"/>
    <w:rsid w:val="008B3F3D"/>
    <w:rsid w:val="008B4B6F"/>
    <w:rsid w:val="008B5FAE"/>
    <w:rsid w:val="008B6972"/>
    <w:rsid w:val="008B7992"/>
    <w:rsid w:val="008B7D7E"/>
    <w:rsid w:val="008B7FF3"/>
    <w:rsid w:val="008C1B85"/>
    <w:rsid w:val="008C5610"/>
    <w:rsid w:val="008C5739"/>
    <w:rsid w:val="008C5FF1"/>
    <w:rsid w:val="008C684C"/>
    <w:rsid w:val="008C7282"/>
    <w:rsid w:val="008C7ECB"/>
    <w:rsid w:val="008D13C0"/>
    <w:rsid w:val="008D166A"/>
    <w:rsid w:val="008D2C37"/>
    <w:rsid w:val="008D3B86"/>
    <w:rsid w:val="008D43FD"/>
    <w:rsid w:val="008D4755"/>
    <w:rsid w:val="008D4C3D"/>
    <w:rsid w:val="008D6DB6"/>
    <w:rsid w:val="008D743C"/>
    <w:rsid w:val="008D7C8F"/>
    <w:rsid w:val="008E0A11"/>
    <w:rsid w:val="008E0AD4"/>
    <w:rsid w:val="008E0D3C"/>
    <w:rsid w:val="008E1B9E"/>
    <w:rsid w:val="008E2F5F"/>
    <w:rsid w:val="008E2FFC"/>
    <w:rsid w:val="008E55AB"/>
    <w:rsid w:val="008E5ADD"/>
    <w:rsid w:val="008E6B88"/>
    <w:rsid w:val="008F120A"/>
    <w:rsid w:val="008F1478"/>
    <w:rsid w:val="008F1B52"/>
    <w:rsid w:val="008F276C"/>
    <w:rsid w:val="008F27E0"/>
    <w:rsid w:val="008F2A50"/>
    <w:rsid w:val="008F48EB"/>
    <w:rsid w:val="008F4F0B"/>
    <w:rsid w:val="008F5AC6"/>
    <w:rsid w:val="008F684E"/>
    <w:rsid w:val="00900B60"/>
    <w:rsid w:val="00901CB7"/>
    <w:rsid w:val="009041F0"/>
    <w:rsid w:val="009046C4"/>
    <w:rsid w:val="00904EB8"/>
    <w:rsid w:val="009053A4"/>
    <w:rsid w:val="00905FB9"/>
    <w:rsid w:val="009062A5"/>
    <w:rsid w:val="009075F6"/>
    <w:rsid w:val="00907699"/>
    <w:rsid w:val="00910FA7"/>
    <w:rsid w:val="00911272"/>
    <w:rsid w:val="00911339"/>
    <w:rsid w:val="00911385"/>
    <w:rsid w:val="0091167C"/>
    <w:rsid w:val="009123ED"/>
    <w:rsid w:val="00912A6D"/>
    <w:rsid w:val="00912C18"/>
    <w:rsid w:val="009135D6"/>
    <w:rsid w:val="00914C77"/>
    <w:rsid w:val="00916ED0"/>
    <w:rsid w:val="009170C2"/>
    <w:rsid w:val="0092000B"/>
    <w:rsid w:val="0092160E"/>
    <w:rsid w:val="00921ACB"/>
    <w:rsid w:val="009223DB"/>
    <w:rsid w:val="0092240E"/>
    <w:rsid w:val="0092369B"/>
    <w:rsid w:val="00924B66"/>
    <w:rsid w:val="00925373"/>
    <w:rsid w:val="009259BF"/>
    <w:rsid w:val="00925F5E"/>
    <w:rsid w:val="00926C57"/>
    <w:rsid w:val="00926C86"/>
    <w:rsid w:val="00927B5F"/>
    <w:rsid w:val="0093042C"/>
    <w:rsid w:val="0093169E"/>
    <w:rsid w:val="00933348"/>
    <w:rsid w:val="00934988"/>
    <w:rsid w:val="00936049"/>
    <w:rsid w:val="00937089"/>
    <w:rsid w:val="009371E8"/>
    <w:rsid w:val="009403E5"/>
    <w:rsid w:val="009421D6"/>
    <w:rsid w:val="00944F8A"/>
    <w:rsid w:val="00946AA2"/>
    <w:rsid w:val="00947106"/>
    <w:rsid w:val="00947B4A"/>
    <w:rsid w:val="009505C9"/>
    <w:rsid w:val="009510A2"/>
    <w:rsid w:val="00951599"/>
    <w:rsid w:val="00953257"/>
    <w:rsid w:val="0095363D"/>
    <w:rsid w:val="0095474C"/>
    <w:rsid w:val="00956CD9"/>
    <w:rsid w:val="00957673"/>
    <w:rsid w:val="00957D92"/>
    <w:rsid w:val="00960101"/>
    <w:rsid w:val="009619E4"/>
    <w:rsid w:val="009625FB"/>
    <w:rsid w:val="00962CB9"/>
    <w:rsid w:val="00963650"/>
    <w:rsid w:val="00964312"/>
    <w:rsid w:val="00965B8A"/>
    <w:rsid w:val="00966B35"/>
    <w:rsid w:val="00966D4F"/>
    <w:rsid w:val="0096760D"/>
    <w:rsid w:val="0097071F"/>
    <w:rsid w:val="009717AC"/>
    <w:rsid w:val="009740D3"/>
    <w:rsid w:val="009751C1"/>
    <w:rsid w:val="009776E7"/>
    <w:rsid w:val="00977D1C"/>
    <w:rsid w:val="00980136"/>
    <w:rsid w:val="009811F1"/>
    <w:rsid w:val="0098262F"/>
    <w:rsid w:val="00982F16"/>
    <w:rsid w:val="00982F1E"/>
    <w:rsid w:val="00983E57"/>
    <w:rsid w:val="00985ACA"/>
    <w:rsid w:val="00985DE2"/>
    <w:rsid w:val="00986305"/>
    <w:rsid w:val="0098675D"/>
    <w:rsid w:val="00986C76"/>
    <w:rsid w:val="00987BA4"/>
    <w:rsid w:val="00987FC4"/>
    <w:rsid w:val="009926E0"/>
    <w:rsid w:val="00992C60"/>
    <w:rsid w:val="0099451E"/>
    <w:rsid w:val="00996B1A"/>
    <w:rsid w:val="00996C88"/>
    <w:rsid w:val="0099754D"/>
    <w:rsid w:val="00997AAB"/>
    <w:rsid w:val="009A0A0E"/>
    <w:rsid w:val="009A18F6"/>
    <w:rsid w:val="009A1FF4"/>
    <w:rsid w:val="009A2630"/>
    <w:rsid w:val="009A26F1"/>
    <w:rsid w:val="009A286E"/>
    <w:rsid w:val="009A2D1C"/>
    <w:rsid w:val="009A2DCC"/>
    <w:rsid w:val="009A4901"/>
    <w:rsid w:val="009A4D94"/>
    <w:rsid w:val="009A5ABC"/>
    <w:rsid w:val="009A5FD0"/>
    <w:rsid w:val="009A604D"/>
    <w:rsid w:val="009A6D03"/>
    <w:rsid w:val="009A74DA"/>
    <w:rsid w:val="009A7F10"/>
    <w:rsid w:val="009B0ECD"/>
    <w:rsid w:val="009B1BB0"/>
    <w:rsid w:val="009B28C2"/>
    <w:rsid w:val="009B2B84"/>
    <w:rsid w:val="009B393A"/>
    <w:rsid w:val="009B3E26"/>
    <w:rsid w:val="009B59CE"/>
    <w:rsid w:val="009B5F90"/>
    <w:rsid w:val="009B622D"/>
    <w:rsid w:val="009C0D45"/>
    <w:rsid w:val="009C1271"/>
    <w:rsid w:val="009C1DCE"/>
    <w:rsid w:val="009C3063"/>
    <w:rsid w:val="009C35AF"/>
    <w:rsid w:val="009C3706"/>
    <w:rsid w:val="009C3A3A"/>
    <w:rsid w:val="009C426B"/>
    <w:rsid w:val="009C4346"/>
    <w:rsid w:val="009C5CA1"/>
    <w:rsid w:val="009C69BF"/>
    <w:rsid w:val="009C6CEA"/>
    <w:rsid w:val="009C7B85"/>
    <w:rsid w:val="009D0254"/>
    <w:rsid w:val="009D0912"/>
    <w:rsid w:val="009D0EC5"/>
    <w:rsid w:val="009D11D4"/>
    <w:rsid w:val="009D150F"/>
    <w:rsid w:val="009D1A64"/>
    <w:rsid w:val="009D2071"/>
    <w:rsid w:val="009D49FC"/>
    <w:rsid w:val="009D5B91"/>
    <w:rsid w:val="009D603F"/>
    <w:rsid w:val="009D6692"/>
    <w:rsid w:val="009D6C7F"/>
    <w:rsid w:val="009D77D0"/>
    <w:rsid w:val="009D792E"/>
    <w:rsid w:val="009D7FC2"/>
    <w:rsid w:val="009E0DFE"/>
    <w:rsid w:val="009E1586"/>
    <w:rsid w:val="009E2047"/>
    <w:rsid w:val="009E27BC"/>
    <w:rsid w:val="009E31F6"/>
    <w:rsid w:val="009E3815"/>
    <w:rsid w:val="009E3D4A"/>
    <w:rsid w:val="009E4C07"/>
    <w:rsid w:val="009E5150"/>
    <w:rsid w:val="009E545A"/>
    <w:rsid w:val="009E6D42"/>
    <w:rsid w:val="009E76A9"/>
    <w:rsid w:val="009E777F"/>
    <w:rsid w:val="009F09EC"/>
    <w:rsid w:val="009F3040"/>
    <w:rsid w:val="009F34A7"/>
    <w:rsid w:val="009F40B6"/>
    <w:rsid w:val="009F4D35"/>
    <w:rsid w:val="009F5687"/>
    <w:rsid w:val="009F5EDB"/>
    <w:rsid w:val="009F6077"/>
    <w:rsid w:val="009F6120"/>
    <w:rsid w:val="009F65D6"/>
    <w:rsid w:val="009F7FAD"/>
    <w:rsid w:val="00A00D76"/>
    <w:rsid w:val="00A01184"/>
    <w:rsid w:val="00A01449"/>
    <w:rsid w:val="00A018CE"/>
    <w:rsid w:val="00A01A06"/>
    <w:rsid w:val="00A02228"/>
    <w:rsid w:val="00A02E14"/>
    <w:rsid w:val="00A037C2"/>
    <w:rsid w:val="00A03B60"/>
    <w:rsid w:val="00A03D43"/>
    <w:rsid w:val="00A04380"/>
    <w:rsid w:val="00A04786"/>
    <w:rsid w:val="00A05472"/>
    <w:rsid w:val="00A05C32"/>
    <w:rsid w:val="00A061EB"/>
    <w:rsid w:val="00A0653F"/>
    <w:rsid w:val="00A1120C"/>
    <w:rsid w:val="00A117B7"/>
    <w:rsid w:val="00A11C59"/>
    <w:rsid w:val="00A11CD0"/>
    <w:rsid w:val="00A11E69"/>
    <w:rsid w:val="00A12244"/>
    <w:rsid w:val="00A13948"/>
    <w:rsid w:val="00A1555B"/>
    <w:rsid w:val="00A155C5"/>
    <w:rsid w:val="00A16AD8"/>
    <w:rsid w:val="00A17796"/>
    <w:rsid w:val="00A17A70"/>
    <w:rsid w:val="00A2021E"/>
    <w:rsid w:val="00A20A5B"/>
    <w:rsid w:val="00A214D9"/>
    <w:rsid w:val="00A21C95"/>
    <w:rsid w:val="00A21CF3"/>
    <w:rsid w:val="00A2350C"/>
    <w:rsid w:val="00A23A18"/>
    <w:rsid w:val="00A24813"/>
    <w:rsid w:val="00A258A5"/>
    <w:rsid w:val="00A26C01"/>
    <w:rsid w:val="00A278A2"/>
    <w:rsid w:val="00A27AEC"/>
    <w:rsid w:val="00A31F03"/>
    <w:rsid w:val="00A320DB"/>
    <w:rsid w:val="00A327CB"/>
    <w:rsid w:val="00A35C10"/>
    <w:rsid w:val="00A35D16"/>
    <w:rsid w:val="00A36405"/>
    <w:rsid w:val="00A3662F"/>
    <w:rsid w:val="00A376A4"/>
    <w:rsid w:val="00A378EF"/>
    <w:rsid w:val="00A37BCD"/>
    <w:rsid w:val="00A407FC"/>
    <w:rsid w:val="00A41689"/>
    <w:rsid w:val="00A42592"/>
    <w:rsid w:val="00A43C59"/>
    <w:rsid w:val="00A43CA2"/>
    <w:rsid w:val="00A454B5"/>
    <w:rsid w:val="00A46441"/>
    <w:rsid w:val="00A46E91"/>
    <w:rsid w:val="00A505EA"/>
    <w:rsid w:val="00A50ECD"/>
    <w:rsid w:val="00A518F3"/>
    <w:rsid w:val="00A52694"/>
    <w:rsid w:val="00A52729"/>
    <w:rsid w:val="00A530CE"/>
    <w:rsid w:val="00A53675"/>
    <w:rsid w:val="00A53790"/>
    <w:rsid w:val="00A53F78"/>
    <w:rsid w:val="00A54477"/>
    <w:rsid w:val="00A54ADF"/>
    <w:rsid w:val="00A54CD8"/>
    <w:rsid w:val="00A55C8B"/>
    <w:rsid w:val="00A56365"/>
    <w:rsid w:val="00A564D7"/>
    <w:rsid w:val="00A56B6A"/>
    <w:rsid w:val="00A578DC"/>
    <w:rsid w:val="00A61E4A"/>
    <w:rsid w:val="00A61F90"/>
    <w:rsid w:val="00A622A2"/>
    <w:rsid w:val="00A640E2"/>
    <w:rsid w:val="00A64D65"/>
    <w:rsid w:val="00A66951"/>
    <w:rsid w:val="00A66ADC"/>
    <w:rsid w:val="00A66DA7"/>
    <w:rsid w:val="00A6725B"/>
    <w:rsid w:val="00A6744B"/>
    <w:rsid w:val="00A67931"/>
    <w:rsid w:val="00A70134"/>
    <w:rsid w:val="00A70605"/>
    <w:rsid w:val="00A72960"/>
    <w:rsid w:val="00A73134"/>
    <w:rsid w:val="00A7365A"/>
    <w:rsid w:val="00A73ABE"/>
    <w:rsid w:val="00A73B1C"/>
    <w:rsid w:val="00A74842"/>
    <w:rsid w:val="00A75D18"/>
    <w:rsid w:val="00A76001"/>
    <w:rsid w:val="00A76567"/>
    <w:rsid w:val="00A767B9"/>
    <w:rsid w:val="00A76E9C"/>
    <w:rsid w:val="00A777B2"/>
    <w:rsid w:val="00A80FFC"/>
    <w:rsid w:val="00A81535"/>
    <w:rsid w:val="00A825D4"/>
    <w:rsid w:val="00A828F6"/>
    <w:rsid w:val="00A82B73"/>
    <w:rsid w:val="00A83F9A"/>
    <w:rsid w:val="00A841B9"/>
    <w:rsid w:val="00A84BFF"/>
    <w:rsid w:val="00A86A79"/>
    <w:rsid w:val="00A86E8B"/>
    <w:rsid w:val="00A86E9C"/>
    <w:rsid w:val="00A87164"/>
    <w:rsid w:val="00A871A9"/>
    <w:rsid w:val="00A87CA0"/>
    <w:rsid w:val="00A9002F"/>
    <w:rsid w:val="00A90EE4"/>
    <w:rsid w:val="00A93072"/>
    <w:rsid w:val="00A938BD"/>
    <w:rsid w:val="00A93953"/>
    <w:rsid w:val="00A944A8"/>
    <w:rsid w:val="00A951AF"/>
    <w:rsid w:val="00A959D8"/>
    <w:rsid w:val="00A963A9"/>
    <w:rsid w:val="00A96B7E"/>
    <w:rsid w:val="00AA0512"/>
    <w:rsid w:val="00AA0AED"/>
    <w:rsid w:val="00AA113D"/>
    <w:rsid w:val="00AA1DD5"/>
    <w:rsid w:val="00AA24F6"/>
    <w:rsid w:val="00AA2687"/>
    <w:rsid w:val="00AA59AE"/>
    <w:rsid w:val="00AA6BD5"/>
    <w:rsid w:val="00AA6BD8"/>
    <w:rsid w:val="00AA6C7D"/>
    <w:rsid w:val="00AA775A"/>
    <w:rsid w:val="00AA7FD6"/>
    <w:rsid w:val="00AB042A"/>
    <w:rsid w:val="00AB11AD"/>
    <w:rsid w:val="00AB19EF"/>
    <w:rsid w:val="00AB2495"/>
    <w:rsid w:val="00AB2D34"/>
    <w:rsid w:val="00AB332A"/>
    <w:rsid w:val="00AB3366"/>
    <w:rsid w:val="00AB3430"/>
    <w:rsid w:val="00AB37B9"/>
    <w:rsid w:val="00AB4AD1"/>
    <w:rsid w:val="00AB5774"/>
    <w:rsid w:val="00AB5E07"/>
    <w:rsid w:val="00AB7BB7"/>
    <w:rsid w:val="00AB7CFA"/>
    <w:rsid w:val="00AC0908"/>
    <w:rsid w:val="00AC1066"/>
    <w:rsid w:val="00AC4760"/>
    <w:rsid w:val="00AC5580"/>
    <w:rsid w:val="00AC5B42"/>
    <w:rsid w:val="00AC5B48"/>
    <w:rsid w:val="00AC5E47"/>
    <w:rsid w:val="00AC5FB6"/>
    <w:rsid w:val="00AC5FC9"/>
    <w:rsid w:val="00AC6E9B"/>
    <w:rsid w:val="00AD1450"/>
    <w:rsid w:val="00AD15E8"/>
    <w:rsid w:val="00AD1D7A"/>
    <w:rsid w:val="00AD202B"/>
    <w:rsid w:val="00AD356D"/>
    <w:rsid w:val="00AD632A"/>
    <w:rsid w:val="00AD6502"/>
    <w:rsid w:val="00AD7B92"/>
    <w:rsid w:val="00AD7F9B"/>
    <w:rsid w:val="00AE0695"/>
    <w:rsid w:val="00AE1DBA"/>
    <w:rsid w:val="00AE37F9"/>
    <w:rsid w:val="00AE3B24"/>
    <w:rsid w:val="00AE3E7E"/>
    <w:rsid w:val="00AE5E1D"/>
    <w:rsid w:val="00AE6AF6"/>
    <w:rsid w:val="00AE7E53"/>
    <w:rsid w:val="00AE7EB2"/>
    <w:rsid w:val="00AF053A"/>
    <w:rsid w:val="00AF1315"/>
    <w:rsid w:val="00AF17BF"/>
    <w:rsid w:val="00AF195B"/>
    <w:rsid w:val="00AF19BF"/>
    <w:rsid w:val="00AF24E8"/>
    <w:rsid w:val="00AF24ED"/>
    <w:rsid w:val="00AF2DC3"/>
    <w:rsid w:val="00AF3391"/>
    <w:rsid w:val="00AF54D5"/>
    <w:rsid w:val="00AF75B8"/>
    <w:rsid w:val="00AF7628"/>
    <w:rsid w:val="00B00776"/>
    <w:rsid w:val="00B00E94"/>
    <w:rsid w:val="00B019F3"/>
    <w:rsid w:val="00B02356"/>
    <w:rsid w:val="00B033E5"/>
    <w:rsid w:val="00B03622"/>
    <w:rsid w:val="00B03A58"/>
    <w:rsid w:val="00B03A63"/>
    <w:rsid w:val="00B07AED"/>
    <w:rsid w:val="00B1129A"/>
    <w:rsid w:val="00B117A7"/>
    <w:rsid w:val="00B128AF"/>
    <w:rsid w:val="00B129A4"/>
    <w:rsid w:val="00B130CC"/>
    <w:rsid w:val="00B13681"/>
    <w:rsid w:val="00B13C29"/>
    <w:rsid w:val="00B14B73"/>
    <w:rsid w:val="00B14C88"/>
    <w:rsid w:val="00B15988"/>
    <w:rsid w:val="00B16796"/>
    <w:rsid w:val="00B178DC"/>
    <w:rsid w:val="00B201A4"/>
    <w:rsid w:val="00B201D1"/>
    <w:rsid w:val="00B20819"/>
    <w:rsid w:val="00B213A6"/>
    <w:rsid w:val="00B235B0"/>
    <w:rsid w:val="00B23BBA"/>
    <w:rsid w:val="00B23E8C"/>
    <w:rsid w:val="00B24A6F"/>
    <w:rsid w:val="00B24BBE"/>
    <w:rsid w:val="00B24C7C"/>
    <w:rsid w:val="00B24DF6"/>
    <w:rsid w:val="00B26769"/>
    <w:rsid w:val="00B27A61"/>
    <w:rsid w:val="00B30927"/>
    <w:rsid w:val="00B3159B"/>
    <w:rsid w:val="00B33EB5"/>
    <w:rsid w:val="00B34C9C"/>
    <w:rsid w:val="00B34FE2"/>
    <w:rsid w:val="00B35166"/>
    <w:rsid w:val="00B357D8"/>
    <w:rsid w:val="00B3599A"/>
    <w:rsid w:val="00B360F4"/>
    <w:rsid w:val="00B363DF"/>
    <w:rsid w:val="00B36A00"/>
    <w:rsid w:val="00B3713E"/>
    <w:rsid w:val="00B3792B"/>
    <w:rsid w:val="00B37BFC"/>
    <w:rsid w:val="00B40358"/>
    <w:rsid w:val="00B40498"/>
    <w:rsid w:val="00B40E0C"/>
    <w:rsid w:val="00B41614"/>
    <w:rsid w:val="00B42382"/>
    <w:rsid w:val="00B4263D"/>
    <w:rsid w:val="00B42851"/>
    <w:rsid w:val="00B428BB"/>
    <w:rsid w:val="00B42F80"/>
    <w:rsid w:val="00B435CB"/>
    <w:rsid w:val="00B435E7"/>
    <w:rsid w:val="00B438B1"/>
    <w:rsid w:val="00B44F80"/>
    <w:rsid w:val="00B465EC"/>
    <w:rsid w:val="00B505C8"/>
    <w:rsid w:val="00B50DB8"/>
    <w:rsid w:val="00B51231"/>
    <w:rsid w:val="00B52F8C"/>
    <w:rsid w:val="00B53654"/>
    <w:rsid w:val="00B53905"/>
    <w:rsid w:val="00B546D3"/>
    <w:rsid w:val="00B546DB"/>
    <w:rsid w:val="00B54B5B"/>
    <w:rsid w:val="00B5562E"/>
    <w:rsid w:val="00B55862"/>
    <w:rsid w:val="00B55D65"/>
    <w:rsid w:val="00B56305"/>
    <w:rsid w:val="00B56867"/>
    <w:rsid w:val="00B56A3E"/>
    <w:rsid w:val="00B57000"/>
    <w:rsid w:val="00B5799B"/>
    <w:rsid w:val="00B57FD5"/>
    <w:rsid w:val="00B60939"/>
    <w:rsid w:val="00B60AFD"/>
    <w:rsid w:val="00B62715"/>
    <w:rsid w:val="00B6485E"/>
    <w:rsid w:val="00B65611"/>
    <w:rsid w:val="00B70497"/>
    <w:rsid w:val="00B70E8E"/>
    <w:rsid w:val="00B719CF"/>
    <w:rsid w:val="00B737A5"/>
    <w:rsid w:val="00B73F19"/>
    <w:rsid w:val="00B7457A"/>
    <w:rsid w:val="00B75D0F"/>
    <w:rsid w:val="00B761B5"/>
    <w:rsid w:val="00B76C92"/>
    <w:rsid w:val="00B77572"/>
    <w:rsid w:val="00B77621"/>
    <w:rsid w:val="00B80C3F"/>
    <w:rsid w:val="00B80E09"/>
    <w:rsid w:val="00B80EFD"/>
    <w:rsid w:val="00B818A4"/>
    <w:rsid w:val="00B81B24"/>
    <w:rsid w:val="00B81E42"/>
    <w:rsid w:val="00B82D32"/>
    <w:rsid w:val="00B83739"/>
    <w:rsid w:val="00B84117"/>
    <w:rsid w:val="00B84A7B"/>
    <w:rsid w:val="00B858F0"/>
    <w:rsid w:val="00B85AA2"/>
    <w:rsid w:val="00B85BBD"/>
    <w:rsid w:val="00B85C4B"/>
    <w:rsid w:val="00B8649C"/>
    <w:rsid w:val="00B8695D"/>
    <w:rsid w:val="00B86CFE"/>
    <w:rsid w:val="00B86F40"/>
    <w:rsid w:val="00B87F0A"/>
    <w:rsid w:val="00B92D0B"/>
    <w:rsid w:val="00B93435"/>
    <w:rsid w:val="00B93C44"/>
    <w:rsid w:val="00B93D4F"/>
    <w:rsid w:val="00B93E51"/>
    <w:rsid w:val="00B94945"/>
    <w:rsid w:val="00B94DD6"/>
    <w:rsid w:val="00B9510B"/>
    <w:rsid w:val="00B96AFF"/>
    <w:rsid w:val="00B975DD"/>
    <w:rsid w:val="00B97708"/>
    <w:rsid w:val="00BA2928"/>
    <w:rsid w:val="00BA2A17"/>
    <w:rsid w:val="00BA2FEF"/>
    <w:rsid w:val="00BA322D"/>
    <w:rsid w:val="00BA3340"/>
    <w:rsid w:val="00BA3E46"/>
    <w:rsid w:val="00BA5FDA"/>
    <w:rsid w:val="00BA63FA"/>
    <w:rsid w:val="00BB00B3"/>
    <w:rsid w:val="00BB0BDD"/>
    <w:rsid w:val="00BB0F18"/>
    <w:rsid w:val="00BB1023"/>
    <w:rsid w:val="00BB16F5"/>
    <w:rsid w:val="00BB176C"/>
    <w:rsid w:val="00BB1BDE"/>
    <w:rsid w:val="00BB1C63"/>
    <w:rsid w:val="00BB2048"/>
    <w:rsid w:val="00BB2A73"/>
    <w:rsid w:val="00BB3495"/>
    <w:rsid w:val="00BB34A8"/>
    <w:rsid w:val="00BB367E"/>
    <w:rsid w:val="00BB375F"/>
    <w:rsid w:val="00BB3A45"/>
    <w:rsid w:val="00BB4ACC"/>
    <w:rsid w:val="00BB4B71"/>
    <w:rsid w:val="00BB5E94"/>
    <w:rsid w:val="00BB63D8"/>
    <w:rsid w:val="00BB703E"/>
    <w:rsid w:val="00BB732D"/>
    <w:rsid w:val="00BB7405"/>
    <w:rsid w:val="00BB7EFE"/>
    <w:rsid w:val="00BC1EE2"/>
    <w:rsid w:val="00BC2153"/>
    <w:rsid w:val="00BC3631"/>
    <w:rsid w:val="00BC3892"/>
    <w:rsid w:val="00BC591F"/>
    <w:rsid w:val="00BC72FE"/>
    <w:rsid w:val="00BC7A6C"/>
    <w:rsid w:val="00BC7D6D"/>
    <w:rsid w:val="00BD07D0"/>
    <w:rsid w:val="00BD0C62"/>
    <w:rsid w:val="00BD2108"/>
    <w:rsid w:val="00BD68A3"/>
    <w:rsid w:val="00BD6938"/>
    <w:rsid w:val="00BD6CF3"/>
    <w:rsid w:val="00BD7244"/>
    <w:rsid w:val="00BD7F72"/>
    <w:rsid w:val="00BE0329"/>
    <w:rsid w:val="00BE0392"/>
    <w:rsid w:val="00BE0ECA"/>
    <w:rsid w:val="00BE1745"/>
    <w:rsid w:val="00BE2180"/>
    <w:rsid w:val="00BE21F2"/>
    <w:rsid w:val="00BE2568"/>
    <w:rsid w:val="00BE2D4D"/>
    <w:rsid w:val="00BE3829"/>
    <w:rsid w:val="00BE4043"/>
    <w:rsid w:val="00BE423E"/>
    <w:rsid w:val="00BE4275"/>
    <w:rsid w:val="00BE50EC"/>
    <w:rsid w:val="00BE528F"/>
    <w:rsid w:val="00BE6412"/>
    <w:rsid w:val="00BF06AE"/>
    <w:rsid w:val="00BF0F95"/>
    <w:rsid w:val="00BF1217"/>
    <w:rsid w:val="00BF2433"/>
    <w:rsid w:val="00BF2E6E"/>
    <w:rsid w:val="00BF387F"/>
    <w:rsid w:val="00BF478C"/>
    <w:rsid w:val="00BF50D5"/>
    <w:rsid w:val="00BF5A2F"/>
    <w:rsid w:val="00BF61C9"/>
    <w:rsid w:val="00BF6250"/>
    <w:rsid w:val="00BF6C94"/>
    <w:rsid w:val="00BF7DC9"/>
    <w:rsid w:val="00C000D0"/>
    <w:rsid w:val="00C00424"/>
    <w:rsid w:val="00C00571"/>
    <w:rsid w:val="00C009AC"/>
    <w:rsid w:val="00C00B82"/>
    <w:rsid w:val="00C00BB0"/>
    <w:rsid w:val="00C022C8"/>
    <w:rsid w:val="00C02929"/>
    <w:rsid w:val="00C0327D"/>
    <w:rsid w:val="00C04E0B"/>
    <w:rsid w:val="00C0578C"/>
    <w:rsid w:val="00C1179F"/>
    <w:rsid w:val="00C127B9"/>
    <w:rsid w:val="00C128FA"/>
    <w:rsid w:val="00C12C14"/>
    <w:rsid w:val="00C12EAF"/>
    <w:rsid w:val="00C15F04"/>
    <w:rsid w:val="00C16A39"/>
    <w:rsid w:val="00C16AAC"/>
    <w:rsid w:val="00C179B3"/>
    <w:rsid w:val="00C17E3F"/>
    <w:rsid w:val="00C200AA"/>
    <w:rsid w:val="00C207C2"/>
    <w:rsid w:val="00C237DC"/>
    <w:rsid w:val="00C237ED"/>
    <w:rsid w:val="00C241EA"/>
    <w:rsid w:val="00C2423E"/>
    <w:rsid w:val="00C24632"/>
    <w:rsid w:val="00C24A50"/>
    <w:rsid w:val="00C25418"/>
    <w:rsid w:val="00C25D9C"/>
    <w:rsid w:val="00C26E99"/>
    <w:rsid w:val="00C2778B"/>
    <w:rsid w:val="00C27A1C"/>
    <w:rsid w:val="00C3038F"/>
    <w:rsid w:val="00C30572"/>
    <w:rsid w:val="00C31649"/>
    <w:rsid w:val="00C32275"/>
    <w:rsid w:val="00C3262D"/>
    <w:rsid w:val="00C32D76"/>
    <w:rsid w:val="00C32F98"/>
    <w:rsid w:val="00C33149"/>
    <w:rsid w:val="00C3434C"/>
    <w:rsid w:val="00C3444A"/>
    <w:rsid w:val="00C34C7D"/>
    <w:rsid w:val="00C34C91"/>
    <w:rsid w:val="00C37761"/>
    <w:rsid w:val="00C40385"/>
    <w:rsid w:val="00C41119"/>
    <w:rsid w:val="00C41768"/>
    <w:rsid w:val="00C4296C"/>
    <w:rsid w:val="00C470E1"/>
    <w:rsid w:val="00C475AA"/>
    <w:rsid w:val="00C476F3"/>
    <w:rsid w:val="00C47A7E"/>
    <w:rsid w:val="00C5020B"/>
    <w:rsid w:val="00C520B1"/>
    <w:rsid w:val="00C525C2"/>
    <w:rsid w:val="00C52697"/>
    <w:rsid w:val="00C527C7"/>
    <w:rsid w:val="00C53C98"/>
    <w:rsid w:val="00C54CCD"/>
    <w:rsid w:val="00C56FCF"/>
    <w:rsid w:val="00C57059"/>
    <w:rsid w:val="00C572F6"/>
    <w:rsid w:val="00C57B6C"/>
    <w:rsid w:val="00C61A59"/>
    <w:rsid w:val="00C628A6"/>
    <w:rsid w:val="00C62F2F"/>
    <w:rsid w:val="00C64344"/>
    <w:rsid w:val="00C65108"/>
    <w:rsid w:val="00C65576"/>
    <w:rsid w:val="00C65A8E"/>
    <w:rsid w:val="00C65F4E"/>
    <w:rsid w:val="00C66165"/>
    <w:rsid w:val="00C66654"/>
    <w:rsid w:val="00C66F35"/>
    <w:rsid w:val="00C6791E"/>
    <w:rsid w:val="00C67941"/>
    <w:rsid w:val="00C67D6C"/>
    <w:rsid w:val="00C7060A"/>
    <w:rsid w:val="00C711BA"/>
    <w:rsid w:val="00C7151A"/>
    <w:rsid w:val="00C717E3"/>
    <w:rsid w:val="00C71F60"/>
    <w:rsid w:val="00C72241"/>
    <w:rsid w:val="00C750C8"/>
    <w:rsid w:val="00C7560F"/>
    <w:rsid w:val="00C75763"/>
    <w:rsid w:val="00C76A17"/>
    <w:rsid w:val="00C76ABB"/>
    <w:rsid w:val="00C80A0E"/>
    <w:rsid w:val="00C820A3"/>
    <w:rsid w:val="00C8213F"/>
    <w:rsid w:val="00C826DB"/>
    <w:rsid w:val="00C8278F"/>
    <w:rsid w:val="00C8303F"/>
    <w:rsid w:val="00C839D1"/>
    <w:rsid w:val="00C85154"/>
    <w:rsid w:val="00C85A70"/>
    <w:rsid w:val="00C8797A"/>
    <w:rsid w:val="00C900B8"/>
    <w:rsid w:val="00C90197"/>
    <w:rsid w:val="00C90673"/>
    <w:rsid w:val="00C906B4"/>
    <w:rsid w:val="00C90C71"/>
    <w:rsid w:val="00C91FD1"/>
    <w:rsid w:val="00C931CF"/>
    <w:rsid w:val="00C938CF"/>
    <w:rsid w:val="00C94053"/>
    <w:rsid w:val="00C959F9"/>
    <w:rsid w:val="00C9624D"/>
    <w:rsid w:val="00C969DA"/>
    <w:rsid w:val="00CA00C6"/>
    <w:rsid w:val="00CA0514"/>
    <w:rsid w:val="00CA2C77"/>
    <w:rsid w:val="00CA444F"/>
    <w:rsid w:val="00CA5245"/>
    <w:rsid w:val="00CA574C"/>
    <w:rsid w:val="00CA579C"/>
    <w:rsid w:val="00CA71F4"/>
    <w:rsid w:val="00CA7B09"/>
    <w:rsid w:val="00CA7B3F"/>
    <w:rsid w:val="00CB12A5"/>
    <w:rsid w:val="00CB1CAC"/>
    <w:rsid w:val="00CB2D5F"/>
    <w:rsid w:val="00CB2F2A"/>
    <w:rsid w:val="00CB5B1A"/>
    <w:rsid w:val="00CB5ED2"/>
    <w:rsid w:val="00CB61AF"/>
    <w:rsid w:val="00CB6B22"/>
    <w:rsid w:val="00CB6D9D"/>
    <w:rsid w:val="00CB7F5F"/>
    <w:rsid w:val="00CC1B39"/>
    <w:rsid w:val="00CC1BFA"/>
    <w:rsid w:val="00CC2E9F"/>
    <w:rsid w:val="00CC32F8"/>
    <w:rsid w:val="00CC35EA"/>
    <w:rsid w:val="00CC3848"/>
    <w:rsid w:val="00CC5EAD"/>
    <w:rsid w:val="00CC6D5E"/>
    <w:rsid w:val="00CC7D64"/>
    <w:rsid w:val="00CD0200"/>
    <w:rsid w:val="00CD0455"/>
    <w:rsid w:val="00CD094F"/>
    <w:rsid w:val="00CD3F77"/>
    <w:rsid w:val="00CD46C1"/>
    <w:rsid w:val="00CD61AF"/>
    <w:rsid w:val="00CD6ADC"/>
    <w:rsid w:val="00CD6CD1"/>
    <w:rsid w:val="00CD711B"/>
    <w:rsid w:val="00CD7193"/>
    <w:rsid w:val="00CD7E52"/>
    <w:rsid w:val="00CE071E"/>
    <w:rsid w:val="00CE0BA7"/>
    <w:rsid w:val="00CE12C7"/>
    <w:rsid w:val="00CE1B44"/>
    <w:rsid w:val="00CE1B89"/>
    <w:rsid w:val="00CE34BC"/>
    <w:rsid w:val="00CE38C8"/>
    <w:rsid w:val="00CE499E"/>
    <w:rsid w:val="00CE524F"/>
    <w:rsid w:val="00CE58CC"/>
    <w:rsid w:val="00CE58F8"/>
    <w:rsid w:val="00CE621E"/>
    <w:rsid w:val="00CE6274"/>
    <w:rsid w:val="00CE6CDC"/>
    <w:rsid w:val="00CE77B6"/>
    <w:rsid w:val="00CF162C"/>
    <w:rsid w:val="00CF2035"/>
    <w:rsid w:val="00CF2B8D"/>
    <w:rsid w:val="00CF3A1B"/>
    <w:rsid w:val="00CF3B46"/>
    <w:rsid w:val="00CF456B"/>
    <w:rsid w:val="00CF47EE"/>
    <w:rsid w:val="00CF5A22"/>
    <w:rsid w:val="00CF792D"/>
    <w:rsid w:val="00D013DF"/>
    <w:rsid w:val="00D017B8"/>
    <w:rsid w:val="00D01F89"/>
    <w:rsid w:val="00D022DF"/>
    <w:rsid w:val="00D0262E"/>
    <w:rsid w:val="00D03679"/>
    <w:rsid w:val="00D0420B"/>
    <w:rsid w:val="00D052BD"/>
    <w:rsid w:val="00D05E3D"/>
    <w:rsid w:val="00D06139"/>
    <w:rsid w:val="00D10044"/>
    <w:rsid w:val="00D110BD"/>
    <w:rsid w:val="00D11C80"/>
    <w:rsid w:val="00D13675"/>
    <w:rsid w:val="00D13D19"/>
    <w:rsid w:val="00D141E1"/>
    <w:rsid w:val="00D142F9"/>
    <w:rsid w:val="00D15314"/>
    <w:rsid w:val="00D15B48"/>
    <w:rsid w:val="00D15CA4"/>
    <w:rsid w:val="00D1698A"/>
    <w:rsid w:val="00D17C1C"/>
    <w:rsid w:val="00D17D6C"/>
    <w:rsid w:val="00D2155B"/>
    <w:rsid w:val="00D221BE"/>
    <w:rsid w:val="00D233CF"/>
    <w:rsid w:val="00D235BF"/>
    <w:rsid w:val="00D23D11"/>
    <w:rsid w:val="00D244B6"/>
    <w:rsid w:val="00D24B8C"/>
    <w:rsid w:val="00D26537"/>
    <w:rsid w:val="00D2754D"/>
    <w:rsid w:val="00D27B27"/>
    <w:rsid w:val="00D27FCC"/>
    <w:rsid w:val="00D30741"/>
    <w:rsid w:val="00D30B2A"/>
    <w:rsid w:val="00D30D5B"/>
    <w:rsid w:val="00D30DD8"/>
    <w:rsid w:val="00D312F3"/>
    <w:rsid w:val="00D313AE"/>
    <w:rsid w:val="00D3192A"/>
    <w:rsid w:val="00D31C49"/>
    <w:rsid w:val="00D31F54"/>
    <w:rsid w:val="00D326C8"/>
    <w:rsid w:val="00D3312A"/>
    <w:rsid w:val="00D33BE9"/>
    <w:rsid w:val="00D33F93"/>
    <w:rsid w:val="00D35783"/>
    <w:rsid w:val="00D357FF"/>
    <w:rsid w:val="00D35A32"/>
    <w:rsid w:val="00D36AB2"/>
    <w:rsid w:val="00D4178C"/>
    <w:rsid w:val="00D424C7"/>
    <w:rsid w:val="00D42C44"/>
    <w:rsid w:val="00D43B2A"/>
    <w:rsid w:val="00D43CF1"/>
    <w:rsid w:val="00D43D83"/>
    <w:rsid w:val="00D4441C"/>
    <w:rsid w:val="00D46E26"/>
    <w:rsid w:val="00D47575"/>
    <w:rsid w:val="00D501A5"/>
    <w:rsid w:val="00D510FD"/>
    <w:rsid w:val="00D5180C"/>
    <w:rsid w:val="00D51A8E"/>
    <w:rsid w:val="00D5243B"/>
    <w:rsid w:val="00D533EC"/>
    <w:rsid w:val="00D53DEE"/>
    <w:rsid w:val="00D5477A"/>
    <w:rsid w:val="00D552AA"/>
    <w:rsid w:val="00D56A95"/>
    <w:rsid w:val="00D6076E"/>
    <w:rsid w:val="00D60AA1"/>
    <w:rsid w:val="00D616E3"/>
    <w:rsid w:val="00D6287D"/>
    <w:rsid w:val="00D63175"/>
    <w:rsid w:val="00D6350B"/>
    <w:rsid w:val="00D6576C"/>
    <w:rsid w:val="00D66898"/>
    <w:rsid w:val="00D66B01"/>
    <w:rsid w:val="00D7063F"/>
    <w:rsid w:val="00D707ED"/>
    <w:rsid w:val="00D709BC"/>
    <w:rsid w:val="00D70F16"/>
    <w:rsid w:val="00D72617"/>
    <w:rsid w:val="00D72F57"/>
    <w:rsid w:val="00D748EF"/>
    <w:rsid w:val="00D74D5A"/>
    <w:rsid w:val="00D753FF"/>
    <w:rsid w:val="00D76A44"/>
    <w:rsid w:val="00D77AF0"/>
    <w:rsid w:val="00D815EF"/>
    <w:rsid w:val="00D81949"/>
    <w:rsid w:val="00D81E77"/>
    <w:rsid w:val="00D81F26"/>
    <w:rsid w:val="00D822E2"/>
    <w:rsid w:val="00D8346B"/>
    <w:rsid w:val="00D843F2"/>
    <w:rsid w:val="00D84815"/>
    <w:rsid w:val="00D853A1"/>
    <w:rsid w:val="00D856CF"/>
    <w:rsid w:val="00D85808"/>
    <w:rsid w:val="00D85F2F"/>
    <w:rsid w:val="00D86231"/>
    <w:rsid w:val="00D872F9"/>
    <w:rsid w:val="00D912AB"/>
    <w:rsid w:val="00D91923"/>
    <w:rsid w:val="00D92D9D"/>
    <w:rsid w:val="00D932E4"/>
    <w:rsid w:val="00D93753"/>
    <w:rsid w:val="00D93E7D"/>
    <w:rsid w:val="00D94A80"/>
    <w:rsid w:val="00D94E3C"/>
    <w:rsid w:val="00D959E6"/>
    <w:rsid w:val="00D97356"/>
    <w:rsid w:val="00DA0611"/>
    <w:rsid w:val="00DA2E7E"/>
    <w:rsid w:val="00DA3167"/>
    <w:rsid w:val="00DA4D5C"/>
    <w:rsid w:val="00DA4DC3"/>
    <w:rsid w:val="00DA5793"/>
    <w:rsid w:val="00DA7613"/>
    <w:rsid w:val="00DA77A5"/>
    <w:rsid w:val="00DB0E36"/>
    <w:rsid w:val="00DB1596"/>
    <w:rsid w:val="00DB2723"/>
    <w:rsid w:val="00DB290A"/>
    <w:rsid w:val="00DB2B5D"/>
    <w:rsid w:val="00DB39FA"/>
    <w:rsid w:val="00DB3DBF"/>
    <w:rsid w:val="00DB484F"/>
    <w:rsid w:val="00DB4AC9"/>
    <w:rsid w:val="00DB771F"/>
    <w:rsid w:val="00DB7F72"/>
    <w:rsid w:val="00DC04F6"/>
    <w:rsid w:val="00DC0533"/>
    <w:rsid w:val="00DC0690"/>
    <w:rsid w:val="00DC0A1A"/>
    <w:rsid w:val="00DC0BE0"/>
    <w:rsid w:val="00DC1D65"/>
    <w:rsid w:val="00DC3571"/>
    <w:rsid w:val="00DC3C57"/>
    <w:rsid w:val="00DC5501"/>
    <w:rsid w:val="00DC5890"/>
    <w:rsid w:val="00DC5DE4"/>
    <w:rsid w:val="00DC7154"/>
    <w:rsid w:val="00DC7E8A"/>
    <w:rsid w:val="00DD0F78"/>
    <w:rsid w:val="00DD16ED"/>
    <w:rsid w:val="00DD273C"/>
    <w:rsid w:val="00DD281F"/>
    <w:rsid w:val="00DD39FF"/>
    <w:rsid w:val="00DD3C0F"/>
    <w:rsid w:val="00DD3D7A"/>
    <w:rsid w:val="00DD3F28"/>
    <w:rsid w:val="00DD4446"/>
    <w:rsid w:val="00DD4537"/>
    <w:rsid w:val="00DD4E15"/>
    <w:rsid w:val="00DD5009"/>
    <w:rsid w:val="00DD5699"/>
    <w:rsid w:val="00DD6027"/>
    <w:rsid w:val="00DD6D6B"/>
    <w:rsid w:val="00DD7A79"/>
    <w:rsid w:val="00DE1BB1"/>
    <w:rsid w:val="00DE1CA7"/>
    <w:rsid w:val="00DE2304"/>
    <w:rsid w:val="00DE2931"/>
    <w:rsid w:val="00DE3138"/>
    <w:rsid w:val="00DE3507"/>
    <w:rsid w:val="00DE37F8"/>
    <w:rsid w:val="00DE3924"/>
    <w:rsid w:val="00DE4273"/>
    <w:rsid w:val="00DE4702"/>
    <w:rsid w:val="00DE4FCB"/>
    <w:rsid w:val="00DE50E1"/>
    <w:rsid w:val="00DE5D07"/>
    <w:rsid w:val="00DE72A7"/>
    <w:rsid w:val="00DE766D"/>
    <w:rsid w:val="00DE7832"/>
    <w:rsid w:val="00DE7D99"/>
    <w:rsid w:val="00DF18FC"/>
    <w:rsid w:val="00DF2636"/>
    <w:rsid w:val="00DF27BD"/>
    <w:rsid w:val="00DF4208"/>
    <w:rsid w:val="00DF46A5"/>
    <w:rsid w:val="00DF5C47"/>
    <w:rsid w:val="00DF5D2B"/>
    <w:rsid w:val="00DF6341"/>
    <w:rsid w:val="00DF6AB6"/>
    <w:rsid w:val="00DF6F16"/>
    <w:rsid w:val="00DF7C57"/>
    <w:rsid w:val="00DF7DFA"/>
    <w:rsid w:val="00E000A7"/>
    <w:rsid w:val="00E00E8E"/>
    <w:rsid w:val="00E01889"/>
    <w:rsid w:val="00E019C0"/>
    <w:rsid w:val="00E0297D"/>
    <w:rsid w:val="00E02B1A"/>
    <w:rsid w:val="00E04CA2"/>
    <w:rsid w:val="00E0519E"/>
    <w:rsid w:val="00E05630"/>
    <w:rsid w:val="00E0653C"/>
    <w:rsid w:val="00E06DBB"/>
    <w:rsid w:val="00E10149"/>
    <w:rsid w:val="00E10F24"/>
    <w:rsid w:val="00E11340"/>
    <w:rsid w:val="00E1184F"/>
    <w:rsid w:val="00E122A1"/>
    <w:rsid w:val="00E139E7"/>
    <w:rsid w:val="00E143E9"/>
    <w:rsid w:val="00E14643"/>
    <w:rsid w:val="00E14742"/>
    <w:rsid w:val="00E150DB"/>
    <w:rsid w:val="00E15695"/>
    <w:rsid w:val="00E15A17"/>
    <w:rsid w:val="00E160EA"/>
    <w:rsid w:val="00E1628A"/>
    <w:rsid w:val="00E16372"/>
    <w:rsid w:val="00E16AD8"/>
    <w:rsid w:val="00E17FFA"/>
    <w:rsid w:val="00E20E4D"/>
    <w:rsid w:val="00E20EC2"/>
    <w:rsid w:val="00E20ED6"/>
    <w:rsid w:val="00E20F9E"/>
    <w:rsid w:val="00E21358"/>
    <w:rsid w:val="00E2249B"/>
    <w:rsid w:val="00E22643"/>
    <w:rsid w:val="00E22868"/>
    <w:rsid w:val="00E22A0D"/>
    <w:rsid w:val="00E244F6"/>
    <w:rsid w:val="00E258DB"/>
    <w:rsid w:val="00E2697D"/>
    <w:rsid w:val="00E2771E"/>
    <w:rsid w:val="00E27C68"/>
    <w:rsid w:val="00E30E1A"/>
    <w:rsid w:val="00E311EF"/>
    <w:rsid w:val="00E32180"/>
    <w:rsid w:val="00E32B2F"/>
    <w:rsid w:val="00E32BF3"/>
    <w:rsid w:val="00E33030"/>
    <w:rsid w:val="00E336FC"/>
    <w:rsid w:val="00E34948"/>
    <w:rsid w:val="00E36A5D"/>
    <w:rsid w:val="00E37569"/>
    <w:rsid w:val="00E401B2"/>
    <w:rsid w:val="00E41E30"/>
    <w:rsid w:val="00E42F73"/>
    <w:rsid w:val="00E432B3"/>
    <w:rsid w:val="00E43D70"/>
    <w:rsid w:val="00E45F0C"/>
    <w:rsid w:val="00E464B7"/>
    <w:rsid w:val="00E466F3"/>
    <w:rsid w:val="00E47451"/>
    <w:rsid w:val="00E47B2C"/>
    <w:rsid w:val="00E47BC9"/>
    <w:rsid w:val="00E51560"/>
    <w:rsid w:val="00E51821"/>
    <w:rsid w:val="00E52BAC"/>
    <w:rsid w:val="00E53BFC"/>
    <w:rsid w:val="00E53FC8"/>
    <w:rsid w:val="00E54347"/>
    <w:rsid w:val="00E55424"/>
    <w:rsid w:val="00E5590E"/>
    <w:rsid w:val="00E55915"/>
    <w:rsid w:val="00E55BB5"/>
    <w:rsid w:val="00E55DEF"/>
    <w:rsid w:val="00E5604B"/>
    <w:rsid w:val="00E5637F"/>
    <w:rsid w:val="00E57E25"/>
    <w:rsid w:val="00E611DF"/>
    <w:rsid w:val="00E6188C"/>
    <w:rsid w:val="00E63530"/>
    <w:rsid w:val="00E642B3"/>
    <w:rsid w:val="00E646A0"/>
    <w:rsid w:val="00E64DB4"/>
    <w:rsid w:val="00E65E79"/>
    <w:rsid w:val="00E66BA2"/>
    <w:rsid w:val="00E67416"/>
    <w:rsid w:val="00E718B6"/>
    <w:rsid w:val="00E723BA"/>
    <w:rsid w:val="00E73581"/>
    <w:rsid w:val="00E74FD6"/>
    <w:rsid w:val="00E77740"/>
    <w:rsid w:val="00E778A2"/>
    <w:rsid w:val="00E80C2E"/>
    <w:rsid w:val="00E8118B"/>
    <w:rsid w:val="00E81DBB"/>
    <w:rsid w:val="00E82A79"/>
    <w:rsid w:val="00E833F7"/>
    <w:rsid w:val="00E83BDF"/>
    <w:rsid w:val="00E85B3C"/>
    <w:rsid w:val="00E86FCC"/>
    <w:rsid w:val="00E87A1D"/>
    <w:rsid w:val="00E87B28"/>
    <w:rsid w:val="00E9094A"/>
    <w:rsid w:val="00E9193B"/>
    <w:rsid w:val="00E91D35"/>
    <w:rsid w:val="00E926A5"/>
    <w:rsid w:val="00E934ED"/>
    <w:rsid w:val="00E94FD9"/>
    <w:rsid w:val="00E95303"/>
    <w:rsid w:val="00E961E3"/>
    <w:rsid w:val="00E962CC"/>
    <w:rsid w:val="00E96AF9"/>
    <w:rsid w:val="00E97024"/>
    <w:rsid w:val="00EA17C3"/>
    <w:rsid w:val="00EA2CAA"/>
    <w:rsid w:val="00EA2CAC"/>
    <w:rsid w:val="00EA3864"/>
    <w:rsid w:val="00EA4351"/>
    <w:rsid w:val="00EA629C"/>
    <w:rsid w:val="00EA6C24"/>
    <w:rsid w:val="00EA7F1C"/>
    <w:rsid w:val="00EB15B6"/>
    <w:rsid w:val="00EB2D62"/>
    <w:rsid w:val="00EB3D06"/>
    <w:rsid w:val="00EB4021"/>
    <w:rsid w:val="00EB4916"/>
    <w:rsid w:val="00EB58E7"/>
    <w:rsid w:val="00EB6220"/>
    <w:rsid w:val="00EB64E2"/>
    <w:rsid w:val="00EB6A39"/>
    <w:rsid w:val="00EC0066"/>
    <w:rsid w:val="00EC00C9"/>
    <w:rsid w:val="00EC0DD9"/>
    <w:rsid w:val="00EC2649"/>
    <w:rsid w:val="00EC31ED"/>
    <w:rsid w:val="00EC3E4B"/>
    <w:rsid w:val="00EC5836"/>
    <w:rsid w:val="00EC688C"/>
    <w:rsid w:val="00EC7E56"/>
    <w:rsid w:val="00ED0CBB"/>
    <w:rsid w:val="00ED12D2"/>
    <w:rsid w:val="00ED12E3"/>
    <w:rsid w:val="00ED147B"/>
    <w:rsid w:val="00ED35A9"/>
    <w:rsid w:val="00ED3BEE"/>
    <w:rsid w:val="00ED4B04"/>
    <w:rsid w:val="00ED530A"/>
    <w:rsid w:val="00ED5685"/>
    <w:rsid w:val="00ED57EA"/>
    <w:rsid w:val="00ED5BD4"/>
    <w:rsid w:val="00ED684E"/>
    <w:rsid w:val="00EE07D3"/>
    <w:rsid w:val="00EE150F"/>
    <w:rsid w:val="00EE1996"/>
    <w:rsid w:val="00EE1C01"/>
    <w:rsid w:val="00EE22AF"/>
    <w:rsid w:val="00EE22FB"/>
    <w:rsid w:val="00EE2F73"/>
    <w:rsid w:val="00EE5781"/>
    <w:rsid w:val="00EE7434"/>
    <w:rsid w:val="00EF0171"/>
    <w:rsid w:val="00EF0FFC"/>
    <w:rsid w:val="00EF1B25"/>
    <w:rsid w:val="00EF1DA0"/>
    <w:rsid w:val="00EF23FC"/>
    <w:rsid w:val="00EF2B4E"/>
    <w:rsid w:val="00EF3458"/>
    <w:rsid w:val="00EF4747"/>
    <w:rsid w:val="00EF4BF8"/>
    <w:rsid w:val="00EF4E7C"/>
    <w:rsid w:val="00EF72E6"/>
    <w:rsid w:val="00EF7E4E"/>
    <w:rsid w:val="00F00FA5"/>
    <w:rsid w:val="00F02044"/>
    <w:rsid w:val="00F02253"/>
    <w:rsid w:val="00F02608"/>
    <w:rsid w:val="00F03C2E"/>
    <w:rsid w:val="00F04A66"/>
    <w:rsid w:val="00F04B4B"/>
    <w:rsid w:val="00F04FBA"/>
    <w:rsid w:val="00F0516C"/>
    <w:rsid w:val="00F05CE3"/>
    <w:rsid w:val="00F067A2"/>
    <w:rsid w:val="00F06EC3"/>
    <w:rsid w:val="00F07B9E"/>
    <w:rsid w:val="00F07E96"/>
    <w:rsid w:val="00F10273"/>
    <w:rsid w:val="00F102F9"/>
    <w:rsid w:val="00F1116F"/>
    <w:rsid w:val="00F124B2"/>
    <w:rsid w:val="00F1263A"/>
    <w:rsid w:val="00F12A8F"/>
    <w:rsid w:val="00F139C5"/>
    <w:rsid w:val="00F13E2B"/>
    <w:rsid w:val="00F14901"/>
    <w:rsid w:val="00F14B5A"/>
    <w:rsid w:val="00F1562D"/>
    <w:rsid w:val="00F15B77"/>
    <w:rsid w:val="00F177AA"/>
    <w:rsid w:val="00F20505"/>
    <w:rsid w:val="00F21236"/>
    <w:rsid w:val="00F21CCB"/>
    <w:rsid w:val="00F239DF"/>
    <w:rsid w:val="00F24837"/>
    <w:rsid w:val="00F253D8"/>
    <w:rsid w:val="00F2575F"/>
    <w:rsid w:val="00F26603"/>
    <w:rsid w:val="00F27565"/>
    <w:rsid w:val="00F27B1B"/>
    <w:rsid w:val="00F30FCD"/>
    <w:rsid w:val="00F310D4"/>
    <w:rsid w:val="00F31D5A"/>
    <w:rsid w:val="00F31E1A"/>
    <w:rsid w:val="00F321FB"/>
    <w:rsid w:val="00F33975"/>
    <w:rsid w:val="00F33DE9"/>
    <w:rsid w:val="00F35387"/>
    <w:rsid w:val="00F35E6D"/>
    <w:rsid w:val="00F3619A"/>
    <w:rsid w:val="00F36CAD"/>
    <w:rsid w:val="00F37B22"/>
    <w:rsid w:val="00F37DC2"/>
    <w:rsid w:val="00F40AAA"/>
    <w:rsid w:val="00F40BA7"/>
    <w:rsid w:val="00F40F9D"/>
    <w:rsid w:val="00F41ACB"/>
    <w:rsid w:val="00F41ACD"/>
    <w:rsid w:val="00F425E3"/>
    <w:rsid w:val="00F44013"/>
    <w:rsid w:val="00F4505B"/>
    <w:rsid w:val="00F46CB6"/>
    <w:rsid w:val="00F4756D"/>
    <w:rsid w:val="00F47DE8"/>
    <w:rsid w:val="00F51C90"/>
    <w:rsid w:val="00F5277C"/>
    <w:rsid w:val="00F53ED2"/>
    <w:rsid w:val="00F542C1"/>
    <w:rsid w:val="00F54CD3"/>
    <w:rsid w:val="00F550E3"/>
    <w:rsid w:val="00F55157"/>
    <w:rsid w:val="00F55822"/>
    <w:rsid w:val="00F55E73"/>
    <w:rsid w:val="00F55EDA"/>
    <w:rsid w:val="00F55FD7"/>
    <w:rsid w:val="00F562EB"/>
    <w:rsid w:val="00F56303"/>
    <w:rsid w:val="00F5640D"/>
    <w:rsid w:val="00F56BF9"/>
    <w:rsid w:val="00F56C80"/>
    <w:rsid w:val="00F60092"/>
    <w:rsid w:val="00F607B0"/>
    <w:rsid w:val="00F60BBD"/>
    <w:rsid w:val="00F61BC9"/>
    <w:rsid w:val="00F61C18"/>
    <w:rsid w:val="00F61C94"/>
    <w:rsid w:val="00F623A7"/>
    <w:rsid w:val="00F64C66"/>
    <w:rsid w:val="00F65018"/>
    <w:rsid w:val="00F65585"/>
    <w:rsid w:val="00F65F4B"/>
    <w:rsid w:val="00F66022"/>
    <w:rsid w:val="00F66041"/>
    <w:rsid w:val="00F670BE"/>
    <w:rsid w:val="00F676F7"/>
    <w:rsid w:val="00F67A69"/>
    <w:rsid w:val="00F67BF8"/>
    <w:rsid w:val="00F7075F"/>
    <w:rsid w:val="00F70BFF"/>
    <w:rsid w:val="00F70C9D"/>
    <w:rsid w:val="00F7244E"/>
    <w:rsid w:val="00F72F8F"/>
    <w:rsid w:val="00F73E08"/>
    <w:rsid w:val="00F740EA"/>
    <w:rsid w:val="00F74CD9"/>
    <w:rsid w:val="00F75573"/>
    <w:rsid w:val="00F77CA7"/>
    <w:rsid w:val="00F80A7B"/>
    <w:rsid w:val="00F80E5D"/>
    <w:rsid w:val="00F81E78"/>
    <w:rsid w:val="00F83916"/>
    <w:rsid w:val="00F83B90"/>
    <w:rsid w:val="00F842F6"/>
    <w:rsid w:val="00F851CE"/>
    <w:rsid w:val="00F859E2"/>
    <w:rsid w:val="00F85D53"/>
    <w:rsid w:val="00F90065"/>
    <w:rsid w:val="00F91160"/>
    <w:rsid w:val="00F91219"/>
    <w:rsid w:val="00F92067"/>
    <w:rsid w:val="00F92444"/>
    <w:rsid w:val="00F9302B"/>
    <w:rsid w:val="00F9393E"/>
    <w:rsid w:val="00F94ABA"/>
    <w:rsid w:val="00F9509A"/>
    <w:rsid w:val="00F95DA3"/>
    <w:rsid w:val="00F9637D"/>
    <w:rsid w:val="00F96FD0"/>
    <w:rsid w:val="00F97A78"/>
    <w:rsid w:val="00FA0990"/>
    <w:rsid w:val="00FA0B20"/>
    <w:rsid w:val="00FA24E7"/>
    <w:rsid w:val="00FA4BDF"/>
    <w:rsid w:val="00FA5A05"/>
    <w:rsid w:val="00FA5EE6"/>
    <w:rsid w:val="00FA6F2C"/>
    <w:rsid w:val="00FA7956"/>
    <w:rsid w:val="00FA7D67"/>
    <w:rsid w:val="00FB0824"/>
    <w:rsid w:val="00FB0BDA"/>
    <w:rsid w:val="00FB14A2"/>
    <w:rsid w:val="00FB1573"/>
    <w:rsid w:val="00FB2FCB"/>
    <w:rsid w:val="00FB4C9C"/>
    <w:rsid w:val="00FB6D4F"/>
    <w:rsid w:val="00FB7C55"/>
    <w:rsid w:val="00FC1074"/>
    <w:rsid w:val="00FC1884"/>
    <w:rsid w:val="00FC1C6E"/>
    <w:rsid w:val="00FC371D"/>
    <w:rsid w:val="00FC5783"/>
    <w:rsid w:val="00FC5F0B"/>
    <w:rsid w:val="00FD1547"/>
    <w:rsid w:val="00FD2100"/>
    <w:rsid w:val="00FD29B5"/>
    <w:rsid w:val="00FD3AF1"/>
    <w:rsid w:val="00FD436C"/>
    <w:rsid w:val="00FD446D"/>
    <w:rsid w:val="00FD46C1"/>
    <w:rsid w:val="00FD4F2C"/>
    <w:rsid w:val="00FD62B3"/>
    <w:rsid w:val="00FD6394"/>
    <w:rsid w:val="00FD6487"/>
    <w:rsid w:val="00FD7846"/>
    <w:rsid w:val="00FD78C5"/>
    <w:rsid w:val="00FE0CA6"/>
    <w:rsid w:val="00FE0E6C"/>
    <w:rsid w:val="00FE0FE0"/>
    <w:rsid w:val="00FE1CDC"/>
    <w:rsid w:val="00FE2828"/>
    <w:rsid w:val="00FE2997"/>
    <w:rsid w:val="00FE36F3"/>
    <w:rsid w:val="00FE3927"/>
    <w:rsid w:val="00FE3E2E"/>
    <w:rsid w:val="00FE3E2F"/>
    <w:rsid w:val="00FE5832"/>
    <w:rsid w:val="00FE6285"/>
    <w:rsid w:val="00FE70C3"/>
    <w:rsid w:val="00FF0685"/>
    <w:rsid w:val="00FF0FC1"/>
    <w:rsid w:val="00FF11F4"/>
    <w:rsid w:val="00FF16C9"/>
    <w:rsid w:val="00FF1A8B"/>
    <w:rsid w:val="00FF2442"/>
    <w:rsid w:val="00FF285B"/>
    <w:rsid w:val="00FF2AD9"/>
    <w:rsid w:val="00FF2EA3"/>
    <w:rsid w:val="00FF359F"/>
    <w:rsid w:val="00FF35F0"/>
    <w:rsid w:val="00FF3C09"/>
    <w:rsid w:val="00FF3DCF"/>
    <w:rsid w:val="00FF442E"/>
    <w:rsid w:val="00FF492C"/>
    <w:rsid w:val="00FF4A21"/>
    <w:rsid w:val="00FF57A8"/>
    <w:rsid w:val="00FF5AA3"/>
    <w:rsid w:val="00FF5AD8"/>
    <w:rsid w:val="00FF7CE1"/>
    <w:rsid w:val="1AD5299E"/>
    <w:rsid w:val="24D96432"/>
    <w:rsid w:val="30D410E8"/>
    <w:rsid w:val="40BD61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Heading 1,Bayer Caption,IB Caption,Medical Caption,Bayer Caption1,IB Caption1,Medical Caption1,Bayer Caption2,IB Caption2,Medical Caption2,Bayer Caption3,IB Caption3,Medical Caption3,Bayer Caption4,IB Caption4,Medical Caption4"/>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Heading 1 Char,Bayer Caption Char,IB Caption Char,Medical Caption Char,Bayer Caption1 Char,IB Caption1 Char,Medical Caption1 Char,Bayer Caption2 Char,IB Caption2 Char,Medical Caption2 Char,Bayer Caption3 Char,IB Caption3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2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HealthConsul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3E4C55"/>
    <w:pPr>
      <w:keepNext/>
      <w:keepLines/>
    </w:pPr>
    <w:rPr>
      <w:rFonts w:ascii="Arial Narrow" w:hAnsi="Arial Narrow" w:cs="Arial"/>
      <w:snapToGrid w:val="0"/>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23"/>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C55C7"/>
    <w:pPr>
      <w:keepNext/>
      <w:spacing w:before="120" w:after="120"/>
    </w:pPr>
    <w:rPr>
      <w:rFonts w:asciiTheme="minorHAnsi" w:eastAsiaTheme="majorEastAsia" w:hAnsiTheme="minorHAnsi" w:cstheme="majorBidi"/>
      <w:i w:val="0"/>
      <w:iCs/>
      <w:color w:val="000000" w:themeColor="text1"/>
      <w:spacing w:val="5"/>
      <w:kern w:val="28"/>
      <w:szCs w:val="36"/>
      <w:lang w:eastAsia="en-US"/>
    </w:rPr>
  </w:style>
  <w:style w:type="character" w:customStyle="1" w:styleId="4-SubsectionHeadingChar">
    <w:name w:val="4-Subsection Heading Char"/>
    <w:basedOn w:val="Heading2Char"/>
    <w:link w:val="4-SubsectionHeading"/>
    <w:rsid w:val="004C55C7"/>
    <w:rPr>
      <w:rFonts w:asciiTheme="minorHAnsi" w:eastAsiaTheme="majorEastAsia" w:hAnsiTheme="minorHAnsi" w:cstheme="majorBidi"/>
      <w:b/>
      <w:i w:val="0"/>
      <w:iCs/>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3E4C55"/>
    <w:rPr>
      <w:rFonts w:ascii="Arial Narrow" w:hAnsi="Arial Narrow" w:cs="Arial"/>
      <w:snapToGrid w:val="0"/>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customStyle="1" w:styleId="TableHeadingChar">
    <w:name w:val="TableHeading Char"/>
    <w:link w:val="TableHeading"/>
    <w:rsid w:val="00253162"/>
    <w:rPr>
      <w:rFonts w:ascii="Arial Narrow" w:hAnsi="Arial Narrow" w:cs="Arial Narrow"/>
      <w:b/>
      <w:bCs/>
      <w:snapToGrid w:val="0"/>
      <w:szCs w:val="24"/>
    </w:rPr>
  </w:style>
  <w:style w:type="character" w:customStyle="1" w:styleId="NoSpacingChar">
    <w:name w:val="No Spacing Char"/>
    <w:aliases w:val="Main text Char,Title Page text Char"/>
    <w:basedOn w:val="DefaultParagraphFont"/>
    <w:link w:val="NoSpacing"/>
    <w:uiPriority w:val="1"/>
    <w:rsid w:val="002C7D82"/>
    <w:rPr>
      <w:rFonts w:ascii="Arial" w:hAnsi="Arial" w:cs="Arial"/>
      <w:snapToGrid w:val="0"/>
      <w:sz w:val="22"/>
      <w:lang w:eastAsia="en-US"/>
    </w:rPr>
  </w:style>
  <w:style w:type="paragraph" w:styleId="FootnoteText">
    <w:name w:val="footnote text"/>
    <w:basedOn w:val="Normal"/>
    <w:link w:val="FootnoteTextChar"/>
    <w:semiHidden/>
    <w:unhideWhenUsed/>
    <w:rsid w:val="00C62F2F"/>
    <w:rPr>
      <w:sz w:val="20"/>
      <w:szCs w:val="20"/>
    </w:rPr>
  </w:style>
  <w:style w:type="character" w:customStyle="1" w:styleId="FootnoteTextChar">
    <w:name w:val="Footnote Text Char"/>
    <w:basedOn w:val="DefaultParagraphFont"/>
    <w:link w:val="FootnoteText"/>
    <w:semiHidden/>
    <w:rsid w:val="00C62F2F"/>
    <w:rPr>
      <w:rFonts w:ascii="Calibri" w:hAnsi="Calibri" w:cs="Arial"/>
    </w:rPr>
  </w:style>
  <w:style w:type="character" w:styleId="FootnoteReference">
    <w:name w:val="footnote reference"/>
    <w:basedOn w:val="DefaultParagraphFont"/>
    <w:semiHidden/>
    <w:unhideWhenUsed/>
    <w:rsid w:val="00C62F2F"/>
    <w:rPr>
      <w:vertAlign w:val="superscript"/>
    </w:rPr>
  </w:style>
  <w:style w:type="character" w:styleId="UnresolvedMention">
    <w:name w:val="Unresolved Mention"/>
    <w:basedOn w:val="DefaultParagraphFont"/>
    <w:uiPriority w:val="99"/>
    <w:semiHidden/>
    <w:unhideWhenUsed/>
    <w:rsid w:val="005D6D3D"/>
    <w:rPr>
      <w:color w:val="605E5C"/>
      <w:shd w:val="clear" w:color="auto" w:fill="E1DFDD"/>
    </w:rPr>
  </w:style>
  <w:style w:type="paragraph" w:customStyle="1" w:styleId="3-SubsectionHeading">
    <w:name w:val="3-Subsection Heading"/>
    <w:basedOn w:val="Heading2"/>
    <w:next w:val="Normal"/>
    <w:link w:val="3-SubsectionHeadingChar"/>
    <w:qFormat/>
    <w:rsid w:val="001469A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469A6"/>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5745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carestatistics.humanservices.gov.au/statistics/pbs_item.j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edicarestatistics.humanservices.gov.au/statistics/pbs_item.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2622B-5EDB-4B7C-8538-8D552ADEEB4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066D104C-D66C-4319-A100-1F2F936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69AE81F8-9178-409B-B14B-9531FB06F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8862</Words>
  <Characters>45729</Characters>
  <Application>Microsoft Office Word</Application>
  <DocSecurity>0</DocSecurity>
  <Lines>1758</Lines>
  <Paragraphs>1186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53405</CharactersWithSpaces>
  <SharedDoc>false</SharedDoc>
  <HLinks>
    <vt:vector size="30" baseType="variant">
      <vt:variant>
        <vt:i4>983140</vt:i4>
      </vt:variant>
      <vt:variant>
        <vt:i4>93</vt:i4>
      </vt:variant>
      <vt:variant>
        <vt:i4>0</vt:i4>
      </vt:variant>
      <vt:variant>
        <vt:i4>5</vt:i4>
      </vt:variant>
      <vt:variant>
        <vt:lpwstr>http://medicarestatistics.humanservices.gov.au/statistics/pbs_item.jsp</vt:lpwstr>
      </vt:variant>
      <vt:variant>
        <vt:lpwstr/>
      </vt:variant>
      <vt:variant>
        <vt:i4>983140</vt:i4>
      </vt:variant>
      <vt:variant>
        <vt:i4>90</vt:i4>
      </vt:variant>
      <vt:variant>
        <vt:i4>0</vt:i4>
      </vt:variant>
      <vt:variant>
        <vt:i4>5</vt:i4>
      </vt:variant>
      <vt:variant>
        <vt:lpwstr>http://medicarestatistics.humanservices.gov.au/statistics/pbs_item.jsp</vt:lpwstr>
      </vt:variant>
      <vt:variant>
        <vt:lpwstr/>
      </vt:variant>
      <vt:variant>
        <vt:i4>1048671</vt:i4>
      </vt:variant>
      <vt:variant>
        <vt:i4>6</vt:i4>
      </vt:variant>
      <vt:variant>
        <vt:i4>0</vt:i4>
      </vt:variant>
      <vt:variant>
        <vt:i4>5</vt:i4>
      </vt:variant>
      <vt:variant>
        <vt:lpwstr>https://www.msac.gov.au/applications/1817</vt:lpwstr>
      </vt:variant>
      <vt:variant>
        <vt:lpwstr/>
      </vt:variant>
      <vt:variant>
        <vt:i4>2555905</vt:i4>
      </vt:variant>
      <vt:variant>
        <vt:i4>3</vt:i4>
      </vt:variant>
      <vt:variant>
        <vt:i4>0</vt:i4>
      </vt:variant>
      <vt:variant>
        <vt:i4>5</vt:i4>
      </vt:variant>
      <vt:variant>
        <vt:lpwstr>mailto:Tamara.Devlin@health.gov.au</vt:lpwstr>
      </vt:variant>
      <vt:variant>
        <vt:lpwstr/>
      </vt:variant>
      <vt:variant>
        <vt:i4>1572910</vt:i4>
      </vt:variant>
      <vt:variant>
        <vt:i4>0</vt:i4>
      </vt:variant>
      <vt:variant>
        <vt:i4>0</vt:i4>
      </vt:variant>
      <vt:variant>
        <vt:i4>5</vt:i4>
      </vt:variant>
      <vt:variant>
        <vt:lpwstr>mailto:Abby.CHING@health.gov.au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2026-05-12T01:04:00Z</dcterms:created>
  <dcterms:modified xsi:type="dcterms:W3CDTF">2026-07-07T04:39:00Z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6481d1fb,414cb91c,27639c4e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46d57c2d,d464155,2a46f8df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2026-04-01T05:23:23Z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ee7fbad7-e19c-4f56-a6b7-f070b925afed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