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01E1" w14:textId="134E63B0" w:rsidR="00562AA2" w:rsidRPr="00A6439B" w:rsidRDefault="00562AA2" w:rsidP="00154324">
      <w:pPr>
        <w:pStyle w:val="1MainTitle"/>
        <w:keepNext/>
        <w:ind w:left="1134" w:hanging="1134"/>
        <w:jc w:val="left"/>
        <w:rPr>
          <w:rFonts w:ascii="Calibri" w:hAnsi="Calibri"/>
          <w:b w:val="0"/>
          <w:bCs/>
        </w:rPr>
      </w:pPr>
      <w:r>
        <w:rPr>
          <w:rFonts w:ascii="Calibri" w:eastAsia="Calibri" w:hAnsi="Calibri"/>
        </w:rPr>
        <w:t>11</w:t>
      </w:r>
      <w:r w:rsidRPr="00B14A07">
        <w:rPr>
          <w:rFonts w:ascii="Calibri" w:eastAsia="Calibri" w:hAnsi="Calibri"/>
        </w:rPr>
        <w:t>.</w:t>
      </w:r>
      <w:r>
        <w:rPr>
          <w:rFonts w:ascii="Calibri" w:eastAsia="Calibri" w:hAnsi="Calibri"/>
        </w:rPr>
        <w:t>02</w:t>
      </w:r>
      <w:r w:rsidRPr="00B14A07">
        <w:rPr>
          <w:rFonts w:ascii="Calibri" w:eastAsia="Calibri" w:hAnsi="Calibri"/>
        </w:rPr>
        <w:tab/>
      </w:r>
      <w:r w:rsidRPr="00562AA2">
        <w:rPr>
          <w:rFonts w:ascii="Calibri" w:eastAsia="Calibri" w:hAnsi="Calibri"/>
        </w:rPr>
        <w:t>INOTUZUMAB OZOGAMICIN</w:t>
      </w:r>
      <w:r w:rsidRPr="00B14A07">
        <w:rPr>
          <w:rFonts w:ascii="Calibri" w:eastAsia="Calibri" w:hAnsi="Calibri"/>
        </w:rPr>
        <w:t>,</w:t>
      </w:r>
      <w:r w:rsidRPr="00B14A07">
        <w:rPr>
          <w:rFonts w:ascii="Calibri" w:eastAsia="Calibri" w:hAnsi="Calibri"/>
        </w:rPr>
        <w:br/>
      </w:r>
      <w:r>
        <w:t>Powder for I.V. infusion 1 mg,</w:t>
      </w:r>
      <w:r>
        <w:br/>
      </w:r>
      <w:proofErr w:type="spellStart"/>
      <w:r>
        <w:t>Besponsa</w:t>
      </w:r>
      <w:proofErr w:type="spellEnd"/>
      <w:r>
        <w:t>®,</w:t>
      </w:r>
      <w:r>
        <w:br/>
        <w:t>Pfizer Australia Pty Ltd</w:t>
      </w:r>
    </w:p>
    <w:p w14:paraId="5F4D54C1" w14:textId="21789FFB" w:rsidR="00E11F44" w:rsidRPr="00C62040" w:rsidRDefault="007E490F" w:rsidP="00CD6257">
      <w:pPr>
        <w:pStyle w:val="2-SectionHeading"/>
        <w:rPr>
          <w:rFonts w:cstheme="minorHAnsi"/>
        </w:rPr>
      </w:pPr>
      <w:r w:rsidRPr="007E1673">
        <w:t xml:space="preserve">Purpose of </w:t>
      </w:r>
      <w:r w:rsidR="00FA0B04" w:rsidRPr="00C62040">
        <w:t>Submission</w:t>
      </w:r>
      <w:r w:rsidRPr="00C62040">
        <w:t xml:space="preserve"> </w:t>
      </w:r>
    </w:p>
    <w:p w14:paraId="62E658ED" w14:textId="11CC614A" w:rsidR="00AB1E06" w:rsidRDefault="00AB1E06" w:rsidP="00AB1E06">
      <w:pPr>
        <w:pStyle w:val="3-BodyText"/>
      </w:pPr>
      <w:r w:rsidRPr="00C62040">
        <w:t xml:space="preserve">The Category 3 submission requested PBAC advice </w:t>
      </w:r>
      <w:r>
        <w:t xml:space="preserve">on the termination of the </w:t>
      </w:r>
      <w:r w:rsidR="00BF1E96">
        <w:t xml:space="preserve">existing shared </w:t>
      </w:r>
      <w:r>
        <w:t xml:space="preserve">Risk Sharing Arrangement (RSA) applying to inotuzumab ozogamicin </w:t>
      </w:r>
      <w:r w:rsidR="00720431">
        <w:t>(herein referred to as ‘inotuzumab’)</w:t>
      </w:r>
      <w:r>
        <w:t xml:space="preserve">. </w:t>
      </w:r>
    </w:p>
    <w:p w14:paraId="77F1787C" w14:textId="6DB8A4A4" w:rsidR="00881906" w:rsidRPr="00E80ABD" w:rsidRDefault="00AB1E06" w:rsidP="00E80ABD">
      <w:pPr>
        <w:pStyle w:val="3-BodyText"/>
      </w:pPr>
      <w:r>
        <w:t>The PBAC was asked to advise whether the</w:t>
      </w:r>
      <w:r w:rsidR="00A77D62">
        <w:t xml:space="preserve"> </w:t>
      </w:r>
      <w:r w:rsidR="008251E5">
        <w:t>inc</w:t>
      </w:r>
      <w:r w:rsidR="001709F1">
        <w:t xml:space="preserve">lusion of inotuzumab in the </w:t>
      </w:r>
      <w:r>
        <w:t>RSA</w:t>
      </w:r>
      <w:r w:rsidR="001709F1">
        <w:t xml:space="preserve"> shared with blinatumomab</w:t>
      </w:r>
      <w:r>
        <w:t xml:space="preserve"> remained </w:t>
      </w:r>
      <w:r w:rsidR="00091EE3">
        <w:t xml:space="preserve">appropriate </w:t>
      </w:r>
      <w:r w:rsidR="00E80ABD">
        <w:t>given</w:t>
      </w:r>
      <w:r w:rsidR="00BB5FD3">
        <w:t>, among other matters,</w:t>
      </w:r>
      <w:r w:rsidR="00E80ABD">
        <w:t xml:space="preserve"> </w:t>
      </w:r>
      <w:r w:rsidR="003A1D5D">
        <w:t xml:space="preserve">the </w:t>
      </w:r>
      <w:r w:rsidR="00E80ABD">
        <w:t xml:space="preserve">stable and low utilisation </w:t>
      </w:r>
      <w:r w:rsidR="003A1D5D">
        <w:t xml:space="preserve">of inotuzumab </w:t>
      </w:r>
      <w:r w:rsidR="00E80ABD">
        <w:t xml:space="preserve">compared to rising blinatumomab utilisation. </w:t>
      </w:r>
    </w:p>
    <w:p w14:paraId="3D1D4320" w14:textId="77777777" w:rsidR="007E490F" w:rsidRPr="00A6439B" w:rsidRDefault="007E490F" w:rsidP="00051CDF">
      <w:pPr>
        <w:pStyle w:val="2-SectionHeading"/>
        <w:numPr>
          <w:ilvl w:val="0"/>
          <w:numId w:val="1"/>
        </w:numPr>
      </w:pPr>
      <w:r w:rsidRPr="00A6439B">
        <w:t xml:space="preserve">Background </w:t>
      </w:r>
    </w:p>
    <w:p w14:paraId="09410F70" w14:textId="455480FD" w:rsidR="00773135" w:rsidRDefault="00CF33AF" w:rsidP="00773135">
      <w:pPr>
        <w:pStyle w:val="3-BodyText"/>
        <w:rPr>
          <w:color w:val="000000" w:themeColor="text1"/>
        </w:rPr>
      </w:pPr>
      <w:r w:rsidRPr="59C23F7F">
        <w:rPr>
          <w:color w:val="000000" w:themeColor="text1"/>
        </w:rPr>
        <w:t xml:space="preserve">Inotuzumab is </w:t>
      </w:r>
      <w:r w:rsidR="008D219A">
        <w:rPr>
          <w:color w:val="000000" w:themeColor="text1"/>
        </w:rPr>
        <w:t>supplied via</w:t>
      </w:r>
      <w:r w:rsidR="00FA1612">
        <w:rPr>
          <w:color w:val="000000" w:themeColor="text1"/>
        </w:rPr>
        <w:t xml:space="preserve"> the</w:t>
      </w:r>
      <w:r w:rsidRPr="59C23F7F">
        <w:rPr>
          <w:color w:val="000000" w:themeColor="text1"/>
        </w:rPr>
        <w:t xml:space="preserve"> Section 100</w:t>
      </w:r>
      <w:r w:rsidR="008D219A">
        <w:rPr>
          <w:color w:val="000000" w:themeColor="text1"/>
        </w:rPr>
        <w:t xml:space="preserve"> Efficient Funding of Chemotherapy</w:t>
      </w:r>
      <w:r w:rsidRPr="59C23F7F">
        <w:rPr>
          <w:color w:val="000000" w:themeColor="text1"/>
        </w:rPr>
        <w:t xml:space="preserve"> </w:t>
      </w:r>
      <w:r w:rsidR="00FA1612">
        <w:rPr>
          <w:color w:val="000000" w:themeColor="text1"/>
        </w:rPr>
        <w:t xml:space="preserve">Program </w:t>
      </w:r>
      <w:r w:rsidRPr="59C23F7F">
        <w:rPr>
          <w:color w:val="000000" w:themeColor="text1"/>
        </w:rPr>
        <w:t>for</w:t>
      </w:r>
      <w:r w:rsidR="00FA1612">
        <w:rPr>
          <w:color w:val="000000" w:themeColor="text1"/>
        </w:rPr>
        <w:t xml:space="preserve"> the treatment of</w:t>
      </w:r>
      <w:r w:rsidRPr="59C23F7F">
        <w:rPr>
          <w:color w:val="000000" w:themeColor="text1"/>
        </w:rPr>
        <w:t xml:space="preserve"> relapsed or refractory</w:t>
      </w:r>
      <w:r w:rsidR="0048617C">
        <w:rPr>
          <w:color w:val="000000" w:themeColor="text1"/>
        </w:rPr>
        <w:t xml:space="preserve"> (R/R)</w:t>
      </w:r>
      <w:r w:rsidRPr="59C23F7F">
        <w:rPr>
          <w:color w:val="000000" w:themeColor="text1"/>
        </w:rPr>
        <w:t xml:space="preserve"> CD22</w:t>
      </w:r>
      <w:r w:rsidRPr="59C23F7F">
        <w:rPr>
          <w:rFonts w:ascii="Cambria Math" w:hAnsi="Cambria Math" w:cs="Cambria Math"/>
          <w:color w:val="000000" w:themeColor="text1"/>
        </w:rPr>
        <w:t>‑</w:t>
      </w:r>
      <w:r w:rsidRPr="59C23F7F">
        <w:rPr>
          <w:color w:val="000000" w:themeColor="text1"/>
        </w:rPr>
        <w:t>positive B</w:t>
      </w:r>
      <w:r w:rsidRPr="59C23F7F">
        <w:rPr>
          <w:rFonts w:ascii="Cambria Math" w:hAnsi="Cambria Math" w:cs="Cambria Math"/>
          <w:color w:val="000000" w:themeColor="text1"/>
        </w:rPr>
        <w:t>‑</w:t>
      </w:r>
      <w:r w:rsidRPr="59C23F7F">
        <w:rPr>
          <w:color w:val="000000" w:themeColor="text1"/>
        </w:rPr>
        <w:t>cell precursor acute lymphoblastic leukaemia (</w:t>
      </w:r>
      <w:r w:rsidR="000663A2">
        <w:rPr>
          <w:color w:val="000000" w:themeColor="text1"/>
        </w:rPr>
        <w:t>B-</w:t>
      </w:r>
      <w:r w:rsidRPr="59C23F7F">
        <w:rPr>
          <w:color w:val="000000" w:themeColor="text1"/>
        </w:rPr>
        <w:t xml:space="preserve">ALL). </w:t>
      </w:r>
      <w:r w:rsidR="007C06B1">
        <w:rPr>
          <w:color w:val="000000" w:themeColor="text1"/>
        </w:rPr>
        <w:t>It was recommended for</w:t>
      </w:r>
      <w:r w:rsidR="007341CF">
        <w:rPr>
          <w:color w:val="000000" w:themeColor="text1"/>
        </w:rPr>
        <w:t xml:space="preserve"> PBS</w:t>
      </w:r>
      <w:r w:rsidR="007C06B1">
        <w:rPr>
          <w:color w:val="000000" w:themeColor="text1"/>
        </w:rPr>
        <w:t xml:space="preserve"> listing on a cost-minimisation basis compared with </w:t>
      </w:r>
      <w:r w:rsidR="0074350C">
        <w:rPr>
          <w:color w:val="000000" w:themeColor="text1"/>
        </w:rPr>
        <w:t>blinatumomab</w:t>
      </w:r>
      <w:r w:rsidR="00BB2068">
        <w:rPr>
          <w:color w:val="000000" w:themeColor="text1"/>
        </w:rPr>
        <w:t xml:space="preserve"> (in November 2018)</w:t>
      </w:r>
      <w:r w:rsidR="007C06B1">
        <w:rPr>
          <w:color w:val="000000" w:themeColor="text1"/>
        </w:rPr>
        <w:t>.</w:t>
      </w:r>
    </w:p>
    <w:p w14:paraId="51BF9D14" w14:textId="21545323" w:rsidR="00500B16" w:rsidRDefault="00500B16" w:rsidP="00500B16">
      <w:pPr>
        <w:pStyle w:val="3-BodyText"/>
        <w:rPr>
          <w:color w:val="000000" w:themeColor="text1"/>
        </w:rPr>
      </w:pPr>
      <w:r w:rsidRPr="00500B16">
        <w:rPr>
          <w:color w:val="000000" w:themeColor="text1"/>
        </w:rPr>
        <w:t xml:space="preserve">At the time of its listing in May 2019, </w:t>
      </w:r>
      <w:r w:rsidR="00BE7A4B">
        <w:rPr>
          <w:color w:val="000000" w:themeColor="text1"/>
        </w:rPr>
        <w:t>inotuzumab</w:t>
      </w:r>
      <w:r w:rsidRPr="00500B16">
        <w:rPr>
          <w:color w:val="000000" w:themeColor="text1"/>
        </w:rPr>
        <w:t xml:space="preserve"> was required to join the existing RSA with blinatumomab, reflecting the then</w:t>
      </w:r>
      <w:r w:rsidR="00367580">
        <w:rPr>
          <w:color w:val="000000" w:themeColor="text1"/>
        </w:rPr>
        <w:t xml:space="preserve"> closely</w:t>
      </w:r>
      <w:r w:rsidRPr="00500B16">
        <w:rPr>
          <w:rFonts w:ascii="Cambria Math" w:hAnsi="Cambria Math" w:cs="Cambria Math"/>
          <w:color w:val="000000" w:themeColor="text1"/>
        </w:rPr>
        <w:t>‑</w:t>
      </w:r>
      <w:r w:rsidRPr="00500B16">
        <w:rPr>
          <w:color w:val="000000" w:themeColor="text1"/>
        </w:rPr>
        <w:t>aligned treatment settings for the two medicines.</w:t>
      </w:r>
      <w:r w:rsidR="009E73F7">
        <w:rPr>
          <w:color w:val="000000" w:themeColor="text1"/>
        </w:rPr>
        <w:t xml:space="preserve"> The PBAC </w:t>
      </w:r>
      <w:r w:rsidR="00BE7A4B">
        <w:rPr>
          <w:color w:val="000000" w:themeColor="text1"/>
        </w:rPr>
        <w:t xml:space="preserve">had </w:t>
      </w:r>
      <w:r w:rsidR="009E73F7">
        <w:rPr>
          <w:color w:val="000000" w:themeColor="text1"/>
        </w:rPr>
        <w:t xml:space="preserve">recommended an increase to the </w:t>
      </w:r>
      <w:r w:rsidR="00BB2068">
        <w:rPr>
          <w:color w:val="000000" w:themeColor="text1"/>
        </w:rPr>
        <w:t xml:space="preserve">expenditure </w:t>
      </w:r>
      <w:r w:rsidR="009E73F7">
        <w:rPr>
          <w:color w:val="000000" w:themeColor="text1"/>
        </w:rPr>
        <w:t>caps</w:t>
      </w:r>
      <w:r w:rsidR="00D6426F">
        <w:rPr>
          <w:color w:val="000000" w:themeColor="text1"/>
        </w:rPr>
        <w:t xml:space="preserve"> due to</w:t>
      </w:r>
      <w:r w:rsidR="009E73F7">
        <w:rPr>
          <w:color w:val="000000" w:themeColor="text1"/>
        </w:rPr>
        <w:t xml:space="preserve"> expected sequential </w:t>
      </w:r>
      <w:r w:rsidR="00BE7A4B">
        <w:rPr>
          <w:color w:val="000000" w:themeColor="text1"/>
        </w:rPr>
        <w:t>use</w:t>
      </w:r>
      <w:r w:rsidR="00960D23">
        <w:rPr>
          <w:color w:val="000000" w:themeColor="text1"/>
        </w:rPr>
        <w:t>.</w:t>
      </w:r>
      <w:r w:rsidR="00606F26">
        <w:rPr>
          <w:color w:val="000000" w:themeColor="text1"/>
        </w:rPr>
        <w:t xml:space="preserve"> The caps were further expanded on 1 October 2019 when </w:t>
      </w:r>
      <w:r w:rsidR="00CA6347">
        <w:rPr>
          <w:color w:val="000000" w:themeColor="text1"/>
        </w:rPr>
        <w:t xml:space="preserve">the listings for </w:t>
      </w:r>
      <w:r w:rsidR="00606F26">
        <w:rPr>
          <w:color w:val="000000" w:themeColor="text1"/>
        </w:rPr>
        <w:t>bo</w:t>
      </w:r>
      <w:r w:rsidR="0048617C">
        <w:rPr>
          <w:color w:val="000000" w:themeColor="text1"/>
        </w:rPr>
        <w:t>th medicines were ex</w:t>
      </w:r>
      <w:r w:rsidR="00CA6347">
        <w:rPr>
          <w:color w:val="000000" w:themeColor="text1"/>
        </w:rPr>
        <w:t>tended to</w:t>
      </w:r>
      <w:r w:rsidR="0048617C">
        <w:rPr>
          <w:color w:val="000000" w:themeColor="text1"/>
        </w:rPr>
        <w:t xml:space="preserve"> </w:t>
      </w:r>
      <w:r w:rsidR="008E053F" w:rsidRPr="008E053F">
        <w:rPr>
          <w:color w:val="000000" w:themeColor="text1"/>
        </w:rPr>
        <w:t>Philadelphia chromosome</w:t>
      </w:r>
      <w:r w:rsidR="008E053F">
        <w:rPr>
          <w:color w:val="000000" w:themeColor="text1"/>
        </w:rPr>
        <w:t xml:space="preserve"> (</w:t>
      </w:r>
      <w:r w:rsidR="0048617C">
        <w:rPr>
          <w:color w:val="000000" w:themeColor="text1"/>
        </w:rPr>
        <w:t>Ph</w:t>
      </w:r>
      <w:r w:rsidR="008E053F">
        <w:rPr>
          <w:color w:val="000000" w:themeColor="text1"/>
        </w:rPr>
        <w:t>)</w:t>
      </w:r>
      <w:r w:rsidR="0048617C">
        <w:rPr>
          <w:color w:val="000000" w:themeColor="text1"/>
        </w:rPr>
        <w:t>positive patients in the R/R setting.</w:t>
      </w:r>
      <w:r w:rsidR="00CB2A6D">
        <w:rPr>
          <w:color w:val="000000" w:themeColor="text1"/>
        </w:rPr>
        <w:t xml:space="preserve"> </w:t>
      </w:r>
    </w:p>
    <w:p w14:paraId="1ACD0E6D" w14:textId="076D42C0" w:rsidR="000D09EF" w:rsidRDefault="000D09EF" w:rsidP="00500B16">
      <w:pPr>
        <w:pStyle w:val="3-BodyText"/>
        <w:rPr>
          <w:color w:val="000000" w:themeColor="text1"/>
        </w:rPr>
      </w:pPr>
      <w:r>
        <w:rPr>
          <w:color w:val="000000" w:themeColor="text1"/>
        </w:rPr>
        <w:t>The PBS listing for blinatumomab has expanded a further two times to include</w:t>
      </w:r>
      <w:r w:rsidR="008B7E99">
        <w:rPr>
          <w:color w:val="000000" w:themeColor="text1"/>
        </w:rPr>
        <w:t>:</w:t>
      </w:r>
      <w:r>
        <w:rPr>
          <w:color w:val="000000" w:themeColor="text1"/>
        </w:rPr>
        <w:t xml:space="preserve"> newly diagnose</w:t>
      </w:r>
      <w:r w:rsidR="00DA39EA">
        <w:rPr>
          <w:color w:val="000000" w:themeColor="text1"/>
        </w:rPr>
        <w:t>d</w:t>
      </w:r>
      <w:r>
        <w:rPr>
          <w:color w:val="000000" w:themeColor="text1"/>
        </w:rPr>
        <w:t xml:space="preserve"> patients with B-ALL </w:t>
      </w:r>
      <w:r w:rsidR="00B743B4">
        <w:rPr>
          <w:color w:val="000000" w:themeColor="text1"/>
        </w:rPr>
        <w:t xml:space="preserve">in complete remission with minimal residual disease </w:t>
      </w:r>
      <w:r w:rsidR="00AC4C84">
        <w:rPr>
          <w:color w:val="000000" w:themeColor="text1"/>
        </w:rPr>
        <w:t xml:space="preserve">(MRD) </w:t>
      </w:r>
      <w:r w:rsidR="00B743B4">
        <w:rPr>
          <w:color w:val="000000" w:themeColor="text1"/>
        </w:rPr>
        <w:t>following chemotherapy</w:t>
      </w:r>
      <w:r w:rsidR="00CE317F">
        <w:rPr>
          <w:color w:val="000000" w:themeColor="text1"/>
        </w:rPr>
        <w:t xml:space="preserve"> (1 December 2019</w:t>
      </w:r>
      <w:r w:rsidR="008B7E99">
        <w:rPr>
          <w:color w:val="000000" w:themeColor="text1"/>
        </w:rPr>
        <w:t xml:space="preserve">); </w:t>
      </w:r>
      <w:r w:rsidR="00B743B4">
        <w:rPr>
          <w:color w:val="000000" w:themeColor="text1"/>
        </w:rPr>
        <w:t>and then newly diagnosed patients who are MRD-negative following induction chemotherapy</w:t>
      </w:r>
      <w:r w:rsidR="00CE317F">
        <w:rPr>
          <w:color w:val="000000" w:themeColor="text1"/>
        </w:rPr>
        <w:t xml:space="preserve"> (1 March 2025)</w:t>
      </w:r>
      <w:r w:rsidR="00B743B4">
        <w:rPr>
          <w:color w:val="000000" w:themeColor="text1"/>
        </w:rPr>
        <w:t>.</w:t>
      </w:r>
      <w:r w:rsidR="001C398F">
        <w:rPr>
          <w:rStyle w:val="FootnoteReference"/>
          <w:color w:val="000000" w:themeColor="text1"/>
        </w:rPr>
        <w:footnoteReference w:id="2"/>
      </w:r>
      <w:r w:rsidR="00B743B4">
        <w:rPr>
          <w:color w:val="000000" w:themeColor="text1"/>
        </w:rPr>
        <w:t xml:space="preserve"> </w:t>
      </w:r>
      <w:r w:rsidR="00F13D2D">
        <w:rPr>
          <w:color w:val="000000" w:themeColor="text1"/>
        </w:rPr>
        <w:t>The shared expenditure caps were increased on both occasions (although Pfizer declined to implement the most recent increase</w:t>
      </w:r>
      <w:r w:rsidR="00D60007">
        <w:rPr>
          <w:color w:val="000000" w:themeColor="text1"/>
        </w:rPr>
        <w:t xml:space="preserve"> offered for inotuzumab</w:t>
      </w:r>
      <w:r w:rsidR="00F13D2D">
        <w:rPr>
          <w:color w:val="000000" w:themeColor="text1"/>
        </w:rPr>
        <w:t xml:space="preserve">). </w:t>
      </w:r>
    </w:p>
    <w:p w14:paraId="46154A6B" w14:textId="34C23DE3" w:rsidR="0062131F" w:rsidRPr="00A32D5B" w:rsidRDefault="67AAAC6B" w:rsidP="00500B16">
      <w:pPr>
        <w:pStyle w:val="3-BodyText"/>
        <w:rPr>
          <w:color w:val="000000" w:themeColor="text1"/>
        </w:rPr>
      </w:pPr>
      <w:r w:rsidRPr="00AD0085">
        <w:rPr>
          <w:color w:val="000000" w:themeColor="text1"/>
        </w:rPr>
        <w:t xml:space="preserve">MBS items for MRD testing were introduced in July 2024, which increased </w:t>
      </w:r>
      <w:r w:rsidRPr="00A32D5B">
        <w:rPr>
          <w:color w:val="000000" w:themeColor="text1"/>
        </w:rPr>
        <w:t>identification of patients eligible for MRD</w:t>
      </w:r>
      <w:r w:rsidRPr="00A32D5B">
        <w:rPr>
          <w:rFonts w:ascii="Cambria Math" w:hAnsi="Cambria Math" w:cs="Cambria Math"/>
          <w:color w:val="000000" w:themeColor="text1"/>
        </w:rPr>
        <w:t>‑</w:t>
      </w:r>
      <w:r w:rsidRPr="00A32D5B">
        <w:rPr>
          <w:color w:val="000000" w:themeColor="text1"/>
        </w:rPr>
        <w:t>directed therapies.</w:t>
      </w:r>
      <w:r w:rsidR="00665EDE" w:rsidRPr="00A32D5B">
        <w:rPr>
          <w:color w:val="000000" w:themeColor="text1"/>
        </w:rPr>
        <w:t xml:space="preserve"> </w:t>
      </w:r>
    </w:p>
    <w:p w14:paraId="0094486E" w14:textId="299CC7F4" w:rsidR="007E490F" w:rsidRPr="00665D71" w:rsidRDefault="007E490F" w:rsidP="00691A2C">
      <w:pPr>
        <w:pStyle w:val="4-SubsectionHeading"/>
      </w:pPr>
      <w:r>
        <w:lastRenderedPageBreak/>
        <w:t xml:space="preserve">Previous PBAC consideration </w:t>
      </w:r>
    </w:p>
    <w:p w14:paraId="6E6281F2" w14:textId="26EFCDE3" w:rsidR="00B94C2C" w:rsidRDefault="00B94C2C" w:rsidP="00B14DBA">
      <w:pPr>
        <w:pStyle w:val="3-BodyText"/>
      </w:pPr>
      <w:r>
        <w:t>The table below outlines t</w:t>
      </w:r>
      <w:r w:rsidR="008670A5">
        <w:t>he</w:t>
      </w:r>
      <w:r w:rsidR="002F5FAD">
        <w:t xml:space="preserve"> relevant</w:t>
      </w:r>
      <w:r w:rsidR="008670A5">
        <w:t xml:space="preserve"> PBAC considerations for blinatumomab and in</w:t>
      </w:r>
      <w:r w:rsidR="0052321B">
        <w:t>otu</w:t>
      </w:r>
      <w:r w:rsidR="00493F50">
        <w:t>zumab, and advice regarding the RSA.</w:t>
      </w:r>
    </w:p>
    <w:p w14:paraId="42646FDF" w14:textId="77777777" w:rsidR="00CB6414" w:rsidRDefault="00CB6414" w:rsidP="00CB6414">
      <w:pPr>
        <w:pStyle w:val="3-BodyText"/>
        <w:numPr>
          <w:ilvl w:val="0"/>
          <w:numId w:val="0"/>
        </w:numPr>
        <w:ind w:left="720"/>
        <w:sectPr w:rsidR="00CB6414"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pPr>
    </w:p>
    <w:p w14:paraId="5C7559ED" w14:textId="23AA1CEF" w:rsidR="000C40C5" w:rsidRDefault="000C40C5" w:rsidP="00B42745">
      <w:pPr>
        <w:pStyle w:val="Caption"/>
      </w:pPr>
      <w:r>
        <w:lastRenderedPageBreak/>
        <w:t xml:space="preserve">Table </w:t>
      </w:r>
      <w:fldSimple w:instr=" SEQ Table \* ARABIC ">
        <w:r>
          <w:rPr>
            <w:noProof/>
          </w:rPr>
          <w:t>1</w:t>
        </w:r>
      </w:fldSimple>
      <w:r>
        <w:t xml:space="preserve">: </w:t>
      </w:r>
      <w:r w:rsidR="00A122E3">
        <w:t xml:space="preserve">Relevant PBAC considerations of blinatumomab and </w:t>
      </w:r>
      <w:r w:rsidR="0052321B">
        <w:t>inotuzumab</w:t>
      </w:r>
    </w:p>
    <w:tbl>
      <w:tblPr>
        <w:tblStyle w:val="TableGrid"/>
        <w:tblW w:w="5000" w:type="pct"/>
        <w:tblLayout w:type="fixed"/>
        <w:tblLook w:val="04A0" w:firstRow="1" w:lastRow="0" w:firstColumn="1" w:lastColumn="0" w:noHBand="0" w:noVBand="1"/>
        <w:tblCaption w:val="Table 1: Relevant PBAC considerations of blinatumomab and inotuzumab"/>
      </w:tblPr>
      <w:tblGrid>
        <w:gridCol w:w="1483"/>
        <w:gridCol w:w="3048"/>
        <w:gridCol w:w="1134"/>
        <w:gridCol w:w="1560"/>
        <w:gridCol w:w="6737"/>
        <w:gridCol w:w="1426"/>
      </w:tblGrid>
      <w:tr w:rsidR="000C40C5" w:rsidRPr="000C40C5" w14:paraId="284DD930" w14:textId="77777777" w:rsidTr="006D2D70">
        <w:trPr>
          <w:cantSplit/>
          <w:tblHeader/>
        </w:trPr>
        <w:tc>
          <w:tcPr>
            <w:tcW w:w="1483" w:type="dxa"/>
          </w:tcPr>
          <w:p w14:paraId="572CFFB3" w14:textId="77777777" w:rsidR="00077686" w:rsidRPr="000C40C5" w:rsidRDefault="00077686" w:rsidP="00B7506B">
            <w:pPr>
              <w:rPr>
                <w:rFonts w:ascii="Arial Narrow" w:hAnsi="Arial Narrow"/>
                <w:b/>
                <w:bCs/>
                <w:sz w:val="20"/>
                <w:szCs w:val="20"/>
              </w:rPr>
            </w:pPr>
            <w:r w:rsidRPr="000C40C5">
              <w:rPr>
                <w:rFonts w:ascii="Arial Narrow" w:hAnsi="Arial Narrow"/>
                <w:b/>
                <w:bCs/>
                <w:sz w:val="20"/>
                <w:szCs w:val="20"/>
              </w:rPr>
              <w:t>Drug</w:t>
            </w:r>
          </w:p>
        </w:tc>
        <w:tc>
          <w:tcPr>
            <w:tcW w:w="3048" w:type="dxa"/>
          </w:tcPr>
          <w:p w14:paraId="745A5376" w14:textId="3CF79156" w:rsidR="00077686" w:rsidRPr="000C40C5" w:rsidRDefault="00077686" w:rsidP="00B7506B">
            <w:pPr>
              <w:rPr>
                <w:rFonts w:ascii="Arial Narrow" w:hAnsi="Arial Narrow"/>
                <w:b/>
                <w:bCs/>
                <w:sz w:val="20"/>
                <w:szCs w:val="20"/>
              </w:rPr>
            </w:pPr>
            <w:r w:rsidRPr="000C40C5">
              <w:rPr>
                <w:rFonts w:ascii="Arial Narrow" w:hAnsi="Arial Narrow"/>
                <w:b/>
                <w:bCs/>
                <w:sz w:val="20"/>
                <w:szCs w:val="20"/>
              </w:rPr>
              <w:t>Indication</w:t>
            </w:r>
          </w:p>
        </w:tc>
        <w:tc>
          <w:tcPr>
            <w:tcW w:w="1134" w:type="dxa"/>
          </w:tcPr>
          <w:p w14:paraId="4840C31D" w14:textId="77777777" w:rsidR="00077686" w:rsidRPr="000C40C5" w:rsidRDefault="00077686" w:rsidP="00B42745">
            <w:pPr>
              <w:jc w:val="left"/>
              <w:rPr>
                <w:rFonts w:ascii="Arial Narrow" w:hAnsi="Arial Narrow"/>
                <w:b/>
                <w:bCs/>
                <w:sz w:val="20"/>
                <w:szCs w:val="20"/>
              </w:rPr>
            </w:pPr>
            <w:r w:rsidRPr="000C40C5">
              <w:rPr>
                <w:rFonts w:ascii="Arial Narrow" w:hAnsi="Arial Narrow"/>
                <w:b/>
                <w:bCs/>
                <w:sz w:val="20"/>
                <w:szCs w:val="20"/>
              </w:rPr>
              <w:t>Positive PBAC Recommendation</w:t>
            </w:r>
          </w:p>
        </w:tc>
        <w:tc>
          <w:tcPr>
            <w:tcW w:w="1560" w:type="dxa"/>
          </w:tcPr>
          <w:p w14:paraId="778A0314" w14:textId="77777777" w:rsidR="00077686" w:rsidRPr="000C40C5" w:rsidRDefault="00077686" w:rsidP="00B7506B">
            <w:pPr>
              <w:rPr>
                <w:rFonts w:ascii="Arial Narrow" w:hAnsi="Arial Narrow"/>
                <w:b/>
                <w:bCs/>
                <w:sz w:val="20"/>
                <w:szCs w:val="20"/>
              </w:rPr>
            </w:pPr>
            <w:r w:rsidRPr="000C40C5">
              <w:rPr>
                <w:rFonts w:ascii="Arial Narrow" w:hAnsi="Arial Narrow"/>
                <w:b/>
                <w:bCs/>
                <w:sz w:val="20"/>
                <w:szCs w:val="20"/>
              </w:rPr>
              <w:t>PBS listing</w:t>
            </w:r>
          </w:p>
        </w:tc>
        <w:tc>
          <w:tcPr>
            <w:tcW w:w="6737" w:type="dxa"/>
          </w:tcPr>
          <w:p w14:paraId="04A5046A" w14:textId="77777777" w:rsidR="00077686" w:rsidRPr="000C40C5" w:rsidRDefault="00077686" w:rsidP="00B7506B">
            <w:pPr>
              <w:rPr>
                <w:rFonts w:ascii="Arial Narrow" w:hAnsi="Arial Narrow"/>
                <w:b/>
                <w:bCs/>
                <w:sz w:val="20"/>
                <w:szCs w:val="20"/>
              </w:rPr>
            </w:pPr>
            <w:r w:rsidRPr="000C40C5">
              <w:rPr>
                <w:rFonts w:ascii="Arial Narrow" w:hAnsi="Arial Narrow"/>
                <w:b/>
                <w:bCs/>
                <w:sz w:val="20"/>
                <w:szCs w:val="20"/>
              </w:rPr>
              <w:t>Key RSA advice</w:t>
            </w:r>
          </w:p>
        </w:tc>
        <w:tc>
          <w:tcPr>
            <w:tcW w:w="1426" w:type="dxa"/>
          </w:tcPr>
          <w:p w14:paraId="49A70A95" w14:textId="77777777" w:rsidR="00077686" w:rsidRPr="000C40C5" w:rsidRDefault="00077686" w:rsidP="00B42745">
            <w:pPr>
              <w:jc w:val="left"/>
              <w:rPr>
                <w:rFonts w:ascii="Arial Narrow" w:hAnsi="Arial Narrow"/>
                <w:b/>
                <w:bCs/>
                <w:sz w:val="20"/>
                <w:szCs w:val="20"/>
              </w:rPr>
            </w:pPr>
            <w:r w:rsidRPr="000C40C5">
              <w:rPr>
                <w:rFonts w:ascii="Arial Narrow" w:hAnsi="Arial Narrow"/>
                <w:b/>
                <w:bCs/>
                <w:sz w:val="20"/>
                <w:szCs w:val="20"/>
              </w:rPr>
              <w:t>Key RSA history</w:t>
            </w:r>
          </w:p>
        </w:tc>
      </w:tr>
      <w:tr w:rsidR="000C40C5" w:rsidRPr="000C40C5" w14:paraId="73542A91" w14:textId="77777777" w:rsidTr="006D2D70">
        <w:trPr>
          <w:cantSplit/>
        </w:trPr>
        <w:tc>
          <w:tcPr>
            <w:tcW w:w="1483" w:type="dxa"/>
            <w:vAlign w:val="center"/>
          </w:tcPr>
          <w:p w14:paraId="4D91BEDC"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Blinatumomab</w:t>
            </w:r>
          </w:p>
        </w:tc>
        <w:tc>
          <w:tcPr>
            <w:tcW w:w="3048" w:type="dxa"/>
            <w:vAlign w:val="center"/>
          </w:tcPr>
          <w:p w14:paraId="6B53CF24"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R/R Ph negative B-ALL</w:t>
            </w:r>
          </w:p>
        </w:tc>
        <w:tc>
          <w:tcPr>
            <w:tcW w:w="1134" w:type="dxa"/>
            <w:vAlign w:val="center"/>
          </w:tcPr>
          <w:p w14:paraId="093E9463"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 xml:space="preserve">November 2016 </w:t>
            </w:r>
          </w:p>
        </w:tc>
        <w:tc>
          <w:tcPr>
            <w:tcW w:w="1560" w:type="dxa"/>
            <w:vAlign w:val="center"/>
          </w:tcPr>
          <w:p w14:paraId="40CF5AA1"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1 May 2017</w:t>
            </w:r>
          </w:p>
        </w:tc>
        <w:tc>
          <w:tcPr>
            <w:tcW w:w="6737" w:type="dxa"/>
            <w:vAlign w:val="center"/>
          </w:tcPr>
          <w:p w14:paraId="6DD4A2F5" w14:textId="05090E5F" w:rsidR="00077686" w:rsidRPr="000C40C5" w:rsidRDefault="00077686" w:rsidP="00B7506B">
            <w:pPr>
              <w:rPr>
                <w:rFonts w:ascii="Arial Narrow" w:hAnsi="Arial Narrow"/>
                <w:sz w:val="20"/>
                <w:szCs w:val="20"/>
              </w:rPr>
            </w:pPr>
            <w:r w:rsidRPr="000C40C5">
              <w:rPr>
                <w:rFonts w:ascii="Arial Narrow" w:hAnsi="Arial Narrow"/>
                <w:sz w:val="20"/>
                <w:szCs w:val="20"/>
              </w:rPr>
              <w:t xml:space="preserve">Due to the highly uncertain financial estimates, the PBAC recommended financial caps based on the estimated treated population and less than 42 vials per patient. The PBAC reaffirmed that the restriction should remain silent on age. However, given the significant uncertainty around several aspects of the estimates and the high ICER, the PBAC did not consider that this was sufficient grounds for any upward revision of the expenditure cap (para 6.17, Nov 16 </w:t>
            </w:r>
            <w:r w:rsidR="00845BE8">
              <w:rPr>
                <w:rFonts w:ascii="Arial Narrow" w:hAnsi="Arial Narrow"/>
                <w:sz w:val="20"/>
                <w:szCs w:val="20"/>
              </w:rPr>
              <w:t>Public Summary Document</w:t>
            </w:r>
            <w:r w:rsidR="0008092B">
              <w:rPr>
                <w:rFonts w:ascii="Arial Narrow" w:hAnsi="Arial Narrow"/>
                <w:sz w:val="20"/>
                <w:szCs w:val="20"/>
              </w:rPr>
              <w:t xml:space="preserve"> [</w:t>
            </w:r>
            <w:r w:rsidRPr="000C40C5">
              <w:rPr>
                <w:rFonts w:ascii="Arial Narrow" w:hAnsi="Arial Narrow"/>
                <w:sz w:val="20"/>
                <w:szCs w:val="20"/>
              </w:rPr>
              <w:t>PSD</w:t>
            </w:r>
            <w:r w:rsidR="0008092B">
              <w:rPr>
                <w:rFonts w:ascii="Arial Narrow" w:hAnsi="Arial Narrow"/>
                <w:sz w:val="20"/>
                <w:szCs w:val="20"/>
              </w:rPr>
              <w:t>]</w:t>
            </w:r>
            <w:r w:rsidRPr="000C40C5">
              <w:rPr>
                <w:rFonts w:ascii="Arial Narrow" w:hAnsi="Arial Narrow"/>
                <w:sz w:val="20"/>
                <w:szCs w:val="20"/>
              </w:rPr>
              <w:t>).</w:t>
            </w:r>
          </w:p>
        </w:tc>
        <w:tc>
          <w:tcPr>
            <w:tcW w:w="1426" w:type="dxa"/>
            <w:vAlign w:val="center"/>
          </w:tcPr>
          <w:p w14:paraId="117C945B"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RSA established</w:t>
            </w:r>
          </w:p>
        </w:tc>
      </w:tr>
      <w:tr w:rsidR="000C40C5" w:rsidRPr="000C40C5" w14:paraId="3F42068F" w14:textId="77777777" w:rsidTr="006D2D70">
        <w:trPr>
          <w:cantSplit/>
        </w:trPr>
        <w:tc>
          <w:tcPr>
            <w:tcW w:w="1483" w:type="dxa"/>
            <w:vAlign w:val="center"/>
          </w:tcPr>
          <w:p w14:paraId="7EF1EFC3"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Inotuzumab ozogamicin</w:t>
            </w:r>
          </w:p>
        </w:tc>
        <w:tc>
          <w:tcPr>
            <w:tcW w:w="3048" w:type="dxa"/>
            <w:vAlign w:val="center"/>
          </w:tcPr>
          <w:p w14:paraId="22880C0B"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R/R CD22 positive Ph negative B-ALL</w:t>
            </w:r>
          </w:p>
        </w:tc>
        <w:tc>
          <w:tcPr>
            <w:tcW w:w="1134" w:type="dxa"/>
            <w:vAlign w:val="center"/>
          </w:tcPr>
          <w:p w14:paraId="5842D3BE"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November 2018</w:t>
            </w:r>
          </w:p>
        </w:tc>
        <w:tc>
          <w:tcPr>
            <w:tcW w:w="1560" w:type="dxa"/>
            <w:vAlign w:val="center"/>
          </w:tcPr>
          <w:p w14:paraId="16C20062"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1 May 2019</w:t>
            </w:r>
          </w:p>
        </w:tc>
        <w:tc>
          <w:tcPr>
            <w:tcW w:w="6737" w:type="dxa"/>
            <w:vAlign w:val="center"/>
          </w:tcPr>
          <w:p w14:paraId="2B9579B5"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The PBAC considered that inotuzumab would need to join the existing RSA terms in place for blinatumomab, and that the associated financial caps could only be increased by the number of additional treatment courses expected with sequential use permitted. The PBAC considered that the number of treatment courses with blinatumomab or inotuzumab would increase by no more than 50% with sequential use permitted (para 7.18, Nov 18 PSD)</w:t>
            </w:r>
          </w:p>
        </w:tc>
        <w:tc>
          <w:tcPr>
            <w:tcW w:w="1426" w:type="dxa"/>
            <w:vAlign w:val="center"/>
          </w:tcPr>
          <w:p w14:paraId="206AE0E2"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 xml:space="preserve">Variation with increase in caps </w:t>
            </w:r>
          </w:p>
        </w:tc>
      </w:tr>
      <w:tr w:rsidR="000C40C5" w:rsidRPr="000C40C5" w14:paraId="7B0ACD03" w14:textId="77777777" w:rsidTr="006D2D70">
        <w:trPr>
          <w:cantSplit/>
        </w:trPr>
        <w:tc>
          <w:tcPr>
            <w:tcW w:w="1483" w:type="dxa"/>
            <w:vAlign w:val="center"/>
          </w:tcPr>
          <w:p w14:paraId="63026839"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Inotuzumab ozogamicin</w:t>
            </w:r>
          </w:p>
        </w:tc>
        <w:tc>
          <w:tcPr>
            <w:tcW w:w="3048" w:type="dxa"/>
            <w:vAlign w:val="center"/>
          </w:tcPr>
          <w:p w14:paraId="6E654F76"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 xml:space="preserve">Expanded R/R to include Ph positive B-ALL </w:t>
            </w:r>
          </w:p>
        </w:tc>
        <w:tc>
          <w:tcPr>
            <w:tcW w:w="1134" w:type="dxa"/>
            <w:vAlign w:val="center"/>
          </w:tcPr>
          <w:p w14:paraId="3FA64C44"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 xml:space="preserve">May 2019 </w:t>
            </w:r>
          </w:p>
        </w:tc>
        <w:tc>
          <w:tcPr>
            <w:tcW w:w="1560" w:type="dxa"/>
            <w:vAlign w:val="center"/>
          </w:tcPr>
          <w:p w14:paraId="69C8A3D8"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1 October 2019</w:t>
            </w:r>
          </w:p>
        </w:tc>
        <w:tc>
          <w:tcPr>
            <w:tcW w:w="6737" w:type="dxa"/>
            <w:vMerge w:val="restart"/>
            <w:vAlign w:val="center"/>
          </w:tcPr>
          <w:p w14:paraId="58795C38" w14:textId="77777777" w:rsidR="00077686" w:rsidRDefault="00077686" w:rsidP="00B7506B">
            <w:pPr>
              <w:rPr>
                <w:rFonts w:ascii="Arial Narrow" w:hAnsi="Arial Narrow"/>
                <w:sz w:val="20"/>
                <w:szCs w:val="20"/>
              </w:rPr>
            </w:pPr>
            <w:r w:rsidRPr="000C40C5">
              <w:rPr>
                <w:rFonts w:ascii="Arial Narrow" w:hAnsi="Arial Narrow"/>
                <w:sz w:val="20"/>
                <w:szCs w:val="20"/>
              </w:rPr>
              <w:t>The PBAC considered that the existing RSAs for blinatumomab and inotuzumab would need to be updated to include the estimated cost of treatment of new patients with Ph+ disease. The PBAC noted that any increase to the associated financial caps should only be based on the number of additional treatment courses expected with the extension of the existing listing to patients with Ph+ disease based on the financial estimates. The PBAC considered that the financial estimates should account for no more than 50% of patients receiving sequential therapy with these agents consistent with its previous advice (para 4.17, inotuzumab May 19 PSD &amp; para 5.9, blinatumomab May 19 PSD).</w:t>
            </w:r>
          </w:p>
          <w:p w14:paraId="501D1D40" w14:textId="77777777" w:rsidR="00562AA2" w:rsidRPr="00562AA2" w:rsidRDefault="00562AA2" w:rsidP="00562AA2">
            <w:pPr>
              <w:rPr>
                <w:rFonts w:ascii="Arial Narrow" w:hAnsi="Arial Narrow"/>
                <w:sz w:val="20"/>
                <w:szCs w:val="20"/>
              </w:rPr>
            </w:pPr>
          </w:p>
          <w:p w14:paraId="50366B09" w14:textId="77777777" w:rsidR="00562AA2" w:rsidRPr="00562AA2" w:rsidRDefault="00562AA2" w:rsidP="00562AA2">
            <w:pPr>
              <w:rPr>
                <w:rFonts w:ascii="Arial Narrow" w:hAnsi="Arial Narrow"/>
                <w:sz w:val="20"/>
                <w:szCs w:val="20"/>
              </w:rPr>
            </w:pPr>
          </w:p>
          <w:p w14:paraId="06B2B74A" w14:textId="77777777" w:rsidR="00562AA2" w:rsidRPr="00562AA2" w:rsidRDefault="00562AA2" w:rsidP="00562AA2">
            <w:pPr>
              <w:rPr>
                <w:rFonts w:ascii="Arial Narrow" w:hAnsi="Arial Narrow"/>
                <w:sz w:val="20"/>
                <w:szCs w:val="20"/>
              </w:rPr>
            </w:pPr>
          </w:p>
          <w:p w14:paraId="362D9759" w14:textId="77777777" w:rsidR="00562AA2" w:rsidRPr="00562AA2" w:rsidRDefault="00562AA2" w:rsidP="00562AA2">
            <w:pPr>
              <w:rPr>
                <w:rFonts w:ascii="Arial Narrow" w:hAnsi="Arial Narrow"/>
                <w:sz w:val="20"/>
                <w:szCs w:val="20"/>
              </w:rPr>
            </w:pPr>
          </w:p>
          <w:p w14:paraId="2E2934C2" w14:textId="77777777" w:rsidR="00562AA2" w:rsidRPr="00562AA2" w:rsidRDefault="00562AA2" w:rsidP="00562AA2">
            <w:pPr>
              <w:rPr>
                <w:rFonts w:ascii="Arial Narrow" w:hAnsi="Arial Narrow"/>
                <w:sz w:val="20"/>
                <w:szCs w:val="20"/>
              </w:rPr>
            </w:pPr>
          </w:p>
          <w:p w14:paraId="25E8FE51" w14:textId="77777777" w:rsidR="00562AA2" w:rsidRPr="00562AA2" w:rsidRDefault="00562AA2" w:rsidP="00562AA2">
            <w:pPr>
              <w:rPr>
                <w:rFonts w:ascii="Arial Narrow" w:hAnsi="Arial Narrow"/>
                <w:sz w:val="20"/>
                <w:szCs w:val="20"/>
              </w:rPr>
            </w:pPr>
          </w:p>
          <w:p w14:paraId="71D25D83" w14:textId="77777777" w:rsidR="00562AA2" w:rsidRPr="00562AA2" w:rsidRDefault="00562AA2" w:rsidP="00562AA2">
            <w:pPr>
              <w:rPr>
                <w:rFonts w:ascii="Arial Narrow" w:hAnsi="Arial Narrow"/>
                <w:sz w:val="20"/>
                <w:szCs w:val="20"/>
              </w:rPr>
            </w:pPr>
          </w:p>
          <w:p w14:paraId="5A786541" w14:textId="77777777" w:rsidR="00562AA2" w:rsidRPr="00562AA2" w:rsidRDefault="00562AA2" w:rsidP="00562AA2">
            <w:pPr>
              <w:rPr>
                <w:rFonts w:ascii="Arial Narrow" w:hAnsi="Arial Narrow"/>
                <w:sz w:val="20"/>
                <w:szCs w:val="20"/>
              </w:rPr>
            </w:pPr>
          </w:p>
          <w:p w14:paraId="15EBD840" w14:textId="77777777" w:rsidR="00562AA2" w:rsidRPr="00562AA2" w:rsidRDefault="00562AA2" w:rsidP="00562AA2">
            <w:pPr>
              <w:rPr>
                <w:rFonts w:ascii="Arial Narrow" w:hAnsi="Arial Narrow"/>
                <w:sz w:val="20"/>
                <w:szCs w:val="20"/>
              </w:rPr>
            </w:pPr>
          </w:p>
          <w:p w14:paraId="40746DA0" w14:textId="77777777" w:rsidR="00562AA2" w:rsidRPr="00562AA2" w:rsidRDefault="00562AA2" w:rsidP="00562AA2">
            <w:pPr>
              <w:rPr>
                <w:rFonts w:ascii="Arial Narrow" w:hAnsi="Arial Narrow"/>
                <w:sz w:val="20"/>
                <w:szCs w:val="20"/>
              </w:rPr>
            </w:pPr>
          </w:p>
          <w:p w14:paraId="540317AA" w14:textId="77777777" w:rsidR="00562AA2" w:rsidRPr="00562AA2" w:rsidRDefault="00562AA2" w:rsidP="00562AA2">
            <w:pPr>
              <w:rPr>
                <w:rFonts w:ascii="Arial Narrow" w:hAnsi="Arial Narrow"/>
                <w:sz w:val="20"/>
                <w:szCs w:val="20"/>
              </w:rPr>
            </w:pPr>
          </w:p>
          <w:p w14:paraId="134DACC7" w14:textId="77777777" w:rsidR="00562AA2" w:rsidRPr="00562AA2" w:rsidRDefault="00562AA2" w:rsidP="00562AA2">
            <w:pPr>
              <w:rPr>
                <w:rFonts w:ascii="Arial Narrow" w:hAnsi="Arial Narrow"/>
                <w:sz w:val="20"/>
                <w:szCs w:val="20"/>
              </w:rPr>
            </w:pPr>
          </w:p>
          <w:p w14:paraId="1F6C3C0E" w14:textId="77777777" w:rsidR="00562AA2" w:rsidRPr="00562AA2" w:rsidRDefault="00562AA2" w:rsidP="00562AA2">
            <w:pPr>
              <w:rPr>
                <w:rFonts w:ascii="Arial Narrow" w:hAnsi="Arial Narrow"/>
                <w:sz w:val="20"/>
                <w:szCs w:val="20"/>
              </w:rPr>
            </w:pPr>
          </w:p>
          <w:p w14:paraId="7F3EC25D" w14:textId="77777777" w:rsidR="00562AA2" w:rsidRPr="00562AA2" w:rsidRDefault="00562AA2" w:rsidP="00562AA2">
            <w:pPr>
              <w:rPr>
                <w:rFonts w:ascii="Arial Narrow" w:hAnsi="Arial Narrow"/>
                <w:sz w:val="20"/>
                <w:szCs w:val="20"/>
              </w:rPr>
            </w:pPr>
          </w:p>
          <w:p w14:paraId="514278D3" w14:textId="08A38A0C" w:rsidR="00562AA2" w:rsidRPr="00562AA2" w:rsidRDefault="00562AA2" w:rsidP="00562AA2">
            <w:pPr>
              <w:rPr>
                <w:rFonts w:ascii="Arial Narrow" w:hAnsi="Arial Narrow"/>
                <w:sz w:val="20"/>
                <w:szCs w:val="20"/>
              </w:rPr>
            </w:pPr>
          </w:p>
        </w:tc>
        <w:tc>
          <w:tcPr>
            <w:tcW w:w="1426" w:type="dxa"/>
            <w:vMerge w:val="restart"/>
            <w:vAlign w:val="center"/>
          </w:tcPr>
          <w:p w14:paraId="7E220AF1"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Variation with increase in caps</w:t>
            </w:r>
          </w:p>
        </w:tc>
      </w:tr>
      <w:tr w:rsidR="000C40C5" w:rsidRPr="000C40C5" w14:paraId="44C6623C" w14:textId="77777777" w:rsidTr="006D2D70">
        <w:trPr>
          <w:cantSplit/>
        </w:trPr>
        <w:tc>
          <w:tcPr>
            <w:tcW w:w="1483" w:type="dxa"/>
            <w:vAlign w:val="center"/>
          </w:tcPr>
          <w:p w14:paraId="6867E9E4"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Blinatumomab</w:t>
            </w:r>
          </w:p>
        </w:tc>
        <w:tc>
          <w:tcPr>
            <w:tcW w:w="3048" w:type="dxa"/>
            <w:vAlign w:val="center"/>
          </w:tcPr>
          <w:p w14:paraId="7584CF21"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Expanded R/R to include Ph positive B-ALL</w:t>
            </w:r>
          </w:p>
        </w:tc>
        <w:tc>
          <w:tcPr>
            <w:tcW w:w="1134" w:type="dxa"/>
            <w:vAlign w:val="center"/>
          </w:tcPr>
          <w:p w14:paraId="030B1622"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May 2019</w:t>
            </w:r>
          </w:p>
        </w:tc>
        <w:tc>
          <w:tcPr>
            <w:tcW w:w="1560" w:type="dxa"/>
            <w:vAlign w:val="center"/>
          </w:tcPr>
          <w:p w14:paraId="5B5CD49E"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1 October 2019</w:t>
            </w:r>
          </w:p>
        </w:tc>
        <w:tc>
          <w:tcPr>
            <w:tcW w:w="6737" w:type="dxa"/>
            <w:vMerge/>
            <w:vAlign w:val="center"/>
          </w:tcPr>
          <w:p w14:paraId="13558912" w14:textId="77777777" w:rsidR="00077686" w:rsidRPr="000C40C5" w:rsidRDefault="00077686" w:rsidP="00B7506B">
            <w:pPr>
              <w:jc w:val="left"/>
              <w:rPr>
                <w:rFonts w:ascii="Arial Narrow" w:hAnsi="Arial Narrow"/>
                <w:sz w:val="20"/>
                <w:szCs w:val="20"/>
              </w:rPr>
            </w:pPr>
          </w:p>
        </w:tc>
        <w:tc>
          <w:tcPr>
            <w:tcW w:w="1426" w:type="dxa"/>
            <w:vMerge/>
            <w:vAlign w:val="center"/>
          </w:tcPr>
          <w:p w14:paraId="53782F96" w14:textId="77777777" w:rsidR="00077686" w:rsidRPr="000C40C5" w:rsidRDefault="00077686" w:rsidP="00B7506B">
            <w:pPr>
              <w:jc w:val="left"/>
              <w:rPr>
                <w:rFonts w:ascii="Arial Narrow" w:hAnsi="Arial Narrow"/>
                <w:sz w:val="20"/>
                <w:szCs w:val="20"/>
              </w:rPr>
            </w:pPr>
          </w:p>
        </w:tc>
      </w:tr>
      <w:tr w:rsidR="000C40C5" w:rsidRPr="000C40C5" w14:paraId="7DB65D7F" w14:textId="77777777" w:rsidTr="006D2D70">
        <w:trPr>
          <w:cantSplit/>
        </w:trPr>
        <w:tc>
          <w:tcPr>
            <w:tcW w:w="1483" w:type="dxa"/>
            <w:vAlign w:val="center"/>
          </w:tcPr>
          <w:p w14:paraId="09B38259"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lastRenderedPageBreak/>
              <w:t>Blinatumomab</w:t>
            </w:r>
          </w:p>
        </w:tc>
        <w:tc>
          <w:tcPr>
            <w:tcW w:w="3048" w:type="dxa"/>
            <w:vAlign w:val="center"/>
          </w:tcPr>
          <w:p w14:paraId="469C4F0C"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Newly diagnosed B-ALL in haematological complete remission with minimal residual disease (MRD) following chemotherapy</w:t>
            </w:r>
          </w:p>
        </w:tc>
        <w:tc>
          <w:tcPr>
            <w:tcW w:w="1134" w:type="dxa"/>
            <w:vAlign w:val="center"/>
          </w:tcPr>
          <w:p w14:paraId="75915A78"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July 2019</w:t>
            </w:r>
          </w:p>
        </w:tc>
        <w:tc>
          <w:tcPr>
            <w:tcW w:w="1560" w:type="dxa"/>
            <w:vAlign w:val="center"/>
          </w:tcPr>
          <w:p w14:paraId="6448A900"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1 December 2019</w:t>
            </w:r>
          </w:p>
        </w:tc>
        <w:tc>
          <w:tcPr>
            <w:tcW w:w="6737" w:type="dxa"/>
            <w:vAlign w:val="center"/>
          </w:tcPr>
          <w:p w14:paraId="2D38AE59" w14:textId="77777777" w:rsidR="00077686" w:rsidRDefault="00077686" w:rsidP="00B7506B">
            <w:pPr>
              <w:jc w:val="left"/>
              <w:rPr>
                <w:rFonts w:ascii="Arial Narrow" w:hAnsi="Arial Narrow"/>
                <w:sz w:val="20"/>
                <w:szCs w:val="20"/>
              </w:rPr>
            </w:pPr>
            <w:r w:rsidRPr="000C40C5">
              <w:rPr>
                <w:rFonts w:ascii="Arial Narrow" w:hAnsi="Arial Narrow"/>
                <w:sz w:val="20"/>
                <w:szCs w:val="20"/>
              </w:rPr>
              <w:t>The PBAC noted that the resubmission indicated the sponsor’s preference for a single set of caps for blinatumomab to encompass use in both the MRD and relapsed/refractory setting. The PBAC considered that if a single RSA subsidy cap was to be enacted, the cost of both blinatumomab and inotuzumab and a 40% decrease in use in the relapsed/refractory setting would need to be accounted for when calculating a total cap for both medicines across both settings. On this basis, the PBAC considered that an alternative arrangement which would have the same effect of maintaining overall caps for blinatumomab across both populations would also be appropriate (para 5.9, July 19 PSD).</w:t>
            </w:r>
          </w:p>
          <w:p w14:paraId="021DBE20" w14:textId="77777777" w:rsidR="00562AA2" w:rsidRPr="00562AA2" w:rsidRDefault="00562AA2" w:rsidP="00562AA2">
            <w:pPr>
              <w:rPr>
                <w:rFonts w:ascii="Arial Narrow" w:hAnsi="Arial Narrow"/>
                <w:sz w:val="20"/>
                <w:szCs w:val="20"/>
              </w:rPr>
            </w:pPr>
          </w:p>
          <w:p w14:paraId="6BF6F052" w14:textId="77777777" w:rsidR="00562AA2" w:rsidRPr="00562AA2" w:rsidRDefault="00562AA2" w:rsidP="00562AA2">
            <w:pPr>
              <w:rPr>
                <w:rFonts w:ascii="Arial Narrow" w:hAnsi="Arial Narrow"/>
                <w:sz w:val="20"/>
                <w:szCs w:val="20"/>
              </w:rPr>
            </w:pPr>
          </w:p>
          <w:p w14:paraId="574542B6" w14:textId="77777777" w:rsidR="00562AA2" w:rsidRPr="00562AA2" w:rsidRDefault="00562AA2" w:rsidP="00562AA2">
            <w:pPr>
              <w:rPr>
                <w:rFonts w:ascii="Arial Narrow" w:hAnsi="Arial Narrow"/>
                <w:sz w:val="20"/>
                <w:szCs w:val="20"/>
              </w:rPr>
            </w:pPr>
          </w:p>
          <w:p w14:paraId="56E06AFB" w14:textId="77777777" w:rsidR="00562AA2" w:rsidRPr="00562AA2" w:rsidRDefault="00562AA2" w:rsidP="00562AA2">
            <w:pPr>
              <w:rPr>
                <w:rFonts w:ascii="Arial Narrow" w:hAnsi="Arial Narrow"/>
                <w:sz w:val="20"/>
                <w:szCs w:val="20"/>
              </w:rPr>
            </w:pPr>
          </w:p>
          <w:p w14:paraId="73CFF4DE" w14:textId="77777777" w:rsidR="00562AA2" w:rsidRPr="00562AA2" w:rsidRDefault="00562AA2" w:rsidP="00562AA2">
            <w:pPr>
              <w:rPr>
                <w:rFonts w:ascii="Arial Narrow" w:hAnsi="Arial Narrow"/>
                <w:sz w:val="20"/>
                <w:szCs w:val="20"/>
              </w:rPr>
            </w:pPr>
          </w:p>
          <w:p w14:paraId="52884522" w14:textId="77777777" w:rsidR="00562AA2" w:rsidRPr="00562AA2" w:rsidRDefault="00562AA2" w:rsidP="00562AA2">
            <w:pPr>
              <w:rPr>
                <w:rFonts w:ascii="Arial Narrow" w:hAnsi="Arial Narrow"/>
                <w:sz w:val="20"/>
                <w:szCs w:val="20"/>
              </w:rPr>
            </w:pPr>
          </w:p>
        </w:tc>
        <w:tc>
          <w:tcPr>
            <w:tcW w:w="1426" w:type="dxa"/>
            <w:vAlign w:val="center"/>
          </w:tcPr>
          <w:p w14:paraId="50D104EA"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 xml:space="preserve">Variation with increase in caps </w:t>
            </w:r>
          </w:p>
        </w:tc>
      </w:tr>
      <w:tr w:rsidR="000C40C5" w:rsidRPr="000C40C5" w14:paraId="5E2963FF" w14:textId="77777777" w:rsidTr="006D2D70">
        <w:trPr>
          <w:cantSplit/>
        </w:trPr>
        <w:tc>
          <w:tcPr>
            <w:tcW w:w="1483" w:type="dxa"/>
            <w:vAlign w:val="center"/>
          </w:tcPr>
          <w:p w14:paraId="582DBED5"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Blinatumomab</w:t>
            </w:r>
          </w:p>
        </w:tc>
        <w:tc>
          <w:tcPr>
            <w:tcW w:w="3048" w:type="dxa"/>
            <w:vAlign w:val="center"/>
          </w:tcPr>
          <w:p w14:paraId="6DFEC838"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Expanded newly diagnosed listing to include MRD-negative following induction chemotherapy</w:t>
            </w:r>
          </w:p>
        </w:tc>
        <w:tc>
          <w:tcPr>
            <w:tcW w:w="1134" w:type="dxa"/>
            <w:vAlign w:val="center"/>
          </w:tcPr>
          <w:p w14:paraId="6253FA30" w14:textId="77777777" w:rsidR="00077686" w:rsidRPr="000C40C5" w:rsidRDefault="00077686" w:rsidP="00B7506B">
            <w:pPr>
              <w:rPr>
                <w:rFonts w:ascii="Arial Narrow" w:hAnsi="Arial Narrow"/>
                <w:sz w:val="20"/>
                <w:szCs w:val="20"/>
              </w:rPr>
            </w:pPr>
            <w:r w:rsidRPr="000C40C5">
              <w:rPr>
                <w:rFonts w:ascii="Arial Narrow" w:hAnsi="Arial Narrow"/>
                <w:sz w:val="20"/>
                <w:szCs w:val="20"/>
              </w:rPr>
              <w:t>November 2024</w:t>
            </w:r>
          </w:p>
        </w:tc>
        <w:tc>
          <w:tcPr>
            <w:tcW w:w="1560" w:type="dxa"/>
            <w:vAlign w:val="center"/>
          </w:tcPr>
          <w:p w14:paraId="4AB1E85E" w14:textId="77777777" w:rsidR="00077686" w:rsidRPr="000C40C5" w:rsidRDefault="00077686" w:rsidP="00B7506B">
            <w:pPr>
              <w:jc w:val="left"/>
              <w:rPr>
                <w:rFonts w:ascii="Arial Narrow" w:hAnsi="Arial Narrow"/>
                <w:sz w:val="20"/>
                <w:szCs w:val="20"/>
              </w:rPr>
            </w:pPr>
            <w:r w:rsidRPr="000C40C5">
              <w:rPr>
                <w:rFonts w:ascii="Arial Narrow" w:hAnsi="Arial Narrow"/>
                <w:sz w:val="20"/>
                <w:szCs w:val="20"/>
              </w:rPr>
              <w:t>1 March 2025</w:t>
            </w:r>
          </w:p>
        </w:tc>
        <w:tc>
          <w:tcPr>
            <w:tcW w:w="6737" w:type="dxa"/>
            <w:vAlign w:val="center"/>
          </w:tcPr>
          <w:p w14:paraId="262C2B54" w14:textId="77777777" w:rsidR="00077686" w:rsidRPr="000C40C5" w:rsidRDefault="00077686" w:rsidP="00B7506B">
            <w:pPr>
              <w:rPr>
                <w:rFonts w:ascii="Arial Narrow" w:hAnsi="Arial Narrow"/>
                <w:sz w:val="20"/>
                <w:szCs w:val="20"/>
              </w:rPr>
            </w:pPr>
            <w:r w:rsidRPr="000C40C5">
              <w:rPr>
                <w:rFonts w:ascii="Arial Narrow" w:hAnsi="Arial Narrow"/>
                <w:sz w:val="20"/>
                <w:szCs w:val="20"/>
              </w:rPr>
              <w:t xml:space="preserve">The PBAC advised that an RSA would be appropriate to address the uncertainty regarding the magnitude of benefit in the proposed PBS population, which is broader than the E1910 trial (e.g. in age and Ph chromosome status), and around the cost offsets associated with the reduced use of blinatumomab and inotuzumab ozogamicin in the relapsed/refractory setting. The PBAC advised that blinatumomab for MRD-negative B-ALL should join the existing RSA for blinatumomab and inotuzumab ozogamicin. The PBAC advised that the expenditure caps should be adjusted to incorporate (i) the cost offsets associated with reduced use of blinatumomab and inotuzumab ozogamicin in the relapsed/refractory setting, and (ii) the increased use of blinatumomab in the MRD-negative setting. Noting that the revised RSA would account for all populations (i.e. MRD-positive and MRD-negative and relapsed/refractory disease), the PBAC considered that a rebate for use above the expenditure caps would be reasonable (para 12.4, Nov 24 PSD). </w:t>
            </w:r>
          </w:p>
        </w:tc>
        <w:tc>
          <w:tcPr>
            <w:tcW w:w="1426" w:type="dxa"/>
            <w:vAlign w:val="center"/>
          </w:tcPr>
          <w:p w14:paraId="0786EC71" w14:textId="35846CB5" w:rsidR="00077686" w:rsidRPr="000C40C5" w:rsidRDefault="001449B0" w:rsidP="00B7506B">
            <w:pPr>
              <w:jc w:val="left"/>
              <w:rPr>
                <w:rFonts w:ascii="Arial Narrow" w:hAnsi="Arial Narrow"/>
                <w:sz w:val="20"/>
                <w:szCs w:val="20"/>
              </w:rPr>
            </w:pPr>
            <w:r w:rsidRPr="00EA4B35">
              <w:rPr>
                <w:rFonts w:ascii="Arial Narrow" w:hAnsi="Arial Narrow"/>
                <w:sz w:val="20"/>
                <w:szCs w:val="20"/>
              </w:rPr>
              <w:t>New RSA with increase in caps (increase offer not accepted by Pfizer)</w:t>
            </w:r>
          </w:p>
        </w:tc>
      </w:tr>
      <w:tr w:rsidR="009C39FB" w:rsidRPr="000C40C5" w14:paraId="1B3A2274" w14:textId="77777777" w:rsidTr="006D2D70">
        <w:trPr>
          <w:cantSplit/>
        </w:trPr>
        <w:tc>
          <w:tcPr>
            <w:tcW w:w="1483" w:type="dxa"/>
            <w:vAlign w:val="center"/>
          </w:tcPr>
          <w:p w14:paraId="16CF82D5" w14:textId="013114D5" w:rsidR="009C39FB" w:rsidRPr="000C40C5" w:rsidRDefault="009C39FB" w:rsidP="00B7506B">
            <w:pPr>
              <w:jc w:val="left"/>
              <w:rPr>
                <w:rFonts w:ascii="Arial Narrow" w:hAnsi="Arial Narrow"/>
                <w:sz w:val="20"/>
                <w:szCs w:val="20"/>
              </w:rPr>
            </w:pPr>
            <w:r>
              <w:rPr>
                <w:rFonts w:ascii="Arial Narrow" w:hAnsi="Arial Narrow"/>
                <w:sz w:val="20"/>
                <w:szCs w:val="20"/>
              </w:rPr>
              <w:lastRenderedPageBreak/>
              <w:t>Blinatumomab</w:t>
            </w:r>
          </w:p>
        </w:tc>
        <w:tc>
          <w:tcPr>
            <w:tcW w:w="3048" w:type="dxa"/>
            <w:vAlign w:val="center"/>
          </w:tcPr>
          <w:p w14:paraId="274D9A8D" w14:textId="53D58F46" w:rsidR="002719A6" w:rsidRDefault="00134FC7" w:rsidP="00B7506B">
            <w:pPr>
              <w:jc w:val="left"/>
              <w:rPr>
                <w:rFonts w:ascii="Arial Narrow" w:hAnsi="Arial Narrow"/>
                <w:sz w:val="20"/>
                <w:szCs w:val="20"/>
              </w:rPr>
            </w:pPr>
            <w:r>
              <w:rPr>
                <w:rFonts w:ascii="Arial Narrow" w:hAnsi="Arial Narrow"/>
                <w:sz w:val="20"/>
                <w:szCs w:val="20"/>
              </w:rPr>
              <w:t>Recommended a</w:t>
            </w:r>
            <w:r w:rsidR="00B11D14">
              <w:rPr>
                <w:rFonts w:ascii="Arial Narrow" w:hAnsi="Arial Narrow"/>
                <w:sz w:val="20"/>
                <w:szCs w:val="20"/>
              </w:rPr>
              <w:t>mend</w:t>
            </w:r>
            <w:r>
              <w:rPr>
                <w:rFonts w:ascii="Arial Narrow" w:hAnsi="Arial Narrow"/>
                <w:sz w:val="20"/>
                <w:szCs w:val="20"/>
              </w:rPr>
              <w:t>ments</w:t>
            </w:r>
            <w:r w:rsidR="00B11D14">
              <w:rPr>
                <w:rFonts w:ascii="Arial Narrow" w:hAnsi="Arial Narrow"/>
                <w:sz w:val="20"/>
                <w:szCs w:val="20"/>
              </w:rPr>
              <w:t xml:space="preserve"> to the newly-diagnosed listing</w:t>
            </w:r>
            <w:r w:rsidR="00707961">
              <w:rPr>
                <w:rFonts w:ascii="Arial Narrow" w:hAnsi="Arial Narrow"/>
                <w:sz w:val="20"/>
                <w:szCs w:val="20"/>
              </w:rPr>
              <w:t>:</w:t>
            </w:r>
            <w:r w:rsidR="00B11D14">
              <w:rPr>
                <w:rFonts w:ascii="Arial Narrow" w:hAnsi="Arial Narrow"/>
                <w:sz w:val="20"/>
                <w:szCs w:val="20"/>
              </w:rPr>
              <w:t xml:space="preserve"> </w:t>
            </w:r>
          </w:p>
          <w:p w14:paraId="0343EE64" w14:textId="123421C8" w:rsidR="009C39FB" w:rsidRPr="006D2D70" w:rsidRDefault="00134FC7" w:rsidP="006D2D70">
            <w:pPr>
              <w:pStyle w:val="ListParagraph"/>
              <w:numPr>
                <w:ilvl w:val="0"/>
                <w:numId w:val="49"/>
              </w:numPr>
              <w:ind w:left="284" w:hanging="284"/>
              <w:jc w:val="left"/>
              <w:rPr>
                <w:rFonts w:ascii="Arial Narrow" w:hAnsi="Arial Narrow"/>
                <w:sz w:val="20"/>
                <w:szCs w:val="20"/>
              </w:rPr>
            </w:pPr>
            <w:r>
              <w:rPr>
                <w:rFonts w:ascii="Arial Narrow" w:hAnsi="Arial Narrow"/>
                <w:sz w:val="20"/>
                <w:szCs w:val="20"/>
              </w:rPr>
              <w:t>t</w:t>
            </w:r>
            <w:r w:rsidR="00707961" w:rsidRPr="006D2D70">
              <w:rPr>
                <w:rFonts w:ascii="Arial Narrow" w:hAnsi="Arial Narrow"/>
                <w:sz w:val="20"/>
                <w:szCs w:val="20"/>
              </w:rPr>
              <w:t xml:space="preserve">o include consolidation </w:t>
            </w:r>
            <w:r w:rsidR="002719A6" w:rsidRPr="006D2D70">
              <w:rPr>
                <w:rFonts w:ascii="Arial Narrow" w:hAnsi="Arial Narrow"/>
                <w:sz w:val="20"/>
                <w:szCs w:val="20"/>
              </w:rPr>
              <w:t xml:space="preserve">treatment for Ph+ patients who have achieved complete haematological response to induction </w:t>
            </w:r>
            <w:r w:rsidR="00490815" w:rsidRPr="006D2D70">
              <w:rPr>
                <w:rFonts w:ascii="Arial Narrow" w:hAnsi="Arial Narrow"/>
                <w:sz w:val="20"/>
                <w:szCs w:val="20"/>
              </w:rPr>
              <w:t>treatment with a TKI and corticosteroids, without requiring prior combination with chemotherapy</w:t>
            </w:r>
            <w:r>
              <w:rPr>
                <w:rFonts w:ascii="Arial Narrow" w:hAnsi="Arial Narrow"/>
                <w:sz w:val="20"/>
                <w:szCs w:val="20"/>
              </w:rPr>
              <w:t xml:space="preserve">; and </w:t>
            </w:r>
          </w:p>
          <w:p w14:paraId="31DAE1B3" w14:textId="0DCAA960" w:rsidR="00490815" w:rsidRPr="000C40C5" w:rsidRDefault="00490815" w:rsidP="006D2D70">
            <w:pPr>
              <w:pStyle w:val="ListParagraph"/>
              <w:numPr>
                <w:ilvl w:val="0"/>
                <w:numId w:val="49"/>
              </w:numPr>
              <w:ind w:left="284" w:hanging="284"/>
              <w:jc w:val="left"/>
              <w:rPr>
                <w:rFonts w:ascii="Arial Narrow" w:hAnsi="Arial Narrow"/>
                <w:sz w:val="20"/>
                <w:szCs w:val="20"/>
              </w:rPr>
            </w:pPr>
            <w:r>
              <w:rPr>
                <w:rFonts w:ascii="Arial Narrow" w:hAnsi="Arial Narrow"/>
                <w:sz w:val="20"/>
                <w:szCs w:val="20"/>
              </w:rPr>
              <w:t xml:space="preserve">to remove the requirement for all patients to be MRD negative </w:t>
            </w:r>
            <w:proofErr w:type="gramStart"/>
            <w:r>
              <w:rPr>
                <w:rFonts w:ascii="Arial Narrow" w:hAnsi="Arial Narrow"/>
                <w:sz w:val="20"/>
                <w:szCs w:val="20"/>
              </w:rPr>
              <w:t>in order to</w:t>
            </w:r>
            <w:proofErr w:type="gramEnd"/>
            <w:r>
              <w:rPr>
                <w:rFonts w:ascii="Arial Narrow" w:hAnsi="Arial Narrow"/>
                <w:sz w:val="20"/>
                <w:szCs w:val="20"/>
              </w:rPr>
              <w:t xml:space="preserve"> be eligible for continuing treatment. </w:t>
            </w:r>
          </w:p>
        </w:tc>
        <w:tc>
          <w:tcPr>
            <w:tcW w:w="1134" w:type="dxa"/>
            <w:vAlign w:val="center"/>
          </w:tcPr>
          <w:p w14:paraId="35114BF9" w14:textId="031B5867" w:rsidR="009C39FB" w:rsidRPr="000C40C5" w:rsidRDefault="00B11D14" w:rsidP="00B7506B">
            <w:pPr>
              <w:rPr>
                <w:rFonts w:ascii="Arial Narrow" w:hAnsi="Arial Narrow"/>
                <w:sz w:val="20"/>
                <w:szCs w:val="20"/>
              </w:rPr>
            </w:pPr>
            <w:r>
              <w:rPr>
                <w:rFonts w:ascii="Arial Narrow" w:hAnsi="Arial Narrow"/>
                <w:sz w:val="20"/>
                <w:szCs w:val="20"/>
              </w:rPr>
              <w:t>December 2025</w:t>
            </w:r>
          </w:p>
        </w:tc>
        <w:tc>
          <w:tcPr>
            <w:tcW w:w="1560" w:type="dxa"/>
            <w:vAlign w:val="center"/>
          </w:tcPr>
          <w:p w14:paraId="739C4EEB" w14:textId="2D173FC8" w:rsidR="009C39FB" w:rsidRPr="000C40C5" w:rsidRDefault="00B11D14" w:rsidP="00B7506B">
            <w:pPr>
              <w:jc w:val="left"/>
              <w:rPr>
                <w:rFonts w:ascii="Arial Narrow" w:hAnsi="Arial Narrow"/>
                <w:sz w:val="20"/>
                <w:szCs w:val="20"/>
              </w:rPr>
            </w:pPr>
            <w:r>
              <w:rPr>
                <w:rFonts w:ascii="Arial Narrow" w:hAnsi="Arial Narrow"/>
                <w:sz w:val="20"/>
                <w:szCs w:val="20"/>
              </w:rPr>
              <w:t>TBA</w:t>
            </w:r>
          </w:p>
        </w:tc>
        <w:tc>
          <w:tcPr>
            <w:tcW w:w="6737" w:type="dxa"/>
            <w:vAlign w:val="center"/>
          </w:tcPr>
          <w:p w14:paraId="4E8C87CE" w14:textId="52A9CAF5" w:rsidR="009C39FB" w:rsidRPr="000C40C5" w:rsidRDefault="00365D2A" w:rsidP="00B7506B">
            <w:pPr>
              <w:rPr>
                <w:rFonts w:ascii="Arial Narrow" w:hAnsi="Arial Narrow"/>
                <w:sz w:val="20"/>
                <w:szCs w:val="20"/>
              </w:rPr>
            </w:pPr>
            <w:r w:rsidRPr="00365D2A">
              <w:rPr>
                <w:rFonts w:ascii="Arial Narrow" w:hAnsi="Arial Narrow"/>
                <w:sz w:val="20"/>
                <w:szCs w:val="20"/>
              </w:rPr>
              <w:t>The PBAC considered that the proposed changes were clinically appropriate and that the expanded listing would remain cost-effective given the expected clinical outcomes for patients. The PBAC advised that the expansion to include Ph+ patients previously treated with a TKI (who are intolerant to chemotherapy) was likely captured in previous financial estimates for blinatumomab, but that the removal of the MRD-based continuation criteria</w:t>
            </w:r>
            <w:r w:rsidR="00AA0F77">
              <w:rPr>
                <w:rFonts w:ascii="Arial Narrow" w:hAnsi="Arial Narrow"/>
                <w:sz w:val="20"/>
                <w:szCs w:val="20"/>
              </w:rPr>
              <w:t xml:space="preserve"> </w:t>
            </w:r>
            <w:r w:rsidR="00AA0F77" w:rsidRPr="00AA0F77">
              <w:rPr>
                <w:rFonts w:ascii="Arial Narrow" w:hAnsi="Arial Narrow"/>
                <w:sz w:val="20"/>
                <w:szCs w:val="20"/>
              </w:rPr>
              <w:t>would be expected to result in a financial impact, which should be incorporated into the expenditure caps under the existing RSA, accounting for offsets in the relapsed or refractory setting</w:t>
            </w:r>
            <w:r w:rsidR="00AA0F77">
              <w:rPr>
                <w:rFonts w:ascii="Arial Narrow" w:hAnsi="Arial Narrow"/>
                <w:sz w:val="20"/>
                <w:szCs w:val="20"/>
              </w:rPr>
              <w:t xml:space="preserve"> (</w:t>
            </w:r>
            <w:r w:rsidR="00EC73EE">
              <w:rPr>
                <w:rFonts w:ascii="Arial Narrow" w:hAnsi="Arial Narrow"/>
                <w:sz w:val="20"/>
                <w:szCs w:val="20"/>
              </w:rPr>
              <w:t>blinatumomab</w:t>
            </w:r>
            <w:r w:rsidR="006728CE">
              <w:rPr>
                <w:rFonts w:ascii="Arial Narrow" w:hAnsi="Arial Narrow"/>
                <w:sz w:val="20"/>
                <w:szCs w:val="20"/>
              </w:rPr>
              <w:t xml:space="preserve">, </w:t>
            </w:r>
            <w:r w:rsidR="00EC73EE">
              <w:rPr>
                <w:rFonts w:ascii="Arial Narrow" w:hAnsi="Arial Narrow"/>
                <w:sz w:val="20"/>
                <w:szCs w:val="20"/>
              </w:rPr>
              <w:t>W</w:t>
            </w:r>
            <w:r w:rsidR="006728CE">
              <w:rPr>
                <w:rFonts w:ascii="Arial Narrow" w:hAnsi="Arial Narrow"/>
                <w:sz w:val="20"/>
                <w:szCs w:val="20"/>
              </w:rPr>
              <w:t xml:space="preserve">eb </w:t>
            </w:r>
            <w:r w:rsidR="00EC73EE">
              <w:rPr>
                <w:rFonts w:ascii="Arial Narrow" w:hAnsi="Arial Narrow"/>
                <w:sz w:val="20"/>
                <w:szCs w:val="20"/>
              </w:rPr>
              <w:t>O</w:t>
            </w:r>
            <w:r w:rsidR="006728CE">
              <w:rPr>
                <w:rFonts w:ascii="Arial Narrow" w:hAnsi="Arial Narrow"/>
                <w:sz w:val="20"/>
                <w:szCs w:val="20"/>
              </w:rPr>
              <w:t xml:space="preserve">utcomes, December 2025 PBAC meeting). </w:t>
            </w:r>
          </w:p>
        </w:tc>
        <w:tc>
          <w:tcPr>
            <w:tcW w:w="1426" w:type="dxa"/>
            <w:vAlign w:val="center"/>
          </w:tcPr>
          <w:p w14:paraId="0042BC30" w14:textId="729B0A77" w:rsidR="009C39FB" w:rsidRPr="00EA4B35" w:rsidRDefault="006728CE" w:rsidP="00B7506B">
            <w:pPr>
              <w:jc w:val="left"/>
              <w:rPr>
                <w:rFonts w:ascii="Arial Narrow" w:hAnsi="Arial Narrow"/>
                <w:sz w:val="20"/>
                <w:szCs w:val="20"/>
              </w:rPr>
            </w:pPr>
            <w:r>
              <w:rPr>
                <w:rFonts w:ascii="Arial Narrow" w:hAnsi="Arial Narrow"/>
                <w:sz w:val="20"/>
                <w:szCs w:val="20"/>
              </w:rPr>
              <w:t>-</w:t>
            </w:r>
          </w:p>
        </w:tc>
      </w:tr>
    </w:tbl>
    <w:p w14:paraId="62F3BFEC" w14:textId="77777777" w:rsidR="00F30861" w:rsidRPr="00F30861" w:rsidRDefault="00F30861" w:rsidP="00F30861">
      <w:pPr>
        <w:sectPr w:rsidR="00F30861" w:rsidRPr="00F30861" w:rsidSect="008A3893">
          <w:pgSz w:w="16838" w:h="11906" w:orient="landscape" w:code="9"/>
          <w:pgMar w:top="720" w:right="720" w:bottom="720" w:left="720" w:header="454" w:footer="454" w:gutter="0"/>
          <w:pgNumType w:start="3"/>
          <w:cols w:space="708"/>
          <w:docGrid w:linePitch="360"/>
        </w:sectPr>
      </w:pPr>
    </w:p>
    <w:p w14:paraId="402CAB86" w14:textId="3E676F9A" w:rsidR="008A7F99" w:rsidRPr="00042231" w:rsidRDefault="008A7F99" w:rsidP="008A7F99">
      <w:pPr>
        <w:pStyle w:val="4-SubsectionHeading"/>
        <w:rPr>
          <w:bCs/>
          <w:iCs/>
        </w:rPr>
      </w:pPr>
      <w:r w:rsidRPr="00042231">
        <w:rPr>
          <w:bCs/>
          <w:iCs/>
        </w:rPr>
        <w:lastRenderedPageBreak/>
        <w:t xml:space="preserve">Previous Departmental </w:t>
      </w:r>
      <w:r w:rsidR="00D23BCE" w:rsidRPr="00042231">
        <w:rPr>
          <w:bCs/>
          <w:iCs/>
        </w:rPr>
        <w:t xml:space="preserve">interactions regarding the RSA </w:t>
      </w:r>
    </w:p>
    <w:p w14:paraId="673AA251" w14:textId="4E7C16C3" w:rsidR="00595CD2" w:rsidRDefault="00595CD2" w:rsidP="009565D9">
      <w:pPr>
        <w:pStyle w:val="3-BodyText"/>
      </w:pPr>
      <w:r w:rsidRPr="00595CD2">
        <w:t xml:space="preserve">In October 2024, </w:t>
      </w:r>
      <w:r w:rsidR="00CE53CA">
        <w:t>the sponsor</w:t>
      </w:r>
      <w:r w:rsidRPr="00595CD2">
        <w:t xml:space="preserve"> requested termination of the RSA for inotuzumab.</w:t>
      </w:r>
      <w:r w:rsidR="00A74561">
        <w:t xml:space="preserve"> The nominal term of the Deed had </w:t>
      </w:r>
      <w:r w:rsidR="005D20B4">
        <w:t xml:space="preserve">ended </w:t>
      </w:r>
      <w:r w:rsidR="00F011D6">
        <w:t xml:space="preserve">in April 2022 </w:t>
      </w:r>
      <w:r w:rsidR="002C1205">
        <w:t>however</w:t>
      </w:r>
      <w:r w:rsidR="005D20B4">
        <w:t xml:space="preserve"> the RSA cap from the last year of the Deed </w:t>
      </w:r>
      <w:r w:rsidR="002C1205">
        <w:t>continued to apply to subsequent years</w:t>
      </w:r>
      <w:r w:rsidR="00393068">
        <w:t xml:space="preserve"> (and had not been exceeded to the end of April 2024</w:t>
      </w:r>
      <w:r w:rsidR="00D94D87">
        <w:t>, Year 5</w:t>
      </w:r>
      <w:r w:rsidR="00393068">
        <w:t>)</w:t>
      </w:r>
      <w:r w:rsidR="005D20B4">
        <w:t>.</w:t>
      </w:r>
      <w:r w:rsidR="009E24E5">
        <w:t xml:space="preserve"> </w:t>
      </w:r>
    </w:p>
    <w:p w14:paraId="0CBD0821" w14:textId="4845BB50" w:rsidR="008A7F99" w:rsidRPr="00AB5E78" w:rsidRDefault="00AB5E78" w:rsidP="000777E1">
      <w:pPr>
        <w:pStyle w:val="3-BodyText"/>
        <w:rPr>
          <w:iCs/>
        </w:rPr>
      </w:pPr>
      <w:r>
        <w:rPr>
          <w:iCs/>
        </w:rPr>
        <w:t xml:space="preserve">In January 2025, the Department advised that the Commonwealth </w:t>
      </w:r>
      <w:proofErr w:type="gramStart"/>
      <w:r w:rsidR="0084063B">
        <w:rPr>
          <w:iCs/>
        </w:rPr>
        <w:t xml:space="preserve">was </w:t>
      </w:r>
      <w:r>
        <w:rPr>
          <w:iCs/>
        </w:rPr>
        <w:t xml:space="preserve">not </w:t>
      </w:r>
      <w:r w:rsidR="0084063B">
        <w:rPr>
          <w:iCs/>
        </w:rPr>
        <w:t>in a position to</w:t>
      </w:r>
      <w:proofErr w:type="gramEnd"/>
      <w:r w:rsidR="0084063B">
        <w:rPr>
          <w:iCs/>
        </w:rPr>
        <w:t xml:space="preserve"> </w:t>
      </w:r>
      <w:r>
        <w:rPr>
          <w:iCs/>
        </w:rPr>
        <w:t>agree terminating the RSA as the PBAC had, in November 2024, recommended that the extended listing of blinatumomab be included in the existing RSA.</w:t>
      </w:r>
      <w:r w:rsidR="000777E1">
        <w:rPr>
          <w:iCs/>
        </w:rPr>
        <w:t xml:space="preserve"> Shortly after,</w:t>
      </w:r>
      <w:r w:rsidR="008A7F99" w:rsidRPr="00AB5E78">
        <w:rPr>
          <w:iCs/>
        </w:rPr>
        <w:t xml:space="preserve"> the </w:t>
      </w:r>
      <w:r w:rsidR="00EB40C2" w:rsidRPr="00AB5E78">
        <w:rPr>
          <w:iCs/>
        </w:rPr>
        <w:t>Department</w:t>
      </w:r>
      <w:r w:rsidR="008A7F99" w:rsidRPr="00AB5E78">
        <w:rPr>
          <w:iCs/>
        </w:rPr>
        <w:t xml:space="preserve"> </w:t>
      </w:r>
      <w:r w:rsidR="008054D8" w:rsidRPr="00AB5E78">
        <w:rPr>
          <w:iCs/>
        </w:rPr>
        <w:t xml:space="preserve">offered </w:t>
      </w:r>
      <w:r w:rsidR="00FC7CF1" w:rsidRPr="00AB5E78">
        <w:rPr>
          <w:iCs/>
        </w:rPr>
        <w:t xml:space="preserve">the sponsor </w:t>
      </w:r>
      <w:r w:rsidR="008054D8" w:rsidRPr="00AB5E78">
        <w:rPr>
          <w:iCs/>
        </w:rPr>
        <w:t xml:space="preserve">a Deed Variation </w:t>
      </w:r>
      <w:r w:rsidR="00C0131B">
        <w:rPr>
          <w:iCs/>
        </w:rPr>
        <w:t>to</w:t>
      </w:r>
      <w:r w:rsidR="001020AD" w:rsidRPr="00AB5E78">
        <w:rPr>
          <w:iCs/>
        </w:rPr>
        <w:t xml:space="preserve"> </w:t>
      </w:r>
      <w:r w:rsidR="00FA5DBB" w:rsidRPr="00AB5E78">
        <w:rPr>
          <w:iCs/>
        </w:rPr>
        <w:t>increase</w:t>
      </w:r>
      <w:r w:rsidR="008054D8" w:rsidRPr="00AB5E78">
        <w:rPr>
          <w:iCs/>
        </w:rPr>
        <w:t xml:space="preserve"> </w:t>
      </w:r>
      <w:r w:rsidR="00C0131B">
        <w:rPr>
          <w:iCs/>
        </w:rPr>
        <w:t xml:space="preserve">the </w:t>
      </w:r>
      <w:r w:rsidR="00CB2A6D" w:rsidRPr="00AB5E78">
        <w:rPr>
          <w:iCs/>
        </w:rPr>
        <w:t>Y</w:t>
      </w:r>
      <w:r w:rsidR="008054D8" w:rsidRPr="00AB5E78">
        <w:rPr>
          <w:iCs/>
        </w:rPr>
        <w:t>ear 6 subsidisation cap.</w:t>
      </w:r>
      <w:r w:rsidR="004A361D">
        <w:rPr>
          <w:iCs/>
        </w:rPr>
        <w:t xml:space="preserve"> The sponsor declined to agree the increase. </w:t>
      </w:r>
    </w:p>
    <w:p w14:paraId="37E40843" w14:textId="6FC90C22" w:rsidR="00515DBA" w:rsidRDefault="00515DBA" w:rsidP="008A7F99">
      <w:pPr>
        <w:pStyle w:val="3-BodyText"/>
        <w:rPr>
          <w:iCs/>
        </w:rPr>
      </w:pPr>
      <w:r>
        <w:rPr>
          <w:iCs/>
        </w:rPr>
        <w:t xml:space="preserve">In March 2025, </w:t>
      </w:r>
      <w:r w:rsidR="00AD4F23">
        <w:rPr>
          <w:iCs/>
        </w:rPr>
        <w:t xml:space="preserve">the </w:t>
      </w:r>
      <w:r w:rsidR="003119C2">
        <w:rPr>
          <w:iCs/>
        </w:rPr>
        <w:t xml:space="preserve">Department </w:t>
      </w:r>
      <w:r w:rsidR="00774BC6">
        <w:rPr>
          <w:iCs/>
        </w:rPr>
        <w:t xml:space="preserve">provided </w:t>
      </w:r>
      <w:r w:rsidR="003C721E">
        <w:rPr>
          <w:iCs/>
        </w:rPr>
        <w:t xml:space="preserve">a </w:t>
      </w:r>
      <w:r w:rsidR="00667D90">
        <w:rPr>
          <w:iCs/>
        </w:rPr>
        <w:t xml:space="preserve">Replacement Deed </w:t>
      </w:r>
      <w:r w:rsidR="00774BC6">
        <w:rPr>
          <w:iCs/>
        </w:rPr>
        <w:t xml:space="preserve">to </w:t>
      </w:r>
      <w:r w:rsidR="0032783C">
        <w:rPr>
          <w:iCs/>
        </w:rPr>
        <w:t>Pfizer</w:t>
      </w:r>
      <w:r w:rsidR="00667D90">
        <w:rPr>
          <w:iCs/>
        </w:rPr>
        <w:t xml:space="preserve"> that includ</w:t>
      </w:r>
      <w:r w:rsidR="001275B6">
        <w:rPr>
          <w:iCs/>
        </w:rPr>
        <w:t>ed</w:t>
      </w:r>
      <w:r w:rsidR="00667D90">
        <w:rPr>
          <w:iCs/>
        </w:rPr>
        <w:t xml:space="preserve"> </w:t>
      </w:r>
      <w:r w:rsidR="00774BC6">
        <w:rPr>
          <w:iCs/>
        </w:rPr>
        <w:t>the new</w:t>
      </w:r>
      <w:r w:rsidR="001275B6">
        <w:rPr>
          <w:iCs/>
        </w:rPr>
        <w:t xml:space="preserve"> increased</w:t>
      </w:r>
      <w:r w:rsidR="00774BC6">
        <w:rPr>
          <w:iCs/>
        </w:rPr>
        <w:t xml:space="preserve"> subsidisation caps </w:t>
      </w:r>
      <w:r w:rsidR="00DB5731">
        <w:rPr>
          <w:iCs/>
        </w:rPr>
        <w:t xml:space="preserve">and </w:t>
      </w:r>
      <w:r w:rsidR="0072415A">
        <w:rPr>
          <w:iCs/>
        </w:rPr>
        <w:t xml:space="preserve">reimbursement level </w:t>
      </w:r>
      <w:r w:rsidR="00774BC6">
        <w:rPr>
          <w:iCs/>
        </w:rPr>
        <w:t>that were a</w:t>
      </w:r>
      <w:r w:rsidR="00412C6B">
        <w:rPr>
          <w:iCs/>
        </w:rPr>
        <w:t xml:space="preserve">greed with the </w:t>
      </w:r>
      <w:r w:rsidR="00AD4F23" w:rsidRPr="00AD4F23">
        <w:rPr>
          <w:iCs/>
        </w:rPr>
        <w:t xml:space="preserve">sponsor of blinatumomab to reflect </w:t>
      </w:r>
      <w:r w:rsidR="001275B6">
        <w:rPr>
          <w:iCs/>
        </w:rPr>
        <w:t>its</w:t>
      </w:r>
      <w:r w:rsidR="001275B6" w:rsidRPr="00AD4F23">
        <w:rPr>
          <w:iCs/>
        </w:rPr>
        <w:t xml:space="preserve"> </w:t>
      </w:r>
      <w:r w:rsidR="00AD4F23" w:rsidRPr="00AD4F23">
        <w:rPr>
          <w:iCs/>
        </w:rPr>
        <w:t>expanded listing</w:t>
      </w:r>
      <w:r w:rsidR="00945B28">
        <w:rPr>
          <w:iCs/>
        </w:rPr>
        <w:t>.</w:t>
      </w:r>
      <w:r w:rsidR="00693789">
        <w:rPr>
          <w:iCs/>
        </w:rPr>
        <w:t xml:space="preserve"> The sponsor declined to agree the new RSA. </w:t>
      </w:r>
    </w:p>
    <w:p w14:paraId="1B8790B6" w14:textId="1C0862A2" w:rsidR="00964A9F" w:rsidRPr="00A6439B" w:rsidRDefault="005A62AF" w:rsidP="00964A9F">
      <w:pPr>
        <w:pStyle w:val="2-SectionHeading"/>
      </w:pPr>
      <w:r>
        <w:t>Current Situation</w:t>
      </w:r>
    </w:p>
    <w:p w14:paraId="626C01C9" w14:textId="150D9A9E" w:rsidR="00680A88" w:rsidRDefault="00680A88" w:rsidP="002473EC">
      <w:pPr>
        <w:pStyle w:val="3-BodyText"/>
      </w:pPr>
      <w:r w:rsidRPr="00680A88">
        <w:t>The submission requested the PBAC review the RSA on the basis that it considered it was no longer necessary or fit for purpose. The submission cited reasons including: stable and low utilisation and expenditure for inotuzumab (which it expected to decline); “no risk” of leakage due to being a Written Authority; the diverging indications between inotuzumab and blinatumomab; and the sponsor’s difficulty in determining its risk exposure in terms of a future breach in the shared caps.</w:t>
      </w:r>
      <w:r w:rsidR="00C04C45">
        <w:t xml:space="preserve"> </w:t>
      </w:r>
      <w:r w:rsidR="00C04C45" w:rsidRPr="00E35045">
        <w:rPr>
          <w:iCs/>
        </w:rPr>
        <w:t>The Secretariat not</w:t>
      </w:r>
      <w:r w:rsidR="00974EEA" w:rsidRPr="00E35045">
        <w:rPr>
          <w:iCs/>
        </w:rPr>
        <w:t xml:space="preserve">ed that inotuzumab </w:t>
      </w:r>
      <w:r w:rsidR="00D62E1B" w:rsidRPr="00E35045">
        <w:rPr>
          <w:iCs/>
        </w:rPr>
        <w:t xml:space="preserve">is available through Telephone/Online Authority in the </w:t>
      </w:r>
      <w:r w:rsidR="00CE172F" w:rsidRPr="00E35045">
        <w:rPr>
          <w:iCs/>
        </w:rPr>
        <w:t xml:space="preserve">consolidation treatment phase. </w:t>
      </w:r>
      <w:r w:rsidR="004149A0" w:rsidRPr="00E35045">
        <w:rPr>
          <w:iCs/>
        </w:rPr>
        <w:t xml:space="preserve">There are also other shared RSAs PBAC has recommended where </w:t>
      </w:r>
      <w:r w:rsidR="00AF6E67" w:rsidRPr="00E35045">
        <w:rPr>
          <w:iCs/>
        </w:rPr>
        <w:t>indications may not be identical</w:t>
      </w:r>
      <w:r w:rsidR="00487874" w:rsidRPr="00E35045">
        <w:rPr>
          <w:iCs/>
        </w:rPr>
        <w:t xml:space="preserve"> </w:t>
      </w:r>
      <w:r w:rsidR="00997584" w:rsidRPr="00E35045">
        <w:rPr>
          <w:iCs/>
        </w:rPr>
        <w:t>across the medicines which may</w:t>
      </w:r>
      <w:r w:rsidR="00487874" w:rsidRPr="00E35045">
        <w:rPr>
          <w:iCs/>
        </w:rPr>
        <w:t xml:space="preserve"> encompass different stages of</w:t>
      </w:r>
      <w:r w:rsidR="00B3733F" w:rsidRPr="00E35045">
        <w:rPr>
          <w:iCs/>
        </w:rPr>
        <w:t xml:space="preserve"> a</w:t>
      </w:r>
      <w:r w:rsidR="00487874" w:rsidRPr="00E35045">
        <w:rPr>
          <w:iCs/>
        </w:rPr>
        <w:t xml:space="preserve"> disease. </w:t>
      </w:r>
    </w:p>
    <w:p w14:paraId="6CB504BB" w14:textId="3D15CE5B" w:rsidR="002473EC" w:rsidRDefault="0056246C" w:rsidP="002473EC">
      <w:pPr>
        <w:pStyle w:val="3-BodyText"/>
      </w:pPr>
      <w:r>
        <w:t xml:space="preserve">The table below </w:t>
      </w:r>
      <w:r w:rsidR="002473EC">
        <w:t xml:space="preserve">outlines the </w:t>
      </w:r>
      <w:r w:rsidR="00636A62">
        <w:t>shared</w:t>
      </w:r>
      <w:r w:rsidR="002473EC">
        <w:t xml:space="preserve"> subsidisation caps for </w:t>
      </w:r>
      <w:r w:rsidR="00943A84">
        <w:t xml:space="preserve">inotuzumab </w:t>
      </w:r>
      <w:r w:rsidR="00E372E8">
        <w:t>and blinatumomab</w:t>
      </w:r>
      <w:r w:rsidR="002473EC">
        <w:t xml:space="preserve">, Commonwealth </w:t>
      </w:r>
      <w:r w:rsidR="00574784">
        <w:t>P</w:t>
      </w:r>
      <w:r w:rsidR="002473EC">
        <w:t xml:space="preserve">ayment over </w:t>
      </w:r>
      <w:r w:rsidR="009C3BD1">
        <w:t xml:space="preserve">the </w:t>
      </w:r>
      <w:r w:rsidR="000D39F1">
        <w:t>6</w:t>
      </w:r>
      <w:r w:rsidR="001F3F99">
        <w:t xml:space="preserve"> </w:t>
      </w:r>
      <w:r w:rsidR="002473EC">
        <w:t>years of the</w:t>
      </w:r>
      <w:r w:rsidR="000C1128">
        <w:t xml:space="preserve"> shared</w:t>
      </w:r>
      <w:r w:rsidR="002473EC">
        <w:t xml:space="preserve"> RSA, and the percentage of the cap reached. A </w:t>
      </w:r>
      <w:r w:rsidR="00154324" w:rsidRPr="00154324">
        <w:rPr>
          <w:sz w:val="2"/>
          <w:highlight w:val="black"/>
        </w:rPr>
        <w:t>redacted content</w:t>
      </w:r>
      <w:r w:rsidR="002473EC">
        <w:t>% rebate applie</w:t>
      </w:r>
      <w:r w:rsidR="00FC7CF1">
        <w:t>s</w:t>
      </w:r>
      <w:r w:rsidR="002473EC">
        <w:t xml:space="preserve"> for use exceeding the caps. </w:t>
      </w:r>
    </w:p>
    <w:p w14:paraId="6E4817FD" w14:textId="6C3592F2" w:rsidR="003703FC" w:rsidRPr="00605F4A" w:rsidRDefault="003703FC" w:rsidP="00A637EE">
      <w:pPr>
        <w:pStyle w:val="3-BodyText"/>
      </w:pPr>
      <w:r>
        <w:t>In its Pre</w:t>
      </w:r>
      <w:r w:rsidRPr="7482B970">
        <w:rPr>
          <w:rFonts w:ascii="Cambria Math" w:hAnsi="Cambria Math" w:cs="Cambria Math"/>
        </w:rPr>
        <w:t>‑</w:t>
      </w:r>
      <w:r>
        <w:t>PBAC response, the sponsor reiterated its view that the continued inclusion of inotuzumab</w:t>
      </w:r>
      <w:r w:rsidR="007256EB">
        <w:t xml:space="preserve"> </w:t>
      </w:r>
      <w:r>
        <w:t>in the shared RSA is no longer appropriate, citing divergence in PBS listings, utilisation trends and the allocation of financial risk relative to blinatumomab.</w:t>
      </w:r>
    </w:p>
    <w:p w14:paraId="0583524D" w14:textId="77777777" w:rsidR="00676C6D" w:rsidRDefault="00676C6D">
      <w:pPr>
        <w:jc w:val="left"/>
        <w:rPr>
          <w:rFonts w:ascii="Arial Narrow" w:hAnsi="Arial Narrow"/>
          <w:b/>
          <w:iCs/>
          <w:color w:val="000000" w:themeColor="text1"/>
          <w:sz w:val="20"/>
          <w:szCs w:val="18"/>
        </w:rPr>
      </w:pPr>
      <w:bookmarkStart w:id="0" w:name="_Ref202123159"/>
      <w:bookmarkStart w:id="1" w:name="_Hlk218773689"/>
      <w:r>
        <w:br w:type="page"/>
      </w:r>
    </w:p>
    <w:p w14:paraId="45190E1E" w14:textId="4CFC48D8" w:rsidR="002473EC" w:rsidRDefault="002473EC" w:rsidP="00676C6D">
      <w:pPr>
        <w:pStyle w:val="Caption"/>
        <w:keepNext/>
        <w:keepLines/>
      </w:pPr>
      <w:r w:rsidRPr="00DC1C20">
        <w:lastRenderedPageBreak/>
        <w:t>Table</w:t>
      </w:r>
      <w:r w:rsidR="000C40C5">
        <w:t xml:space="preserve"> </w:t>
      </w:r>
      <w:fldSimple w:instr=" SEQ Table \* ARABIC ">
        <w:r w:rsidR="000C40C5">
          <w:rPr>
            <w:noProof/>
          </w:rPr>
          <w:t>2</w:t>
        </w:r>
      </w:fldSimple>
      <w:r w:rsidRPr="00DC1C20">
        <w:t xml:space="preserve">: Commonwealth </w:t>
      </w:r>
      <w:r w:rsidR="00574784">
        <w:t>Payment</w:t>
      </w:r>
      <w:r w:rsidRPr="00DC1C20">
        <w:t xml:space="preserve"> vs current Risk Sharing Arrangement caps</w:t>
      </w:r>
      <w:bookmarkEnd w:id="0"/>
    </w:p>
    <w:tbl>
      <w:tblPr>
        <w:tblpPr w:leftFromText="180" w:rightFromText="180" w:vertAnchor="text" w:horzAnchor="margin"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Commonwealth Payment vs current Risk Sharing Arrangement caps"/>
      </w:tblPr>
      <w:tblGrid>
        <w:gridCol w:w="1501"/>
        <w:gridCol w:w="1253"/>
        <w:gridCol w:w="1253"/>
        <w:gridCol w:w="1253"/>
        <w:gridCol w:w="1253"/>
        <w:gridCol w:w="1253"/>
        <w:gridCol w:w="1250"/>
      </w:tblGrid>
      <w:tr w:rsidR="0010407A" w:rsidRPr="00D32758" w14:paraId="6756AFCF" w14:textId="77777777" w:rsidTr="00E02021">
        <w:trPr>
          <w:trHeight w:val="325"/>
        </w:trPr>
        <w:tc>
          <w:tcPr>
            <w:tcW w:w="832" w:type="pct"/>
            <w:noWrap/>
            <w:vAlign w:val="center"/>
            <w:hideMark/>
          </w:tcPr>
          <w:p w14:paraId="1831EF2C" w14:textId="77777777" w:rsidR="00435150" w:rsidRPr="00261651" w:rsidRDefault="00435150" w:rsidP="00676C6D">
            <w:pPr>
              <w:pStyle w:val="TableText0"/>
              <w:keepLines/>
            </w:pPr>
          </w:p>
        </w:tc>
        <w:tc>
          <w:tcPr>
            <w:tcW w:w="695" w:type="pct"/>
            <w:vAlign w:val="center"/>
          </w:tcPr>
          <w:p w14:paraId="4EB11D69" w14:textId="19642145" w:rsidR="00435150" w:rsidRPr="00E50879" w:rsidRDefault="00435150" w:rsidP="00676C6D">
            <w:pPr>
              <w:pStyle w:val="TableText0"/>
              <w:keepLines/>
              <w:rPr>
                <w:b/>
                <w:bCs w:val="0"/>
                <w:szCs w:val="20"/>
              </w:rPr>
            </w:pPr>
            <w:r w:rsidRPr="00E50879">
              <w:rPr>
                <w:b/>
                <w:bCs w:val="0"/>
                <w:szCs w:val="20"/>
              </w:rPr>
              <w:t>Y</w:t>
            </w:r>
            <w:r w:rsidR="005B36D6">
              <w:rPr>
                <w:b/>
                <w:bCs w:val="0"/>
                <w:szCs w:val="20"/>
              </w:rPr>
              <w:t xml:space="preserve">ear </w:t>
            </w:r>
            <w:r w:rsidRPr="00E50879">
              <w:rPr>
                <w:b/>
                <w:bCs w:val="0"/>
                <w:szCs w:val="20"/>
              </w:rPr>
              <w:t>1 (May 2019-Apr 2020)</w:t>
            </w:r>
          </w:p>
        </w:tc>
        <w:tc>
          <w:tcPr>
            <w:tcW w:w="695" w:type="pct"/>
            <w:vAlign w:val="center"/>
          </w:tcPr>
          <w:p w14:paraId="7BC22859" w14:textId="0E4AE932" w:rsidR="00435150" w:rsidRPr="00C51138" w:rsidRDefault="00435150" w:rsidP="00676C6D">
            <w:pPr>
              <w:pStyle w:val="TableText0"/>
              <w:keepLines/>
              <w:rPr>
                <w:b/>
                <w:bCs w:val="0"/>
                <w:szCs w:val="20"/>
              </w:rPr>
            </w:pPr>
            <w:r w:rsidRPr="00C51138">
              <w:rPr>
                <w:b/>
                <w:bCs w:val="0"/>
                <w:szCs w:val="20"/>
              </w:rPr>
              <w:t>Y</w:t>
            </w:r>
            <w:r w:rsidR="005B36D6">
              <w:rPr>
                <w:b/>
                <w:bCs w:val="0"/>
                <w:szCs w:val="20"/>
              </w:rPr>
              <w:t xml:space="preserve">ear </w:t>
            </w:r>
            <w:r w:rsidRPr="00C51138">
              <w:rPr>
                <w:b/>
                <w:bCs w:val="0"/>
                <w:szCs w:val="20"/>
              </w:rPr>
              <w:t>2 (May 2020-Apr 2021)</w:t>
            </w:r>
          </w:p>
        </w:tc>
        <w:tc>
          <w:tcPr>
            <w:tcW w:w="695" w:type="pct"/>
            <w:noWrap/>
            <w:vAlign w:val="center"/>
            <w:hideMark/>
          </w:tcPr>
          <w:p w14:paraId="6292CB0D" w14:textId="030AF41E" w:rsidR="00435150" w:rsidRPr="00E50879" w:rsidRDefault="00435150" w:rsidP="00676C6D">
            <w:pPr>
              <w:pStyle w:val="TableText0"/>
              <w:keepLines/>
              <w:rPr>
                <w:rFonts w:cs="Calibri"/>
                <w:b/>
                <w:bCs w:val="0"/>
                <w:color w:val="000000"/>
              </w:rPr>
            </w:pPr>
            <w:r w:rsidRPr="00E50879">
              <w:rPr>
                <w:b/>
                <w:bCs w:val="0"/>
                <w:szCs w:val="20"/>
              </w:rPr>
              <w:t>Y</w:t>
            </w:r>
            <w:r w:rsidR="005B36D6">
              <w:rPr>
                <w:b/>
                <w:bCs w:val="0"/>
                <w:szCs w:val="20"/>
              </w:rPr>
              <w:t xml:space="preserve">ear </w:t>
            </w:r>
            <w:r w:rsidRPr="00E50879">
              <w:rPr>
                <w:b/>
                <w:bCs w:val="0"/>
                <w:szCs w:val="20"/>
              </w:rPr>
              <w:t>3 (May 2021-Apr 2022)</w:t>
            </w:r>
          </w:p>
        </w:tc>
        <w:tc>
          <w:tcPr>
            <w:tcW w:w="695" w:type="pct"/>
            <w:noWrap/>
            <w:vAlign w:val="center"/>
            <w:hideMark/>
          </w:tcPr>
          <w:p w14:paraId="3484A124" w14:textId="0D1B6B30" w:rsidR="00435150" w:rsidRPr="00E50879" w:rsidRDefault="00435150" w:rsidP="00676C6D">
            <w:pPr>
              <w:pStyle w:val="TableText0"/>
              <w:keepLines/>
              <w:rPr>
                <w:rFonts w:cs="Calibri"/>
                <w:b/>
                <w:bCs w:val="0"/>
                <w:color w:val="000000"/>
              </w:rPr>
            </w:pPr>
            <w:r w:rsidRPr="00E50879">
              <w:rPr>
                <w:b/>
                <w:bCs w:val="0"/>
                <w:szCs w:val="20"/>
              </w:rPr>
              <w:t>Y</w:t>
            </w:r>
            <w:r w:rsidR="005B36D6">
              <w:rPr>
                <w:b/>
                <w:bCs w:val="0"/>
                <w:szCs w:val="20"/>
              </w:rPr>
              <w:t xml:space="preserve">ear </w:t>
            </w:r>
            <w:r w:rsidRPr="00E50879">
              <w:rPr>
                <w:b/>
                <w:bCs w:val="0"/>
                <w:szCs w:val="20"/>
              </w:rPr>
              <w:t>4 (May 2022-Apr 2023)</w:t>
            </w:r>
          </w:p>
        </w:tc>
        <w:tc>
          <w:tcPr>
            <w:tcW w:w="695" w:type="pct"/>
            <w:noWrap/>
            <w:vAlign w:val="center"/>
            <w:hideMark/>
          </w:tcPr>
          <w:p w14:paraId="5F26BFBD" w14:textId="74BF7AA2" w:rsidR="00435150" w:rsidRPr="00E50879" w:rsidRDefault="00435150" w:rsidP="00676C6D">
            <w:pPr>
              <w:pStyle w:val="TableText0"/>
              <w:keepLines/>
              <w:rPr>
                <w:rFonts w:cs="Calibri"/>
                <w:b/>
                <w:bCs w:val="0"/>
                <w:color w:val="000000"/>
              </w:rPr>
            </w:pPr>
            <w:r w:rsidRPr="00E50879">
              <w:rPr>
                <w:b/>
                <w:bCs w:val="0"/>
                <w:szCs w:val="20"/>
              </w:rPr>
              <w:t>Y</w:t>
            </w:r>
            <w:r w:rsidR="005B36D6">
              <w:rPr>
                <w:b/>
                <w:bCs w:val="0"/>
                <w:szCs w:val="20"/>
              </w:rPr>
              <w:t xml:space="preserve">ear </w:t>
            </w:r>
            <w:r w:rsidRPr="00E50879">
              <w:rPr>
                <w:b/>
                <w:bCs w:val="0"/>
                <w:szCs w:val="20"/>
              </w:rPr>
              <w:t>5 (</w:t>
            </w:r>
            <w:r w:rsidR="00552E5B" w:rsidRPr="00E50879">
              <w:rPr>
                <w:b/>
                <w:bCs w:val="0"/>
                <w:szCs w:val="20"/>
              </w:rPr>
              <w:t>May</w:t>
            </w:r>
            <w:r w:rsidRPr="00E50879">
              <w:rPr>
                <w:b/>
                <w:bCs w:val="0"/>
                <w:szCs w:val="20"/>
              </w:rPr>
              <w:t xml:space="preserve"> 2023-</w:t>
            </w:r>
            <w:r w:rsidR="00552E5B" w:rsidRPr="00E50879">
              <w:rPr>
                <w:b/>
                <w:bCs w:val="0"/>
                <w:szCs w:val="20"/>
              </w:rPr>
              <w:t>Apr</w:t>
            </w:r>
            <w:r w:rsidRPr="00E50879">
              <w:rPr>
                <w:b/>
                <w:bCs w:val="0"/>
                <w:szCs w:val="20"/>
              </w:rPr>
              <w:t xml:space="preserve"> 2024)</w:t>
            </w:r>
          </w:p>
        </w:tc>
        <w:tc>
          <w:tcPr>
            <w:tcW w:w="693" w:type="pct"/>
            <w:vAlign w:val="center"/>
          </w:tcPr>
          <w:p w14:paraId="6C969172" w14:textId="6A8C474D" w:rsidR="00435150" w:rsidRPr="00E50879" w:rsidRDefault="448846A9" w:rsidP="00676C6D">
            <w:pPr>
              <w:pStyle w:val="TableText0"/>
              <w:keepLines/>
              <w:rPr>
                <w:b/>
              </w:rPr>
            </w:pPr>
            <w:r w:rsidRPr="59C23F7F">
              <w:rPr>
                <w:b/>
              </w:rPr>
              <w:t>Y</w:t>
            </w:r>
            <w:r w:rsidR="005B36D6">
              <w:rPr>
                <w:b/>
              </w:rPr>
              <w:t xml:space="preserve">ear </w:t>
            </w:r>
            <w:r w:rsidRPr="59C23F7F">
              <w:rPr>
                <w:b/>
              </w:rPr>
              <w:t>6 (</w:t>
            </w:r>
            <w:r w:rsidR="31856E60" w:rsidRPr="59C23F7F">
              <w:rPr>
                <w:b/>
              </w:rPr>
              <w:t>May</w:t>
            </w:r>
            <w:r w:rsidRPr="59C23F7F">
              <w:rPr>
                <w:b/>
              </w:rPr>
              <w:t xml:space="preserve"> 2024-</w:t>
            </w:r>
            <w:r w:rsidR="4C96C6EF" w:rsidRPr="59C23F7F">
              <w:rPr>
                <w:b/>
              </w:rPr>
              <w:t>Apr</w:t>
            </w:r>
            <w:r w:rsidRPr="59C23F7F">
              <w:rPr>
                <w:b/>
              </w:rPr>
              <w:t xml:space="preserve"> 2025)</w:t>
            </w:r>
          </w:p>
        </w:tc>
      </w:tr>
      <w:tr w:rsidR="0010407A" w:rsidRPr="00D32758" w14:paraId="07A92A8A" w14:textId="77777777" w:rsidTr="00E02021">
        <w:trPr>
          <w:trHeight w:val="325"/>
        </w:trPr>
        <w:tc>
          <w:tcPr>
            <w:tcW w:w="832" w:type="pct"/>
            <w:noWrap/>
            <w:vAlign w:val="center"/>
          </w:tcPr>
          <w:p w14:paraId="03A37989" w14:textId="77777777" w:rsidR="00435150" w:rsidRPr="00261651" w:rsidRDefault="00435150" w:rsidP="00676C6D">
            <w:pPr>
              <w:pStyle w:val="TableText0"/>
              <w:keepLines/>
            </w:pPr>
            <w:r w:rsidRPr="00261651">
              <w:rPr>
                <w:rFonts w:cs="Arial"/>
              </w:rPr>
              <w:t>Current caps</w:t>
            </w:r>
          </w:p>
        </w:tc>
        <w:tc>
          <w:tcPr>
            <w:tcW w:w="695" w:type="pct"/>
            <w:vAlign w:val="center"/>
          </w:tcPr>
          <w:p w14:paraId="317A2E60" w14:textId="24C123D7" w:rsidR="00435150" w:rsidRPr="00154324" w:rsidRDefault="006E152F" w:rsidP="00676C6D">
            <w:pPr>
              <w:pStyle w:val="TableText0"/>
              <w:keepLines/>
              <w:rPr>
                <w:highlight w:val="lightGray"/>
              </w:rPr>
            </w:pPr>
            <w:r w:rsidRPr="006E152F">
              <w:t>$</w:t>
            </w:r>
            <w:r w:rsidR="00154324" w:rsidRPr="00154324">
              <w:rPr>
                <w:sz w:val="2"/>
                <w:highlight w:val="black"/>
              </w:rPr>
              <w:t>redacted content</w:t>
            </w:r>
          </w:p>
        </w:tc>
        <w:tc>
          <w:tcPr>
            <w:tcW w:w="695" w:type="pct"/>
            <w:vAlign w:val="center"/>
          </w:tcPr>
          <w:p w14:paraId="3751D5CB" w14:textId="35FFD239" w:rsidR="00435150" w:rsidRPr="00154324" w:rsidRDefault="006E152F" w:rsidP="00676C6D">
            <w:pPr>
              <w:pStyle w:val="TableText0"/>
              <w:keepLines/>
              <w:rPr>
                <w:rFonts w:cs="Arial"/>
                <w:highlight w:val="lightGray"/>
              </w:rPr>
            </w:pPr>
            <w:r w:rsidRPr="006E152F">
              <w:t>$</w:t>
            </w:r>
            <w:r w:rsidR="00154324" w:rsidRPr="00154324">
              <w:rPr>
                <w:sz w:val="2"/>
                <w:highlight w:val="black"/>
              </w:rPr>
              <w:t>redacted content</w:t>
            </w:r>
          </w:p>
        </w:tc>
        <w:tc>
          <w:tcPr>
            <w:tcW w:w="695" w:type="pct"/>
            <w:noWrap/>
            <w:vAlign w:val="center"/>
          </w:tcPr>
          <w:p w14:paraId="59839A12" w14:textId="0EF8B5CE" w:rsidR="00435150" w:rsidRPr="00154324" w:rsidRDefault="006E152F" w:rsidP="00676C6D">
            <w:pPr>
              <w:pStyle w:val="TableText0"/>
              <w:keepLines/>
              <w:rPr>
                <w:highlight w:val="lightGray"/>
              </w:rPr>
            </w:pPr>
            <w:r w:rsidRPr="006E152F">
              <w:t>$</w:t>
            </w:r>
            <w:r w:rsidR="00154324" w:rsidRPr="00154324">
              <w:rPr>
                <w:sz w:val="2"/>
                <w:highlight w:val="black"/>
              </w:rPr>
              <w:t>redacted content</w:t>
            </w:r>
          </w:p>
        </w:tc>
        <w:tc>
          <w:tcPr>
            <w:tcW w:w="695" w:type="pct"/>
            <w:noWrap/>
            <w:vAlign w:val="center"/>
          </w:tcPr>
          <w:p w14:paraId="28BA8FC3" w14:textId="5B77561F" w:rsidR="00435150" w:rsidRPr="00154324" w:rsidRDefault="006E152F" w:rsidP="00676C6D">
            <w:pPr>
              <w:pStyle w:val="TableText0"/>
              <w:keepLines/>
              <w:rPr>
                <w:highlight w:val="lightGray"/>
              </w:rPr>
            </w:pPr>
            <w:r w:rsidRPr="006E152F">
              <w:t>$</w:t>
            </w:r>
            <w:r w:rsidR="00154324" w:rsidRPr="00154324">
              <w:rPr>
                <w:sz w:val="2"/>
                <w:highlight w:val="black"/>
              </w:rPr>
              <w:t>redacted content</w:t>
            </w:r>
          </w:p>
        </w:tc>
        <w:tc>
          <w:tcPr>
            <w:tcW w:w="695" w:type="pct"/>
            <w:noWrap/>
            <w:vAlign w:val="center"/>
          </w:tcPr>
          <w:p w14:paraId="182A02E9" w14:textId="20424B6D" w:rsidR="00435150" w:rsidRPr="00154324" w:rsidRDefault="006E152F" w:rsidP="00676C6D">
            <w:pPr>
              <w:pStyle w:val="TableText0"/>
              <w:keepLines/>
              <w:rPr>
                <w:highlight w:val="lightGray"/>
              </w:rPr>
            </w:pPr>
            <w:r w:rsidRPr="006E152F">
              <w:t>$</w:t>
            </w:r>
            <w:r w:rsidR="00154324" w:rsidRPr="00154324">
              <w:rPr>
                <w:sz w:val="2"/>
                <w:highlight w:val="black"/>
              </w:rPr>
              <w:t>redacted content</w:t>
            </w:r>
          </w:p>
        </w:tc>
        <w:tc>
          <w:tcPr>
            <w:tcW w:w="693" w:type="pct"/>
            <w:vAlign w:val="center"/>
          </w:tcPr>
          <w:p w14:paraId="1EBE5AAC" w14:textId="02F85D8E" w:rsidR="00435150" w:rsidRPr="00154324" w:rsidRDefault="006E152F" w:rsidP="00676C6D">
            <w:pPr>
              <w:pStyle w:val="TableText0"/>
              <w:keepLines/>
              <w:rPr>
                <w:vertAlign w:val="superscript"/>
              </w:rPr>
            </w:pPr>
            <w:r w:rsidRPr="006E152F">
              <w:t>$</w:t>
            </w:r>
            <w:r w:rsidR="00154324" w:rsidRPr="00154324">
              <w:rPr>
                <w:sz w:val="2"/>
                <w:highlight w:val="black"/>
              </w:rPr>
              <w:t>redacted content</w:t>
            </w:r>
            <w:r w:rsidR="009D67E3" w:rsidRPr="006E152F">
              <w:rPr>
                <w:rFonts w:cs="Arial"/>
                <w:sz w:val="18"/>
                <w:szCs w:val="18"/>
                <w:vertAlign w:val="superscript"/>
              </w:rPr>
              <w:t xml:space="preserve"> b</w:t>
            </w:r>
          </w:p>
        </w:tc>
      </w:tr>
      <w:tr w:rsidR="0010407A" w:rsidRPr="00D32758" w14:paraId="712D962A" w14:textId="77777777" w:rsidTr="00E02021">
        <w:trPr>
          <w:trHeight w:val="325"/>
        </w:trPr>
        <w:tc>
          <w:tcPr>
            <w:tcW w:w="832" w:type="pct"/>
            <w:noWrap/>
            <w:vAlign w:val="center"/>
          </w:tcPr>
          <w:p w14:paraId="7FD1B07E" w14:textId="77777777" w:rsidR="00435150" w:rsidRPr="00F645FB" w:rsidRDefault="00435150" w:rsidP="00676C6D">
            <w:pPr>
              <w:pStyle w:val="TableText0"/>
              <w:keepLines/>
              <w:rPr>
                <w:rFonts w:cs="Arial"/>
              </w:rPr>
            </w:pPr>
            <w:r w:rsidRPr="00F645FB">
              <w:rPr>
                <w:rFonts w:cs="Arial"/>
              </w:rPr>
              <w:t>Deed Commonwealth Payment – inotuzumab ozogamicin</w:t>
            </w:r>
          </w:p>
        </w:tc>
        <w:tc>
          <w:tcPr>
            <w:tcW w:w="695" w:type="pct"/>
            <w:vAlign w:val="center"/>
          </w:tcPr>
          <w:p w14:paraId="499E5C59" w14:textId="1602EF1C" w:rsidR="00154324" w:rsidRPr="00154324" w:rsidRDefault="006E152F" w:rsidP="00676C6D">
            <w:pPr>
              <w:pStyle w:val="TableText0"/>
              <w:keepLines/>
              <w:rPr>
                <w:color w:val="000000"/>
                <w:szCs w:val="20"/>
              </w:rPr>
            </w:pPr>
            <w:r w:rsidRPr="006E152F">
              <w:rPr>
                <w:color w:val="000000"/>
                <w:szCs w:val="20"/>
              </w:rPr>
              <w:t>$</w:t>
            </w:r>
            <w:r w:rsidR="00154324" w:rsidRPr="00154324">
              <w:rPr>
                <w:color w:val="000000"/>
                <w:sz w:val="2"/>
                <w:szCs w:val="20"/>
                <w:highlight w:val="black"/>
              </w:rPr>
              <w:t>redacted content</w:t>
            </w:r>
          </w:p>
          <w:p w14:paraId="2BEB53B4" w14:textId="60697AF1" w:rsidR="00435150" w:rsidRPr="00154324" w:rsidRDefault="00435150" w:rsidP="00676C6D">
            <w:pPr>
              <w:pStyle w:val="TableText0"/>
              <w:keepLines/>
              <w:rPr>
                <w:szCs w:val="20"/>
                <w:highlight w:val="lightGray"/>
              </w:rPr>
            </w:pPr>
          </w:p>
        </w:tc>
        <w:tc>
          <w:tcPr>
            <w:tcW w:w="695" w:type="pct"/>
            <w:vAlign w:val="center"/>
          </w:tcPr>
          <w:p w14:paraId="358A4DB2" w14:textId="3973E68F" w:rsidR="00154324" w:rsidRPr="00154324" w:rsidRDefault="006E152F" w:rsidP="00676C6D">
            <w:pPr>
              <w:pStyle w:val="TableText0"/>
              <w:keepLines/>
              <w:rPr>
                <w:color w:val="000000"/>
                <w:szCs w:val="20"/>
              </w:rPr>
            </w:pPr>
            <w:r w:rsidRPr="006E152F">
              <w:rPr>
                <w:color w:val="000000"/>
                <w:szCs w:val="20"/>
              </w:rPr>
              <w:t>$</w:t>
            </w:r>
            <w:r w:rsidR="00154324" w:rsidRPr="00154324">
              <w:rPr>
                <w:color w:val="000000"/>
                <w:sz w:val="2"/>
                <w:szCs w:val="20"/>
                <w:highlight w:val="black"/>
              </w:rPr>
              <w:t>redacted content</w:t>
            </w:r>
          </w:p>
          <w:p w14:paraId="056C2C4F" w14:textId="5F720DDA" w:rsidR="00435150" w:rsidRPr="00154324" w:rsidRDefault="00435150" w:rsidP="00676C6D">
            <w:pPr>
              <w:pStyle w:val="TableText0"/>
              <w:keepLines/>
              <w:rPr>
                <w:szCs w:val="20"/>
                <w:highlight w:val="lightGray"/>
              </w:rPr>
            </w:pPr>
          </w:p>
        </w:tc>
        <w:tc>
          <w:tcPr>
            <w:tcW w:w="695" w:type="pct"/>
            <w:noWrap/>
            <w:vAlign w:val="center"/>
          </w:tcPr>
          <w:p w14:paraId="7C16673D" w14:textId="529657EF" w:rsidR="00154324" w:rsidRPr="00154324" w:rsidRDefault="006E152F" w:rsidP="00676C6D">
            <w:pPr>
              <w:pStyle w:val="TableText0"/>
              <w:keepLines/>
              <w:rPr>
                <w:color w:val="000000"/>
                <w:szCs w:val="20"/>
              </w:rPr>
            </w:pPr>
            <w:r w:rsidRPr="006E152F">
              <w:rPr>
                <w:color w:val="000000"/>
                <w:szCs w:val="20"/>
              </w:rPr>
              <w:t>$</w:t>
            </w:r>
            <w:r w:rsidR="00154324" w:rsidRPr="00154324">
              <w:rPr>
                <w:color w:val="000000"/>
                <w:sz w:val="2"/>
                <w:szCs w:val="20"/>
                <w:highlight w:val="black"/>
              </w:rPr>
              <w:t>redacted content</w:t>
            </w:r>
          </w:p>
          <w:p w14:paraId="0B7C6BA9" w14:textId="210FF428" w:rsidR="00435150" w:rsidRPr="00154324" w:rsidRDefault="00435150" w:rsidP="00676C6D">
            <w:pPr>
              <w:pStyle w:val="TableText0"/>
              <w:keepLines/>
              <w:rPr>
                <w:szCs w:val="20"/>
                <w:highlight w:val="lightGray"/>
              </w:rPr>
            </w:pPr>
          </w:p>
        </w:tc>
        <w:tc>
          <w:tcPr>
            <w:tcW w:w="695" w:type="pct"/>
            <w:noWrap/>
            <w:vAlign w:val="center"/>
          </w:tcPr>
          <w:p w14:paraId="50ECEA31" w14:textId="75B40CA6" w:rsidR="00154324" w:rsidRPr="00154324" w:rsidRDefault="006E152F" w:rsidP="00676C6D">
            <w:pPr>
              <w:pStyle w:val="TableText0"/>
              <w:keepLines/>
              <w:rPr>
                <w:color w:val="000000"/>
                <w:szCs w:val="20"/>
              </w:rPr>
            </w:pPr>
            <w:r w:rsidRPr="006E152F">
              <w:rPr>
                <w:color w:val="000000"/>
                <w:szCs w:val="20"/>
              </w:rPr>
              <w:t>$</w:t>
            </w:r>
            <w:r w:rsidR="00154324" w:rsidRPr="00154324">
              <w:rPr>
                <w:color w:val="000000"/>
                <w:sz w:val="2"/>
                <w:szCs w:val="20"/>
                <w:highlight w:val="black"/>
              </w:rPr>
              <w:t>redacted content</w:t>
            </w:r>
          </w:p>
          <w:p w14:paraId="500A7F45" w14:textId="28048848" w:rsidR="00435150" w:rsidRPr="00154324" w:rsidRDefault="00435150" w:rsidP="00676C6D">
            <w:pPr>
              <w:pStyle w:val="TableText0"/>
              <w:keepLines/>
              <w:rPr>
                <w:szCs w:val="20"/>
                <w:highlight w:val="lightGray"/>
              </w:rPr>
            </w:pPr>
          </w:p>
        </w:tc>
        <w:tc>
          <w:tcPr>
            <w:tcW w:w="695" w:type="pct"/>
            <w:noWrap/>
            <w:vAlign w:val="center"/>
          </w:tcPr>
          <w:p w14:paraId="042581B4" w14:textId="61AFA0BB" w:rsidR="00154324" w:rsidRPr="00154324" w:rsidRDefault="006E152F" w:rsidP="00676C6D">
            <w:pPr>
              <w:pStyle w:val="TableText0"/>
              <w:keepLines/>
              <w:rPr>
                <w:color w:val="000000"/>
                <w:szCs w:val="20"/>
              </w:rPr>
            </w:pPr>
            <w:r w:rsidRPr="006E152F">
              <w:rPr>
                <w:color w:val="000000"/>
                <w:szCs w:val="20"/>
              </w:rPr>
              <w:t>$</w:t>
            </w:r>
            <w:r w:rsidR="00154324" w:rsidRPr="00154324">
              <w:rPr>
                <w:color w:val="000000"/>
                <w:sz w:val="2"/>
                <w:szCs w:val="20"/>
                <w:highlight w:val="black"/>
              </w:rPr>
              <w:t>redacted content</w:t>
            </w:r>
          </w:p>
          <w:p w14:paraId="402C5561" w14:textId="61473768" w:rsidR="00435150" w:rsidRPr="00154324" w:rsidRDefault="00435150" w:rsidP="00676C6D">
            <w:pPr>
              <w:pStyle w:val="TableText0"/>
              <w:keepLines/>
              <w:rPr>
                <w:szCs w:val="20"/>
                <w:highlight w:val="lightGray"/>
              </w:rPr>
            </w:pPr>
          </w:p>
        </w:tc>
        <w:tc>
          <w:tcPr>
            <w:tcW w:w="693" w:type="pct"/>
            <w:vAlign w:val="center"/>
          </w:tcPr>
          <w:p w14:paraId="15A97129" w14:textId="49AB97DD" w:rsidR="00154324" w:rsidRPr="00154324" w:rsidRDefault="006E152F" w:rsidP="00676C6D">
            <w:pPr>
              <w:pStyle w:val="TableText0"/>
              <w:keepLines/>
              <w:rPr>
                <w:color w:val="000000"/>
                <w:szCs w:val="20"/>
              </w:rPr>
            </w:pPr>
            <w:r w:rsidRPr="006E152F">
              <w:rPr>
                <w:color w:val="000000"/>
                <w:szCs w:val="20"/>
              </w:rPr>
              <w:t>$</w:t>
            </w:r>
            <w:r w:rsidR="00154324" w:rsidRPr="00154324">
              <w:rPr>
                <w:color w:val="000000"/>
                <w:sz w:val="2"/>
                <w:szCs w:val="20"/>
                <w:highlight w:val="black"/>
              </w:rPr>
              <w:t>redacted content</w:t>
            </w:r>
          </w:p>
          <w:p w14:paraId="0DF0FD2E" w14:textId="73120728" w:rsidR="00435150" w:rsidRPr="00154324" w:rsidRDefault="00435150" w:rsidP="00676C6D">
            <w:pPr>
              <w:pStyle w:val="TableText0"/>
              <w:keepLines/>
              <w:rPr>
                <w:szCs w:val="20"/>
                <w:highlight w:val="lightGray"/>
              </w:rPr>
            </w:pPr>
          </w:p>
        </w:tc>
      </w:tr>
      <w:tr w:rsidR="0010407A" w:rsidRPr="00D32758" w14:paraId="7FB52EC9" w14:textId="77777777" w:rsidTr="00E02021">
        <w:trPr>
          <w:trHeight w:val="325"/>
        </w:trPr>
        <w:tc>
          <w:tcPr>
            <w:tcW w:w="832" w:type="pct"/>
            <w:noWrap/>
            <w:vAlign w:val="center"/>
          </w:tcPr>
          <w:p w14:paraId="7CE6BBE5" w14:textId="77777777" w:rsidR="00435150" w:rsidRPr="00F645FB" w:rsidRDefault="00435150" w:rsidP="00676C6D">
            <w:pPr>
              <w:pStyle w:val="TableText0"/>
              <w:keepLines/>
              <w:rPr>
                <w:rFonts w:cs="Arial"/>
              </w:rPr>
            </w:pPr>
            <w:r w:rsidRPr="00F645FB">
              <w:rPr>
                <w:rFonts w:cs="Arial"/>
              </w:rPr>
              <w:t>Deed Commonwealth Payment – blinatumomab</w:t>
            </w:r>
          </w:p>
        </w:tc>
        <w:tc>
          <w:tcPr>
            <w:tcW w:w="695" w:type="pct"/>
            <w:vAlign w:val="center"/>
          </w:tcPr>
          <w:p w14:paraId="40E0C45B" w14:textId="7DA69A56" w:rsidR="00154324" w:rsidRPr="00154324" w:rsidRDefault="006E152F" w:rsidP="00676C6D">
            <w:pPr>
              <w:pStyle w:val="TableText0"/>
              <w:keepLines/>
              <w:rPr>
                <w:color w:val="000000"/>
                <w:szCs w:val="20"/>
              </w:rPr>
            </w:pPr>
            <w:r w:rsidRPr="006E152F">
              <w:rPr>
                <w:color w:val="000000"/>
                <w:szCs w:val="20"/>
              </w:rPr>
              <w:t>$</w:t>
            </w:r>
            <w:r w:rsidR="00154324" w:rsidRPr="00154324">
              <w:rPr>
                <w:color w:val="000000"/>
                <w:sz w:val="2"/>
                <w:szCs w:val="20"/>
                <w:highlight w:val="black"/>
              </w:rPr>
              <w:t>redacted content</w:t>
            </w:r>
          </w:p>
          <w:p w14:paraId="6F0BBA20" w14:textId="408B73A8" w:rsidR="00435150" w:rsidRPr="00154324" w:rsidRDefault="00435150" w:rsidP="00676C6D">
            <w:pPr>
              <w:pStyle w:val="TableText0"/>
              <w:keepLines/>
              <w:rPr>
                <w:szCs w:val="20"/>
                <w:highlight w:val="lightGray"/>
              </w:rPr>
            </w:pPr>
          </w:p>
        </w:tc>
        <w:tc>
          <w:tcPr>
            <w:tcW w:w="695" w:type="pct"/>
            <w:vAlign w:val="center"/>
          </w:tcPr>
          <w:p w14:paraId="544642F8" w14:textId="57177AFD" w:rsidR="00154324" w:rsidRPr="00154324" w:rsidRDefault="006E152F" w:rsidP="00676C6D">
            <w:pPr>
              <w:pStyle w:val="TableText0"/>
              <w:keepLines/>
              <w:rPr>
                <w:color w:val="000000"/>
                <w:szCs w:val="20"/>
              </w:rPr>
            </w:pPr>
            <w:r w:rsidRPr="006E152F">
              <w:rPr>
                <w:color w:val="000000"/>
                <w:szCs w:val="20"/>
              </w:rPr>
              <w:t>$</w:t>
            </w:r>
            <w:r w:rsidR="00154324" w:rsidRPr="00154324">
              <w:rPr>
                <w:color w:val="000000"/>
                <w:sz w:val="2"/>
                <w:szCs w:val="20"/>
                <w:highlight w:val="black"/>
              </w:rPr>
              <w:t>redacted content</w:t>
            </w:r>
          </w:p>
          <w:p w14:paraId="32B406B1" w14:textId="3B58AF34" w:rsidR="00435150" w:rsidRPr="00154324" w:rsidRDefault="00435150" w:rsidP="00676C6D">
            <w:pPr>
              <w:pStyle w:val="TableText0"/>
              <w:keepLines/>
              <w:rPr>
                <w:szCs w:val="20"/>
                <w:highlight w:val="lightGray"/>
              </w:rPr>
            </w:pPr>
          </w:p>
        </w:tc>
        <w:tc>
          <w:tcPr>
            <w:tcW w:w="695" w:type="pct"/>
            <w:noWrap/>
            <w:vAlign w:val="center"/>
          </w:tcPr>
          <w:p w14:paraId="6D323CB6" w14:textId="41A5BD14" w:rsidR="00154324" w:rsidRPr="00154324" w:rsidRDefault="006E152F" w:rsidP="00676C6D">
            <w:pPr>
              <w:pStyle w:val="TableText0"/>
              <w:keepLines/>
              <w:rPr>
                <w:color w:val="000000"/>
                <w:szCs w:val="20"/>
              </w:rPr>
            </w:pPr>
            <w:r w:rsidRPr="006E152F">
              <w:rPr>
                <w:color w:val="000000"/>
                <w:szCs w:val="20"/>
              </w:rPr>
              <w:t>$</w:t>
            </w:r>
            <w:r w:rsidR="00154324" w:rsidRPr="00154324">
              <w:rPr>
                <w:color w:val="000000"/>
                <w:sz w:val="2"/>
                <w:szCs w:val="20"/>
                <w:highlight w:val="black"/>
              </w:rPr>
              <w:t>redacted content</w:t>
            </w:r>
          </w:p>
          <w:p w14:paraId="02A8E9C8" w14:textId="78EE68AA" w:rsidR="00435150" w:rsidRPr="00154324" w:rsidRDefault="00435150" w:rsidP="00676C6D">
            <w:pPr>
              <w:pStyle w:val="TableText0"/>
              <w:keepLines/>
              <w:rPr>
                <w:szCs w:val="20"/>
                <w:highlight w:val="lightGray"/>
              </w:rPr>
            </w:pPr>
          </w:p>
        </w:tc>
        <w:tc>
          <w:tcPr>
            <w:tcW w:w="695" w:type="pct"/>
            <w:noWrap/>
            <w:vAlign w:val="center"/>
          </w:tcPr>
          <w:p w14:paraId="6A3DF8CC" w14:textId="33DE610D" w:rsidR="00154324" w:rsidRPr="00154324" w:rsidRDefault="006E152F" w:rsidP="00676C6D">
            <w:pPr>
              <w:pStyle w:val="TableText0"/>
              <w:keepLines/>
              <w:rPr>
                <w:color w:val="000000"/>
                <w:szCs w:val="20"/>
              </w:rPr>
            </w:pPr>
            <w:r w:rsidRPr="006E152F">
              <w:rPr>
                <w:color w:val="000000"/>
                <w:szCs w:val="20"/>
              </w:rPr>
              <w:t>$</w:t>
            </w:r>
            <w:r w:rsidR="00154324" w:rsidRPr="00154324">
              <w:rPr>
                <w:color w:val="000000"/>
                <w:sz w:val="2"/>
                <w:szCs w:val="20"/>
                <w:highlight w:val="black"/>
              </w:rPr>
              <w:t>redacted content</w:t>
            </w:r>
          </w:p>
          <w:p w14:paraId="6DF856F7" w14:textId="28DE10F9" w:rsidR="00435150" w:rsidRPr="00154324" w:rsidRDefault="00435150" w:rsidP="00676C6D">
            <w:pPr>
              <w:pStyle w:val="TableText0"/>
              <w:keepLines/>
              <w:rPr>
                <w:szCs w:val="20"/>
                <w:highlight w:val="lightGray"/>
              </w:rPr>
            </w:pPr>
          </w:p>
        </w:tc>
        <w:tc>
          <w:tcPr>
            <w:tcW w:w="695" w:type="pct"/>
            <w:noWrap/>
            <w:vAlign w:val="center"/>
          </w:tcPr>
          <w:p w14:paraId="5791675D" w14:textId="67A5AF1F" w:rsidR="00154324" w:rsidRPr="00154324" w:rsidRDefault="006E152F" w:rsidP="00676C6D">
            <w:pPr>
              <w:pStyle w:val="TableText0"/>
              <w:keepLines/>
              <w:rPr>
                <w:color w:val="000000"/>
                <w:szCs w:val="20"/>
              </w:rPr>
            </w:pPr>
            <w:r w:rsidRPr="006E152F">
              <w:rPr>
                <w:color w:val="000000"/>
                <w:szCs w:val="20"/>
              </w:rPr>
              <w:t>$</w:t>
            </w:r>
            <w:r w:rsidR="00154324" w:rsidRPr="00154324">
              <w:rPr>
                <w:color w:val="000000"/>
                <w:sz w:val="2"/>
                <w:szCs w:val="20"/>
                <w:highlight w:val="black"/>
              </w:rPr>
              <w:t>redacted content</w:t>
            </w:r>
          </w:p>
          <w:p w14:paraId="42F9778E" w14:textId="6F9C3B07" w:rsidR="00435150" w:rsidRPr="00154324" w:rsidRDefault="00435150" w:rsidP="00676C6D">
            <w:pPr>
              <w:pStyle w:val="TableText0"/>
              <w:keepLines/>
              <w:rPr>
                <w:szCs w:val="20"/>
                <w:highlight w:val="lightGray"/>
              </w:rPr>
            </w:pPr>
          </w:p>
        </w:tc>
        <w:tc>
          <w:tcPr>
            <w:tcW w:w="693" w:type="pct"/>
            <w:vAlign w:val="center"/>
          </w:tcPr>
          <w:p w14:paraId="776C49B1" w14:textId="5007A4AA" w:rsidR="00435150" w:rsidRPr="00154324" w:rsidRDefault="006E152F" w:rsidP="00676C6D">
            <w:pPr>
              <w:pStyle w:val="TableText0"/>
              <w:keepLines/>
              <w:rPr>
                <w:color w:val="000000"/>
                <w:szCs w:val="20"/>
                <w:vertAlign w:val="superscript"/>
              </w:rPr>
            </w:pPr>
            <w:r w:rsidRPr="006E152F">
              <w:rPr>
                <w:color w:val="000000"/>
                <w:szCs w:val="20"/>
              </w:rPr>
              <w:t>$</w:t>
            </w:r>
            <w:r w:rsidR="00154324" w:rsidRPr="00154324">
              <w:rPr>
                <w:color w:val="000000"/>
                <w:sz w:val="2"/>
                <w:szCs w:val="20"/>
                <w:highlight w:val="black"/>
              </w:rPr>
              <w:t xml:space="preserve">redacted </w:t>
            </w:r>
            <w:proofErr w:type="spellStart"/>
            <w:r w:rsidR="00154324" w:rsidRPr="00154324">
              <w:rPr>
                <w:color w:val="000000"/>
                <w:sz w:val="2"/>
                <w:szCs w:val="20"/>
                <w:highlight w:val="black"/>
              </w:rPr>
              <w:t>content</w:t>
            </w:r>
            <w:r w:rsidR="00E50879" w:rsidRPr="006E152F">
              <w:rPr>
                <w:rFonts w:cs="Arial"/>
                <w:vertAlign w:val="superscript"/>
              </w:rPr>
              <w:t>a</w:t>
            </w:r>
            <w:proofErr w:type="spellEnd"/>
          </w:p>
          <w:p w14:paraId="1053F39B" w14:textId="77777777" w:rsidR="00435150" w:rsidRPr="00154324" w:rsidRDefault="00435150" w:rsidP="00676C6D">
            <w:pPr>
              <w:pStyle w:val="TableText0"/>
              <w:keepLines/>
              <w:rPr>
                <w:szCs w:val="20"/>
                <w:highlight w:val="lightGray"/>
              </w:rPr>
            </w:pPr>
          </w:p>
        </w:tc>
      </w:tr>
      <w:tr w:rsidR="0010407A" w:rsidRPr="00D32758" w14:paraId="2D901F30" w14:textId="77777777" w:rsidTr="00E02021">
        <w:trPr>
          <w:trHeight w:val="325"/>
        </w:trPr>
        <w:tc>
          <w:tcPr>
            <w:tcW w:w="832" w:type="pct"/>
            <w:noWrap/>
            <w:vAlign w:val="center"/>
          </w:tcPr>
          <w:p w14:paraId="64D0DF09" w14:textId="77777777" w:rsidR="00435150" w:rsidRPr="00F645FB" w:rsidRDefault="00435150" w:rsidP="00676C6D">
            <w:pPr>
              <w:pStyle w:val="TableText0"/>
              <w:keepLines/>
              <w:rPr>
                <w:rFonts w:cs="Arial"/>
              </w:rPr>
            </w:pPr>
            <w:r w:rsidRPr="00F645FB">
              <w:rPr>
                <w:rFonts w:cs="Arial"/>
              </w:rPr>
              <w:t>Actual Commonwealth Payment</w:t>
            </w:r>
          </w:p>
        </w:tc>
        <w:tc>
          <w:tcPr>
            <w:tcW w:w="695" w:type="pct"/>
            <w:vAlign w:val="center"/>
          </w:tcPr>
          <w:p w14:paraId="3C094C96" w14:textId="0080D2B9" w:rsidR="00435150" w:rsidRPr="00154324" w:rsidRDefault="006E152F" w:rsidP="00676C6D">
            <w:pPr>
              <w:pStyle w:val="TableText0"/>
              <w:keepLines/>
              <w:rPr>
                <w:rFonts w:cs="Arial"/>
                <w:highlight w:val="lightGray"/>
              </w:rPr>
            </w:pPr>
            <w:r w:rsidRPr="006E152F">
              <w:rPr>
                <w:rFonts w:cs="Arial"/>
              </w:rPr>
              <w:t>$</w:t>
            </w:r>
            <w:r w:rsidR="00154324" w:rsidRPr="00154324">
              <w:rPr>
                <w:rFonts w:cs="Arial"/>
                <w:sz w:val="2"/>
                <w:highlight w:val="black"/>
              </w:rPr>
              <w:t>redacted content</w:t>
            </w:r>
          </w:p>
        </w:tc>
        <w:tc>
          <w:tcPr>
            <w:tcW w:w="695" w:type="pct"/>
            <w:vAlign w:val="center"/>
          </w:tcPr>
          <w:p w14:paraId="4BCBFB0C" w14:textId="23D14E7F" w:rsidR="00435150" w:rsidRPr="00154324" w:rsidRDefault="006E152F" w:rsidP="00676C6D">
            <w:pPr>
              <w:pStyle w:val="TableText0"/>
              <w:keepLines/>
              <w:rPr>
                <w:rFonts w:cs="Arial"/>
                <w:highlight w:val="lightGray"/>
              </w:rPr>
            </w:pPr>
            <w:r w:rsidRPr="006E152F">
              <w:rPr>
                <w:rFonts w:cs="Arial"/>
              </w:rPr>
              <w:t>$</w:t>
            </w:r>
            <w:r w:rsidR="00154324" w:rsidRPr="00154324">
              <w:rPr>
                <w:rFonts w:cs="Arial"/>
                <w:sz w:val="2"/>
                <w:highlight w:val="black"/>
              </w:rPr>
              <w:t>redacted content</w:t>
            </w:r>
          </w:p>
        </w:tc>
        <w:tc>
          <w:tcPr>
            <w:tcW w:w="695" w:type="pct"/>
            <w:noWrap/>
            <w:vAlign w:val="center"/>
          </w:tcPr>
          <w:p w14:paraId="6B6ACC0E" w14:textId="04A416D7" w:rsidR="00435150" w:rsidRPr="00154324" w:rsidRDefault="006E152F" w:rsidP="00676C6D">
            <w:pPr>
              <w:pStyle w:val="TableText0"/>
              <w:keepLines/>
              <w:rPr>
                <w:rFonts w:cs="Arial"/>
                <w:highlight w:val="lightGray"/>
              </w:rPr>
            </w:pPr>
            <w:r w:rsidRPr="006E152F">
              <w:rPr>
                <w:rFonts w:cs="Arial"/>
              </w:rPr>
              <w:t>$</w:t>
            </w:r>
            <w:r w:rsidR="00154324" w:rsidRPr="00154324">
              <w:rPr>
                <w:rFonts w:cs="Arial"/>
                <w:sz w:val="2"/>
                <w:highlight w:val="black"/>
              </w:rPr>
              <w:t>redacted content</w:t>
            </w:r>
          </w:p>
        </w:tc>
        <w:tc>
          <w:tcPr>
            <w:tcW w:w="695" w:type="pct"/>
            <w:noWrap/>
            <w:vAlign w:val="center"/>
          </w:tcPr>
          <w:p w14:paraId="7B2326F9" w14:textId="565042FC" w:rsidR="00435150" w:rsidRPr="00154324" w:rsidRDefault="006E152F" w:rsidP="00676C6D">
            <w:pPr>
              <w:pStyle w:val="TableText0"/>
              <w:keepLines/>
              <w:rPr>
                <w:rFonts w:cs="Arial"/>
                <w:highlight w:val="lightGray"/>
              </w:rPr>
            </w:pPr>
            <w:r w:rsidRPr="006E152F">
              <w:rPr>
                <w:rFonts w:cs="Arial"/>
              </w:rPr>
              <w:t>$</w:t>
            </w:r>
            <w:r w:rsidR="00154324" w:rsidRPr="00154324">
              <w:rPr>
                <w:rFonts w:cs="Arial"/>
                <w:sz w:val="2"/>
                <w:highlight w:val="black"/>
              </w:rPr>
              <w:t>redacted content</w:t>
            </w:r>
          </w:p>
        </w:tc>
        <w:tc>
          <w:tcPr>
            <w:tcW w:w="695" w:type="pct"/>
            <w:noWrap/>
            <w:vAlign w:val="center"/>
          </w:tcPr>
          <w:p w14:paraId="0E9B2242" w14:textId="43FA9D98" w:rsidR="00435150" w:rsidRPr="00154324" w:rsidRDefault="006E152F" w:rsidP="00676C6D">
            <w:pPr>
              <w:pStyle w:val="TableText0"/>
              <w:keepLines/>
              <w:rPr>
                <w:rFonts w:cs="Arial"/>
                <w:highlight w:val="lightGray"/>
              </w:rPr>
            </w:pPr>
            <w:r w:rsidRPr="006E152F">
              <w:rPr>
                <w:rFonts w:cs="Arial"/>
              </w:rPr>
              <w:t>$</w:t>
            </w:r>
            <w:r w:rsidR="00154324" w:rsidRPr="00154324">
              <w:rPr>
                <w:rFonts w:cs="Arial"/>
                <w:sz w:val="2"/>
                <w:highlight w:val="black"/>
              </w:rPr>
              <w:t>redacted content</w:t>
            </w:r>
          </w:p>
        </w:tc>
        <w:tc>
          <w:tcPr>
            <w:tcW w:w="693" w:type="pct"/>
            <w:vAlign w:val="center"/>
          </w:tcPr>
          <w:p w14:paraId="707E04EE" w14:textId="486CC071" w:rsidR="00435150" w:rsidRPr="00154324" w:rsidRDefault="006E152F" w:rsidP="00676C6D">
            <w:pPr>
              <w:pStyle w:val="TableText0"/>
              <w:keepLines/>
              <w:rPr>
                <w:rFonts w:cs="Arial"/>
                <w:highlight w:val="lightGray"/>
              </w:rPr>
            </w:pPr>
            <w:r w:rsidRPr="006E152F">
              <w:rPr>
                <w:rFonts w:cs="Arial"/>
              </w:rPr>
              <w:t>$</w:t>
            </w:r>
            <w:r w:rsidR="00154324" w:rsidRPr="00154324">
              <w:rPr>
                <w:rFonts w:cs="Arial"/>
                <w:sz w:val="2"/>
                <w:highlight w:val="black"/>
              </w:rPr>
              <w:t>redacted content</w:t>
            </w:r>
          </w:p>
        </w:tc>
      </w:tr>
      <w:tr w:rsidR="0010407A" w:rsidRPr="00D32758" w14:paraId="2F56DF83" w14:textId="77777777" w:rsidTr="00E02021">
        <w:trPr>
          <w:trHeight w:val="325"/>
        </w:trPr>
        <w:tc>
          <w:tcPr>
            <w:tcW w:w="832" w:type="pct"/>
            <w:noWrap/>
            <w:vAlign w:val="center"/>
          </w:tcPr>
          <w:p w14:paraId="0D0950AD" w14:textId="77777777" w:rsidR="00435150" w:rsidRPr="00F645FB" w:rsidRDefault="00435150" w:rsidP="00676C6D">
            <w:pPr>
              <w:pStyle w:val="TableText0"/>
              <w:keepLines/>
              <w:rPr>
                <w:rFonts w:cs="Arial"/>
              </w:rPr>
            </w:pPr>
            <w:r w:rsidRPr="00F645FB">
              <w:rPr>
                <w:rFonts w:cs="Arial"/>
              </w:rPr>
              <w:t>Market Share – inotuzumab ozogamicin</w:t>
            </w:r>
          </w:p>
        </w:tc>
        <w:tc>
          <w:tcPr>
            <w:tcW w:w="695" w:type="pct"/>
            <w:vAlign w:val="center"/>
          </w:tcPr>
          <w:p w14:paraId="3968C754" w14:textId="48210C79"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5" w:type="pct"/>
            <w:vAlign w:val="center"/>
          </w:tcPr>
          <w:p w14:paraId="03B3AA20" w14:textId="09CAC6CE"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5" w:type="pct"/>
            <w:noWrap/>
            <w:vAlign w:val="center"/>
          </w:tcPr>
          <w:p w14:paraId="1E92417A" w14:textId="0DF6E604"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5" w:type="pct"/>
            <w:noWrap/>
            <w:vAlign w:val="center"/>
          </w:tcPr>
          <w:p w14:paraId="6BE6B378" w14:textId="42D2D8AA"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5" w:type="pct"/>
            <w:noWrap/>
            <w:vAlign w:val="center"/>
          </w:tcPr>
          <w:p w14:paraId="0C7FEDBF" w14:textId="724B73E8"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3" w:type="pct"/>
            <w:vAlign w:val="center"/>
          </w:tcPr>
          <w:p w14:paraId="22D06246" w14:textId="4D3ACDE2" w:rsidR="00435150" w:rsidRPr="00154324" w:rsidRDefault="00154324" w:rsidP="00676C6D">
            <w:pPr>
              <w:pStyle w:val="TableText0"/>
              <w:keepLines/>
              <w:rPr>
                <w:rFonts w:cs="Arial"/>
                <w:vertAlign w:val="superscript"/>
              </w:rPr>
            </w:pPr>
            <w:r w:rsidRPr="00154324">
              <w:rPr>
                <w:rFonts w:cs="Arial"/>
                <w:sz w:val="2"/>
                <w:highlight w:val="black"/>
              </w:rPr>
              <w:t xml:space="preserve">redacted </w:t>
            </w:r>
            <w:proofErr w:type="spellStart"/>
            <w:r w:rsidRPr="00154324">
              <w:rPr>
                <w:rFonts w:cs="Arial"/>
                <w:sz w:val="2"/>
                <w:highlight w:val="black"/>
              </w:rPr>
              <w:t>content</w:t>
            </w:r>
            <w:r w:rsidR="006E152F" w:rsidRPr="006E152F">
              <w:rPr>
                <w:rFonts w:cs="Arial"/>
              </w:rPr>
              <w:t>%</w:t>
            </w:r>
            <w:r w:rsidR="00E50879" w:rsidRPr="006E152F">
              <w:rPr>
                <w:rFonts w:cs="Arial"/>
                <w:vertAlign w:val="superscript"/>
              </w:rPr>
              <w:t>a</w:t>
            </w:r>
            <w:proofErr w:type="spellEnd"/>
          </w:p>
        </w:tc>
      </w:tr>
      <w:tr w:rsidR="0010407A" w:rsidRPr="00D32758" w14:paraId="43E7D21A" w14:textId="77777777" w:rsidTr="00E02021">
        <w:trPr>
          <w:trHeight w:val="325"/>
        </w:trPr>
        <w:tc>
          <w:tcPr>
            <w:tcW w:w="832" w:type="pct"/>
            <w:noWrap/>
            <w:vAlign w:val="center"/>
          </w:tcPr>
          <w:p w14:paraId="32C97464" w14:textId="77777777" w:rsidR="00435150" w:rsidRPr="00F645FB" w:rsidRDefault="00435150" w:rsidP="00676C6D">
            <w:pPr>
              <w:pStyle w:val="TableText0"/>
              <w:keepLines/>
              <w:rPr>
                <w:rFonts w:cs="Arial"/>
              </w:rPr>
            </w:pPr>
            <w:r w:rsidRPr="00F645FB">
              <w:rPr>
                <w:rFonts w:cs="Arial"/>
              </w:rPr>
              <w:t>Market Share - blinatumomab</w:t>
            </w:r>
          </w:p>
        </w:tc>
        <w:tc>
          <w:tcPr>
            <w:tcW w:w="695" w:type="pct"/>
            <w:vAlign w:val="center"/>
          </w:tcPr>
          <w:p w14:paraId="7582E4F6" w14:textId="6C8C200D"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5" w:type="pct"/>
            <w:vAlign w:val="center"/>
          </w:tcPr>
          <w:p w14:paraId="399699E5" w14:textId="35C1F953"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5" w:type="pct"/>
            <w:noWrap/>
            <w:vAlign w:val="center"/>
          </w:tcPr>
          <w:p w14:paraId="619AA8A7" w14:textId="649F1059"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5" w:type="pct"/>
            <w:noWrap/>
            <w:vAlign w:val="center"/>
          </w:tcPr>
          <w:p w14:paraId="0544ECEF" w14:textId="3C01E941"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5" w:type="pct"/>
            <w:noWrap/>
            <w:vAlign w:val="center"/>
          </w:tcPr>
          <w:p w14:paraId="40422D45" w14:textId="2756A170"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3" w:type="pct"/>
            <w:vAlign w:val="center"/>
          </w:tcPr>
          <w:p w14:paraId="45CF7C7E" w14:textId="5BFB28B8" w:rsidR="00435150" w:rsidRPr="00154324" w:rsidRDefault="00154324" w:rsidP="00676C6D">
            <w:pPr>
              <w:pStyle w:val="TableText0"/>
              <w:keepLines/>
              <w:rPr>
                <w:rFonts w:cs="Arial"/>
                <w:highlight w:val="lightGray"/>
              </w:rPr>
            </w:pPr>
            <w:r w:rsidRPr="00154324">
              <w:rPr>
                <w:rFonts w:cs="Arial"/>
                <w:sz w:val="2"/>
                <w:highlight w:val="black"/>
              </w:rPr>
              <w:t xml:space="preserve">redacted </w:t>
            </w:r>
            <w:proofErr w:type="spellStart"/>
            <w:r w:rsidRPr="00154324">
              <w:rPr>
                <w:rFonts w:cs="Arial"/>
                <w:sz w:val="2"/>
                <w:highlight w:val="black"/>
              </w:rPr>
              <w:t>content</w:t>
            </w:r>
            <w:r w:rsidR="006E152F" w:rsidRPr="006E152F">
              <w:rPr>
                <w:rFonts w:cs="Arial"/>
              </w:rPr>
              <w:t>%</w:t>
            </w:r>
            <w:r w:rsidRPr="00154324">
              <w:rPr>
                <w:rFonts w:cs="Arial"/>
                <w:sz w:val="2"/>
                <w:highlight w:val="black"/>
                <w:vertAlign w:val="superscript"/>
              </w:rPr>
              <w:t>redacted</w:t>
            </w:r>
            <w:proofErr w:type="spellEnd"/>
            <w:r w:rsidRPr="00154324">
              <w:rPr>
                <w:rFonts w:cs="Arial"/>
                <w:sz w:val="2"/>
                <w:highlight w:val="black"/>
                <w:vertAlign w:val="superscript"/>
              </w:rPr>
              <w:t xml:space="preserve"> content</w:t>
            </w:r>
          </w:p>
        </w:tc>
      </w:tr>
      <w:tr w:rsidR="0010407A" w:rsidRPr="00D32758" w14:paraId="60312BF3" w14:textId="77777777" w:rsidTr="00E02021">
        <w:trPr>
          <w:trHeight w:val="325"/>
        </w:trPr>
        <w:tc>
          <w:tcPr>
            <w:tcW w:w="832" w:type="pct"/>
            <w:noWrap/>
            <w:vAlign w:val="center"/>
          </w:tcPr>
          <w:p w14:paraId="2F74119A" w14:textId="77777777" w:rsidR="00435150" w:rsidRPr="00F645FB" w:rsidRDefault="00435150" w:rsidP="00676C6D">
            <w:pPr>
              <w:pStyle w:val="TableText0"/>
              <w:keepLines/>
              <w:rPr>
                <w:rFonts w:cs="Arial"/>
              </w:rPr>
            </w:pPr>
            <w:r w:rsidRPr="00F645FB">
              <w:rPr>
                <w:rFonts w:cs="Arial"/>
              </w:rPr>
              <w:t>% of cap reached</w:t>
            </w:r>
          </w:p>
        </w:tc>
        <w:tc>
          <w:tcPr>
            <w:tcW w:w="695" w:type="pct"/>
            <w:vAlign w:val="center"/>
          </w:tcPr>
          <w:p w14:paraId="12D418D7" w14:textId="786D0EA7"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5" w:type="pct"/>
            <w:vAlign w:val="center"/>
          </w:tcPr>
          <w:p w14:paraId="6DC9A60D" w14:textId="1F5FAE31"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5" w:type="pct"/>
            <w:noWrap/>
            <w:vAlign w:val="center"/>
          </w:tcPr>
          <w:p w14:paraId="6BF43888" w14:textId="06824555"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5" w:type="pct"/>
            <w:noWrap/>
            <w:vAlign w:val="center"/>
          </w:tcPr>
          <w:p w14:paraId="1329A455" w14:textId="010E50C2"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5" w:type="pct"/>
            <w:noWrap/>
            <w:vAlign w:val="center"/>
          </w:tcPr>
          <w:p w14:paraId="3F920C26" w14:textId="3F95BE16" w:rsidR="00435150" w:rsidRPr="00154324" w:rsidRDefault="00154324" w:rsidP="00676C6D">
            <w:pPr>
              <w:pStyle w:val="TableText0"/>
              <w:keepLines/>
              <w:rPr>
                <w:rFonts w:cs="Arial"/>
                <w:highlight w:val="lightGray"/>
              </w:rPr>
            </w:pPr>
            <w:r w:rsidRPr="00154324">
              <w:rPr>
                <w:rFonts w:cs="Arial"/>
                <w:sz w:val="2"/>
                <w:highlight w:val="black"/>
              </w:rPr>
              <w:t>redacted content</w:t>
            </w:r>
            <w:r w:rsidR="006E152F" w:rsidRPr="006E152F">
              <w:rPr>
                <w:rFonts w:cs="Arial"/>
              </w:rPr>
              <w:t>%</w:t>
            </w:r>
          </w:p>
        </w:tc>
        <w:tc>
          <w:tcPr>
            <w:tcW w:w="693" w:type="pct"/>
            <w:vAlign w:val="center"/>
          </w:tcPr>
          <w:p w14:paraId="60E8DB47" w14:textId="0EA46B82" w:rsidR="00435150" w:rsidRPr="00154324" w:rsidRDefault="00154324" w:rsidP="00676C6D">
            <w:pPr>
              <w:pStyle w:val="TableText0"/>
              <w:keepLines/>
              <w:rPr>
                <w:rFonts w:cs="Arial"/>
                <w:vertAlign w:val="superscript"/>
              </w:rPr>
            </w:pPr>
            <w:r w:rsidRPr="00154324">
              <w:rPr>
                <w:rFonts w:cs="Arial"/>
                <w:sz w:val="2"/>
                <w:highlight w:val="black"/>
              </w:rPr>
              <w:t xml:space="preserve">redacted </w:t>
            </w:r>
            <w:proofErr w:type="spellStart"/>
            <w:r w:rsidRPr="00154324">
              <w:rPr>
                <w:rFonts w:cs="Arial"/>
                <w:sz w:val="2"/>
                <w:highlight w:val="black"/>
              </w:rPr>
              <w:t>content</w:t>
            </w:r>
            <w:r w:rsidR="006E152F" w:rsidRPr="006E152F">
              <w:rPr>
                <w:rFonts w:cs="Arial"/>
              </w:rPr>
              <w:t>%</w:t>
            </w:r>
            <w:r w:rsidR="00E50879" w:rsidRPr="006E152F">
              <w:rPr>
                <w:rFonts w:cs="Arial"/>
                <w:vertAlign w:val="superscript"/>
              </w:rPr>
              <w:t>a</w:t>
            </w:r>
            <w:proofErr w:type="spellEnd"/>
          </w:p>
        </w:tc>
      </w:tr>
    </w:tbl>
    <w:p w14:paraId="24CA8426" w14:textId="4445ABB0" w:rsidR="002473EC" w:rsidRDefault="0086329E" w:rsidP="00D275DF">
      <w:pPr>
        <w:pStyle w:val="3-BodyText"/>
        <w:keepNext/>
        <w:keepLines/>
        <w:numPr>
          <w:ilvl w:val="0"/>
          <w:numId w:val="0"/>
        </w:numPr>
        <w:spacing w:before="0" w:after="0"/>
        <w:rPr>
          <w:rFonts w:ascii="Arial Narrow" w:eastAsiaTheme="majorEastAsia" w:hAnsi="Arial Narrow" w:cs="Arial"/>
          <w:sz w:val="18"/>
          <w:szCs w:val="18"/>
        </w:rPr>
      </w:pPr>
      <w:r w:rsidRPr="00E02021">
        <w:rPr>
          <w:rFonts w:cs="Arial"/>
          <w:sz w:val="18"/>
          <w:szCs w:val="18"/>
          <w:vertAlign w:val="superscript"/>
        </w:rPr>
        <w:t>a</w:t>
      </w:r>
      <w:r w:rsidR="00773189">
        <w:rPr>
          <w:rFonts w:cs="Arial"/>
          <w:sz w:val="18"/>
          <w:szCs w:val="18"/>
          <w:vertAlign w:val="superscript"/>
        </w:rPr>
        <w:t xml:space="preserve"> </w:t>
      </w:r>
      <w:r w:rsidR="00773189">
        <w:rPr>
          <w:rFonts w:ascii="Arial Narrow" w:eastAsiaTheme="majorEastAsia" w:hAnsi="Arial Narrow" w:cs="Arial"/>
          <w:sz w:val="18"/>
          <w:szCs w:val="18"/>
        </w:rPr>
        <w:t>February 2026</w:t>
      </w:r>
      <w:r w:rsidR="002473EC" w:rsidRPr="00E02021">
        <w:rPr>
          <w:rFonts w:ascii="Arial Narrow" w:eastAsiaTheme="majorEastAsia" w:hAnsi="Arial Narrow" w:cs="Arial"/>
          <w:sz w:val="18"/>
          <w:szCs w:val="18"/>
        </w:rPr>
        <w:t xml:space="preserve"> estimate, not yet finalised</w:t>
      </w:r>
    </w:p>
    <w:p w14:paraId="4D934086" w14:textId="5701EFB8" w:rsidR="009D67E3" w:rsidRPr="00E02021" w:rsidRDefault="009D67E3" w:rsidP="00D275DF">
      <w:pPr>
        <w:pStyle w:val="3-BodyText"/>
        <w:keepNext/>
        <w:keepLines/>
        <w:numPr>
          <w:ilvl w:val="0"/>
          <w:numId w:val="0"/>
        </w:numPr>
        <w:spacing w:before="0" w:after="0"/>
        <w:rPr>
          <w:rFonts w:ascii="Arial Narrow" w:eastAsiaTheme="majorEastAsia" w:hAnsi="Arial Narrow" w:cs="Arial"/>
          <w:sz w:val="18"/>
          <w:szCs w:val="18"/>
        </w:rPr>
      </w:pPr>
      <w:r>
        <w:rPr>
          <w:rFonts w:cs="Arial"/>
          <w:sz w:val="18"/>
          <w:szCs w:val="18"/>
          <w:vertAlign w:val="superscript"/>
        </w:rPr>
        <w:t>b</w:t>
      </w:r>
      <w:r w:rsidR="00F802F4">
        <w:rPr>
          <w:rFonts w:ascii="Arial Narrow" w:eastAsiaTheme="majorEastAsia" w:hAnsi="Arial Narrow" w:cs="Arial"/>
          <w:sz w:val="18"/>
          <w:szCs w:val="18"/>
        </w:rPr>
        <w:t xml:space="preserve"> </w:t>
      </w:r>
      <w:r w:rsidR="00D275DF" w:rsidRPr="00D275DF">
        <w:rPr>
          <w:rFonts w:ascii="Arial Narrow" w:eastAsiaTheme="majorEastAsia" w:hAnsi="Arial Narrow" w:cs="Arial"/>
          <w:sz w:val="18"/>
          <w:szCs w:val="18"/>
        </w:rPr>
        <w:t>A new cap arrangement was proposed to Pfizer but was not accepted</w:t>
      </w:r>
    </w:p>
    <w:bookmarkEnd w:id="1"/>
    <w:p w14:paraId="520342EA" w14:textId="75B7B50B" w:rsidR="007C42B3" w:rsidRDefault="007A6725" w:rsidP="007C42B3">
      <w:pPr>
        <w:pStyle w:val="3-BodyText"/>
      </w:pPr>
      <w:r>
        <w:t>The table below</w:t>
      </w:r>
      <w:r w:rsidR="00B8712E">
        <w:t xml:space="preserve"> outlines t</w:t>
      </w:r>
      <w:r w:rsidR="00FC7B88">
        <w:t xml:space="preserve">he new subsidisation caps agreed with the sponsor of </w:t>
      </w:r>
      <w:r w:rsidR="00B8712E" w:rsidRPr="00AD4F23">
        <w:rPr>
          <w:iCs/>
        </w:rPr>
        <w:t xml:space="preserve">blinatumomab to reflect </w:t>
      </w:r>
      <w:r w:rsidR="00B6780B">
        <w:rPr>
          <w:iCs/>
        </w:rPr>
        <w:t>its</w:t>
      </w:r>
      <w:r w:rsidR="00B6780B" w:rsidRPr="00AD4F23">
        <w:rPr>
          <w:iCs/>
        </w:rPr>
        <w:t xml:space="preserve"> </w:t>
      </w:r>
      <w:r w:rsidR="00B8712E" w:rsidRPr="00AD4F23">
        <w:rPr>
          <w:iCs/>
        </w:rPr>
        <w:t xml:space="preserve">expanded </w:t>
      </w:r>
      <w:r w:rsidR="0029785C" w:rsidRPr="00AD4F23">
        <w:rPr>
          <w:iCs/>
        </w:rPr>
        <w:t>listing</w:t>
      </w:r>
      <w:r w:rsidR="00B2276D">
        <w:rPr>
          <w:iCs/>
        </w:rPr>
        <w:t xml:space="preserve"> </w:t>
      </w:r>
      <w:r w:rsidR="00600379">
        <w:rPr>
          <w:iCs/>
        </w:rPr>
        <w:t>inclusive of</w:t>
      </w:r>
      <w:r w:rsidR="00B2276D">
        <w:rPr>
          <w:iCs/>
        </w:rPr>
        <w:t xml:space="preserve"> newly diagnosed B-ALL patients who are MRD-negative following </w:t>
      </w:r>
      <w:r w:rsidR="0001146D" w:rsidRPr="0075756B">
        <w:rPr>
          <w:iCs/>
        </w:rPr>
        <w:t>induction chemotherapy</w:t>
      </w:r>
      <w:r w:rsidR="00997A15" w:rsidRPr="0075756B">
        <w:rPr>
          <w:iCs/>
        </w:rPr>
        <w:t xml:space="preserve"> (</w:t>
      </w:r>
      <w:r w:rsidR="001605F2" w:rsidRPr="0075756B">
        <w:rPr>
          <w:iCs/>
        </w:rPr>
        <w:t xml:space="preserve">noting that </w:t>
      </w:r>
      <w:r>
        <w:rPr>
          <w:iCs/>
        </w:rPr>
        <w:t>the shared caps are</w:t>
      </w:r>
      <w:r w:rsidR="00997A15" w:rsidRPr="0075756B">
        <w:rPr>
          <w:iCs/>
        </w:rPr>
        <w:t xml:space="preserve"> inclusive of sequential use with inotuzumab </w:t>
      </w:r>
      <w:r w:rsidR="00350DF7" w:rsidRPr="0075756B">
        <w:rPr>
          <w:iCs/>
        </w:rPr>
        <w:t>in the R/R setting)</w:t>
      </w:r>
      <w:r w:rsidR="0001146D" w:rsidRPr="0075756B">
        <w:rPr>
          <w:iCs/>
        </w:rPr>
        <w:t>.</w:t>
      </w:r>
      <w:r w:rsidR="0001146D">
        <w:rPr>
          <w:iCs/>
        </w:rPr>
        <w:t xml:space="preserve"> These arrangements were</w:t>
      </w:r>
      <w:r w:rsidR="00FC7B88">
        <w:t xml:space="preserve"> </w:t>
      </w:r>
      <w:r w:rsidR="00A62EA5">
        <w:t>declined by Pfizer</w:t>
      </w:r>
      <w:r w:rsidR="00D36E50">
        <w:t>.</w:t>
      </w:r>
      <w:r w:rsidR="0029785C">
        <w:t xml:space="preserve"> A new rebate </w:t>
      </w:r>
      <w:r w:rsidR="0029785C" w:rsidRPr="005D4F5D">
        <w:t xml:space="preserve">of </w:t>
      </w:r>
      <w:r w:rsidR="00154324" w:rsidRPr="00154324">
        <w:rPr>
          <w:sz w:val="2"/>
          <w:highlight w:val="black"/>
        </w:rPr>
        <w:t>redacted content</w:t>
      </w:r>
      <w:r w:rsidR="0029785C" w:rsidRPr="005D4F5D">
        <w:t xml:space="preserve">% (previously </w:t>
      </w:r>
      <w:r w:rsidR="00154324" w:rsidRPr="00154324">
        <w:rPr>
          <w:sz w:val="2"/>
          <w:highlight w:val="black"/>
        </w:rPr>
        <w:t>redacted content</w:t>
      </w:r>
      <w:r w:rsidR="0029785C" w:rsidRPr="005D4F5D">
        <w:t>%) applies</w:t>
      </w:r>
      <w:r w:rsidR="0029785C">
        <w:t xml:space="preserve"> for use exceeding the caps.</w:t>
      </w:r>
    </w:p>
    <w:p w14:paraId="5F257848" w14:textId="2355B70A" w:rsidR="007C42B3" w:rsidRDefault="007C42B3" w:rsidP="007C42B3">
      <w:pPr>
        <w:pStyle w:val="TableText0"/>
        <w:keepLines/>
        <w:widowControl w:val="0"/>
        <w:rPr>
          <w:rFonts w:cs="Arial"/>
          <w:b/>
          <w:bCs w:val="0"/>
        </w:rPr>
      </w:pPr>
      <w:r w:rsidRPr="00DC1C20">
        <w:rPr>
          <w:rFonts w:cs="Arial"/>
          <w:b/>
          <w:bCs w:val="0"/>
        </w:rPr>
        <w:t xml:space="preserve">Table </w:t>
      </w:r>
      <w:r w:rsidR="009565D9">
        <w:rPr>
          <w:rFonts w:cs="Arial"/>
          <w:b/>
          <w:bCs w:val="0"/>
        </w:rPr>
        <w:t>3</w:t>
      </w:r>
      <w:r w:rsidRPr="00DC1C20">
        <w:rPr>
          <w:rFonts w:cs="Arial"/>
          <w:b/>
          <w:bCs w:val="0"/>
        </w:rPr>
        <w:t xml:space="preserve">: </w:t>
      </w:r>
      <w:r w:rsidR="00081480">
        <w:rPr>
          <w:rFonts w:cs="Arial"/>
          <w:b/>
          <w:bCs w:val="0"/>
        </w:rPr>
        <w:t>New subsidisation</w:t>
      </w:r>
      <w:r w:rsidRPr="00DC1C20">
        <w:rPr>
          <w:rFonts w:cs="Arial"/>
          <w:b/>
          <w:bCs w:val="0"/>
        </w:rPr>
        <w:t xml:space="preserve"> caps</w:t>
      </w:r>
    </w:p>
    <w:tbl>
      <w:tblPr>
        <w:tblpPr w:leftFromText="180" w:rightFromText="180" w:vertAnchor="text" w:horzAnchor="margin" w:tblpY="133"/>
        <w:tblW w:w="4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New subsidisation caps"/>
      </w:tblPr>
      <w:tblGrid>
        <w:gridCol w:w="1474"/>
        <w:gridCol w:w="1474"/>
        <w:gridCol w:w="1474"/>
        <w:gridCol w:w="1474"/>
        <w:gridCol w:w="1474"/>
      </w:tblGrid>
      <w:tr w:rsidR="00A5135A" w:rsidRPr="00D32758" w14:paraId="56823B26" w14:textId="77777777" w:rsidTr="00A5135A">
        <w:trPr>
          <w:trHeight w:val="325"/>
        </w:trPr>
        <w:tc>
          <w:tcPr>
            <w:tcW w:w="1000" w:type="pct"/>
            <w:vAlign w:val="center"/>
          </w:tcPr>
          <w:p w14:paraId="5E8DAE50" w14:textId="5561AF52" w:rsidR="0013026B" w:rsidRPr="00E50879" w:rsidRDefault="0013026B" w:rsidP="00BE4353">
            <w:pPr>
              <w:pStyle w:val="TableText0"/>
              <w:rPr>
                <w:b/>
                <w:bCs w:val="0"/>
                <w:szCs w:val="20"/>
              </w:rPr>
            </w:pPr>
            <w:r w:rsidRPr="00E50879">
              <w:rPr>
                <w:b/>
                <w:bCs w:val="0"/>
                <w:szCs w:val="20"/>
              </w:rPr>
              <w:t>Y</w:t>
            </w:r>
            <w:r w:rsidR="00A52539">
              <w:rPr>
                <w:b/>
                <w:bCs w:val="0"/>
                <w:szCs w:val="20"/>
              </w:rPr>
              <w:t xml:space="preserve">ear </w:t>
            </w:r>
            <w:r w:rsidRPr="00E50879">
              <w:rPr>
                <w:b/>
                <w:bCs w:val="0"/>
                <w:szCs w:val="20"/>
              </w:rPr>
              <w:t>1 (M</w:t>
            </w:r>
            <w:r>
              <w:rPr>
                <w:b/>
                <w:bCs w:val="0"/>
                <w:szCs w:val="20"/>
              </w:rPr>
              <w:t>arch</w:t>
            </w:r>
            <w:r w:rsidRPr="00E50879">
              <w:rPr>
                <w:b/>
                <w:bCs w:val="0"/>
                <w:szCs w:val="20"/>
              </w:rPr>
              <w:t xml:space="preserve"> 2</w:t>
            </w:r>
            <w:r>
              <w:rPr>
                <w:b/>
                <w:bCs w:val="0"/>
                <w:szCs w:val="20"/>
              </w:rPr>
              <w:t>025</w:t>
            </w:r>
            <w:r w:rsidRPr="00E50879">
              <w:rPr>
                <w:b/>
                <w:bCs w:val="0"/>
                <w:szCs w:val="20"/>
              </w:rPr>
              <w:t>-</w:t>
            </w:r>
            <w:r>
              <w:rPr>
                <w:b/>
                <w:bCs w:val="0"/>
                <w:szCs w:val="20"/>
              </w:rPr>
              <w:t>Feb</w:t>
            </w:r>
            <w:r w:rsidRPr="00E50879">
              <w:rPr>
                <w:b/>
                <w:bCs w:val="0"/>
                <w:szCs w:val="20"/>
              </w:rPr>
              <w:t xml:space="preserve"> 202</w:t>
            </w:r>
            <w:r>
              <w:rPr>
                <w:b/>
                <w:bCs w:val="0"/>
                <w:szCs w:val="20"/>
              </w:rPr>
              <w:t>6</w:t>
            </w:r>
            <w:r w:rsidRPr="00E50879">
              <w:rPr>
                <w:b/>
                <w:bCs w:val="0"/>
                <w:szCs w:val="20"/>
              </w:rPr>
              <w:t>)</w:t>
            </w:r>
          </w:p>
        </w:tc>
        <w:tc>
          <w:tcPr>
            <w:tcW w:w="1000" w:type="pct"/>
            <w:vAlign w:val="center"/>
          </w:tcPr>
          <w:p w14:paraId="7C650A6D" w14:textId="01CB4641" w:rsidR="0013026B" w:rsidRPr="00E50879" w:rsidRDefault="0013026B" w:rsidP="00BE4353">
            <w:pPr>
              <w:pStyle w:val="TableText0"/>
              <w:rPr>
                <w:b/>
                <w:bCs w:val="0"/>
                <w:szCs w:val="20"/>
              </w:rPr>
            </w:pPr>
            <w:r w:rsidRPr="00E50879">
              <w:rPr>
                <w:b/>
                <w:bCs w:val="0"/>
                <w:szCs w:val="20"/>
              </w:rPr>
              <w:t>Y</w:t>
            </w:r>
            <w:r w:rsidR="00A52539">
              <w:rPr>
                <w:b/>
                <w:bCs w:val="0"/>
                <w:szCs w:val="20"/>
              </w:rPr>
              <w:t xml:space="preserve">ear </w:t>
            </w:r>
            <w:r w:rsidRPr="00E50879">
              <w:rPr>
                <w:b/>
                <w:bCs w:val="0"/>
                <w:szCs w:val="20"/>
              </w:rPr>
              <w:t>2 (M</w:t>
            </w:r>
            <w:r>
              <w:rPr>
                <w:b/>
                <w:bCs w:val="0"/>
                <w:szCs w:val="20"/>
              </w:rPr>
              <w:t>arch</w:t>
            </w:r>
            <w:r w:rsidRPr="00E50879">
              <w:rPr>
                <w:b/>
                <w:bCs w:val="0"/>
                <w:szCs w:val="20"/>
              </w:rPr>
              <w:t xml:space="preserve"> 2</w:t>
            </w:r>
            <w:r>
              <w:rPr>
                <w:b/>
                <w:bCs w:val="0"/>
                <w:szCs w:val="20"/>
              </w:rPr>
              <w:t>026</w:t>
            </w:r>
            <w:r w:rsidRPr="00E50879">
              <w:rPr>
                <w:b/>
                <w:bCs w:val="0"/>
                <w:szCs w:val="20"/>
              </w:rPr>
              <w:t>-</w:t>
            </w:r>
            <w:r>
              <w:rPr>
                <w:b/>
                <w:bCs w:val="0"/>
                <w:szCs w:val="20"/>
              </w:rPr>
              <w:t>Feb</w:t>
            </w:r>
            <w:r w:rsidRPr="00E50879">
              <w:rPr>
                <w:b/>
                <w:bCs w:val="0"/>
                <w:szCs w:val="20"/>
              </w:rPr>
              <w:t xml:space="preserve"> 202</w:t>
            </w:r>
            <w:r>
              <w:rPr>
                <w:b/>
                <w:bCs w:val="0"/>
                <w:szCs w:val="20"/>
              </w:rPr>
              <w:t>7</w:t>
            </w:r>
            <w:r w:rsidRPr="00E50879">
              <w:rPr>
                <w:b/>
                <w:bCs w:val="0"/>
                <w:szCs w:val="20"/>
              </w:rPr>
              <w:t>)</w:t>
            </w:r>
          </w:p>
        </w:tc>
        <w:tc>
          <w:tcPr>
            <w:tcW w:w="1000" w:type="pct"/>
            <w:noWrap/>
            <w:vAlign w:val="center"/>
            <w:hideMark/>
          </w:tcPr>
          <w:p w14:paraId="4B4DEFDB" w14:textId="089AC8F9" w:rsidR="0013026B" w:rsidRPr="00E50879" w:rsidRDefault="0013026B" w:rsidP="00BE4353">
            <w:pPr>
              <w:pStyle w:val="TableText0"/>
              <w:rPr>
                <w:rFonts w:cs="Calibri"/>
                <w:b/>
                <w:bCs w:val="0"/>
                <w:color w:val="000000"/>
              </w:rPr>
            </w:pPr>
            <w:r w:rsidRPr="00E50879">
              <w:rPr>
                <w:b/>
                <w:bCs w:val="0"/>
                <w:szCs w:val="20"/>
              </w:rPr>
              <w:t>Y</w:t>
            </w:r>
            <w:r w:rsidR="00A52539">
              <w:rPr>
                <w:b/>
                <w:bCs w:val="0"/>
                <w:szCs w:val="20"/>
              </w:rPr>
              <w:t xml:space="preserve">ear </w:t>
            </w:r>
            <w:r w:rsidRPr="00E50879">
              <w:rPr>
                <w:b/>
                <w:bCs w:val="0"/>
                <w:szCs w:val="20"/>
              </w:rPr>
              <w:t>3 (M</w:t>
            </w:r>
            <w:r>
              <w:rPr>
                <w:b/>
                <w:bCs w:val="0"/>
                <w:szCs w:val="20"/>
              </w:rPr>
              <w:t>arch</w:t>
            </w:r>
            <w:r w:rsidRPr="00E50879">
              <w:rPr>
                <w:b/>
                <w:bCs w:val="0"/>
                <w:szCs w:val="20"/>
              </w:rPr>
              <w:t xml:space="preserve"> 2</w:t>
            </w:r>
            <w:r>
              <w:rPr>
                <w:b/>
                <w:bCs w:val="0"/>
                <w:szCs w:val="20"/>
              </w:rPr>
              <w:t>027</w:t>
            </w:r>
            <w:r w:rsidRPr="00E50879">
              <w:rPr>
                <w:b/>
                <w:bCs w:val="0"/>
                <w:szCs w:val="20"/>
              </w:rPr>
              <w:t>-</w:t>
            </w:r>
            <w:r>
              <w:rPr>
                <w:b/>
                <w:bCs w:val="0"/>
                <w:szCs w:val="20"/>
              </w:rPr>
              <w:t>Feb</w:t>
            </w:r>
            <w:r w:rsidRPr="00E50879">
              <w:rPr>
                <w:b/>
                <w:bCs w:val="0"/>
                <w:szCs w:val="20"/>
              </w:rPr>
              <w:t xml:space="preserve"> 202</w:t>
            </w:r>
            <w:r>
              <w:rPr>
                <w:b/>
                <w:bCs w:val="0"/>
                <w:szCs w:val="20"/>
              </w:rPr>
              <w:t>8</w:t>
            </w:r>
            <w:r w:rsidRPr="00E50879">
              <w:rPr>
                <w:b/>
                <w:bCs w:val="0"/>
                <w:szCs w:val="20"/>
              </w:rPr>
              <w:t>)</w:t>
            </w:r>
          </w:p>
        </w:tc>
        <w:tc>
          <w:tcPr>
            <w:tcW w:w="1000" w:type="pct"/>
            <w:noWrap/>
            <w:vAlign w:val="center"/>
            <w:hideMark/>
          </w:tcPr>
          <w:p w14:paraId="07F792EF" w14:textId="1D8FF9C8" w:rsidR="0013026B" w:rsidRPr="00E50879" w:rsidRDefault="0013026B" w:rsidP="00BE4353">
            <w:pPr>
              <w:pStyle w:val="TableText0"/>
              <w:rPr>
                <w:rFonts w:cs="Calibri"/>
                <w:b/>
                <w:bCs w:val="0"/>
                <w:color w:val="000000"/>
              </w:rPr>
            </w:pPr>
            <w:r w:rsidRPr="00E50879">
              <w:rPr>
                <w:b/>
                <w:bCs w:val="0"/>
                <w:szCs w:val="20"/>
              </w:rPr>
              <w:t>Y</w:t>
            </w:r>
            <w:r w:rsidR="00A52539">
              <w:rPr>
                <w:b/>
                <w:bCs w:val="0"/>
                <w:szCs w:val="20"/>
              </w:rPr>
              <w:t xml:space="preserve">ear </w:t>
            </w:r>
            <w:r w:rsidRPr="00E50879">
              <w:rPr>
                <w:b/>
                <w:bCs w:val="0"/>
                <w:szCs w:val="20"/>
              </w:rPr>
              <w:t>4 (M</w:t>
            </w:r>
            <w:r>
              <w:rPr>
                <w:b/>
                <w:bCs w:val="0"/>
                <w:szCs w:val="20"/>
              </w:rPr>
              <w:t>arch</w:t>
            </w:r>
            <w:r w:rsidRPr="00E50879">
              <w:rPr>
                <w:b/>
                <w:bCs w:val="0"/>
                <w:szCs w:val="20"/>
              </w:rPr>
              <w:t xml:space="preserve"> 2</w:t>
            </w:r>
            <w:r>
              <w:rPr>
                <w:b/>
                <w:bCs w:val="0"/>
                <w:szCs w:val="20"/>
              </w:rPr>
              <w:t>028</w:t>
            </w:r>
            <w:r w:rsidRPr="00E50879">
              <w:rPr>
                <w:b/>
                <w:bCs w:val="0"/>
                <w:szCs w:val="20"/>
              </w:rPr>
              <w:t>-</w:t>
            </w:r>
            <w:r>
              <w:rPr>
                <w:b/>
                <w:bCs w:val="0"/>
                <w:szCs w:val="20"/>
              </w:rPr>
              <w:t>Feb</w:t>
            </w:r>
            <w:r w:rsidRPr="00E50879">
              <w:rPr>
                <w:b/>
                <w:bCs w:val="0"/>
                <w:szCs w:val="20"/>
              </w:rPr>
              <w:t xml:space="preserve"> 202</w:t>
            </w:r>
            <w:r>
              <w:rPr>
                <w:b/>
                <w:bCs w:val="0"/>
                <w:szCs w:val="20"/>
              </w:rPr>
              <w:t>9</w:t>
            </w:r>
            <w:r w:rsidRPr="00E50879">
              <w:rPr>
                <w:b/>
                <w:bCs w:val="0"/>
                <w:szCs w:val="20"/>
              </w:rPr>
              <w:t>)</w:t>
            </w:r>
          </w:p>
        </w:tc>
        <w:tc>
          <w:tcPr>
            <w:tcW w:w="1000" w:type="pct"/>
            <w:noWrap/>
            <w:vAlign w:val="center"/>
            <w:hideMark/>
          </w:tcPr>
          <w:p w14:paraId="3FCC7D4B" w14:textId="7D37EAAB" w:rsidR="0013026B" w:rsidRPr="00E50879" w:rsidRDefault="0013026B" w:rsidP="00BE4353">
            <w:pPr>
              <w:pStyle w:val="TableText0"/>
              <w:rPr>
                <w:rFonts w:cs="Calibri"/>
                <w:b/>
                <w:bCs w:val="0"/>
                <w:color w:val="000000"/>
              </w:rPr>
            </w:pPr>
            <w:r w:rsidRPr="00E50879">
              <w:rPr>
                <w:b/>
                <w:bCs w:val="0"/>
                <w:szCs w:val="20"/>
              </w:rPr>
              <w:t>Y</w:t>
            </w:r>
            <w:r w:rsidR="00A52539">
              <w:rPr>
                <w:b/>
                <w:bCs w:val="0"/>
                <w:szCs w:val="20"/>
              </w:rPr>
              <w:t xml:space="preserve">ear </w:t>
            </w:r>
            <w:r w:rsidRPr="00E50879">
              <w:rPr>
                <w:b/>
                <w:bCs w:val="0"/>
                <w:szCs w:val="20"/>
              </w:rPr>
              <w:t>5 (M</w:t>
            </w:r>
            <w:r>
              <w:rPr>
                <w:b/>
                <w:bCs w:val="0"/>
                <w:szCs w:val="20"/>
              </w:rPr>
              <w:t>arch</w:t>
            </w:r>
            <w:r w:rsidRPr="00E50879">
              <w:rPr>
                <w:b/>
                <w:bCs w:val="0"/>
                <w:szCs w:val="20"/>
              </w:rPr>
              <w:t xml:space="preserve"> 2</w:t>
            </w:r>
            <w:r>
              <w:rPr>
                <w:b/>
                <w:bCs w:val="0"/>
                <w:szCs w:val="20"/>
              </w:rPr>
              <w:t>029</w:t>
            </w:r>
            <w:r w:rsidRPr="00E50879">
              <w:rPr>
                <w:b/>
                <w:bCs w:val="0"/>
                <w:szCs w:val="20"/>
              </w:rPr>
              <w:t>-</w:t>
            </w:r>
            <w:r>
              <w:rPr>
                <w:b/>
                <w:bCs w:val="0"/>
                <w:szCs w:val="20"/>
              </w:rPr>
              <w:t>Feb</w:t>
            </w:r>
            <w:r w:rsidRPr="00E50879">
              <w:rPr>
                <w:b/>
                <w:bCs w:val="0"/>
                <w:szCs w:val="20"/>
              </w:rPr>
              <w:t xml:space="preserve"> 20</w:t>
            </w:r>
            <w:r>
              <w:rPr>
                <w:b/>
                <w:bCs w:val="0"/>
                <w:szCs w:val="20"/>
              </w:rPr>
              <w:t>30</w:t>
            </w:r>
            <w:r w:rsidRPr="00E50879">
              <w:rPr>
                <w:b/>
                <w:bCs w:val="0"/>
                <w:szCs w:val="20"/>
              </w:rPr>
              <w:t>)</w:t>
            </w:r>
          </w:p>
        </w:tc>
      </w:tr>
      <w:tr w:rsidR="00A5135A" w:rsidRPr="00D32758" w14:paraId="78CCD305" w14:textId="77777777" w:rsidTr="00A5135A">
        <w:trPr>
          <w:trHeight w:val="325"/>
        </w:trPr>
        <w:tc>
          <w:tcPr>
            <w:tcW w:w="1000" w:type="pct"/>
            <w:vAlign w:val="center"/>
          </w:tcPr>
          <w:p w14:paraId="4B167DCC" w14:textId="360E1415" w:rsidR="0013026B" w:rsidRPr="00261651" w:rsidRDefault="00BA6BB9" w:rsidP="00BE4353">
            <w:pPr>
              <w:pStyle w:val="TableText0"/>
            </w:pPr>
            <w:r w:rsidRPr="00BA6BB9">
              <w:t>$</w:t>
            </w:r>
            <w:r w:rsidR="00154324" w:rsidRPr="00154324">
              <w:rPr>
                <w:sz w:val="2"/>
                <w:highlight w:val="black"/>
              </w:rPr>
              <w:t>redacted content</w:t>
            </w:r>
          </w:p>
        </w:tc>
        <w:tc>
          <w:tcPr>
            <w:tcW w:w="1000" w:type="pct"/>
            <w:vAlign w:val="center"/>
          </w:tcPr>
          <w:p w14:paraId="38E4EA87" w14:textId="12D3762C" w:rsidR="0013026B" w:rsidRPr="00261651" w:rsidRDefault="006F5A7A" w:rsidP="00BE4353">
            <w:pPr>
              <w:pStyle w:val="TableText0"/>
              <w:rPr>
                <w:rFonts w:cs="Arial"/>
              </w:rPr>
            </w:pPr>
            <w:r w:rsidRPr="006F5A7A">
              <w:t>$</w:t>
            </w:r>
            <w:r w:rsidR="00154324" w:rsidRPr="00154324">
              <w:rPr>
                <w:sz w:val="2"/>
                <w:highlight w:val="black"/>
              </w:rPr>
              <w:t>redacted content</w:t>
            </w:r>
          </w:p>
        </w:tc>
        <w:tc>
          <w:tcPr>
            <w:tcW w:w="1000" w:type="pct"/>
            <w:noWrap/>
            <w:vAlign w:val="center"/>
          </w:tcPr>
          <w:p w14:paraId="41061AB4" w14:textId="4003730C" w:rsidR="0013026B" w:rsidRPr="00261651" w:rsidRDefault="00473DD9" w:rsidP="00BE4353">
            <w:pPr>
              <w:pStyle w:val="TableText0"/>
            </w:pPr>
            <w:r w:rsidRPr="00473DD9">
              <w:t>$</w:t>
            </w:r>
            <w:r w:rsidR="00154324" w:rsidRPr="00154324">
              <w:rPr>
                <w:sz w:val="2"/>
                <w:highlight w:val="black"/>
              </w:rPr>
              <w:t>redacted content</w:t>
            </w:r>
          </w:p>
        </w:tc>
        <w:tc>
          <w:tcPr>
            <w:tcW w:w="1000" w:type="pct"/>
            <w:noWrap/>
            <w:vAlign w:val="center"/>
          </w:tcPr>
          <w:p w14:paraId="223B472E" w14:textId="358207E7" w:rsidR="0013026B" w:rsidRPr="00261651" w:rsidRDefault="00F50576" w:rsidP="00BE4353">
            <w:pPr>
              <w:pStyle w:val="TableText0"/>
            </w:pPr>
            <w:r w:rsidRPr="00F50576">
              <w:t>$</w:t>
            </w:r>
            <w:r w:rsidR="00154324" w:rsidRPr="00154324">
              <w:rPr>
                <w:sz w:val="2"/>
                <w:highlight w:val="black"/>
              </w:rPr>
              <w:t>redacted content</w:t>
            </w:r>
          </w:p>
        </w:tc>
        <w:tc>
          <w:tcPr>
            <w:tcW w:w="1000" w:type="pct"/>
            <w:noWrap/>
            <w:vAlign w:val="center"/>
          </w:tcPr>
          <w:p w14:paraId="572676BE" w14:textId="3F7D5EDE" w:rsidR="0013026B" w:rsidRPr="00261651" w:rsidRDefault="004E433D" w:rsidP="00BE4353">
            <w:pPr>
              <w:pStyle w:val="TableText0"/>
            </w:pPr>
            <w:r w:rsidRPr="004E433D">
              <w:t>$</w:t>
            </w:r>
            <w:r w:rsidR="00154324" w:rsidRPr="00154324">
              <w:rPr>
                <w:sz w:val="2"/>
                <w:highlight w:val="black"/>
              </w:rPr>
              <w:t>redacted content</w:t>
            </w:r>
          </w:p>
        </w:tc>
      </w:tr>
    </w:tbl>
    <w:p w14:paraId="5E03FF73" w14:textId="47C8B1F7" w:rsidR="007C42B3" w:rsidRDefault="007C42B3" w:rsidP="0013026B">
      <w:pPr>
        <w:pStyle w:val="3-BodyText"/>
        <w:numPr>
          <w:ilvl w:val="0"/>
          <w:numId w:val="0"/>
        </w:numPr>
      </w:pPr>
    </w:p>
    <w:p w14:paraId="7E429610" w14:textId="77777777" w:rsidR="009E5D59" w:rsidRDefault="009E5D59" w:rsidP="0013026B">
      <w:pPr>
        <w:pStyle w:val="3-BodyText"/>
        <w:numPr>
          <w:ilvl w:val="0"/>
          <w:numId w:val="0"/>
        </w:numPr>
      </w:pPr>
    </w:p>
    <w:p w14:paraId="6F0E7B42" w14:textId="77777777" w:rsidR="009E5D59" w:rsidRDefault="009E5D59" w:rsidP="0013026B">
      <w:pPr>
        <w:pStyle w:val="3-BodyText"/>
        <w:numPr>
          <w:ilvl w:val="0"/>
          <w:numId w:val="0"/>
        </w:numPr>
      </w:pPr>
    </w:p>
    <w:p w14:paraId="3D370E6B" w14:textId="016EDB48" w:rsidR="00E84D65" w:rsidRPr="00C47AD9" w:rsidRDefault="00413BB0" w:rsidP="00E84D65">
      <w:pPr>
        <w:pStyle w:val="3-BodyText"/>
      </w:pPr>
      <w:r>
        <w:t xml:space="preserve">As the sponsor declined </w:t>
      </w:r>
      <w:r w:rsidR="00922DE5" w:rsidRPr="00922DE5">
        <w:t xml:space="preserve">to agree to the revised caps associated with the expanded listing of blinatumomab, inotuzumab continues to operate under </w:t>
      </w:r>
      <w:r w:rsidR="00922DE5" w:rsidRPr="005D4F5D">
        <w:t>the original shared RSA cap</w:t>
      </w:r>
      <w:r w:rsidR="006E6838" w:rsidRPr="005D4F5D">
        <w:t>. Year 6</w:t>
      </w:r>
      <w:r w:rsidR="00922DE5" w:rsidRPr="005D4F5D">
        <w:t xml:space="preserve"> </w:t>
      </w:r>
      <w:r w:rsidR="007A7274" w:rsidRPr="005D4F5D">
        <w:t>is estimated to have</w:t>
      </w:r>
      <w:r w:rsidR="00922DE5" w:rsidRPr="005D4F5D">
        <w:t xml:space="preserve"> been exceeded by approximately </w:t>
      </w:r>
      <w:r w:rsidR="00154324" w:rsidRPr="00154324">
        <w:rPr>
          <w:sz w:val="2"/>
          <w:highlight w:val="black"/>
        </w:rPr>
        <w:t>redacted content</w:t>
      </w:r>
      <w:r w:rsidR="000B7433" w:rsidRPr="005D4F5D">
        <w:t>%</w:t>
      </w:r>
      <w:r w:rsidR="00922DE5" w:rsidRPr="005D4F5D">
        <w:t>.</w:t>
      </w:r>
      <w:r w:rsidR="00835B09" w:rsidRPr="005D4F5D">
        <w:t xml:space="preserve"> This breach results in the sponsor being liable for</w:t>
      </w:r>
      <w:r w:rsidR="000F6F1C" w:rsidRPr="005D4F5D">
        <w:t xml:space="preserve"> </w:t>
      </w:r>
      <w:r w:rsidR="00154324" w:rsidRPr="00154324">
        <w:rPr>
          <w:sz w:val="2"/>
          <w:highlight w:val="black"/>
        </w:rPr>
        <w:t>redacted content</w:t>
      </w:r>
      <w:r w:rsidR="000F6F1C" w:rsidRPr="005D4F5D">
        <w:t xml:space="preserve">% </w:t>
      </w:r>
      <w:r w:rsidR="00E84D65" w:rsidRPr="005D4F5D">
        <w:t xml:space="preserve">reimbursement of </w:t>
      </w:r>
      <w:r w:rsidR="00C471DC" w:rsidRPr="005D4F5D">
        <w:t>Commonwealth</w:t>
      </w:r>
      <w:r w:rsidR="00C471DC">
        <w:t xml:space="preserve"> expenditure above the cap</w:t>
      </w:r>
      <w:r w:rsidR="00E84D65" w:rsidRPr="00C47AD9">
        <w:t xml:space="preserve">, calculated </w:t>
      </w:r>
      <w:r w:rsidR="005C377A">
        <w:t>with reference to</w:t>
      </w:r>
      <w:r w:rsidR="00E84D65" w:rsidRPr="00C47AD9">
        <w:t xml:space="preserve"> </w:t>
      </w:r>
      <w:proofErr w:type="spellStart"/>
      <w:r w:rsidR="00E84D65" w:rsidRPr="00C47AD9">
        <w:t>inotuzumab’s</w:t>
      </w:r>
      <w:proofErr w:type="spellEnd"/>
      <w:r w:rsidR="00E84D65" w:rsidRPr="00C47AD9">
        <w:t xml:space="preserve"> market share.</w:t>
      </w:r>
    </w:p>
    <w:p w14:paraId="148744CA" w14:textId="4AFA5FC7" w:rsidR="00835B09" w:rsidRDefault="008833CA" w:rsidP="00BE4353">
      <w:pPr>
        <w:pStyle w:val="3-BodyText"/>
      </w:pPr>
      <w:r>
        <w:t>H</w:t>
      </w:r>
      <w:r w:rsidR="00BE4353" w:rsidRPr="00C47AD9">
        <w:t xml:space="preserve">ad the sponsor accepted the revised RSA terms, a breach would not have been anticipated in the </w:t>
      </w:r>
      <w:r w:rsidR="0000003E">
        <w:t>March 2025 – February 202</w:t>
      </w:r>
      <w:r w:rsidR="00B6799E">
        <w:t>6</w:t>
      </w:r>
      <w:r w:rsidR="0000003E">
        <w:t xml:space="preserve"> period</w:t>
      </w:r>
      <w:r w:rsidR="00BE4353" w:rsidRPr="00C47AD9">
        <w:t>.</w:t>
      </w:r>
      <w:r w:rsidR="00DD0827">
        <w:t xml:space="preserve"> In line with the Deed terms, </w:t>
      </w:r>
      <w:r w:rsidR="00DD0827">
        <w:lastRenderedPageBreak/>
        <w:t xml:space="preserve">the </w:t>
      </w:r>
      <w:r w:rsidR="009A08E1">
        <w:t xml:space="preserve">existing inotuzumab </w:t>
      </w:r>
      <w:r w:rsidR="00DD0827">
        <w:t xml:space="preserve">Deed continues to operate applying the </w:t>
      </w:r>
      <w:r w:rsidR="00560CA9">
        <w:t>final year Deed cap (</w:t>
      </w:r>
      <w:r w:rsidR="00A13DBA">
        <w:t>$</w:t>
      </w:r>
      <w:r w:rsidR="00154324" w:rsidRPr="00154324">
        <w:rPr>
          <w:sz w:val="2"/>
          <w:highlight w:val="black"/>
        </w:rPr>
        <w:t>redacted content</w:t>
      </w:r>
      <w:r w:rsidR="00560CA9">
        <w:t>)</w:t>
      </w:r>
      <w:r w:rsidR="00A13DBA">
        <w:t>.</w:t>
      </w:r>
    </w:p>
    <w:p w14:paraId="47899D7B" w14:textId="6FA9BD33" w:rsidR="00154C0E" w:rsidRDefault="00154C0E" w:rsidP="00154C0E">
      <w:pPr>
        <w:pStyle w:val="3-BodyText"/>
      </w:pPr>
      <w:r>
        <w:t xml:space="preserve">The submission sought retrospective amendments to both the past May 2024 to April 2025 year of the existing Deed, as well as termination of the RSA going forward. The Secretariat </w:t>
      </w:r>
      <w:r w:rsidR="005B4907">
        <w:t xml:space="preserve">noted that </w:t>
      </w:r>
      <w:r>
        <w:t>reimbursements for the periods elapsed have already been accrued and reflect the arrangements under the current Deed of Agreement between the Commonwealth and the sponsor.</w:t>
      </w:r>
    </w:p>
    <w:p w14:paraId="056B441D" w14:textId="71CDF5B7" w:rsidR="00154C0E" w:rsidRPr="00DE4229" w:rsidRDefault="00154C0E" w:rsidP="00154C0E">
      <w:pPr>
        <w:pStyle w:val="3-BodyText"/>
      </w:pPr>
      <w:r>
        <w:t>The submission stated that</w:t>
      </w:r>
      <w:r w:rsidR="000771CC">
        <w:t>,</w:t>
      </w:r>
      <w:r>
        <w:t xml:space="preserve"> “the proposed increases to the shared RSA caps have been implemented without consultation with Pfizer, and that </w:t>
      </w:r>
      <w:r w:rsidRPr="005F6538">
        <w:t>Pfizer does not have visibility of the uptake assumptions, cost offsets, or the confidential effective price of blinatumomab which would be required to determine the risk</w:t>
      </w:r>
      <w:r>
        <w:t xml:space="preserve"> </w:t>
      </w:r>
      <w:r w:rsidRPr="005F6538">
        <w:t>of exceeding the proposed</w:t>
      </w:r>
      <w:r>
        <w:t xml:space="preserve"> SCs [subsidisation caps] </w:t>
      </w:r>
      <w:r w:rsidRPr="008A4D8D">
        <w:t>over the 5-year Replacement Deed term</w:t>
      </w:r>
      <w:r>
        <w:t xml:space="preserve">. </w:t>
      </w:r>
      <w:r w:rsidRPr="00942E3E">
        <w:t xml:space="preserve">Pfizer is also not </w:t>
      </w:r>
      <w:proofErr w:type="gramStart"/>
      <w:r w:rsidRPr="00942E3E">
        <w:t>in a position</w:t>
      </w:r>
      <w:proofErr w:type="gramEnd"/>
      <w:r w:rsidRPr="00942E3E">
        <w:t xml:space="preserve"> to accurately assess or validate any future reimbursement which may be due if the annual CP [Commonwealth Payment] under the Deed were to exceed the RSA” (p1).</w:t>
      </w:r>
      <w:r>
        <w:t xml:space="preserve"> </w:t>
      </w:r>
    </w:p>
    <w:p w14:paraId="7F20CA7F" w14:textId="67059D33" w:rsidR="00154C0E" w:rsidRDefault="00154C0E" w:rsidP="00154C0E">
      <w:pPr>
        <w:pStyle w:val="3-BodyText"/>
      </w:pPr>
      <w:r>
        <w:t>The Secretariat note</w:t>
      </w:r>
      <w:r w:rsidR="005B4907">
        <w:t>d</w:t>
      </w:r>
      <w:r>
        <w:t xml:space="preserve"> that the increases to the blinatumomab caps were negotiated and implemented in line with standard practice. </w:t>
      </w:r>
    </w:p>
    <w:p w14:paraId="250181BB" w14:textId="77777777" w:rsidR="00693E9C" w:rsidRPr="00342E26" w:rsidRDefault="00693E9C" w:rsidP="00693E9C">
      <w:pPr>
        <w:pStyle w:val="4-SubsectionHeading"/>
      </w:pPr>
      <w:r w:rsidRPr="00342E26">
        <w:t>Consumer Comments</w:t>
      </w:r>
    </w:p>
    <w:p w14:paraId="45DAAE16" w14:textId="77777777" w:rsidR="00693E9C" w:rsidRPr="00342E26" w:rsidRDefault="00693E9C" w:rsidP="00693E9C">
      <w:pPr>
        <w:pStyle w:val="3-BodyText"/>
      </w:pPr>
      <w:r w:rsidRPr="00342E26">
        <w:t>There were no consumer comments for this item.</w:t>
      </w:r>
    </w:p>
    <w:p w14:paraId="2F0BE28E" w14:textId="6584F74F" w:rsidR="00BD151E" w:rsidRDefault="00BD151E" w:rsidP="00BD151E">
      <w:pPr>
        <w:pStyle w:val="2-SectionHeading"/>
      </w:pPr>
      <w:r>
        <w:t>PBAC Outcome</w:t>
      </w:r>
    </w:p>
    <w:p w14:paraId="1DCC88CB" w14:textId="4D54A5DF" w:rsidR="00DD1100" w:rsidRDefault="49EA8B7B" w:rsidP="00DD1100">
      <w:pPr>
        <w:pStyle w:val="3-BodyText"/>
      </w:pPr>
      <w:r>
        <w:t>The PBAC provided advice regarding the sponsor’s request to terminate the Risk Sharing Arrangement (RSA) for inotuzumab ozogamicin</w:t>
      </w:r>
      <w:r w:rsidR="0596663B">
        <w:t xml:space="preserve"> for the treatment of acute lymphoblastic leukaemia</w:t>
      </w:r>
      <w:r w:rsidR="4666826F">
        <w:t xml:space="preserve"> (ALL)</w:t>
      </w:r>
      <w:r>
        <w:t xml:space="preserve">. The PBAC </w:t>
      </w:r>
      <w:r w:rsidR="22DC80A3">
        <w:t>advised</w:t>
      </w:r>
      <w:r w:rsidR="33185143">
        <w:t xml:space="preserve"> </w:t>
      </w:r>
      <w:r w:rsidR="579172B3">
        <w:t xml:space="preserve">that </w:t>
      </w:r>
      <w:r>
        <w:t xml:space="preserve">it </w:t>
      </w:r>
      <w:r w:rsidR="43C7D607">
        <w:t xml:space="preserve">is </w:t>
      </w:r>
      <w:r>
        <w:t xml:space="preserve">reasonable to reconsider the current arrangements </w:t>
      </w:r>
      <w:r w:rsidR="579172B3">
        <w:t xml:space="preserve">of the RSA </w:t>
      </w:r>
      <w:r>
        <w:t xml:space="preserve">in the context </w:t>
      </w:r>
      <w:r w:rsidR="4666826F">
        <w:t>of</w:t>
      </w:r>
      <w:r>
        <w:t xml:space="preserve"> the divergence in PBS listings and utilisation patterns between inotuzumab ozogamicin and blinatumomab since the RSA was established.</w:t>
      </w:r>
    </w:p>
    <w:p w14:paraId="4AA88CFE" w14:textId="7C539BCA" w:rsidR="00DD1100" w:rsidRDefault="00DD1100" w:rsidP="00DD1100">
      <w:pPr>
        <w:pStyle w:val="3-BodyText"/>
      </w:pPr>
      <w:r>
        <w:t>The PBAC noted that inotuzumab ozogamicin has remained restricted to the relapsed or refractory setting and that utilisation and Commonwealth expenditure for inotuzumab ozogamicin h</w:t>
      </w:r>
      <w:r w:rsidR="009C3931">
        <w:t>as</w:t>
      </w:r>
      <w:r>
        <w:t xml:space="preserve"> remained low and relatively stable over time. In contrast, the PBAC noted that blinatumomab has undergone </w:t>
      </w:r>
      <w:r w:rsidR="009C1BCC">
        <w:t>additional</w:t>
      </w:r>
      <w:r>
        <w:t xml:space="preserve"> PBS listing expansions, including newly diagnosed and MRD</w:t>
      </w:r>
      <w:r w:rsidRPr="7482B970">
        <w:rPr>
          <w:rFonts w:ascii="Cambria Math" w:hAnsi="Cambria Math" w:cs="Cambria Math"/>
        </w:rPr>
        <w:t>‑</w:t>
      </w:r>
      <w:r>
        <w:t>directed populations, with corresponding increases in utilisation and expenditure. The PBAC considered that the growth in expenditure under the shared RSA was largely attributable to blinatumomab rather than inotuzumab ozogamicin.</w:t>
      </w:r>
    </w:p>
    <w:p w14:paraId="3F35BD6C" w14:textId="21607971" w:rsidR="00DD1100" w:rsidRDefault="7D1052AA" w:rsidP="00DD1100">
      <w:pPr>
        <w:pStyle w:val="3-BodyText"/>
      </w:pPr>
      <w:r>
        <w:t>T</w:t>
      </w:r>
      <w:r w:rsidR="5866F336">
        <w:t xml:space="preserve">he PBAC </w:t>
      </w:r>
      <w:r w:rsidR="559107B4">
        <w:t xml:space="preserve">considered </w:t>
      </w:r>
      <w:r>
        <w:t xml:space="preserve">that in the context of low, stable utilisation </w:t>
      </w:r>
      <w:r w:rsidR="559107B4">
        <w:t>and a declining share of us</w:t>
      </w:r>
      <w:r w:rsidR="00385AB6">
        <w:t>e</w:t>
      </w:r>
      <w:r w:rsidR="559107B4">
        <w:t xml:space="preserve"> within the RSA, </w:t>
      </w:r>
      <w:r w:rsidR="49EA8B7B">
        <w:t>that the</w:t>
      </w:r>
      <w:r w:rsidR="260D10B3">
        <w:t xml:space="preserve"> </w:t>
      </w:r>
      <w:r w:rsidR="00E03F99">
        <w:t xml:space="preserve">available </w:t>
      </w:r>
      <w:r w:rsidR="603942A3">
        <w:t xml:space="preserve">financial </w:t>
      </w:r>
      <w:r w:rsidR="008D0F41">
        <w:t xml:space="preserve">data </w:t>
      </w:r>
      <w:r w:rsidR="603942A3">
        <w:t>reflected the</w:t>
      </w:r>
      <w:r w:rsidR="5410E276">
        <w:t xml:space="preserve"> current and likely ongoing place of inotuzumab ozogamicin </w:t>
      </w:r>
      <w:r w:rsidR="5866F336">
        <w:t>in the market.</w:t>
      </w:r>
      <w:r w:rsidR="5410E276">
        <w:t xml:space="preserve"> </w:t>
      </w:r>
      <w:r w:rsidR="7EFC508F">
        <w:t>The PBAC advised that the</w:t>
      </w:r>
      <w:r w:rsidR="6E2B3C7F">
        <w:t xml:space="preserve">re </w:t>
      </w:r>
      <w:r w:rsidR="6E2B3C7F">
        <w:lastRenderedPageBreak/>
        <w:t>was minimal risk of utilisation outside of the</w:t>
      </w:r>
      <w:r w:rsidR="437DFEF9">
        <w:t xml:space="preserve"> current eligible population</w:t>
      </w:r>
      <w:r w:rsidR="0277A1D5">
        <w:t xml:space="preserve"> </w:t>
      </w:r>
      <w:r w:rsidR="6F932B8E">
        <w:t xml:space="preserve">(or </w:t>
      </w:r>
      <w:r w:rsidR="3A95D963">
        <w:t xml:space="preserve">risk to the </w:t>
      </w:r>
      <w:r w:rsidR="6F932B8E">
        <w:t>cost-effectiveness of inotuzumab</w:t>
      </w:r>
      <w:r w:rsidR="00851D11" w:rsidRPr="00851D11">
        <w:t xml:space="preserve"> </w:t>
      </w:r>
      <w:r w:rsidR="00851D11">
        <w:t>ozogamicin</w:t>
      </w:r>
      <w:r w:rsidR="6F932B8E">
        <w:t>)</w:t>
      </w:r>
      <w:r w:rsidR="3A23BA60">
        <w:t>.</w:t>
      </w:r>
    </w:p>
    <w:p w14:paraId="09BC275B" w14:textId="2AE9E025" w:rsidR="009D0B8F" w:rsidRDefault="00DD1100" w:rsidP="009D0B8F">
      <w:pPr>
        <w:pStyle w:val="3-BodyText"/>
      </w:pPr>
      <w:r>
        <w:t xml:space="preserve">The PBAC </w:t>
      </w:r>
      <w:r w:rsidR="00375A10">
        <w:t>recalled</w:t>
      </w:r>
      <w:r>
        <w:t xml:space="preserve"> that inotuzumab ozogamicin was originally recommended for PBS listing on a cost</w:t>
      </w:r>
      <w:r w:rsidRPr="007B4E60">
        <w:rPr>
          <w:rFonts w:ascii="Cambria Math" w:hAnsi="Cambria Math" w:cs="Cambria Math"/>
        </w:rPr>
        <w:t>‑</w:t>
      </w:r>
      <w:r>
        <w:t xml:space="preserve">minimisation basis </w:t>
      </w:r>
      <w:r w:rsidR="002B4829">
        <w:t>against</w:t>
      </w:r>
      <w:r>
        <w:t xml:space="preserve"> blinatumomab</w:t>
      </w:r>
      <w:r w:rsidR="002B4829">
        <w:t xml:space="preserve"> and that th</w:t>
      </w:r>
      <w:r w:rsidR="002F38A1">
        <w:t>e RSA</w:t>
      </w:r>
      <w:r w:rsidR="00C82B41">
        <w:t xml:space="preserve"> expenditure caps had been increased to</w:t>
      </w:r>
      <w:r w:rsidR="00215A76">
        <w:t xml:space="preserve"> include</w:t>
      </w:r>
      <w:r w:rsidR="00C82B41">
        <w:t xml:space="preserve"> </w:t>
      </w:r>
      <w:r w:rsidR="00A17775">
        <w:t xml:space="preserve">inotuzumab </w:t>
      </w:r>
      <w:r w:rsidR="00EB17F4">
        <w:t xml:space="preserve">ozogamicin </w:t>
      </w:r>
      <w:r w:rsidR="00A17775">
        <w:t>and sequential use of blinatumomab and inotuzumab</w:t>
      </w:r>
      <w:r w:rsidR="00EB17F4">
        <w:t xml:space="preserve"> ozogamicin</w:t>
      </w:r>
      <w:r w:rsidR="00A17775">
        <w:t>.</w:t>
      </w:r>
      <w:r w:rsidR="002F38A1">
        <w:t xml:space="preserve"> </w:t>
      </w:r>
      <w:r w:rsidR="00215A76">
        <w:t>T</w:t>
      </w:r>
      <w:r w:rsidR="00A17775">
        <w:t>he PBAC noted that</w:t>
      </w:r>
      <w:r>
        <w:t xml:space="preserve"> no new clinical uncertainties or changes to the PBS restriction had been identified for inotuzumab ozogamicin since listing. </w:t>
      </w:r>
    </w:p>
    <w:p w14:paraId="130B8754" w14:textId="3E935F4F" w:rsidR="00DD1100" w:rsidRDefault="00DD1100" w:rsidP="009D0B8F">
      <w:pPr>
        <w:pStyle w:val="3-BodyText"/>
      </w:pPr>
      <w:r>
        <w:t>The PBAC considered that the original rationale for including inotuzumab ozogamicin in a shared RSA with blinatumomab</w:t>
      </w:r>
      <w:r w:rsidR="00A17775">
        <w:t xml:space="preserve">, </w:t>
      </w:r>
      <w:r w:rsidR="00D12735">
        <w:t xml:space="preserve">which was to </w:t>
      </w:r>
      <w:r w:rsidR="00872AF6">
        <w:t>manage uncertain financial estimates and a high ICER,</w:t>
      </w:r>
      <w:r>
        <w:t xml:space="preserve"> had diminished over time.</w:t>
      </w:r>
      <w:r w:rsidR="00633F07">
        <w:t xml:space="preserve"> </w:t>
      </w:r>
      <w:r w:rsidR="001729F7">
        <w:t>The PBAC</w:t>
      </w:r>
      <w:r w:rsidR="003E2FA6" w:rsidRPr="003E2FA6">
        <w:t xml:space="preserve"> noted that increases from </w:t>
      </w:r>
      <w:r w:rsidR="00934F81">
        <w:t>the</w:t>
      </w:r>
      <w:r w:rsidR="003E2FA6" w:rsidRPr="003E2FA6">
        <w:t xml:space="preserve"> expanded blinatumomab populations (i.e. newly diagnosed</w:t>
      </w:r>
      <w:r w:rsidR="000613E3">
        <w:t xml:space="preserve"> B-ALL</w:t>
      </w:r>
      <w:r w:rsidR="003E2FA6" w:rsidRPr="003E2FA6">
        <w:t>) had been included in the same RSA with the expectation of realising offsets in the relapsed/refractory setting, and managing total financial implications of targeted therapies in ALL. However</w:t>
      </w:r>
      <w:r w:rsidR="001729F7">
        <w:t>,</w:t>
      </w:r>
      <w:r w:rsidR="003E2FA6" w:rsidRPr="003E2FA6">
        <w:t xml:space="preserve"> the PBAC acknowledged the submission’s contention that inotuzumab </w:t>
      </w:r>
      <w:r w:rsidR="001729F7">
        <w:t>o</w:t>
      </w:r>
      <w:r w:rsidR="00953454">
        <w:t xml:space="preserve">zogamicin </w:t>
      </w:r>
      <w:r w:rsidR="003E2FA6" w:rsidRPr="003E2FA6">
        <w:t xml:space="preserve">utilisation was limited in the context of the broader indications within the RSA and </w:t>
      </w:r>
      <w:r w:rsidR="00056BDF">
        <w:t xml:space="preserve">that </w:t>
      </w:r>
      <w:r w:rsidR="003E2FA6" w:rsidRPr="003E2FA6">
        <w:t>usage in the relapsed/refractory setting had remained relatively stable.</w:t>
      </w:r>
    </w:p>
    <w:p w14:paraId="3C536AA5" w14:textId="79E5A58A" w:rsidR="00DD1100" w:rsidRDefault="00DD1100" w:rsidP="00DD1100">
      <w:pPr>
        <w:pStyle w:val="3-BodyText"/>
      </w:pPr>
      <w:r>
        <w:t>The PBAC therefore advised that termination of the RSA for inotuzumab ozogamicin would be reasonable. In providing this advice, the PBAC considered that inotuzumab ozogamicin would continue to be cost</w:t>
      </w:r>
      <w:r w:rsidRPr="7482B970">
        <w:rPr>
          <w:rFonts w:ascii="Cambria Math" w:hAnsi="Cambria Math" w:cs="Cambria Math"/>
        </w:rPr>
        <w:t>‑</w:t>
      </w:r>
      <w:r>
        <w:t>effective in the approved PBS population in the absence of an RSA.</w:t>
      </w:r>
      <w:r w:rsidR="008060DC">
        <w:t xml:space="preserve"> The PBAC considered that</w:t>
      </w:r>
      <w:r w:rsidR="00AA1DB5">
        <w:t xml:space="preserve"> this advice is open to re</w:t>
      </w:r>
      <w:r w:rsidR="00343A94">
        <w:t>consideration</w:t>
      </w:r>
      <w:r w:rsidR="008060DC">
        <w:t xml:space="preserve"> should </w:t>
      </w:r>
      <w:r w:rsidR="00A4641C">
        <w:t xml:space="preserve">the sponsor of inotuzumab ozogamicin apply to have the </w:t>
      </w:r>
      <w:r w:rsidR="00AA1DB5">
        <w:t>eligible PBS population expanded.</w:t>
      </w:r>
    </w:p>
    <w:p w14:paraId="75B6C26B" w14:textId="0DCAF54D" w:rsidR="00171EBC" w:rsidRDefault="00171EBC" w:rsidP="00DD1100">
      <w:pPr>
        <w:pStyle w:val="3-BodyText"/>
      </w:pPr>
      <w:r>
        <w:t>The PBAC noted that as there</w:t>
      </w:r>
      <w:r w:rsidRPr="00171EBC">
        <w:t xml:space="preserve"> </w:t>
      </w:r>
      <w:r w:rsidR="00C72881">
        <w:t xml:space="preserve">are </w:t>
      </w:r>
      <w:r w:rsidRPr="00171EBC">
        <w:t>no changes to the patient cohort, restriction or pricing components for inotuzumab ozogamicin</w:t>
      </w:r>
      <w:r>
        <w:t>, and the</w:t>
      </w:r>
      <w:r w:rsidRPr="00171EBC">
        <w:t xml:space="preserve"> market for inotuzumab ozogamicin remains stable</w:t>
      </w:r>
      <w:r>
        <w:t xml:space="preserve">, there are </w:t>
      </w:r>
      <w:r w:rsidRPr="00171EBC">
        <w:t xml:space="preserve">no </w:t>
      </w:r>
      <w:r w:rsidR="00966364">
        <w:t xml:space="preserve">additional </w:t>
      </w:r>
      <w:r w:rsidRPr="00171EBC">
        <w:t>financial implications.</w:t>
      </w:r>
    </w:p>
    <w:p w14:paraId="672F2091" w14:textId="16EEDF61" w:rsidR="00DD1100" w:rsidRDefault="00DD1100" w:rsidP="00DD1100">
      <w:pPr>
        <w:pStyle w:val="3-BodyText"/>
      </w:pPr>
      <w:r>
        <w:t xml:space="preserve">The PBAC </w:t>
      </w:r>
      <w:r w:rsidR="00D11F43">
        <w:t>advised</w:t>
      </w:r>
      <w:r>
        <w:t xml:space="preserve"> that its advice related to future arrangements only and did not extend to retrospective amendment of obligations under the existing Deed.</w:t>
      </w:r>
    </w:p>
    <w:p w14:paraId="110578EC" w14:textId="77777777" w:rsidR="00187C27" w:rsidRDefault="00187C27" w:rsidP="00187C27">
      <w:pPr>
        <w:pStyle w:val="3-BodyText"/>
        <w:numPr>
          <w:ilvl w:val="0"/>
          <w:numId w:val="0"/>
        </w:numPr>
      </w:pPr>
    </w:p>
    <w:p w14:paraId="160158B5" w14:textId="278E1697" w:rsidR="00DD1100" w:rsidRPr="00187C27" w:rsidRDefault="00DD1100" w:rsidP="00840D81">
      <w:pPr>
        <w:pStyle w:val="3-BodyText"/>
        <w:numPr>
          <w:ilvl w:val="0"/>
          <w:numId w:val="0"/>
        </w:numPr>
        <w:spacing w:after="0"/>
        <w:rPr>
          <w:b/>
          <w:bCs/>
        </w:rPr>
      </w:pPr>
      <w:r w:rsidRPr="7482B970">
        <w:rPr>
          <w:b/>
          <w:bCs/>
        </w:rPr>
        <w:t>Outcome:</w:t>
      </w:r>
    </w:p>
    <w:p w14:paraId="7C04A6DC" w14:textId="6BC85D60" w:rsidR="00AB7DD3" w:rsidRPr="00CF1E18" w:rsidRDefault="00DD1100" w:rsidP="00CF1E18">
      <w:pPr>
        <w:pStyle w:val="3-BodyText"/>
        <w:numPr>
          <w:ilvl w:val="0"/>
          <w:numId w:val="0"/>
        </w:numPr>
        <w:spacing w:before="0"/>
      </w:pPr>
      <w:r>
        <w:t>Advice provide</w:t>
      </w:r>
      <w:r w:rsidR="00CF1E18">
        <w:t>d</w:t>
      </w:r>
    </w:p>
    <w:p w14:paraId="7113F1DF" w14:textId="76FF7211" w:rsidR="000E12F5" w:rsidRPr="000E12F5" w:rsidRDefault="000E12F5" w:rsidP="000E12F5">
      <w:pPr>
        <w:keepNext/>
        <w:spacing w:before="240" w:after="120"/>
        <w:ind w:left="720" w:hanging="720"/>
        <w:jc w:val="left"/>
        <w:outlineLvl w:val="0"/>
        <w:rPr>
          <w:rFonts w:asciiTheme="minorHAnsi" w:hAnsiTheme="minorHAnsi" w:cs="Arial"/>
          <w:b/>
          <w:snapToGrid w:val="0"/>
          <w:sz w:val="32"/>
          <w:szCs w:val="32"/>
          <w:lang w:val="en-GB" w:eastAsia="en-US"/>
        </w:rPr>
      </w:pPr>
      <w:r>
        <w:rPr>
          <w:rFonts w:asciiTheme="minorHAnsi" w:hAnsiTheme="minorHAnsi" w:cs="Arial"/>
          <w:b/>
          <w:snapToGrid w:val="0"/>
          <w:sz w:val="32"/>
          <w:szCs w:val="32"/>
          <w:lang w:eastAsia="en-US"/>
        </w:rPr>
        <w:t>5</w:t>
      </w:r>
      <w:r w:rsidRPr="000E12F5">
        <w:rPr>
          <w:rFonts w:asciiTheme="minorHAnsi" w:hAnsiTheme="minorHAnsi" w:cs="Arial"/>
          <w:b/>
          <w:snapToGrid w:val="0"/>
          <w:sz w:val="32"/>
          <w:szCs w:val="32"/>
          <w:lang w:eastAsia="en-US"/>
        </w:rPr>
        <w:tab/>
        <w:t>Context for Decision</w:t>
      </w:r>
    </w:p>
    <w:p w14:paraId="2532EF39" w14:textId="77777777" w:rsidR="000E12F5" w:rsidRPr="000E12F5" w:rsidRDefault="000E12F5" w:rsidP="000E12F5">
      <w:pPr>
        <w:spacing w:after="120"/>
        <w:ind w:left="720"/>
        <w:rPr>
          <w:rFonts w:cs="Calibri"/>
          <w:bCs/>
          <w:szCs w:val="22"/>
          <w:lang w:val="en-GB"/>
        </w:rPr>
      </w:pPr>
      <w:r w:rsidRPr="000E12F5">
        <w:rPr>
          <w:rFonts w:cs="Calibri"/>
          <w:bCs/>
          <w:szCs w:val="22"/>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w:t>
      </w:r>
      <w:r w:rsidRPr="000E12F5">
        <w:rPr>
          <w:rFonts w:cs="Calibri"/>
          <w:bCs/>
          <w:szCs w:val="22"/>
          <w:lang w:val="en-GB"/>
        </w:rPr>
        <w:lastRenderedPageBreak/>
        <w:t>relation to PBS listings does not necessarily represent a final PBAC view about the merits of the medicine or the circumstances in which it should be made available through the PBS. The PBAC welcomes applications containing new information at any time.</w:t>
      </w:r>
    </w:p>
    <w:p w14:paraId="2E10373F" w14:textId="78C45B47" w:rsidR="000E12F5" w:rsidRPr="00154324" w:rsidRDefault="000E12F5" w:rsidP="000E12F5">
      <w:pPr>
        <w:keepNext/>
        <w:spacing w:before="240" w:after="120"/>
        <w:ind w:left="720" w:hanging="720"/>
        <w:jc w:val="left"/>
        <w:outlineLvl w:val="0"/>
        <w:rPr>
          <w:rFonts w:asciiTheme="minorHAnsi" w:hAnsiTheme="minorHAnsi" w:cs="Arial"/>
          <w:b/>
          <w:snapToGrid w:val="0"/>
          <w:sz w:val="32"/>
          <w:szCs w:val="32"/>
          <w:lang w:eastAsia="en-US"/>
        </w:rPr>
      </w:pPr>
      <w:r w:rsidRPr="00154324">
        <w:rPr>
          <w:rFonts w:asciiTheme="minorHAnsi" w:hAnsiTheme="minorHAnsi" w:cs="Arial"/>
          <w:b/>
          <w:snapToGrid w:val="0"/>
          <w:sz w:val="32"/>
          <w:szCs w:val="32"/>
          <w:lang w:eastAsia="en-US"/>
        </w:rPr>
        <w:t>6</w:t>
      </w:r>
      <w:r w:rsidRPr="00154324">
        <w:rPr>
          <w:rFonts w:asciiTheme="minorHAnsi" w:hAnsiTheme="minorHAnsi" w:cs="Arial"/>
          <w:b/>
          <w:snapToGrid w:val="0"/>
          <w:sz w:val="32"/>
          <w:szCs w:val="32"/>
          <w:lang w:eastAsia="en-US"/>
        </w:rPr>
        <w:tab/>
        <w:t>Sponsor’s Comment</w:t>
      </w:r>
    </w:p>
    <w:p w14:paraId="3EA38BF0" w14:textId="37378199" w:rsidR="00F43DA0" w:rsidRPr="00154324" w:rsidRDefault="00D57CF4" w:rsidP="00F43DA0">
      <w:pPr>
        <w:spacing w:after="120"/>
        <w:ind w:left="720"/>
      </w:pPr>
      <w:r w:rsidRPr="00154324">
        <w:t>Pfizer welcomes the PBAC’s advice that termination of the RSA for inotuzumab ozogamicin is reasonable in the context of the divergence in PBS listings and utilisation patterns since the RSA was established. Risk sharing arrangements should be open to review, and where they are no longer fit-for-purpose (such as where utilisation, PBS listings, or other factors have evolved) their continuation should be reconsidered to ensure they remain proportionate and justified.</w:t>
      </w:r>
    </w:p>
    <w:p w14:paraId="758DC845" w14:textId="0F064793" w:rsidR="00170C4D" w:rsidRPr="00A6439B" w:rsidRDefault="00170C4D" w:rsidP="00154324">
      <w:pPr>
        <w:pStyle w:val="5-SubsectionSubheading"/>
        <w:ind w:firstLine="720"/>
        <w:rPr>
          <w:sz w:val="22"/>
          <w:szCs w:val="22"/>
        </w:rPr>
      </w:pPr>
    </w:p>
    <w:sectPr w:rsidR="00170C4D" w:rsidRPr="00A6439B" w:rsidSect="00CF1E18">
      <w:pgSz w:w="11906" w:h="16838" w:code="9"/>
      <w:pgMar w:top="1440" w:right="1440" w:bottom="1440" w:left="1440" w:header="1440" w:footer="1440"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7BA8" w14:textId="77777777" w:rsidR="00333645" w:rsidRDefault="00333645">
      <w:r>
        <w:separator/>
      </w:r>
    </w:p>
    <w:p w14:paraId="76DBCBF9" w14:textId="77777777" w:rsidR="00333645" w:rsidRDefault="00333645"/>
  </w:endnote>
  <w:endnote w:type="continuationSeparator" w:id="0">
    <w:p w14:paraId="7F48E8F3" w14:textId="77777777" w:rsidR="00333645" w:rsidRDefault="00333645">
      <w:r>
        <w:continuationSeparator/>
      </w:r>
    </w:p>
    <w:p w14:paraId="2B1DB7A7" w14:textId="77777777" w:rsidR="00333645" w:rsidRDefault="00333645"/>
  </w:endnote>
  <w:endnote w:type="continuationNotice" w:id="1">
    <w:p w14:paraId="66AA08E7" w14:textId="77777777" w:rsidR="00333645" w:rsidRDefault="00333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3AA73E93" w:rsidR="009C26AA" w:rsidRPr="00E35045" w:rsidRDefault="008156C0" w:rsidP="005A3173">
          <w:pPr>
            <w:pStyle w:val="Header"/>
            <w:spacing w:line="276" w:lineRule="auto"/>
            <w:rPr>
              <w:rFonts w:eastAsia="MS Gothic"/>
              <w:bCs/>
              <w:i w:val="0"/>
              <w:color w:val="4F81BD"/>
            </w:rPr>
          </w:pPr>
          <w:r>
            <w:rPr>
              <w:rFonts w:eastAsia="MS Gothic"/>
              <w:bCs/>
              <w:i w:val="0"/>
              <w:noProof/>
              <w:color w:val="4F81BD"/>
            </w:rPr>
            <mc:AlternateContent>
              <mc:Choice Requires="wps">
                <w:drawing>
                  <wp:anchor distT="0" distB="0" distL="0" distR="0" simplePos="0" relativeHeight="251658244" behindDoc="0" locked="0" layoutInCell="1" allowOverlap="1" wp14:anchorId="3D185B67" wp14:editId="51C2926A">
                    <wp:simplePos x="635" y="635"/>
                    <wp:positionH relativeFrom="page">
                      <wp:align>center</wp:align>
                    </wp:positionH>
                    <wp:positionV relativeFrom="page">
                      <wp:align>bottom</wp:align>
                    </wp:positionV>
                    <wp:extent cx="622300" cy="376555"/>
                    <wp:effectExtent l="0" t="0" r="6350" b="0"/>
                    <wp:wrapNone/>
                    <wp:docPr id="3128166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0307D5" w14:textId="0F502FC7" w:rsidR="008156C0" w:rsidRPr="008156C0" w:rsidRDefault="008156C0" w:rsidP="008156C0">
                                <w:pPr>
                                  <w:rPr>
                                    <w:rFonts w:ascii="Aptos" w:eastAsia="Aptos" w:hAnsi="Aptos" w:cs="Aptos"/>
                                    <w:noProof/>
                                    <w:color w:val="FF0000"/>
                                  </w:rPr>
                                </w:pPr>
                                <w:r w:rsidRPr="008156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185B67"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00307D5" w14:textId="0F502FC7" w:rsidR="008156C0" w:rsidRPr="008156C0" w:rsidRDefault="008156C0" w:rsidP="008156C0">
                          <w:pPr>
                            <w:rPr>
                              <w:rFonts w:ascii="Aptos" w:eastAsia="Aptos" w:hAnsi="Aptos" w:cs="Aptos"/>
                              <w:noProof/>
                              <w:color w:val="FF0000"/>
                            </w:rPr>
                          </w:pPr>
                          <w:r w:rsidRPr="008156C0">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E35045" w:rsidRDefault="009C26AA" w:rsidP="005A3173">
          <w:pPr>
            <w:pStyle w:val="Header"/>
            <w:spacing w:line="276" w:lineRule="auto"/>
            <w:rPr>
              <w:rFonts w:eastAsia="MS Gothic"/>
              <w:bCs/>
              <w:i w:val="0"/>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E35045" w:rsidRDefault="009C26AA" w:rsidP="005A3173">
          <w:pPr>
            <w:pStyle w:val="Header"/>
            <w:spacing w:line="276" w:lineRule="auto"/>
            <w:rPr>
              <w:rFonts w:eastAsia="MS Gothic"/>
              <w:bCs/>
              <w:i w:val="0"/>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E35045" w:rsidRDefault="009C26AA" w:rsidP="005A3173">
          <w:pPr>
            <w:pStyle w:val="Header"/>
            <w:spacing w:line="276" w:lineRule="auto"/>
            <w:rPr>
              <w:rFonts w:eastAsia="MS Gothic"/>
              <w:bCs/>
              <w:i w:val="0"/>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E0C957C" w:rsidR="009C26AA" w:rsidRPr="00D429EC" w:rsidRDefault="008156C0"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43CFA551" wp14:editId="53D2B448">
              <wp:simplePos x="635" y="635"/>
              <wp:positionH relativeFrom="page">
                <wp:align>center</wp:align>
              </wp:positionH>
              <wp:positionV relativeFrom="page">
                <wp:align>bottom</wp:align>
              </wp:positionV>
              <wp:extent cx="622300" cy="376555"/>
              <wp:effectExtent l="0" t="0" r="6350" b="0"/>
              <wp:wrapNone/>
              <wp:docPr id="10989138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1149B4" w14:textId="2B4566EB" w:rsidR="008156C0" w:rsidRPr="008156C0" w:rsidRDefault="008156C0" w:rsidP="008156C0">
                          <w:pPr>
                            <w:rPr>
                              <w:rFonts w:ascii="Aptos" w:eastAsia="Aptos" w:hAnsi="Aptos" w:cs="Aptos"/>
                              <w:noProof/>
                              <w:color w:val="FF0000"/>
                            </w:rPr>
                          </w:pPr>
                          <w:r w:rsidRPr="008156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FA551"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D1149B4" w14:textId="2B4566EB" w:rsidR="008156C0" w:rsidRPr="008156C0" w:rsidRDefault="008156C0" w:rsidP="008156C0">
                    <w:pPr>
                      <w:rPr>
                        <w:rFonts w:ascii="Aptos" w:eastAsia="Aptos" w:hAnsi="Aptos" w:cs="Aptos"/>
                        <w:noProof/>
                        <w:color w:val="FF0000"/>
                      </w:rPr>
                    </w:pPr>
                    <w:r w:rsidRPr="008156C0">
                      <w:rPr>
                        <w:rFonts w:ascii="Aptos" w:eastAsia="Aptos" w:hAnsi="Aptos" w:cs="Aptos"/>
                        <w:noProof/>
                        <w:color w:val="FF0000"/>
                      </w:rPr>
                      <w:t>OFFICIAL</w:t>
                    </w:r>
                  </w:p>
                </w:txbxContent>
              </v:textbox>
              <w10:wrap anchorx="page" anchory="page"/>
            </v:shape>
          </w:pict>
        </mc:Fallback>
      </mc:AlternateContent>
    </w:r>
  </w:p>
  <w:p w14:paraId="355827FE" w14:textId="6BE52409" w:rsidR="009C26AA" w:rsidRDefault="00401640" w:rsidP="00C56D78">
    <w:pPr>
      <w:pStyle w:val="MinorOVRHeader"/>
      <w:jc w:val="center"/>
      <w:rPr>
        <w:b/>
        <w:bCs/>
        <w:i w:val="0"/>
        <w:iCs w:val="0"/>
        <w:noProof/>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p w14:paraId="542F1D9F" w14:textId="77777777" w:rsidR="00FA2884" w:rsidRPr="00272DE5" w:rsidRDefault="00FA2884" w:rsidP="00C56D78">
    <w:pPr>
      <w:pStyle w:val="MinorOVRHeader"/>
      <w:jc w:val="center"/>
      <w:rPr>
        <w:b/>
        <w:bCs/>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379B" w14:textId="59E85751" w:rsidR="00EA73DF" w:rsidRDefault="008156C0">
    <w:pPr>
      <w:pStyle w:val="Footer"/>
    </w:pPr>
    <w:r>
      <w:rPr>
        <w:noProof/>
      </w:rPr>
      <mc:AlternateContent>
        <mc:Choice Requires="wps">
          <w:drawing>
            <wp:anchor distT="0" distB="0" distL="0" distR="0" simplePos="0" relativeHeight="251658243" behindDoc="0" locked="0" layoutInCell="1" allowOverlap="1" wp14:anchorId="416AB32A" wp14:editId="4B6A5938">
              <wp:simplePos x="635" y="635"/>
              <wp:positionH relativeFrom="page">
                <wp:align>center</wp:align>
              </wp:positionH>
              <wp:positionV relativeFrom="page">
                <wp:align>bottom</wp:align>
              </wp:positionV>
              <wp:extent cx="622300" cy="376555"/>
              <wp:effectExtent l="0" t="0" r="6350" b="0"/>
              <wp:wrapNone/>
              <wp:docPr id="9753415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86ACD02" w14:textId="3447CDB9" w:rsidR="008156C0" w:rsidRPr="008156C0" w:rsidRDefault="008156C0" w:rsidP="008156C0">
                          <w:pPr>
                            <w:rPr>
                              <w:rFonts w:ascii="Aptos" w:eastAsia="Aptos" w:hAnsi="Aptos" w:cs="Aptos"/>
                              <w:noProof/>
                              <w:color w:val="FF0000"/>
                            </w:rPr>
                          </w:pPr>
                          <w:r w:rsidRPr="008156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AB32A"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86ACD02" w14:textId="3447CDB9" w:rsidR="008156C0" w:rsidRPr="008156C0" w:rsidRDefault="008156C0" w:rsidP="008156C0">
                    <w:pPr>
                      <w:rPr>
                        <w:rFonts w:ascii="Aptos" w:eastAsia="Aptos" w:hAnsi="Aptos" w:cs="Aptos"/>
                        <w:noProof/>
                        <w:color w:val="FF0000"/>
                      </w:rPr>
                    </w:pPr>
                    <w:r w:rsidRPr="008156C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6406" w14:textId="77777777" w:rsidR="00333645" w:rsidRDefault="00333645">
      <w:r>
        <w:separator/>
      </w:r>
    </w:p>
    <w:p w14:paraId="49A00F5F" w14:textId="77777777" w:rsidR="00333645" w:rsidRDefault="00333645"/>
  </w:footnote>
  <w:footnote w:type="continuationSeparator" w:id="0">
    <w:p w14:paraId="26F95095" w14:textId="77777777" w:rsidR="00333645" w:rsidRDefault="00333645">
      <w:r>
        <w:continuationSeparator/>
      </w:r>
    </w:p>
    <w:p w14:paraId="45951B20" w14:textId="77777777" w:rsidR="00333645" w:rsidRDefault="00333645"/>
  </w:footnote>
  <w:footnote w:type="continuationNotice" w:id="1">
    <w:p w14:paraId="6CE3F56F" w14:textId="77777777" w:rsidR="00333645" w:rsidRDefault="00333645"/>
  </w:footnote>
  <w:footnote w:id="2">
    <w:p w14:paraId="5CBBD703" w14:textId="62B92BEE" w:rsidR="001C398F" w:rsidRDefault="001C398F" w:rsidP="001C398F">
      <w:pPr>
        <w:pStyle w:val="FootnoteText"/>
      </w:pPr>
      <w:r>
        <w:rPr>
          <w:rStyle w:val="FootnoteReference"/>
        </w:rPr>
        <w:footnoteRef/>
      </w:r>
      <w:r>
        <w:t xml:space="preserve"> The current terminology for MRD is measurable residual disease.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54B5CF6F" w:rsidR="009C26AA" w:rsidRPr="00E35045" w:rsidRDefault="008156C0">
          <w:pPr>
            <w:pStyle w:val="Header"/>
            <w:spacing w:line="276" w:lineRule="auto"/>
            <w:rPr>
              <w:rFonts w:ascii="Cambria" w:eastAsia="MS Gothic" w:hAnsi="Cambria"/>
              <w:bCs/>
              <w:i w:val="0"/>
              <w:color w:val="4F81BD"/>
            </w:rPr>
          </w:pPr>
          <w:r>
            <w:rPr>
              <w:rFonts w:ascii="Cambria" w:eastAsia="MS Gothic" w:hAnsi="Cambria"/>
              <w:bCs/>
              <w:i w:val="0"/>
              <w:noProof/>
              <w:color w:val="4F81BD"/>
            </w:rPr>
            <mc:AlternateContent>
              <mc:Choice Requires="wps">
                <w:drawing>
                  <wp:anchor distT="0" distB="0" distL="0" distR="0" simplePos="0" relativeHeight="251658241" behindDoc="0" locked="0" layoutInCell="1" allowOverlap="1" wp14:anchorId="5DE3BBC0" wp14:editId="7ED7FC0D">
                    <wp:simplePos x="635" y="635"/>
                    <wp:positionH relativeFrom="page">
                      <wp:align>center</wp:align>
                    </wp:positionH>
                    <wp:positionV relativeFrom="page">
                      <wp:align>top</wp:align>
                    </wp:positionV>
                    <wp:extent cx="622300" cy="376555"/>
                    <wp:effectExtent l="0" t="0" r="6350" b="4445"/>
                    <wp:wrapNone/>
                    <wp:docPr id="20923881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76947C" w14:textId="0E2B197D" w:rsidR="008156C0" w:rsidRPr="008156C0" w:rsidRDefault="008156C0" w:rsidP="008156C0">
                                <w:pPr>
                                  <w:rPr>
                                    <w:rFonts w:ascii="Aptos" w:eastAsia="Aptos" w:hAnsi="Aptos" w:cs="Aptos"/>
                                    <w:noProof/>
                                    <w:color w:val="FF0000"/>
                                  </w:rPr>
                                </w:pPr>
                                <w:r w:rsidRPr="008156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3BBC0"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676947C" w14:textId="0E2B197D" w:rsidR="008156C0" w:rsidRPr="008156C0" w:rsidRDefault="008156C0" w:rsidP="008156C0">
                          <w:pPr>
                            <w:rPr>
                              <w:rFonts w:ascii="Aptos" w:eastAsia="Aptos" w:hAnsi="Aptos" w:cs="Aptos"/>
                              <w:noProof/>
                              <w:color w:val="FF0000"/>
                            </w:rPr>
                          </w:pPr>
                          <w:r w:rsidRPr="008156C0">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E35045" w:rsidRDefault="009C26AA">
          <w:pPr>
            <w:pStyle w:val="Header"/>
            <w:spacing w:line="276" w:lineRule="auto"/>
            <w:rPr>
              <w:rFonts w:ascii="Cambria" w:eastAsia="MS Gothic" w:hAnsi="Cambria"/>
              <w:bCs/>
              <w:i w:val="0"/>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E35045" w:rsidRDefault="009C26AA">
          <w:pPr>
            <w:pStyle w:val="Header"/>
            <w:spacing w:line="276" w:lineRule="auto"/>
            <w:rPr>
              <w:rFonts w:ascii="Cambria" w:eastAsia="MS Gothic" w:hAnsi="Cambria"/>
              <w:bCs/>
              <w:i w:val="0"/>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E35045" w:rsidRDefault="009C26AA">
          <w:pPr>
            <w:pStyle w:val="Header"/>
            <w:spacing w:line="276" w:lineRule="auto"/>
            <w:rPr>
              <w:rFonts w:ascii="Cambria" w:eastAsia="MS Gothic" w:hAnsi="Cambria"/>
              <w:bCs/>
              <w:i w:val="0"/>
              <w:color w:val="4F81BD"/>
            </w:rPr>
          </w:pPr>
        </w:p>
      </w:tc>
    </w:tr>
  </w:tbl>
  <w:p w14:paraId="7DCC695F" w14:textId="77777777" w:rsidR="009C26AA" w:rsidRPr="00E35045" w:rsidRDefault="009C26AA">
    <w:pPr>
      <w:pStyle w:val="Header"/>
      <w:rPr>
        <w:i w:val="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7027" w14:textId="350BFFCC" w:rsidR="00FA2884" w:rsidRDefault="008156C0" w:rsidP="7482B970">
    <w:pPr>
      <w:keepNext/>
      <w:tabs>
        <w:tab w:val="center" w:pos="4513"/>
        <w:tab w:val="right" w:pos="9026"/>
      </w:tabs>
      <w:jc w:val="center"/>
      <w:rPr>
        <w:rFonts w:asciiTheme="minorHAnsi" w:eastAsiaTheme="minorEastAsia" w:hAnsiTheme="minorHAnsi" w:cstheme="minorBidi"/>
        <w:i/>
        <w:iCs/>
        <w:color w:val="808080"/>
      </w:rPr>
    </w:pPr>
    <w:r>
      <w:rPr>
        <w:rFonts w:asciiTheme="minorHAnsi" w:eastAsiaTheme="minorEastAsia" w:hAnsiTheme="minorHAnsi" w:cstheme="minorBidi"/>
        <w:i/>
        <w:iCs/>
        <w:noProof/>
        <w:color w:val="808080"/>
      </w:rPr>
      <mc:AlternateContent>
        <mc:Choice Requires="wps">
          <w:drawing>
            <wp:anchor distT="0" distB="0" distL="0" distR="0" simplePos="0" relativeHeight="251658242" behindDoc="0" locked="0" layoutInCell="1" allowOverlap="1" wp14:anchorId="28611039" wp14:editId="26188010">
              <wp:simplePos x="635" y="635"/>
              <wp:positionH relativeFrom="page">
                <wp:align>center</wp:align>
              </wp:positionH>
              <wp:positionV relativeFrom="page">
                <wp:align>top</wp:align>
              </wp:positionV>
              <wp:extent cx="622300" cy="376555"/>
              <wp:effectExtent l="0" t="0" r="6350" b="4445"/>
              <wp:wrapNone/>
              <wp:docPr id="19521843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0CB8CE" w14:textId="621AB1CB" w:rsidR="008156C0" w:rsidRPr="008156C0" w:rsidRDefault="008156C0" w:rsidP="008156C0">
                          <w:pPr>
                            <w:rPr>
                              <w:rFonts w:ascii="Aptos" w:eastAsia="Aptos" w:hAnsi="Aptos" w:cs="Aptos"/>
                              <w:noProof/>
                              <w:color w:val="FF0000"/>
                            </w:rPr>
                          </w:pPr>
                          <w:r w:rsidRPr="008156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11039"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B0CB8CE" w14:textId="621AB1CB" w:rsidR="008156C0" w:rsidRPr="008156C0" w:rsidRDefault="008156C0" w:rsidP="008156C0">
                    <w:pPr>
                      <w:rPr>
                        <w:rFonts w:ascii="Aptos" w:eastAsia="Aptos" w:hAnsi="Aptos" w:cs="Aptos"/>
                        <w:noProof/>
                        <w:color w:val="FF0000"/>
                      </w:rPr>
                    </w:pPr>
                    <w:r w:rsidRPr="008156C0">
                      <w:rPr>
                        <w:rFonts w:ascii="Aptos" w:eastAsia="Aptos" w:hAnsi="Aptos" w:cs="Aptos"/>
                        <w:noProof/>
                        <w:color w:val="FF0000"/>
                      </w:rPr>
                      <w:t>OFFICIAL</w:t>
                    </w:r>
                  </w:p>
                </w:txbxContent>
              </v:textbox>
              <w10:wrap anchorx="page" anchory="page"/>
            </v:shape>
          </w:pict>
        </mc:Fallback>
      </mc:AlternateContent>
    </w:r>
    <w:r w:rsidR="7482B970" w:rsidRPr="7482B970">
      <w:rPr>
        <w:rFonts w:asciiTheme="minorHAnsi" w:eastAsiaTheme="minorEastAsia" w:hAnsiTheme="minorHAnsi" w:cstheme="minorBidi"/>
        <w:i/>
        <w:iCs/>
        <w:color w:val="808080"/>
      </w:rPr>
      <w:t xml:space="preserve"> </w:t>
    </w:r>
  </w:p>
  <w:p w14:paraId="49FC1F8C" w14:textId="501145F0" w:rsidR="00C56D78" w:rsidRDefault="009F37C7" w:rsidP="00154324">
    <w:pPr>
      <w:pStyle w:val="NoSpacing"/>
      <w:jc w:val="center"/>
      <w:rPr>
        <w:rFonts w:asciiTheme="minorHAnsi" w:eastAsiaTheme="minorEastAsia" w:hAnsiTheme="minorHAnsi" w:cstheme="minorBidi"/>
        <w:i/>
        <w:iCs/>
        <w:color w:val="808080"/>
      </w:rPr>
    </w:pPr>
    <w:r>
      <w:rPr>
        <w:rFonts w:asciiTheme="minorHAnsi" w:eastAsiaTheme="minorEastAsia" w:hAnsiTheme="minorHAnsi" w:cstheme="minorBidi"/>
        <w:i/>
        <w:iCs/>
        <w:color w:val="808080"/>
      </w:rPr>
      <w:t>Publi</w:t>
    </w:r>
    <w:r w:rsidR="00154324">
      <w:rPr>
        <w:rFonts w:asciiTheme="minorHAnsi" w:eastAsiaTheme="minorEastAsia" w:hAnsiTheme="minorHAnsi" w:cstheme="minorBidi"/>
        <w:i/>
        <w:iCs/>
        <w:color w:val="808080"/>
      </w:rPr>
      <w:t>c</w:t>
    </w:r>
    <w:r>
      <w:rPr>
        <w:rFonts w:asciiTheme="minorHAnsi" w:eastAsiaTheme="minorEastAsia" w:hAnsiTheme="minorHAnsi" w:cstheme="minorBidi"/>
        <w:i/>
        <w:iCs/>
        <w:color w:val="808080"/>
      </w:rPr>
      <w:t xml:space="preserve"> Summary Document</w:t>
    </w:r>
    <w:r w:rsidR="7482B970" w:rsidRPr="7482B970">
      <w:rPr>
        <w:rFonts w:asciiTheme="minorHAnsi" w:eastAsiaTheme="minorEastAsia" w:hAnsiTheme="minorHAnsi" w:cstheme="minorBidi"/>
        <w:i/>
        <w:iCs/>
        <w:color w:val="808080"/>
      </w:rPr>
      <w:t xml:space="preserve"> – March 2026 PBAC Meeting</w:t>
    </w:r>
  </w:p>
  <w:p w14:paraId="07D213CA" w14:textId="77777777" w:rsidR="00154324" w:rsidRDefault="00154324" w:rsidP="00513248">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AF9C" w14:textId="409335AD" w:rsidR="00EA73DF" w:rsidRPr="00E35045" w:rsidRDefault="008156C0">
    <w:pPr>
      <w:pStyle w:val="Header"/>
      <w:rPr>
        <w:i w:val="0"/>
      </w:rPr>
    </w:pPr>
    <w:r>
      <w:rPr>
        <w:i w:val="0"/>
        <w:noProof/>
      </w:rPr>
      <mc:AlternateContent>
        <mc:Choice Requires="wps">
          <w:drawing>
            <wp:anchor distT="0" distB="0" distL="0" distR="0" simplePos="0" relativeHeight="251658240" behindDoc="0" locked="0" layoutInCell="1" allowOverlap="1" wp14:anchorId="6A7F0630" wp14:editId="222EAAD9">
              <wp:simplePos x="635" y="635"/>
              <wp:positionH relativeFrom="page">
                <wp:align>center</wp:align>
              </wp:positionH>
              <wp:positionV relativeFrom="page">
                <wp:align>top</wp:align>
              </wp:positionV>
              <wp:extent cx="622300" cy="376555"/>
              <wp:effectExtent l="0" t="0" r="6350" b="4445"/>
              <wp:wrapNone/>
              <wp:docPr id="14496451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0E403F" w14:textId="7CC39DFB" w:rsidR="008156C0" w:rsidRPr="008156C0" w:rsidRDefault="008156C0" w:rsidP="008156C0">
                          <w:pPr>
                            <w:rPr>
                              <w:rFonts w:ascii="Aptos" w:eastAsia="Aptos" w:hAnsi="Aptos" w:cs="Aptos"/>
                              <w:noProof/>
                              <w:color w:val="FF0000"/>
                            </w:rPr>
                          </w:pPr>
                          <w:r w:rsidRPr="008156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7F0630"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B0E403F" w14:textId="7CC39DFB" w:rsidR="008156C0" w:rsidRPr="008156C0" w:rsidRDefault="008156C0" w:rsidP="008156C0">
                    <w:pPr>
                      <w:rPr>
                        <w:rFonts w:ascii="Aptos" w:eastAsia="Aptos" w:hAnsi="Aptos" w:cs="Aptos"/>
                        <w:noProof/>
                        <w:color w:val="FF0000"/>
                      </w:rPr>
                    </w:pPr>
                    <w:r w:rsidRPr="008156C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20E13AC"/>
    <w:multiLevelType w:val="hybridMultilevel"/>
    <w:tmpl w:val="5794538E"/>
    <w:lvl w:ilvl="0" w:tplc="6512E164">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16F5D"/>
    <w:multiLevelType w:val="hybridMultilevel"/>
    <w:tmpl w:val="7B92FA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B0422B"/>
    <w:multiLevelType w:val="hybridMultilevel"/>
    <w:tmpl w:val="3F96AF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3964BA"/>
    <w:multiLevelType w:val="hybridMultilevel"/>
    <w:tmpl w:val="EA1820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BEF4505"/>
    <w:multiLevelType w:val="hybridMultilevel"/>
    <w:tmpl w:val="FE964458"/>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2"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373D96"/>
    <w:multiLevelType w:val="hybridMultilevel"/>
    <w:tmpl w:val="BA828A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D9C0556"/>
    <w:multiLevelType w:val="hybridMultilevel"/>
    <w:tmpl w:val="D2525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3A685FC5"/>
    <w:multiLevelType w:val="hybridMultilevel"/>
    <w:tmpl w:val="9A6A52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3" w15:restartNumberingAfterBreak="0">
    <w:nsid w:val="3F961CD2"/>
    <w:multiLevelType w:val="multilevel"/>
    <w:tmpl w:val="925A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307180D"/>
    <w:multiLevelType w:val="multilevel"/>
    <w:tmpl w:val="B97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8"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CE710A4"/>
    <w:multiLevelType w:val="hybridMultilevel"/>
    <w:tmpl w:val="67C6AECC"/>
    <w:lvl w:ilvl="0" w:tplc="4A96AD60">
      <w:start w:val="1"/>
      <w:numFmt w:val="lowerLetter"/>
      <w:lvlText w:val="%1."/>
      <w:lvlJc w:val="left"/>
      <w:pPr>
        <w:ind w:left="1080" w:hanging="720"/>
      </w:pPr>
      <w:rPr>
        <w:rFonts w:hint="default"/>
      </w:rPr>
    </w:lvl>
    <w:lvl w:ilvl="1" w:tplc="F6FCDD8C">
      <w:start w:val="1"/>
      <w:numFmt w:val="lowerRoman"/>
      <w:lvlText w:val="%2."/>
      <w:lvlJc w:val="left"/>
      <w:pPr>
        <w:ind w:left="1440" w:hanging="360"/>
      </w:pPr>
      <w:rPr>
        <w:rFonts w:asciiTheme="minorHAnsi" w:eastAsia="Times New Roman" w:hAnsiTheme="minorHAnsi"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396FCD"/>
    <w:multiLevelType w:val="multilevel"/>
    <w:tmpl w:val="947250B2"/>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6C86289"/>
    <w:multiLevelType w:val="hybridMultilevel"/>
    <w:tmpl w:val="FBDEFB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7D35A68"/>
    <w:multiLevelType w:val="multilevel"/>
    <w:tmpl w:val="46B8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0"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7D04900"/>
    <w:multiLevelType w:val="hybridMultilevel"/>
    <w:tmpl w:val="A3404320"/>
    <w:lvl w:ilvl="0" w:tplc="6CC2B3B6">
      <w:start w:val="1"/>
      <w:numFmt w:val="upp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EB4FB79"/>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57570559">
    <w:abstractNumId w:val="43"/>
  </w:num>
  <w:num w:numId="2" w16cid:durableId="1159004663">
    <w:abstractNumId w:val="32"/>
  </w:num>
  <w:num w:numId="3" w16cid:durableId="418600173">
    <w:abstractNumId w:val="44"/>
  </w:num>
  <w:num w:numId="4" w16cid:durableId="34236669">
    <w:abstractNumId w:val="38"/>
  </w:num>
  <w:num w:numId="5" w16cid:durableId="1279799443">
    <w:abstractNumId w:val="29"/>
  </w:num>
  <w:num w:numId="6" w16cid:durableId="495537779">
    <w:abstractNumId w:val="22"/>
  </w:num>
  <w:num w:numId="7" w16cid:durableId="1468400811">
    <w:abstractNumId w:val="1"/>
  </w:num>
  <w:num w:numId="8" w16cid:durableId="1915313393">
    <w:abstractNumId w:val="36"/>
  </w:num>
  <w:num w:numId="9" w16cid:durableId="670838392">
    <w:abstractNumId w:val="40"/>
  </w:num>
  <w:num w:numId="10" w16cid:durableId="1103570019">
    <w:abstractNumId w:val="16"/>
  </w:num>
  <w:num w:numId="11" w16cid:durableId="2041346921">
    <w:abstractNumId w:val="43"/>
  </w:num>
  <w:num w:numId="12" w16cid:durableId="1094745488">
    <w:abstractNumId w:val="46"/>
  </w:num>
  <w:num w:numId="13" w16cid:durableId="1533498588">
    <w:abstractNumId w:val="17"/>
  </w:num>
  <w:num w:numId="14" w16cid:durableId="536628895">
    <w:abstractNumId w:val="0"/>
  </w:num>
  <w:num w:numId="15" w16cid:durableId="473567604">
    <w:abstractNumId w:val="39"/>
  </w:num>
  <w:num w:numId="16" w16cid:durableId="315574325">
    <w:abstractNumId w:val="15"/>
  </w:num>
  <w:num w:numId="17" w16cid:durableId="1841651190">
    <w:abstractNumId w:val="12"/>
  </w:num>
  <w:num w:numId="18" w16cid:durableId="1751541441">
    <w:abstractNumId w:val="2"/>
  </w:num>
  <w:num w:numId="19" w16cid:durableId="9394593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0238752">
    <w:abstractNumId w:val="8"/>
  </w:num>
  <w:num w:numId="21" w16cid:durableId="1662348298">
    <w:abstractNumId w:val="27"/>
  </w:num>
  <w:num w:numId="22" w16cid:durableId="216868142">
    <w:abstractNumId w:val="21"/>
  </w:num>
  <w:num w:numId="23" w16cid:durableId="848180824">
    <w:abstractNumId w:val="9"/>
  </w:num>
  <w:num w:numId="24" w16cid:durableId="1182285320">
    <w:abstractNumId w:val="4"/>
  </w:num>
  <w:num w:numId="25" w16cid:durableId="1862936798">
    <w:abstractNumId w:val="45"/>
  </w:num>
  <w:num w:numId="26" w16cid:durableId="296691022">
    <w:abstractNumId w:val="28"/>
  </w:num>
  <w:num w:numId="27" w16cid:durableId="1974167109">
    <w:abstractNumId w:val="20"/>
  </w:num>
  <w:num w:numId="28" w16cid:durableId="30034796">
    <w:abstractNumId w:val="19"/>
  </w:num>
  <w:num w:numId="29" w16cid:durableId="85926888">
    <w:abstractNumId w:val="26"/>
  </w:num>
  <w:num w:numId="30" w16cid:durableId="277377558">
    <w:abstractNumId w:val="41"/>
  </w:num>
  <w:num w:numId="31" w16cid:durableId="299964396">
    <w:abstractNumId w:val="37"/>
  </w:num>
  <w:num w:numId="32" w16cid:durableId="1834561270">
    <w:abstractNumId w:val="24"/>
  </w:num>
  <w:num w:numId="33" w16cid:durableId="370961351">
    <w:abstractNumId w:val="7"/>
  </w:num>
  <w:num w:numId="34" w16cid:durableId="1007446205">
    <w:abstractNumId w:val="31"/>
  </w:num>
  <w:num w:numId="35" w16cid:durableId="1868643396">
    <w:abstractNumId w:val="34"/>
  </w:num>
  <w:num w:numId="36" w16cid:durableId="477184288">
    <w:abstractNumId w:val="23"/>
  </w:num>
  <w:num w:numId="37" w16cid:durableId="454064956">
    <w:abstractNumId w:val="6"/>
  </w:num>
  <w:num w:numId="38" w16cid:durableId="608246099">
    <w:abstractNumId w:val="18"/>
  </w:num>
  <w:num w:numId="39" w16cid:durableId="377828162">
    <w:abstractNumId w:val="25"/>
  </w:num>
  <w:num w:numId="40" w16cid:durableId="1275166457">
    <w:abstractNumId w:val="33"/>
  </w:num>
  <w:num w:numId="41" w16cid:durableId="1556046067">
    <w:abstractNumId w:val="10"/>
  </w:num>
  <w:num w:numId="42" w16cid:durableId="1325814875">
    <w:abstractNumId w:val="42"/>
  </w:num>
  <w:num w:numId="43" w16cid:durableId="1101879429">
    <w:abstractNumId w:val="11"/>
  </w:num>
  <w:num w:numId="44" w16cid:durableId="1552423284">
    <w:abstractNumId w:val="13"/>
  </w:num>
  <w:num w:numId="45" w16cid:durableId="183638901">
    <w:abstractNumId w:val="43"/>
  </w:num>
  <w:num w:numId="46" w16cid:durableId="1350252859">
    <w:abstractNumId w:val="30"/>
  </w:num>
  <w:num w:numId="47" w16cid:durableId="1122844315">
    <w:abstractNumId w:val="5"/>
  </w:num>
  <w:num w:numId="48" w16cid:durableId="1785297851">
    <w:abstractNumId w:val="43"/>
  </w:num>
  <w:num w:numId="49" w16cid:durableId="1718046759">
    <w:abstractNumId w:val="14"/>
  </w:num>
  <w:num w:numId="50" w16cid:durableId="814570453">
    <w:abstractNumId w:val="3"/>
  </w:num>
  <w:num w:numId="51" w16cid:durableId="170074453">
    <w:abstractNumId w:val="16"/>
  </w:num>
  <w:num w:numId="52" w16cid:durableId="2091611431">
    <w:abstractNumId w:val="16"/>
  </w:num>
  <w:num w:numId="53" w16cid:durableId="1634824032">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03E"/>
    <w:rsid w:val="0000080A"/>
    <w:rsid w:val="0000096D"/>
    <w:rsid w:val="00000A24"/>
    <w:rsid w:val="00001663"/>
    <w:rsid w:val="000025AD"/>
    <w:rsid w:val="0000335D"/>
    <w:rsid w:val="00003C21"/>
    <w:rsid w:val="00003E05"/>
    <w:rsid w:val="00003EA5"/>
    <w:rsid w:val="00003EC5"/>
    <w:rsid w:val="00005C2D"/>
    <w:rsid w:val="00006782"/>
    <w:rsid w:val="00006C59"/>
    <w:rsid w:val="00010EC1"/>
    <w:rsid w:val="0001146D"/>
    <w:rsid w:val="0001179A"/>
    <w:rsid w:val="00011A59"/>
    <w:rsid w:val="00013038"/>
    <w:rsid w:val="00013B80"/>
    <w:rsid w:val="00014D69"/>
    <w:rsid w:val="000169F5"/>
    <w:rsid w:val="00016A41"/>
    <w:rsid w:val="000214D1"/>
    <w:rsid w:val="00021F20"/>
    <w:rsid w:val="000234A5"/>
    <w:rsid w:val="000234CC"/>
    <w:rsid w:val="00023F64"/>
    <w:rsid w:val="000240A7"/>
    <w:rsid w:val="0002464A"/>
    <w:rsid w:val="00024E4C"/>
    <w:rsid w:val="00025A04"/>
    <w:rsid w:val="00025AE2"/>
    <w:rsid w:val="0002693D"/>
    <w:rsid w:val="00027A58"/>
    <w:rsid w:val="0003039F"/>
    <w:rsid w:val="0003050E"/>
    <w:rsid w:val="0003106B"/>
    <w:rsid w:val="00031D36"/>
    <w:rsid w:val="000335B9"/>
    <w:rsid w:val="000343E5"/>
    <w:rsid w:val="00034905"/>
    <w:rsid w:val="00036F5A"/>
    <w:rsid w:val="00037644"/>
    <w:rsid w:val="00037906"/>
    <w:rsid w:val="00040A30"/>
    <w:rsid w:val="000414C9"/>
    <w:rsid w:val="000421A1"/>
    <w:rsid w:val="00042231"/>
    <w:rsid w:val="0004240E"/>
    <w:rsid w:val="000425A2"/>
    <w:rsid w:val="00044E52"/>
    <w:rsid w:val="00044EC4"/>
    <w:rsid w:val="00045E26"/>
    <w:rsid w:val="00046903"/>
    <w:rsid w:val="00047247"/>
    <w:rsid w:val="000514B5"/>
    <w:rsid w:val="00051604"/>
    <w:rsid w:val="00051CDF"/>
    <w:rsid w:val="00051F10"/>
    <w:rsid w:val="000521ED"/>
    <w:rsid w:val="0005322E"/>
    <w:rsid w:val="0005427F"/>
    <w:rsid w:val="000546CF"/>
    <w:rsid w:val="00054E2B"/>
    <w:rsid w:val="000553AC"/>
    <w:rsid w:val="0005555A"/>
    <w:rsid w:val="00055A8E"/>
    <w:rsid w:val="00056BDF"/>
    <w:rsid w:val="0005769E"/>
    <w:rsid w:val="00057E93"/>
    <w:rsid w:val="00060315"/>
    <w:rsid w:val="00060E64"/>
    <w:rsid w:val="000613E3"/>
    <w:rsid w:val="000621AB"/>
    <w:rsid w:val="00062C03"/>
    <w:rsid w:val="00062E88"/>
    <w:rsid w:val="00063C95"/>
    <w:rsid w:val="00066193"/>
    <w:rsid w:val="000663A2"/>
    <w:rsid w:val="00066755"/>
    <w:rsid w:val="00067F98"/>
    <w:rsid w:val="000712F9"/>
    <w:rsid w:val="00071A5B"/>
    <w:rsid w:val="00072730"/>
    <w:rsid w:val="0007337F"/>
    <w:rsid w:val="0007386F"/>
    <w:rsid w:val="00073CB0"/>
    <w:rsid w:val="00074077"/>
    <w:rsid w:val="00074320"/>
    <w:rsid w:val="000763D5"/>
    <w:rsid w:val="00076814"/>
    <w:rsid w:val="00076C38"/>
    <w:rsid w:val="00077143"/>
    <w:rsid w:val="000771CC"/>
    <w:rsid w:val="000774A5"/>
    <w:rsid w:val="00077686"/>
    <w:rsid w:val="000777E1"/>
    <w:rsid w:val="00077DEF"/>
    <w:rsid w:val="00077DF7"/>
    <w:rsid w:val="0008050C"/>
    <w:rsid w:val="0008092B"/>
    <w:rsid w:val="00081480"/>
    <w:rsid w:val="00082169"/>
    <w:rsid w:val="000823A5"/>
    <w:rsid w:val="000834BE"/>
    <w:rsid w:val="00083F01"/>
    <w:rsid w:val="00084765"/>
    <w:rsid w:val="00085208"/>
    <w:rsid w:val="000865EF"/>
    <w:rsid w:val="00087C4C"/>
    <w:rsid w:val="00087E15"/>
    <w:rsid w:val="00090616"/>
    <w:rsid w:val="00090896"/>
    <w:rsid w:val="000918CB"/>
    <w:rsid w:val="00091B06"/>
    <w:rsid w:val="00091EE3"/>
    <w:rsid w:val="0009486F"/>
    <w:rsid w:val="000951C4"/>
    <w:rsid w:val="00095ADA"/>
    <w:rsid w:val="00095F3A"/>
    <w:rsid w:val="000969AD"/>
    <w:rsid w:val="000975FB"/>
    <w:rsid w:val="000A026F"/>
    <w:rsid w:val="000A02F8"/>
    <w:rsid w:val="000A1FD0"/>
    <w:rsid w:val="000A34F2"/>
    <w:rsid w:val="000A37AF"/>
    <w:rsid w:val="000A3AA2"/>
    <w:rsid w:val="000A42EF"/>
    <w:rsid w:val="000A44B2"/>
    <w:rsid w:val="000A52F6"/>
    <w:rsid w:val="000A584F"/>
    <w:rsid w:val="000A58B8"/>
    <w:rsid w:val="000A5DCC"/>
    <w:rsid w:val="000A6D57"/>
    <w:rsid w:val="000A78B8"/>
    <w:rsid w:val="000A79D2"/>
    <w:rsid w:val="000A7C0E"/>
    <w:rsid w:val="000A7EE5"/>
    <w:rsid w:val="000B44C3"/>
    <w:rsid w:val="000B49C3"/>
    <w:rsid w:val="000B558D"/>
    <w:rsid w:val="000B5A89"/>
    <w:rsid w:val="000B65F6"/>
    <w:rsid w:val="000B6679"/>
    <w:rsid w:val="000B6F09"/>
    <w:rsid w:val="000B72EF"/>
    <w:rsid w:val="000B7433"/>
    <w:rsid w:val="000B7767"/>
    <w:rsid w:val="000C09D9"/>
    <w:rsid w:val="000C1128"/>
    <w:rsid w:val="000C166F"/>
    <w:rsid w:val="000C16E7"/>
    <w:rsid w:val="000C1AFF"/>
    <w:rsid w:val="000C40C5"/>
    <w:rsid w:val="000C4AA2"/>
    <w:rsid w:val="000C4D45"/>
    <w:rsid w:val="000C4DFF"/>
    <w:rsid w:val="000C4E9F"/>
    <w:rsid w:val="000C5740"/>
    <w:rsid w:val="000C57BF"/>
    <w:rsid w:val="000C5F95"/>
    <w:rsid w:val="000C6996"/>
    <w:rsid w:val="000C7C46"/>
    <w:rsid w:val="000C7EBE"/>
    <w:rsid w:val="000D09E9"/>
    <w:rsid w:val="000D09EF"/>
    <w:rsid w:val="000D113F"/>
    <w:rsid w:val="000D23BA"/>
    <w:rsid w:val="000D27A6"/>
    <w:rsid w:val="000D39F1"/>
    <w:rsid w:val="000D4F18"/>
    <w:rsid w:val="000D6C41"/>
    <w:rsid w:val="000D6D0C"/>
    <w:rsid w:val="000D76C2"/>
    <w:rsid w:val="000E12F5"/>
    <w:rsid w:val="000E167E"/>
    <w:rsid w:val="000E19B7"/>
    <w:rsid w:val="000E20FC"/>
    <w:rsid w:val="000E236F"/>
    <w:rsid w:val="000E3168"/>
    <w:rsid w:val="000E3C1D"/>
    <w:rsid w:val="000E3DFB"/>
    <w:rsid w:val="000E55F0"/>
    <w:rsid w:val="000E5EA1"/>
    <w:rsid w:val="000E681E"/>
    <w:rsid w:val="000E696B"/>
    <w:rsid w:val="000E74D2"/>
    <w:rsid w:val="000E7E52"/>
    <w:rsid w:val="000E7E90"/>
    <w:rsid w:val="000EE1C7"/>
    <w:rsid w:val="000F0003"/>
    <w:rsid w:val="000F008A"/>
    <w:rsid w:val="000F14DB"/>
    <w:rsid w:val="000F3384"/>
    <w:rsid w:val="000F3438"/>
    <w:rsid w:val="000F3FC1"/>
    <w:rsid w:val="000F4E6A"/>
    <w:rsid w:val="000F6ABB"/>
    <w:rsid w:val="000F6F1C"/>
    <w:rsid w:val="000F7354"/>
    <w:rsid w:val="000F7689"/>
    <w:rsid w:val="000F7C27"/>
    <w:rsid w:val="00100880"/>
    <w:rsid w:val="00101553"/>
    <w:rsid w:val="00101ABE"/>
    <w:rsid w:val="001020AD"/>
    <w:rsid w:val="00102202"/>
    <w:rsid w:val="00102700"/>
    <w:rsid w:val="00102A33"/>
    <w:rsid w:val="00102A78"/>
    <w:rsid w:val="00103118"/>
    <w:rsid w:val="00103B44"/>
    <w:rsid w:val="00103F1B"/>
    <w:rsid w:val="0010407A"/>
    <w:rsid w:val="00104227"/>
    <w:rsid w:val="001053D5"/>
    <w:rsid w:val="00106D10"/>
    <w:rsid w:val="0010718A"/>
    <w:rsid w:val="00107409"/>
    <w:rsid w:val="001100C7"/>
    <w:rsid w:val="001107BF"/>
    <w:rsid w:val="001109C6"/>
    <w:rsid w:val="00110DE7"/>
    <w:rsid w:val="00111F92"/>
    <w:rsid w:val="0011251D"/>
    <w:rsid w:val="00112A23"/>
    <w:rsid w:val="00112E75"/>
    <w:rsid w:val="001135B0"/>
    <w:rsid w:val="00113649"/>
    <w:rsid w:val="00113D5C"/>
    <w:rsid w:val="00113DA6"/>
    <w:rsid w:val="00116B03"/>
    <w:rsid w:val="00116BA8"/>
    <w:rsid w:val="001172C5"/>
    <w:rsid w:val="00120AA6"/>
    <w:rsid w:val="0012125D"/>
    <w:rsid w:val="00121B23"/>
    <w:rsid w:val="001239DB"/>
    <w:rsid w:val="0012417C"/>
    <w:rsid w:val="001246B7"/>
    <w:rsid w:val="00124BF2"/>
    <w:rsid w:val="00125837"/>
    <w:rsid w:val="0012597F"/>
    <w:rsid w:val="00126306"/>
    <w:rsid w:val="00126B19"/>
    <w:rsid w:val="00126D3A"/>
    <w:rsid w:val="00126E29"/>
    <w:rsid w:val="0012749D"/>
    <w:rsid w:val="001275B6"/>
    <w:rsid w:val="00127A23"/>
    <w:rsid w:val="0013026B"/>
    <w:rsid w:val="001306A5"/>
    <w:rsid w:val="00130918"/>
    <w:rsid w:val="00130F4F"/>
    <w:rsid w:val="001311AE"/>
    <w:rsid w:val="00133CA9"/>
    <w:rsid w:val="00133CE9"/>
    <w:rsid w:val="001340A0"/>
    <w:rsid w:val="00134994"/>
    <w:rsid w:val="00134FC7"/>
    <w:rsid w:val="001366C2"/>
    <w:rsid w:val="00136C17"/>
    <w:rsid w:val="00137C86"/>
    <w:rsid w:val="00140B74"/>
    <w:rsid w:val="00140CFC"/>
    <w:rsid w:val="00140D94"/>
    <w:rsid w:val="00141B3D"/>
    <w:rsid w:val="00142395"/>
    <w:rsid w:val="0014250D"/>
    <w:rsid w:val="00142714"/>
    <w:rsid w:val="00142C30"/>
    <w:rsid w:val="001442E6"/>
    <w:rsid w:val="001449B0"/>
    <w:rsid w:val="00144D09"/>
    <w:rsid w:val="00144E06"/>
    <w:rsid w:val="001452ED"/>
    <w:rsid w:val="00145312"/>
    <w:rsid w:val="001464A0"/>
    <w:rsid w:val="00147241"/>
    <w:rsid w:val="00147697"/>
    <w:rsid w:val="00147D84"/>
    <w:rsid w:val="00151CBD"/>
    <w:rsid w:val="00153009"/>
    <w:rsid w:val="001533C3"/>
    <w:rsid w:val="0015375F"/>
    <w:rsid w:val="00154324"/>
    <w:rsid w:val="001549C1"/>
    <w:rsid w:val="00154C0E"/>
    <w:rsid w:val="00155528"/>
    <w:rsid w:val="00156C8D"/>
    <w:rsid w:val="001605F2"/>
    <w:rsid w:val="00160783"/>
    <w:rsid w:val="00160F4D"/>
    <w:rsid w:val="00162BDD"/>
    <w:rsid w:val="00162D4E"/>
    <w:rsid w:val="001630E0"/>
    <w:rsid w:val="00163329"/>
    <w:rsid w:val="00164623"/>
    <w:rsid w:val="00164E6B"/>
    <w:rsid w:val="00165069"/>
    <w:rsid w:val="001652DE"/>
    <w:rsid w:val="001653EC"/>
    <w:rsid w:val="00165B64"/>
    <w:rsid w:val="001661F3"/>
    <w:rsid w:val="00166FC1"/>
    <w:rsid w:val="00167C39"/>
    <w:rsid w:val="001709F1"/>
    <w:rsid w:val="00170C4D"/>
    <w:rsid w:val="0017113C"/>
    <w:rsid w:val="00171EBC"/>
    <w:rsid w:val="001729F7"/>
    <w:rsid w:val="00172E3D"/>
    <w:rsid w:val="00173878"/>
    <w:rsid w:val="00173E31"/>
    <w:rsid w:val="00174EB8"/>
    <w:rsid w:val="001756CB"/>
    <w:rsid w:val="00175787"/>
    <w:rsid w:val="00175A15"/>
    <w:rsid w:val="00176B9D"/>
    <w:rsid w:val="00180337"/>
    <w:rsid w:val="00180713"/>
    <w:rsid w:val="00180720"/>
    <w:rsid w:val="001816F9"/>
    <w:rsid w:val="001818B9"/>
    <w:rsid w:val="00182191"/>
    <w:rsid w:val="00182E7D"/>
    <w:rsid w:val="001830CE"/>
    <w:rsid w:val="001836E3"/>
    <w:rsid w:val="00184659"/>
    <w:rsid w:val="001860E5"/>
    <w:rsid w:val="0018643B"/>
    <w:rsid w:val="00187C27"/>
    <w:rsid w:val="00187D19"/>
    <w:rsid w:val="00190AE0"/>
    <w:rsid w:val="001923D5"/>
    <w:rsid w:val="00192B00"/>
    <w:rsid w:val="00193E3B"/>
    <w:rsid w:val="00195444"/>
    <w:rsid w:val="001960FB"/>
    <w:rsid w:val="00196307"/>
    <w:rsid w:val="001963BF"/>
    <w:rsid w:val="00196CFD"/>
    <w:rsid w:val="001975E7"/>
    <w:rsid w:val="00197C70"/>
    <w:rsid w:val="00197F03"/>
    <w:rsid w:val="00197F56"/>
    <w:rsid w:val="001A0D10"/>
    <w:rsid w:val="001A33EA"/>
    <w:rsid w:val="001A3615"/>
    <w:rsid w:val="001A4413"/>
    <w:rsid w:val="001A4C4F"/>
    <w:rsid w:val="001A5A2B"/>
    <w:rsid w:val="001A76FB"/>
    <w:rsid w:val="001A7757"/>
    <w:rsid w:val="001B017F"/>
    <w:rsid w:val="001B060D"/>
    <w:rsid w:val="001B06AE"/>
    <w:rsid w:val="001B0B79"/>
    <w:rsid w:val="001B19EA"/>
    <w:rsid w:val="001B2708"/>
    <w:rsid w:val="001B28A0"/>
    <w:rsid w:val="001B2BBC"/>
    <w:rsid w:val="001B2BCD"/>
    <w:rsid w:val="001B2EFA"/>
    <w:rsid w:val="001B3A40"/>
    <w:rsid w:val="001B3FFE"/>
    <w:rsid w:val="001B5129"/>
    <w:rsid w:val="001B596A"/>
    <w:rsid w:val="001B6F10"/>
    <w:rsid w:val="001C0B4C"/>
    <w:rsid w:val="001C0EC4"/>
    <w:rsid w:val="001C1195"/>
    <w:rsid w:val="001C12AE"/>
    <w:rsid w:val="001C1E84"/>
    <w:rsid w:val="001C20E1"/>
    <w:rsid w:val="001C2A0F"/>
    <w:rsid w:val="001C2E42"/>
    <w:rsid w:val="001C398F"/>
    <w:rsid w:val="001C3C8E"/>
    <w:rsid w:val="001C3E0B"/>
    <w:rsid w:val="001C6B86"/>
    <w:rsid w:val="001C7B4E"/>
    <w:rsid w:val="001D1B34"/>
    <w:rsid w:val="001D1F5F"/>
    <w:rsid w:val="001D3F87"/>
    <w:rsid w:val="001D541B"/>
    <w:rsid w:val="001D595B"/>
    <w:rsid w:val="001E06D2"/>
    <w:rsid w:val="001E1284"/>
    <w:rsid w:val="001E17C4"/>
    <w:rsid w:val="001E2A47"/>
    <w:rsid w:val="001E2D65"/>
    <w:rsid w:val="001E37E0"/>
    <w:rsid w:val="001E521A"/>
    <w:rsid w:val="001E59CD"/>
    <w:rsid w:val="001F005B"/>
    <w:rsid w:val="001F0266"/>
    <w:rsid w:val="001F1850"/>
    <w:rsid w:val="001F1AF8"/>
    <w:rsid w:val="001F1C11"/>
    <w:rsid w:val="001F1FBF"/>
    <w:rsid w:val="001F2311"/>
    <w:rsid w:val="001F2B80"/>
    <w:rsid w:val="001F2F1C"/>
    <w:rsid w:val="001F3189"/>
    <w:rsid w:val="001F3F99"/>
    <w:rsid w:val="001F479A"/>
    <w:rsid w:val="001F580C"/>
    <w:rsid w:val="001F6C4C"/>
    <w:rsid w:val="001F7184"/>
    <w:rsid w:val="00200BEA"/>
    <w:rsid w:val="00201FB8"/>
    <w:rsid w:val="002032BF"/>
    <w:rsid w:val="00203FAC"/>
    <w:rsid w:val="00204069"/>
    <w:rsid w:val="0020541D"/>
    <w:rsid w:val="00205A66"/>
    <w:rsid w:val="0021073F"/>
    <w:rsid w:val="002129D2"/>
    <w:rsid w:val="002133FB"/>
    <w:rsid w:val="00213CFB"/>
    <w:rsid w:val="0021553C"/>
    <w:rsid w:val="0021557B"/>
    <w:rsid w:val="00215A76"/>
    <w:rsid w:val="00216B87"/>
    <w:rsid w:val="002174FD"/>
    <w:rsid w:val="00217BE1"/>
    <w:rsid w:val="002206D5"/>
    <w:rsid w:val="00220892"/>
    <w:rsid w:val="00220DD4"/>
    <w:rsid w:val="00221361"/>
    <w:rsid w:val="002214B9"/>
    <w:rsid w:val="00221D41"/>
    <w:rsid w:val="00222136"/>
    <w:rsid w:val="00222680"/>
    <w:rsid w:val="00223370"/>
    <w:rsid w:val="00224D1E"/>
    <w:rsid w:val="00225F1F"/>
    <w:rsid w:val="00226611"/>
    <w:rsid w:val="00226EDF"/>
    <w:rsid w:val="00227770"/>
    <w:rsid w:val="00227BC5"/>
    <w:rsid w:val="002301D3"/>
    <w:rsid w:val="00230F63"/>
    <w:rsid w:val="00232547"/>
    <w:rsid w:val="00234252"/>
    <w:rsid w:val="0023466E"/>
    <w:rsid w:val="002362F3"/>
    <w:rsid w:val="002378F7"/>
    <w:rsid w:val="00237AC6"/>
    <w:rsid w:val="00237BCE"/>
    <w:rsid w:val="00237C61"/>
    <w:rsid w:val="002400A4"/>
    <w:rsid w:val="002418D5"/>
    <w:rsid w:val="0024193F"/>
    <w:rsid w:val="00242236"/>
    <w:rsid w:val="0024266A"/>
    <w:rsid w:val="0024290A"/>
    <w:rsid w:val="00242B64"/>
    <w:rsid w:val="00242BFD"/>
    <w:rsid w:val="00243197"/>
    <w:rsid w:val="00244139"/>
    <w:rsid w:val="002441E6"/>
    <w:rsid w:val="00244490"/>
    <w:rsid w:val="00244BEC"/>
    <w:rsid w:val="00245444"/>
    <w:rsid w:val="00245B9C"/>
    <w:rsid w:val="002473EC"/>
    <w:rsid w:val="00250874"/>
    <w:rsid w:val="00251B85"/>
    <w:rsid w:val="00252587"/>
    <w:rsid w:val="00253499"/>
    <w:rsid w:val="002538A5"/>
    <w:rsid w:val="002551A4"/>
    <w:rsid w:val="00256B08"/>
    <w:rsid w:val="00257664"/>
    <w:rsid w:val="00257B34"/>
    <w:rsid w:val="00257D6F"/>
    <w:rsid w:val="00260165"/>
    <w:rsid w:val="00261651"/>
    <w:rsid w:val="002620DC"/>
    <w:rsid w:val="00265151"/>
    <w:rsid w:val="00265C2C"/>
    <w:rsid w:val="00266509"/>
    <w:rsid w:val="00266CE0"/>
    <w:rsid w:val="00267098"/>
    <w:rsid w:val="00267A6B"/>
    <w:rsid w:val="00270E32"/>
    <w:rsid w:val="002719A6"/>
    <w:rsid w:val="00271BA1"/>
    <w:rsid w:val="00272991"/>
    <w:rsid w:val="00272BEA"/>
    <w:rsid w:val="00272DE5"/>
    <w:rsid w:val="00273AC5"/>
    <w:rsid w:val="00275AC9"/>
    <w:rsid w:val="002762FA"/>
    <w:rsid w:val="00276BE3"/>
    <w:rsid w:val="00277505"/>
    <w:rsid w:val="00277873"/>
    <w:rsid w:val="00277C31"/>
    <w:rsid w:val="00277C96"/>
    <w:rsid w:val="00280E36"/>
    <w:rsid w:val="0028117A"/>
    <w:rsid w:val="0028158C"/>
    <w:rsid w:val="002823B6"/>
    <w:rsid w:val="00283533"/>
    <w:rsid w:val="0028463B"/>
    <w:rsid w:val="00285197"/>
    <w:rsid w:val="002879D8"/>
    <w:rsid w:val="00287BCD"/>
    <w:rsid w:val="0029001D"/>
    <w:rsid w:val="00290229"/>
    <w:rsid w:val="002906DF"/>
    <w:rsid w:val="00290C03"/>
    <w:rsid w:val="00290D15"/>
    <w:rsid w:val="002914BB"/>
    <w:rsid w:val="00292392"/>
    <w:rsid w:val="0029240F"/>
    <w:rsid w:val="00292E3B"/>
    <w:rsid w:val="0029314F"/>
    <w:rsid w:val="002933A8"/>
    <w:rsid w:val="00294274"/>
    <w:rsid w:val="0029450C"/>
    <w:rsid w:val="0029458F"/>
    <w:rsid w:val="00295D04"/>
    <w:rsid w:val="002960F3"/>
    <w:rsid w:val="002962B3"/>
    <w:rsid w:val="00296570"/>
    <w:rsid w:val="00296D53"/>
    <w:rsid w:val="0029785C"/>
    <w:rsid w:val="00297A63"/>
    <w:rsid w:val="00297ACC"/>
    <w:rsid w:val="002A018F"/>
    <w:rsid w:val="002A0E04"/>
    <w:rsid w:val="002A104C"/>
    <w:rsid w:val="002A1071"/>
    <w:rsid w:val="002A1448"/>
    <w:rsid w:val="002A1EF7"/>
    <w:rsid w:val="002A2B7B"/>
    <w:rsid w:val="002A494D"/>
    <w:rsid w:val="002A4960"/>
    <w:rsid w:val="002A4B10"/>
    <w:rsid w:val="002A4FF4"/>
    <w:rsid w:val="002A50A2"/>
    <w:rsid w:val="002A636A"/>
    <w:rsid w:val="002A7018"/>
    <w:rsid w:val="002A755F"/>
    <w:rsid w:val="002A7828"/>
    <w:rsid w:val="002B03AF"/>
    <w:rsid w:val="002B0AE0"/>
    <w:rsid w:val="002B0B2B"/>
    <w:rsid w:val="002B1AE6"/>
    <w:rsid w:val="002B1D51"/>
    <w:rsid w:val="002B2DE8"/>
    <w:rsid w:val="002B30F8"/>
    <w:rsid w:val="002B3602"/>
    <w:rsid w:val="002B388A"/>
    <w:rsid w:val="002B3BFE"/>
    <w:rsid w:val="002B3C1A"/>
    <w:rsid w:val="002B4829"/>
    <w:rsid w:val="002B4C2A"/>
    <w:rsid w:val="002B5596"/>
    <w:rsid w:val="002B64E6"/>
    <w:rsid w:val="002B6A2C"/>
    <w:rsid w:val="002B742B"/>
    <w:rsid w:val="002B7769"/>
    <w:rsid w:val="002B77D7"/>
    <w:rsid w:val="002C0560"/>
    <w:rsid w:val="002C0763"/>
    <w:rsid w:val="002C1205"/>
    <w:rsid w:val="002C212F"/>
    <w:rsid w:val="002C2F35"/>
    <w:rsid w:val="002C3289"/>
    <w:rsid w:val="002C386B"/>
    <w:rsid w:val="002C50D2"/>
    <w:rsid w:val="002C5850"/>
    <w:rsid w:val="002C5FE6"/>
    <w:rsid w:val="002C6754"/>
    <w:rsid w:val="002C6AA9"/>
    <w:rsid w:val="002C7485"/>
    <w:rsid w:val="002D0849"/>
    <w:rsid w:val="002D0C32"/>
    <w:rsid w:val="002D0F52"/>
    <w:rsid w:val="002D2317"/>
    <w:rsid w:val="002D2641"/>
    <w:rsid w:val="002D283A"/>
    <w:rsid w:val="002D3FBA"/>
    <w:rsid w:val="002D4184"/>
    <w:rsid w:val="002D4543"/>
    <w:rsid w:val="002D47FD"/>
    <w:rsid w:val="002D4BDA"/>
    <w:rsid w:val="002D5488"/>
    <w:rsid w:val="002D715F"/>
    <w:rsid w:val="002D7276"/>
    <w:rsid w:val="002D741C"/>
    <w:rsid w:val="002D7846"/>
    <w:rsid w:val="002E022A"/>
    <w:rsid w:val="002E3153"/>
    <w:rsid w:val="002E3BE9"/>
    <w:rsid w:val="002E3FD4"/>
    <w:rsid w:val="002E4004"/>
    <w:rsid w:val="002E4A02"/>
    <w:rsid w:val="002E5292"/>
    <w:rsid w:val="002E54A1"/>
    <w:rsid w:val="002E6937"/>
    <w:rsid w:val="002E72CA"/>
    <w:rsid w:val="002E75DD"/>
    <w:rsid w:val="002F1451"/>
    <w:rsid w:val="002F1D07"/>
    <w:rsid w:val="002F38A1"/>
    <w:rsid w:val="002F43BE"/>
    <w:rsid w:val="002F5AB3"/>
    <w:rsid w:val="002F5C5B"/>
    <w:rsid w:val="002F5FAD"/>
    <w:rsid w:val="002F600D"/>
    <w:rsid w:val="002F6F0F"/>
    <w:rsid w:val="002F7074"/>
    <w:rsid w:val="002F7409"/>
    <w:rsid w:val="002F7E47"/>
    <w:rsid w:val="00300304"/>
    <w:rsid w:val="00300AD6"/>
    <w:rsid w:val="00300B1B"/>
    <w:rsid w:val="00301148"/>
    <w:rsid w:val="003019D0"/>
    <w:rsid w:val="003019DE"/>
    <w:rsid w:val="00302A60"/>
    <w:rsid w:val="00302B06"/>
    <w:rsid w:val="0030311E"/>
    <w:rsid w:val="003037A4"/>
    <w:rsid w:val="00303CFE"/>
    <w:rsid w:val="0030452B"/>
    <w:rsid w:val="0030471A"/>
    <w:rsid w:val="003064AF"/>
    <w:rsid w:val="00306C24"/>
    <w:rsid w:val="00306D81"/>
    <w:rsid w:val="00307DC6"/>
    <w:rsid w:val="00310A8B"/>
    <w:rsid w:val="00310B68"/>
    <w:rsid w:val="003119C2"/>
    <w:rsid w:val="00313462"/>
    <w:rsid w:val="00313732"/>
    <w:rsid w:val="003160D2"/>
    <w:rsid w:val="00316103"/>
    <w:rsid w:val="00316694"/>
    <w:rsid w:val="003173FC"/>
    <w:rsid w:val="00317C6C"/>
    <w:rsid w:val="003200AB"/>
    <w:rsid w:val="00320B80"/>
    <w:rsid w:val="00320CD3"/>
    <w:rsid w:val="003215FF"/>
    <w:rsid w:val="0032220E"/>
    <w:rsid w:val="00322667"/>
    <w:rsid w:val="00322D09"/>
    <w:rsid w:val="003232FD"/>
    <w:rsid w:val="00323FF1"/>
    <w:rsid w:val="0032607C"/>
    <w:rsid w:val="00326E79"/>
    <w:rsid w:val="00327071"/>
    <w:rsid w:val="0032748A"/>
    <w:rsid w:val="0032783C"/>
    <w:rsid w:val="003301B1"/>
    <w:rsid w:val="00330253"/>
    <w:rsid w:val="00330B3A"/>
    <w:rsid w:val="00331189"/>
    <w:rsid w:val="0033263D"/>
    <w:rsid w:val="003326F0"/>
    <w:rsid w:val="00332BE6"/>
    <w:rsid w:val="00332C96"/>
    <w:rsid w:val="00332F86"/>
    <w:rsid w:val="00333244"/>
    <w:rsid w:val="00333645"/>
    <w:rsid w:val="00334E69"/>
    <w:rsid w:val="0033518A"/>
    <w:rsid w:val="00335535"/>
    <w:rsid w:val="003367EF"/>
    <w:rsid w:val="0034053A"/>
    <w:rsid w:val="00340B1C"/>
    <w:rsid w:val="003411E4"/>
    <w:rsid w:val="00341475"/>
    <w:rsid w:val="00341AE4"/>
    <w:rsid w:val="003425CA"/>
    <w:rsid w:val="00342707"/>
    <w:rsid w:val="00342E26"/>
    <w:rsid w:val="00343A94"/>
    <w:rsid w:val="00343FB7"/>
    <w:rsid w:val="00343FBF"/>
    <w:rsid w:val="003460D5"/>
    <w:rsid w:val="003476EE"/>
    <w:rsid w:val="0035064B"/>
    <w:rsid w:val="00350DF7"/>
    <w:rsid w:val="00351B95"/>
    <w:rsid w:val="00351EE3"/>
    <w:rsid w:val="0035343A"/>
    <w:rsid w:val="003541DD"/>
    <w:rsid w:val="00355A5C"/>
    <w:rsid w:val="00356E5B"/>
    <w:rsid w:val="00360310"/>
    <w:rsid w:val="00360887"/>
    <w:rsid w:val="003613C3"/>
    <w:rsid w:val="00361A1E"/>
    <w:rsid w:val="0036249F"/>
    <w:rsid w:val="003640BE"/>
    <w:rsid w:val="00364726"/>
    <w:rsid w:val="00365D2A"/>
    <w:rsid w:val="0036601B"/>
    <w:rsid w:val="0036718C"/>
    <w:rsid w:val="00367580"/>
    <w:rsid w:val="003678E7"/>
    <w:rsid w:val="003703FC"/>
    <w:rsid w:val="00370C07"/>
    <w:rsid w:val="00371246"/>
    <w:rsid w:val="0037135B"/>
    <w:rsid w:val="00372F51"/>
    <w:rsid w:val="003736C9"/>
    <w:rsid w:val="00375A10"/>
    <w:rsid w:val="00375B92"/>
    <w:rsid w:val="00376408"/>
    <w:rsid w:val="003765BA"/>
    <w:rsid w:val="00377426"/>
    <w:rsid w:val="00380995"/>
    <w:rsid w:val="00383B77"/>
    <w:rsid w:val="00384988"/>
    <w:rsid w:val="0038550E"/>
    <w:rsid w:val="00385AB6"/>
    <w:rsid w:val="00385E02"/>
    <w:rsid w:val="003872CF"/>
    <w:rsid w:val="003874CB"/>
    <w:rsid w:val="00387C7D"/>
    <w:rsid w:val="00393068"/>
    <w:rsid w:val="00393F3D"/>
    <w:rsid w:val="003958C9"/>
    <w:rsid w:val="00395C34"/>
    <w:rsid w:val="00395FE4"/>
    <w:rsid w:val="00396E08"/>
    <w:rsid w:val="003970DD"/>
    <w:rsid w:val="0039782C"/>
    <w:rsid w:val="00397EEA"/>
    <w:rsid w:val="00397F98"/>
    <w:rsid w:val="003A13A6"/>
    <w:rsid w:val="003A146D"/>
    <w:rsid w:val="003A1812"/>
    <w:rsid w:val="003A1D5D"/>
    <w:rsid w:val="003A2165"/>
    <w:rsid w:val="003A2C1A"/>
    <w:rsid w:val="003A3AF3"/>
    <w:rsid w:val="003A3CA5"/>
    <w:rsid w:val="003A3E82"/>
    <w:rsid w:val="003A3FD4"/>
    <w:rsid w:val="003A4382"/>
    <w:rsid w:val="003A586A"/>
    <w:rsid w:val="003A5B4A"/>
    <w:rsid w:val="003A5D95"/>
    <w:rsid w:val="003A6510"/>
    <w:rsid w:val="003A74E2"/>
    <w:rsid w:val="003A7776"/>
    <w:rsid w:val="003A7A81"/>
    <w:rsid w:val="003B0601"/>
    <w:rsid w:val="003B0D3A"/>
    <w:rsid w:val="003B2302"/>
    <w:rsid w:val="003B23C5"/>
    <w:rsid w:val="003B2A75"/>
    <w:rsid w:val="003B413C"/>
    <w:rsid w:val="003B49B2"/>
    <w:rsid w:val="003B6124"/>
    <w:rsid w:val="003B78A6"/>
    <w:rsid w:val="003B7960"/>
    <w:rsid w:val="003C0908"/>
    <w:rsid w:val="003C093A"/>
    <w:rsid w:val="003C1ECF"/>
    <w:rsid w:val="003C29B8"/>
    <w:rsid w:val="003C2FB5"/>
    <w:rsid w:val="003C466B"/>
    <w:rsid w:val="003C4753"/>
    <w:rsid w:val="003C68FF"/>
    <w:rsid w:val="003C721E"/>
    <w:rsid w:val="003C7B30"/>
    <w:rsid w:val="003D20E7"/>
    <w:rsid w:val="003D24C5"/>
    <w:rsid w:val="003D4594"/>
    <w:rsid w:val="003D4AC4"/>
    <w:rsid w:val="003D50CA"/>
    <w:rsid w:val="003D5433"/>
    <w:rsid w:val="003D55FD"/>
    <w:rsid w:val="003D63B7"/>
    <w:rsid w:val="003D74C5"/>
    <w:rsid w:val="003E0495"/>
    <w:rsid w:val="003E04C8"/>
    <w:rsid w:val="003E1E57"/>
    <w:rsid w:val="003E207A"/>
    <w:rsid w:val="003E2FA6"/>
    <w:rsid w:val="003E41F9"/>
    <w:rsid w:val="003E4374"/>
    <w:rsid w:val="003E43D8"/>
    <w:rsid w:val="003E468B"/>
    <w:rsid w:val="003E4991"/>
    <w:rsid w:val="003E62BD"/>
    <w:rsid w:val="003E658D"/>
    <w:rsid w:val="003E69BA"/>
    <w:rsid w:val="003F044F"/>
    <w:rsid w:val="003F08DB"/>
    <w:rsid w:val="003F0BF2"/>
    <w:rsid w:val="003F0C3A"/>
    <w:rsid w:val="003F15F0"/>
    <w:rsid w:val="003F255B"/>
    <w:rsid w:val="003F2AD9"/>
    <w:rsid w:val="003F3228"/>
    <w:rsid w:val="003F5C8C"/>
    <w:rsid w:val="003F63CE"/>
    <w:rsid w:val="003F775A"/>
    <w:rsid w:val="00400042"/>
    <w:rsid w:val="004000FF"/>
    <w:rsid w:val="00400E55"/>
    <w:rsid w:val="0040128E"/>
    <w:rsid w:val="00401640"/>
    <w:rsid w:val="004019D1"/>
    <w:rsid w:val="0040216B"/>
    <w:rsid w:val="004037BD"/>
    <w:rsid w:val="00404582"/>
    <w:rsid w:val="00404852"/>
    <w:rsid w:val="00405299"/>
    <w:rsid w:val="0040590E"/>
    <w:rsid w:val="004077E6"/>
    <w:rsid w:val="00407CC8"/>
    <w:rsid w:val="0041180F"/>
    <w:rsid w:val="00411D3A"/>
    <w:rsid w:val="00412516"/>
    <w:rsid w:val="00412C6B"/>
    <w:rsid w:val="00412DAA"/>
    <w:rsid w:val="00413921"/>
    <w:rsid w:val="00413BB0"/>
    <w:rsid w:val="004149A0"/>
    <w:rsid w:val="00414F0C"/>
    <w:rsid w:val="00415641"/>
    <w:rsid w:val="00417578"/>
    <w:rsid w:val="00417703"/>
    <w:rsid w:val="00420400"/>
    <w:rsid w:val="00421813"/>
    <w:rsid w:val="00423E78"/>
    <w:rsid w:val="0042430E"/>
    <w:rsid w:val="00424711"/>
    <w:rsid w:val="004252EC"/>
    <w:rsid w:val="004274CD"/>
    <w:rsid w:val="004274D2"/>
    <w:rsid w:val="00427CC6"/>
    <w:rsid w:val="00430D39"/>
    <w:rsid w:val="00431593"/>
    <w:rsid w:val="004323C0"/>
    <w:rsid w:val="00432CBD"/>
    <w:rsid w:val="00432EBF"/>
    <w:rsid w:val="00433619"/>
    <w:rsid w:val="00435150"/>
    <w:rsid w:val="00440A5C"/>
    <w:rsid w:val="00441779"/>
    <w:rsid w:val="00442C91"/>
    <w:rsid w:val="00443AA1"/>
    <w:rsid w:val="00444D68"/>
    <w:rsid w:val="00444E9D"/>
    <w:rsid w:val="0044563F"/>
    <w:rsid w:val="004465BD"/>
    <w:rsid w:val="00446938"/>
    <w:rsid w:val="00447820"/>
    <w:rsid w:val="00447DA2"/>
    <w:rsid w:val="00447F4B"/>
    <w:rsid w:val="00450488"/>
    <w:rsid w:val="00450657"/>
    <w:rsid w:val="00451025"/>
    <w:rsid w:val="00451853"/>
    <w:rsid w:val="004520F5"/>
    <w:rsid w:val="004525F1"/>
    <w:rsid w:val="0045275E"/>
    <w:rsid w:val="004528FA"/>
    <w:rsid w:val="00452A6C"/>
    <w:rsid w:val="004536B0"/>
    <w:rsid w:val="00454B00"/>
    <w:rsid w:val="00454CC2"/>
    <w:rsid w:val="004556DF"/>
    <w:rsid w:val="004574B2"/>
    <w:rsid w:val="004601D2"/>
    <w:rsid w:val="00460CF7"/>
    <w:rsid w:val="00461A44"/>
    <w:rsid w:val="00462A93"/>
    <w:rsid w:val="00462D26"/>
    <w:rsid w:val="0046368B"/>
    <w:rsid w:val="0046385A"/>
    <w:rsid w:val="00463999"/>
    <w:rsid w:val="00464039"/>
    <w:rsid w:val="00465820"/>
    <w:rsid w:val="00466035"/>
    <w:rsid w:val="00466ADA"/>
    <w:rsid w:val="0046737B"/>
    <w:rsid w:val="004702BB"/>
    <w:rsid w:val="00470F60"/>
    <w:rsid w:val="00470FB4"/>
    <w:rsid w:val="004717BE"/>
    <w:rsid w:val="0047211D"/>
    <w:rsid w:val="00473DD9"/>
    <w:rsid w:val="0047494B"/>
    <w:rsid w:val="00476245"/>
    <w:rsid w:val="004773C4"/>
    <w:rsid w:val="00477A9B"/>
    <w:rsid w:val="00480CFA"/>
    <w:rsid w:val="004825F3"/>
    <w:rsid w:val="00482AE4"/>
    <w:rsid w:val="00483035"/>
    <w:rsid w:val="0048401B"/>
    <w:rsid w:val="0048415B"/>
    <w:rsid w:val="00484205"/>
    <w:rsid w:val="00484AC6"/>
    <w:rsid w:val="00485940"/>
    <w:rsid w:val="0048617C"/>
    <w:rsid w:val="00486C95"/>
    <w:rsid w:val="004877C2"/>
    <w:rsid w:val="00487874"/>
    <w:rsid w:val="004904B9"/>
    <w:rsid w:val="00490815"/>
    <w:rsid w:val="0049178B"/>
    <w:rsid w:val="00491D1A"/>
    <w:rsid w:val="00491EDC"/>
    <w:rsid w:val="004928E1"/>
    <w:rsid w:val="00492D8D"/>
    <w:rsid w:val="00493F50"/>
    <w:rsid w:val="00496662"/>
    <w:rsid w:val="004A0B85"/>
    <w:rsid w:val="004A1431"/>
    <w:rsid w:val="004A2484"/>
    <w:rsid w:val="004A2D3E"/>
    <w:rsid w:val="004A361D"/>
    <w:rsid w:val="004A378E"/>
    <w:rsid w:val="004A4138"/>
    <w:rsid w:val="004A5A85"/>
    <w:rsid w:val="004A71D1"/>
    <w:rsid w:val="004A7C5B"/>
    <w:rsid w:val="004B1845"/>
    <w:rsid w:val="004B2348"/>
    <w:rsid w:val="004B2ACC"/>
    <w:rsid w:val="004B2E01"/>
    <w:rsid w:val="004B2E98"/>
    <w:rsid w:val="004B32A9"/>
    <w:rsid w:val="004B33E4"/>
    <w:rsid w:val="004B5640"/>
    <w:rsid w:val="004B6084"/>
    <w:rsid w:val="004B6891"/>
    <w:rsid w:val="004B6E4D"/>
    <w:rsid w:val="004BCF29"/>
    <w:rsid w:val="004C0206"/>
    <w:rsid w:val="004C03D0"/>
    <w:rsid w:val="004C0492"/>
    <w:rsid w:val="004C0D75"/>
    <w:rsid w:val="004C1723"/>
    <w:rsid w:val="004C1BD7"/>
    <w:rsid w:val="004C1BF2"/>
    <w:rsid w:val="004C239C"/>
    <w:rsid w:val="004C23B6"/>
    <w:rsid w:val="004C31FE"/>
    <w:rsid w:val="004C4026"/>
    <w:rsid w:val="004C4DCA"/>
    <w:rsid w:val="004C4F7A"/>
    <w:rsid w:val="004C524C"/>
    <w:rsid w:val="004C59E7"/>
    <w:rsid w:val="004C5EDD"/>
    <w:rsid w:val="004C5FFA"/>
    <w:rsid w:val="004C639D"/>
    <w:rsid w:val="004C691D"/>
    <w:rsid w:val="004C6C07"/>
    <w:rsid w:val="004C7E15"/>
    <w:rsid w:val="004C7EC6"/>
    <w:rsid w:val="004D1283"/>
    <w:rsid w:val="004D28BD"/>
    <w:rsid w:val="004D2CD1"/>
    <w:rsid w:val="004D2DD7"/>
    <w:rsid w:val="004D365C"/>
    <w:rsid w:val="004D4FF6"/>
    <w:rsid w:val="004D5ADD"/>
    <w:rsid w:val="004D5C72"/>
    <w:rsid w:val="004D67D7"/>
    <w:rsid w:val="004E030F"/>
    <w:rsid w:val="004E0527"/>
    <w:rsid w:val="004E0734"/>
    <w:rsid w:val="004E0CC3"/>
    <w:rsid w:val="004E138B"/>
    <w:rsid w:val="004E3321"/>
    <w:rsid w:val="004E3FDC"/>
    <w:rsid w:val="004E433D"/>
    <w:rsid w:val="004E692D"/>
    <w:rsid w:val="004E7230"/>
    <w:rsid w:val="004E7D87"/>
    <w:rsid w:val="004F02DF"/>
    <w:rsid w:val="004F0E90"/>
    <w:rsid w:val="004F0E97"/>
    <w:rsid w:val="004F2553"/>
    <w:rsid w:val="004F306A"/>
    <w:rsid w:val="004F38F6"/>
    <w:rsid w:val="004F67F3"/>
    <w:rsid w:val="004F6AF8"/>
    <w:rsid w:val="004F7469"/>
    <w:rsid w:val="00500B16"/>
    <w:rsid w:val="00500D3A"/>
    <w:rsid w:val="00501554"/>
    <w:rsid w:val="0050270F"/>
    <w:rsid w:val="00502AFE"/>
    <w:rsid w:val="00502E64"/>
    <w:rsid w:val="00503A91"/>
    <w:rsid w:val="00503AD7"/>
    <w:rsid w:val="00503C08"/>
    <w:rsid w:val="00503E89"/>
    <w:rsid w:val="0050404D"/>
    <w:rsid w:val="00504E0C"/>
    <w:rsid w:val="00504E13"/>
    <w:rsid w:val="00505ACA"/>
    <w:rsid w:val="0050706C"/>
    <w:rsid w:val="00507094"/>
    <w:rsid w:val="005076DC"/>
    <w:rsid w:val="00507910"/>
    <w:rsid w:val="005109D4"/>
    <w:rsid w:val="0051230A"/>
    <w:rsid w:val="00512889"/>
    <w:rsid w:val="00512FAE"/>
    <w:rsid w:val="00513248"/>
    <w:rsid w:val="00514CD7"/>
    <w:rsid w:val="005154AD"/>
    <w:rsid w:val="00515D70"/>
    <w:rsid w:val="00515DBA"/>
    <w:rsid w:val="005160AF"/>
    <w:rsid w:val="00516711"/>
    <w:rsid w:val="005167EC"/>
    <w:rsid w:val="00516BD1"/>
    <w:rsid w:val="005170DA"/>
    <w:rsid w:val="00517758"/>
    <w:rsid w:val="00520D6A"/>
    <w:rsid w:val="00520F04"/>
    <w:rsid w:val="00521395"/>
    <w:rsid w:val="00521787"/>
    <w:rsid w:val="00522DB6"/>
    <w:rsid w:val="00522F45"/>
    <w:rsid w:val="00523182"/>
    <w:rsid w:val="0052321B"/>
    <w:rsid w:val="00523D6E"/>
    <w:rsid w:val="00523E93"/>
    <w:rsid w:val="005256A6"/>
    <w:rsid w:val="0052604B"/>
    <w:rsid w:val="005260B4"/>
    <w:rsid w:val="005264A7"/>
    <w:rsid w:val="0052662C"/>
    <w:rsid w:val="00527297"/>
    <w:rsid w:val="0052792D"/>
    <w:rsid w:val="0053125D"/>
    <w:rsid w:val="0053127B"/>
    <w:rsid w:val="005319B2"/>
    <w:rsid w:val="00532402"/>
    <w:rsid w:val="00532A82"/>
    <w:rsid w:val="00532C74"/>
    <w:rsid w:val="0053319E"/>
    <w:rsid w:val="00533239"/>
    <w:rsid w:val="00534E2E"/>
    <w:rsid w:val="00535133"/>
    <w:rsid w:val="00535355"/>
    <w:rsid w:val="00536E2A"/>
    <w:rsid w:val="005372F9"/>
    <w:rsid w:val="0054064C"/>
    <w:rsid w:val="00542BBA"/>
    <w:rsid w:val="00543948"/>
    <w:rsid w:val="00544552"/>
    <w:rsid w:val="00545130"/>
    <w:rsid w:val="00546B1B"/>
    <w:rsid w:val="00546B36"/>
    <w:rsid w:val="00550458"/>
    <w:rsid w:val="00551E20"/>
    <w:rsid w:val="0055286A"/>
    <w:rsid w:val="00552E5B"/>
    <w:rsid w:val="0055349C"/>
    <w:rsid w:val="005538FC"/>
    <w:rsid w:val="00555745"/>
    <w:rsid w:val="00555A57"/>
    <w:rsid w:val="00555B98"/>
    <w:rsid w:val="00555C69"/>
    <w:rsid w:val="00557D4F"/>
    <w:rsid w:val="00560285"/>
    <w:rsid w:val="00560CA9"/>
    <w:rsid w:val="0056122E"/>
    <w:rsid w:val="00561464"/>
    <w:rsid w:val="00561A10"/>
    <w:rsid w:val="0056246C"/>
    <w:rsid w:val="00562AA2"/>
    <w:rsid w:val="0056323D"/>
    <w:rsid w:val="00563352"/>
    <w:rsid w:val="00563792"/>
    <w:rsid w:val="00563DAB"/>
    <w:rsid w:val="00564480"/>
    <w:rsid w:val="0056484E"/>
    <w:rsid w:val="00564DFE"/>
    <w:rsid w:val="00565999"/>
    <w:rsid w:val="005660FB"/>
    <w:rsid w:val="00566DAF"/>
    <w:rsid w:val="00567D8A"/>
    <w:rsid w:val="00570231"/>
    <w:rsid w:val="00570976"/>
    <w:rsid w:val="005714B7"/>
    <w:rsid w:val="00572DCA"/>
    <w:rsid w:val="00574784"/>
    <w:rsid w:val="005750E9"/>
    <w:rsid w:val="005764CD"/>
    <w:rsid w:val="0057703E"/>
    <w:rsid w:val="00577315"/>
    <w:rsid w:val="00577C4D"/>
    <w:rsid w:val="00577D03"/>
    <w:rsid w:val="00577F3D"/>
    <w:rsid w:val="00580532"/>
    <w:rsid w:val="0058126D"/>
    <w:rsid w:val="00581932"/>
    <w:rsid w:val="00583002"/>
    <w:rsid w:val="005845B6"/>
    <w:rsid w:val="005847FD"/>
    <w:rsid w:val="00584AF5"/>
    <w:rsid w:val="005856E2"/>
    <w:rsid w:val="00586241"/>
    <w:rsid w:val="00586704"/>
    <w:rsid w:val="005875FB"/>
    <w:rsid w:val="005903BB"/>
    <w:rsid w:val="00593893"/>
    <w:rsid w:val="005939E8"/>
    <w:rsid w:val="00595936"/>
    <w:rsid w:val="00595AFE"/>
    <w:rsid w:val="00595CD2"/>
    <w:rsid w:val="00595F79"/>
    <w:rsid w:val="005963BB"/>
    <w:rsid w:val="0059645C"/>
    <w:rsid w:val="00596D37"/>
    <w:rsid w:val="005A0261"/>
    <w:rsid w:val="005A1554"/>
    <w:rsid w:val="005A15D2"/>
    <w:rsid w:val="005A3173"/>
    <w:rsid w:val="005A3223"/>
    <w:rsid w:val="005A39D9"/>
    <w:rsid w:val="005A3DA3"/>
    <w:rsid w:val="005A3F8C"/>
    <w:rsid w:val="005A416B"/>
    <w:rsid w:val="005A52C4"/>
    <w:rsid w:val="005A62AF"/>
    <w:rsid w:val="005A63A1"/>
    <w:rsid w:val="005A66B2"/>
    <w:rsid w:val="005A7FCB"/>
    <w:rsid w:val="005B0486"/>
    <w:rsid w:val="005B0FED"/>
    <w:rsid w:val="005B1032"/>
    <w:rsid w:val="005B1473"/>
    <w:rsid w:val="005B260D"/>
    <w:rsid w:val="005B2EF4"/>
    <w:rsid w:val="005B36D6"/>
    <w:rsid w:val="005B36FA"/>
    <w:rsid w:val="005B4284"/>
    <w:rsid w:val="005B4490"/>
    <w:rsid w:val="005B4907"/>
    <w:rsid w:val="005B49CA"/>
    <w:rsid w:val="005B531F"/>
    <w:rsid w:val="005B6EE8"/>
    <w:rsid w:val="005C09CB"/>
    <w:rsid w:val="005C0A46"/>
    <w:rsid w:val="005C0BE0"/>
    <w:rsid w:val="005C1D58"/>
    <w:rsid w:val="005C28D4"/>
    <w:rsid w:val="005C329A"/>
    <w:rsid w:val="005C377A"/>
    <w:rsid w:val="005C41E8"/>
    <w:rsid w:val="005C4F73"/>
    <w:rsid w:val="005C613C"/>
    <w:rsid w:val="005C6A5B"/>
    <w:rsid w:val="005C7284"/>
    <w:rsid w:val="005C7F21"/>
    <w:rsid w:val="005D0132"/>
    <w:rsid w:val="005D0272"/>
    <w:rsid w:val="005D03AB"/>
    <w:rsid w:val="005D0B07"/>
    <w:rsid w:val="005D1A5E"/>
    <w:rsid w:val="005D1E10"/>
    <w:rsid w:val="005D20B4"/>
    <w:rsid w:val="005D3BB7"/>
    <w:rsid w:val="005D401D"/>
    <w:rsid w:val="005D4C82"/>
    <w:rsid w:val="005D4F5D"/>
    <w:rsid w:val="005D5017"/>
    <w:rsid w:val="005D5708"/>
    <w:rsid w:val="005D5A6A"/>
    <w:rsid w:val="005D5B9B"/>
    <w:rsid w:val="005D63FA"/>
    <w:rsid w:val="005D643D"/>
    <w:rsid w:val="005D6A10"/>
    <w:rsid w:val="005D73C7"/>
    <w:rsid w:val="005E0050"/>
    <w:rsid w:val="005E0B48"/>
    <w:rsid w:val="005E0C2D"/>
    <w:rsid w:val="005E0D82"/>
    <w:rsid w:val="005E0E6D"/>
    <w:rsid w:val="005E0F59"/>
    <w:rsid w:val="005E1333"/>
    <w:rsid w:val="005E1A30"/>
    <w:rsid w:val="005E2970"/>
    <w:rsid w:val="005E3136"/>
    <w:rsid w:val="005E3CDA"/>
    <w:rsid w:val="005E4318"/>
    <w:rsid w:val="005E507D"/>
    <w:rsid w:val="005E5910"/>
    <w:rsid w:val="005E7F0B"/>
    <w:rsid w:val="005F024E"/>
    <w:rsid w:val="005F0341"/>
    <w:rsid w:val="005F0AD0"/>
    <w:rsid w:val="005F0C3F"/>
    <w:rsid w:val="005F1EE0"/>
    <w:rsid w:val="005F25A4"/>
    <w:rsid w:val="005F29B5"/>
    <w:rsid w:val="005F2D1B"/>
    <w:rsid w:val="005F3BC8"/>
    <w:rsid w:val="005F6538"/>
    <w:rsid w:val="005F6681"/>
    <w:rsid w:val="005F7420"/>
    <w:rsid w:val="005F788E"/>
    <w:rsid w:val="00600379"/>
    <w:rsid w:val="00600A18"/>
    <w:rsid w:val="0060195C"/>
    <w:rsid w:val="00601A91"/>
    <w:rsid w:val="00601D5B"/>
    <w:rsid w:val="00602063"/>
    <w:rsid w:val="00602BA3"/>
    <w:rsid w:val="006034F9"/>
    <w:rsid w:val="00604E84"/>
    <w:rsid w:val="00605B63"/>
    <w:rsid w:val="00605F4A"/>
    <w:rsid w:val="00605F9A"/>
    <w:rsid w:val="00606442"/>
    <w:rsid w:val="00606A7B"/>
    <w:rsid w:val="00606EED"/>
    <w:rsid w:val="00606F26"/>
    <w:rsid w:val="00607DDB"/>
    <w:rsid w:val="0061079B"/>
    <w:rsid w:val="0061111B"/>
    <w:rsid w:val="0061251E"/>
    <w:rsid w:val="00612A95"/>
    <w:rsid w:val="00612E34"/>
    <w:rsid w:val="00613DEB"/>
    <w:rsid w:val="00614159"/>
    <w:rsid w:val="006145A1"/>
    <w:rsid w:val="006153A8"/>
    <w:rsid w:val="00615757"/>
    <w:rsid w:val="006158A3"/>
    <w:rsid w:val="00615D4D"/>
    <w:rsid w:val="00616C5F"/>
    <w:rsid w:val="00616D84"/>
    <w:rsid w:val="00616DAC"/>
    <w:rsid w:val="006175DB"/>
    <w:rsid w:val="00617725"/>
    <w:rsid w:val="00617C00"/>
    <w:rsid w:val="0062131F"/>
    <w:rsid w:val="0062316F"/>
    <w:rsid w:val="0062323B"/>
    <w:rsid w:val="00623C68"/>
    <w:rsid w:val="00624574"/>
    <w:rsid w:val="006256B9"/>
    <w:rsid w:val="00625EED"/>
    <w:rsid w:val="0062618D"/>
    <w:rsid w:val="006263BF"/>
    <w:rsid w:val="006264A6"/>
    <w:rsid w:val="006266F0"/>
    <w:rsid w:val="0062748A"/>
    <w:rsid w:val="00627499"/>
    <w:rsid w:val="0063003D"/>
    <w:rsid w:val="00630546"/>
    <w:rsid w:val="00630A2C"/>
    <w:rsid w:val="00632180"/>
    <w:rsid w:val="006328D2"/>
    <w:rsid w:val="00633F07"/>
    <w:rsid w:val="00634A75"/>
    <w:rsid w:val="00634E11"/>
    <w:rsid w:val="006353F3"/>
    <w:rsid w:val="0063682E"/>
    <w:rsid w:val="00636A62"/>
    <w:rsid w:val="00636A8A"/>
    <w:rsid w:val="00636CD5"/>
    <w:rsid w:val="00636D93"/>
    <w:rsid w:val="00640088"/>
    <w:rsid w:val="00640BC0"/>
    <w:rsid w:val="00640D16"/>
    <w:rsid w:val="00642230"/>
    <w:rsid w:val="00642672"/>
    <w:rsid w:val="00642DA8"/>
    <w:rsid w:val="006436CD"/>
    <w:rsid w:val="00645000"/>
    <w:rsid w:val="00645359"/>
    <w:rsid w:val="00645883"/>
    <w:rsid w:val="00647E38"/>
    <w:rsid w:val="00650976"/>
    <w:rsid w:val="00651169"/>
    <w:rsid w:val="0065275D"/>
    <w:rsid w:val="006530F1"/>
    <w:rsid w:val="006536F5"/>
    <w:rsid w:val="00653D69"/>
    <w:rsid w:val="00653F9E"/>
    <w:rsid w:val="006552E6"/>
    <w:rsid w:val="00655794"/>
    <w:rsid w:val="006557B1"/>
    <w:rsid w:val="00656C1A"/>
    <w:rsid w:val="00656F2F"/>
    <w:rsid w:val="00657C63"/>
    <w:rsid w:val="006601CE"/>
    <w:rsid w:val="00661CBC"/>
    <w:rsid w:val="00662ADA"/>
    <w:rsid w:val="00662B85"/>
    <w:rsid w:val="00663570"/>
    <w:rsid w:val="00663EE9"/>
    <w:rsid w:val="00664987"/>
    <w:rsid w:val="00664AD1"/>
    <w:rsid w:val="00665905"/>
    <w:rsid w:val="00665A54"/>
    <w:rsid w:val="00665D71"/>
    <w:rsid w:val="00665EDE"/>
    <w:rsid w:val="00666D0F"/>
    <w:rsid w:val="006670B3"/>
    <w:rsid w:val="006670BE"/>
    <w:rsid w:val="00667437"/>
    <w:rsid w:val="00667D90"/>
    <w:rsid w:val="006705BE"/>
    <w:rsid w:val="00670A76"/>
    <w:rsid w:val="006711AA"/>
    <w:rsid w:val="006728CE"/>
    <w:rsid w:val="00672B57"/>
    <w:rsid w:val="00672B78"/>
    <w:rsid w:val="00673F1F"/>
    <w:rsid w:val="0067532E"/>
    <w:rsid w:val="00675622"/>
    <w:rsid w:val="00675DEB"/>
    <w:rsid w:val="00676C6D"/>
    <w:rsid w:val="0067747D"/>
    <w:rsid w:val="00680198"/>
    <w:rsid w:val="00680A88"/>
    <w:rsid w:val="006818D5"/>
    <w:rsid w:val="00681CA4"/>
    <w:rsid w:val="00682D9E"/>
    <w:rsid w:val="0068446F"/>
    <w:rsid w:val="00684CF7"/>
    <w:rsid w:val="00686559"/>
    <w:rsid w:val="0069039D"/>
    <w:rsid w:val="006906DB"/>
    <w:rsid w:val="00691900"/>
    <w:rsid w:val="00691A2C"/>
    <w:rsid w:val="00691E6C"/>
    <w:rsid w:val="00691FD5"/>
    <w:rsid w:val="00693425"/>
    <w:rsid w:val="0069342D"/>
    <w:rsid w:val="00693789"/>
    <w:rsid w:val="00693DFB"/>
    <w:rsid w:val="00693E9C"/>
    <w:rsid w:val="0069483C"/>
    <w:rsid w:val="00694FD5"/>
    <w:rsid w:val="0069501D"/>
    <w:rsid w:val="00696129"/>
    <w:rsid w:val="0069677D"/>
    <w:rsid w:val="00697CF2"/>
    <w:rsid w:val="006A030C"/>
    <w:rsid w:val="006A04F4"/>
    <w:rsid w:val="006A12A5"/>
    <w:rsid w:val="006A2515"/>
    <w:rsid w:val="006A40B5"/>
    <w:rsid w:val="006A4FC8"/>
    <w:rsid w:val="006A572D"/>
    <w:rsid w:val="006A5E20"/>
    <w:rsid w:val="006A67D6"/>
    <w:rsid w:val="006B0D94"/>
    <w:rsid w:val="006B16B6"/>
    <w:rsid w:val="006B1986"/>
    <w:rsid w:val="006B2DF9"/>
    <w:rsid w:val="006B485D"/>
    <w:rsid w:val="006B6772"/>
    <w:rsid w:val="006B7DDA"/>
    <w:rsid w:val="006C0A79"/>
    <w:rsid w:val="006C0C45"/>
    <w:rsid w:val="006C277E"/>
    <w:rsid w:val="006C2806"/>
    <w:rsid w:val="006C334C"/>
    <w:rsid w:val="006C56FB"/>
    <w:rsid w:val="006C58A1"/>
    <w:rsid w:val="006C5AC8"/>
    <w:rsid w:val="006C5F92"/>
    <w:rsid w:val="006C6C10"/>
    <w:rsid w:val="006C708E"/>
    <w:rsid w:val="006C73B4"/>
    <w:rsid w:val="006D14E7"/>
    <w:rsid w:val="006D2D70"/>
    <w:rsid w:val="006D2EA9"/>
    <w:rsid w:val="006D3C36"/>
    <w:rsid w:val="006D401B"/>
    <w:rsid w:val="006D4444"/>
    <w:rsid w:val="006D4801"/>
    <w:rsid w:val="006D4B7B"/>
    <w:rsid w:val="006D5D35"/>
    <w:rsid w:val="006D6493"/>
    <w:rsid w:val="006D6749"/>
    <w:rsid w:val="006D6EC7"/>
    <w:rsid w:val="006D7B05"/>
    <w:rsid w:val="006D7E45"/>
    <w:rsid w:val="006E1143"/>
    <w:rsid w:val="006E152F"/>
    <w:rsid w:val="006E1BCD"/>
    <w:rsid w:val="006E2732"/>
    <w:rsid w:val="006E3BA8"/>
    <w:rsid w:val="006E59CD"/>
    <w:rsid w:val="006E6553"/>
    <w:rsid w:val="006E6838"/>
    <w:rsid w:val="006F00ED"/>
    <w:rsid w:val="006F026F"/>
    <w:rsid w:val="006F0A71"/>
    <w:rsid w:val="006F1C6B"/>
    <w:rsid w:val="006F2ECE"/>
    <w:rsid w:val="006F40C2"/>
    <w:rsid w:val="006F5125"/>
    <w:rsid w:val="006F531B"/>
    <w:rsid w:val="006F5847"/>
    <w:rsid w:val="006F5A7A"/>
    <w:rsid w:val="006F6D41"/>
    <w:rsid w:val="006F733D"/>
    <w:rsid w:val="00700765"/>
    <w:rsid w:val="00701947"/>
    <w:rsid w:val="00702959"/>
    <w:rsid w:val="00702B6F"/>
    <w:rsid w:val="007030B4"/>
    <w:rsid w:val="00703B86"/>
    <w:rsid w:val="00704069"/>
    <w:rsid w:val="007065CE"/>
    <w:rsid w:val="00706A2F"/>
    <w:rsid w:val="0070718E"/>
    <w:rsid w:val="00707961"/>
    <w:rsid w:val="00707E52"/>
    <w:rsid w:val="00710259"/>
    <w:rsid w:val="0071031F"/>
    <w:rsid w:val="00710382"/>
    <w:rsid w:val="00710606"/>
    <w:rsid w:val="00710737"/>
    <w:rsid w:val="00711D22"/>
    <w:rsid w:val="00712516"/>
    <w:rsid w:val="0071326B"/>
    <w:rsid w:val="0071340B"/>
    <w:rsid w:val="00713C50"/>
    <w:rsid w:val="0071436D"/>
    <w:rsid w:val="007147C1"/>
    <w:rsid w:val="0071508D"/>
    <w:rsid w:val="00715BBB"/>
    <w:rsid w:val="007174BB"/>
    <w:rsid w:val="00717FB9"/>
    <w:rsid w:val="0072025D"/>
    <w:rsid w:val="00720431"/>
    <w:rsid w:val="00723328"/>
    <w:rsid w:val="007237DE"/>
    <w:rsid w:val="0072415A"/>
    <w:rsid w:val="0072502E"/>
    <w:rsid w:val="007256EB"/>
    <w:rsid w:val="00726199"/>
    <w:rsid w:val="0073137C"/>
    <w:rsid w:val="007338DA"/>
    <w:rsid w:val="007338F3"/>
    <w:rsid w:val="00733EF3"/>
    <w:rsid w:val="007340B9"/>
    <w:rsid w:val="007341CF"/>
    <w:rsid w:val="00734715"/>
    <w:rsid w:val="00734853"/>
    <w:rsid w:val="007353D3"/>
    <w:rsid w:val="0073736F"/>
    <w:rsid w:val="00737E45"/>
    <w:rsid w:val="0074059B"/>
    <w:rsid w:val="007414D0"/>
    <w:rsid w:val="0074156B"/>
    <w:rsid w:val="00741619"/>
    <w:rsid w:val="00741D86"/>
    <w:rsid w:val="00742885"/>
    <w:rsid w:val="0074350C"/>
    <w:rsid w:val="00743855"/>
    <w:rsid w:val="00744D15"/>
    <w:rsid w:val="007468EF"/>
    <w:rsid w:val="00747092"/>
    <w:rsid w:val="007477FF"/>
    <w:rsid w:val="00750081"/>
    <w:rsid w:val="007526E6"/>
    <w:rsid w:val="00752F43"/>
    <w:rsid w:val="007533F8"/>
    <w:rsid w:val="00754C18"/>
    <w:rsid w:val="00754C69"/>
    <w:rsid w:val="00754DA3"/>
    <w:rsid w:val="00754DF9"/>
    <w:rsid w:val="007555E8"/>
    <w:rsid w:val="00755CC5"/>
    <w:rsid w:val="0075756B"/>
    <w:rsid w:val="0076284D"/>
    <w:rsid w:val="00762862"/>
    <w:rsid w:val="00763318"/>
    <w:rsid w:val="00764172"/>
    <w:rsid w:val="0076420C"/>
    <w:rsid w:val="00764428"/>
    <w:rsid w:val="00765F6A"/>
    <w:rsid w:val="007671D4"/>
    <w:rsid w:val="00771D07"/>
    <w:rsid w:val="0077253A"/>
    <w:rsid w:val="00772649"/>
    <w:rsid w:val="00772964"/>
    <w:rsid w:val="00772F5D"/>
    <w:rsid w:val="00773135"/>
    <w:rsid w:val="00773189"/>
    <w:rsid w:val="00773BE3"/>
    <w:rsid w:val="007743DD"/>
    <w:rsid w:val="00774BC6"/>
    <w:rsid w:val="00774E2C"/>
    <w:rsid w:val="0077503C"/>
    <w:rsid w:val="0077518D"/>
    <w:rsid w:val="007753C2"/>
    <w:rsid w:val="00776068"/>
    <w:rsid w:val="00776BA5"/>
    <w:rsid w:val="0077727E"/>
    <w:rsid w:val="00780813"/>
    <w:rsid w:val="007821C4"/>
    <w:rsid w:val="00782C4A"/>
    <w:rsid w:val="007838B8"/>
    <w:rsid w:val="0078400C"/>
    <w:rsid w:val="00785779"/>
    <w:rsid w:val="007872E3"/>
    <w:rsid w:val="00787CF9"/>
    <w:rsid w:val="00787FD8"/>
    <w:rsid w:val="007908C1"/>
    <w:rsid w:val="00790B67"/>
    <w:rsid w:val="007915BA"/>
    <w:rsid w:val="00791844"/>
    <w:rsid w:val="007918CB"/>
    <w:rsid w:val="0079250E"/>
    <w:rsid w:val="00793672"/>
    <w:rsid w:val="00793CE9"/>
    <w:rsid w:val="007945A2"/>
    <w:rsid w:val="00796667"/>
    <w:rsid w:val="007966E6"/>
    <w:rsid w:val="00797068"/>
    <w:rsid w:val="007979BD"/>
    <w:rsid w:val="007A08C6"/>
    <w:rsid w:val="007A2777"/>
    <w:rsid w:val="007A39F0"/>
    <w:rsid w:val="007A3D8E"/>
    <w:rsid w:val="007A5C88"/>
    <w:rsid w:val="007A62A7"/>
    <w:rsid w:val="007A6725"/>
    <w:rsid w:val="007A6A2F"/>
    <w:rsid w:val="007A7274"/>
    <w:rsid w:val="007B024E"/>
    <w:rsid w:val="007B2C88"/>
    <w:rsid w:val="007B3BAF"/>
    <w:rsid w:val="007B3DDC"/>
    <w:rsid w:val="007B4B7B"/>
    <w:rsid w:val="007B4E60"/>
    <w:rsid w:val="007B59DB"/>
    <w:rsid w:val="007B72A6"/>
    <w:rsid w:val="007C06B1"/>
    <w:rsid w:val="007C06D2"/>
    <w:rsid w:val="007C08E0"/>
    <w:rsid w:val="007C0F57"/>
    <w:rsid w:val="007C1CA9"/>
    <w:rsid w:val="007C287C"/>
    <w:rsid w:val="007C2A1B"/>
    <w:rsid w:val="007C2F4B"/>
    <w:rsid w:val="007C3920"/>
    <w:rsid w:val="007C40B6"/>
    <w:rsid w:val="007C42B3"/>
    <w:rsid w:val="007C5975"/>
    <w:rsid w:val="007C6690"/>
    <w:rsid w:val="007C729F"/>
    <w:rsid w:val="007C72AD"/>
    <w:rsid w:val="007C7330"/>
    <w:rsid w:val="007C7AAA"/>
    <w:rsid w:val="007C7C01"/>
    <w:rsid w:val="007D0516"/>
    <w:rsid w:val="007D0804"/>
    <w:rsid w:val="007D11F3"/>
    <w:rsid w:val="007D1A6F"/>
    <w:rsid w:val="007D503D"/>
    <w:rsid w:val="007D59E7"/>
    <w:rsid w:val="007D5F2A"/>
    <w:rsid w:val="007D7750"/>
    <w:rsid w:val="007D7E42"/>
    <w:rsid w:val="007E07AC"/>
    <w:rsid w:val="007E1014"/>
    <w:rsid w:val="007E12F8"/>
    <w:rsid w:val="007E14EB"/>
    <w:rsid w:val="007E1673"/>
    <w:rsid w:val="007E1D28"/>
    <w:rsid w:val="007E21AF"/>
    <w:rsid w:val="007E2CDC"/>
    <w:rsid w:val="007E4268"/>
    <w:rsid w:val="007E4564"/>
    <w:rsid w:val="007E490F"/>
    <w:rsid w:val="007E4EF4"/>
    <w:rsid w:val="007E609E"/>
    <w:rsid w:val="007E6533"/>
    <w:rsid w:val="007F0021"/>
    <w:rsid w:val="007F067D"/>
    <w:rsid w:val="007F1007"/>
    <w:rsid w:val="007F25EF"/>
    <w:rsid w:val="007F2641"/>
    <w:rsid w:val="007F26B3"/>
    <w:rsid w:val="007F46FE"/>
    <w:rsid w:val="007F7C36"/>
    <w:rsid w:val="007F7F45"/>
    <w:rsid w:val="0080001F"/>
    <w:rsid w:val="00801958"/>
    <w:rsid w:val="008031B1"/>
    <w:rsid w:val="008035C6"/>
    <w:rsid w:val="00803987"/>
    <w:rsid w:val="008054D8"/>
    <w:rsid w:val="008055AF"/>
    <w:rsid w:val="008057CD"/>
    <w:rsid w:val="008060DC"/>
    <w:rsid w:val="008066B8"/>
    <w:rsid w:val="00806796"/>
    <w:rsid w:val="00810167"/>
    <w:rsid w:val="008104D0"/>
    <w:rsid w:val="00810FA6"/>
    <w:rsid w:val="00811CC0"/>
    <w:rsid w:val="00811F0B"/>
    <w:rsid w:val="0081218E"/>
    <w:rsid w:val="00812908"/>
    <w:rsid w:val="00814276"/>
    <w:rsid w:val="008151D6"/>
    <w:rsid w:val="008156C0"/>
    <w:rsid w:val="008156E3"/>
    <w:rsid w:val="00815F0A"/>
    <w:rsid w:val="00816322"/>
    <w:rsid w:val="008167EB"/>
    <w:rsid w:val="00817BE7"/>
    <w:rsid w:val="00820803"/>
    <w:rsid w:val="00821500"/>
    <w:rsid w:val="00821527"/>
    <w:rsid w:val="00822162"/>
    <w:rsid w:val="008225CE"/>
    <w:rsid w:val="00822696"/>
    <w:rsid w:val="00823098"/>
    <w:rsid w:val="00824E0C"/>
    <w:rsid w:val="008251E5"/>
    <w:rsid w:val="00825A6C"/>
    <w:rsid w:val="0082617E"/>
    <w:rsid w:val="008268BB"/>
    <w:rsid w:val="00826AB0"/>
    <w:rsid w:val="00826F6D"/>
    <w:rsid w:val="00827097"/>
    <w:rsid w:val="0083017A"/>
    <w:rsid w:val="008304BF"/>
    <w:rsid w:val="008306F3"/>
    <w:rsid w:val="00830E40"/>
    <w:rsid w:val="00830FFB"/>
    <w:rsid w:val="00831B88"/>
    <w:rsid w:val="008325D2"/>
    <w:rsid w:val="00832D9A"/>
    <w:rsid w:val="00834E7A"/>
    <w:rsid w:val="0083537D"/>
    <w:rsid w:val="008354F6"/>
    <w:rsid w:val="00835B09"/>
    <w:rsid w:val="00835C62"/>
    <w:rsid w:val="00836591"/>
    <w:rsid w:val="008368A1"/>
    <w:rsid w:val="00837629"/>
    <w:rsid w:val="00837B7F"/>
    <w:rsid w:val="0084063B"/>
    <w:rsid w:val="008409DC"/>
    <w:rsid w:val="00840CB1"/>
    <w:rsid w:val="00840D81"/>
    <w:rsid w:val="00840EF7"/>
    <w:rsid w:val="0084204C"/>
    <w:rsid w:val="008426EE"/>
    <w:rsid w:val="008448F6"/>
    <w:rsid w:val="00844C0A"/>
    <w:rsid w:val="00844EB3"/>
    <w:rsid w:val="00844FD0"/>
    <w:rsid w:val="00845BE8"/>
    <w:rsid w:val="00846029"/>
    <w:rsid w:val="00846056"/>
    <w:rsid w:val="0084681F"/>
    <w:rsid w:val="00846D26"/>
    <w:rsid w:val="00847514"/>
    <w:rsid w:val="00847D08"/>
    <w:rsid w:val="00847EC0"/>
    <w:rsid w:val="00847F05"/>
    <w:rsid w:val="0085037E"/>
    <w:rsid w:val="00851CF9"/>
    <w:rsid w:val="00851D11"/>
    <w:rsid w:val="00854506"/>
    <w:rsid w:val="00855FD6"/>
    <w:rsid w:val="00856BE1"/>
    <w:rsid w:val="00856DDD"/>
    <w:rsid w:val="00860233"/>
    <w:rsid w:val="0086329E"/>
    <w:rsid w:val="00863DD8"/>
    <w:rsid w:val="00863E68"/>
    <w:rsid w:val="008647B5"/>
    <w:rsid w:val="00864A11"/>
    <w:rsid w:val="00864E61"/>
    <w:rsid w:val="00865775"/>
    <w:rsid w:val="0086624F"/>
    <w:rsid w:val="00866251"/>
    <w:rsid w:val="008670A5"/>
    <w:rsid w:val="00867D64"/>
    <w:rsid w:val="00867D85"/>
    <w:rsid w:val="008701AD"/>
    <w:rsid w:val="00870A50"/>
    <w:rsid w:val="00870C4D"/>
    <w:rsid w:val="00872AF6"/>
    <w:rsid w:val="00872E8F"/>
    <w:rsid w:val="00873322"/>
    <w:rsid w:val="00874470"/>
    <w:rsid w:val="00874814"/>
    <w:rsid w:val="008749B1"/>
    <w:rsid w:val="00875431"/>
    <w:rsid w:val="00875DCB"/>
    <w:rsid w:val="00876FBF"/>
    <w:rsid w:val="0087755A"/>
    <w:rsid w:val="00880341"/>
    <w:rsid w:val="00881906"/>
    <w:rsid w:val="00882085"/>
    <w:rsid w:val="008824B5"/>
    <w:rsid w:val="00882B26"/>
    <w:rsid w:val="00883188"/>
    <w:rsid w:val="008833CA"/>
    <w:rsid w:val="0088454F"/>
    <w:rsid w:val="00884558"/>
    <w:rsid w:val="00884A0C"/>
    <w:rsid w:val="008853EA"/>
    <w:rsid w:val="00886ACA"/>
    <w:rsid w:val="00886B01"/>
    <w:rsid w:val="0088709C"/>
    <w:rsid w:val="0088750B"/>
    <w:rsid w:val="0089031E"/>
    <w:rsid w:val="0089109A"/>
    <w:rsid w:val="008922D9"/>
    <w:rsid w:val="00893D5C"/>
    <w:rsid w:val="00893D70"/>
    <w:rsid w:val="0089460B"/>
    <w:rsid w:val="00894683"/>
    <w:rsid w:val="00895A13"/>
    <w:rsid w:val="00897D58"/>
    <w:rsid w:val="00897F22"/>
    <w:rsid w:val="008A0A46"/>
    <w:rsid w:val="008A0B39"/>
    <w:rsid w:val="008A1122"/>
    <w:rsid w:val="008A17A3"/>
    <w:rsid w:val="008A1956"/>
    <w:rsid w:val="008A1E85"/>
    <w:rsid w:val="008A2419"/>
    <w:rsid w:val="008A380C"/>
    <w:rsid w:val="008A3893"/>
    <w:rsid w:val="008A3C19"/>
    <w:rsid w:val="008A4937"/>
    <w:rsid w:val="008A4D8D"/>
    <w:rsid w:val="008A4E06"/>
    <w:rsid w:val="008A50F1"/>
    <w:rsid w:val="008A59D9"/>
    <w:rsid w:val="008A61E2"/>
    <w:rsid w:val="008A643E"/>
    <w:rsid w:val="008A66EB"/>
    <w:rsid w:val="008A6819"/>
    <w:rsid w:val="008A69A1"/>
    <w:rsid w:val="008A7A83"/>
    <w:rsid w:val="008A7F99"/>
    <w:rsid w:val="008B0026"/>
    <w:rsid w:val="008B007A"/>
    <w:rsid w:val="008B0200"/>
    <w:rsid w:val="008B0C61"/>
    <w:rsid w:val="008B200A"/>
    <w:rsid w:val="008B2EC0"/>
    <w:rsid w:val="008B4046"/>
    <w:rsid w:val="008B4607"/>
    <w:rsid w:val="008B5EC9"/>
    <w:rsid w:val="008B64ED"/>
    <w:rsid w:val="008B6DCF"/>
    <w:rsid w:val="008B742A"/>
    <w:rsid w:val="008B7E99"/>
    <w:rsid w:val="008C4D49"/>
    <w:rsid w:val="008C60F8"/>
    <w:rsid w:val="008C7990"/>
    <w:rsid w:val="008D0531"/>
    <w:rsid w:val="008D0945"/>
    <w:rsid w:val="008D0F41"/>
    <w:rsid w:val="008D1409"/>
    <w:rsid w:val="008D15CC"/>
    <w:rsid w:val="008D1729"/>
    <w:rsid w:val="008D174B"/>
    <w:rsid w:val="008D1B5C"/>
    <w:rsid w:val="008D219A"/>
    <w:rsid w:val="008D3C82"/>
    <w:rsid w:val="008D41F0"/>
    <w:rsid w:val="008D447E"/>
    <w:rsid w:val="008D5CDC"/>
    <w:rsid w:val="008D6ACF"/>
    <w:rsid w:val="008D7A41"/>
    <w:rsid w:val="008E0243"/>
    <w:rsid w:val="008E039B"/>
    <w:rsid w:val="008E053F"/>
    <w:rsid w:val="008E2C72"/>
    <w:rsid w:val="008E306F"/>
    <w:rsid w:val="008E3680"/>
    <w:rsid w:val="008E3CA1"/>
    <w:rsid w:val="008E4F87"/>
    <w:rsid w:val="008E57A2"/>
    <w:rsid w:val="008E5870"/>
    <w:rsid w:val="008E67F9"/>
    <w:rsid w:val="008E747E"/>
    <w:rsid w:val="008E77E4"/>
    <w:rsid w:val="008E7842"/>
    <w:rsid w:val="008F0213"/>
    <w:rsid w:val="008F07ED"/>
    <w:rsid w:val="008F092E"/>
    <w:rsid w:val="008F11F8"/>
    <w:rsid w:val="008F1434"/>
    <w:rsid w:val="008F2BB9"/>
    <w:rsid w:val="008F3D6A"/>
    <w:rsid w:val="008F3E2B"/>
    <w:rsid w:val="008F4039"/>
    <w:rsid w:val="008F54C3"/>
    <w:rsid w:val="008F5B9B"/>
    <w:rsid w:val="008F6269"/>
    <w:rsid w:val="008F6311"/>
    <w:rsid w:val="008F7355"/>
    <w:rsid w:val="009023DC"/>
    <w:rsid w:val="0090248A"/>
    <w:rsid w:val="009027C5"/>
    <w:rsid w:val="009032E8"/>
    <w:rsid w:val="00903639"/>
    <w:rsid w:val="00903F0F"/>
    <w:rsid w:val="00904413"/>
    <w:rsid w:val="009048B0"/>
    <w:rsid w:val="00904F61"/>
    <w:rsid w:val="009067B7"/>
    <w:rsid w:val="00906E7A"/>
    <w:rsid w:val="00906E7F"/>
    <w:rsid w:val="0090775A"/>
    <w:rsid w:val="00907DEB"/>
    <w:rsid w:val="00907DFD"/>
    <w:rsid w:val="00911570"/>
    <w:rsid w:val="0091220F"/>
    <w:rsid w:val="009128BC"/>
    <w:rsid w:val="00913C99"/>
    <w:rsid w:val="009144AA"/>
    <w:rsid w:val="0091498C"/>
    <w:rsid w:val="009154BA"/>
    <w:rsid w:val="00915619"/>
    <w:rsid w:val="009158EE"/>
    <w:rsid w:val="009162FD"/>
    <w:rsid w:val="00916FF4"/>
    <w:rsid w:val="00917D69"/>
    <w:rsid w:val="00920B6D"/>
    <w:rsid w:val="009214B6"/>
    <w:rsid w:val="00921E51"/>
    <w:rsid w:val="0092210E"/>
    <w:rsid w:val="00922DE5"/>
    <w:rsid w:val="00924520"/>
    <w:rsid w:val="00924F0E"/>
    <w:rsid w:val="00926560"/>
    <w:rsid w:val="00926B15"/>
    <w:rsid w:val="00927180"/>
    <w:rsid w:val="00927AF0"/>
    <w:rsid w:val="00927ED7"/>
    <w:rsid w:val="00927FFD"/>
    <w:rsid w:val="00930291"/>
    <w:rsid w:val="00930937"/>
    <w:rsid w:val="009311CC"/>
    <w:rsid w:val="009324A6"/>
    <w:rsid w:val="00933B7D"/>
    <w:rsid w:val="00933E6C"/>
    <w:rsid w:val="00934CFC"/>
    <w:rsid w:val="00934F81"/>
    <w:rsid w:val="00935A6E"/>
    <w:rsid w:val="00935C4F"/>
    <w:rsid w:val="00936CCB"/>
    <w:rsid w:val="00937240"/>
    <w:rsid w:val="00937958"/>
    <w:rsid w:val="00940529"/>
    <w:rsid w:val="009406E5"/>
    <w:rsid w:val="00941602"/>
    <w:rsid w:val="009418DE"/>
    <w:rsid w:val="00941D7B"/>
    <w:rsid w:val="00942160"/>
    <w:rsid w:val="0094267C"/>
    <w:rsid w:val="00942E3E"/>
    <w:rsid w:val="00943A84"/>
    <w:rsid w:val="009448AE"/>
    <w:rsid w:val="00944B2E"/>
    <w:rsid w:val="00945B28"/>
    <w:rsid w:val="00945FBF"/>
    <w:rsid w:val="00946921"/>
    <w:rsid w:val="00946B58"/>
    <w:rsid w:val="00947343"/>
    <w:rsid w:val="009476EB"/>
    <w:rsid w:val="0094791F"/>
    <w:rsid w:val="00950693"/>
    <w:rsid w:val="00950ADD"/>
    <w:rsid w:val="0095146F"/>
    <w:rsid w:val="00951726"/>
    <w:rsid w:val="00951F2D"/>
    <w:rsid w:val="00952839"/>
    <w:rsid w:val="00952A0C"/>
    <w:rsid w:val="0095344C"/>
    <w:rsid w:val="00953454"/>
    <w:rsid w:val="009534C7"/>
    <w:rsid w:val="009536AA"/>
    <w:rsid w:val="00954487"/>
    <w:rsid w:val="0095516C"/>
    <w:rsid w:val="0095573B"/>
    <w:rsid w:val="009565D9"/>
    <w:rsid w:val="0095770B"/>
    <w:rsid w:val="00957944"/>
    <w:rsid w:val="009602C5"/>
    <w:rsid w:val="00960D23"/>
    <w:rsid w:val="0096103A"/>
    <w:rsid w:val="009614E5"/>
    <w:rsid w:val="00962223"/>
    <w:rsid w:val="0096252B"/>
    <w:rsid w:val="00963C6F"/>
    <w:rsid w:val="009644D9"/>
    <w:rsid w:val="00964A9F"/>
    <w:rsid w:val="00966364"/>
    <w:rsid w:val="00966D0D"/>
    <w:rsid w:val="009674F6"/>
    <w:rsid w:val="00967732"/>
    <w:rsid w:val="0096783C"/>
    <w:rsid w:val="00970023"/>
    <w:rsid w:val="009722B3"/>
    <w:rsid w:val="00972477"/>
    <w:rsid w:val="00972B6B"/>
    <w:rsid w:val="00973D16"/>
    <w:rsid w:val="00973E24"/>
    <w:rsid w:val="00974C21"/>
    <w:rsid w:val="00974D5F"/>
    <w:rsid w:val="00974EEA"/>
    <w:rsid w:val="00975948"/>
    <w:rsid w:val="00975B06"/>
    <w:rsid w:val="00975F31"/>
    <w:rsid w:val="0097691B"/>
    <w:rsid w:val="009772FD"/>
    <w:rsid w:val="00977BF3"/>
    <w:rsid w:val="009803E4"/>
    <w:rsid w:val="00980B0E"/>
    <w:rsid w:val="00982B39"/>
    <w:rsid w:val="00982CC7"/>
    <w:rsid w:val="009836A3"/>
    <w:rsid w:val="00983F9E"/>
    <w:rsid w:val="00984C48"/>
    <w:rsid w:val="00984C58"/>
    <w:rsid w:val="009855A8"/>
    <w:rsid w:val="00985C22"/>
    <w:rsid w:val="00985CBE"/>
    <w:rsid w:val="00985D1A"/>
    <w:rsid w:val="00986FD2"/>
    <w:rsid w:val="00990CF8"/>
    <w:rsid w:val="009913F4"/>
    <w:rsid w:val="00991782"/>
    <w:rsid w:val="009923C6"/>
    <w:rsid w:val="009937F7"/>
    <w:rsid w:val="0099465B"/>
    <w:rsid w:val="009951A1"/>
    <w:rsid w:val="00996A9C"/>
    <w:rsid w:val="009973E0"/>
    <w:rsid w:val="00997584"/>
    <w:rsid w:val="00997A15"/>
    <w:rsid w:val="00997A44"/>
    <w:rsid w:val="009A08E1"/>
    <w:rsid w:val="009A0CDD"/>
    <w:rsid w:val="009A217E"/>
    <w:rsid w:val="009A3168"/>
    <w:rsid w:val="009A3BB5"/>
    <w:rsid w:val="009A4621"/>
    <w:rsid w:val="009A4BDF"/>
    <w:rsid w:val="009A4CED"/>
    <w:rsid w:val="009A5D04"/>
    <w:rsid w:val="009A61CA"/>
    <w:rsid w:val="009A7794"/>
    <w:rsid w:val="009B0062"/>
    <w:rsid w:val="009B02E0"/>
    <w:rsid w:val="009B0C64"/>
    <w:rsid w:val="009B0F67"/>
    <w:rsid w:val="009B208A"/>
    <w:rsid w:val="009B2756"/>
    <w:rsid w:val="009B2B5C"/>
    <w:rsid w:val="009B393A"/>
    <w:rsid w:val="009B3D56"/>
    <w:rsid w:val="009B3F8C"/>
    <w:rsid w:val="009B533B"/>
    <w:rsid w:val="009B546B"/>
    <w:rsid w:val="009C01AF"/>
    <w:rsid w:val="009C1491"/>
    <w:rsid w:val="009C1BCC"/>
    <w:rsid w:val="009C26AA"/>
    <w:rsid w:val="009C3931"/>
    <w:rsid w:val="009C39FB"/>
    <w:rsid w:val="009C3BD1"/>
    <w:rsid w:val="009C3EE6"/>
    <w:rsid w:val="009C4E40"/>
    <w:rsid w:val="009C51B3"/>
    <w:rsid w:val="009C5437"/>
    <w:rsid w:val="009C60BB"/>
    <w:rsid w:val="009C6F50"/>
    <w:rsid w:val="009C703C"/>
    <w:rsid w:val="009C743E"/>
    <w:rsid w:val="009D0B8F"/>
    <w:rsid w:val="009D0C29"/>
    <w:rsid w:val="009D206E"/>
    <w:rsid w:val="009D2688"/>
    <w:rsid w:val="009D3CAA"/>
    <w:rsid w:val="009D507A"/>
    <w:rsid w:val="009D5609"/>
    <w:rsid w:val="009D58A0"/>
    <w:rsid w:val="009D5E16"/>
    <w:rsid w:val="009D6532"/>
    <w:rsid w:val="009D6785"/>
    <w:rsid w:val="009D67E3"/>
    <w:rsid w:val="009D699A"/>
    <w:rsid w:val="009D69E2"/>
    <w:rsid w:val="009D6FE5"/>
    <w:rsid w:val="009D71FD"/>
    <w:rsid w:val="009E06F0"/>
    <w:rsid w:val="009E0755"/>
    <w:rsid w:val="009E10AD"/>
    <w:rsid w:val="009E18F3"/>
    <w:rsid w:val="009E24E5"/>
    <w:rsid w:val="009E2588"/>
    <w:rsid w:val="009E2E8E"/>
    <w:rsid w:val="009E3602"/>
    <w:rsid w:val="009E3C73"/>
    <w:rsid w:val="009E40E1"/>
    <w:rsid w:val="009E4D2D"/>
    <w:rsid w:val="009E5D59"/>
    <w:rsid w:val="009E693C"/>
    <w:rsid w:val="009E6D89"/>
    <w:rsid w:val="009E73F7"/>
    <w:rsid w:val="009F0EFA"/>
    <w:rsid w:val="009F2CDC"/>
    <w:rsid w:val="009F37C7"/>
    <w:rsid w:val="009F4E46"/>
    <w:rsid w:val="009F52BA"/>
    <w:rsid w:val="009F5B1B"/>
    <w:rsid w:val="009F5B65"/>
    <w:rsid w:val="009F5F2E"/>
    <w:rsid w:val="009F778C"/>
    <w:rsid w:val="009F7B22"/>
    <w:rsid w:val="009F7BD2"/>
    <w:rsid w:val="00A01432"/>
    <w:rsid w:val="00A0167A"/>
    <w:rsid w:val="00A01980"/>
    <w:rsid w:val="00A0399D"/>
    <w:rsid w:val="00A03A48"/>
    <w:rsid w:val="00A047DC"/>
    <w:rsid w:val="00A06225"/>
    <w:rsid w:val="00A066E6"/>
    <w:rsid w:val="00A07A90"/>
    <w:rsid w:val="00A110D1"/>
    <w:rsid w:val="00A11542"/>
    <w:rsid w:val="00A122E3"/>
    <w:rsid w:val="00A12587"/>
    <w:rsid w:val="00A127A9"/>
    <w:rsid w:val="00A128E6"/>
    <w:rsid w:val="00A12D95"/>
    <w:rsid w:val="00A12EB8"/>
    <w:rsid w:val="00A13DBA"/>
    <w:rsid w:val="00A144D3"/>
    <w:rsid w:val="00A16BAA"/>
    <w:rsid w:val="00A174CD"/>
    <w:rsid w:val="00A17775"/>
    <w:rsid w:val="00A17EA7"/>
    <w:rsid w:val="00A21D7D"/>
    <w:rsid w:val="00A22847"/>
    <w:rsid w:val="00A22AC3"/>
    <w:rsid w:val="00A2351E"/>
    <w:rsid w:val="00A23C89"/>
    <w:rsid w:val="00A23F3F"/>
    <w:rsid w:val="00A24067"/>
    <w:rsid w:val="00A24A4B"/>
    <w:rsid w:val="00A25CA6"/>
    <w:rsid w:val="00A25F38"/>
    <w:rsid w:val="00A2744D"/>
    <w:rsid w:val="00A306F6"/>
    <w:rsid w:val="00A30D16"/>
    <w:rsid w:val="00A323A0"/>
    <w:rsid w:val="00A32D5B"/>
    <w:rsid w:val="00A33EB7"/>
    <w:rsid w:val="00A34E65"/>
    <w:rsid w:val="00A34E6C"/>
    <w:rsid w:val="00A34FD0"/>
    <w:rsid w:val="00A35797"/>
    <w:rsid w:val="00A361EA"/>
    <w:rsid w:val="00A36398"/>
    <w:rsid w:val="00A36B14"/>
    <w:rsid w:val="00A36CC1"/>
    <w:rsid w:val="00A36CE4"/>
    <w:rsid w:val="00A37C8D"/>
    <w:rsid w:val="00A37E9B"/>
    <w:rsid w:val="00A4020E"/>
    <w:rsid w:val="00A40493"/>
    <w:rsid w:val="00A408E8"/>
    <w:rsid w:val="00A40FB5"/>
    <w:rsid w:val="00A42411"/>
    <w:rsid w:val="00A426D2"/>
    <w:rsid w:val="00A42826"/>
    <w:rsid w:val="00A429B3"/>
    <w:rsid w:val="00A43781"/>
    <w:rsid w:val="00A4428B"/>
    <w:rsid w:val="00A4436E"/>
    <w:rsid w:val="00A44AE5"/>
    <w:rsid w:val="00A44EC1"/>
    <w:rsid w:val="00A4641C"/>
    <w:rsid w:val="00A47F16"/>
    <w:rsid w:val="00A510E4"/>
    <w:rsid w:val="00A5135A"/>
    <w:rsid w:val="00A51F8C"/>
    <w:rsid w:val="00A52539"/>
    <w:rsid w:val="00A526F7"/>
    <w:rsid w:val="00A5273B"/>
    <w:rsid w:val="00A53661"/>
    <w:rsid w:val="00A53A9D"/>
    <w:rsid w:val="00A55FEE"/>
    <w:rsid w:val="00A56304"/>
    <w:rsid w:val="00A57422"/>
    <w:rsid w:val="00A60167"/>
    <w:rsid w:val="00A61FB5"/>
    <w:rsid w:val="00A62C1A"/>
    <w:rsid w:val="00A62EA5"/>
    <w:rsid w:val="00A637EE"/>
    <w:rsid w:val="00A63CA2"/>
    <w:rsid w:val="00A6426D"/>
    <w:rsid w:val="00A6439B"/>
    <w:rsid w:val="00A64788"/>
    <w:rsid w:val="00A64937"/>
    <w:rsid w:val="00A653F4"/>
    <w:rsid w:val="00A665C1"/>
    <w:rsid w:val="00A673A4"/>
    <w:rsid w:val="00A67A54"/>
    <w:rsid w:val="00A7001A"/>
    <w:rsid w:val="00A7011E"/>
    <w:rsid w:val="00A70622"/>
    <w:rsid w:val="00A70977"/>
    <w:rsid w:val="00A70D58"/>
    <w:rsid w:val="00A744F9"/>
    <w:rsid w:val="00A74561"/>
    <w:rsid w:val="00A753A1"/>
    <w:rsid w:val="00A757CC"/>
    <w:rsid w:val="00A77613"/>
    <w:rsid w:val="00A7775A"/>
    <w:rsid w:val="00A77B87"/>
    <w:rsid w:val="00A77D62"/>
    <w:rsid w:val="00A77E01"/>
    <w:rsid w:val="00A801AD"/>
    <w:rsid w:val="00A80B3F"/>
    <w:rsid w:val="00A81851"/>
    <w:rsid w:val="00A8302C"/>
    <w:rsid w:val="00A8320A"/>
    <w:rsid w:val="00A8390C"/>
    <w:rsid w:val="00A86AE0"/>
    <w:rsid w:val="00A86E44"/>
    <w:rsid w:val="00A912B0"/>
    <w:rsid w:val="00A91362"/>
    <w:rsid w:val="00A9151C"/>
    <w:rsid w:val="00A915A3"/>
    <w:rsid w:val="00A91988"/>
    <w:rsid w:val="00A919C6"/>
    <w:rsid w:val="00A91F0E"/>
    <w:rsid w:val="00A928BD"/>
    <w:rsid w:val="00A92D61"/>
    <w:rsid w:val="00A936B6"/>
    <w:rsid w:val="00A9438A"/>
    <w:rsid w:val="00A97DE9"/>
    <w:rsid w:val="00AA0835"/>
    <w:rsid w:val="00AA0F77"/>
    <w:rsid w:val="00AA12CD"/>
    <w:rsid w:val="00AA1DB5"/>
    <w:rsid w:val="00AA24E9"/>
    <w:rsid w:val="00AA3DF0"/>
    <w:rsid w:val="00AA4D1C"/>
    <w:rsid w:val="00AA52FD"/>
    <w:rsid w:val="00AA57BD"/>
    <w:rsid w:val="00AA5D40"/>
    <w:rsid w:val="00AA6849"/>
    <w:rsid w:val="00AA7006"/>
    <w:rsid w:val="00AB025B"/>
    <w:rsid w:val="00AB1560"/>
    <w:rsid w:val="00AB15CB"/>
    <w:rsid w:val="00AB1E06"/>
    <w:rsid w:val="00AB3138"/>
    <w:rsid w:val="00AB416F"/>
    <w:rsid w:val="00AB4684"/>
    <w:rsid w:val="00AB5856"/>
    <w:rsid w:val="00AB5E78"/>
    <w:rsid w:val="00AB6A80"/>
    <w:rsid w:val="00AB78BE"/>
    <w:rsid w:val="00AB7DD3"/>
    <w:rsid w:val="00AB7E01"/>
    <w:rsid w:val="00AC081D"/>
    <w:rsid w:val="00AC0C6F"/>
    <w:rsid w:val="00AC1266"/>
    <w:rsid w:val="00AC12B4"/>
    <w:rsid w:val="00AC193C"/>
    <w:rsid w:val="00AC2E2D"/>
    <w:rsid w:val="00AC30C1"/>
    <w:rsid w:val="00AC4C84"/>
    <w:rsid w:val="00AC4DE5"/>
    <w:rsid w:val="00AC5206"/>
    <w:rsid w:val="00AC5FCF"/>
    <w:rsid w:val="00AC6B25"/>
    <w:rsid w:val="00AD0085"/>
    <w:rsid w:val="00AD095B"/>
    <w:rsid w:val="00AD1F4A"/>
    <w:rsid w:val="00AD3106"/>
    <w:rsid w:val="00AD4322"/>
    <w:rsid w:val="00AD4D32"/>
    <w:rsid w:val="00AD4F23"/>
    <w:rsid w:val="00AD5F84"/>
    <w:rsid w:val="00AD6719"/>
    <w:rsid w:val="00AD7317"/>
    <w:rsid w:val="00AE11A5"/>
    <w:rsid w:val="00AE13E2"/>
    <w:rsid w:val="00AE1C10"/>
    <w:rsid w:val="00AE22D3"/>
    <w:rsid w:val="00AE4145"/>
    <w:rsid w:val="00AE5987"/>
    <w:rsid w:val="00AE5A49"/>
    <w:rsid w:val="00AF03E6"/>
    <w:rsid w:val="00AF1132"/>
    <w:rsid w:val="00AF114F"/>
    <w:rsid w:val="00AF11D8"/>
    <w:rsid w:val="00AF27C5"/>
    <w:rsid w:val="00AF5867"/>
    <w:rsid w:val="00AF62DF"/>
    <w:rsid w:val="00AF68CC"/>
    <w:rsid w:val="00AF6E31"/>
    <w:rsid w:val="00AF6E67"/>
    <w:rsid w:val="00AF70D7"/>
    <w:rsid w:val="00AF7710"/>
    <w:rsid w:val="00B00086"/>
    <w:rsid w:val="00B0075D"/>
    <w:rsid w:val="00B00CD0"/>
    <w:rsid w:val="00B00E7F"/>
    <w:rsid w:val="00B01FF4"/>
    <w:rsid w:val="00B0326D"/>
    <w:rsid w:val="00B04668"/>
    <w:rsid w:val="00B06037"/>
    <w:rsid w:val="00B06478"/>
    <w:rsid w:val="00B06BD2"/>
    <w:rsid w:val="00B07533"/>
    <w:rsid w:val="00B07CFB"/>
    <w:rsid w:val="00B1059E"/>
    <w:rsid w:val="00B10D85"/>
    <w:rsid w:val="00B11B45"/>
    <w:rsid w:val="00B11D14"/>
    <w:rsid w:val="00B132A9"/>
    <w:rsid w:val="00B13AD1"/>
    <w:rsid w:val="00B149BA"/>
    <w:rsid w:val="00B14A36"/>
    <w:rsid w:val="00B14DBA"/>
    <w:rsid w:val="00B16273"/>
    <w:rsid w:val="00B164B4"/>
    <w:rsid w:val="00B16ABD"/>
    <w:rsid w:val="00B170A5"/>
    <w:rsid w:val="00B1725F"/>
    <w:rsid w:val="00B176C8"/>
    <w:rsid w:val="00B17E84"/>
    <w:rsid w:val="00B17EE5"/>
    <w:rsid w:val="00B20224"/>
    <w:rsid w:val="00B205AA"/>
    <w:rsid w:val="00B2097F"/>
    <w:rsid w:val="00B2100A"/>
    <w:rsid w:val="00B215F6"/>
    <w:rsid w:val="00B21A91"/>
    <w:rsid w:val="00B2276D"/>
    <w:rsid w:val="00B22E84"/>
    <w:rsid w:val="00B233AD"/>
    <w:rsid w:val="00B23E25"/>
    <w:rsid w:val="00B24874"/>
    <w:rsid w:val="00B24CE9"/>
    <w:rsid w:val="00B24E72"/>
    <w:rsid w:val="00B25283"/>
    <w:rsid w:val="00B25D25"/>
    <w:rsid w:val="00B25F75"/>
    <w:rsid w:val="00B25FD7"/>
    <w:rsid w:val="00B26222"/>
    <w:rsid w:val="00B26B3F"/>
    <w:rsid w:val="00B26FFB"/>
    <w:rsid w:val="00B2778F"/>
    <w:rsid w:val="00B30E7E"/>
    <w:rsid w:val="00B3119C"/>
    <w:rsid w:val="00B3234F"/>
    <w:rsid w:val="00B327E2"/>
    <w:rsid w:val="00B33635"/>
    <w:rsid w:val="00B3733F"/>
    <w:rsid w:val="00B37A23"/>
    <w:rsid w:val="00B37CF8"/>
    <w:rsid w:val="00B4060E"/>
    <w:rsid w:val="00B41360"/>
    <w:rsid w:val="00B4210A"/>
    <w:rsid w:val="00B42745"/>
    <w:rsid w:val="00B42AF4"/>
    <w:rsid w:val="00B43E90"/>
    <w:rsid w:val="00B44308"/>
    <w:rsid w:val="00B45559"/>
    <w:rsid w:val="00B45722"/>
    <w:rsid w:val="00B45BF0"/>
    <w:rsid w:val="00B460F4"/>
    <w:rsid w:val="00B467DC"/>
    <w:rsid w:val="00B46DE9"/>
    <w:rsid w:val="00B46F58"/>
    <w:rsid w:val="00B47A88"/>
    <w:rsid w:val="00B513D5"/>
    <w:rsid w:val="00B51998"/>
    <w:rsid w:val="00B51E09"/>
    <w:rsid w:val="00B52303"/>
    <w:rsid w:val="00B531B4"/>
    <w:rsid w:val="00B5392A"/>
    <w:rsid w:val="00B539EF"/>
    <w:rsid w:val="00B547A0"/>
    <w:rsid w:val="00B56118"/>
    <w:rsid w:val="00B566E1"/>
    <w:rsid w:val="00B56930"/>
    <w:rsid w:val="00B56AFB"/>
    <w:rsid w:val="00B572BE"/>
    <w:rsid w:val="00B602F6"/>
    <w:rsid w:val="00B60ED3"/>
    <w:rsid w:val="00B62EC1"/>
    <w:rsid w:val="00B63251"/>
    <w:rsid w:val="00B64A96"/>
    <w:rsid w:val="00B6523A"/>
    <w:rsid w:val="00B6533B"/>
    <w:rsid w:val="00B6679F"/>
    <w:rsid w:val="00B6773F"/>
    <w:rsid w:val="00B6780B"/>
    <w:rsid w:val="00B67991"/>
    <w:rsid w:val="00B6799E"/>
    <w:rsid w:val="00B67C1E"/>
    <w:rsid w:val="00B70EB3"/>
    <w:rsid w:val="00B719B1"/>
    <w:rsid w:val="00B71A08"/>
    <w:rsid w:val="00B71DDD"/>
    <w:rsid w:val="00B72906"/>
    <w:rsid w:val="00B72CEA"/>
    <w:rsid w:val="00B743B4"/>
    <w:rsid w:val="00B74F48"/>
    <w:rsid w:val="00B7506B"/>
    <w:rsid w:val="00B7525E"/>
    <w:rsid w:val="00B75433"/>
    <w:rsid w:val="00B75F70"/>
    <w:rsid w:val="00B760FB"/>
    <w:rsid w:val="00B76765"/>
    <w:rsid w:val="00B767AB"/>
    <w:rsid w:val="00B801BA"/>
    <w:rsid w:val="00B804E4"/>
    <w:rsid w:val="00B80D50"/>
    <w:rsid w:val="00B812D6"/>
    <w:rsid w:val="00B846E6"/>
    <w:rsid w:val="00B84D5C"/>
    <w:rsid w:val="00B85AF6"/>
    <w:rsid w:val="00B8712E"/>
    <w:rsid w:val="00B90828"/>
    <w:rsid w:val="00B92B22"/>
    <w:rsid w:val="00B92E46"/>
    <w:rsid w:val="00B93328"/>
    <w:rsid w:val="00B940C2"/>
    <w:rsid w:val="00B941ED"/>
    <w:rsid w:val="00B94C2C"/>
    <w:rsid w:val="00B95488"/>
    <w:rsid w:val="00B956ED"/>
    <w:rsid w:val="00B9605A"/>
    <w:rsid w:val="00B96750"/>
    <w:rsid w:val="00B96CFA"/>
    <w:rsid w:val="00B9712D"/>
    <w:rsid w:val="00BA038F"/>
    <w:rsid w:val="00BA2DA8"/>
    <w:rsid w:val="00BA3369"/>
    <w:rsid w:val="00BA347C"/>
    <w:rsid w:val="00BA4BEC"/>
    <w:rsid w:val="00BA4C79"/>
    <w:rsid w:val="00BA4D84"/>
    <w:rsid w:val="00BA5139"/>
    <w:rsid w:val="00BA6BB9"/>
    <w:rsid w:val="00BA6BC5"/>
    <w:rsid w:val="00BA7F76"/>
    <w:rsid w:val="00BB0256"/>
    <w:rsid w:val="00BB120A"/>
    <w:rsid w:val="00BB2068"/>
    <w:rsid w:val="00BB298A"/>
    <w:rsid w:val="00BB3469"/>
    <w:rsid w:val="00BB49DF"/>
    <w:rsid w:val="00BB5C49"/>
    <w:rsid w:val="00BB5FD3"/>
    <w:rsid w:val="00BB6240"/>
    <w:rsid w:val="00BB6285"/>
    <w:rsid w:val="00BB69DA"/>
    <w:rsid w:val="00BB69F5"/>
    <w:rsid w:val="00BB6E48"/>
    <w:rsid w:val="00BB6F6E"/>
    <w:rsid w:val="00BB7EC3"/>
    <w:rsid w:val="00BC04B1"/>
    <w:rsid w:val="00BC39E3"/>
    <w:rsid w:val="00BC470E"/>
    <w:rsid w:val="00BC4B9A"/>
    <w:rsid w:val="00BC7773"/>
    <w:rsid w:val="00BD0246"/>
    <w:rsid w:val="00BD02C3"/>
    <w:rsid w:val="00BD151E"/>
    <w:rsid w:val="00BD2095"/>
    <w:rsid w:val="00BD21DB"/>
    <w:rsid w:val="00BD22CC"/>
    <w:rsid w:val="00BD3119"/>
    <w:rsid w:val="00BD3482"/>
    <w:rsid w:val="00BD64F7"/>
    <w:rsid w:val="00BD7483"/>
    <w:rsid w:val="00BD784C"/>
    <w:rsid w:val="00BD7A62"/>
    <w:rsid w:val="00BE020A"/>
    <w:rsid w:val="00BE0B9E"/>
    <w:rsid w:val="00BE13DF"/>
    <w:rsid w:val="00BE1EF0"/>
    <w:rsid w:val="00BE25D7"/>
    <w:rsid w:val="00BE298E"/>
    <w:rsid w:val="00BE2D5F"/>
    <w:rsid w:val="00BE4353"/>
    <w:rsid w:val="00BE680E"/>
    <w:rsid w:val="00BE6BA3"/>
    <w:rsid w:val="00BE7A4B"/>
    <w:rsid w:val="00BE7FDE"/>
    <w:rsid w:val="00BF092C"/>
    <w:rsid w:val="00BF1C08"/>
    <w:rsid w:val="00BF1E96"/>
    <w:rsid w:val="00BF21D1"/>
    <w:rsid w:val="00BF27A0"/>
    <w:rsid w:val="00BF3824"/>
    <w:rsid w:val="00BF40E6"/>
    <w:rsid w:val="00BF4CB6"/>
    <w:rsid w:val="00BF51E1"/>
    <w:rsid w:val="00BF59E2"/>
    <w:rsid w:val="00BF5D23"/>
    <w:rsid w:val="00BF6CBD"/>
    <w:rsid w:val="00C0010E"/>
    <w:rsid w:val="00C00DA7"/>
    <w:rsid w:val="00C0131B"/>
    <w:rsid w:val="00C02919"/>
    <w:rsid w:val="00C02CF2"/>
    <w:rsid w:val="00C034FB"/>
    <w:rsid w:val="00C04C45"/>
    <w:rsid w:val="00C04CDE"/>
    <w:rsid w:val="00C05195"/>
    <w:rsid w:val="00C059D5"/>
    <w:rsid w:val="00C064E2"/>
    <w:rsid w:val="00C068A6"/>
    <w:rsid w:val="00C10DF8"/>
    <w:rsid w:val="00C11DEA"/>
    <w:rsid w:val="00C1216A"/>
    <w:rsid w:val="00C12768"/>
    <w:rsid w:val="00C12D70"/>
    <w:rsid w:val="00C13470"/>
    <w:rsid w:val="00C14C27"/>
    <w:rsid w:val="00C16724"/>
    <w:rsid w:val="00C21099"/>
    <w:rsid w:val="00C2147E"/>
    <w:rsid w:val="00C21B09"/>
    <w:rsid w:val="00C22C6F"/>
    <w:rsid w:val="00C23ACC"/>
    <w:rsid w:val="00C23DD6"/>
    <w:rsid w:val="00C248D2"/>
    <w:rsid w:val="00C2575A"/>
    <w:rsid w:val="00C25EFF"/>
    <w:rsid w:val="00C25F30"/>
    <w:rsid w:val="00C2673A"/>
    <w:rsid w:val="00C26FE9"/>
    <w:rsid w:val="00C278CD"/>
    <w:rsid w:val="00C27B58"/>
    <w:rsid w:val="00C27C1C"/>
    <w:rsid w:val="00C27FB4"/>
    <w:rsid w:val="00C3166C"/>
    <w:rsid w:val="00C31D07"/>
    <w:rsid w:val="00C33186"/>
    <w:rsid w:val="00C333E2"/>
    <w:rsid w:val="00C35996"/>
    <w:rsid w:val="00C35B3E"/>
    <w:rsid w:val="00C36927"/>
    <w:rsid w:val="00C3711A"/>
    <w:rsid w:val="00C37AD8"/>
    <w:rsid w:val="00C4003C"/>
    <w:rsid w:val="00C41F9F"/>
    <w:rsid w:val="00C4274E"/>
    <w:rsid w:val="00C42BCD"/>
    <w:rsid w:val="00C430D8"/>
    <w:rsid w:val="00C43353"/>
    <w:rsid w:val="00C4382C"/>
    <w:rsid w:val="00C43DB4"/>
    <w:rsid w:val="00C4485F"/>
    <w:rsid w:val="00C44DED"/>
    <w:rsid w:val="00C46A46"/>
    <w:rsid w:val="00C46C13"/>
    <w:rsid w:val="00C471DC"/>
    <w:rsid w:val="00C4747E"/>
    <w:rsid w:val="00C47AD9"/>
    <w:rsid w:val="00C51138"/>
    <w:rsid w:val="00C513FB"/>
    <w:rsid w:val="00C5151E"/>
    <w:rsid w:val="00C52256"/>
    <w:rsid w:val="00C5342C"/>
    <w:rsid w:val="00C53B2B"/>
    <w:rsid w:val="00C547F5"/>
    <w:rsid w:val="00C54F3F"/>
    <w:rsid w:val="00C56D78"/>
    <w:rsid w:val="00C57465"/>
    <w:rsid w:val="00C60272"/>
    <w:rsid w:val="00C603D4"/>
    <w:rsid w:val="00C60426"/>
    <w:rsid w:val="00C60AD9"/>
    <w:rsid w:val="00C62040"/>
    <w:rsid w:val="00C6256A"/>
    <w:rsid w:val="00C62BFB"/>
    <w:rsid w:val="00C63FDA"/>
    <w:rsid w:val="00C64EBC"/>
    <w:rsid w:val="00C65101"/>
    <w:rsid w:val="00C652FC"/>
    <w:rsid w:val="00C664D2"/>
    <w:rsid w:val="00C677E1"/>
    <w:rsid w:val="00C67921"/>
    <w:rsid w:val="00C70E6E"/>
    <w:rsid w:val="00C710E2"/>
    <w:rsid w:val="00C71C3F"/>
    <w:rsid w:val="00C71FFC"/>
    <w:rsid w:val="00C72881"/>
    <w:rsid w:val="00C7409E"/>
    <w:rsid w:val="00C74D6D"/>
    <w:rsid w:val="00C767C5"/>
    <w:rsid w:val="00C76E76"/>
    <w:rsid w:val="00C77891"/>
    <w:rsid w:val="00C77B74"/>
    <w:rsid w:val="00C82062"/>
    <w:rsid w:val="00C829A9"/>
    <w:rsid w:val="00C82AC9"/>
    <w:rsid w:val="00C82B41"/>
    <w:rsid w:val="00C83940"/>
    <w:rsid w:val="00C83B8E"/>
    <w:rsid w:val="00C85293"/>
    <w:rsid w:val="00C85347"/>
    <w:rsid w:val="00C86C0E"/>
    <w:rsid w:val="00C87406"/>
    <w:rsid w:val="00C87B80"/>
    <w:rsid w:val="00C90330"/>
    <w:rsid w:val="00C910D4"/>
    <w:rsid w:val="00C91449"/>
    <w:rsid w:val="00C92D10"/>
    <w:rsid w:val="00C92F79"/>
    <w:rsid w:val="00C942A7"/>
    <w:rsid w:val="00C95200"/>
    <w:rsid w:val="00C955AA"/>
    <w:rsid w:val="00C95A42"/>
    <w:rsid w:val="00C968E9"/>
    <w:rsid w:val="00C96EC0"/>
    <w:rsid w:val="00C979A3"/>
    <w:rsid w:val="00CA06F9"/>
    <w:rsid w:val="00CA100C"/>
    <w:rsid w:val="00CA14BB"/>
    <w:rsid w:val="00CA1B93"/>
    <w:rsid w:val="00CA1BB6"/>
    <w:rsid w:val="00CA2193"/>
    <w:rsid w:val="00CA230C"/>
    <w:rsid w:val="00CA3A14"/>
    <w:rsid w:val="00CA3EA0"/>
    <w:rsid w:val="00CA48D9"/>
    <w:rsid w:val="00CA4F07"/>
    <w:rsid w:val="00CA6347"/>
    <w:rsid w:val="00CB04FF"/>
    <w:rsid w:val="00CB1193"/>
    <w:rsid w:val="00CB14BA"/>
    <w:rsid w:val="00CB218C"/>
    <w:rsid w:val="00CB26CF"/>
    <w:rsid w:val="00CB2A6D"/>
    <w:rsid w:val="00CB322C"/>
    <w:rsid w:val="00CB32E3"/>
    <w:rsid w:val="00CB3492"/>
    <w:rsid w:val="00CB358A"/>
    <w:rsid w:val="00CB4232"/>
    <w:rsid w:val="00CB43C4"/>
    <w:rsid w:val="00CB4767"/>
    <w:rsid w:val="00CB493D"/>
    <w:rsid w:val="00CB6414"/>
    <w:rsid w:val="00CB65D0"/>
    <w:rsid w:val="00CB6736"/>
    <w:rsid w:val="00CB69A1"/>
    <w:rsid w:val="00CB6FCB"/>
    <w:rsid w:val="00CC2224"/>
    <w:rsid w:val="00CC3B97"/>
    <w:rsid w:val="00CC7D05"/>
    <w:rsid w:val="00CD0448"/>
    <w:rsid w:val="00CD081E"/>
    <w:rsid w:val="00CD0AF7"/>
    <w:rsid w:val="00CD4A8C"/>
    <w:rsid w:val="00CD55A1"/>
    <w:rsid w:val="00CD6257"/>
    <w:rsid w:val="00CD635E"/>
    <w:rsid w:val="00CD63BE"/>
    <w:rsid w:val="00CD645E"/>
    <w:rsid w:val="00CD672F"/>
    <w:rsid w:val="00CD7C0B"/>
    <w:rsid w:val="00CE10C4"/>
    <w:rsid w:val="00CE172F"/>
    <w:rsid w:val="00CE2343"/>
    <w:rsid w:val="00CE27B5"/>
    <w:rsid w:val="00CE2BDF"/>
    <w:rsid w:val="00CE317F"/>
    <w:rsid w:val="00CE38EF"/>
    <w:rsid w:val="00CE4885"/>
    <w:rsid w:val="00CE53CA"/>
    <w:rsid w:val="00CE55A4"/>
    <w:rsid w:val="00CE6558"/>
    <w:rsid w:val="00CE67AD"/>
    <w:rsid w:val="00CE6D24"/>
    <w:rsid w:val="00CE6DAF"/>
    <w:rsid w:val="00CE6E2C"/>
    <w:rsid w:val="00CF1766"/>
    <w:rsid w:val="00CF1E18"/>
    <w:rsid w:val="00CF29AB"/>
    <w:rsid w:val="00CF3102"/>
    <w:rsid w:val="00CF33AF"/>
    <w:rsid w:val="00CF410A"/>
    <w:rsid w:val="00CF47B8"/>
    <w:rsid w:val="00CF5B7B"/>
    <w:rsid w:val="00CF7528"/>
    <w:rsid w:val="00CF7FDE"/>
    <w:rsid w:val="00D0067D"/>
    <w:rsid w:val="00D012AF"/>
    <w:rsid w:val="00D02445"/>
    <w:rsid w:val="00D0321E"/>
    <w:rsid w:val="00D03CFE"/>
    <w:rsid w:val="00D05457"/>
    <w:rsid w:val="00D069EB"/>
    <w:rsid w:val="00D073A0"/>
    <w:rsid w:val="00D07A8A"/>
    <w:rsid w:val="00D1025B"/>
    <w:rsid w:val="00D10A2D"/>
    <w:rsid w:val="00D10E31"/>
    <w:rsid w:val="00D11199"/>
    <w:rsid w:val="00D11709"/>
    <w:rsid w:val="00D11F43"/>
    <w:rsid w:val="00D121F4"/>
    <w:rsid w:val="00D12735"/>
    <w:rsid w:val="00D1314A"/>
    <w:rsid w:val="00D13B50"/>
    <w:rsid w:val="00D1455A"/>
    <w:rsid w:val="00D14573"/>
    <w:rsid w:val="00D14A70"/>
    <w:rsid w:val="00D16BC9"/>
    <w:rsid w:val="00D207EA"/>
    <w:rsid w:val="00D211FB"/>
    <w:rsid w:val="00D22093"/>
    <w:rsid w:val="00D22CD9"/>
    <w:rsid w:val="00D23440"/>
    <w:rsid w:val="00D23987"/>
    <w:rsid w:val="00D23BCE"/>
    <w:rsid w:val="00D259DB"/>
    <w:rsid w:val="00D26CEF"/>
    <w:rsid w:val="00D275DF"/>
    <w:rsid w:val="00D30106"/>
    <w:rsid w:val="00D30C7F"/>
    <w:rsid w:val="00D30E77"/>
    <w:rsid w:val="00D31150"/>
    <w:rsid w:val="00D3138B"/>
    <w:rsid w:val="00D31FCE"/>
    <w:rsid w:val="00D323EE"/>
    <w:rsid w:val="00D3280C"/>
    <w:rsid w:val="00D338C3"/>
    <w:rsid w:val="00D3406A"/>
    <w:rsid w:val="00D34D24"/>
    <w:rsid w:val="00D35378"/>
    <w:rsid w:val="00D36E50"/>
    <w:rsid w:val="00D37AC2"/>
    <w:rsid w:val="00D37D40"/>
    <w:rsid w:val="00D40B11"/>
    <w:rsid w:val="00D40B2E"/>
    <w:rsid w:val="00D40E34"/>
    <w:rsid w:val="00D41006"/>
    <w:rsid w:val="00D420FC"/>
    <w:rsid w:val="00D42864"/>
    <w:rsid w:val="00D429EC"/>
    <w:rsid w:val="00D42B9F"/>
    <w:rsid w:val="00D42BD4"/>
    <w:rsid w:val="00D441F1"/>
    <w:rsid w:val="00D4572C"/>
    <w:rsid w:val="00D45A72"/>
    <w:rsid w:val="00D469B2"/>
    <w:rsid w:val="00D47062"/>
    <w:rsid w:val="00D479A5"/>
    <w:rsid w:val="00D50C61"/>
    <w:rsid w:val="00D510C9"/>
    <w:rsid w:val="00D52B24"/>
    <w:rsid w:val="00D52EAA"/>
    <w:rsid w:val="00D52ECF"/>
    <w:rsid w:val="00D53F0C"/>
    <w:rsid w:val="00D5411A"/>
    <w:rsid w:val="00D54B09"/>
    <w:rsid w:val="00D555DA"/>
    <w:rsid w:val="00D55894"/>
    <w:rsid w:val="00D55D5F"/>
    <w:rsid w:val="00D57CF4"/>
    <w:rsid w:val="00D57D75"/>
    <w:rsid w:val="00D60007"/>
    <w:rsid w:val="00D61770"/>
    <w:rsid w:val="00D61AC5"/>
    <w:rsid w:val="00D6243E"/>
    <w:rsid w:val="00D62DB2"/>
    <w:rsid w:val="00D62E1B"/>
    <w:rsid w:val="00D6426F"/>
    <w:rsid w:val="00D65658"/>
    <w:rsid w:val="00D67CFD"/>
    <w:rsid w:val="00D67EB2"/>
    <w:rsid w:val="00D70349"/>
    <w:rsid w:val="00D70D01"/>
    <w:rsid w:val="00D710E2"/>
    <w:rsid w:val="00D72B6F"/>
    <w:rsid w:val="00D73018"/>
    <w:rsid w:val="00D738EA"/>
    <w:rsid w:val="00D741EB"/>
    <w:rsid w:val="00D748CA"/>
    <w:rsid w:val="00D74CEA"/>
    <w:rsid w:val="00D7602D"/>
    <w:rsid w:val="00D7679C"/>
    <w:rsid w:val="00D817A9"/>
    <w:rsid w:val="00D82002"/>
    <w:rsid w:val="00D820F3"/>
    <w:rsid w:val="00D82BA0"/>
    <w:rsid w:val="00D83605"/>
    <w:rsid w:val="00D83AEC"/>
    <w:rsid w:val="00D84934"/>
    <w:rsid w:val="00D84EE0"/>
    <w:rsid w:val="00D85D75"/>
    <w:rsid w:val="00D866EB"/>
    <w:rsid w:val="00D86C52"/>
    <w:rsid w:val="00D87D1A"/>
    <w:rsid w:val="00D9016A"/>
    <w:rsid w:val="00D906DA"/>
    <w:rsid w:val="00D91271"/>
    <w:rsid w:val="00D919F5"/>
    <w:rsid w:val="00D93DA8"/>
    <w:rsid w:val="00D945F6"/>
    <w:rsid w:val="00D94D87"/>
    <w:rsid w:val="00D94F03"/>
    <w:rsid w:val="00D95161"/>
    <w:rsid w:val="00D95C23"/>
    <w:rsid w:val="00D97D95"/>
    <w:rsid w:val="00DA001E"/>
    <w:rsid w:val="00DA0A82"/>
    <w:rsid w:val="00DA0BF5"/>
    <w:rsid w:val="00DA0D14"/>
    <w:rsid w:val="00DA1FC9"/>
    <w:rsid w:val="00DA2CB5"/>
    <w:rsid w:val="00DA32AE"/>
    <w:rsid w:val="00DA358F"/>
    <w:rsid w:val="00DA383E"/>
    <w:rsid w:val="00DA3874"/>
    <w:rsid w:val="00DA39EA"/>
    <w:rsid w:val="00DA3CE2"/>
    <w:rsid w:val="00DA4BAC"/>
    <w:rsid w:val="00DA6B76"/>
    <w:rsid w:val="00DA7151"/>
    <w:rsid w:val="00DA722E"/>
    <w:rsid w:val="00DA792A"/>
    <w:rsid w:val="00DA7B0C"/>
    <w:rsid w:val="00DA7B67"/>
    <w:rsid w:val="00DB0151"/>
    <w:rsid w:val="00DB0160"/>
    <w:rsid w:val="00DB04D7"/>
    <w:rsid w:val="00DB1C5A"/>
    <w:rsid w:val="00DB2DA1"/>
    <w:rsid w:val="00DB50E1"/>
    <w:rsid w:val="00DB5731"/>
    <w:rsid w:val="00DB622F"/>
    <w:rsid w:val="00DB6C3F"/>
    <w:rsid w:val="00DB6D80"/>
    <w:rsid w:val="00DC0566"/>
    <w:rsid w:val="00DC05E1"/>
    <w:rsid w:val="00DC1499"/>
    <w:rsid w:val="00DC16CF"/>
    <w:rsid w:val="00DC29CB"/>
    <w:rsid w:val="00DC2C3E"/>
    <w:rsid w:val="00DC3137"/>
    <w:rsid w:val="00DC33EF"/>
    <w:rsid w:val="00DC3A71"/>
    <w:rsid w:val="00DC4880"/>
    <w:rsid w:val="00DC4CCE"/>
    <w:rsid w:val="00DC581F"/>
    <w:rsid w:val="00DC5E90"/>
    <w:rsid w:val="00DC6AF3"/>
    <w:rsid w:val="00DC6EC3"/>
    <w:rsid w:val="00DC732A"/>
    <w:rsid w:val="00DC74EB"/>
    <w:rsid w:val="00DC7B5E"/>
    <w:rsid w:val="00DC7E63"/>
    <w:rsid w:val="00DC7E7D"/>
    <w:rsid w:val="00DD04D7"/>
    <w:rsid w:val="00DD0827"/>
    <w:rsid w:val="00DD0BE9"/>
    <w:rsid w:val="00DD1100"/>
    <w:rsid w:val="00DD219E"/>
    <w:rsid w:val="00DD2560"/>
    <w:rsid w:val="00DD26F9"/>
    <w:rsid w:val="00DD2A6B"/>
    <w:rsid w:val="00DD2B1B"/>
    <w:rsid w:val="00DD350E"/>
    <w:rsid w:val="00DD3A61"/>
    <w:rsid w:val="00DD42AB"/>
    <w:rsid w:val="00DD5A45"/>
    <w:rsid w:val="00DD74AD"/>
    <w:rsid w:val="00DD7916"/>
    <w:rsid w:val="00DE06AF"/>
    <w:rsid w:val="00DE4229"/>
    <w:rsid w:val="00DE5390"/>
    <w:rsid w:val="00DE6BFD"/>
    <w:rsid w:val="00DE6D27"/>
    <w:rsid w:val="00DE76EA"/>
    <w:rsid w:val="00DE78CA"/>
    <w:rsid w:val="00DF01F8"/>
    <w:rsid w:val="00DF021D"/>
    <w:rsid w:val="00DF14EE"/>
    <w:rsid w:val="00DF217D"/>
    <w:rsid w:val="00DF22F2"/>
    <w:rsid w:val="00DF26A7"/>
    <w:rsid w:val="00DF3277"/>
    <w:rsid w:val="00DF48E6"/>
    <w:rsid w:val="00DF6A31"/>
    <w:rsid w:val="00DF7407"/>
    <w:rsid w:val="00DF77A1"/>
    <w:rsid w:val="00DF7919"/>
    <w:rsid w:val="00DF7EDA"/>
    <w:rsid w:val="00E005E6"/>
    <w:rsid w:val="00E02021"/>
    <w:rsid w:val="00E0207E"/>
    <w:rsid w:val="00E02AE6"/>
    <w:rsid w:val="00E03003"/>
    <w:rsid w:val="00E03912"/>
    <w:rsid w:val="00E03C48"/>
    <w:rsid w:val="00E03F99"/>
    <w:rsid w:val="00E04748"/>
    <w:rsid w:val="00E04CB8"/>
    <w:rsid w:val="00E060AF"/>
    <w:rsid w:val="00E06468"/>
    <w:rsid w:val="00E073F6"/>
    <w:rsid w:val="00E078D9"/>
    <w:rsid w:val="00E10293"/>
    <w:rsid w:val="00E103A0"/>
    <w:rsid w:val="00E1043F"/>
    <w:rsid w:val="00E1157E"/>
    <w:rsid w:val="00E11823"/>
    <w:rsid w:val="00E11F44"/>
    <w:rsid w:val="00E13CD8"/>
    <w:rsid w:val="00E13E60"/>
    <w:rsid w:val="00E14240"/>
    <w:rsid w:val="00E14586"/>
    <w:rsid w:val="00E14A70"/>
    <w:rsid w:val="00E15627"/>
    <w:rsid w:val="00E15DD4"/>
    <w:rsid w:val="00E164B3"/>
    <w:rsid w:val="00E16910"/>
    <w:rsid w:val="00E169B9"/>
    <w:rsid w:val="00E21164"/>
    <w:rsid w:val="00E22CAD"/>
    <w:rsid w:val="00E231D4"/>
    <w:rsid w:val="00E232A6"/>
    <w:rsid w:val="00E239E2"/>
    <w:rsid w:val="00E24E09"/>
    <w:rsid w:val="00E25949"/>
    <w:rsid w:val="00E27234"/>
    <w:rsid w:val="00E27411"/>
    <w:rsid w:val="00E278F5"/>
    <w:rsid w:val="00E2798F"/>
    <w:rsid w:val="00E3078E"/>
    <w:rsid w:val="00E32E50"/>
    <w:rsid w:val="00E3495C"/>
    <w:rsid w:val="00E34E61"/>
    <w:rsid w:val="00E35045"/>
    <w:rsid w:val="00E3538F"/>
    <w:rsid w:val="00E36CC4"/>
    <w:rsid w:val="00E36F3B"/>
    <w:rsid w:val="00E372E8"/>
    <w:rsid w:val="00E37A08"/>
    <w:rsid w:val="00E41AC4"/>
    <w:rsid w:val="00E41ED8"/>
    <w:rsid w:val="00E42808"/>
    <w:rsid w:val="00E42BDB"/>
    <w:rsid w:val="00E45095"/>
    <w:rsid w:val="00E45BD6"/>
    <w:rsid w:val="00E45CAE"/>
    <w:rsid w:val="00E467C7"/>
    <w:rsid w:val="00E4758D"/>
    <w:rsid w:val="00E47AAF"/>
    <w:rsid w:val="00E47F84"/>
    <w:rsid w:val="00E50879"/>
    <w:rsid w:val="00E50F18"/>
    <w:rsid w:val="00E524A9"/>
    <w:rsid w:val="00E53F1A"/>
    <w:rsid w:val="00E54DF9"/>
    <w:rsid w:val="00E555E7"/>
    <w:rsid w:val="00E5726D"/>
    <w:rsid w:val="00E57EEB"/>
    <w:rsid w:val="00E62D94"/>
    <w:rsid w:val="00E62ECC"/>
    <w:rsid w:val="00E639A3"/>
    <w:rsid w:val="00E640CA"/>
    <w:rsid w:val="00E64F37"/>
    <w:rsid w:val="00E65091"/>
    <w:rsid w:val="00E65393"/>
    <w:rsid w:val="00E65E54"/>
    <w:rsid w:val="00E661C7"/>
    <w:rsid w:val="00E66679"/>
    <w:rsid w:val="00E667B4"/>
    <w:rsid w:val="00E732C4"/>
    <w:rsid w:val="00E74B3D"/>
    <w:rsid w:val="00E74E41"/>
    <w:rsid w:val="00E75151"/>
    <w:rsid w:val="00E75836"/>
    <w:rsid w:val="00E80155"/>
    <w:rsid w:val="00E80ABD"/>
    <w:rsid w:val="00E8134B"/>
    <w:rsid w:val="00E81E0D"/>
    <w:rsid w:val="00E81F28"/>
    <w:rsid w:val="00E82089"/>
    <w:rsid w:val="00E82F69"/>
    <w:rsid w:val="00E83330"/>
    <w:rsid w:val="00E835E6"/>
    <w:rsid w:val="00E83A04"/>
    <w:rsid w:val="00E83F8C"/>
    <w:rsid w:val="00E84886"/>
    <w:rsid w:val="00E848C0"/>
    <w:rsid w:val="00E84A64"/>
    <w:rsid w:val="00E84BB8"/>
    <w:rsid w:val="00E84D65"/>
    <w:rsid w:val="00E84FE8"/>
    <w:rsid w:val="00E86F92"/>
    <w:rsid w:val="00E8798D"/>
    <w:rsid w:val="00E913A2"/>
    <w:rsid w:val="00E91B96"/>
    <w:rsid w:val="00E91BA7"/>
    <w:rsid w:val="00E92526"/>
    <w:rsid w:val="00E92F2E"/>
    <w:rsid w:val="00E935DA"/>
    <w:rsid w:val="00E93AC4"/>
    <w:rsid w:val="00E93D1E"/>
    <w:rsid w:val="00E93E91"/>
    <w:rsid w:val="00E93FC1"/>
    <w:rsid w:val="00E941A1"/>
    <w:rsid w:val="00E9574F"/>
    <w:rsid w:val="00E95CE3"/>
    <w:rsid w:val="00E95E68"/>
    <w:rsid w:val="00E95F9A"/>
    <w:rsid w:val="00E960F3"/>
    <w:rsid w:val="00E96E99"/>
    <w:rsid w:val="00E96F72"/>
    <w:rsid w:val="00E97754"/>
    <w:rsid w:val="00EA0128"/>
    <w:rsid w:val="00EA0856"/>
    <w:rsid w:val="00EA1CE6"/>
    <w:rsid w:val="00EA1DC4"/>
    <w:rsid w:val="00EA252F"/>
    <w:rsid w:val="00EA2825"/>
    <w:rsid w:val="00EA5027"/>
    <w:rsid w:val="00EA604C"/>
    <w:rsid w:val="00EA62D6"/>
    <w:rsid w:val="00EA64C2"/>
    <w:rsid w:val="00EA6518"/>
    <w:rsid w:val="00EA65F2"/>
    <w:rsid w:val="00EA69CB"/>
    <w:rsid w:val="00EA6C38"/>
    <w:rsid w:val="00EA6EE7"/>
    <w:rsid w:val="00EA71A2"/>
    <w:rsid w:val="00EA73DF"/>
    <w:rsid w:val="00EA7466"/>
    <w:rsid w:val="00EA7EDE"/>
    <w:rsid w:val="00EB0093"/>
    <w:rsid w:val="00EB0B63"/>
    <w:rsid w:val="00EB0EB5"/>
    <w:rsid w:val="00EB165D"/>
    <w:rsid w:val="00EB17F4"/>
    <w:rsid w:val="00EB1936"/>
    <w:rsid w:val="00EB25B0"/>
    <w:rsid w:val="00EB3545"/>
    <w:rsid w:val="00EB37BE"/>
    <w:rsid w:val="00EB3C86"/>
    <w:rsid w:val="00EB40C2"/>
    <w:rsid w:val="00EB4BAE"/>
    <w:rsid w:val="00EB5088"/>
    <w:rsid w:val="00EB6267"/>
    <w:rsid w:val="00EB6839"/>
    <w:rsid w:val="00EB7210"/>
    <w:rsid w:val="00EC003F"/>
    <w:rsid w:val="00EC0541"/>
    <w:rsid w:val="00EC1633"/>
    <w:rsid w:val="00EC2726"/>
    <w:rsid w:val="00EC3284"/>
    <w:rsid w:val="00EC4632"/>
    <w:rsid w:val="00EC575E"/>
    <w:rsid w:val="00EC681C"/>
    <w:rsid w:val="00EC73EE"/>
    <w:rsid w:val="00EC7B87"/>
    <w:rsid w:val="00EC7C92"/>
    <w:rsid w:val="00EC7FBA"/>
    <w:rsid w:val="00ED0100"/>
    <w:rsid w:val="00ED0454"/>
    <w:rsid w:val="00ED0910"/>
    <w:rsid w:val="00ED0CB2"/>
    <w:rsid w:val="00ED1644"/>
    <w:rsid w:val="00ED2593"/>
    <w:rsid w:val="00ED3709"/>
    <w:rsid w:val="00ED432F"/>
    <w:rsid w:val="00ED6E34"/>
    <w:rsid w:val="00ED7D55"/>
    <w:rsid w:val="00ED7D9C"/>
    <w:rsid w:val="00EE00A7"/>
    <w:rsid w:val="00EE00EC"/>
    <w:rsid w:val="00EE2472"/>
    <w:rsid w:val="00EE2D9D"/>
    <w:rsid w:val="00EE2F77"/>
    <w:rsid w:val="00EE2FAD"/>
    <w:rsid w:val="00EE3158"/>
    <w:rsid w:val="00EE31A2"/>
    <w:rsid w:val="00EE4329"/>
    <w:rsid w:val="00EE437A"/>
    <w:rsid w:val="00EE6203"/>
    <w:rsid w:val="00EE6818"/>
    <w:rsid w:val="00EE6830"/>
    <w:rsid w:val="00EE6DE8"/>
    <w:rsid w:val="00EE7C3E"/>
    <w:rsid w:val="00EF0069"/>
    <w:rsid w:val="00EF12FC"/>
    <w:rsid w:val="00EF229C"/>
    <w:rsid w:val="00EF2EEA"/>
    <w:rsid w:val="00EF3C52"/>
    <w:rsid w:val="00EF44A0"/>
    <w:rsid w:val="00EF4580"/>
    <w:rsid w:val="00EF4FED"/>
    <w:rsid w:val="00EF5F45"/>
    <w:rsid w:val="00EF67A0"/>
    <w:rsid w:val="00EF6843"/>
    <w:rsid w:val="00EF6941"/>
    <w:rsid w:val="00EF6FB3"/>
    <w:rsid w:val="00F00157"/>
    <w:rsid w:val="00F0068B"/>
    <w:rsid w:val="00F007C6"/>
    <w:rsid w:val="00F011D6"/>
    <w:rsid w:val="00F0161F"/>
    <w:rsid w:val="00F0172E"/>
    <w:rsid w:val="00F040E7"/>
    <w:rsid w:val="00F050BD"/>
    <w:rsid w:val="00F05657"/>
    <w:rsid w:val="00F05AB0"/>
    <w:rsid w:val="00F062D7"/>
    <w:rsid w:val="00F065B0"/>
    <w:rsid w:val="00F12037"/>
    <w:rsid w:val="00F12423"/>
    <w:rsid w:val="00F12913"/>
    <w:rsid w:val="00F12C74"/>
    <w:rsid w:val="00F13214"/>
    <w:rsid w:val="00F13D2D"/>
    <w:rsid w:val="00F13E6B"/>
    <w:rsid w:val="00F14D59"/>
    <w:rsid w:val="00F1559A"/>
    <w:rsid w:val="00F15B46"/>
    <w:rsid w:val="00F170AA"/>
    <w:rsid w:val="00F17977"/>
    <w:rsid w:val="00F179C7"/>
    <w:rsid w:val="00F17ED6"/>
    <w:rsid w:val="00F20676"/>
    <w:rsid w:val="00F209E2"/>
    <w:rsid w:val="00F215E1"/>
    <w:rsid w:val="00F22359"/>
    <w:rsid w:val="00F228EC"/>
    <w:rsid w:val="00F22B8C"/>
    <w:rsid w:val="00F2398F"/>
    <w:rsid w:val="00F23C02"/>
    <w:rsid w:val="00F2445B"/>
    <w:rsid w:val="00F25578"/>
    <w:rsid w:val="00F25707"/>
    <w:rsid w:val="00F258E5"/>
    <w:rsid w:val="00F25B9C"/>
    <w:rsid w:val="00F25C9B"/>
    <w:rsid w:val="00F2675A"/>
    <w:rsid w:val="00F26CC6"/>
    <w:rsid w:val="00F26D80"/>
    <w:rsid w:val="00F2792D"/>
    <w:rsid w:val="00F27D5A"/>
    <w:rsid w:val="00F300BC"/>
    <w:rsid w:val="00F305FA"/>
    <w:rsid w:val="00F30861"/>
    <w:rsid w:val="00F30BA2"/>
    <w:rsid w:val="00F3263C"/>
    <w:rsid w:val="00F33144"/>
    <w:rsid w:val="00F3334E"/>
    <w:rsid w:val="00F33B7A"/>
    <w:rsid w:val="00F3573A"/>
    <w:rsid w:val="00F35B0E"/>
    <w:rsid w:val="00F36203"/>
    <w:rsid w:val="00F36301"/>
    <w:rsid w:val="00F36CCB"/>
    <w:rsid w:val="00F36F7D"/>
    <w:rsid w:val="00F37093"/>
    <w:rsid w:val="00F374E5"/>
    <w:rsid w:val="00F37865"/>
    <w:rsid w:val="00F37AC3"/>
    <w:rsid w:val="00F37B93"/>
    <w:rsid w:val="00F37BAD"/>
    <w:rsid w:val="00F37ECA"/>
    <w:rsid w:val="00F37FF9"/>
    <w:rsid w:val="00F40A1C"/>
    <w:rsid w:val="00F40F80"/>
    <w:rsid w:val="00F41409"/>
    <w:rsid w:val="00F41B82"/>
    <w:rsid w:val="00F43345"/>
    <w:rsid w:val="00F43AF2"/>
    <w:rsid w:val="00F43DA0"/>
    <w:rsid w:val="00F4438D"/>
    <w:rsid w:val="00F45216"/>
    <w:rsid w:val="00F455E1"/>
    <w:rsid w:val="00F46BAF"/>
    <w:rsid w:val="00F47852"/>
    <w:rsid w:val="00F47FEA"/>
    <w:rsid w:val="00F5007E"/>
    <w:rsid w:val="00F50576"/>
    <w:rsid w:val="00F508F6"/>
    <w:rsid w:val="00F50EC4"/>
    <w:rsid w:val="00F52232"/>
    <w:rsid w:val="00F527B1"/>
    <w:rsid w:val="00F52DC2"/>
    <w:rsid w:val="00F5392A"/>
    <w:rsid w:val="00F54AF9"/>
    <w:rsid w:val="00F550CF"/>
    <w:rsid w:val="00F553D2"/>
    <w:rsid w:val="00F55859"/>
    <w:rsid w:val="00F55F47"/>
    <w:rsid w:val="00F56A2D"/>
    <w:rsid w:val="00F56CCE"/>
    <w:rsid w:val="00F56E70"/>
    <w:rsid w:val="00F57A6D"/>
    <w:rsid w:val="00F600E0"/>
    <w:rsid w:val="00F6044B"/>
    <w:rsid w:val="00F62F19"/>
    <w:rsid w:val="00F63163"/>
    <w:rsid w:val="00F638CC"/>
    <w:rsid w:val="00F645FB"/>
    <w:rsid w:val="00F648EF"/>
    <w:rsid w:val="00F64C9E"/>
    <w:rsid w:val="00F64CC1"/>
    <w:rsid w:val="00F64FC8"/>
    <w:rsid w:val="00F653C1"/>
    <w:rsid w:val="00F65975"/>
    <w:rsid w:val="00F6706E"/>
    <w:rsid w:val="00F67742"/>
    <w:rsid w:val="00F67AC6"/>
    <w:rsid w:val="00F708B1"/>
    <w:rsid w:val="00F72317"/>
    <w:rsid w:val="00F72F71"/>
    <w:rsid w:val="00F73DC1"/>
    <w:rsid w:val="00F75609"/>
    <w:rsid w:val="00F75BB8"/>
    <w:rsid w:val="00F7735A"/>
    <w:rsid w:val="00F77714"/>
    <w:rsid w:val="00F802F4"/>
    <w:rsid w:val="00F80475"/>
    <w:rsid w:val="00F806C9"/>
    <w:rsid w:val="00F80E6E"/>
    <w:rsid w:val="00F81390"/>
    <w:rsid w:val="00F81F7A"/>
    <w:rsid w:val="00F8241E"/>
    <w:rsid w:val="00F8247A"/>
    <w:rsid w:val="00F82E5C"/>
    <w:rsid w:val="00F837A1"/>
    <w:rsid w:val="00F83AE6"/>
    <w:rsid w:val="00F83E86"/>
    <w:rsid w:val="00F83F58"/>
    <w:rsid w:val="00F8436A"/>
    <w:rsid w:val="00F85206"/>
    <w:rsid w:val="00F85350"/>
    <w:rsid w:val="00F856C4"/>
    <w:rsid w:val="00F87991"/>
    <w:rsid w:val="00F87C7A"/>
    <w:rsid w:val="00F87CEA"/>
    <w:rsid w:val="00F9013B"/>
    <w:rsid w:val="00F90868"/>
    <w:rsid w:val="00F9265D"/>
    <w:rsid w:val="00F93D0D"/>
    <w:rsid w:val="00F944E2"/>
    <w:rsid w:val="00F950CA"/>
    <w:rsid w:val="00F9629A"/>
    <w:rsid w:val="00F9689B"/>
    <w:rsid w:val="00F97951"/>
    <w:rsid w:val="00F97C59"/>
    <w:rsid w:val="00F97DF7"/>
    <w:rsid w:val="00F97EFC"/>
    <w:rsid w:val="00FA0B04"/>
    <w:rsid w:val="00FA0C7C"/>
    <w:rsid w:val="00FA1612"/>
    <w:rsid w:val="00FA1BDD"/>
    <w:rsid w:val="00FA2884"/>
    <w:rsid w:val="00FA29CE"/>
    <w:rsid w:val="00FA305C"/>
    <w:rsid w:val="00FA41D2"/>
    <w:rsid w:val="00FA462E"/>
    <w:rsid w:val="00FA4DD5"/>
    <w:rsid w:val="00FA5883"/>
    <w:rsid w:val="00FA5DBB"/>
    <w:rsid w:val="00FA6055"/>
    <w:rsid w:val="00FA6446"/>
    <w:rsid w:val="00FA6ED7"/>
    <w:rsid w:val="00FA7C77"/>
    <w:rsid w:val="00FB0B39"/>
    <w:rsid w:val="00FB0EBF"/>
    <w:rsid w:val="00FB104A"/>
    <w:rsid w:val="00FB1DFC"/>
    <w:rsid w:val="00FB322F"/>
    <w:rsid w:val="00FB441D"/>
    <w:rsid w:val="00FB442F"/>
    <w:rsid w:val="00FB4B9A"/>
    <w:rsid w:val="00FB5E44"/>
    <w:rsid w:val="00FB66CC"/>
    <w:rsid w:val="00FC04A7"/>
    <w:rsid w:val="00FC07FB"/>
    <w:rsid w:val="00FC1137"/>
    <w:rsid w:val="00FC118C"/>
    <w:rsid w:val="00FC1929"/>
    <w:rsid w:val="00FC28B9"/>
    <w:rsid w:val="00FC358A"/>
    <w:rsid w:val="00FC5B46"/>
    <w:rsid w:val="00FC7AF9"/>
    <w:rsid w:val="00FC7B88"/>
    <w:rsid w:val="00FC7CF1"/>
    <w:rsid w:val="00FD00E6"/>
    <w:rsid w:val="00FD1D4F"/>
    <w:rsid w:val="00FD24BF"/>
    <w:rsid w:val="00FD3B6E"/>
    <w:rsid w:val="00FD4140"/>
    <w:rsid w:val="00FD46BD"/>
    <w:rsid w:val="00FD57EB"/>
    <w:rsid w:val="00FD5FAE"/>
    <w:rsid w:val="00FD6D8E"/>
    <w:rsid w:val="00FD726A"/>
    <w:rsid w:val="00FD78AC"/>
    <w:rsid w:val="00FE017D"/>
    <w:rsid w:val="00FE055C"/>
    <w:rsid w:val="00FE0663"/>
    <w:rsid w:val="00FE0C33"/>
    <w:rsid w:val="00FE0E94"/>
    <w:rsid w:val="00FE1237"/>
    <w:rsid w:val="00FE348D"/>
    <w:rsid w:val="00FE369C"/>
    <w:rsid w:val="00FE3CD9"/>
    <w:rsid w:val="00FE50FD"/>
    <w:rsid w:val="00FE6C8C"/>
    <w:rsid w:val="00FE6D7E"/>
    <w:rsid w:val="00FE6E98"/>
    <w:rsid w:val="00FF00BD"/>
    <w:rsid w:val="00FF067C"/>
    <w:rsid w:val="00FF0B13"/>
    <w:rsid w:val="00FF1672"/>
    <w:rsid w:val="00FF1ED4"/>
    <w:rsid w:val="00FF23E1"/>
    <w:rsid w:val="00FF2801"/>
    <w:rsid w:val="00FF305E"/>
    <w:rsid w:val="00FF37F8"/>
    <w:rsid w:val="00FF3FE0"/>
    <w:rsid w:val="00FF799B"/>
    <w:rsid w:val="012A7082"/>
    <w:rsid w:val="0143FC8B"/>
    <w:rsid w:val="01472274"/>
    <w:rsid w:val="01BAC867"/>
    <w:rsid w:val="0254441C"/>
    <w:rsid w:val="0277A1D5"/>
    <w:rsid w:val="02E816C3"/>
    <w:rsid w:val="032394EB"/>
    <w:rsid w:val="033B2F40"/>
    <w:rsid w:val="0437B5A4"/>
    <w:rsid w:val="04A12F4E"/>
    <w:rsid w:val="04DBE9EA"/>
    <w:rsid w:val="05182518"/>
    <w:rsid w:val="051D99F9"/>
    <w:rsid w:val="0596663B"/>
    <w:rsid w:val="05B612E3"/>
    <w:rsid w:val="0605216C"/>
    <w:rsid w:val="063EE9F7"/>
    <w:rsid w:val="069F379E"/>
    <w:rsid w:val="076CEE75"/>
    <w:rsid w:val="07BD57CA"/>
    <w:rsid w:val="08185FB9"/>
    <w:rsid w:val="082A09EB"/>
    <w:rsid w:val="089BC592"/>
    <w:rsid w:val="0A0C7AE1"/>
    <w:rsid w:val="0A663D94"/>
    <w:rsid w:val="0B1BF5E7"/>
    <w:rsid w:val="0B8EBBA3"/>
    <w:rsid w:val="0CF130DF"/>
    <w:rsid w:val="0CFE1DFD"/>
    <w:rsid w:val="0D4FC7CF"/>
    <w:rsid w:val="0DC4E36E"/>
    <w:rsid w:val="0E5E506F"/>
    <w:rsid w:val="0E5FE61F"/>
    <w:rsid w:val="0F5CF529"/>
    <w:rsid w:val="0FC31246"/>
    <w:rsid w:val="1023E0F9"/>
    <w:rsid w:val="10B5AF6F"/>
    <w:rsid w:val="1272477B"/>
    <w:rsid w:val="12B95C68"/>
    <w:rsid w:val="12E386DA"/>
    <w:rsid w:val="134F096F"/>
    <w:rsid w:val="14F07869"/>
    <w:rsid w:val="15107A79"/>
    <w:rsid w:val="1559BAC6"/>
    <w:rsid w:val="15FF5BBF"/>
    <w:rsid w:val="162998A6"/>
    <w:rsid w:val="17FD5F39"/>
    <w:rsid w:val="1808156B"/>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959383"/>
    <w:rsid w:val="1FB6E350"/>
    <w:rsid w:val="1FF3162D"/>
    <w:rsid w:val="2009EB8A"/>
    <w:rsid w:val="2048B7F7"/>
    <w:rsid w:val="210F5AF1"/>
    <w:rsid w:val="212CBC64"/>
    <w:rsid w:val="21844EB9"/>
    <w:rsid w:val="22BA1B4E"/>
    <w:rsid w:val="22DC80A3"/>
    <w:rsid w:val="231C3354"/>
    <w:rsid w:val="238CC620"/>
    <w:rsid w:val="244B8CF8"/>
    <w:rsid w:val="24C0A041"/>
    <w:rsid w:val="24CA5046"/>
    <w:rsid w:val="24F49182"/>
    <w:rsid w:val="2507BF38"/>
    <w:rsid w:val="25F6A3C2"/>
    <w:rsid w:val="260D10B3"/>
    <w:rsid w:val="26615FE7"/>
    <w:rsid w:val="2678B15D"/>
    <w:rsid w:val="26E663D6"/>
    <w:rsid w:val="26E6955E"/>
    <w:rsid w:val="26F6F44A"/>
    <w:rsid w:val="27394882"/>
    <w:rsid w:val="2757D7B1"/>
    <w:rsid w:val="2808070E"/>
    <w:rsid w:val="28B27485"/>
    <w:rsid w:val="29365BD7"/>
    <w:rsid w:val="29882150"/>
    <w:rsid w:val="29E0E709"/>
    <w:rsid w:val="2AA490C3"/>
    <w:rsid w:val="2AB480AD"/>
    <w:rsid w:val="2B8D5B09"/>
    <w:rsid w:val="2C4C1D68"/>
    <w:rsid w:val="2C7C3DFB"/>
    <w:rsid w:val="2D470254"/>
    <w:rsid w:val="2DECC312"/>
    <w:rsid w:val="2E4579D6"/>
    <w:rsid w:val="2EF0545B"/>
    <w:rsid w:val="2FB92803"/>
    <w:rsid w:val="2FC97F8A"/>
    <w:rsid w:val="2FE7423C"/>
    <w:rsid w:val="300EDF22"/>
    <w:rsid w:val="3079EB0D"/>
    <w:rsid w:val="307D714D"/>
    <w:rsid w:val="3093AC95"/>
    <w:rsid w:val="30E8B387"/>
    <w:rsid w:val="31856E60"/>
    <w:rsid w:val="31C1265F"/>
    <w:rsid w:val="321F658F"/>
    <w:rsid w:val="32FFC29C"/>
    <w:rsid w:val="33185143"/>
    <w:rsid w:val="3320F36F"/>
    <w:rsid w:val="340D0A3D"/>
    <w:rsid w:val="34233F8D"/>
    <w:rsid w:val="343A4F58"/>
    <w:rsid w:val="34E7EA92"/>
    <w:rsid w:val="3566D450"/>
    <w:rsid w:val="363425FC"/>
    <w:rsid w:val="373C6128"/>
    <w:rsid w:val="37C1F8E8"/>
    <w:rsid w:val="37CBBBE7"/>
    <w:rsid w:val="3805C0E7"/>
    <w:rsid w:val="38168071"/>
    <w:rsid w:val="38E03CC9"/>
    <w:rsid w:val="393376D2"/>
    <w:rsid w:val="395463D1"/>
    <w:rsid w:val="398863F1"/>
    <w:rsid w:val="3A20C143"/>
    <w:rsid w:val="3A23BA60"/>
    <w:rsid w:val="3A4C135D"/>
    <w:rsid w:val="3A5AA1C7"/>
    <w:rsid w:val="3A95D963"/>
    <w:rsid w:val="3B0221CF"/>
    <w:rsid w:val="3BA095AD"/>
    <w:rsid w:val="3EDC23CB"/>
    <w:rsid w:val="40771079"/>
    <w:rsid w:val="40930EF5"/>
    <w:rsid w:val="4110CDB4"/>
    <w:rsid w:val="41CCAE0E"/>
    <w:rsid w:val="42691D0F"/>
    <w:rsid w:val="4372D6C2"/>
    <w:rsid w:val="437DFEF9"/>
    <w:rsid w:val="43ACFF12"/>
    <w:rsid w:val="43C7D607"/>
    <w:rsid w:val="443448FB"/>
    <w:rsid w:val="443B143C"/>
    <w:rsid w:val="44505BFC"/>
    <w:rsid w:val="448846A9"/>
    <w:rsid w:val="450F5A46"/>
    <w:rsid w:val="456C4AA2"/>
    <w:rsid w:val="4641A0D0"/>
    <w:rsid w:val="4666826F"/>
    <w:rsid w:val="483DA525"/>
    <w:rsid w:val="4873567A"/>
    <w:rsid w:val="48F582C0"/>
    <w:rsid w:val="495D9BBE"/>
    <w:rsid w:val="49B7B512"/>
    <w:rsid w:val="49EA8B7B"/>
    <w:rsid w:val="4AE86C22"/>
    <w:rsid w:val="4C8B405E"/>
    <w:rsid w:val="4C9566D3"/>
    <w:rsid w:val="4C96C6EF"/>
    <w:rsid w:val="4CA8BA21"/>
    <w:rsid w:val="4D21EA56"/>
    <w:rsid w:val="4D4501FB"/>
    <w:rsid w:val="4D8DE17A"/>
    <w:rsid w:val="4DA14906"/>
    <w:rsid w:val="4DD74500"/>
    <w:rsid w:val="4EACBD8E"/>
    <w:rsid w:val="4EE3854C"/>
    <w:rsid w:val="4F28A562"/>
    <w:rsid w:val="5057B658"/>
    <w:rsid w:val="5082B385"/>
    <w:rsid w:val="50F1C25A"/>
    <w:rsid w:val="517C50E5"/>
    <w:rsid w:val="51A107A9"/>
    <w:rsid w:val="521C1C44"/>
    <w:rsid w:val="52E41A86"/>
    <w:rsid w:val="53044900"/>
    <w:rsid w:val="53229BC9"/>
    <w:rsid w:val="53B39A2E"/>
    <w:rsid w:val="5410E276"/>
    <w:rsid w:val="5418DEA4"/>
    <w:rsid w:val="54C17BA2"/>
    <w:rsid w:val="553311EF"/>
    <w:rsid w:val="559107B4"/>
    <w:rsid w:val="55ACD1A0"/>
    <w:rsid w:val="565BAACD"/>
    <w:rsid w:val="56AFA43F"/>
    <w:rsid w:val="56B1045A"/>
    <w:rsid w:val="579172B3"/>
    <w:rsid w:val="5866F336"/>
    <w:rsid w:val="5885D579"/>
    <w:rsid w:val="58963761"/>
    <w:rsid w:val="59185BFB"/>
    <w:rsid w:val="593F501C"/>
    <w:rsid w:val="59B15771"/>
    <w:rsid w:val="59C23F7F"/>
    <w:rsid w:val="5A05D725"/>
    <w:rsid w:val="5ADD90BE"/>
    <w:rsid w:val="5B1E38D7"/>
    <w:rsid w:val="5B9D8C93"/>
    <w:rsid w:val="5CB076C8"/>
    <w:rsid w:val="5D5832E9"/>
    <w:rsid w:val="5D80A09E"/>
    <w:rsid w:val="5DC1C88E"/>
    <w:rsid w:val="5DF2A876"/>
    <w:rsid w:val="5E8A0D20"/>
    <w:rsid w:val="5EACEEBD"/>
    <w:rsid w:val="5EBDDC85"/>
    <w:rsid w:val="5F8C18FC"/>
    <w:rsid w:val="600E03FD"/>
    <w:rsid w:val="603942A3"/>
    <w:rsid w:val="6238D218"/>
    <w:rsid w:val="628CB478"/>
    <w:rsid w:val="62AD93BA"/>
    <w:rsid w:val="63555756"/>
    <w:rsid w:val="644E444D"/>
    <w:rsid w:val="65275BDC"/>
    <w:rsid w:val="65573E26"/>
    <w:rsid w:val="656D9C09"/>
    <w:rsid w:val="65AD35BA"/>
    <w:rsid w:val="65C2D45A"/>
    <w:rsid w:val="6657D135"/>
    <w:rsid w:val="66D9E62A"/>
    <w:rsid w:val="66E8E023"/>
    <w:rsid w:val="6728F4B3"/>
    <w:rsid w:val="673BE400"/>
    <w:rsid w:val="67AAAC6B"/>
    <w:rsid w:val="67B6BAF7"/>
    <w:rsid w:val="68E0347C"/>
    <w:rsid w:val="6956685D"/>
    <w:rsid w:val="699B3EBB"/>
    <w:rsid w:val="69A7D5B7"/>
    <w:rsid w:val="6A2AAF49"/>
    <w:rsid w:val="6B67BFDF"/>
    <w:rsid w:val="6BAD574D"/>
    <w:rsid w:val="6CA77350"/>
    <w:rsid w:val="6E2B3C7F"/>
    <w:rsid w:val="6E7A5AC7"/>
    <w:rsid w:val="6F932B8E"/>
    <w:rsid w:val="700CC964"/>
    <w:rsid w:val="70349A40"/>
    <w:rsid w:val="70971A32"/>
    <w:rsid w:val="709A626A"/>
    <w:rsid w:val="716D6D8F"/>
    <w:rsid w:val="731BA24E"/>
    <w:rsid w:val="73C929CD"/>
    <w:rsid w:val="73E7CF48"/>
    <w:rsid w:val="7404D696"/>
    <w:rsid w:val="7482B970"/>
    <w:rsid w:val="75979857"/>
    <w:rsid w:val="75B5D97D"/>
    <w:rsid w:val="75B9CE48"/>
    <w:rsid w:val="764DA178"/>
    <w:rsid w:val="76665234"/>
    <w:rsid w:val="77B642A1"/>
    <w:rsid w:val="78063D85"/>
    <w:rsid w:val="78168F3E"/>
    <w:rsid w:val="78811112"/>
    <w:rsid w:val="78E271BD"/>
    <w:rsid w:val="78E93C4E"/>
    <w:rsid w:val="79E941EA"/>
    <w:rsid w:val="7A3DE86F"/>
    <w:rsid w:val="7AD6838E"/>
    <w:rsid w:val="7B180F93"/>
    <w:rsid w:val="7B1B6DA9"/>
    <w:rsid w:val="7B349606"/>
    <w:rsid w:val="7BF95383"/>
    <w:rsid w:val="7C63B7C1"/>
    <w:rsid w:val="7C73E7A8"/>
    <w:rsid w:val="7C7878ED"/>
    <w:rsid w:val="7CDEBC17"/>
    <w:rsid w:val="7D1052AA"/>
    <w:rsid w:val="7D61AEBC"/>
    <w:rsid w:val="7D98DA3E"/>
    <w:rsid w:val="7DAC400C"/>
    <w:rsid w:val="7E303FD3"/>
    <w:rsid w:val="7E3EF267"/>
    <w:rsid w:val="7E77EEEF"/>
    <w:rsid w:val="7E784689"/>
    <w:rsid w:val="7E9A54A9"/>
    <w:rsid w:val="7EFC508F"/>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2B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10"/>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1"/>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NormalWeb">
    <w:name w:val="Normal (Web)"/>
    <w:basedOn w:val="Normal"/>
    <w:semiHidden/>
    <w:unhideWhenUsed/>
    <w:rsid w:val="00773135"/>
    <w:rPr>
      <w:rFonts w:ascii="Times New Roman" w:hAnsi="Times New Roman"/>
    </w:rPr>
  </w:style>
  <w:style w:type="paragraph" w:styleId="FootnoteText">
    <w:name w:val="footnote text"/>
    <w:basedOn w:val="Normal"/>
    <w:link w:val="FootnoteTextChar"/>
    <w:semiHidden/>
    <w:unhideWhenUsed/>
    <w:rsid w:val="00AC4C84"/>
    <w:rPr>
      <w:sz w:val="20"/>
      <w:szCs w:val="20"/>
    </w:rPr>
  </w:style>
  <w:style w:type="character" w:customStyle="1" w:styleId="FootnoteTextChar">
    <w:name w:val="Footnote Text Char"/>
    <w:basedOn w:val="DefaultParagraphFont"/>
    <w:link w:val="FootnoteText"/>
    <w:semiHidden/>
    <w:rsid w:val="00AC4C84"/>
    <w:rPr>
      <w:rFonts w:ascii="Calibri" w:hAnsi="Calibri"/>
    </w:rPr>
  </w:style>
  <w:style w:type="character" w:styleId="FootnoteReference">
    <w:name w:val="footnote reference"/>
    <w:basedOn w:val="DefaultParagraphFont"/>
    <w:semiHidden/>
    <w:unhideWhenUsed/>
    <w:rsid w:val="00AC4C84"/>
    <w:rPr>
      <w:vertAlign w:val="superscript"/>
    </w:rPr>
  </w:style>
  <w:style w:type="character" w:styleId="Mention">
    <w:name w:val="Mention"/>
    <w:basedOn w:val="DefaultParagraphFont"/>
    <w:uiPriority w:val="99"/>
    <w:unhideWhenUsed/>
    <w:rsid w:val="00465820"/>
    <w:rPr>
      <w:color w:val="2B579A"/>
      <w:shd w:val="clear" w:color="auto" w:fill="E1DFDD"/>
    </w:rPr>
  </w:style>
  <w:style w:type="character" w:customStyle="1" w:styleId="eop">
    <w:name w:val="eop"/>
    <w:basedOn w:val="DefaultParagraphFont"/>
    <w:rsid w:val="000E1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f95629-adac-4ec1-8738-e1cec852b92b" xsi:nil="true"/>
    <lcf76f155ced4ddcb4097134ff3c332f xmlns="7f856f8d-13b3-495a-9a4b-41f8182eda4c">
      <Terms xmlns="http://schemas.microsoft.com/office/infopath/2007/PartnerControls"/>
    </lcf76f155ced4ddcb4097134ff3c332f>
    <Datecreated xmlns="7f856f8d-13b3-495a-9a4b-41f8182eda4c" xsi:nil="true"/>
  </documentManagement>
</p:properties>
</file>

<file path=customXml/itemProps1.xml><?xml version="1.0" encoding="utf-8"?>
<ds:datastoreItem xmlns:ds="http://schemas.openxmlformats.org/officeDocument/2006/customXml" ds:itemID="{BA34962D-C3A5-4E09-B1F9-06AC492187E7}">
  <ds:schemaRefs>
    <ds:schemaRef ds:uri="http://schemas.microsoft.com/sharepoint/v3/contenttype/forms"/>
  </ds:schemaRefs>
</ds:datastoreItem>
</file>

<file path=customXml/itemProps2.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3.xml><?xml version="1.0" encoding="utf-8"?>
<ds:datastoreItem xmlns:ds="http://schemas.openxmlformats.org/officeDocument/2006/customXml" ds:itemID="{8CB2A2E9-75BF-4ACB-9F4D-34D2AFC6C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15097-330F-4A74-A93F-C13053CFFB28}">
  <ds:schemaRefs>
    <ds:schemaRef ds:uri="http://schemas.microsoft.com/office/2006/metadata/properties"/>
    <ds:schemaRef ds:uri="http://schemas.microsoft.com/office/infopath/2007/PartnerControls"/>
    <ds:schemaRef ds:uri="72f95629-adac-4ec1-8738-e1cec852b92b"/>
    <ds:schemaRef ds:uri="7f856f8d-13b3-495a-9a4b-41f8182eda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2744</Words>
  <Characters>15563</Characters>
  <Application>Microsoft Office Word</Application>
  <DocSecurity>0</DocSecurity>
  <Lines>432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2026-07-08T01:14:00Z</dcterms:created>
  <dcterms:modified xsi:type="dcterms:W3CDTF">2026-07-08T01:14:00Z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5667d442,7cb74f4c,745bf843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3a2287e1,12a53406,41801841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2026-04-17T05:34:04Z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84714fe2-1ac7-4836-b253-ff08cb60ee73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docLang">
    <vt:lpwstr>en</vt:lpwstr>
  </property>
  <property fmtid="{D5CDD505-2E9C-101B-9397-08002B2CF9AE}" pid="19" name="MSIP_Label_7cd3e8b9-ffed-43a8-b7f4-cc2fa0382d36_Extended_MSFT_Method">
    <vt:lpwstr>Standard</vt:lpwstr>
  </property>
  <property fmtid="{D5CDD505-2E9C-101B-9397-08002B2CF9AE}" pid="20" name="MSIP_Label_e96f34de-6201-4396-9b5e-7ee7670aa56c_Enabled">
    <vt:lpwstr>true</vt:lpwstr>
  </property>
  <property fmtid="{D5CDD505-2E9C-101B-9397-08002B2CF9AE}" pid="21" name="MSIP_Label_e96f34de-6201-4396-9b5e-7ee7670aa56c_SetDate">
    <vt:lpwstr>2026-05-22T05:08:30Z</vt:lpwstr>
  </property>
  <property fmtid="{D5CDD505-2E9C-101B-9397-08002B2CF9AE}" pid="22" name="MSIP_Label_e96f34de-6201-4396-9b5e-7ee7670aa56c_Method">
    <vt:lpwstr>Privileged</vt:lpwstr>
  </property>
  <property fmtid="{D5CDD505-2E9C-101B-9397-08002B2CF9AE}" pid="23" name="MSIP_Label_e96f34de-6201-4396-9b5e-7ee7670aa56c_Name">
    <vt:lpwstr>e96f34de-6201-4396-9b5e-7ee7670aa56c</vt:lpwstr>
  </property>
  <property fmtid="{D5CDD505-2E9C-101B-9397-08002B2CF9AE}" pid="24" name="MSIP_Label_e96f34de-6201-4396-9b5e-7ee7670aa56c_SiteId">
    <vt:lpwstr>7a916015-20ae-4ad1-9170-eefd915e9272</vt:lpwstr>
  </property>
  <property fmtid="{D5CDD505-2E9C-101B-9397-08002B2CF9AE}" pid="25" name="MSIP_Label_e96f34de-6201-4396-9b5e-7ee7670aa56c_ActionId">
    <vt:lpwstr>f20ac8c1-3184-4325-8523-651ab0028e8a</vt:lpwstr>
  </property>
  <property fmtid="{D5CDD505-2E9C-101B-9397-08002B2CF9AE}" pid="26" name="MSIP_Label_e96f34de-6201-4396-9b5e-7ee7670aa56c_ContentBits">
    <vt:lpwstr>0</vt:lpwstr>
  </property>
  <property fmtid="{D5CDD505-2E9C-101B-9397-08002B2CF9AE}" pid="27" name="MSIP_Label_e96f34de-6201-4396-9b5e-7ee7670aa56c_Tag">
    <vt:lpwstr>10, 0, 1, 1</vt:lpwstr>
  </property>
  <property fmtid="{D5CDD505-2E9C-101B-9397-08002B2CF9AE}" pid="28" name="ContentTypeId">
    <vt:lpwstr>0x0101007FED174C5281F747A8037A05221D6DBD</vt:lpwstr>
  </property>
  <property fmtid="{D5CDD505-2E9C-101B-9397-08002B2CF9AE}" pid="29" name="Order">
    <vt:r8>59899700</vt:r8>
  </property>
  <property fmtid="{D5CDD505-2E9C-101B-9397-08002B2CF9AE}" pid="30" name="xd_Signature">
    <vt:bool>false</vt:bool>
  </property>
  <property fmtid="{D5CDD505-2E9C-101B-9397-08002B2CF9AE}" pid="31" name="xd_Prog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